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56678">
      <w:pPr>
        <w:spacing w:before="165" w:beforeLines="50" w:line="360" w:lineRule="auto"/>
        <w:jc w:val="center"/>
        <w:rPr>
          <w:rFonts w:hint="eastAsia" w:asciiTheme="minorEastAsia" w:hAnsiTheme="minorEastAsia" w:eastAsiaTheme="minorEastAsia" w:cstheme="minorEastAsia"/>
          <w:color w:val="auto"/>
          <w:sz w:val="52"/>
          <w:szCs w:val="52"/>
          <w:highlight w:val="none"/>
        </w:rPr>
      </w:pPr>
      <w:bookmarkStart w:id="317" w:name="_GoBack"/>
      <w:r>
        <w:rPr>
          <w:rFonts w:hint="eastAsia" w:asciiTheme="minorEastAsia" w:hAnsiTheme="minorEastAsia" w:eastAsiaTheme="minorEastAsia" w:cstheme="minorEastAsia"/>
          <w:color w:val="auto"/>
          <w:sz w:val="52"/>
          <w:szCs w:val="52"/>
          <w:highlight w:val="none"/>
        </w:rPr>
        <w:t>南宁市政府采购</w:t>
      </w:r>
    </w:p>
    <w:p w14:paraId="2316A718">
      <w:pPr>
        <w:spacing w:before="165" w:beforeLines="50" w:line="360" w:lineRule="auto"/>
        <w:jc w:val="center"/>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公开招标文件（服务类）</w:t>
      </w:r>
    </w:p>
    <w:p w14:paraId="5CA15CEE">
      <w:pPr>
        <w:spacing w:before="165" w:beforeLines="50" w:line="360" w:lineRule="auto"/>
        <w:jc w:val="center"/>
        <w:rPr>
          <w:rFonts w:hint="eastAsia" w:asciiTheme="minorEastAsia" w:hAnsiTheme="minorEastAsia" w:eastAsiaTheme="minorEastAsia" w:cstheme="minorEastAsia"/>
          <w:b/>
          <w:color w:val="auto"/>
          <w:sz w:val="48"/>
          <w:szCs w:val="48"/>
          <w:highlight w:val="none"/>
        </w:rPr>
      </w:pPr>
    </w:p>
    <w:p w14:paraId="3EAB949E">
      <w:pPr>
        <w:spacing w:before="165" w:beforeLines="50" w:line="360" w:lineRule="auto"/>
        <w:jc w:val="center"/>
        <w:rPr>
          <w:rFonts w:hint="eastAsia" w:asciiTheme="minorEastAsia" w:hAnsiTheme="minorEastAsia" w:eastAsiaTheme="minorEastAsia" w:cstheme="minorEastAsia"/>
          <w:b/>
          <w:color w:val="auto"/>
          <w:sz w:val="48"/>
          <w:szCs w:val="48"/>
          <w:highlight w:val="none"/>
        </w:rPr>
      </w:pPr>
    </w:p>
    <w:p w14:paraId="0B6E324E">
      <w:pPr>
        <w:snapToGrid w:val="0"/>
        <w:spacing w:before="165" w:beforeLines="50" w:line="360" w:lineRule="auto"/>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招 标 文 件</w:t>
      </w:r>
    </w:p>
    <w:p w14:paraId="084F5927">
      <w:pPr>
        <w:snapToGrid w:val="0"/>
        <w:spacing w:before="165" w:beforeLines="50" w:line="360" w:lineRule="auto"/>
        <w:jc w:val="center"/>
        <w:rPr>
          <w:rFonts w:hint="eastAsia" w:asciiTheme="minorEastAsia" w:hAnsiTheme="minorEastAsia" w:eastAsiaTheme="minorEastAsia" w:cstheme="minorEastAsia"/>
          <w:color w:val="auto"/>
          <w:sz w:val="30"/>
          <w:szCs w:val="72"/>
          <w:highlight w:val="none"/>
        </w:rPr>
      </w:pPr>
      <w:r>
        <w:rPr>
          <w:rFonts w:hint="eastAsia" w:asciiTheme="minorEastAsia" w:hAnsiTheme="minorEastAsia" w:eastAsiaTheme="minorEastAsia" w:cstheme="minorEastAsia"/>
          <w:color w:val="auto"/>
          <w:sz w:val="30"/>
          <w:szCs w:val="72"/>
          <w:highlight w:val="none"/>
        </w:rPr>
        <w:t>（全流程电子化评标）</w:t>
      </w:r>
    </w:p>
    <w:p w14:paraId="7AEC1E03">
      <w:pPr>
        <w:snapToGrid w:val="0"/>
        <w:spacing w:before="165" w:beforeLines="50" w:line="360" w:lineRule="auto"/>
        <w:jc w:val="center"/>
        <w:rPr>
          <w:rFonts w:hint="eastAsia" w:asciiTheme="minorEastAsia" w:hAnsiTheme="minorEastAsia" w:eastAsiaTheme="minorEastAsia" w:cstheme="minorEastAsia"/>
          <w:color w:val="auto"/>
          <w:sz w:val="30"/>
          <w:szCs w:val="72"/>
          <w:highlight w:val="none"/>
        </w:rPr>
      </w:pPr>
    </w:p>
    <w:p w14:paraId="4EF7C12C">
      <w:pPr>
        <w:snapToGrid w:val="0"/>
        <w:spacing w:before="165" w:beforeLines="50" w:line="360" w:lineRule="auto"/>
        <w:jc w:val="center"/>
        <w:rPr>
          <w:rFonts w:hint="eastAsia" w:asciiTheme="minorEastAsia" w:hAnsiTheme="minorEastAsia" w:eastAsiaTheme="minorEastAsia" w:cstheme="minorEastAsia"/>
          <w:color w:val="auto"/>
          <w:sz w:val="30"/>
          <w:szCs w:val="72"/>
          <w:highlight w:val="none"/>
        </w:rPr>
      </w:pPr>
    </w:p>
    <w:p w14:paraId="7EAA89FC">
      <w:pPr>
        <w:snapToGrid w:val="0"/>
        <w:spacing w:before="165" w:beforeLines="50" w:line="360" w:lineRule="auto"/>
        <w:rPr>
          <w:rFonts w:hint="eastAsia" w:asciiTheme="minorEastAsia" w:hAnsiTheme="minorEastAsia" w:eastAsiaTheme="minorEastAsia" w:cstheme="minorEastAsia"/>
          <w:color w:val="auto"/>
          <w:sz w:val="30"/>
          <w:szCs w:val="72"/>
          <w:highlight w:val="none"/>
        </w:rPr>
      </w:pPr>
    </w:p>
    <w:p w14:paraId="53A89FDB">
      <w:pPr>
        <w:pStyle w:val="12"/>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项目名称：2026-2027年度横州市水库移民项目全过程工程咨询项目</w:t>
      </w:r>
    </w:p>
    <w:p w14:paraId="767AE9FC">
      <w:pPr>
        <w:pStyle w:val="12"/>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项目编号：NNZC2025-G3-270119-JGJD</w:t>
      </w:r>
    </w:p>
    <w:p w14:paraId="5426CE93">
      <w:pPr>
        <w:pStyle w:val="12"/>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项目所属区划：南宁市横州市</w:t>
      </w:r>
    </w:p>
    <w:p w14:paraId="52C16692">
      <w:pPr>
        <w:pStyle w:val="12"/>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采 购 人：横州市水库移民安置服务中心</w:t>
      </w:r>
    </w:p>
    <w:p w14:paraId="4EE968D4">
      <w:pPr>
        <w:pStyle w:val="12"/>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采购代理机构：</w:t>
      </w:r>
      <w:bookmarkStart w:id="0" w:name="PO_3000001866_PM031"/>
      <w:r>
        <w:rPr>
          <w:rFonts w:hint="eastAsia" w:asciiTheme="minorEastAsia" w:hAnsiTheme="minorEastAsia" w:eastAsiaTheme="minorEastAsia" w:cstheme="minorEastAsia"/>
          <w:b/>
          <w:bCs/>
          <w:color w:val="auto"/>
          <w:w w:val="95"/>
          <w:sz w:val="30"/>
          <w:szCs w:val="30"/>
          <w:highlight w:val="none"/>
        </w:rPr>
        <w:t>广西建设工程机电设备招标中心有限公司</w:t>
      </w:r>
      <w:bookmarkEnd w:id="0"/>
    </w:p>
    <w:p w14:paraId="5287AF91">
      <w:pPr>
        <w:pStyle w:val="12"/>
        <w:snapToGrid w:val="0"/>
        <w:spacing w:before="50" w:after="120" w:line="360" w:lineRule="auto"/>
        <w:ind w:firstLine="841" w:firstLineChars="294"/>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 xml:space="preserve">                </w:t>
      </w:r>
    </w:p>
    <w:p w14:paraId="60A425F8">
      <w:pPr>
        <w:pStyle w:val="12"/>
        <w:snapToGrid w:val="0"/>
        <w:spacing w:before="50" w:after="120" w:line="360" w:lineRule="auto"/>
        <w:jc w:val="center"/>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2025年8月</w:t>
      </w:r>
      <w:r>
        <w:rPr>
          <w:rFonts w:hint="eastAsia" w:asciiTheme="minorEastAsia" w:hAnsiTheme="minorEastAsia" w:eastAsiaTheme="minorEastAsia" w:cstheme="minorEastAsia"/>
          <w:b/>
          <w:bCs/>
          <w:color w:val="auto"/>
          <w:w w:val="95"/>
          <w:sz w:val="30"/>
          <w:szCs w:val="30"/>
          <w:highlight w:val="none"/>
          <w:lang w:val="en-US" w:eastAsia="zh-CN"/>
        </w:rPr>
        <w:t>15</w:t>
      </w:r>
      <w:r>
        <w:rPr>
          <w:rFonts w:hint="eastAsia" w:asciiTheme="minorEastAsia" w:hAnsiTheme="minorEastAsia" w:eastAsiaTheme="minorEastAsia" w:cstheme="minorEastAsia"/>
          <w:b/>
          <w:bCs/>
          <w:color w:val="auto"/>
          <w:w w:val="95"/>
          <w:sz w:val="30"/>
          <w:szCs w:val="30"/>
          <w:highlight w:val="none"/>
        </w:rPr>
        <w:t>日</w:t>
      </w:r>
    </w:p>
    <w:p w14:paraId="50C1A940">
      <w:pPr>
        <w:widowControl/>
        <w:spacing w:line="360" w:lineRule="auto"/>
        <w:jc w:val="left"/>
        <w:rPr>
          <w:rFonts w:hint="eastAsia" w:asciiTheme="minorEastAsia" w:hAnsiTheme="minorEastAsia" w:eastAsiaTheme="minorEastAsia" w:cstheme="minorEastAsia"/>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2C0D9A12">
      <w:pPr>
        <w:pStyle w:val="12"/>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7A5CE15E">
      <w:pPr>
        <w:pStyle w:val="16"/>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aps w:val="0"/>
          <w:color w:val="auto"/>
          <w:sz w:val="28"/>
          <w:szCs w:val="28"/>
          <w:highlight w:val="none"/>
        </w:rPr>
        <w:fldChar w:fldCharType="begin"/>
      </w:r>
      <w:r>
        <w:rPr>
          <w:rFonts w:hint="eastAsia" w:asciiTheme="minorEastAsia" w:hAnsiTheme="minorEastAsia" w:eastAsiaTheme="minorEastAsia" w:cstheme="minorEastAsia"/>
          <w:b w:val="0"/>
          <w:bCs w:val="0"/>
          <w:caps w:val="0"/>
          <w:color w:val="auto"/>
          <w:sz w:val="28"/>
          <w:szCs w:val="28"/>
          <w:highlight w:val="none"/>
        </w:rPr>
        <w:instrText xml:space="preserve"> TOC \o "1-3" \h \z \u </w:instrText>
      </w:r>
      <w:r>
        <w:rPr>
          <w:rFonts w:hint="eastAsia" w:asciiTheme="minorEastAsia" w:hAnsiTheme="minorEastAsia" w:eastAsiaTheme="minorEastAsia" w:cstheme="minorEastAsia"/>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"_Toc26972" </w:instrText>
      </w:r>
      <w:r>
        <w:rPr>
          <w:color w:val="auto"/>
          <w:highlight w:val="none"/>
        </w:rPr>
        <w:fldChar w:fldCharType="separate"/>
      </w:r>
      <w:r>
        <w:rPr>
          <w:rFonts w:hint="eastAsia" w:asciiTheme="minorEastAsia" w:hAnsiTheme="minorEastAsia" w:eastAsiaTheme="minorEastAsia" w:cstheme="minorEastAsia"/>
          <w:color w:val="auto"/>
          <w:highlight w:val="none"/>
        </w:rPr>
        <w:t>第一章  招标公告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_Toc26972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D31119F">
      <w:pPr>
        <w:pStyle w:val="16"/>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"_Toc4033" </w:instrText>
      </w:r>
      <w:r>
        <w:rPr>
          <w:color w:val="auto"/>
          <w:highlight w:val="none"/>
        </w:rPr>
        <w:fldChar w:fldCharType="separate"/>
      </w:r>
      <w:r>
        <w:rPr>
          <w:rFonts w:hint="eastAsia" w:asciiTheme="minorEastAsia" w:hAnsiTheme="minorEastAsia" w:eastAsiaTheme="minorEastAsia" w:cstheme="minorEastAsia"/>
          <w:color w:val="auto"/>
          <w:highlight w:val="none"/>
        </w:rPr>
        <w:t>第二章  采购需求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_Toc4033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41F2683">
      <w:pPr>
        <w:pStyle w:val="16"/>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"_Toc25544" </w:instrText>
      </w:r>
      <w:r>
        <w:rPr>
          <w:color w:val="auto"/>
          <w:highlight w:val="none"/>
        </w:rPr>
        <w:fldChar w:fldCharType="separate"/>
      </w:r>
      <w:r>
        <w:rPr>
          <w:rFonts w:hint="eastAsia" w:asciiTheme="minorEastAsia" w:hAnsiTheme="minorEastAsia" w:eastAsiaTheme="minorEastAsia" w:cstheme="minorEastAsia"/>
          <w:color w:val="auto"/>
          <w:highlight w:val="none"/>
        </w:rPr>
        <w:t>第三章  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_Toc25544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67125C5">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"_Toc7747"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第一节 投标人须知前附表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_Toc7747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206F111">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"_Toc26256" </w:instrText>
      </w:r>
      <w:r>
        <w:rPr>
          <w:color w:val="auto"/>
          <w:highlight w:val="none"/>
        </w:rPr>
        <w:fldChar w:fldCharType="separate"/>
      </w:r>
      <w:r>
        <w:rPr>
          <w:rFonts w:hint="eastAsia" w:asciiTheme="minorEastAsia" w:hAnsiTheme="minorEastAsia" w:eastAsiaTheme="minorEastAsia" w:cstheme="minorEastAsia"/>
          <w:color w:val="auto"/>
          <w:highlight w:val="none"/>
        </w:rPr>
        <w:t>第二节 投标人须知正文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_Toc26256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903241E">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"_Toc5147" </w:instrText>
      </w:r>
      <w:r>
        <w:rPr>
          <w:color w:val="auto"/>
          <w:highlight w:val="none"/>
        </w:rPr>
        <w:fldChar w:fldCharType="separate"/>
      </w:r>
      <w:r>
        <w:rPr>
          <w:rFonts w:hint="eastAsia" w:asciiTheme="minorEastAsia" w:hAnsiTheme="minorEastAsia" w:eastAsiaTheme="minorEastAsia" w:cstheme="minorEastAsia"/>
          <w:color w:val="auto"/>
          <w:highlight w:val="none"/>
        </w:rPr>
        <w:t>一、总  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A262F6C">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"_Toc28438" </w:instrText>
      </w:r>
      <w:r>
        <w:rPr>
          <w:color w:val="auto"/>
          <w:highlight w:val="none"/>
        </w:rPr>
        <w:fldChar w:fldCharType="separate"/>
      </w:r>
      <w:r>
        <w:rPr>
          <w:rFonts w:hint="eastAsia" w:asciiTheme="minorEastAsia" w:hAnsiTheme="minorEastAsia" w:eastAsiaTheme="minorEastAsia" w:cstheme="minorEastAsia"/>
          <w:color w:val="auto"/>
          <w:highlight w:val="none"/>
        </w:rPr>
        <w:t>二、招标文件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_Toc28438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78D1796">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"_Toc3710" </w:instrText>
      </w:r>
      <w:r>
        <w:rPr>
          <w:color w:val="auto"/>
          <w:highlight w:val="none"/>
        </w:rPr>
        <w:fldChar w:fldCharType="separate"/>
      </w:r>
      <w:r>
        <w:rPr>
          <w:rFonts w:hint="eastAsia" w:asciiTheme="minorEastAsia" w:hAnsiTheme="minorEastAsia" w:eastAsiaTheme="minorEastAsia" w:cstheme="minorEastAsia"/>
          <w:color w:val="auto"/>
          <w:highlight w:val="none"/>
        </w:rPr>
        <w:t>三、投标文件的编制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_Toc3710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3EE26E0">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"_Toc19885" </w:instrText>
      </w:r>
      <w:r>
        <w:rPr>
          <w:color w:val="auto"/>
          <w:highlight w:val="none"/>
        </w:rPr>
        <w:fldChar w:fldCharType="separate"/>
      </w:r>
      <w:r>
        <w:rPr>
          <w:rFonts w:hint="eastAsia" w:asciiTheme="minorEastAsia" w:hAnsiTheme="minorEastAsia" w:eastAsiaTheme="minorEastAsia" w:cstheme="minorEastAsia"/>
          <w:color w:val="auto"/>
          <w:highlight w:val="none"/>
        </w:rPr>
        <w:t>四、开    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_Toc19885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9CA1F40">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"_Toc27807" </w:instrText>
      </w:r>
      <w:r>
        <w:rPr>
          <w:color w:val="auto"/>
          <w:highlight w:val="none"/>
        </w:rPr>
        <w:fldChar w:fldCharType="separate"/>
      </w:r>
      <w:r>
        <w:rPr>
          <w:rFonts w:hint="eastAsia" w:asciiTheme="minorEastAsia" w:hAnsiTheme="minorEastAsia" w:eastAsiaTheme="minorEastAsia" w:cstheme="minorEastAsia"/>
          <w:color w:val="auto"/>
          <w:highlight w:val="none"/>
        </w:rPr>
        <w:t>五、资格审查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_Toc27807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6D10C87">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"_Toc7226" </w:instrText>
      </w:r>
      <w:r>
        <w:rPr>
          <w:color w:val="auto"/>
          <w:highlight w:val="none"/>
        </w:rPr>
        <w:fldChar w:fldCharType="separate"/>
      </w:r>
      <w:r>
        <w:rPr>
          <w:rFonts w:hint="eastAsia" w:asciiTheme="minorEastAsia" w:hAnsiTheme="minorEastAsia" w:eastAsiaTheme="minorEastAsia" w:cstheme="minorEastAsia"/>
          <w:color w:val="auto"/>
          <w:highlight w:val="none"/>
        </w:rPr>
        <w:t>六、评   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_Toc7226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C97B445">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"_Toc16966" </w:instrText>
      </w:r>
      <w:r>
        <w:rPr>
          <w:color w:val="auto"/>
          <w:highlight w:val="none"/>
        </w:rPr>
        <w:fldChar w:fldCharType="separate"/>
      </w:r>
      <w:r>
        <w:rPr>
          <w:rFonts w:hint="eastAsia" w:asciiTheme="minorEastAsia" w:hAnsiTheme="minorEastAsia" w:eastAsiaTheme="minorEastAsia" w:cstheme="minorEastAsia"/>
          <w:color w:val="auto"/>
          <w:highlight w:val="none"/>
        </w:rPr>
        <w:t>七、中标和合同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_Toc16966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42F3DC6">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"_Toc25336" </w:instrText>
      </w:r>
      <w:r>
        <w:rPr>
          <w:color w:val="auto"/>
          <w:highlight w:val="none"/>
        </w:rPr>
        <w:fldChar w:fldCharType="separate"/>
      </w:r>
      <w:r>
        <w:rPr>
          <w:rFonts w:hint="eastAsia" w:asciiTheme="minorEastAsia" w:hAnsiTheme="minorEastAsia" w:eastAsiaTheme="minorEastAsia" w:cstheme="minorEastAsia"/>
          <w:bCs/>
          <w:color w:val="auto"/>
          <w:szCs w:val="32"/>
          <w:highlight w:val="none"/>
        </w:rPr>
        <w:t>八、验收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_Toc25336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D1C1F3E">
      <w:pPr>
        <w:pStyle w:val="11"/>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"_Toc29710" </w:instrText>
      </w:r>
      <w:r>
        <w:rPr>
          <w:color w:val="auto"/>
          <w:highlight w:val="none"/>
        </w:rPr>
        <w:fldChar w:fldCharType="separate"/>
      </w:r>
      <w:r>
        <w:rPr>
          <w:rFonts w:hint="eastAsia" w:asciiTheme="minorEastAsia" w:hAnsiTheme="minorEastAsia" w:eastAsiaTheme="minorEastAsia" w:cstheme="minorEastAsia"/>
          <w:color w:val="auto"/>
          <w:highlight w:val="none"/>
        </w:rPr>
        <w:t>九、其他事项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_Toc29710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E57DDF3">
      <w:pPr>
        <w:pStyle w:val="16"/>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"_Toc9276" </w:instrText>
      </w:r>
      <w:r>
        <w:rPr>
          <w:color w:val="auto"/>
          <w:highlight w:val="none"/>
        </w:rPr>
        <w:fldChar w:fldCharType="separate"/>
      </w:r>
      <w:r>
        <w:rPr>
          <w:rFonts w:hint="eastAsia" w:asciiTheme="minorEastAsia" w:hAnsiTheme="minorEastAsia" w:eastAsiaTheme="minorEastAsia" w:cstheme="minorEastAsia"/>
          <w:color w:val="auto"/>
          <w:highlight w:val="none"/>
        </w:rPr>
        <w:t>第四章  评标方法及评分标准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_Toc9276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37DAB2C">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"_Toc29328"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第一节 评标方法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_Toc29328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73B262F">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"_Toc3945"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第二节 评标程序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_Toc3945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CA7F2CB">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"_Toc29713"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第三节 评分标准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_Toc29713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D60B602">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"_Toc23668"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第四节 中标候选人推荐原则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_Toc23668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EB105FF">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"_Toc18534"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第五节 评标报告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_Toc18534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5597283">
      <w:pPr>
        <w:pStyle w:val="16"/>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"_Toc7342" </w:instrText>
      </w:r>
      <w:r>
        <w:rPr>
          <w:color w:val="auto"/>
          <w:highlight w:val="none"/>
        </w:rPr>
        <w:fldChar w:fldCharType="separate"/>
      </w:r>
      <w:r>
        <w:rPr>
          <w:rFonts w:hint="eastAsia" w:asciiTheme="minorEastAsia" w:hAnsiTheme="minorEastAsia" w:eastAsiaTheme="minorEastAsia" w:cstheme="minorEastAsia"/>
          <w:color w:val="auto"/>
          <w:highlight w:val="none"/>
        </w:rPr>
        <w:t>第五章 拟签订的合同文本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_Toc7342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3B25F37">
      <w:pPr>
        <w:pStyle w:val="16"/>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"_Toc298" </w:instrText>
      </w:r>
      <w:r>
        <w:rPr>
          <w:color w:val="auto"/>
          <w:highlight w:val="none"/>
        </w:rPr>
        <w:fldChar w:fldCharType="separate"/>
      </w:r>
      <w:r>
        <w:rPr>
          <w:rFonts w:hint="eastAsia" w:asciiTheme="minorEastAsia" w:hAnsiTheme="minorEastAsia" w:eastAsiaTheme="minorEastAsia" w:cstheme="minorEastAsia"/>
          <w:color w:val="auto"/>
          <w:highlight w:val="none"/>
        </w:rPr>
        <w:t>第六章 投标文件格式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664B09B">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"_Toc29354"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第一节 投标文件外层包装封面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_Toc29354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97D213D">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"_Toc14463"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第二节 资格证明文件格式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_Toc14463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BEEB07C">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"_Toc29299"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第三节 商务文件格式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_Toc29299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C7ADAFC">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"_Toc21227"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第四节 技术文件格式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_Toc21227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2F91BC8">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"_Toc13435"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第五节 报价文件格式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_Toc13435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0ECDF11">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第六节 其他文书、文件格式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_Toc15635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FD146DB">
      <w:pPr>
        <w:pStyle w:val="16"/>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"_Toc14561" </w:instrText>
      </w:r>
      <w:r>
        <w:rPr>
          <w:color w:val="auto"/>
          <w:highlight w:val="none"/>
        </w:rPr>
        <w:fldChar w:fldCharType="separate"/>
      </w:r>
      <w:r>
        <w:rPr>
          <w:rFonts w:hint="eastAsia" w:asciiTheme="minorEastAsia" w:hAnsiTheme="minorEastAsia" w:eastAsiaTheme="minorEastAsia" w:cstheme="minorEastAsia"/>
          <w:color w:val="auto"/>
          <w:highlight w:val="none"/>
        </w:rPr>
        <w:t>第七章 质疑、投诉证明材料格式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_Toc14561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6807F76">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"_Toc27750" </w:instrText>
      </w:r>
      <w:r>
        <w:rPr>
          <w:color w:val="auto"/>
          <w:highlight w:val="none"/>
        </w:rPr>
        <w:fldChar w:fldCharType="separate"/>
      </w:r>
      <w:r>
        <w:rPr>
          <w:rFonts w:hint="eastAsia" w:asciiTheme="minorEastAsia" w:hAnsiTheme="minorEastAsia" w:eastAsiaTheme="minorEastAsia" w:cstheme="minorEastAsia"/>
          <w:bCs w:val="0"/>
          <w:color w:val="auto"/>
          <w:highlight w:val="none"/>
        </w:rPr>
        <w:t>第一节 质疑函（格式）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_Toc27750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4B11068">
      <w:pPr>
        <w:pStyle w:val="18"/>
        <w:tabs>
          <w:tab w:val="right" w:leader="dot" w:pos="9638"/>
        </w:tabs>
        <w:snapToGrid w:val="0"/>
        <w:spacing w:line="160" w:lineRule="atLeast"/>
        <w:rPr>
          <w:rFonts w:hint="eastAsia"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"_Toc26110" </w:instrText>
      </w:r>
      <w:r>
        <w:rPr>
          <w:color w:val="auto"/>
          <w:highlight w:val="none"/>
        </w:rPr>
        <w:fldChar w:fldCharType="separate"/>
      </w:r>
      <w:r>
        <w:rPr>
          <w:rFonts w:hint="eastAsia" w:asciiTheme="minorEastAsia" w:hAnsiTheme="minorEastAsia" w:eastAsiaTheme="minorEastAsia" w:cstheme="minorEastAsia"/>
          <w:bCs w:val="0"/>
          <w:color w:val="auto"/>
          <w:highlight w:val="none"/>
        </w:rPr>
        <w:t>第二节 投诉书（格式）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102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FBE8BC0">
      <w:pPr>
        <w:pStyle w:val="12"/>
        <w:snapToGrid w:val="0"/>
        <w:spacing w:line="160" w:lineRule="atLeast"/>
        <w:jc w:val="center"/>
        <w:outlineLvl w:val="0"/>
        <w:rPr>
          <w:rFonts w:hint="eastAsia" w:asciiTheme="minorEastAsia" w:hAnsiTheme="minorEastAsia" w:eastAsiaTheme="minorEastAsia" w:cstheme="minorEastAsia"/>
          <w:bCs/>
          <w:caps/>
          <w:color w:val="auto"/>
          <w:szCs w:val="28"/>
          <w:highlight w:val="none"/>
          <w:u w:val="single"/>
        </w:rPr>
      </w:pPr>
      <w:r>
        <w:rPr>
          <w:rFonts w:hint="eastAsia" w:asciiTheme="minorEastAsia" w:hAnsiTheme="minorEastAsia" w:eastAsiaTheme="minorEastAsia" w:cstheme="minorEastAsia"/>
          <w:bCs/>
          <w:caps/>
          <w:color w:val="auto"/>
          <w:szCs w:val="28"/>
          <w:highlight w:val="none"/>
          <w:u w:val="single"/>
        </w:rPr>
        <w:fldChar w:fldCharType="end"/>
      </w:r>
    </w:p>
    <w:p w14:paraId="54789032">
      <w:pPr>
        <w:rPr>
          <w:rFonts w:hint="eastAsia" w:asciiTheme="minorEastAsia" w:hAnsiTheme="minorEastAsia" w:eastAsiaTheme="minorEastAsia" w:cstheme="minorEastAsia"/>
          <w:bCs/>
          <w:caps/>
          <w:color w:val="auto"/>
          <w:szCs w:val="28"/>
          <w:highlight w:val="none"/>
          <w:u w:val="single"/>
        </w:rPr>
      </w:pPr>
      <w:r>
        <w:rPr>
          <w:rFonts w:hint="eastAsia" w:asciiTheme="minorEastAsia" w:hAnsiTheme="minorEastAsia" w:eastAsiaTheme="minorEastAsia" w:cstheme="minorEastAsia"/>
          <w:bCs/>
          <w:caps/>
          <w:color w:val="auto"/>
          <w:szCs w:val="28"/>
          <w:highlight w:val="none"/>
          <w:u w:val="single"/>
        </w:rPr>
        <w:br w:type="page"/>
      </w:r>
    </w:p>
    <w:p w14:paraId="70AA0414">
      <w:pPr>
        <w:pStyle w:val="12"/>
        <w:jc w:val="center"/>
        <w:outlineLvl w:val="0"/>
        <w:rPr>
          <w:rFonts w:hint="eastAsia" w:asciiTheme="minorEastAsia" w:hAnsiTheme="minorEastAsia" w:eastAsiaTheme="minorEastAsia" w:cstheme="minorEastAsia"/>
          <w:b/>
          <w:color w:val="auto"/>
          <w:sz w:val="36"/>
          <w:highlight w:val="none"/>
        </w:rPr>
      </w:pPr>
      <w:bookmarkStart w:id="1" w:name="_Toc26972"/>
      <w:r>
        <w:rPr>
          <w:rFonts w:hint="eastAsia" w:asciiTheme="minorEastAsia" w:hAnsiTheme="minorEastAsia" w:eastAsiaTheme="minorEastAsia" w:cstheme="minorEastAsia"/>
          <w:b/>
          <w:color w:val="auto"/>
          <w:sz w:val="36"/>
          <w:highlight w:val="none"/>
        </w:rPr>
        <w:t>第一章  招标公告</w:t>
      </w:r>
      <w:bookmarkEnd w:id="1"/>
    </w:p>
    <w:p w14:paraId="61209008">
      <w:pPr>
        <w:pStyle w:val="12"/>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公开招标公告</w:t>
      </w:r>
    </w:p>
    <w:p w14:paraId="343A8DB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14:paraId="703DD801">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2026-2027年度横州市水库移民项目全过程工程咨询项目  </w:t>
      </w:r>
      <w:r>
        <w:rPr>
          <w:rFonts w:hint="eastAsia" w:asciiTheme="minorEastAsia" w:hAnsiTheme="minorEastAsia" w:eastAsiaTheme="minorEastAsia" w:cstheme="minorEastAsia"/>
          <w:color w:val="auto"/>
          <w:szCs w:val="21"/>
          <w:highlight w:val="none"/>
        </w:rPr>
        <w:t>招标项目的潜在投标人应在广西政府采购云平台（https://www.gcy.zfcg.gxzf.gov.cn/）获取（下载）招标文件，并于</w:t>
      </w:r>
      <w:bookmarkStart w:id="2" w:name="PO_3000001866_PM015"/>
      <w:r>
        <w:rPr>
          <w:rFonts w:hint="eastAsia" w:asciiTheme="minorEastAsia" w:hAnsiTheme="minorEastAsia" w:eastAsiaTheme="minorEastAsia" w:cstheme="minorEastAsia"/>
          <w:color w:val="auto"/>
          <w:szCs w:val="21"/>
          <w:highlight w:val="none"/>
          <w:u w:val="single"/>
        </w:rPr>
        <w:t>2025年</w:t>
      </w:r>
      <w:r>
        <w:rPr>
          <w:rFonts w:hint="eastAsia" w:asciiTheme="minorEastAsia" w:hAnsiTheme="minorEastAsia" w:eastAsiaTheme="minorEastAsia" w:cstheme="minorEastAsia"/>
          <w:color w:val="auto"/>
          <w:szCs w:val="21"/>
          <w:highlight w:val="none"/>
          <w:u w:val="single"/>
          <w:lang w:val="en-US" w:eastAsia="zh-CN"/>
        </w:rPr>
        <w:t>9</w:t>
      </w:r>
      <w:r>
        <w:rPr>
          <w:rFonts w:hint="eastAsia" w:asciiTheme="minorEastAsia" w:hAnsiTheme="minorEastAsia" w:eastAsiaTheme="minorEastAsia" w:cstheme="minorEastAsia"/>
          <w:color w:val="auto"/>
          <w:szCs w:val="21"/>
          <w:highlight w:val="none"/>
          <w:u w:val="single"/>
        </w:rPr>
        <w:t>月</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u w:val="single"/>
        </w:rPr>
        <w:t xml:space="preserve">日上午9时30分 </w:t>
      </w:r>
      <w:bookmarkEnd w:id="2"/>
      <w:r>
        <w:rPr>
          <w:rFonts w:hint="eastAsia" w:asciiTheme="minorEastAsia" w:hAnsiTheme="minorEastAsia" w:eastAsiaTheme="minorEastAsia" w:cstheme="minorEastAsia"/>
          <w:bCs/>
          <w:color w:val="auto"/>
          <w:szCs w:val="21"/>
          <w:highlight w:val="none"/>
        </w:rPr>
        <w:t>（北京时间）前</w:t>
      </w:r>
      <w:r>
        <w:rPr>
          <w:rFonts w:hint="eastAsia" w:asciiTheme="minorEastAsia" w:hAnsiTheme="minorEastAsia" w:eastAsiaTheme="minorEastAsia" w:cstheme="minorEastAsia"/>
          <w:color w:val="auto"/>
          <w:szCs w:val="21"/>
          <w:highlight w:val="none"/>
        </w:rPr>
        <w:t>递交（上传）投标文件。</w:t>
      </w:r>
    </w:p>
    <w:p w14:paraId="2B336F67">
      <w:pPr>
        <w:spacing w:line="380" w:lineRule="exact"/>
        <w:ind w:firstLine="211" w:firstLineChars="100"/>
        <w:rPr>
          <w:rFonts w:hint="eastAsia" w:asciiTheme="minorEastAsia" w:hAnsiTheme="minorEastAsia" w:eastAsiaTheme="minorEastAsia" w:cstheme="minorEastAsia"/>
          <w:b/>
          <w:bCs/>
          <w:color w:val="auto"/>
          <w:sz w:val="24"/>
          <w:highlight w:val="none"/>
        </w:rPr>
      </w:pPr>
      <w:bookmarkStart w:id="3" w:name="_Toc28359079"/>
      <w:bookmarkStart w:id="4" w:name="_Toc35393790"/>
      <w:bookmarkStart w:id="5" w:name="_Toc35393621"/>
      <w:bookmarkStart w:id="6" w:name="_Toc28359002"/>
      <w:bookmarkStart w:id="7" w:name="_Hlk24379207"/>
      <w:r>
        <w:rPr>
          <w:rFonts w:hint="eastAsia" w:asciiTheme="minorEastAsia" w:hAnsiTheme="minorEastAsia" w:eastAsiaTheme="minorEastAsia" w:cstheme="minorEastAsia"/>
          <w:b/>
          <w:bCs/>
          <w:color w:val="auto"/>
          <w:szCs w:val="21"/>
          <w:highlight w:val="none"/>
        </w:rPr>
        <w:t>一、项目基本情况</w:t>
      </w:r>
      <w:bookmarkEnd w:id="3"/>
      <w:bookmarkEnd w:id="4"/>
      <w:bookmarkEnd w:id="5"/>
      <w:bookmarkEnd w:id="6"/>
    </w:p>
    <w:p w14:paraId="4DEB27D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项目编号：NNZC2025-G3-270119-JGJD</w:t>
      </w:r>
    </w:p>
    <w:p w14:paraId="5E0A6B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项目名称：2026-2027年度横州市水库移民项目全过程工程咨询项目</w:t>
      </w:r>
    </w:p>
    <w:bookmarkEnd w:id="7"/>
    <w:p w14:paraId="28CE29DF">
      <w:pPr>
        <w:spacing w:line="360" w:lineRule="auto"/>
        <w:ind w:firstLine="420" w:firstLineChars="200"/>
        <w:rPr>
          <w:rFonts w:hint="default"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rPr>
        <w:t>预算总金额（元）：</w:t>
      </w:r>
      <w:r>
        <w:rPr>
          <w:rFonts w:hint="eastAsia" w:asciiTheme="minorEastAsia" w:hAnsiTheme="minorEastAsia" w:eastAsiaTheme="minorEastAsia" w:cstheme="minorEastAsia"/>
          <w:color w:val="auto"/>
          <w:szCs w:val="21"/>
          <w:highlight w:val="none"/>
          <w:lang w:val="en-US" w:eastAsia="zh-CN"/>
        </w:rPr>
        <w:t>3000000</w:t>
      </w:r>
    </w:p>
    <w:p w14:paraId="243D8B6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w:t>
      </w:r>
      <w:bookmarkStart w:id="8" w:name="PO_3000001866_PM004"/>
      <w:r>
        <w:rPr>
          <w:rFonts w:hint="eastAsia" w:asciiTheme="minorEastAsia" w:hAnsiTheme="minorEastAsia" w:eastAsiaTheme="minorEastAsia" w:cstheme="minorEastAsia"/>
          <w:color w:val="auto"/>
          <w:szCs w:val="21"/>
          <w:highlight w:val="none"/>
        </w:rPr>
        <w:t xml:space="preserve"> </w:t>
      </w:r>
    </w:p>
    <w:bookmarkEnd w:id="8"/>
    <w:p w14:paraId="1A51D69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标项名称:2026-2027年度横州市水库移民项目全过程工程咨询项目</w:t>
      </w:r>
    </w:p>
    <w:p w14:paraId="369DB7A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数量:1</w:t>
      </w:r>
    </w:p>
    <w:p w14:paraId="592CD7B3">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预算金额（元）:</w:t>
      </w:r>
      <w:r>
        <w:rPr>
          <w:rFonts w:hint="eastAsia" w:asciiTheme="minorEastAsia" w:hAnsiTheme="minorEastAsia" w:eastAsiaTheme="minorEastAsia" w:cstheme="minorEastAsia"/>
          <w:color w:val="auto"/>
          <w:szCs w:val="21"/>
          <w:highlight w:val="none"/>
          <w:lang w:val="en-US" w:eastAsia="zh-CN"/>
        </w:rPr>
        <w:t>3000000</w:t>
      </w:r>
    </w:p>
    <w:p w14:paraId="0DC5738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简要规格描述或项目基本概况介绍、用途：</w:t>
      </w:r>
    </w:p>
    <w:p w14:paraId="7511B4C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2026-2027年度横州市水库移民项目全过程工程咨询项目服务范围为2026-2027年度横州市水库移民项目规划编制、项目可行性研究报告编制、工程设计（实施方案编制/初步设计、施工图设计）、工程勘察（地形测量、地质勘察）及项目管理。涉及移民产业发展、人居环境整治、交通与农田水利基础设施、公共服务设施、园林绿化景观建设及移民美丽家园示范片打造等项目。具体详见招标文件第二章《采购需求》。</w:t>
      </w:r>
    </w:p>
    <w:p w14:paraId="5C655B1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合同履约期限：</w:t>
      </w:r>
      <w:r>
        <w:rPr>
          <w:rFonts w:hint="eastAsia" w:ascii="宋体" w:hAnsi="宋体"/>
          <w:color w:val="auto"/>
          <w:szCs w:val="21"/>
          <w:highlight w:val="none"/>
        </w:rPr>
        <w:t>自签订合同之日起至</w:t>
      </w:r>
      <w:r>
        <w:rPr>
          <w:rFonts w:hint="eastAsia" w:asciiTheme="minorEastAsia" w:hAnsiTheme="minorEastAsia" w:eastAsiaTheme="minorEastAsia" w:cstheme="minorEastAsia"/>
          <w:color w:val="auto"/>
          <w:szCs w:val="21"/>
          <w:highlight w:val="none"/>
        </w:rPr>
        <w:t>2026-2027</w:t>
      </w:r>
      <w:r>
        <w:rPr>
          <w:rFonts w:hint="eastAsia" w:ascii="宋体" w:hAnsi="宋体"/>
          <w:color w:val="auto"/>
          <w:szCs w:val="21"/>
          <w:highlight w:val="none"/>
        </w:rPr>
        <w:t>年度横州市水库移民项目横州市级竣工验收完成后、施工保修期结束止</w:t>
      </w:r>
      <w:r>
        <w:rPr>
          <w:rFonts w:hint="eastAsia" w:asciiTheme="minorEastAsia" w:hAnsiTheme="minorEastAsia" w:eastAsiaTheme="minorEastAsia" w:cstheme="minorEastAsia"/>
          <w:color w:val="auto"/>
          <w:szCs w:val="21"/>
          <w:highlight w:val="none"/>
        </w:rPr>
        <w:t>。</w:t>
      </w:r>
    </w:p>
    <w:p w14:paraId="4325E435">
      <w:pPr>
        <w:spacing w:line="360" w:lineRule="auto"/>
        <w:ind w:firstLine="420" w:firstLineChars="200"/>
        <w:rPr>
          <w:rFonts w:hint="eastAsia" w:asciiTheme="minorEastAsia" w:hAnsiTheme="minorEastAsia" w:cstheme="minorEastAsia"/>
          <w:b/>
          <w:bCs/>
          <w:color w:val="auto"/>
          <w:szCs w:val="21"/>
          <w:highlight w:val="none"/>
        </w:rPr>
      </w:pPr>
      <w:r>
        <w:rPr>
          <w:rFonts w:hint="eastAsia" w:ascii="宋体" w:hAnsi="宋体"/>
          <w:color w:val="auto"/>
          <w:szCs w:val="21"/>
          <w:highlight w:val="none"/>
        </w:rPr>
        <w:t>本项目是否接受联合体投标：☑是/□否。</w:t>
      </w:r>
    </w:p>
    <w:p w14:paraId="6A3E45AB">
      <w:pPr>
        <w:spacing w:line="380" w:lineRule="exact"/>
        <w:rPr>
          <w:rFonts w:hint="eastAsia" w:asciiTheme="minorEastAsia" w:hAnsiTheme="minorEastAsia" w:eastAsiaTheme="minorEastAsia" w:cstheme="minorEastAsia"/>
          <w:b/>
          <w:bCs/>
          <w:color w:val="auto"/>
          <w:sz w:val="24"/>
          <w:highlight w:val="none"/>
        </w:rPr>
      </w:pPr>
      <w:bookmarkStart w:id="9" w:name="_Toc35393622"/>
      <w:bookmarkStart w:id="10" w:name="_Toc28359080"/>
      <w:bookmarkStart w:id="11" w:name="_Toc35393791"/>
      <w:bookmarkStart w:id="12" w:name="_Toc28359003"/>
      <w:r>
        <w:rPr>
          <w:rFonts w:hint="eastAsia" w:asciiTheme="minorEastAsia" w:hAnsiTheme="minorEastAsia" w:eastAsiaTheme="minorEastAsia" w:cstheme="minorEastAsia"/>
          <w:b/>
          <w:bCs/>
          <w:color w:val="auto"/>
          <w:szCs w:val="21"/>
          <w:highlight w:val="none"/>
        </w:rPr>
        <w:t>二、投标人的资格要求：</w:t>
      </w:r>
      <w:bookmarkEnd w:id="9"/>
      <w:bookmarkEnd w:id="10"/>
      <w:bookmarkEnd w:id="11"/>
      <w:bookmarkEnd w:id="12"/>
    </w:p>
    <w:p w14:paraId="3DE8440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63B9D4F5">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13" w:name="_Toc28359081"/>
      <w:bookmarkStart w:id="14" w:name="_Toc28359004"/>
      <w:r>
        <w:rPr>
          <w:rFonts w:hint="eastAsia" w:asciiTheme="minorEastAsia" w:hAnsiTheme="minorEastAsia" w:eastAsiaTheme="minorEastAsia" w:cstheme="minorEastAsia"/>
          <w:color w:val="auto"/>
          <w:szCs w:val="21"/>
          <w:highlight w:val="none"/>
        </w:rPr>
        <w:t>2.落实政府采购政策需满足的资格要求：</w:t>
      </w:r>
    </w:p>
    <w:p w14:paraId="0AAEB1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□专门面向中小企业采购的项目（供应商应为中小微企业、监狱企业、残疾人福利性单位)</w:t>
      </w:r>
    </w:p>
    <w:p w14:paraId="07278BC7">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☑非专门面向中小企业采购的项目</w:t>
      </w:r>
    </w:p>
    <w:p w14:paraId="7855902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p>
    <w:p w14:paraId="7F9BD8C1">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本次招标要求投标人须具备工程设计建筑行业（建筑工程）乙级、风景园林工程专项乙级、水利行业乙级、公路行业公路专业乙级及以上资质或工程设计综合资质甲级；具备工程勘察岩土工程专业（岩土工程勘察）乙级及以上资质或工程勘察综合资质甲级。</w:t>
      </w:r>
    </w:p>
    <w:p w14:paraId="4D5D39EB">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w:t>
      </w:r>
      <w:r>
        <w:rPr>
          <w:rFonts w:hint="eastAsia" w:asciiTheme="minorEastAsia" w:hAnsiTheme="minorEastAsia" w:eastAsiaTheme="minorEastAsia" w:cstheme="minorEastAsia"/>
          <w:b/>
          <w:bCs/>
          <w:color w:val="auto"/>
          <w:szCs w:val="21"/>
          <w:highlight w:val="none"/>
          <w:lang w:eastAsia="zh-CN"/>
        </w:rPr>
        <w:t>投标人须具备“全国投资项目在线审批监管平台”备案的公路、水利水电、建筑、市政公用工程咨询专业资质且咨询服务范围包括全过程工程咨询；或被列入国家住房和城乡建设部公布的试点企业名单或广西全过程工程咨询试点企业资质</w:t>
      </w:r>
      <w:r>
        <w:rPr>
          <w:rFonts w:hint="eastAsia" w:asciiTheme="minorEastAsia" w:hAnsiTheme="minorEastAsia" w:eastAsiaTheme="minorEastAsia" w:cstheme="minorEastAsia"/>
          <w:b/>
          <w:bCs/>
          <w:color w:val="auto"/>
          <w:szCs w:val="21"/>
          <w:highlight w:val="none"/>
        </w:rPr>
        <w:t>。</w:t>
      </w:r>
    </w:p>
    <w:p w14:paraId="5F38A9F7">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（3）投标人项目负责人的资格要求：具有高级或高级以上技术职称，且具有注册咨询工程师执业资格。</w:t>
      </w:r>
    </w:p>
    <w:p w14:paraId="45287E0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4.本项目的特定条件：无</w:t>
      </w:r>
    </w:p>
    <w:p w14:paraId="12ED013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D9DC43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bookmarkEnd w:id="13"/>
    <w:bookmarkEnd w:id="14"/>
    <w:p w14:paraId="27E5EDE9">
      <w:pPr>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三、获取招标文件</w:t>
      </w:r>
    </w:p>
    <w:p w14:paraId="27FCAA35">
      <w:pPr>
        <w:snapToGrid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时间：自公告发布之日起。</w:t>
      </w:r>
    </w:p>
    <w:p w14:paraId="56BB44FE">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地点：广西政府采购云平台（https://www.gcy.zfcg.gxzf.gov.cn/）</w:t>
      </w:r>
    </w:p>
    <w:p w14:paraId="6858CEA9">
      <w:pPr>
        <w:spacing w:line="380" w:lineRule="exact"/>
        <w:ind w:firstLine="420"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2877EEFE">
      <w:pPr>
        <w:snapToGrid w:val="0"/>
        <w:spacing w:line="380" w:lineRule="exact"/>
        <w:ind w:firstLine="472" w:firstLineChars="2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6AF98D77">
      <w:pPr>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四、提交投标文件截止时间、开标时间和地点</w:t>
      </w:r>
    </w:p>
    <w:p w14:paraId="79E7FF3E">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1.提交投标文件截止时间和开标时间：2025年</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5</w:t>
      </w:r>
      <w:r>
        <w:rPr>
          <w:rFonts w:hint="eastAsia" w:asciiTheme="minorEastAsia" w:hAnsiTheme="minorEastAsia" w:eastAsiaTheme="minorEastAsia" w:cstheme="minorEastAsia"/>
          <w:bCs/>
          <w:color w:val="auto"/>
          <w:szCs w:val="21"/>
          <w:highlight w:val="none"/>
        </w:rPr>
        <w:t>日上午9时30分（北京时间）</w:t>
      </w:r>
    </w:p>
    <w:p w14:paraId="172E525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2.投标和开标地点：</w:t>
      </w:r>
    </w:p>
    <w:p w14:paraId="61E79E20">
      <w:pPr>
        <w:snapToGrid w:val="0"/>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投标地点：广西政府采购云平台（https://www.gcy.zfcg.gxzf.gov.cn/）</w:t>
      </w:r>
    </w:p>
    <w:p w14:paraId="3FAC5864">
      <w:pPr>
        <w:snapToGrid w:val="0"/>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开标地点：广西政府采购云平台电子开标大厅</w:t>
      </w:r>
    </w:p>
    <w:p w14:paraId="53037BEB">
      <w:pPr>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五、公告期限</w:t>
      </w:r>
    </w:p>
    <w:p w14:paraId="5AF1D285">
      <w:pPr>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自本公告发布之日起5个工作日。</w:t>
      </w:r>
    </w:p>
    <w:p w14:paraId="1C183CCA">
      <w:pPr>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六、其他补充事宜</w:t>
      </w:r>
    </w:p>
    <w:p w14:paraId="7A0350D9">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1.投标保证金：本项目不收取投标保证金</w:t>
      </w:r>
    </w:p>
    <w:p w14:paraId="65500A10">
      <w:pPr>
        <w:spacing w:line="380" w:lineRule="exact"/>
        <w:ind w:firstLine="315" w:firstLineChars="15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2.采购意向公开链接：http://zfcg.gxzf.gov.cn/luban/detail?parentId=66601&amp;articleId=ann_0MvqbolnT0G2wSpPr4tUI9D5ndTMr3NGt5TILBJnhQo=&amp;utm=web-micro-app-back-front.61da9a18.cPlanInfo.2.da21a9a0711011f09f27b14817a9c61f</w:t>
      </w:r>
    </w:p>
    <w:p w14:paraId="0E88AE8B">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3.网上查询地址</w:t>
      </w:r>
      <w:bookmarkStart w:id="15" w:name="PO_3000001867_PM023"/>
    </w:p>
    <w:p w14:paraId="1F207C84">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中国政府采购网（http://www.ccgp.gov.cn）,广西壮族自治区政府采购网（http://zfcg.gxzf.gov.cn）, 全国公共资源交易平台（广西.南宁）（http://ggzy.jgswj.gxzf.gov.cn/nnggzy/）、</w:t>
      </w:r>
      <w:r>
        <w:rPr>
          <w:rFonts w:hint="eastAsia" w:asciiTheme="minorEastAsia" w:hAnsiTheme="minorEastAsia" w:eastAsiaTheme="minorEastAsia" w:cstheme="minorEastAsia"/>
          <w:color w:val="auto"/>
          <w:szCs w:val="21"/>
          <w:highlight w:val="none"/>
        </w:rPr>
        <w:t>广西招标网（http://www.guangxibid.com.cn/）</w:t>
      </w:r>
    </w:p>
    <w:p w14:paraId="368443A1">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kern w:val="0"/>
          <w:szCs w:val="21"/>
          <w:highlight w:val="none"/>
        </w:rPr>
        <w:t>本项目需要落实的政府采购政策：</w:t>
      </w:r>
    </w:p>
    <w:p w14:paraId="02D1AE37">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0DC49BBD">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595A5F1B">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47128D21">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1C370552">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bookmarkEnd w:id="15"/>
    </w:p>
    <w:p w14:paraId="24B709AC">
      <w:pPr>
        <w:spacing w:line="36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5.投标人投标注意事项</w:t>
      </w:r>
    </w:p>
    <w:p w14:paraId="3E1B3A83">
      <w:pPr>
        <w:spacing w:line="36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3E63625C">
      <w:pPr>
        <w:spacing w:line="36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70B4051D">
      <w:pPr>
        <w:spacing w:line="36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4E1E6720">
      <w:pPr>
        <w:spacing w:line="380" w:lineRule="exact"/>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34A23E6A">
      <w:pPr>
        <w:spacing w:line="380" w:lineRule="exact"/>
        <w:rPr>
          <w:rFonts w:hint="eastAsia" w:asciiTheme="minorEastAsia" w:hAnsiTheme="minorEastAsia" w:eastAsiaTheme="minorEastAsia" w:cstheme="minorEastAsia"/>
          <w:b/>
          <w:bCs/>
          <w:color w:val="auto"/>
          <w:szCs w:val="21"/>
          <w:highlight w:val="none"/>
        </w:rPr>
      </w:pPr>
      <w:bookmarkStart w:id="16" w:name="_Toc28359085"/>
      <w:bookmarkStart w:id="17" w:name="_Toc28359008"/>
      <w:bookmarkStart w:id="18" w:name="_Toc35393627"/>
      <w:bookmarkStart w:id="19" w:name="_Toc35393796"/>
      <w:r>
        <w:rPr>
          <w:rFonts w:hint="eastAsia" w:asciiTheme="minorEastAsia" w:hAnsiTheme="minorEastAsia" w:eastAsiaTheme="minorEastAsia" w:cstheme="minorEastAsia"/>
          <w:b/>
          <w:bCs/>
          <w:color w:val="auto"/>
          <w:szCs w:val="21"/>
          <w:highlight w:val="none"/>
        </w:rPr>
        <w:t>七、对本次招标提出询问，请按以下方式联系</w:t>
      </w:r>
    </w:p>
    <w:p w14:paraId="34569E79">
      <w:pPr>
        <w:spacing w:line="380" w:lineRule="exact"/>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14:paraId="1A7A5AFD">
      <w:pPr>
        <w:spacing w:line="360" w:lineRule="exact"/>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称：横州市水库移民安置服务中心</w:t>
      </w:r>
    </w:p>
    <w:p w14:paraId="7E3C3556">
      <w:pPr>
        <w:spacing w:line="360" w:lineRule="exact"/>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地址：南宁市横州市横州镇环城西路177号</w:t>
      </w:r>
    </w:p>
    <w:p w14:paraId="74D18CEC">
      <w:pPr>
        <w:spacing w:line="360" w:lineRule="exact"/>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项目联系人：黄家仅</w:t>
      </w:r>
    </w:p>
    <w:p w14:paraId="68B7C795">
      <w:pPr>
        <w:spacing w:line="360" w:lineRule="exact"/>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联系电话：0771-7226038</w:t>
      </w:r>
    </w:p>
    <w:p w14:paraId="69280418">
      <w:pPr>
        <w:spacing w:line="380" w:lineRule="exact"/>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732DA0A2">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bookmarkStart w:id="20" w:name="PO_3000001868_PM031_1"/>
      <w:r>
        <w:rPr>
          <w:rFonts w:hint="eastAsia" w:asciiTheme="minorEastAsia" w:hAnsiTheme="minorEastAsia" w:eastAsiaTheme="minorEastAsia" w:cstheme="minorEastAsia"/>
          <w:color w:val="auto"/>
          <w:szCs w:val="21"/>
          <w:highlight w:val="none"/>
        </w:rPr>
        <w:t>广西建设工程机电设备招标中心有限公司</w:t>
      </w:r>
      <w:bookmarkEnd w:id="20"/>
    </w:p>
    <w:p w14:paraId="53B295A9">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址：南宁市青秀区枫林路18号广西国控集团（枫林路办公区）裙楼三层</w:t>
      </w:r>
    </w:p>
    <w:p w14:paraId="71DA65F3">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项目联系人：罗雷、韦吉 </w:t>
      </w:r>
    </w:p>
    <w:p w14:paraId="6098724D">
      <w:pPr>
        <w:shd w:val="clear" w:color="auto" w:fill="FFFFFF"/>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bookmarkStart w:id="21" w:name="PO_3000001868_PM033"/>
      <w:r>
        <w:rPr>
          <w:rFonts w:hint="eastAsia" w:asciiTheme="minorEastAsia" w:hAnsiTheme="minorEastAsia" w:eastAsiaTheme="minorEastAsia" w:cstheme="minorEastAsia"/>
          <w:color w:val="auto"/>
          <w:szCs w:val="21"/>
          <w:highlight w:val="none"/>
        </w:rPr>
        <w:t>0771-2869912</w:t>
      </w:r>
      <w:bookmarkEnd w:id="21"/>
    </w:p>
    <w:bookmarkEnd w:id="16"/>
    <w:bookmarkEnd w:id="17"/>
    <w:bookmarkEnd w:id="18"/>
    <w:bookmarkEnd w:id="19"/>
    <w:p w14:paraId="7C45C790">
      <w:pPr>
        <w:spacing w:line="360" w:lineRule="auto"/>
        <w:rPr>
          <w:rFonts w:hint="eastAsia" w:asciiTheme="minorEastAsia" w:hAnsiTheme="minorEastAsia" w:eastAsiaTheme="minorEastAsia" w:cstheme="minorEastAsia"/>
          <w:color w:val="auto"/>
          <w:szCs w:val="21"/>
          <w:highlight w:val="none"/>
        </w:rPr>
      </w:pPr>
    </w:p>
    <w:p w14:paraId="489E05AC">
      <w:pPr>
        <w:spacing w:line="360" w:lineRule="auto"/>
        <w:jc w:val="right"/>
        <w:rPr>
          <w:rFonts w:hint="eastAsia" w:asciiTheme="minorEastAsia" w:hAnsiTheme="minorEastAsia" w:eastAsiaTheme="minorEastAsia" w:cstheme="minorEastAsia"/>
          <w:color w:val="auto"/>
          <w:szCs w:val="21"/>
          <w:highlight w:val="none"/>
        </w:rPr>
      </w:pPr>
      <w:bookmarkStart w:id="22" w:name="PO_3000001866_PM031_2"/>
      <w:r>
        <w:rPr>
          <w:rFonts w:hint="eastAsia" w:asciiTheme="minorEastAsia" w:hAnsiTheme="minorEastAsia" w:eastAsiaTheme="minorEastAsia" w:cstheme="minorEastAsia"/>
          <w:color w:val="auto"/>
          <w:szCs w:val="21"/>
          <w:highlight w:val="none"/>
          <w:u w:val="single"/>
        </w:rPr>
        <w:t>广西建设工程机电设备招标中心有限公司</w:t>
      </w:r>
      <w:bookmarkEnd w:id="22"/>
    </w:p>
    <w:p w14:paraId="2BE6C0BD">
      <w:pPr>
        <w:spacing w:line="360" w:lineRule="auto"/>
        <w:ind w:firstLine="210" w:firstLineChars="10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u w:val="single"/>
        </w:rPr>
        <w:t>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8</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15</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177F9C5C">
      <w:pPr>
        <w:widowControl/>
        <w:spacing w:line="360" w:lineRule="auto"/>
        <w:jc w:val="left"/>
        <w:rPr>
          <w:rFonts w:hint="eastAsia" w:asciiTheme="minorEastAsia" w:hAnsiTheme="minorEastAsia" w:eastAsiaTheme="minorEastAsia" w:cstheme="minorEastAsia"/>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14:paraId="39427BAF">
      <w:pPr>
        <w:pStyle w:val="12"/>
        <w:jc w:val="center"/>
        <w:outlineLvl w:val="0"/>
        <w:rPr>
          <w:rFonts w:hint="eastAsia" w:asciiTheme="minorEastAsia" w:hAnsiTheme="minorEastAsia" w:eastAsiaTheme="minorEastAsia" w:cstheme="minorEastAsia"/>
          <w:b/>
          <w:color w:val="auto"/>
          <w:sz w:val="36"/>
          <w:highlight w:val="none"/>
        </w:rPr>
      </w:pPr>
      <w:bookmarkStart w:id="23" w:name="_Toc532545042"/>
      <w:bookmarkStart w:id="24" w:name="_Toc4033"/>
      <w:r>
        <w:rPr>
          <w:rFonts w:hint="eastAsia" w:asciiTheme="minorEastAsia" w:hAnsiTheme="minorEastAsia" w:eastAsiaTheme="minorEastAsia" w:cstheme="minorEastAsia"/>
          <w:b/>
          <w:color w:val="auto"/>
          <w:sz w:val="36"/>
          <w:highlight w:val="none"/>
        </w:rPr>
        <w:t xml:space="preserve">第二章  </w:t>
      </w:r>
      <w:bookmarkEnd w:id="23"/>
      <w:r>
        <w:rPr>
          <w:rFonts w:hint="eastAsia" w:asciiTheme="minorEastAsia" w:hAnsiTheme="minorEastAsia" w:eastAsiaTheme="minorEastAsia" w:cstheme="minorEastAsia"/>
          <w:b/>
          <w:color w:val="auto"/>
          <w:sz w:val="36"/>
          <w:highlight w:val="none"/>
        </w:rPr>
        <w:t>采购需求</w:t>
      </w:r>
      <w:bookmarkEnd w:id="24"/>
    </w:p>
    <w:p w14:paraId="7F5FBAE7">
      <w:pPr>
        <w:adjustRightInd w:val="0"/>
        <w:spacing w:line="340" w:lineRule="exact"/>
        <w:rPr>
          <w:rFonts w:hint="eastAsia" w:asciiTheme="minorEastAsia" w:hAnsiTheme="minorEastAsia" w:eastAsiaTheme="minorEastAsia" w:cstheme="minorEastAsia"/>
          <w:b/>
          <w:color w:val="auto"/>
          <w:szCs w:val="21"/>
          <w:highlight w:val="none"/>
        </w:rPr>
      </w:pPr>
    </w:p>
    <w:p w14:paraId="79DECD42">
      <w:pPr>
        <w:adjustRightInd w:val="0"/>
        <w:spacing w:line="34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说明：</w:t>
      </w:r>
    </w:p>
    <w:p w14:paraId="0716279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为落实政府采购政策需满足的要求（根据项目实际情况填写内容）</w:t>
      </w:r>
    </w:p>
    <w:p w14:paraId="408411B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（1）本招标文件所称中小企业必须符合《政府采购促进中小企业发展管理办法》（财库〔2020〕46号）的规定。</w:t>
      </w:r>
    </w:p>
    <w:p w14:paraId="0CF2C30C">
      <w:pPr>
        <w:spacing w:line="360" w:lineRule="auto"/>
        <w:ind w:firstLine="424" w:firstLineChars="20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143EBA2D">
      <w:pPr>
        <w:spacing w:line="360" w:lineRule="auto"/>
        <w:ind w:firstLine="424" w:firstLineChars="202"/>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
          <w:color w:val="auto"/>
          <w:szCs w:val="21"/>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2E5A41AE">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2.“实质性要求”是指招标文件中已经指明不满足则投标无效的条款，或者不能负偏离的条款，或者采购需求中带“▲”的条款。</w:t>
      </w:r>
    </w:p>
    <w:p w14:paraId="09A2850D">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3.不需要投标人对采购需求响应为具体数值的，此采购需求的数值后将以◆号标注。</w:t>
      </w:r>
    </w:p>
    <w:p w14:paraId="14AB419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4.如投标人投标产品存在侵犯他人的知识产权或者专利成果行为的，应承担相应法律责任。</w:t>
      </w:r>
    </w:p>
    <w:p w14:paraId="5717F8D7">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5.中小企业划分标准所属行业名称（行业名称及划分见本章附件2）：</w:t>
      </w:r>
    </w:p>
    <w:p w14:paraId="4836189E">
      <w:pPr>
        <w:spacing w:line="360" w:lineRule="auto"/>
        <w:ind w:firstLine="422" w:firstLineChars="200"/>
        <w:jc w:val="lef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本项目标的所属行业-其他未列明行业。</w:t>
      </w:r>
    </w:p>
    <w:p w14:paraId="6B2DE1A1">
      <w:pPr>
        <w:pStyle w:val="14"/>
        <w:rPr>
          <w:rFonts w:hint="eastAsia" w:asciiTheme="minorEastAsia" w:hAnsiTheme="minorEastAsia" w:eastAsiaTheme="minorEastAsia" w:cstheme="minorEastAsia"/>
          <w:color w:val="auto"/>
          <w:highlight w:val="none"/>
        </w:rPr>
      </w:pPr>
    </w:p>
    <w:p w14:paraId="723808EB">
      <w:pPr>
        <w:pStyle w:val="28"/>
        <w:rPr>
          <w:rFonts w:hint="eastAsia" w:asciiTheme="minorEastAsia" w:hAnsiTheme="minorEastAsia" w:eastAsiaTheme="minorEastAsia" w:cstheme="minorEastAsia"/>
          <w:color w:val="auto"/>
          <w:highlight w:val="none"/>
        </w:rPr>
      </w:pPr>
    </w:p>
    <w:p w14:paraId="23371FB9">
      <w:pPr>
        <w:rPr>
          <w:rFonts w:hint="eastAsia" w:asciiTheme="minorEastAsia" w:hAnsiTheme="minorEastAsia" w:eastAsiaTheme="minorEastAsia" w:cstheme="minorEastAsia"/>
          <w:color w:val="auto"/>
          <w:highlight w:val="none"/>
        </w:rPr>
      </w:pPr>
    </w:p>
    <w:p w14:paraId="1A4E0ADD">
      <w:pPr>
        <w:pStyle w:val="14"/>
        <w:rPr>
          <w:rFonts w:hint="eastAsia" w:asciiTheme="minorEastAsia" w:hAnsiTheme="minorEastAsia" w:eastAsiaTheme="minorEastAsia" w:cstheme="minorEastAsia"/>
          <w:color w:val="auto"/>
          <w:highlight w:val="none"/>
        </w:rPr>
      </w:pPr>
    </w:p>
    <w:p w14:paraId="4AE43B10">
      <w:pPr>
        <w:pStyle w:val="28"/>
        <w:rPr>
          <w:rFonts w:hint="eastAsia" w:asciiTheme="minorEastAsia" w:hAnsiTheme="minorEastAsia" w:eastAsiaTheme="minorEastAsia" w:cstheme="minorEastAsia"/>
          <w:color w:val="auto"/>
          <w:highlight w:val="none"/>
        </w:rPr>
      </w:pPr>
    </w:p>
    <w:p w14:paraId="557174D3">
      <w:pPr>
        <w:rPr>
          <w:rFonts w:hint="eastAsia" w:asciiTheme="minorEastAsia" w:hAnsiTheme="minorEastAsia" w:eastAsiaTheme="minorEastAsia" w:cstheme="minorEastAsia"/>
          <w:color w:val="auto"/>
          <w:highlight w:val="none"/>
        </w:rPr>
      </w:pPr>
    </w:p>
    <w:p w14:paraId="5EB034B6">
      <w:pPr>
        <w:pStyle w:val="14"/>
        <w:rPr>
          <w:rFonts w:hint="eastAsia" w:asciiTheme="minorEastAsia" w:hAnsiTheme="minorEastAsia" w:eastAsiaTheme="minorEastAsia" w:cstheme="minorEastAsia"/>
          <w:color w:val="auto"/>
          <w:highlight w:val="none"/>
        </w:rPr>
      </w:pPr>
    </w:p>
    <w:p w14:paraId="7E20A8CF">
      <w:pPr>
        <w:spacing w:line="428" w:lineRule="exact"/>
        <w:rPr>
          <w:rFonts w:hint="eastAsia" w:asciiTheme="minorEastAsia" w:hAnsiTheme="minorEastAsia" w:eastAsiaTheme="minorEastAsia" w:cstheme="minorEastAsia"/>
          <w:color w:val="auto"/>
          <w:highlight w:val="none"/>
        </w:rPr>
      </w:pPr>
    </w:p>
    <w:tbl>
      <w:tblPr>
        <w:tblStyle w:val="2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389"/>
        <w:gridCol w:w="1007"/>
        <w:gridCol w:w="426"/>
        <w:gridCol w:w="428"/>
        <w:gridCol w:w="4715"/>
        <w:gridCol w:w="937"/>
        <w:gridCol w:w="1799"/>
      </w:tblGrid>
      <w:tr w14:paraId="4B379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121" w:type="dxa"/>
            <w:gridSpan w:val="8"/>
            <w:tcBorders>
              <w:top w:val="single" w:color="auto" w:sz="4" w:space="0"/>
              <w:left w:val="single" w:color="auto" w:sz="4" w:space="0"/>
              <w:right w:val="single" w:color="auto" w:sz="4" w:space="0"/>
            </w:tcBorders>
            <w:vAlign w:val="center"/>
          </w:tcPr>
          <w:p w14:paraId="2AA0B224">
            <w:pPr>
              <w:spacing w:line="360" w:lineRule="auto"/>
              <w:jc w:val="center"/>
              <w:rPr>
                <w:rFonts w:hint="eastAsia" w:ascii="宋体" w:hAnsi="宋体" w:cs="宋体"/>
                <w:b/>
                <w:color w:val="auto"/>
                <w:sz w:val="24"/>
                <w:highlight w:val="none"/>
              </w:rPr>
            </w:pPr>
            <w:r>
              <w:rPr>
                <w:rFonts w:hint="eastAsia" w:ascii="宋体" w:hAnsi="宋体" w:cs="Arial"/>
                <w:b/>
                <w:color w:val="auto"/>
                <w:sz w:val="32"/>
                <w:szCs w:val="32"/>
                <w:highlight w:val="none"/>
              </w:rPr>
              <w:t>服务需求一览表</w:t>
            </w:r>
          </w:p>
        </w:tc>
      </w:tr>
      <w:tr w14:paraId="118D8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0" w:type="dxa"/>
            <w:vMerge w:val="restart"/>
            <w:tcBorders>
              <w:top w:val="single" w:color="auto" w:sz="4" w:space="0"/>
              <w:left w:val="single" w:color="auto" w:sz="4" w:space="0"/>
              <w:right w:val="single" w:color="auto" w:sz="4" w:space="0"/>
            </w:tcBorders>
            <w:vAlign w:val="center"/>
          </w:tcPr>
          <w:p w14:paraId="6E628B93">
            <w:pPr>
              <w:spacing w:line="360" w:lineRule="exact"/>
              <w:jc w:val="center"/>
              <w:rPr>
                <w:rFonts w:hint="eastAsia" w:ascii="宋体" w:hAnsi="宋体" w:cs="宋体"/>
                <w:color w:val="auto"/>
                <w:sz w:val="24"/>
                <w:highlight w:val="none"/>
              </w:rPr>
            </w:pPr>
            <w:r>
              <w:rPr>
                <w:rFonts w:hint="eastAsia" w:ascii="宋体" w:hAnsi="宋体" w:cs="宋体"/>
                <w:color w:val="auto"/>
                <w:highlight w:val="none"/>
              </w:rPr>
              <w:t>采购清单及服务参数</w:t>
            </w:r>
          </w:p>
        </w:tc>
        <w:tc>
          <w:tcPr>
            <w:tcW w:w="3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4116D1C">
            <w:pPr>
              <w:spacing w:line="36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序号</w:t>
            </w:r>
          </w:p>
        </w:tc>
        <w:tc>
          <w:tcPr>
            <w:tcW w:w="1007" w:type="dxa"/>
            <w:tcBorders>
              <w:top w:val="single" w:color="auto" w:sz="4" w:space="0"/>
              <w:left w:val="single" w:color="auto" w:sz="4" w:space="0"/>
              <w:bottom w:val="single" w:color="auto" w:sz="4" w:space="0"/>
              <w:right w:val="single" w:color="auto" w:sz="4" w:space="0"/>
            </w:tcBorders>
            <w:vAlign w:val="center"/>
          </w:tcPr>
          <w:p w14:paraId="7B0A214E">
            <w:pPr>
              <w:spacing w:line="36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采购服务名称</w:t>
            </w:r>
          </w:p>
        </w:tc>
        <w:tc>
          <w:tcPr>
            <w:tcW w:w="426" w:type="dxa"/>
            <w:tcBorders>
              <w:top w:val="single" w:color="auto" w:sz="4" w:space="0"/>
              <w:left w:val="single" w:color="auto" w:sz="4" w:space="0"/>
              <w:bottom w:val="single" w:color="auto" w:sz="4" w:space="0"/>
              <w:right w:val="single" w:color="auto" w:sz="4" w:space="0"/>
            </w:tcBorders>
            <w:vAlign w:val="center"/>
          </w:tcPr>
          <w:p w14:paraId="73AC410F">
            <w:pPr>
              <w:spacing w:line="36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w:t>
            </w:r>
          </w:p>
        </w:tc>
        <w:tc>
          <w:tcPr>
            <w:tcW w:w="428" w:type="dxa"/>
            <w:tcBorders>
              <w:top w:val="single" w:color="auto" w:sz="4" w:space="0"/>
              <w:left w:val="single" w:color="auto" w:sz="4" w:space="0"/>
              <w:bottom w:val="single" w:color="auto" w:sz="4" w:space="0"/>
              <w:right w:val="single" w:color="auto" w:sz="4" w:space="0"/>
            </w:tcBorders>
            <w:vAlign w:val="center"/>
          </w:tcPr>
          <w:p w14:paraId="3590A2FB">
            <w:pPr>
              <w:spacing w:line="36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数量</w:t>
            </w:r>
          </w:p>
        </w:tc>
        <w:tc>
          <w:tcPr>
            <w:tcW w:w="4715" w:type="dxa"/>
            <w:tcBorders>
              <w:top w:val="single" w:color="auto" w:sz="4" w:space="0"/>
              <w:left w:val="single" w:color="auto" w:sz="4" w:space="0"/>
              <w:bottom w:val="single" w:color="auto" w:sz="4" w:space="0"/>
              <w:right w:val="single" w:color="auto" w:sz="4" w:space="0"/>
            </w:tcBorders>
            <w:vAlign w:val="center"/>
          </w:tcPr>
          <w:p w14:paraId="6686D6E8">
            <w:pPr>
              <w:spacing w:line="36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服务参数</w:t>
            </w:r>
          </w:p>
        </w:tc>
        <w:tc>
          <w:tcPr>
            <w:tcW w:w="937" w:type="dxa"/>
            <w:tcBorders>
              <w:top w:val="single" w:color="auto" w:sz="4" w:space="0"/>
              <w:left w:val="single" w:color="auto" w:sz="4" w:space="0"/>
              <w:bottom w:val="single" w:color="auto" w:sz="4" w:space="0"/>
              <w:right w:val="single" w:color="auto" w:sz="4" w:space="0"/>
            </w:tcBorders>
            <w:vAlign w:val="center"/>
          </w:tcPr>
          <w:p w14:paraId="35D369CE">
            <w:pPr>
              <w:spacing w:line="36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分项预算合计（元）</w:t>
            </w:r>
          </w:p>
        </w:tc>
        <w:tc>
          <w:tcPr>
            <w:tcW w:w="1799" w:type="dxa"/>
            <w:tcBorders>
              <w:top w:val="single" w:color="auto" w:sz="4" w:space="0"/>
              <w:left w:val="single" w:color="auto" w:sz="4" w:space="0"/>
              <w:bottom w:val="single" w:color="auto" w:sz="4" w:space="0"/>
              <w:right w:val="single" w:color="auto" w:sz="4" w:space="0"/>
            </w:tcBorders>
            <w:vAlign w:val="center"/>
          </w:tcPr>
          <w:p w14:paraId="6E00107D">
            <w:pPr>
              <w:spacing w:line="360" w:lineRule="exact"/>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中小企业划分标准所属行业名称（行业名称及划分见本章附件2）</w:t>
            </w:r>
          </w:p>
        </w:tc>
      </w:tr>
      <w:tr w14:paraId="14AB1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0" w:type="dxa"/>
            <w:vMerge w:val="continue"/>
            <w:tcBorders>
              <w:left w:val="single" w:color="auto" w:sz="4" w:space="0"/>
              <w:right w:val="single" w:color="auto" w:sz="4" w:space="0"/>
            </w:tcBorders>
            <w:vAlign w:val="center"/>
          </w:tcPr>
          <w:p w14:paraId="61EF9BCC">
            <w:pPr>
              <w:spacing w:line="360" w:lineRule="auto"/>
              <w:jc w:val="center"/>
              <w:rPr>
                <w:rFonts w:hint="eastAsia" w:ascii="宋体" w:hAnsi="宋体"/>
                <w:b/>
                <w:bCs/>
                <w:color w:val="auto"/>
                <w:highlight w:val="none"/>
              </w:rPr>
            </w:pPr>
          </w:p>
        </w:tc>
        <w:tc>
          <w:tcPr>
            <w:tcW w:w="389" w:type="dxa"/>
            <w:tcBorders>
              <w:top w:val="single" w:color="auto" w:sz="4" w:space="0"/>
              <w:left w:val="single" w:color="auto" w:sz="4" w:space="0"/>
              <w:bottom w:val="single" w:color="auto" w:sz="4" w:space="0"/>
              <w:right w:val="single" w:color="auto" w:sz="4" w:space="0"/>
            </w:tcBorders>
            <w:vAlign w:val="center"/>
          </w:tcPr>
          <w:p w14:paraId="44E01A91">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007" w:type="dxa"/>
            <w:tcBorders>
              <w:top w:val="single" w:color="auto" w:sz="4" w:space="0"/>
              <w:left w:val="single" w:color="auto" w:sz="4" w:space="0"/>
              <w:bottom w:val="single" w:color="auto" w:sz="4" w:space="0"/>
              <w:right w:val="single" w:color="auto" w:sz="4" w:space="0"/>
            </w:tcBorders>
            <w:vAlign w:val="center"/>
          </w:tcPr>
          <w:p w14:paraId="3857C5D6">
            <w:pPr>
              <w:spacing w:line="360" w:lineRule="exact"/>
              <w:jc w:val="center"/>
              <w:rPr>
                <w:rFonts w:hint="eastAsia" w:ascii="宋体" w:hAnsi="宋体"/>
                <w:color w:val="auto"/>
                <w:szCs w:val="21"/>
                <w:highlight w:val="none"/>
              </w:rPr>
            </w:pPr>
            <w:r>
              <w:rPr>
                <w:rFonts w:hint="eastAsia" w:ascii="宋体" w:hAnsi="宋体"/>
                <w:color w:val="auto"/>
                <w:szCs w:val="21"/>
                <w:highlight w:val="none"/>
              </w:rPr>
              <w:t>2026-2027年度横州市水库移民项目全过程工程咨询项目</w:t>
            </w:r>
          </w:p>
        </w:tc>
        <w:tc>
          <w:tcPr>
            <w:tcW w:w="426" w:type="dxa"/>
            <w:tcBorders>
              <w:top w:val="single" w:color="auto" w:sz="4" w:space="0"/>
              <w:left w:val="single" w:color="auto" w:sz="4" w:space="0"/>
              <w:bottom w:val="single" w:color="auto" w:sz="4" w:space="0"/>
              <w:right w:val="single" w:color="auto" w:sz="4" w:space="0"/>
            </w:tcBorders>
            <w:vAlign w:val="center"/>
          </w:tcPr>
          <w:p w14:paraId="1340212E">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w:t>
            </w:r>
          </w:p>
        </w:tc>
        <w:tc>
          <w:tcPr>
            <w:tcW w:w="428" w:type="dxa"/>
            <w:tcBorders>
              <w:top w:val="single" w:color="auto" w:sz="4" w:space="0"/>
              <w:left w:val="single" w:color="auto" w:sz="4" w:space="0"/>
              <w:bottom w:val="single" w:color="auto" w:sz="4" w:space="0"/>
              <w:right w:val="single" w:color="auto" w:sz="4" w:space="0"/>
            </w:tcBorders>
            <w:vAlign w:val="center"/>
          </w:tcPr>
          <w:p w14:paraId="3B5BC9A9">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4715" w:type="dxa"/>
            <w:tcBorders>
              <w:top w:val="single" w:color="auto" w:sz="4" w:space="0"/>
              <w:left w:val="single" w:color="auto" w:sz="4" w:space="0"/>
              <w:bottom w:val="single" w:color="auto" w:sz="4" w:space="0"/>
              <w:right w:val="single" w:color="auto" w:sz="4" w:space="0"/>
            </w:tcBorders>
            <w:vAlign w:val="center"/>
          </w:tcPr>
          <w:p w14:paraId="5D66698B">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1.服务范围：</w:t>
            </w:r>
            <w:r>
              <w:rPr>
                <w:rFonts w:hint="eastAsia" w:ascii="宋体" w:hAnsi="宋体" w:cs="宋体"/>
                <w:color w:val="auto"/>
                <w:szCs w:val="21"/>
                <w:highlight w:val="none"/>
              </w:rPr>
              <w:t>2026-2027年度横州市水库移民项目全过程工程咨询项目服务范围为2026-2027年度横州市水库移民项目规划编制、项目可行性研究报告编制、工程设计（实施方案编制/初步设计、施工图设计）、工程勘察（地形测量、地质勘察）及项目管理。涉及移民产业发展、人居环境整治、交通与农田水利基础设施、公共服务设施、园林绿化景观建设及移民美丽家园示范片打造等项目。</w:t>
            </w:r>
          </w:p>
          <w:p w14:paraId="368E46BC">
            <w:pPr>
              <w:tabs>
                <w:tab w:val="left" w:pos="1664"/>
              </w:tabs>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2、主要服务内容：</w:t>
            </w:r>
          </w:p>
          <w:p w14:paraId="45132A66">
            <w:pPr>
              <w:tabs>
                <w:tab w:val="left" w:pos="1664"/>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规划编制：一是根据国家及行业要求，针对需报建设工程规划许可证的项目，编制建设工程规划方案并配合完成相关审查程序；二是推进水库移民工作高质量发展，针对重点移民村、库区示范片等重点打造任务，编制项目专项规划。</w:t>
            </w:r>
          </w:p>
          <w:p w14:paraId="3388AE4C">
            <w:pPr>
              <w:tabs>
                <w:tab w:val="left" w:pos="1664"/>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（2）可行性研究报告编制：总投资50万元以上的项目编制可行性研究报告。</w:t>
            </w:r>
          </w:p>
          <w:p w14:paraId="12F98D1F">
            <w:pPr>
              <w:tabs>
                <w:tab w:val="left" w:pos="1664"/>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勘察设计工作：按照国家标准及行业规范，一是在项目库申报阶段开展项目策划、踏勘调查、政策合规性核查、资料收集与实施方案编制（初步设计深度，含设计概算）等工作；二是开展项目踏勘、无人机航测、电子地形图成图、正射影像处理、三维地形模型处理、工程勘察等工作；三是在实施阶段开展施工图设计、施工图预算编制、设计交底、施工过程中设计配合、设计变更处理等工作。</w:t>
            </w:r>
          </w:p>
          <w:p w14:paraId="018C7EBE">
            <w:pPr>
              <w:tabs>
                <w:tab w:val="left" w:pos="1664"/>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项目管理：为建设单位提供质量控制、成本控制和进度控制的综合解决方案，含项目库与项目计划管理、设计管理、施工建设管理、档案资料管理与档案信息化等。涵盖项目的前期工作阶段、施工准备阶段、施工阶段、工程验收结算阶段（协助采购人制订验收工作方案，明确验收范围、内容；协助采购人编制验收报告、工程移交、工程结算等）。</w:t>
            </w:r>
          </w:p>
          <w:p w14:paraId="407806E0">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3、完成时间要求</w:t>
            </w:r>
          </w:p>
          <w:p w14:paraId="793502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服务期限：自签订合同之日起至2026-2027年度横州市水库移民项目横州市级竣工验收完成后、施工保修期结束止。</w:t>
            </w:r>
          </w:p>
          <w:p w14:paraId="683215A2">
            <w:pPr>
              <w:pStyle w:val="35"/>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（1）自接到采购人通知之日起，在上级文件要求时间内完成年度项目计划编制；</w:t>
            </w:r>
          </w:p>
          <w:p w14:paraId="4BE69D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自接到采购人通知之日起15日历天完成并提交可行性研究报告编制成果文件（其中，初稿报审时间10日历天，自接到采购人审查意见批复后3日历天内完成修改稿并提交修改稿，修改稿审核通过后2日历天内提交成果文件）；</w:t>
            </w:r>
          </w:p>
          <w:p w14:paraId="64797F33">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（3）自接到采购人通知之日起15日内完成现场勘测；10日内完成方案及初步设计；15日内完成施工图设计及投资估算。接到有关部门修改批复意见后5日历天内提交修改稿；</w:t>
            </w:r>
          </w:p>
          <w:p w14:paraId="5B42E2F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（4）项目管理：从工程项目施工阶段开始至横州市级竣工验收。</w:t>
            </w:r>
          </w:p>
          <w:p w14:paraId="3A01DB44">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4、提交成果内容</w:t>
            </w:r>
          </w:p>
          <w:p w14:paraId="01ED19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项目规划和可研编制报告书各一式5份，电子文档1份（PDF及word版），设计文件提供纸质版图纸一式5份，CAD电子版。</w:t>
            </w:r>
          </w:p>
          <w:p w14:paraId="75E9209B">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5、技术指标</w:t>
            </w:r>
          </w:p>
          <w:p w14:paraId="270BAC71">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（1）内容真实、预测准确、论证严密。</w:t>
            </w:r>
          </w:p>
          <w:p w14:paraId="28955A6C">
            <w:pPr>
              <w:snapToGrid w:val="0"/>
              <w:spacing w:line="360" w:lineRule="auto"/>
              <w:ind w:firstLine="480"/>
              <w:rPr>
                <w:color w:val="auto"/>
                <w:highlight w:val="none"/>
              </w:rPr>
            </w:pPr>
            <w:r>
              <w:rPr>
                <w:rFonts w:hint="eastAsia" w:ascii="宋体" w:hAnsi="宋体" w:cs="宋体"/>
                <w:bCs/>
                <w:color w:val="auto"/>
                <w:szCs w:val="21"/>
                <w:highlight w:val="none"/>
              </w:rPr>
              <w:t>（2）中标后，甲方根据可行性研究报告编制要求向中标人提供可行性研究报告编制基础文件，中标人在收到可行性研究报告编制基础文件后15个日历天内完成可行性研究报告编制（包含报审稿、修改稿）、</w:t>
            </w:r>
            <w:r>
              <w:rPr>
                <w:rFonts w:hint="eastAsia" w:ascii="宋体" w:hAnsi="宋体" w:cs="宋体"/>
                <w:color w:val="auto"/>
                <w:szCs w:val="21"/>
                <w:highlight w:val="none"/>
              </w:rPr>
              <w:t>设计文件</w:t>
            </w:r>
            <w:r>
              <w:rPr>
                <w:rFonts w:hint="eastAsia" w:ascii="宋体" w:hAnsi="宋体" w:cs="宋体"/>
                <w:bCs/>
                <w:color w:val="auto"/>
                <w:szCs w:val="21"/>
                <w:highlight w:val="none"/>
              </w:rPr>
              <w:t>定稿（包含报审稿、修改稿）；</w:t>
            </w:r>
            <w:r>
              <w:rPr>
                <w:rFonts w:hint="eastAsia" w:ascii="宋体" w:hAnsi="宋体" w:cs="宋体"/>
                <w:color w:val="auto"/>
                <w:szCs w:val="21"/>
                <w:highlight w:val="none"/>
              </w:rPr>
              <w:t>项目规划和可研编制报告（含评审）编制成果文件需采购单位审核合格，可行性研究报告通过评审会，获得评审报告同时获得上级部门批复，</w:t>
            </w:r>
            <w:r>
              <w:rPr>
                <w:rFonts w:hint="eastAsia" w:ascii="宋体" w:hAnsi="宋体" w:cs="宋体"/>
                <w:bCs/>
                <w:color w:val="auto"/>
                <w:szCs w:val="21"/>
                <w:highlight w:val="none"/>
              </w:rPr>
              <w:t>施工图通过审</w:t>
            </w:r>
            <w:r>
              <w:rPr>
                <w:rFonts w:hint="eastAsia" w:ascii="宋体" w:hAnsi="宋体" w:cs="宋体"/>
                <w:color w:val="auto"/>
                <w:szCs w:val="21"/>
                <w:highlight w:val="none"/>
              </w:rPr>
              <w:t>查。项目管理工作，保证工程项目施工阶段至横州市级竣工顺利验收。</w:t>
            </w:r>
          </w:p>
        </w:tc>
        <w:tc>
          <w:tcPr>
            <w:tcW w:w="937" w:type="dxa"/>
            <w:tcBorders>
              <w:top w:val="single" w:color="auto" w:sz="4" w:space="0"/>
              <w:left w:val="single" w:color="auto" w:sz="4" w:space="0"/>
              <w:bottom w:val="single" w:color="auto" w:sz="4" w:space="0"/>
              <w:right w:val="single" w:color="auto" w:sz="4" w:space="0"/>
            </w:tcBorders>
            <w:vAlign w:val="center"/>
          </w:tcPr>
          <w:p w14:paraId="1A52AF97">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w:t>
            </w:r>
          </w:p>
        </w:tc>
        <w:tc>
          <w:tcPr>
            <w:tcW w:w="1799" w:type="dxa"/>
            <w:tcBorders>
              <w:top w:val="single" w:color="auto" w:sz="4" w:space="0"/>
              <w:left w:val="single" w:color="auto" w:sz="4" w:space="0"/>
              <w:bottom w:val="single" w:color="auto" w:sz="4" w:space="0"/>
              <w:right w:val="single" w:color="auto" w:sz="4" w:space="0"/>
            </w:tcBorders>
            <w:vAlign w:val="center"/>
          </w:tcPr>
          <w:p w14:paraId="77465A04">
            <w:pPr>
              <w:spacing w:line="360" w:lineRule="auto"/>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79D46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14:paraId="3EE25D04">
            <w:pPr>
              <w:spacing w:line="360" w:lineRule="auto"/>
              <w:jc w:val="center"/>
              <w:rPr>
                <w:rFonts w:hint="eastAsia" w:ascii="宋体" w:hAnsi="宋体"/>
                <w:color w:val="auto"/>
                <w:highlight w:val="none"/>
              </w:rPr>
            </w:pPr>
          </w:p>
          <w:p w14:paraId="373D2262">
            <w:pPr>
              <w:spacing w:line="360" w:lineRule="auto"/>
              <w:jc w:val="center"/>
              <w:rPr>
                <w:rFonts w:hint="eastAsia" w:ascii="宋体" w:hAnsi="宋体"/>
                <w:color w:val="auto"/>
                <w:highlight w:val="none"/>
              </w:rPr>
            </w:pPr>
            <w:r>
              <w:rPr>
                <w:rFonts w:hint="eastAsia"/>
                <w:color w:val="auto"/>
                <w:highlight w:val="none"/>
              </w:rPr>
              <w:t>▲</w:t>
            </w:r>
          </w:p>
          <w:p w14:paraId="4518BEA3">
            <w:pPr>
              <w:spacing w:line="360" w:lineRule="auto"/>
              <w:jc w:val="center"/>
              <w:rPr>
                <w:rFonts w:hint="eastAsia" w:ascii="宋体" w:hAnsi="宋体"/>
                <w:color w:val="auto"/>
                <w:highlight w:val="none"/>
              </w:rPr>
            </w:pPr>
            <w:r>
              <w:rPr>
                <w:rFonts w:hint="eastAsia" w:ascii="宋体" w:hAnsi="宋体"/>
                <w:color w:val="auto"/>
                <w:highlight w:val="none"/>
              </w:rPr>
              <w:t>商务条款</w:t>
            </w:r>
          </w:p>
        </w:tc>
        <w:tc>
          <w:tcPr>
            <w:tcW w:w="9701" w:type="dxa"/>
            <w:gridSpan w:val="7"/>
            <w:tcBorders>
              <w:top w:val="single" w:color="auto" w:sz="4" w:space="0"/>
              <w:left w:val="single" w:color="auto" w:sz="4" w:space="0"/>
              <w:bottom w:val="single" w:color="auto" w:sz="4" w:space="0"/>
              <w:right w:val="single" w:color="auto" w:sz="4" w:space="0"/>
            </w:tcBorders>
            <w:vAlign w:val="center"/>
          </w:tcPr>
          <w:p w14:paraId="54DB72F3">
            <w:pPr>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一、合同签订期：自中标通知书发出之日起 25 日内。</w:t>
            </w:r>
          </w:p>
          <w:p w14:paraId="419982EC">
            <w:pPr>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二、服务期限：自签订合同之日起至</w:t>
            </w:r>
            <w:r>
              <w:rPr>
                <w:rFonts w:hint="eastAsia" w:asciiTheme="minorEastAsia" w:hAnsiTheme="minorEastAsia" w:eastAsiaTheme="minorEastAsia" w:cstheme="minorEastAsia"/>
                <w:color w:val="auto"/>
                <w:szCs w:val="21"/>
                <w:highlight w:val="none"/>
              </w:rPr>
              <w:t>2026-2027</w:t>
            </w:r>
            <w:r>
              <w:rPr>
                <w:rFonts w:hint="eastAsia" w:asciiTheme="minorEastAsia" w:hAnsiTheme="minorEastAsia" w:eastAsiaTheme="minorEastAsia" w:cstheme="minorEastAsia"/>
                <w:color w:val="auto"/>
                <w:highlight w:val="none"/>
              </w:rPr>
              <w:t>年度横州市水库移民项目全过程工程咨询横州市级竣工验收完成后、施工保修期结束止。</w:t>
            </w:r>
          </w:p>
          <w:p w14:paraId="28084384">
            <w:pPr>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三、服务地点： 横州市内采购人指定地点。</w:t>
            </w:r>
          </w:p>
          <w:p w14:paraId="3CF3FB8F">
            <w:pPr>
              <w:spacing w:line="380" w:lineRule="exact"/>
              <w:rPr>
                <w:color w:val="auto"/>
                <w:highlight w:val="none"/>
              </w:rPr>
            </w:pPr>
            <w:r>
              <w:rPr>
                <w:rFonts w:hint="eastAsia" w:asciiTheme="minorEastAsia" w:hAnsiTheme="minorEastAsia" w:eastAsiaTheme="minorEastAsia" w:cstheme="minorEastAsia"/>
                <w:color w:val="auto"/>
                <w:highlight w:val="none"/>
              </w:rPr>
              <w:t>四、验收标准、规范：国家、行业有关质量标准，</w:t>
            </w:r>
            <w:r>
              <w:rPr>
                <w:rFonts w:hint="eastAsia"/>
                <w:color w:val="auto"/>
                <w:highlight w:val="none"/>
              </w:rPr>
              <w:t xml:space="preserve">采购文件上的服务需求，及投标人投标文件，符合现行国家颁布的有关规程规范要求，并通过国家相关部门组织的审查与评审。 </w:t>
            </w:r>
          </w:p>
          <w:p w14:paraId="6B27706E">
            <w:pPr>
              <w:spacing w:line="380" w:lineRule="exact"/>
              <w:rPr>
                <w:color w:val="auto"/>
                <w:highlight w:val="none"/>
              </w:rPr>
            </w:pPr>
            <w:r>
              <w:rPr>
                <w:rFonts w:hint="eastAsia"/>
                <w:color w:val="auto"/>
                <w:highlight w:val="none"/>
              </w:rPr>
              <w:t>五、售后服务要求：</w:t>
            </w:r>
          </w:p>
          <w:p w14:paraId="2BE63F19">
            <w:pPr>
              <w:spacing w:line="380" w:lineRule="exact"/>
              <w:rPr>
                <w:color w:val="auto"/>
                <w:highlight w:val="none"/>
              </w:rPr>
            </w:pPr>
            <w:r>
              <w:rPr>
                <w:rFonts w:hint="eastAsia"/>
                <w:color w:val="auto"/>
                <w:highlight w:val="none"/>
              </w:rPr>
              <w:t>1、处理问题响应时间：接到采购人处理问题通知后4小时内到达采购人指定现场。</w:t>
            </w:r>
          </w:p>
          <w:p w14:paraId="3AD869C1">
            <w:pPr>
              <w:spacing w:line="380" w:lineRule="exact"/>
              <w:rPr>
                <w:color w:val="auto"/>
                <w:highlight w:val="none"/>
              </w:rPr>
            </w:pPr>
            <w:r>
              <w:rPr>
                <w:rFonts w:hint="eastAsia"/>
                <w:color w:val="auto"/>
                <w:highlight w:val="none"/>
              </w:rPr>
              <w:t>2、编制单位交付成果后，必须参加有关上级召开的现场评审会，并根据评审意见，负责修改完善规划编制服务并完成可行性研究报告、施工图。</w:t>
            </w:r>
          </w:p>
          <w:p w14:paraId="272A314E">
            <w:pPr>
              <w:spacing w:line="380" w:lineRule="exact"/>
              <w:rPr>
                <w:color w:val="auto"/>
                <w:highlight w:val="none"/>
              </w:rPr>
            </w:pPr>
            <w:r>
              <w:rPr>
                <w:rFonts w:hint="eastAsia"/>
                <w:color w:val="auto"/>
                <w:highlight w:val="none"/>
              </w:rPr>
              <w:t>六、项目实施的人员要求：</w:t>
            </w:r>
          </w:p>
          <w:p w14:paraId="2E006969">
            <w:pPr>
              <w:spacing w:line="380" w:lineRule="exact"/>
              <w:rPr>
                <w:color w:val="auto"/>
                <w:highlight w:val="none"/>
              </w:rPr>
            </w:pPr>
            <w:r>
              <w:rPr>
                <w:rFonts w:hint="eastAsia"/>
                <w:color w:val="auto"/>
                <w:highlight w:val="none"/>
              </w:rPr>
              <w:t>1、拟投入本项目实施的人员必须是在本单位注册的人员，并持有相应的执业资格证书或岗位证书。除项目负责人以外不少于9人的全过程咨询团队，配备人员中至少需5人常驻现场。</w:t>
            </w:r>
          </w:p>
          <w:p w14:paraId="5E17AE9F">
            <w:pPr>
              <w:spacing w:line="380" w:lineRule="exact"/>
              <w:rPr>
                <w:color w:val="auto"/>
                <w:highlight w:val="none"/>
              </w:rPr>
            </w:pPr>
            <w:r>
              <w:rPr>
                <w:rFonts w:hint="eastAsia"/>
                <w:color w:val="auto"/>
                <w:highlight w:val="none"/>
              </w:rPr>
              <w:t>2、其中各专业人员不少于： ①可研编制负责人1人，具有中级及以上技术职称；② 设计负责人1人，具有中级及以上技术职称；③造价编制负责人1人，具有国家注册造价师执业资格和中级及以上职称；</w:t>
            </w:r>
          </w:p>
          <w:p w14:paraId="244D739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七、收费计算标准：</w:t>
            </w:r>
          </w:p>
          <w:p w14:paraId="024BBDB5">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（一）、计费标准</w:t>
            </w:r>
          </w:p>
          <w:p w14:paraId="2B10A273">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1.《城市规划设计计费指导意见》(〔2004〕中规协秘字第022号文)（2017年修订版）</w:t>
            </w:r>
          </w:p>
          <w:p w14:paraId="33876A41">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2.《广西壮族自治区工程建设其他费用定额》（2018年）(桂建标〔2018〕37号)</w:t>
            </w:r>
          </w:p>
          <w:p w14:paraId="2A1460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3.《广西壮族自治区工程勘察设计收费指导标准》（2020年）(桂设协〔2020〕92号)</w:t>
            </w:r>
          </w:p>
          <w:p w14:paraId="6D10E3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4.《水利水电工程全过程工程咨询服务导则》（T／CNACE8001-2021）</w:t>
            </w:r>
          </w:p>
          <w:p w14:paraId="39AAB8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（二）、计费原则：项目相关费用按现行规范执行，优先采购广西现行计费标准执行，新标准与旧标准相冲突时，按新标准执行。</w:t>
            </w:r>
          </w:p>
          <w:p w14:paraId="4F83D8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（三）、计费举例：</w:t>
            </w:r>
          </w:p>
          <w:p w14:paraId="5BAC9F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1、规划编制费：依据《城市规划设计计费指导意见》(〔2004〕中规协秘字第022号文)（2017年修订版）中村庄规划等有关规定取费。</w:t>
            </w:r>
          </w:p>
          <w:p w14:paraId="20F5E8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2、建设项目前期工作咨询费包括: 编制可行性研究报告，以及其他与建设项目前期工作有关的咨询服务收费。(详见桂建标〔2018〕37号相关收费说明)</w:t>
            </w:r>
          </w:p>
          <w:p w14:paraId="417048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3、工程勘察设计收费：根据《广西壮族自治区工程勘察设计收费指导标准》（2020年）(桂设协〔2020〕92号）收费标准计算。</w:t>
            </w:r>
          </w:p>
          <w:p w14:paraId="662E53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4、全过程项目管理费：参照中国工程咨询协会发布的《水利水电工程全过程工程咨询服务导则》（T／CNACE8001-2021）关于水利水电工程全过程工程咨询服务计费方法计费，采用差额定率累加递进计费方式计算。</w:t>
            </w:r>
          </w:p>
          <w:p w14:paraId="374C0F3B">
            <w:pPr>
              <w:spacing w:line="380" w:lineRule="exact"/>
              <w:ind w:firstLine="420" w:firstLineChars="200"/>
              <w:rPr>
                <w:color w:val="auto"/>
                <w:highlight w:val="none"/>
              </w:rPr>
            </w:pPr>
            <w:r>
              <w:rPr>
                <w:rFonts w:hint="eastAsia" w:ascii="宋体" w:hAnsi="宋体" w:cs="宋体"/>
                <w:color w:val="auto"/>
                <w:szCs w:val="21"/>
                <w:highlight w:val="none"/>
              </w:rPr>
              <w:t>全过程工程咨询服务费=（规划编制费+建设项目前期工作咨询费+工程勘察费+实施方案编制或工程设计费+全过程项目管理费）×（1－中标下浮系数）</w:t>
            </w:r>
          </w:p>
          <w:p w14:paraId="2AE4C6A3">
            <w:pPr>
              <w:spacing w:line="380" w:lineRule="exact"/>
              <w:rPr>
                <w:color w:val="auto"/>
                <w:highlight w:val="none"/>
              </w:rPr>
            </w:pPr>
            <w:r>
              <w:rPr>
                <w:rFonts w:hint="eastAsia"/>
                <w:color w:val="auto"/>
                <w:highlight w:val="none"/>
              </w:rPr>
              <w:t>七、其他要求：</w:t>
            </w:r>
          </w:p>
          <w:p w14:paraId="17555F33">
            <w:pPr>
              <w:spacing w:line="380" w:lineRule="exact"/>
              <w:rPr>
                <w:color w:val="auto"/>
                <w:highlight w:val="none"/>
              </w:rPr>
            </w:pPr>
            <w:r>
              <w:rPr>
                <w:rFonts w:hint="eastAsia"/>
                <w:color w:val="auto"/>
                <w:highlight w:val="none"/>
              </w:rPr>
              <w:t>1、报价必须包含完成本项目所有工作任务所需的一切费用（含完成项目过程中所需的人工劳务费、运输、装卸、工具材料、必要的保险费用和各项税金等费用，以及合同明示或暗示的所有责任、义务和一般风险等的一切费用等各种费用在内）。</w:t>
            </w:r>
          </w:p>
          <w:p w14:paraId="66DC3A66">
            <w:pPr>
              <w:spacing w:line="380" w:lineRule="exact"/>
              <w:rPr>
                <w:color w:val="auto"/>
                <w:highlight w:val="none"/>
              </w:rPr>
            </w:pPr>
            <w:r>
              <w:rPr>
                <w:rFonts w:hint="eastAsia"/>
                <w:color w:val="auto"/>
                <w:highlight w:val="none"/>
              </w:rPr>
              <w:t>2、采购报价：本项目采购标的预算按暂定金额300万元</w:t>
            </w:r>
            <w:r>
              <w:rPr>
                <w:rFonts w:hint="eastAsia"/>
                <w:color w:val="auto"/>
                <w:highlight w:val="none"/>
                <w:lang w:eastAsia="zh-CN"/>
              </w:rPr>
              <w:t>，</w:t>
            </w:r>
            <w:r>
              <w:rPr>
                <w:rFonts w:hint="eastAsia"/>
                <w:color w:val="auto"/>
                <w:highlight w:val="none"/>
                <w:lang w:val="en-US" w:eastAsia="zh-CN"/>
              </w:rPr>
              <w:t>实际金额以当年度下达资金为准</w:t>
            </w:r>
            <w:r>
              <w:rPr>
                <w:rFonts w:hint="eastAsia"/>
                <w:color w:val="auto"/>
                <w:highlight w:val="none"/>
                <w:lang w:eastAsia="zh-CN"/>
              </w:rPr>
              <w:t>。</w:t>
            </w:r>
            <w:r>
              <w:rPr>
                <w:rFonts w:hint="eastAsia"/>
                <w:color w:val="auto"/>
                <w:highlight w:val="none"/>
              </w:rPr>
              <w:t>本次采用下浮系数报价方式采购，下浮系数报价（下浮系数范围：0≤下浮系数≤100%）。</w:t>
            </w:r>
          </w:p>
          <w:p w14:paraId="0984348E">
            <w:pPr>
              <w:spacing w:line="380" w:lineRule="exact"/>
              <w:rPr>
                <w:color w:val="auto"/>
                <w:highlight w:val="none"/>
              </w:rPr>
            </w:pPr>
            <w:r>
              <w:rPr>
                <w:rFonts w:hint="eastAsia"/>
                <w:color w:val="auto"/>
                <w:highlight w:val="none"/>
              </w:rPr>
              <w:t>3、付款方式：</w:t>
            </w:r>
          </w:p>
          <w:p w14:paraId="480EA1B7">
            <w:pPr>
              <w:spacing w:line="380" w:lineRule="exact"/>
              <w:rPr>
                <w:color w:val="auto"/>
                <w:highlight w:val="none"/>
              </w:rPr>
            </w:pPr>
            <w:r>
              <w:rPr>
                <w:rFonts w:hint="eastAsia"/>
                <w:color w:val="auto"/>
                <w:highlight w:val="none"/>
              </w:rPr>
              <w:t>中标人按合同约定提交编制成果并通过审查后一个月内由采购人向财政局申请支付全过程咨询总技术服务费的80%，竣工验收后一个月内由采购人向财政局申请支付至全过程咨询总技术服务费的97%（含已支付的），横州市级竣工验收完成且工程缺陷责任期满后14天内由采购人向财政局申请支付全部余款。</w:t>
            </w:r>
          </w:p>
        </w:tc>
      </w:tr>
      <w:tr w14:paraId="419DD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0" w:type="dxa"/>
            <w:tcBorders>
              <w:top w:val="single" w:color="auto" w:sz="4" w:space="0"/>
              <w:left w:val="single" w:color="auto" w:sz="4" w:space="0"/>
              <w:bottom w:val="single" w:color="auto" w:sz="4" w:space="0"/>
              <w:right w:val="single" w:color="auto" w:sz="4" w:space="0"/>
            </w:tcBorders>
            <w:vAlign w:val="center"/>
          </w:tcPr>
          <w:p w14:paraId="385A14F2">
            <w:pPr>
              <w:spacing w:line="360" w:lineRule="auto"/>
              <w:jc w:val="center"/>
              <w:rPr>
                <w:rFonts w:hint="eastAsia" w:ascii="宋体" w:hAnsi="宋体"/>
                <w:color w:val="auto"/>
                <w:highlight w:val="none"/>
              </w:rPr>
            </w:pPr>
            <w:r>
              <w:rPr>
                <w:rFonts w:hint="eastAsia" w:ascii="宋体" w:hAnsi="宋体"/>
                <w:color w:val="auto"/>
                <w:highlight w:val="none"/>
              </w:rPr>
              <w:t>其他说明</w:t>
            </w:r>
          </w:p>
        </w:tc>
        <w:tc>
          <w:tcPr>
            <w:tcW w:w="9701" w:type="dxa"/>
            <w:gridSpan w:val="7"/>
            <w:tcBorders>
              <w:top w:val="single" w:color="auto" w:sz="4" w:space="0"/>
              <w:left w:val="single" w:color="auto" w:sz="4" w:space="0"/>
              <w:bottom w:val="single" w:color="auto" w:sz="4" w:space="0"/>
              <w:right w:val="single" w:color="auto" w:sz="4" w:space="0"/>
            </w:tcBorders>
            <w:vAlign w:val="center"/>
          </w:tcPr>
          <w:p w14:paraId="0A1DF6B6">
            <w:pPr>
              <w:spacing w:line="380" w:lineRule="exact"/>
              <w:rPr>
                <w:color w:val="auto"/>
                <w:highlight w:val="none"/>
              </w:rPr>
            </w:pPr>
            <w:r>
              <w:rPr>
                <w:rFonts w:hint="eastAsia"/>
                <w:color w:val="auto"/>
                <w:highlight w:val="none"/>
              </w:rPr>
              <w:t>一、进口产品说明（根据项目实际情况选择）</w:t>
            </w:r>
          </w:p>
          <w:p w14:paraId="3A2048B6">
            <w:pPr>
              <w:spacing w:line="380" w:lineRule="exact"/>
              <w:rPr>
                <w:color w:val="auto"/>
                <w:highlight w:val="none"/>
              </w:rPr>
            </w:pPr>
            <w:r>
              <w:rPr>
                <w:rFonts w:hint="eastAsia"/>
                <w:color w:val="auto"/>
                <w:highlight w:val="none"/>
              </w:rPr>
              <w:t>□本表的第  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1221882F">
            <w:pPr>
              <w:spacing w:line="380" w:lineRule="exact"/>
              <w:rPr>
                <w:color w:val="auto"/>
                <w:highlight w:val="none"/>
              </w:rPr>
            </w:pPr>
            <w:r>
              <w:rPr>
                <w:rFonts w:hint="eastAsia"/>
                <w:color w:val="auto"/>
                <w:highlight w:val="none"/>
              </w:rPr>
              <w:t>☑本分标服务所涉及的货物不接受进口产品（即通过中国海关报关验放进入中国境内且产自关境外的产品）参与投标，如有进口产品参与投标的作无效标处理。</w:t>
            </w:r>
          </w:p>
          <w:p w14:paraId="15339D5F">
            <w:pPr>
              <w:spacing w:line="380" w:lineRule="exact"/>
              <w:rPr>
                <w:color w:val="auto"/>
                <w:highlight w:val="none"/>
              </w:rPr>
            </w:pPr>
            <w:r>
              <w:rPr>
                <w:rFonts w:hint="eastAsia"/>
                <w:color w:val="auto"/>
                <w:highlight w:val="none"/>
              </w:rPr>
              <w:t>二、其他：无</w:t>
            </w:r>
          </w:p>
        </w:tc>
      </w:tr>
    </w:tbl>
    <w:p w14:paraId="2F1EDE78">
      <w:pPr>
        <w:rPr>
          <w:rFonts w:hint="eastAsia" w:asciiTheme="minorEastAsia" w:hAnsiTheme="minorEastAsia" w:eastAsiaTheme="minorEastAsia" w:cstheme="minorEastAsia"/>
          <w:color w:val="auto"/>
          <w:highlight w:val="none"/>
        </w:rPr>
      </w:pPr>
      <w:r>
        <w:rPr>
          <w:rFonts w:hAnsi="宋体"/>
          <w:color w:val="auto"/>
          <w:highlight w:val="none"/>
        </w:rPr>
        <w:br w:type="page"/>
      </w:r>
    </w:p>
    <w:p w14:paraId="5AE15535">
      <w:pPr>
        <w:spacing w:line="428"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32"/>
          <w:szCs w:val="32"/>
          <w:highlight w:val="none"/>
        </w:rPr>
        <w:t>附件1：</w:t>
      </w:r>
    </w:p>
    <w:p w14:paraId="40DE3318">
      <w:pPr>
        <w:spacing w:before="7"/>
        <w:rPr>
          <w:rFonts w:hint="eastAsia" w:asciiTheme="minorEastAsia" w:hAnsiTheme="minorEastAsia" w:eastAsiaTheme="minorEastAsia" w:cstheme="minorEastAsia"/>
          <w:color w:val="auto"/>
          <w:sz w:val="17"/>
          <w:szCs w:val="17"/>
          <w:highlight w:val="none"/>
        </w:rPr>
      </w:pPr>
    </w:p>
    <w:p w14:paraId="08E31A0A">
      <w:pPr>
        <w:spacing w:line="528" w:lineRule="exact"/>
        <w:ind w:left="1871"/>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节能产品政府采购品目清单</w:t>
      </w:r>
    </w:p>
    <w:tbl>
      <w:tblPr>
        <w:tblStyle w:val="21"/>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58CA1AAF">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6E90357A">
            <w:pPr>
              <w:widowControl/>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EDECADB">
            <w:pPr>
              <w:widowControl/>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1BFC268B">
            <w:pPr>
              <w:widowControl/>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依据的标准</w:t>
            </w:r>
          </w:p>
        </w:tc>
      </w:tr>
      <w:tr w14:paraId="5B8D402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E608C7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0B9D841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44D2765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5274A63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9B90AEF">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36071DB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1705925">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75B7609">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931814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63A10C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E69DEFE">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1CF0572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F7128FC">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6BF7BCD">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EE59D5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7608B1A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EB9D489">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072613B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435F94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34CF80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5A6668E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30A727D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2CA9BCB4">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0DAE4E8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0836F89">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579F8C9">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3E97764">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CA684D8">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17803BB5">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60BD7F3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668B59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93E4350">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188BD6F">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1A9899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5C18D21B">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066F6CC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7AEAC0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0A7A0C">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C17AB9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13151E3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4F887F18">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《计算机显示器能效限定值及能效等级》（GB21520）</w:t>
            </w:r>
          </w:p>
        </w:tc>
      </w:tr>
      <w:tr w14:paraId="57B01428">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0C3C5C4D">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7EE0B19">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95F679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518C9C3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04B1ECF1">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A768B3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F58FB1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55DBDD2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2BF670E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7FE2B6E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F238B6">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《投影机能效限定值及能效等级》（GB32028）</w:t>
            </w:r>
          </w:p>
        </w:tc>
      </w:tr>
      <w:tr w14:paraId="479FA37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439BE7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28347ED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4A073B2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DA904F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8FB3635">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793EC7D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80767B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62AB370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5C80F8F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3E435B9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C87B6A6">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《清水离心泵能效限定值及节能评价值》（GB19762）</w:t>
            </w:r>
          </w:p>
        </w:tc>
      </w:tr>
      <w:tr w14:paraId="0F3A5B9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360CBF3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65C8B79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5E2F631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0349B18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10F0FD8B">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《冷水机组能效限定值及能效等级》（GB19577），《低环境温度空气源热泵（冷水）机组能效限定值及能效等级》（GB37480）</w:t>
            </w:r>
          </w:p>
        </w:tc>
      </w:tr>
      <w:tr w14:paraId="71CF648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5CBD72A">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4BB48D6">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6ACDF47">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1B664A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2186E421">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《水（地）源热泵机组能效限定值及能效等级》（GB30721）</w:t>
            </w:r>
          </w:p>
        </w:tc>
      </w:tr>
      <w:tr w14:paraId="198D14C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F66257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BFF65D2">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515F539">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CA32F3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27DDA65C">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《溴化锂吸收式冷水机组能效限定值及能效等级》（GB29540）</w:t>
            </w:r>
          </w:p>
        </w:tc>
      </w:tr>
      <w:tr w14:paraId="65F95B3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C0893CB">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69793D6">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4CEFEF9">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6E3755C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74C08BFE">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6A103E3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821E2D8">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615086D">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CFB504C">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642D3B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7CC780E9">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《单元式空气调节机能效限定值及能效等级》（GB19576）《风管送风式空调机组能效限定值及能效等级》（GB37479）</w:t>
            </w:r>
          </w:p>
        </w:tc>
      </w:tr>
      <w:tr w14:paraId="0A35ED1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7845541">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8F29535">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A15D36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60CD13D8">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385AF528">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w:t>
            </w:r>
          </w:p>
        </w:tc>
      </w:tr>
      <w:tr w14:paraId="4583777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81B3408">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8F93636">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518000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4C4D836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560DD6D6">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《机械通风冷却塔第1部分：中小型开式冷却塔》（GB/T7190.1）；《机械通风冷却塔第2部分：大型开式冷却塔》（GB/T7190.2）</w:t>
            </w:r>
          </w:p>
        </w:tc>
      </w:tr>
      <w:tr w14:paraId="72E6B74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B748FA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3D53FB2F">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022933F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CD180F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37A9614">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《中小型三相异步电动机能效限定值及能效等级》（GB18613）</w:t>
            </w:r>
          </w:p>
        </w:tc>
      </w:tr>
      <w:tr w14:paraId="012ACD0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E85E57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711940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49B6C41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6CBDBD8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A31D67A">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《三相配电变压器能效限定值及能效等级》（GB20052）</w:t>
            </w:r>
          </w:p>
        </w:tc>
      </w:tr>
      <w:tr w14:paraId="5F862F0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64EC8F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7476FD5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10E0875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45A3F4B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1C4CB5C">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《管形荧光灯镇流器能效限定值及能效等级》（GB17896）</w:t>
            </w:r>
          </w:p>
        </w:tc>
      </w:tr>
      <w:tr w14:paraId="1211B3D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F76CDF8">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07309E6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1DB38C1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496A7A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6779DBE">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《家用电冰箱耗电量限定值及能效等级》（GB 12021.2）</w:t>
            </w:r>
          </w:p>
        </w:tc>
      </w:tr>
      <w:tr w14:paraId="23FC7FDF">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7318D83C">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5205496">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65F8F589">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088A532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26704439">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7CBC0E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5515DB0">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958B5A9">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6C3169E">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189649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401E1621">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6F63FA4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D49D411">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3E058D6">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1C4B059">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004DCA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2776AA63">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《单元式空气调节机能效限定值及能源效率等级》（GB19576）《风管送风式空调机组能效限定值及能效等级》（GB37479）</w:t>
            </w:r>
          </w:p>
        </w:tc>
      </w:tr>
      <w:tr w14:paraId="4097B72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00D00F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3B15F67">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3538EC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48658C68">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AD5D0B9">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《电动洗衣机能效水效限定值及等级》（GB12021.4）</w:t>
            </w:r>
          </w:p>
        </w:tc>
      </w:tr>
      <w:tr w14:paraId="6E48656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C076A91">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FD4BA2C">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A2F45B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3D0668A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573A215D">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《储水式电热水器能效限定值及能效等级》（GB21519）</w:t>
            </w:r>
          </w:p>
        </w:tc>
      </w:tr>
      <w:tr w14:paraId="17F509E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AE90E3A">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C165FCC">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704B2E0">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DFC7AB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683A6318">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《家用燃气快速热水器和燃气采暖热水炉能效限定值及能效等级》（GB20665）</w:t>
            </w:r>
          </w:p>
        </w:tc>
      </w:tr>
      <w:tr w14:paraId="5F0CC98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5BC9E18">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8EA71A0">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47B1503">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F1AF06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58E6FAE3">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《热泵热水机（器）能效限定值及能效等级》（GB29541）</w:t>
            </w:r>
          </w:p>
        </w:tc>
      </w:tr>
      <w:tr w14:paraId="15D001A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2305F5B">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682DC63">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104111E">
            <w:pPr>
              <w:widowControl/>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6454F00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3D5B0263">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《家用太阳能热水系统能效限定值及能效等级》（GB26969）</w:t>
            </w:r>
          </w:p>
        </w:tc>
      </w:tr>
      <w:tr w14:paraId="40BDB82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DA161E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7297A03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6BDFF8F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445EA88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375DA1D">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《普通照明用双端荧光灯能效限定值及能效等级》（GB19043）</w:t>
            </w:r>
          </w:p>
        </w:tc>
      </w:tr>
      <w:tr w14:paraId="7A97C9A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F7D0F5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70D72A">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721631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262B814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B771694">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《道路和隧道照明用LED灯具能效限定值及能效等级》（GB37478）</w:t>
            </w:r>
          </w:p>
        </w:tc>
      </w:tr>
      <w:tr w14:paraId="410CE13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D3E9657">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64C9D60">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129461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7EB7769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05B442D">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173C3D6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1BA83DE">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FB45B1A">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D48069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7A1035C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92BF8D5">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22036E67">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E1AC966">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65210218">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0387A84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3426880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AB4F740">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《平板电视能效限定值及能效等级》（GB24850）</w:t>
            </w:r>
          </w:p>
        </w:tc>
      </w:tr>
      <w:tr w14:paraId="503B682D">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7C58266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11B49A3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329109F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155BA64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69E4EED5">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71AC87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386821">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10AB507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4A2129F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2E8ECB6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197739C">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《商用燃气灶具能效限定值及能效等级》（GB30531）</w:t>
            </w:r>
          </w:p>
        </w:tc>
      </w:tr>
      <w:tr w14:paraId="04B91DEA">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4C9A449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0D9A7EC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7B277B07">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16F8D88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47728EE">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《坐便器水效限定值及水效等级》（GB25502）</w:t>
            </w:r>
          </w:p>
        </w:tc>
      </w:tr>
      <w:tr w14:paraId="154B1D3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0B66B34">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126583C">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FFF8F8E">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3CAD63E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DEA946">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《蹲便器用水效率限定值及用水效率等级》（GB30717）</w:t>
            </w:r>
          </w:p>
        </w:tc>
      </w:tr>
      <w:tr w14:paraId="79C11C9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2D483E4">
            <w:pPr>
              <w:widowControl/>
              <w:jc w:val="left"/>
              <w:rPr>
                <w:rFonts w:hint="eastAsia"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3031534">
            <w:pPr>
              <w:widowControl/>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12E9A1D">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3CE081F0">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3D7EFDC">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《小便器用水效率限定值及用水效率等级》（GB28377）</w:t>
            </w:r>
          </w:p>
        </w:tc>
      </w:tr>
      <w:tr w14:paraId="37B580F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3638F95">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12B9F07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403B2B0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3EA27E2">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A0C58BF">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《水嘴用水效率限定值及用水效率等级》（GB 25501）</w:t>
            </w:r>
          </w:p>
        </w:tc>
      </w:tr>
      <w:tr w14:paraId="468C18D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A8D9969">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7285687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7BBC5CC4">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E003A1C">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40D2120">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《便器冲洗阀用水效率限定值及用水效率等级》（GB28379）</w:t>
            </w:r>
          </w:p>
        </w:tc>
      </w:tr>
      <w:tr w14:paraId="50E9FE0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B45384A">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5659F739">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76736AA3">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E07A1FB">
            <w:pPr>
              <w:widowControl/>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20E1D5E">
            <w:pPr>
              <w:widowControl/>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《淋浴器用水效率限定值及用水效率等级》（GB28378）</w:t>
            </w:r>
          </w:p>
        </w:tc>
      </w:tr>
    </w:tbl>
    <w:p w14:paraId="6F7A7EC1">
      <w:pPr>
        <w:pStyle w:val="10"/>
        <w:spacing w:line="360" w:lineRule="auto"/>
        <w:rPr>
          <w:rFonts w:hint="eastAsia" w:asciiTheme="minorEastAsia" w:hAnsiTheme="minorEastAsia" w:eastAsiaTheme="minorEastAsia" w:cstheme="minorEastAsia"/>
          <w:color w:val="auto"/>
          <w:spacing w:val="-3"/>
          <w:szCs w:val="21"/>
          <w:highlight w:val="none"/>
        </w:rPr>
      </w:pPr>
    </w:p>
    <w:p w14:paraId="79CCE029">
      <w:pPr>
        <w:pStyle w:val="1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50EEBF7A">
      <w:pPr>
        <w:pStyle w:val="1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 xml:space="preserve">    2</w:t>
      </w:r>
      <w:r>
        <w:rPr>
          <w:rFonts w:hint="eastAsia" w:asciiTheme="minorEastAsia" w:hAnsiTheme="minorEastAsia" w:eastAsiaTheme="minorEastAsia" w:cstheme="minorEastAsia"/>
          <w:b/>
          <w:bCs/>
          <w:color w:val="auto"/>
          <w:szCs w:val="21"/>
          <w:highlight w:val="none"/>
        </w:rPr>
        <w:t>.以“★”标注的为政府强制采购产品。</w:t>
      </w:r>
    </w:p>
    <w:p w14:paraId="6AF20BB6">
      <w:pPr>
        <w:pStyle w:val="12"/>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附件2：</w:t>
      </w:r>
    </w:p>
    <w:p w14:paraId="36EEB826">
      <w:pPr>
        <w:spacing w:line="528" w:lineRule="exact"/>
        <w:ind w:left="1871"/>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21"/>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57BD07AC">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BCDE1E7">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18A0F7E9">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07B74543">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19D9208E">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6F29EE4A">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5ED9AB38">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47AC5B8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03924A7">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3B7E5F4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ED4472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B7F23D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C2931B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10F2198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0592299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098EAB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C27AD3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59CD17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4B051D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A69192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6D9C8D5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0A9002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0A4B410">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2D3EC4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8CC2BD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B51D90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4890CEB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7300EC9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786DC4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2A5A9E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3826320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BEE6F2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6FC6C7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0F046AE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2332BA7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1E2BDF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5062D45">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CFB7D0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F797A0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9763A9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6588623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361A394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04AFF80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2E4F4CD">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4BDCCD1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927ACD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F741B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543C9F5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7610111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4DFE566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0514CDE">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B61DE0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994EE1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2B0624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5980C4F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2FB34BB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70A4A8E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7A8064F">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5C5EAFE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BE3B90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CE4204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6E0E30C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4735DC2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480B3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0D53CC">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919653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782A16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BF829F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3B60297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52A025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3620888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84ADD20">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0A5801A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743C2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1A928D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3EE42A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6E5B9A6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50033B2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9E2F1B3">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D7ED8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1BAF22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35E6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384664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15CB618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6E4FDC6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5E8A6A6">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3DD8561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E4994E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2B2F52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0E7EF81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553E6FD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600CDC0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3C5B58D">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E81684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7D21E3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E0F2C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59142E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33744C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B0506B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F60FB9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00520D4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71E502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1E9066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204EBC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B227A5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DDC114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50437B0">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2AC3AD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8720D4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859D46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4A516E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167BA5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3D527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64915E7">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4311650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242C81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531E72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41FA9B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A9B59A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D31CA6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EB39CB5">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986A00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DEAD4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71B7C3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9F6224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4EC71F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63D0D0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0B4AEAD">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2C567B6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2DF502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1A350B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02D250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6BFD8B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086C934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821A3F8">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D47CDA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24FE00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F6846E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87C852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B9F1E1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BD5BFB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8C1F41C">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68B3014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72B41B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1AB9CA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55AB24E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99A3EF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960E59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5A21EF2">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734E3D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F2799D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A49EBA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6540AE7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6898891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C4E427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E37067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0DA1FEA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A71CE3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00C406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D07B50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CF5D07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3D568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B1FDE46">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4AC57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27976C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42ADEE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18F0CCB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0E8EBEC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350695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8DFA5FD">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0871459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521F5C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9D70ED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4FF88F1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12CDA6E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46B03A1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3A1A574">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B73A20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19C537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6AA31C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5815B5F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02975CC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2E56151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2535AD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DF4288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044FDA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F6182C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106CC7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64E50EA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21A6E46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381455F">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CBC188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21B29E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AE0542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4AC2D24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263E567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3A56065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FD1344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31C7167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B4F095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51D6C4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37F84B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44B30D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D9D700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479269C">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651CED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1F7FB6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89E023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5A9C1E1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028E585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08D095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300B0C70">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61A605E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C322DD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514193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80C1D6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EA51DF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4D665ADE">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59C7E62">
      <w:pPr>
        <w:widowControl/>
        <w:jc w:val="left"/>
        <w:rPr>
          <w:rFonts w:hint="eastAsia" w:asciiTheme="minorEastAsia" w:hAnsiTheme="minorEastAsia" w:eastAsiaTheme="minorEastAsia" w:cstheme="minorEastAsia"/>
          <w:color w:val="auto"/>
          <w:szCs w:val="20"/>
          <w:highlight w:val="none"/>
        </w:rPr>
        <w:sectPr>
          <w:pgSz w:w="11906" w:h="16838"/>
          <w:pgMar w:top="1134" w:right="1134" w:bottom="1134" w:left="1134" w:header="720" w:footer="720" w:gutter="0"/>
          <w:cols w:space="720" w:num="1"/>
          <w:docGrid w:type="lines" w:linePitch="331" w:charSpace="0"/>
        </w:sectPr>
      </w:pPr>
    </w:p>
    <w:p w14:paraId="36A7831C">
      <w:pPr>
        <w:pStyle w:val="12"/>
        <w:jc w:val="center"/>
        <w:outlineLvl w:val="0"/>
        <w:rPr>
          <w:rFonts w:hint="eastAsia" w:asciiTheme="minorEastAsia" w:hAnsiTheme="minorEastAsia" w:eastAsiaTheme="minorEastAsia" w:cstheme="minorEastAsia"/>
          <w:b/>
          <w:color w:val="auto"/>
          <w:sz w:val="36"/>
          <w:szCs w:val="36"/>
          <w:highlight w:val="none"/>
        </w:rPr>
      </w:pPr>
      <w:bookmarkStart w:id="25" w:name="_Toc532545044"/>
      <w:bookmarkStart w:id="26" w:name="_Toc25544"/>
      <w:r>
        <w:rPr>
          <w:rFonts w:hint="eastAsia" w:asciiTheme="minorEastAsia" w:hAnsiTheme="minorEastAsia" w:eastAsiaTheme="minorEastAsia" w:cstheme="minorEastAsia"/>
          <w:b/>
          <w:color w:val="auto"/>
          <w:sz w:val="36"/>
          <w:highlight w:val="none"/>
        </w:rPr>
        <w:t>第三章  投标人须知</w:t>
      </w:r>
      <w:bookmarkEnd w:id="25"/>
      <w:bookmarkEnd w:id="26"/>
    </w:p>
    <w:p w14:paraId="6C8F1573">
      <w:pPr>
        <w:pStyle w:val="12"/>
        <w:spacing w:line="720" w:lineRule="auto"/>
        <w:jc w:val="center"/>
        <w:outlineLvl w:val="1"/>
        <w:rPr>
          <w:rFonts w:hint="eastAsia" w:asciiTheme="minorEastAsia" w:hAnsiTheme="minorEastAsia" w:eastAsiaTheme="minorEastAsia" w:cstheme="minorEastAsia"/>
          <w:b/>
          <w:color w:val="auto"/>
          <w:sz w:val="30"/>
          <w:szCs w:val="30"/>
          <w:highlight w:val="none"/>
        </w:rPr>
      </w:pPr>
      <w:bookmarkStart w:id="27" w:name="_Toc7747"/>
      <w:r>
        <w:rPr>
          <w:rFonts w:hint="eastAsia" w:asciiTheme="minorEastAsia" w:hAnsiTheme="minorEastAsia" w:eastAsiaTheme="minorEastAsia" w:cstheme="minorEastAsia"/>
          <w:b/>
          <w:color w:val="auto"/>
          <w:sz w:val="30"/>
          <w:szCs w:val="30"/>
          <w:highlight w:val="none"/>
        </w:rPr>
        <w:t>第一节 投标人须知前附表</w:t>
      </w:r>
      <w:bookmarkEnd w:id="27"/>
    </w:p>
    <w:tbl>
      <w:tblPr>
        <w:tblStyle w:val="21"/>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91C5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200FC65">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7F25574">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6F5A568">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编列内容</w:t>
            </w:r>
          </w:p>
        </w:tc>
      </w:tr>
      <w:tr w14:paraId="71C9F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8FB3FFD">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32DABBFA">
            <w:pPr>
              <w:spacing w:line="380" w:lineRule="exact"/>
              <w:rPr>
                <w:rFonts w:hint="eastAsia" w:asciiTheme="minorEastAsia" w:hAnsiTheme="minorEastAsia" w:eastAsiaTheme="minorEastAsia" w:cstheme="minorEastAsia"/>
                <w:color w:val="auto"/>
                <w:szCs w:val="21"/>
                <w:highlight w:val="none"/>
              </w:rPr>
            </w:pPr>
            <w:bookmarkStart w:id="28" w:name="_5"/>
            <w:bookmarkEnd w:id="28"/>
            <w:bookmarkStart w:id="29" w:name="_9.2"/>
            <w:bookmarkEnd w:id="29"/>
            <w:bookmarkStart w:id="30" w:name="_8.1"/>
            <w:bookmarkEnd w:id="30"/>
            <w:r>
              <w:rPr>
                <w:rFonts w:hint="eastAsia" w:asciiTheme="minorEastAsia" w:hAnsiTheme="minorEastAsia" w:eastAsiaTheme="minorEastAsia" w:cstheme="minorEastAsia"/>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BE0B539">
            <w:pPr>
              <w:pStyle w:val="9"/>
              <w:spacing w:line="380" w:lineRule="exact"/>
              <w:rPr>
                <w:rFonts w:hint="eastAsia" w:asciiTheme="minorEastAsia" w:hAnsiTheme="minorEastAsia" w:eastAsiaTheme="minorEastAsia" w:cstheme="minorEastAsia"/>
                <w:color w:val="auto"/>
                <w:szCs w:val="21"/>
                <w:highlight w:val="none"/>
              </w:rPr>
            </w:pPr>
            <w:bookmarkStart w:id="31" w:name="PO_3000001866_PM007"/>
            <w:r>
              <w:rPr>
                <w:rFonts w:hint="eastAsia" w:asciiTheme="minorEastAsia" w:hAnsiTheme="minorEastAsia" w:eastAsiaTheme="minorEastAsia" w:cstheme="minorEastAsia"/>
                <w:color w:val="auto"/>
                <w:szCs w:val="21"/>
                <w:highlight w:val="none"/>
              </w:rPr>
              <w:t>允许联合体投标</w:t>
            </w:r>
            <w:bookmarkEnd w:id="31"/>
            <w:r>
              <w:rPr>
                <w:rFonts w:hint="eastAsia" w:asciiTheme="minorEastAsia" w:hAnsiTheme="minorEastAsia" w:eastAsiaTheme="minorEastAsia" w:cstheme="minorEastAsia"/>
                <w:color w:val="auto"/>
                <w:szCs w:val="21"/>
                <w:highlight w:val="none"/>
              </w:rPr>
              <w:t>。</w:t>
            </w:r>
          </w:p>
        </w:tc>
      </w:tr>
      <w:tr w14:paraId="2F2B4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B674577">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4176A413">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4F3EC08">
            <w:pPr>
              <w:pStyle w:val="9"/>
              <w:spacing w:line="380" w:lineRule="exact"/>
              <w:rPr>
                <w:rFonts w:hint="eastAsia" w:ascii="宋体" w:hAnsi="宋体"/>
                <w:color w:val="auto"/>
                <w:szCs w:val="21"/>
                <w:highlight w:val="none"/>
              </w:rPr>
            </w:pPr>
            <w:r>
              <w:rPr>
                <w:rFonts w:hint="eastAsia" w:ascii="宋体" w:hAnsi="宋体"/>
                <w:color w:val="auto"/>
                <w:szCs w:val="21"/>
                <w:highlight w:val="none"/>
              </w:rPr>
              <w:t>1.两个以上投标人可以组成一个投标联合体，以一个投标人的身份共同参加投</w:t>
            </w:r>
          </w:p>
          <w:p w14:paraId="09746727">
            <w:pPr>
              <w:pStyle w:val="9"/>
              <w:spacing w:line="380" w:lineRule="exact"/>
              <w:rPr>
                <w:rFonts w:hint="eastAsia" w:ascii="宋体" w:hAnsi="宋体"/>
                <w:color w:val="auto"/>
                <w:szCs w:val="21"/>
                <w:highlight w:val="none"/>
              </w:rPr>
            </w:pPr>
            <w:r>
              <w:rPr>
                <w:rFonts w:hint="eastAsia" w:ascii="宋体" w:hAnsi="宋体"/>
                <w:color w:val="auto"/>
                <w:szCs w:val="21"/>
                <w:highlight w:val="none"/>
              </w:rPr>
              <w:t>标，联合体投标人的名称应统一按“XXX 公司与XXX公司的联合体”的规则</w:t>
            </w:r>
          </w:p>
          <w:p w14:paraId="2E9E9A0D">
            <w:pPr>
              <w:pStyle w:val="9"/>
              <w:spacing w:line="380" w:lineRule="exact"/>
              <w:rPr>
                <w:rFonts w:hint="eastAsia" w:ascii="宋体" w:hAnsi="宋体"/>
                <w:color w:val="auto"/>
                <w:szCs w:val="21"/>
                <w:highlight w:val="none"/>
              </w:rPr>
            </w:pPr>
            <w:r>
              <w:rPr>
                <w:rFonts w:hint="eastAsia" w:ascii="宋体" w:hAnsi="宋体"/>
                <w:color w:val="auto"/>
                <w:szCs w:val="21"/>
                <w:highlight w:val="none"/>
              </w:rPr>
              <w:t>填写。</w:t>
            </w:r>
          </w:p>
          <w:p w14:paraId="3A73E552">
            <w:pPr>
              <w:pStyle w:val="9"/>
              <w:spacing w:line="380" w:lineRule="exact"/>
              <w:rPr>
                <w:rFonts w:hint="eastAsia"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w:t>
            </w:r>
          </w:p>
          <w:p w14:paraId="124ABCA4">
            <w:pPr>
              <w:pStyle w:val="9"/>
              <w:spacing w:line="380" w:lineRule="exact"/>
              <w:rPr>
                <w:rFonts w:hint="eastAsia" w:ascii="宋体" w:hAnsi="宋体"/>
                <w:color w:val="auto"/>
                <w:szCs w:val="21"/>
                <w:highlight w:val="none"/>
              </w:rPr>
            </w:pPr>
            <w:r>
              <w:rPr>
                <w:rFonts w:hint="eastAsia" w:ascii="宋体" w:hAnsi="宋体"/>
                <w:color w:val="auto"/>
                <w:szCs w:val="21"/>
                <w:highlight w:val="none"/>
              </w:rPr>
              <w:t>购法》第二十二条第一款规定的基本条件(涉及行政许可范围的内容,联合体</w:t>
            </w:r>
          </w:p>
          <w:p w14:paraId="320856F0">
            <w:pPr>
              <w:pStyle w:val="9"/>
              <w:spacing w:line="380" w:lineRule="exact"/>
              <w:rPr>
                <w:rFonts w:hint="eastAsia" w:ascii="宋体" w:hAnsi="宋体"/>
                <w:color w:val="auto"/>
                <w:szCs w:val="21"/>
                <w:highlight w:val="none"/>
              </w:rPr>
            </w:pPr>
            <w:r>
              <w:rPr>
                <w:rFonts w:hint="eastAsia" w:ascii="宋体" w:hAnsi="宋体"/>
                <w:color w:val="auto"/>
                <w:szCs w:val="21"/>
                <w:highlight w:val="none"/>
              </w:rPr>
              <w:t>各方均应具备相应资质)。本项目有特殊要求规定投标人特定条件的，联合体</w:t>
            </w:r>
          </w:p>
          <w:p w14:paraId="02410D0C">
            <w:pPr>
              <w:pStyle w:val="9"/>
              <w:spacing w:line="380" w:lineRule="exact"/>
              <w:rPr>
                <w:rFonts w:hint="eastAsia" w:ascii="宋体" w:hAnsi="宋体"/>
                <w:color w:val="auto"/>
                <w:szCs w:val="21"/>
                <w:highlight w:val="none"/>
              </w:rPr>
            </w:pPr>
            <w:r>
              <w:rPr>
                <w:rFonts w:hint="eastAsia" w:ascii="宋体" w:hAnsi="宋体"/>
                <w:color w:val="auto"/>
                <w:szCs w:val="21"/>
                <w:highlight w:val="none"/>
              </w:rPr>
              <w:t>各方中至少有一方必须符合招标文件“4. 本项目的特定条件”。</w:t>
            </w:r>
          </w:p>
          <w:p w14:paraId="15CB7799">
            <w:pPr>
              <w:pStyle w:val="9"/>
              <w:spacing w:line="380" w:lineRule="exact"/>
              <w:rPr>
                <w:rFonts w:hint="eastAsia" w:ascii="宋体" w:hAnsi="宋体"/>
                <w:color w:val="auto"/>
                <w:szCs w:val="21"/>
                <w:highlight w:val="none"/>
              </w:rPr>
            </w:pPr>
            <w:r>
              <w:rPr>
                <w:rFonts w:hint="eastAsia" w:ascii="宋体" w:hAnsi="宋体"/>
                <w:color w:val="auto"/>
                <w:szCs w:val="21"/>
                <w:highlight w:val="none"/>
              </w:rPr>
              <w:t>3.联合体投标的，须提供《联合体投标协议书》(格式后附),协议书必须明</w:t>
            </w:r>
          </w:p>
          <w:p w14:paraId="2B7BEB41">
            <w:pPr>
              <w:pStyle w:val="9"/>
              <w:spacing w:line="380" w:lineRule="exact"/>
              <w:rPr>
                <w:rFonts w:hint="eastAsia" w:ascii="宋体" w:hAnsi="宋体"/>
                <w:color w:val="auto"/>
                <w:szCs w:val="21"/>
                <w:highlight w:val="none"/>
              </w:rPr>
            </w:pPr>
            <w:r>
              <w:rPr>
                <w:rFonts w:hint="eastAsia" w:ascii="宋体" w:hAnsi="宋体"/>
                <w:color w:val="auto"/>
                <w:szCs w:val="21"/>
                <w:highlight w:val="none"/>
              </w:rPr>
              <w:t>确主体方(或者牵头方)并明确约定联合体各方承担的工作和相应的责任(各</w:t>
            </w:r>
          </w:p>
          <w:p w14:paraId="46215277">
            <w:pPr>
              <w:pStyle w:val="9"/>
              <w:spacing w:line="380" w:lineRule="exact"/>
              <w:rPr>
                <w:rFonts w:hint="eastAsia" w:ascii="宋体" w:hAnsi="宋体"/>
                <w:color w:val="auto"/>
                <w:szCs w:val="21"/>
                <w:highlight w:val="none"/>
              </w:rPr>
            </w:pPr>
            <w:r>
              <w:rPr>
                <w:rFonts w:hint="eastAsia" w:ascii="宋体" w:hAnsi="宋体"/>
                <w:color w:val="auto"/>
                <w:szCs w:val="21"/>
                <w:highlight w:val="none"/>
              </w:rPr>
              <w:t>方承担责任与义务的分工必须符合采购需求，否则，联合体投标无效),并将</w:t>
            </w:r>
          </w:p>
          <w:p w14:paraId="4E3D5582">
            <w:pPr>
              <w:pStyle w:val="9"/>
              <w:spacing w:line="380" w:lineRule="exact"/>
              <w:rPr>
                <w:rFonts w:hint="eastAsia" w:ascii="宋体" w:hAnsi="宋体"/>
                <w:color w:val="auto"/>
                <w:szCs w:val="21"/>
                <w:highlight w:val="none"/>
              </w:rPr>
            </w:pPr>
            <w:r>
              <w:rPr>
                <w:rFonts w:hint="eastAsia" w:ascii="宋体" w:hAnsi="宋体"/>
                <w:color w:val="auto"/>
                <w:szCs w:val="21"/>
                <w:highlight w:val="none"/>
              </w:rPr>
              <w:t>联合投标协议</w:t>
            </w:r>
            <w:r>
              <w:rPr>
                <w:rFonts w:hint="eastAsia" w:ascii="宋体" w:hAnsi="宋体"/>
                <w:color w:val="auto"/>
                <w:szCs w:val="21"/>
                <w:highlight w:val="none"/>
                <w:lang w:val="en-US" w:eastAsia="zh-CN"/>
              </w:rPr>
              <w:t>放入</w:t>
            </w:r>
            <w:r>
              <w:rPr>
                <w:rFonts w:hint="eastAsia" w:ascii="宋体" w:hAnsi="宋体"/>
                <w:color w:val="auto"/>
                <w:szCs w:val="21"/>
                <w:highlight w:val="none"/>
              </w:rPr>
              <w:t>投标文件。联合体各方必须共同与采购人签订采购合同,就</w:t>
            </w:r>
          </w:p>
          <w:p w14:paraId="29978978">
            <w:pPr>
              <w:pStyle w:val="9"/>
              <w:spacing w:line="380" w:lineRule="exact"/>
              <w:rPr>
                <w:rFonts w:hint="eastAsia" w:ascii="宋体" w:hAnsi="宋体"/>
                <w:color w:val="auto"/>
                <w:szCs w:val="21"/>
                <w:highlight w:val="none"/>
              </w:rPr>
            </w:pPr>
            <w:r>
              <w:rPr>
                <w:rFonts w:hint="eastAsia" w:ascii="宋体" w:hAnsi="宋体"/>
                <w:color w:val="auto"/>
                <w:szCs w:val="21"/>
                <w:highlight w:val="none"/>
              </w:rPr>
              <w:t>采购合同约定的事项对采购人承担连带责任。</w:t>
            </w:r>
          </w:p>
          <w:p w14:paraId="7E3F3CDB">
            <w:pPr>
              <w:pStyle w:val="9"/>
              <w:spacing w:line="380" w:lineRule="exact"/>
              <w:rPr>
                <w:rFonts w:hint="eastAsia"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w:t>
            </w:r>
          </w:p>
          <w:p w14:paraId="64122D5A">
            <w:pPr>
              <w:pStyle w:val="9"/>
              <w:spacing w:line="380" w:lineRule="exact"/>
              <w:rPr>
                <w:rFonts w:hint="eastAsia" w:ascii="宋体" w:hAnsi="宋体"/>
                <w:color w:val="auto"/>
                <w:szCs w:val="21"/>
                <w:highlight w:val="none"/>
              </w:rPr>
            </w:pPr>
            <w:r>
              <w:rPr>
                <w:rFonts w:hint="eastAsia" w:ascii="宋体" w:hAnsi="宋体"/>
                <w:color w:val="auto"/>
                <w:szCs w:val="21"/>
                <w:highlight w:val="none"/>
              </w:rPr>
              <w:t>投标人另外组成联合体参加同一合同项下的政府采购活动,否则与之相关的投</w:t>
            </w:r>
          </w:p>
          <w:p w14:paraId="2D7AAE52">
            <w:pPr>
              <w:pStyle w:val="9"/>
              <w:spacing w:line="380" w:lineRule="exact"/>
              <w:rPr>
                <w:rFonts w:hint="eastAsia" w:ascii="宋体" w:hAnsi="宋体"/>
                <w:color w:val="auto"/>
                <w:szCs w:val="21"/>
                <w:highlight w:val="none"/>
              </w:rPr>
            </w:pPr>
            <w:r>
              <w:rPr>
                <w:rFonts w:hint="eastAsia" w:ascii="宋体" w:hAnsi="宋体"/>
                <w:color w:val="auto"/>
                <w:szCs w:val="21"/>
                <w:highlight w:val="none"/>
              </w:rPr>
              <w:t>标文件作废。</w:t>
            </w:r>
          </w:p>
          <w:p w14:paraId="44EDB4A0">
            <w:pPr>
              <w:pStyle w:val="9"/>
              <w:spacing w:line="380" w:lineRule="exact"/>
              <w:rPr>
                <w:rFonts w:hint="eastAsia" w:ascii="宋体" w:hAnsi="宋体"/>
                <w:color w:val="auto"/>
                <w:szCs w:val="21"/>
                <w:highlight w:val="none"/>
              </w:rPr>
            </w:pPr>
            <w:r>
              <w:rPr>
                <w:rFonts w:hint="eastAsia" w:ascii="宋体" w:hAnsi="宋体"/>
                <w:color w:val="auto"/>
                <w:szCs w:val="21"/>
                <w:highlight w:val="none"/>
              </w:rPr>
              <w:t>5.联合体中有同类资质的投标人按照联合体分工承担相同工作的，应当按照资</w:t>
            </w:r>
          </w:p>
          <w:p w14:paraId="52EDD165">
            <w:pPr>
              <w:pStyle w:val="9"/>
              <w:spacing w:line="380" w:lineRule="exact"/>
              <w:rPr>
                <w:rFonts w:hint="eastAsia" w:ascii="宋体" w:hAnsi="宋体"/>
                <w:color w:val="auto"/>
                <w:szCs w:val="21"/>
                <w:highlight w:val="none"/>
              </w:rPr>
            </w:pPr>
            <w:r>
              <w:rPr>
                <w:rFonts w:hint="eastAsia" w:ascii="宋体" w:hAnsi="宋体"/>
                <w:color w:val="auto"/>
                <w:szCs w:val="21"/>
                <w:highlight w:val="none"/>
              </w:rPr>
              <w:t>质等级较低的投标人确定资质等级。</w:t>
            </w:r>
          </w:p>
          <w:p w14:paraId="5D678196">
            <w:pPr>
              <w:pStyle w:val="9"/>
              <w:spacing w:line="380" w:lineRule="exact"/>
              <w:rPr>
                <w:rFonts w:hint="eastAsia" w:ascii="宋体" w:hAnsi="宋体"/>
                <w:color w:val="auto"/>
                <w:szCs w:val="21"/>
                <w:highlight w:val="none"/>
              </w:rPr>
            </w:pPr>
            <w:r>
              <w:rPr>
                <w:rFonts w:hint="eastAsia" w:ascii="宋体" w:hAnsi="宋体"/>
                <w:color w:val="auto"/>
                <w:szCs w:val="21"/>
                <w:highlight w:val="none"/>
              </w:rPr>
              <w:t>6.联合体投标业绩、履约能力按照联合体各方其中较高的一方认定并计算(招</w:t>
            </w:r>
          </w:p>
          <w:p w14:paraId="40702C1D">
            <w:pPr>
              <w:pStyle w:val="9"/>
              <w:spacing w:line="380" w:lineRule="exact"/>
              <w:rPr>
                <w:rFonts w:hint="eastAsia" w:ascii="宋体" w:hAnsi="宋体"/>
                <w:color w:val="auto"/>
                <w:szCs w:val="21"/>
                <w:highlight w:val="none"/>
              </w:rPr>
            </w:pPr>
            <w:r>
              <w:rPr>
                <w:rFonts w:hint="eastAsia" w:ascii="宋体" w:hAnsi="宋体"/>
                <w:color w:val="auto"/>
                <w:szCs w:val="21"/>
                <w:highlight w:val="none"/>
              </w:rPr>
              <w:t>标文件另有规定的除外)。</w:t>
            </w:r>
          </w:p>
          <w:p w14:paraId="62BEBAC6">
            <w:pPr>
              <w:pStyle w:val="9"/>
              <w:spacing w:line="380" w:lineRule="exact"/>
              <w:rPr>
                <w:rFonts w:hint="eastAsia" w:asciiTheme="minorEastAsia" w:hAnsiTheme="minorEastAsia" w:eastAsiaTheme="minorEastAsia" w:cstheme="minorEastAsia"/>
                <w:color w:val="auto"/>
                <w:szCs w:val="21"/>
                <w:highlight w:val="none"/>
              </w:rPr>
            </w:pPr>
            <w:r>
              <w:rPr>
                <w:rFonts w:hint="eastAsia" w:ascii="宋体" w:hAnsi="宋体"/>
                <w:color w:val="auto"/>
                <w:szCs w:val="21"/>
                <w:highlight w:val="none"/>
              </w:rPr>
              <w:t>7.联合体各方均应按照招标文件的规定提交资格证明文件。</w:t>
            </w:r>
          </w:p>
        </w:tc>
      </w:tr>
      <w:tr w14:paraId="718F6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CCCA283">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7541500">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20AFE46F">
            <w:pPr>
              <w:pStyle w:val="9"/>
              <w:spacing w:line="380" w:lineRule="exact"/>
              <w:rPr>
                <w:rFonts w:hint="eastAsia" w:asciiTheme="minorEastAsia" w:hAnsiTheme="minorEastAsia" w:eastAsiaTheme="minorEastAsia" w:cstheme="minorEastAsia"/>
                <w:color w:val="auto"/>
                <w:szCs w:val="21"/>
                <w:highlight w:val="none"/>
              </w:rPr>
            </w:pPr>
            <w:bookmarkStart w:id="32" w:name="PO_3000001866_PM044"/>
            <w:r>
              <w:rPr>
                <w:rFonts w:hint="eastAsia" w:asciiTheme="minorEastAsia" w:hAnsiTheme="minorEastAsia" w:eastAsiaTheme="minorEastAsia" w:cstheme="minorEastAsia"/>
                <w:color w:val="auto"/>
                <w:szCs w:val="21"/>
                <w:highlight w:val="none"/>
              </w:rPr>
              <w:t>不允许分包</w:t>
            </w:r>
            <w:bookmarkEnd w:id="32"/>
          </w:p>
          <w:p w14:paraId="30EB6E09">
            <w:pPr>
              <w:pStyle w:val="9"/>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转包/分包内容：</w:t>
            </w:r>
            <w:r>
              <w:rPr>
                <w:rFonts w:hint="eastAsia" w:asciiTheme="minorEastAsia" w:hAnsiTheme="minorEastAsia" w:eastAsiaTheme="minorEastAsia" w:cstheme="minorEastAsia"/>
                <w:color w:val="auto"/>
                <w:szCs w:val="21"/>
                <w:highlight w:val="none"/>
                <w:u w:val="single"/>
              </w:rPr>
              <w:t xml:space="preserve">      /    。</w:t>
            </w:r>
          </w:p>
          <w:p w14:paraId="3CF0E403">
            <w:pPr>
              <w:pStyle w:val="9"/>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转包/分包金额或者比例：</w:t>
            </w:r>
            <w:r>
              <w:rPr>
                <w:rFonts w:hint="eastAsia" w:asciiTheme="minorEastAsia" w:hAnsiTheme="minorEastAsia" w:eastAsiaTheme="minorEastAsia" w:cstheme="minorEastAsia"/>
                <w:color w:val="auto"/>
                <w:szCs w:val="21"/>
                <w:highlight w:val="none"/>
                <w:u w:val="single"/>
              </w:rPr>
              <w:t xml:space="preserve">    /  。</w:t>
            </w:r>
          </w:p>
        </w:tc>
      </w:tr>
      <w:tr w14:paraId="6ED07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39DEBE1">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3D51BCC5">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78CD47EF">
            <w:pPr>
              <w:rPr>
                <w:rFonts w:hint="eastAsia" w:asciiTheme="minorEastAsia" w:hAnsiTheme="minorEastAsia" w:eastAsiaTheme="minorEastAsia" w:cstheme="minorEastAsia"/>
                <w:color w:val="auto"/>
                <w:sz w:val="28"/>
                <w:szCs w:val="18"/>
                <w:highlight w:val="none"/>
              </w:rPr>
            </w:pPr>
            <w:r>
              <w:rPr>
                <w:rFonts w:hint="eastAsia" w:asciiTheme="minorEastAsia" w:hAnsiTheme="minorEastAsia" w:eastAsiaTheme="minorEastAsia" w:cstheme="minorEastAsia"/>
                <w:color w:val="auto"/>
                <w:szCs w:val="21"/>
                <w:highlight w:val="none"/>
              </w:rPr>
              <w:t>与本项目相关的政府采购业务澄清、更正及与之相关的事项将在采购公告中“六、其他补充事宜”中网上查询地址上发布</w:t>
            </w:r>
            <w:r>
              <w:rPr>
                <w:rFonts w:hint="eastAsia" w:asciiTheme="minorEastAsia" w:hAnsiTheme="minorEastAsia" w:eastAsiaTheme="minorEastAsia" w:cstheme="minorEastAsia"/>
                <w:color w:val="auto"/>
                <w:kern w:val="0"/>
                <w:szCs w:val="21"/>
                <w:highlight w:val="none"/>
              </w:rPr>
              <w:t>。</w:t>
            </w:r>
          </w:p>
        </w:tc>
      </w:tr>
      <w:tr w14:paraId="1B32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EC4F373">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5173EF9E">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6D45C3B4">
            <w:pPr>
              <w:snapToGrid w:val="0"/>
              <w:spacing w:line="38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不组织召开开标前答疑会</w:t>
            </w:r>
          </w:p>
        </w:tc>
      </w:tr>
      <w:tr w14:paraId="373E3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3207A0EC">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8B65CD0">
            <w:pPr>
              <w:snapToGrid w:val="0"/>
              <w:spacing w:line="380" w:lineRule="exact"/>
              <w:jc w:val="left"/>
              <w:rPr>
                <w:rFonts w:hint="eastAsia" w:asciiTheme="minorEastAsia" w:hAnsiTheme="minorEastAsia" w:eastAsiaTheme="minorEastAsia" w:cstheme="minorEastAsia"/>
                <w:color w:val="auto"/>
                <w:szCs w:val="21"/>
                <w:highlight w:val="none"/>
              </w:rPr>
            </w:pPr>
            <w:bookmarkStart w:id="33" w:name="_13.2"/>
            <w:bookmarkEnd w:id="33"/>
            <w:r>
              <w:rPr>
                <w:rFonts w:hint="eastAsia" w:asciiTheme="minorEastAsia" w:hAnsiTheme="minorEastAsia" w:eastAsiaTheme="minorEastAsia" w:cstheme="minorEastAsia"/>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41B0F849">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1、投标人为法人或者其他组织的，提供营业执照等证明文件（如营业执照或者事业单位法人证书或者</w:t>
            </w:r>
            <w:r>
              <w:rPr>
                <w:rStyle w:val="29"/>
                <w:rFonts w:hint="eastAsia" w:asciiTheme="minorEastAsia" w:hAnsiTheme="minorEastAsia" w:eastAsiaTheme="minorEastAsia" w:cstheme="minorEastAsia"/>
                <w:color w:val="auto"/>
                <w:szCs w:val="21"/>
                <w:highlight w:val="none"/>
              </w:rPr>
              <w:t>执业许可证</w:t>
            </w:r>
            <w:r>
              <w:rPr>
                <w:rFonts w:hint="eastAsia" w:asciiTheme="minorEastAsia" w:hAnsiTheme="minorEastAsia" w:eastAsiaTheme="minorEastAsia" w:cstheme="minorEastAsia"/>
                <w:color w:val="auto"/>
                <w:szCs w:val="21"/>
                <w:highlight w:val="none"/>
              </w:rPr>
              <w:t>等），投标人为自然人的，提供身份证复印件。（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A887A40">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2、投标人依法缴纳税收的相关材料[</w:t>
            </w:r>
            <w:r>
              <w:rPr>
                <w:rFonts w:hint="eastAsia" w:asciiTheme="minorEastAsia" w:hAnsiTheme="minorEastAsia" w:eastAsiaTheme="minorEastAsia" w:cstheme="minorEastAsia"/>
                <w:color w:val="auto"/>
                <w:szCs w:val="21"/>
                <w:highlight w:val="none"/>
                <w:u w:val="single"/>
              </w:rPr>
              <w:t>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2 </w:t>
            </w:r>
            <w:r>
              <w:rPr>
                <w:rFonts w:hint="eastAsia" w:asciiTheme="minorEastAsia" w:hAnsiTheme="minorEastAsia" w:eastAsiaTheme="minorEastAsia" w:cstheme="minorEastAsia"/>
                <w:color w:val="auto"/>
                <w:szCs w:val="21"/>
                <w:highlight w:val="none"/>
              </w:rPr>
              <w:t>月至</w:t>
            </w:r>
            <w:r>
              <w:rPr>
                <w:rFonts w:hint="eastAsia" w:asciiTheme="minorEastAsia" w:hAnsiTheme="minorEastAsia" w:eastAsiaTheme="minorEastAsia" w:cstheme="minorEastAsia"/>
                <w:color w:val="auto"/>
                <w:szCs w:val="21"/>
                <w:highlight w:val="none"/>
                <w:u w:val="single"/>
              </w:rPr>
              <w:t>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7 </w:t>
            </w:r>
            <w:r>
              <w:rPr>
                <w:rFonts w:hint="eastAsia" w:asciiTheme="minorEastAsia" w:hAnsiTheme="minorEastAsia" w:eastAsiaTheme="minorEastAsia" w:cstheme="minorEastAsia"/>
                <w:color w:val="auto"/>
                <w:szCs w:val="21"/>
                <w:highlight w:val="none"/>
              </w:rPr>
              <w:t>月任意连续</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0984B09">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3、投标人依法缴纳社会保障资金的相关材料[</w:t>
            </w:r>
            <w:r>
              <w:rPr>
                <w:rFonts w:hint="eastAsia" w:asciiTheme="minorEastAsia" w:hAnsiTheme="minorEastAsia" w:eastAsiaTheme="minorEastAsia" w:cstheme="minorEastAsia"/>
                <w:color w:val="auto"/>
                <w:szCs w:val="21"/>
                <w:highlight w:val="none"/>
                <w:u w:val="single"/>
              </w:rPr>
              <w:t>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2 </w:t>
            </w:r>
            <w:r>
              <w:rPr>
                <w:rFonts w:hint="eastAsia" w:asciiTheme="minorEastAsia" w:hAnsiTheme="minorEastAsia" w:eastAsiaTheme="minorEastAsia" w:cstheme="minorEastAsia"/>
                <w:color w:val="auto"/>
                <w:szCs w:val="21"/>
                <w:highlight w:val="none"/>
              </w:rPr>
              <w:t>月至</w:t>
            </w:r>
            <w:r>
              <w:rPr>
                <w:rFonts w:hint="eastAsia" w:asciiTheme="minorEastAsia" w:hAnsiTheme="minorEastAsia" w:eastAsiaTheme="minorEastAsia" w:cstheme="minorEastAsia"/>
                <w:color w:val="auto"/>
                <w:szCs w:val="21"/>
                <w:highlight w:val="none"/>
                <w:u w:val="single"/>
              </w:rPr>
              <w:t>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7 </w:t>
            </w:r>
            <w:r>
              <w:rPr>
                <w:rFonts w:hint="eastAsia" w:asciiTheme="minorEastAsia" w:hAnsiTheme="minorEastAsia" w:eastAsiaTheme="minorEastAsia" w:cstheme="minorEastAsia"/>
                <w:color w:val="auto"/>
                <w:szCs w:val="21"/>
                <w:highlight w:val="none"/>
              </w:rPr>
              <w:t>月任意连续</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67587106">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4、投标人财务状况报告：</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2024</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7907A2F4">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5、投标人直接控股股东信息表。（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22D32DF2">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6、投标人直接管理关系信息表。（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292C2A15">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7、投标资格声明。（</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F7AD036">
            <w:pPr>
              <w:pStyle w:val="10"/>
              <w:rPr>
                <w:rFonts w:hint="eastAsia" w:ascii="宋体" w:hAnsi="宋体"/>
                <w:color w:val="auto"/>
                <w:szCs w:val="21"/>
                <w:highlight w:val="none"/>
              </w:rPr>
            </w:pPr>
            <w:r>
              <w:rPr>
                <w:rFonts w:hint="eastAsia" w:asciiTheme="minorEastAsia" w:hAnsiTheme="minorEastAsia" w:eastAsiaTheme="minorEastAsia" w:cstheme="minorEastAsia"/>
                <w:color w:val="auto"/>
                <w:szCs w:val="21"/>
                <w:highlight w:val="none"/>
              </w:rPr>
              <w:t>8、联合体协议书。</w:t>
            </w:r>
            <w:r>
              <w:rPr>
                <w:rFonts w:hint="eastAsia" w:ascii="宋体" w:hAnsi="宋体"/>
                <w:color w:val="auto"/>
                <w:szCs w:val="21"/>
                <w:highlight w:val="none"/>
              </w:rPr>
              <w:t>（</w:t>
            </w:r>
            <w:r>
              <w:rPr>
                <w:rFonts w:hint="eastAsia" w:ascii="宋体" w:hAnsi="宋体"/>
                <w:b/>
                <w:color w:val="auto"/>
                <w:szCs w:val="21"/>
                <w:highlight w:val="none"/>
              </w:rPr>
              <w:t>联合体投标时必须提供，否则作无效投标处理</w:t>
            </w:r>
            <w:r>
              <w:rPr>
                <w:rFonts w:hint="eastAsia" w:ascii="宋体" w:hAnsi="宋体"/>
                <w:color w:val="auto"/>
                <w:szCs w:val="21"/>
                <w:highlight w:val="none"/>
              </w:rPr>
              <w:t>）</w:t>
            </w:r>
          </w:p>
          <w:p w14:paraId="33721045">
            <w:pPr>
              <w:pStyle w:val="10"/>
              <w:rPr>
                <w:rFonts w:hint="eastAsia" w:ascii="宋体" w:hAnsi="宋体"/>
                <w:color w:val="auto"/>
                <w:szCs w:val="21"/>
                <w:highlight w:val="none"/>
              </w:rPr>
            </w:pPr>
            <w:r>
              <w:rPr>
                <w:rFonts w:hint="eastAsia" w:asciiTheme="minorEastAsia" w:hAnsiTheme="minorEastAsia" w:eastAsiaTheme="minorEastAsia" w:cstheme="minorEastAsia"/>
                <w:color w:val="auto"/>
                <w:szCs w:val="21"/>
                <w:highlight w:val="none"/>
              </w:rPr>
              <w:t>9、</w:t>
            </w:r>
            <w:r>
              <w:rPr>
                <w:rFonts w:hint="eastAsia" w:ascii="宋体" w:hAnsi="宋体"/>
                <w:color w:val="auto"/>
                <w:szCs w:val="21"/>
                <w:highlight w:val="none"/>
              </w:rPr>
              <w:t>（1）本次招标要求投标人须具备工程设计建筑行业（建筑工程）乙级、风景园林工程专项乙级、水利行业乙级、公路行业公路专业乙级及以上资质或工程设计综合资质甲级；具备工程勘察岩土工程专业（岩土工程勘察）乙级及以上资质或工程勘察综合资质甲级。</w:t>
            </w:r>
          </w:p>
          <w:p w14:paraId="25798B80">
            <w:pPr>
              <w:pStyle w:val="10"/>
              <w:rPr>
                <w:color w:val="auto"/>
                <w:highlight w:val="none"/>
              </w:rPr>
            </w:pPr>
            <w:r>
              <w:rPr>
                <w:rFonts w:hint="eastAsia"/>
                <w:color w:val="auto"/>
                <w:highlight w:val="none"/>
              </w:rPr>
              <w:t>（2）</w:t>
            </w:r>
            <w:r>
              <w:rPr>
                <w:rFonts w:hint="eastAsia"/>
                <w:color w:val="auto"/>
                <w:highlight w:val="none"/>
                <w:lang w:eastAsia="zh-CN"/>
              </w:rPr>
              <w:t>投标人须具备“全国投资项目在线审批监管平台”备案的公路、水利水电、建筑、市政公用工程咨询专业资质且咨询服务范围包括全过程工程咨询；或被列入国家住房和城乡建设部公布的试点企业名单或广西全过程工程咨询试点企业资质</w:t>
            </w:r>
            <w:r>
              <w:rPr>
                <w:rFonts w:hint="eastAsia"/>
                <w:color w:val="auto"/>
                <w:highlight w:val="none"/>
              </w:rPr>
              <w:t>。</w:t>
            </w:r>
          </w:p>
          <w:p w14:paraId="30DB763D">
            <w:pPr>
              <w:pStyle w:val="10"/>
              <w:rPr>
                <w:rFonts w:hint="eastAsia" w:ascii="宋体" w:hAnsi="宋体"/>
                <w:color w:val="auto"/>
                <w:szCs w:val="21"/>
                <w:highlight w:val="none"/>
              </w:rPr>
            </w:pPr>
            <w:r>
              <w:rPr>
                <w:rFonts w:hint="eastAsia" w:ascii="宋体" w:hAnsi="宋体"/>
                <w:color w:val="auto"/>
                <w:szCs w:val="21"/>
                <w:highlight w:val="none"/>
              </w:rPr>
              <w:t>（3）投标人项目负责人的资格要求：具有高级或高级以上技术职称，且具有注册咨询工程师执业资格。</w:t>
            </w:r>
          </w:p>
          <w:p w14:paraId="48045E57">
            <w:pPr>
              <w:shd w:val="clear" w:color="auto" w:fill="FFFFFF"/>
              <w:spacing w:line="360" w:lineRule="auto"/>
              <w:rPr>
                <w:rFonts w:hint="eastAsia" w:asciiTheme="minorEastAsia" w:hAnsiTheme="minorEastAsia" w:eastAsiaTheme="minorEastAsia" w:cstheme="minorEastAsia"/>
                <w:color w:val="auto"/>
                <w:szCs w:val="21"/>
                <w:highlight w:val="none"/>
              </w:rPr>
            </w:pPr>
            <w:r>
              <w:rPr>
                <w:rFonts w:hint="eastAsia" w:ascii="宋体" w:hAnsi="宋体"/>
                <w:b/>
                <w:bCs/>
                <w:color w:val="auto"/>
                <w:szCs w:val="21"/>
                <w:highlight w:val="none"/>
              </w:rPr>
              <w:t xml:space="preserve"> （必须提供，否则作无效投标处理）</w:t>
            </w:r>
          </w:p>
          <w:p w14:paraId="375ECD1B">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10、除招标文件规定必须提供以外，投标人认为需要提供的其他证明材料。</w:t>
            </w:r>
          </w:p>
          <w:p w14:paraId="564B774A">
            <w:pPr>
              <w:snapToGrid w:val="0"/>
              <w:spacing w:line="380" w:lineRule="exact"/>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注：1.</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p>
        </w:tc>
      </w:tr>
      <w:tr w14:paraId="3DD00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9D35DCC">
            <w:pPr>
              <w:spacing w:line="380" w:lineRule="exac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6D12EAC">
            <w:pPr>
              <w:snapToGrid w:val="0"/>
              <w:spacing w:line="380" w:lineRule="exact"/>
              <w:jc w:val="left"/>
              <w:rPr>
                <w:rFonts w:hint="eastAsia" w:asciiTheme="minorEastAsia" w:hAnsiTheme="minorEastAsia" w:eastAsiaTheme="minorEastAsia" w:cstheme="minorEastAsia"/>
                <w:color w:val="auto"/>
                <w:szCs w:val="21"/>
                <w:highlight w:val="none"/>
              </w:rPr>
            </w:pPr>
            <w:bookmarkStart w:id="34" w:name="_13.3"/>
            <w:bookmarkEnd w:id="34"/>
            <w:r>
              <w:rPr>
                <w:rFonts w:hint="eastAsia" w:asciiTheme="minorEastAsia" w:hAnsiTheme="minorEastAsia" w:eastAsiaTheme="minorEastAsia" w:cstheme="minorEastAsia"/>
                <w:color w:val="auto"/>
                <w:szCs w:val="21"/>
                <w:highlight w:val="none"/>
              </w:rPr>
              <w:t>商务文件组成</w:t>
            </w:r>
          </w:p>
          <w:p w14:paraId="3425019F">
            <w:pPr>
              <w:spacing w:line="380" w:lineRule="exact"/>
              <w:rPr>
                <w:rFonts w:hint="eastAsia" w:asciiTheme="minorEastAsia" w:hAnsiTheme="minorEastAsia" w:eastAsiaTheme="minorEastAsia" w:cstheme="minorEastAsia"/>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54045B09">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1、无串通投标行为的承诺函；（</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84C9F7A">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2、法定代表人身份证明及法定代表人有效身份证正反面复印件；（</w:t>
            </w:r>
            <w:r>
              <w:rPr>
                <w:rFonts w:hint="eastAsia" w:asciiTheme="minorEastAsia" w:hAnsiTheme="minorEastAsia" w:eastAsiaTheme="minorEastAsia" w:cstheme="minorEastAsia"/>
                <w:b/>
                <w:bCs/>
                <w:color w:val="auto"/>
                <w:szCs w:val="21"/>
                <w:highlight w:val="none"/>
              </w:rPr>
              <w:t>除自然人投标外</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714D6F8F">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3、法定代表人授权委托书及委托代理人有效身份证正反面复印件；（</w:t>
            </w:r>
            <w:r>
              <w:rPr>
                <w:rFonts w:hint="eastAsia" w:asciiTheme="minorEastAsia" w:hAnsiTheme="minorEastAsia" w:eastAsiaTheme="minorEastAsia" w:cstheme="minorEastAsia"/>
                <w:b/>
                <w:color w:val="auto"/>
                <w:szCs w:val="21"/>
                <w:highlight w:val="none"/>
              </w:rPr>
              <w:t>委托时必须提供，否则作无效投标处理</w:t>
            </w:r>
            <w:r>
              <w:rPr>
                <w:rFonts w:hint="eastAsia" w:asciiTheme="minorEastAsia" w:hAnsiTheme="minorEastAsia" w:eastAsiaTheme="minorEastAsia" w:cstheme="minorEastAsia"/>
                <w:color w:val="auto"/>
                <w:szCs w:val="21"/>
                <w:highlight w:val="none"/>
              </w:rPr>
              <w:t>）</w:t>
            </w:r>
          </w:p>
          <w:p w14:paraId="0DC5D2C4">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4、商务条款偏离表；（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A33E4F8">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5、投标人情况介绍；（如有请提供）</w:t>
            </w:r>
          </w:p>
          <w:p w14:paraId="3B7E8651">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6、项目实施人员一览表；（必须提供，否则作无效投标处理）</w:t>
            </w:r>
          </w:p>
          <w:p w14:paraId="74529A31">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7、投标人类似业绩的证明文件；（如有请提供）</w:t>
            </w:r>
          </w:p>
          <w:p w14:paraId="15A4F981">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8、除招标文件规定必须提供以外，投标人认为需要提供的其他证明材料。（投标人根据“第二章 采购需求”及“第四章 评标方法及评标标准”提供有关证明材料）。</w:t>
            </w:r>
          </w:p>
          <w:p w14:paraId="63001835">
            <w:pPr>
              <w:snapToGrid w:val="0"/>
              <w:spacing w:line="380" w:lineRule="exact"/>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 1.法定代表人授权委托书必须由法定代表人及委托代理人签字，并加盖投标人公章，否则作无效投标处理。</w:t>
            </w:r>
          </w:p>
          <w:p w14:paraId="1EDEFB8C">
            <w:pPr>
              <w:snapToGrid w:val="0"/>
              <w:spacing w:line="38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2.</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b/>
                <w:bCs/>
                <w:color w:val="auto"/>
                <w:szCs w:val="21"/>
                <w:highlight w:val="none"/>
              </w:rPr>
              <w:t>。</w:t>
            </w:r>
          </w:p>
        </w:tc>
      </w:tr>
      <w:tr w14:paraId="5B6EC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63057826">
            <w:pPr>
              <w:spacing w:line="380" w:lineRule="exac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A3AFA76">
            <w:pPr>
              <w:snapToGrid w:val="0"/>
              <w:spacing w:line="380" w:lineRule="exact"/>
              <w:jc w:val="left"/>
              <w:rPr>
                <w:rFonts w:hint="eastAsia" w:asciiTheme="minorEastAsia" w:hAnsiTheme="minorEastAsia" w:eastAsiaTheme="minorEastAsia" w:cstheme="minorEastAsia"/>
                <w:color w:val="auto"/>
                <w:szCs w:val="21"/>
                <w:highlight w:val="none"/>
              </w:rPr>
            </w:pPr>
            <w:bookmarkStart w:id="35" w:name="_13.4"/>
            <w:bookmarkEnd w:id="35"/>
            <w:r>
              <w:rPr>
                <w:rFonts w:hint="eastAsia" w:asciiTheme="minorEastAsia" w:hAnsiTheme="minorEastAsia" w:eastAsiaTheme="minorEastAsia" w:cstheme="minorEastAsia"/>
                <w:color w:val="auto"/>
                <w:szCs w:val="21"/>
                <w:highlight w:val="none"/>
              </w:rPr>
              <w:t>技术文件组成</w:t>
            </w:r>
          </w:p>
          <w:p w14:paraId="4833439F">
            <w:pPr>
              <w:spacing w:line="380" w:lineRule="exact"/>
              <w:rPr>
                <w:rFonts w:hint="eastAsia" w:asciiTheme="minorEastAsia" w:hAnsiTheme="minorEastAsia" w:eastAsiaTheme="minorEastAsia" w:cstheme="minorEastAsia"/>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49E8FD4D">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1、服务需求、技术需求偏离表；（必须提供，否则作无效投标处理）</w:t>
            </w:r>
          </w:p>
          <w:p w14:paraId="4B5F0DC1">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2、技术服务方案（格式自拟）【服务方案、工作难点分析、工作的配合、人员配置、售后服务承诺）】；（必须提供，否则作无效投标处理）</w:t>
            </w:r>
          </w:p>
          <w:p w14:paraId="406BF90E">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3、售后服务方案；（必须提供，否则作无效投标处理）</w:t>
            </w:r>
          </w:p>
          <w:p w14:paraId="02D9897F">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4、投标人对本项目的合理化建议和改进措施；</w:t>
            </w:r>
          </w:p>
          <w:p w14:paraId="67E45371">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5、除招标文件规定必须提供以外，投标人需要说明的其他文件和说明。</w:t>
            </w:r>
          </w:p>
          <w:p w14:paraId="6FDE17AB">
            <w:pPr>
              <w:snapToGrid w:val="0"/>
              <w:spacing w:line="380" w:lineRule="exact"/>
              <w:jc w:val="left"/>
              <w:rPr>
                <w:rFonts w:hint="eastAsia" w:asciiTheme="minorEastAsia" w:hAnsiTheme="minorEastAsia" w:eastAsiaTheme="minorEastAsia" w:cstheme="minorEastAsia"/>
                <w:b/>
                <w:bCs/>
                <w:color w:val="auto"/>
                <w:szCs w:val="21"/>
                <w:highlight w:val="none"/>
              </w:rPr>
            </w:pPr>
            <w:r>
              <w:rPr>
                <w:rFonts w:hint="eastAsia" w:ascii="宋体" w:hAnsi="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0C874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31AFB755">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6151C8D">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CBEB8A1">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4DEFA3C8">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9CF61D4">
            <w:pPr>
              <w:tabs>
                <w:tab w:val="left" w:pos="459"/>
              </w:tabs>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宋体" w:hAnsi="宋体"/>
                <w:color w:val="auto"/>
                <w:szCs w:val="21"/>
                <w:highlight w:val="none"/>
              </w:rPr>
              <w:t>3、投标人针对报价需要说明的其他文件和说明，如</w:t>
            </w:r>
            <w:r>
              <w:rPr>
                <w:rFonts w:hint="eastAsia"/>
                <w:color w:val="auto"/>
                <w:highlight w:val="none"/>
              </w:rPr>
              <w:t>《中小企业声明函》</w:t>
            </w:r>
            <w:r>
              <w:rPr>
                <w:rFonts w:hint="eastAsia" w:ascii="宋体" w:hAnsi="宋体"/>
                <w:color w:val="auto"/>
                <w:szCs w:val="21"/>
                <w:highlight w:val="none"/>
              </w:rPr>
              <w:t>。</w:t>
            </w:r>
          </w:p>
        </w:tc>
      </w:tr>
      <w:tr w14:paraId="03782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F5DE4F6">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50208A76">
            <w:pPr>
              <w:spacing w:line="380" w:lineRule="exact"/>
              <w:rPr>
                <w:rFonts w:hint="eastAsia" w:asciiTheme="minorEastAsia" w:hAnsiTheme="minorEastAsia" w:eastAsiaTheme="minorEastAsia" w:cstheme="minorEastAsia"/>
                <w:color w:val="auto"/>
                <w:szCs w:val="21"/>
                <w:highlight w:val="none"/>
              </w:rPr>
            </w:pPr>
            <w:bookmarkStart w:id="36" w:name="_16.2"/>
            <w:bookmarkEnd w:id="36"/>
            <w:r>
              <w:rPr>
                <w:rFonts w:hint="eastAsia" w:asciiTheme="minorEastAsia" w:hAnsiTheme="minorEastAsia" w:eastAsiaTheme="minorEastAsia" w:cstheme="minorEastAsia"/>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B24EA4C">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1、本项目无采购具体项目概况，具体采购预算无法预估，采购标的预算按暂定金额300万元</w:t>
            </w:r>
            <w:r>
              <w:rPr>
                <w:rFonts w:hint="eastAsia" w:ascii="宋体" w:hAnsi="宋体"/>
                <w:color w:val="auto"/>
                <w:szCs w:val="21"/>
                <w:highlight w:val="none"/>
                <w:lang w:eastAsia="zh-CN"/>
              </w:rPr>
              <w:t>，</w:t>
            </w:r>
            <w:r>
              <w:rPr>
                <w:rFonts w:hint="eastAsia"/>
                <w:color w:val="auto"/>
                <w:highlight w:val="none"/>
                <w:lang w:val="en-US" w:eastAsia="zh-CN"/>
              </w:rPr>
              <w:t>实际金额以当年度下达资金为准</w:t>
            </w:r>
            <w:r>
              <w:rPr>
                <w:rFonts w:hint="eastAsia"/>
                <w:color w:val="auto"/>
                <w:highlight w:val="none"/>
                <w:lang w:eastAsia="zh-CN"/>
              </w:rPr>
              <w:t>。</w:t>
            </w:r>
            <w:r>
              <w:rPr>
                <w:rFonts w:hint="eastAsia" w:ascii="宋体" w:hAnsi="宋体"/>
                <w:color w:val="auto"/>
                <w:szCs w:val="21"/>
                <w:highlight w:val="none"/>
              </w:rPr>
              <w:t>本次采用下浮系数报价方式采购，下浮系数报价（下浮系数范围：0≤下浮系数≤100%）。</w:t>
            </w:r>
          </w:p>
          <w:p w14:paraId="76864006">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2、全过程工程咨询服务费=（规划编制费+建设项目前期工作咨询费+工程勘察费+实施方案编制或工程设计费+全过程项目管理费）×（1－中标下浮系数）</w:t>
            </w:r>
          </w:p>
          <w:p w14:paraId="06A10390">
            <w:pPr>
              <w:snapToGrid w:val="0"/>
              <w:spacing w:line="380" w:lineRule="exact"/>
              <w:rPr>
                <w:rFonts w:hint="eastAsia" w:asciiTheme="minorEastAsia" w:hAnsiTheme="minorEastAsia" w:eastAsiaTheme="minorEastAsia" w:cstheme="minorEastAsia"/>
                <w:b/>
                <w:color w:val="auto"/>
                <w:szCs w:val="21"/>
                <w:highlight w:val="none"/>
              </w:rPr>
            </w:pPr>
            <w:r>
              <w:rPr>
                <w:rFonts w:hint="eastAsia" w:ascii="宋体" w:hAnsi="宋体"/>
                <w:color w:val="auto"/>
                <w:szCs w:val="21"/>
                <w:highlight w:val="none"/>
              </w:rPr>
              <w:t>3、投标报价是履行合同的最终价格，</w:t>
            </w:r>
            <w:r>
              <w:rPr>
                <w:rFonts w:hint="eastAsia" w:ascii="宋体" w:hAnsi="宋体" w:cs="宋体"/>
                <w:color w:val="auto"/>
                <w:szCs w:val="21"/>
                <w:highlight w:val="none"/>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33D30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C70B8A3">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55E57C11">
            <w:pPr>
              <w:spacing w:line="380" w:lineRule="exact"/>
              <w:rPr>
                <w:rFonts w:hint="eastAsia" w:asciiTheme="minorEastAsia" w:hAnsiTheme="minorEastAsia" w:eastAsiaTheme="minorEastAsia" w:cstheme="minorEastAsia"/>
                <w:color w:val="auto"/>
                <w:szCs w:val="21"/>
                <w:highlight w:val="none"/>
              </w:rPr>
            </w:pPr>
            <w:bookmarkStart w:id="37" w:name="_17.1"/>
            <w:bookmarkEnd w:id="37"/>
            <w:r>
              <w:rPr>
                <w:rFonts w:hint="eastAsia" w:asciiTheme="minorEastAsia" w:hAnsiTheme="minorEastAsia" w:eastAsiaTheme="minorEastAsia" w:cstheme="minorEastAsia"/>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2BA69176">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自投标截止之日起</w:t>
            </w:r>
            <w:r>
              <w:rPr>
                <w:rFonts w:hint="eastAsia" w:asciiTheme="minorEastAsia" w:hAnsiTheme="minorEastAsia" w:eastAsiaTheme="minorEastAsia" w:cstheme="minorEastAsia"/>
                <w:color w:val="auto"/>
                <w:szCs w:val="21"/>
                <w:highlight w:val="none"/>
                <w:u w:val="single"/>
              </w:rPr>
              <w:t xml:space="preserve"> </w:t>
            </w:r>
            <w:bookmarkStart w:id="38" w:name="PO_3000001866_PM046"/>
            <w:r>
              <w:rPr>
                <w:rFonts w:hint="eastAsia" w:asciiTheme="minorEastAsia" w:hAnsiTheme="minorEastAsia" w:eastAsiaTheme="minorEastAsia" w:cstheme="minorEastAsia"/>
                <w:color w:val="auto"/>
                <w:szCs w:val="21"/>
                <w:highlight w:val="none"/>
                <w:u w:val="single"/>
              </w:rPr>
              <w:t>90日历天</w:t>
            </w:r>
            <w:bookmarkEnd w:id="38"/>
            <w:r>
              <w:rPr>
                <w:rFonts w:hint="eastAsia" w:asciiTheme="minorEastAsia" w:hAnsiTheme="minorEastAsia" w:eastAsiaTheme="minorEastAsia" w:cstheme="minorEastAsia"/>
                <w:color w:val="auto"/>
                <w:szCs w:val="21"/>
                <w:highlight w:val="none"/>
              </w:rPr>
              <w:t>。</w:t>
            </w:r>
          </w:p>
        </w:tc>
      </w:tr>
      <w:tr w14:paraId="001ED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DAE675A">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03E0D173">
            <w:pPr>
              <w:spacing w:line="380" w:lineRule="exact"/>
              <w:rPr>
                <w:rFonts w:hint="eastAsia" w:asciiTheme="minorEastAsia" w:hAnsiTheme="minorEastAsia" w:eastAsiaTheme="minorEastAsia" w:cstheme="minorEastAsia"/>
                <w:color w:val="auto"/>
                <w:szCs w:val="21"/>
                <w:highlight w:val="none"/>
              </w:rPr>
            </w:pPr>
            <w:bookmarkStart w:id="39" w:name="_18"/>
            <w:bookmarkEnd w:id="39"/>
            <w:r>
              <w:rPr>
                <w:rFonts w:hint="eastAsia" w:asciiTheme="minorEastAsia" w:hAnsiTheme="minorEastAsia" w:eastAsiaTheme="minorEastAsia" w:cstheme="minorEastAsia"/>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A6D1A63">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本项目不收取投标保证金。</w:t>
            </w:r>
          </w:p>
        </w:tc>
      </w:tr>
      <w:tr w14:paraId="4A19E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5697F2F">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67B58B48">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4C54F478">
            <w:pPr>
              <w:spacing w:line="360" w:lineRule="auto"/>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color w:val="auto"/>
                <w:szCs w:val="21"/>
                <w:highlight w:val="none"/>
              </w:rPr>
              <w:t>投标文件应按报价文件、资格证明文件、商务文件、技术文件分别编制，报价文件、资格证明文件分别</w:t>
            </w:r>
            <w:r>
              <w:rPr>
                <w:rFonts w:hint="eastAsia" w:asciiTheme="minorEastAsia" w:hAnsiTheme="minorEastAsia" w:eastAsiaTheme="minorEastAsia" w:cstheme="minorEastAsia"/>
                <w:color w:val="auto"/>
                <w:szCs w:val="21"/>
                <w:highlight w:val="none"/>
                <w:lang w:eastAsia="zh-CN"/>
              </w:rPr>
              <w:t>生成电子文件</w:t>
            </w:r>
            <w:r>
              <w:rPr>
                <w:rFonts w:hint="eastAsia" w:asciiTheme="minorEastAsia" w:hAnsiTheme="minorEastAsia" w:eastAsiaTheme="minorEastAsia" w:cstheme="minorEastAsia"/>
                <w:color w:val="auto"/>
                <w:szCs w:val="21"/>
                <w:highlight w:val="none"/>
              </w:rPr>
              <w:t>，商务文件和技术文件按顺序合并生成电子文件。</w:t>
            </w:r>
            <w:r>
              <w:rPr>
                <w:rFonts w:hint="eastAsia" w:asciiTheme="minorEastAsia" w:hAnsiTheme="minorEastAsia" w:eastAsiaTheme="minorEastAsia" w:cstheme="minorEastAsia"/>
                <w:b/>
                <w:color w:val="auto"/>
                <w:szCs w:val="21"/>
                <w:highlight w:val="none"/>
                <w:u w:val="single"/>
              </w:rPr>
              <w:t>电子版投标文件制作方式见招标公告附件。</w:t>
            </w:r>
          </w:p>
        </w:tc>
      </w:tr>
      <w:tr w14:paraId="1A27D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951DC3">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4C2F94D2">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6A6F90BC">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本项目不接受备份投标文件。</w:t>
            </w:r>
          </w:p>
        </w:tc>
      </w:tr>
      <w:tr w14:paraId="1477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61936D4E">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05A6B194">
            <w:pPr>
              <w:spacing w:line="380" w:lineRule="exact"/>
              <w:rPr>
                <w:rFonts w:hint="eastAsia" w:asciiTheme="minorEastAsia" w:hAnsiTheme="minorEastAsia" w:eastAsiaTheme="minorEastAsia" w:cstheme="minorEastAsia"/>
                <w:color w:val="auto"/>
                <w:szCs w:val="21"/>
                <w:highlight w:val="none"/>
              </w:rPr>
            </w:pPr>
            <w:bookmarkStart w:id="40" w:name="_21.1"/>
            <w:bookmarkEnd w:id="40"/>
            <w:r>
              <w:rPr>
                <w:rFonts w:hint="eastAsia" w:asciiTheme="minorEastAsia" w:hAnsiTheme="minorEastAsia" w:eastAsiaTheme="minorEastAsia" w:cstheme="minorEastAsia"/>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DFE1B34">
            <w:pPr>
              <w:snapToGrid w:val="0"/>
              <w:spacing w:line="38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详见招标公告</w:t>
            </w:r>
          </w:p>
        </w:tc>
      </w:tr>
      <w:tr w14:paraId="1B6F5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FCEDF3A">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29A1B76">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5C840D6">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14:paraId="2FE88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75" w:type="dxa"/>
            <w:vMerge w:val="continue"/>
            <w:tcBorders>
              <w:top w:val="single" w:color="auto" w:sz="4" w:space="0"/>
              <w:left w:val="single" w:color="auto" w:sz="4" w:space="0"/>
              <w:bottom w:val="nil"/>
              <w:right w:val="single" w:color="auto" w:sz="4" w:space="0"/>
            </w:tcBorders>
            <w:vAlign w:val="center"/>
          </w:tcPr>
          <w:p w14:paraId="2822C157">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right w:val="single" w:color="auto" w:sz="4" w:space="0"/>
            </w:tcBorders>
            <w:vAlign w:val="center"/>
          </w:tcPr>
          <w:p w14:paraId="0B7044D7">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AD160FD">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14:paraId="70D1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4DF508E">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3504EDBD">
            <w:pPr>
              <w:spacing w:line="380" w:lineRule="exact"/>
              <w:rPr>
                <w:rFonts w:hint="eastAsia" w:asciiTheme="minorEastAsia" w:hAnsiTheme="minorEastAsia" w:eastAsiaTheme="minorEastAsia" w:cstheme="minorEastAsia"/>
                <w:color w:val="auto"/>
                <w:szCs w:val="21"/>
                <w:highlight w:val="none"/>
              </w:rPr>
            </w:pPr>
            <w:bookmarkStart w:id="41" w:name="_23"/>
            <w:bookmarkEnd w:id="41"/>
            <w:r>
              <w:rPr>
                <w:rFonts w:hint="eastAsia" w:asciiTheme="minorEastAsia" w:hAnsiTheme="minorEastAsia" w:eastAsiaTheme="minorEastAsia" w:cstheme="minorEastAsia"/>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5019E204">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详见招标公告 </w:t>
            </w:r>
          </w:p>
        </w:tc>
      </w:tr>
      <w:tr w14:paraId="2361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9538E43">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13E61EC2">
            <w:pPr>
              <w:spacing w:line="380" w:lineRule="exact"/>
              <w:rPr>
                <w:rFonts w:hint="eastAsia" w:asciiTheme="minorEastAsia" w:hAnsiTheme="minorEastAsia" w:eastAsiaTheme="minorEastAsia" w:cstheme="minorEastAsia"/>
                <w:color w:val="auto"/>
                <w:szCs w:val="21"/>
                <w:highlight w:val="none"/>
              </w:rPr>
            </w:pPr>
            <w:bookmarkStart w:id="42" w:name="_25.3"/>
            <w:bookmarkEnd w:id="42"/>
            <w:r>
              <w:rPr>
                <w:rFonts w:hint="eastAsia" w:asciiTheme="minorEastAsia" w:hAnsiTheme="minorEastAsia" w:eastAsiaTheme="minorEastAsia" w:cstheme="minorEastAsia"/>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D308453">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采购人或者采购代理机构在资格审查结束前，对投标人进行信用查询。</w:t>
            </w:r>
          </w:p>
          <w:p w14:paraId="4C0B2EBF">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查询渠道：“信用中国”网站(www.creditchina.gov.cn) 、中国政府采购网(www.ccgp.gov.cn)。</w:t>
            </w:r>
          </w:p>
        </w:tc>
      </w:tr>
      <w:tr w14:paraId="4ED6F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99F5EB7">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BCB1E54">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4FFAB76A">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资格审查结束前</w:t>
            </w:r>
          </w:p>
        </w:tc>
      </w:tr>
      <w:tr w14:paraId="75AC6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4F00C58">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35D2908">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3CF07677">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在查询网站中直接截图查询记录，截图作为在“广西政府采购云平台”作为附件上传保存。</w:t>
            </w:r>
          </w:p>
        </w:tc>
      </w:tr>
      <w:tr w14:paraId="717D0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1192E4D">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2BCDF20">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6741BB66">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Theme="minorEastAsia" w:hAnsiTheme="minorEastAsia" w:eastAsiaTheme="minorEastAsia" w:cstheme="minorEastAsia"/>
                <w:color w:val="auto"/>
                <w:sz w:val="22"/>
                <w:szCs w:val="22"/>
                <w:highlight w:val="none"/>
              </w:rPr>
              <w:t>应当拒绝其参与政府采购活动</w:t>
            </w:r>
            <w:r>
              <w:rPr>
                <w:rFonts w:hint="eastAsia" w:asciiTheme="minorEastAsia" w:hAnsiTheme="minorEastAsia" w:eastAsiaTheme="minorEastAsia" w:cstheme="minorEastAsia"/>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E261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E7E8BB9">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2AF7E706">
            <w:pPr>
              <w:spacing w:line="380" w:lineRule="exact"/>
              <w:rPr>
                <w:rFonts w:hint="eastAsia" w:asciiTheme="minorEastAsia" w:hAnsiTheme="minorEastAsia" w:eastAsiaTheme="minorEastAsia" w:cstheme="minorEastAsia"/>
                <w:color w:val="auto"/>
                <w:szCs w:val="21"/>
                <w:highlight w:val="none"/>
              </w:rPr>
            </w:pPr>
            <w:bookmarkStart w:id="43" w:name="_28.3"/>
            <w:bookmarkEnd w:id="43"/>
            <w:bookmarkStart w:id="44" w:name="_26"/>
            <w:bookmarkEnd w:id="44"/>
            <w:r>
              <w:rPr>
                <w:rFonts w:hint="eastAsia" w:asciiTheme="minorEastAsia" w:hAnsiTheme="minorEastAsia" w:eastAsiaTheme="minorEastAsia" w:cstheme="minorEastAsia"/>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43625AC5">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综合评分法</w:t>
            </w:r>
          </w:p>
        </w:tc>
      </w:tr>
      <w:tr w14:paraId="53ECC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5D39AB30">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0748838E">
            <w:pPr>
              <w:spacing w:line="380" w:lineRule="exact"/>
              <w:rPr>
                <w:rFonts w:hint="eastAsia" w:asciiTheme="minorEastAsia" w:hAnsiTheme="minorEastAsia" w:eastAsiaTheme="minorEastAsia" w:cstheme="minorEastAsia"/>
                <w:color w:val="auto"/>
                <w:szCs w:val="21"/>
                <w:highlight w:val="none"/>
              </w:rPr>
            </w:pPr>
            <w:bookmarkStart w:id="45" w:name="_29.2.2（2）"/>
            <w:bookmarkEnd w:id="45"/>
            <w:r>
              <w:rPr>
                <w:rFonts w:hint="eastAsia" w:asciiTheme="minorEastAsia" w:hAnsiTheme="minorEastAsia" w:eastAsiaTheme="minorEastAsia" w:cstheme="minorEastAsia"/>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4C96A8F5">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商务条款评审中允许负偏离的条款数为</w:t>
            </w:r>
            <w:r>
              <w:rPr>
                <w:rFonts w:hint="eastAsia" w:asciiTheme="minorEastAsia" w:hAnsiTheme="minorEastAsia" w:eastAsiaTheme="minorEastAsia" w:cstheme="minorEastAsia"/>
                <w:color w:val="auto"/>
                <w:szCs w:val="21"/>
                <w:highlight w:val="none"/>
                <w:u w:val="single"/>
              </w:rPr>
              <w:t xml:space="preserve"> 0</w:t>
            </w:r>
            <w:r>
              <w:rPr>
                <w:rFonts w:hint="eastAsia" w:asciiTheme="minorEastAsia" w:hAnsiTheme="minorEastAsia" w:eastAsiaTheme="minorEastAsia" w:cstheme="minorEastAsia"/>
                <w:color w:val="auto"/>
                <w:szCs w:val="21"/>
                <w:highlight w:val="none"/>
              </w:rPr>
              <w:t>项。</w:t>
            </w:r>
          </w:p>
          <w:p w14:paraId="33DACB06">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技术需求评审中允许负偏离的条款数为</w:t>
            </w:r>
            <w:r>
              <w:rPr>
                <w:rFonts w:hint="eastAsia" w:asciiTheme="minorEastAsia" w:hAnsiTheme="minorEastAsia" w:eastAsiaTheme="minorEastAsia" w:cstheme="minorEastAsia"/>
                <w:color w:val="auto"/>
                <w:szCs w:val="21"/>
                <w:highlight w:val="none"/>
                <w:u w:val="single"/>
              </w:rPr>
              <w:t xml:space="preserve"> 0</w:t>
            </w:r>
            <w:r>
              <w:rPr>
                <w:rFonts w:hint="eastAsia" w:asciiTheme="minorEastAsia" w:hAnsiTheme="minorEastAsia" w:eastAsiaTheme="minorEastAsia" w:cstheme="minorEastAsia"/>
                <w:color w:val="auto"/>
                <w:szCs w:val="21"/>
                <w:highlight w:val="none"/>
              </w:rPr>
              <w:t>项。</w:t>
            </w:r>
          </w:p>
        </w:tc>
      </w:tr>
      <w:tr w14:paraId="0A3D2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52EE22D">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5C24C265">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3868DF23">
            <w:pPr>
              <w:autoSpaceDE w:val="0"/>
              <w:autoSpaceDN w:val="0"/>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54F8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24ACDAD9">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51336CE7">
            <w:pPr>
              <w:spacing w:line="380" w:lineRule="exact"/>
              <w:rPr>
                <w:rFonts w:hint="eastAsia" w:asciiTheme="minorEastAsia" w:hAnsiTheme="minorEastAsia" w:eastAsiaTheme="minorEastAsia" w:cstheme="minorEastAsia"/>
                <w:color w:val="auto"/>
                <w:szCs w:val="21"/>
                <w:highlight w:val="none"/>
              </w:rPr>
            </w:pPr>
            <w:bookmarkStart w:id="46" w:name="_39.1"/>
            <w:bookmarkEnd w:id="46"/>
            <w:r>
              <w:rPr>
                <w:rFonts w:hint="eastAsia" w:asciiTheme="minorEastAsia" w:hAnsiTheme="minorEastAsia" w:eastAsiaTheme="minorEastAsia" w:cstheme="minorEastAsia"/>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3A348BB8">
            <w:pPr>
              <w:autoSpaceDE w:val="0"/>
              <w:autoSpaceDN w:val="0"/>
              <w:snapToGrid w:val="0"/>
              <w:spacing w:line="380" w:lineRule="exact"/>
              <w:jc w:val="lef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本项目不收取履约保证金。</w:t>
            </w:r>
          </w:p>
        </w:tc>
      </w:tr>
      <w:tr w14:paraId="61D17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4E23EFD">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322C9724">
            <w:pPr>
              <w:spacing w:line="380" w:lineRule="exact"/>
              <w:rPr>
                <w:rFonts w:hint="eastAsia" w:asciiTheme="minorEastAsia" w:hAnsiTheme="minorEastAsia" w:eastAsiaTheme="minorEastAsia" w:cstheme="minorEastAsia"/>
                <w:color w:val="auto"/>
                <w:szCs w:val="21"/>
                <w:highlight w:val="none"/>
              </w:rPr>
            </w:pPr>
            <w:bookmarkStart w:id="47" w:name="_40.1"/>
            <w:bookmarkEnd w:id="47"/>
            <w:r>
              <w:rPr>
                <w:rFonts w:hint="eastAsia" w:asciiTheme="minorEastAsia" w:hAnsiTheme="minorEastAsia" w:eastAsiaTheme="minorEastAsia" w:cstheme="minorEastAsia"/>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40E8CB9">
            <w:pPr>
              <w:autoSpaceDE w:val="0"/>
              <w:autoSpaceDN w:val="0"/>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电子采购合同需要供应商通过有效CA证书进行电子签署</w:t>
            </w:r>
          </w:p>
        </w:tc>
      </w:tr>
      <w:tr w14:paraId="526E5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67D307D">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1C3DEE08">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B805B22">
            <w:pPr>
              <w:snapToGrid w:val="0"/>
              <w:spacing w:line="380" w:lineRule="exact"/>
              <w:rPr>
                <w:rFonts w:hint="eastAsia" w:asciiTheme="minorEastAsia" w:hAnsiTheme="minorEastAsia" w:eastAsiaTheme="minorEastAsia" w:cstheme="minorEastAsia"/>
                <w:color w:val="auto"/>
                <w:szCs w:val="21"/>
                <w:highlight w:val="none"/>
              </w:rPr>
            </w:pPr>
            <w:r>
              <w:rPr>
                <w:rFonts w:hint="eastAsia" w:ascii="宋体" w:hAnsi="宋体"/>
                <w:color w:val="auto"/>
                <w:szCs w:val="21"/>
                <w:highlight w:val="none"/>
              </w:rPr>
              <w:t>提交纸质书面材料或通过广西政府采购云平台系统（上传扫描件）提出</w:t>
            </w:r>
          </w:p>
        </w:tc>
      </w:tr>
      <w:tr w14:paraId="78C70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C538889">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BFA71C5">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07BE41B3">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（1）</w:t>
            </w:r>
            <w:bookmarkStart w:id="48" w:name="PO_3000001866_PM031_3"/>
            <w:r>
              <w:rPr>
                <w:rFonts w:hint="eastAsia" w:asciiTheme="minorEastAsia" w:hAnsiTheme="minorEastAsia" w:eastAsiaTheme="minorEastAsia" w:cstheme="minorEastAsia"/>
                <w:color w:val="auto"/>
                <w:szCs w:val="21"/>
                <w:highlight w:val="none"/>
                <w:u w:val="single"/>
              </w:rPr>
              <w:t>广西建设工程机电设备招标中心有限公司</w:t>
            </w:r>
            <w:bookmarkEnd w:id="48"/>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部门；</w:t>
            </w:r>
          </w:p>
          <w:p w14:paraId="7389A815">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bookmarkStart w:id="49" w:name="PO_3000001866_PM033_1"/>
            <w:r>
              <w:rPr>
                <w:rFonts w:hint="eastAsia" w:asciiTheme="minorEastAsia" w:hAnsiTheme="minorEastAsia" w:eastAsiaTheme="minorEastAsia" w:cstheme="minorEastAsia"/>
                <w:color w:val="auto"/>
                <w:szCs w:val="21"/>
                <w:highlight w:val="none"/>
              </w:rPr>
              <w:t>0771-2869912</w:t>
            </w:r>
            <w:bookmarkEnd w:id="49"/>
            <w:r>
              <w:rPr>
                <w:rFonts w:hint="eastAsia" w:asciiTheme="minorEastAsia" w:hAnsiTheme="minorEastAsia" w:eastAsiaTheme="minorEastAsia" w:cstheme="minorEastAsia"/>
                <w:color w:val="auto"/>
                <w:szCs w:val="21"/>
                <w:highlight w:val="none"/>
              </w:rPr>
              <w:t>，</w:t>
            </w:r>
          </w:p>
          <w:p w14:paraId="7DBBBA4B">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通讯地址：南宁市青秀区枫林路18号广西国控集团（枫林路办公区）裙楼三层</w:t>
            </w:r>
          </w:p>
          <w:p w14:paraId="4D08DC1E">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（2）横州市水库移民安置服务中心    </w:t>
            </w:r>
            <w:r>
              <w:rPr>
                <w:rFonts w:hint="eastAsia" w:asciiTheme="minorEastAsia" w:hAnsiTheme="minorEastAsia" w:eastAsiaTheme="minorEastAsia" w:cstheme="minorEastAsia"/>
                <w:color w:val="auto"/>
                <w:szCs w:val="21"/>
                <w:highlight w:val="none"/>
              </w:rPr>
              <w:t>部门；</w:t>
            </w:r>
          </w:p>
          <w:p w14:paraId="25F31E1F">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联系电话：0771-7226038，</w:t>
            </w:r>
          </w:p>
          <w:p w14:paraId="20B01ACC">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通讯地址：</w:t>
            </w:r>
            <w:r>
              <w:rPr>
                <w:rFonts w:hint="eastAsia" w:asciiTheme="minorEastAsia" w:hAnsiTheme="minorEastAsia" w:eastAsiaTheme="minorEastAsia" w:cstheme="minorEastAsia"/>
                <w:color w:val="auto"/>
                <w:szCs w:val="21"/>
                <w:highlight w:val="none"/>
                <w:u w:val="single"/>
              </w:rPr>
              <w:t>南宁市横州市横州镇环城西路177号</w:t>
            </w:r>
            <w:r>
              <w:rPr>
                <w:rFonts w:hint="eastAsia" w:asciiTheme="minorEastAsia" w:hAnsiTheme="minorEastAsia" w:eastAsiaTheme="minorEastAsia" w:cstheme="minorEastAsia"/>
                <w:color w:val="auto"/>
                <w:szCs w:val="21"/>
                <w:highlight w:val="none"/>
              </w:rPr>
              <w:t xml:space="preserve"> </w:t>
            </w:r>
          </w:p>
        </w:tc>
      </w:tr>
      <w:tr w14:paraId="72FA9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A16ADD2">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3547C29">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3BF2C6EC">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质疑期内每个工作日</w:t>
            </w:r>
            <w:r>
              <w:rPr>
                <w:rFonts w:hint="eastAsia" w:asciiTheme="minorEastAsia" w:hAnsiTheme="minorEastAsia" w:eastAsiaTheme="minorEastAsia" w:cstheme="minorEastAsia"/>
                <w:color w:val="auto"/>
                <w:highlight w:val="none"/>
                <w:u w:val="single"/>
              </w:rPr>
              <w:t xml:space="preserve"> 8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30 </w:t>
            </w:r>
            <w:r>
              <w:rPr>
                <w:rFonts w:hint="eastAsia" w:asciiTheme="minorEastAsia" w:hAnsiTheme="minorEastAsia" w:eastAsiaTheme="minorEastAsia" w:cstheme="minorEastAsia"/>
                <w:color w:val="auto"/>
                <w:highlight w:val="none"/>
              </w:rPr>
              <w:t>分到</w:t>
            </w:r>
            <w:r>
              <w:rPr>
                <w:rFonts w:hint="eastAsia" w:asciiTheme="minorEastAsia" w:hAnsiTheme="minorEastAsia" w:eastAsiaTheme="minorEastAsia" w:cstheme="minorEastAsia"/>
                <w:color w:val="auto"/>
                <w:highlight w:val="none"/>
                <w:u w:val="single"/>
              </w:rPr>
              <w:t xml:space="preserve"> 12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00  </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u w:val="single"/>
              </w:rPr>
              <w:t xml:space="preserve"> 14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30 </w:t>
            </w:r>
            <w:r>
              <w:rPr>
                <w:rFonts w:hint="eastAsia" w:asciiTheme="minorEastAsia" w:hAnsiTheme="minorEastAsia" w:eastAsiaTheme="minorEastAsia" w:cstheme="minorEastAsia"/>
                <w:color w:val="auto"/>
                <w:highlight w:val="none"/>
              </w:rPr>
              <w:t>分到</w:t>
            </w:r>
            <w:r>
              <w:rPr>
                <w:rFonts w:hint="eastAsia" w:asciiTheme="minorEastAsia" w:hAnsiTheme="minorEastAsia" w:eastAsiaTheme="minorEastAsia" w:cstheme="minorEastAsia"/>
                <w:color w:val="auto"/>
                <w:highlight w:val="none"/>
                <w:u w:val="single"/>
              </w:rPr>
              <w:t xml:space="preserve"> 18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w:t>
            </w:r>
          </w:p>
        </w:tc>
      </w:tr>
      <w:tr w14:paraId="296AD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03C576CA">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6C510AEC">
            <w:pPr>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15515148">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1、受理方式：纸质方式受理，投诉书正、副本（经过质疑的事项才可投诉）。</w:t>
            </w:r>
          </w:p>
          <w:p w14:paraId="7A55B5D5">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2、邮寄地址：</w:t>
            </w:r>
          </w:p>
          <w:p w14:paraId="266EE65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名称：横州市财政局政府采购监督管理办公室</w:t>
            </w:r>
          </w:p>
          <w:p w14:paraId="616F2FD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地址：横州市横州镇柳明路22号</w:t>
            </w:r>
          </w:p>
          <w:p w14:paraId="0AF09E56">
            <w:pPr>
              <w:snapToGrid w:val="0"/>
              <w:spacing w:line="360" w:lineRule="auto"/>
              <w:rPr>
                <w:rFonts w:hint="eastAsia" w:asciiTheme="minorEastAsia" w:hAnsiTheme="minorEastAsia" w:eastAsiaTheme="minorEastAsia" w:cstheme="minorEastAsia"/>
                <w:color w:val="auto"/>
                <w:highlight w:val="none"/>
              </w:rPr>
            </w:pPr>
            <w:r>
              <w:rPr>
                <w:rFonts w:hint="eastAsia" w:ascii="宋体" w:hAnsi="宋体"/>
                <w:color w:val="auto"/>
                <w:szCs w:val="21"/>
                <w:highlight w:val="none"/>
              </w:rPr>
              <w:t>联系电话：0771-7233567</w:t>
            </w:r>
          </w:p>
        </w:tc>
      </w:tr>
      <w:tr w14:paraId="0904F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FCE7F6D">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00696294">
            <w:pPr>
              <w:spacing w:line="380" w:lineRule="exact"/>
              <w:rPr>
                <w:rFonts w:hint="eastAsia" w:asciiTheme="minorEastAsia" w:hAnsiTheme="minorEastAsia" w:eastAsiaTheme="minorEastAsia" w:cstheme="minorEastAsia"/>
                <w:color w:val="auto"/>
                <w:szCs w:val="21"/>
                <w:highlight w:val="none"/>
              </w:rPr>
            </w:pPr>
            <w:bookmarkStart w:id="50" w:name="_41"/>
            <w:bookmarkEnd w:id="50"/>
            <w:bookmarkStart w:id="51" w:name="_42"/>
            <w:bookmarkEnd w:id="51"/>
            <w:r>
              <w:rPr>
                <w:rFonts w:hint="eastAsia" w:asciiTheme="minorEastAsia" w:hAnsiTheme="minorEastAsia" w:eastAsiaTheme="minorEastAsia" w:cstheme="minorEastAsia"/>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68BF728">
            <w:pPr>
              <w:pStyle w:val="12"/>
              <w:snapToGrid w:val="0"/>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本项目代理服务费由</w:t>
            </w:r>
            <w:r>
              <w:rPr>
                <w:rFonts w:hint="eastAsia" w:asciiTheme="minorEastAsia" w:hAnsiTheme="minorEastAsia" w:eastAsiaTheme="minorEastAsia" w:cstheme="minorEastAsia"/>
                <w:color w:val="auto"/>
                <w:highlight w:val="none"/>
                <w:u w:val="single"/>
              </w:rPr>
              <w:t>中标人</w:t>
            </w:r>
            <w:r>
              <w:rPr>
                <w:rFonts w:hint="eastAsia" w:asciiTheme="minorEastAsia" w:hAnsiTheme="minorEastAsia" w:eastAsiaTheme="minorEastAsia" w:cstheme="minorEastAsia"/>
                <w:color w:val="auto"/>
                <w:highlight w:val="none"/>
              </w:rPr>
              <w:t>在领取中标通知书前，一次性向采购代理机构支付。</w:t>
            </w:r>
          </w:p>
        </w:tc>
      </w:tr>
      <w:tr w14:paraId="4CBF1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47F2257">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D1A5955">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66E149C0">
            <w:pPr>
              <w:pStyle w:val="12"/>
              <w:snapToGrid w:val="0"/>
              <w:spacing w:line="380" w:lineRule="exact"/>
              <w:rPr>
                <w:color w:val="auto"/>
                <w:highlight w:val="none"/>
              </w:rPr>
            </w:pPr>
            <w:r>
              <w:rPr>
                <w:rFonts w:ascii="Segoe UI Symbol" w:hAnsi="Segoe UI Symbol" w:cs="Segoe UI Symbol"/>
                <w:color w:val="auto"/>
                <w:highlight w:val="none"/>
              </w:rPr>
              <w:t>☑</w:t>
            </w:r>
            <w:r>
              <w:rPr>
                <w:rFonts w:hint="eastAsia" w:hAnsi="宋体" w:cs="宋体"/>
                <w:color w:val="auto"/>
                <w:highlight w:val="none"/>
              </w:rPr>
              <w:t>固定采购代理收费</w:t>
            </w:r>
            <w:r>
              <w:rPr>
                <w:rFonts w:hint="eastAsia" w:hAnsi="宋体" w:cs="宋体"/>
                <w:color w:val="auto"/>
                <w:highlight w:val="none"/>
                <w:u w:val="single"/>
                <w:lang w:val="en-US" w:eastAsia="zh-CN"/>
              </w:rPr>
              <w:t>30000.00</w:t>
            </w:r>
            <w:r>
              <w:rPr>
                <w:rFonts w:hint="eastAsia" w:hAnsi="宋体" w:cs="宋体"/>
                <w:color w:val="auto"/>
                <w:highlight w:val="none"/>
              </w:rPr>
              <w:t>元 。</w:t>
            </w:r>
          </w:p>
        </w:tc>
      </w:tr>
      <w:tr w14:paraId="5B580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40E4A2F">
            <w:pPr>
              <w:widowControl/>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AF2FF26">
            <w:pPr>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40E1280D">
            <w:pPr>
              <w:pStyle w:val="12"/>
              <w:shd w:val="clear" w:color="auto" w:fill="FFFFFF"/>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开户名称：广西建设工程机电设备招标中心有限公司 </w:t>
            </w:r>
          </w:p>
          <w:p w14:paraId="4A584450">
            <w:pPr>
              <w:pStyle w:val="12"/>
              <w:shd w:val="clear" w:color="auto" w:fill="FFFFFF"/>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开户银行：招商银行南宁分行营业部</w:t>
            </w:r>
          </w:p>
          <w:p w14:paraId="5936D7C4">
            <w:pPr>
              <w:pStyle w:val="12"/>
              <w:snapToGrid w:val="0"/>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银行账号：7719 0142 3310 201 </w:t>
            </w:r>
          </w:p>
        </w:tc>
      </w:tr>
      <w:tr w14:paraId="29C07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B9134F3">
            <w:pPr>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1DC8E274">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6BCBB583">
            <w:pPr>
              <w:snapToGrid w:val="0"/>
              <w:spacing w:line="3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解释权：</w:t>
            </w:r>
            <w:r>
              <w:rPr>
                <w:rFonts w:hint="eastAsia" w:asciiTheme="minorEastAsia" w:hAnsiTheme="minorEastAsia" w:eastAsiaTheme="minorEastAsia" w:cstheme="minorEastAsia"/>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Theme="minorEastAsia" w:hAnsiTheme="minorEastAsia" w:eastAsiaTheme="minorEastAsia" w:cstheme="minorEastAsia"/>
                <w:b/>
                <w:color w:val="auto"/>
                <w:szCs w:val="21"/>
                <w:highlight w:val="none"/>
              </w:rPr>
              <w:t>，由采购人或者采购代理机构负责解释。</w:t>
            </w:r>
          </w:p>
          <w:p w14:paraId="104A3F6D">
            <w:pPr>
              <w:snapToGrid w:val="0"/>
              <w:spacing w:line="3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法律责任：</w:t>
            </w:r>
          </w:p>
          <w:p w14:paraId="3FD8E895">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62B37910">
            <w:pPr>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AF7B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77B3D74">
            <w:pPr>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6A8F184A">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61A185C8">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1705675">
            <w:pPr>
              <w:pStyle w:val="12"/>
              <w:snapToGrid w:val="0"/>
              <w:spacing w:line="3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40D14D7">
            <w:pP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68AFD8D2">
            <w:pPr>
              <w:pStyle w:val="12"/>
              <w:snapToGrid w:val="0"/>
              <w:spacing w:line="3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4.自然人投标的，招标文件规定盖公章处由自然人摁手指指印。</w:t>
            </w:r>
          </w:p>
          <w:p w14:paraId="58F4BDF1">
            <w:pPr>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5.本招标文件所称的“以上”“以下”“以内”“届满”，包括本数；所称的“不满”“超过”“以外”，不包括本数。</w:t>
            </w:r>
          </w:p>
        </w:tc>
      </w:tr>
    </w:tbl>
    <w:p w14:paraId="2F211718">
      <w:pPr>
        <w:widowControl/>
        <w:spacing w:line="412" w:lineRule="auto"/>
        <w:jc w:val="left"/>
        <w:rPr>
          <w:rFonts w:hint="eastAsia" w:asciiTheme="minorEastAsia" w:hAnsiTheme="minorEastAsia" w:eastAsiaTheme="minorEastAsia" w:cstheme="minorEastAsia"/>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61E185E1">
      <w:pPr>
        <w:pStyle w:val="4"/>
        <w:jc w:val="center"/>
        <w:rPr>
          <w:rFonts w:hint="eastAsia" w:asciiTheme="minorEastAsia" w:hAnsiTheme="minorEastAsia" w:eastAsiaTheme="minorEastAsia" w:cstheme="minorEastAsia"/>
          <w:color w:val="auto"/>
          <w:highlight w:val="none"/>
        </w:rPr>
      </w:pPr>
      <w:bookmarkStart w:id="52" w:name="_Toc26256"/>
      <w:r>
        <w:rPr>
          <w:rFonts w:hint="eastAsia" w:asciiTheme="minorEastAsia" w:hAnsiTheme="minorEastAsia" w:eastAsiaTheme="minorEastAsia" w:cstheme="minorEastAsia"/>
          <w:color w:val="auto"/>
          <w:highlight w:val="none"/>
        </w:rPr>
        <w:t>须知正文</w:t>
      </w:r>
      <w:bookmarkEnd w:id="52"/>
    </w:p>
    <w:p w14:paraId="0A45AD69">
      <w:pPr>
        <w:pStyle w:val="5"/>
        <w:keepNext w:val="0"/>
        <w:keepLines w:val="0"/>
        <w:spacing w:line="400" w:lineRule="exact"/>
        <w:jc w:val="center"/>
        <w:rPr>
          <w:rFonts w:hint="eastAsia" w:asciiTheme="minorEastAsia" w:hAnsiTheme="minorEastAsia" w:eastAsiaTheme="minorEastAsia" w:cstheme="minorEastAsia"/>
          <w:color w:val="auto"/>
          <w:highlight w:val="none"/>
        </w:rPr>
      </w:pPr>
      <w:bookmarkStart w:id="53" w:name="_Toc5147"/>
      <w:bookmarkStart w:id="54" w:name="_Toc24326"/>
      <w:r>
        <w:rPr>
          <w:rFonts w:hint="eastAsia" w:asciiTheme="minorEastAsia" w:hAnsiTheme="minorEastAsia" w:eastAsiaTheme="minorEastAsia" w:cstheme="minorEastAsia"/>
          <w:color w:val="auto"/>
          <w:highlight w:val="none"/>
        </w:rPr>
        <w:t>一、总  则</w:t>
      </w:r>
      <w:bookmarkEnd w:id="53"/>
      <w:bookmarkEnd w:id="54"/>
    </w:p>
    <w:p w14:paraId="18D98BC8">
      <w:pPr>
        <w:spacing w:line="360" w:lineRule="auto"/>
        <w:ind w:firstLine="480" w:firstLineChars="200"/>
        <w:rPr>
          <w:rFonts w:hint="eastAsia" w:asciiTheme="minorEastAsia" w:hAnsiTheme="minorEastAsia" w:eastAsiaTheme="minorEastAsia" w:cstheme="minorEastAsia"/>
          <w:color w:val="auto"/>
          <w:sz w:val="24"/>
          <w:highlight w:val="none"/>
        </w:rPr>
      </w:pPr>
      <w:bookmarkStart w:id="55" w:name="_Toc254970527"/>
      <w:bookmarkStart w:id="56" w:name="_Toc254970668"/>
      <w:r>
        <w:rPr>
          <w:rFonts w:hint="eastAsia" w:asciiTheme="minorEastAsia" w:hAnsiTheme="minorEastAsia" w:eastAsiaTheme="minorEastAsia" w:cstheme="minorEastAsia"/>
          <w:color w:val="auto"/>
          <w:sz w:val="24"/>
          <w:highlight w:val="none"/>
        </w:rPr>
        <w:t>1.适用范围</w:t>
      </w:r>
      <w:bookmarkEnd w:id="55"/>
      <w:bookmarkEnd w:id="56"/>
    </w:p>
    <w:p w14:paraId="169B8F5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A9FEB9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1.2本招标文件</w:t>
      </w:r>
      <w:r>
        <w:rPr>
          <w:rFonts w:hint="eastAsia" w:asciiTheme="minorEastAsia" w:hAnsiTheme="minorEastAsia" w:eastAsiaTheme="minorEastAsia" w:cstheme="minorEastAsia"/>
          <w:color w:val="auto"/>
          <w:spacing w:val="-6"/>
          <w:szCs w:val="21"/>
          <w:highlight w:val="none"/>
        </w:rPr>
        <w:t>适用于本项目的所有采购程序和环节（法律、法规另有规定的，从其规定）。</w:t>
      </w:r>
    </w:p>
    <w:p w14:paraId="0077FF84">
      <w:pPr>
        <w:spacing w:line="360" w:lineRule="auto"/>
        <w:ind w:firstLine="480" w:firstLineChars="200"/>
        <w:rPr>
          <w:rFonts w:hint="eastAsia" w:asciiTheme="minorEastAsia" w:hAnsiTheme="minorEastAsia" w:eastAsiaTheme="minorEastAsia" w:cstheme="minorEastAsia"/>
          <w:color w:val="auto"/>
          <w:sz w:val="24"/>
          <w:highlight w:val="none"/>
        </w:rPr>
      </w:pPr>
      <w:bookmarkStart w:id="57" w:name="_Toc254970669"/>
      <w:bookmarkStart w:id="58" w:name="_Toc254970528"/>
      <w:r>
        <w:rPr>
          <w:rFonts w:hint="eastAsia" w:asciiTheme="minorEastAsia" w:hAnsiTheme="minorEastAsia" w:eastAsiaTheme="minorEastAsia" w:cstheme="minorEastAsia"/>
          <w:color w:val="auto"/>
          <w:sz w:val="24"/>
          <w:highlight w:val="none"/>
        </w:rPr>
        <w:t>2.定义</w:t>
      </w:r>
      <w:bookmarkEnd w:id="57"/>
      <w:bookmarkEnd w:id="58"/>
    </w:p>
    <w:p w14:paraId="6698D24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2.1“采购人”是指依法进行政府采购的国家机关、事业单位、团体组织。</w:t>
      </w:r>
    </w:p>
    <w:p w14:paraId="263ECA1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2.2“采购代理机构” 指政府采购集中采购机构和集中采购机构以外的采购代理机构。</w:t>
      </w:r>
    </w:p>
    <w:p w14:paraId="7697BF5C">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2.3“供应商”是指向采购人提供货物、工程或者服务的法人、其他组织或者自然人。</w:t>
      </w:r>
    </w:p>
    <w:p w14:paraId="67EF8B2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2.4“投标人”是指响应招标、参加投标竞争的法人、非法人组织或者自然人。</w:t>
      </w:r>
    </w:p>
    <w:p w14:paraId="239E4D2C">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2.5“服务”是指除货物和工程以外的其他政府采购对象。</w:t>
      </w:r>
    </w:p>
    <w:p w14:paraId="719F631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2.6“书面形式”是指合同书、信件和数据电文（包括电报、电传、传真、短信、电子数据交换和电子邮件）等可以有形地表现所载内容的形式。</w:t>
      </w:r>
    </w:p>
    <w:p w14:paraId="3795E7FB">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2.7“实质性要求”是指招标文件中已经指明不满足则投标无效的条款，或者不能负偏离的条款，或者采购需求中带“</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color w:val="auto"/>
          <w:szCs w:val="21"/>
          <w:highlight w:val="none"/>
        </w:rPr>
        <w:t>”的条款。</w:t>
      </w:r>
    </w:p>
    <w:p w14:paraId="621E18D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2.8“正偏离”，是指投标文件对招标文件“采购需求”中有关条款作出的响应优于条款要求并有利于采购人的情形。</w:t>
      </w:r>
    </w:p>
    <w:p w14:paraId="240DB08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2.9“负偏离”，是指投标文件对招标文件“采购需求”中有关条款作出的响应不满足条款要求，导致采购人要求不能得到满足的情形。</w:t>
      </w:r>
    </w:p>
    <w:p w14:paraId="33AD2E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2.10“允许负偏离的条款”是指采购需求中的不属于“实质性要求”的条款。</w:t>
      </w:r>
      <w:bookmarkStart w:id="59" w:name="_Toc254970670"/>
      <w:bookmarkStart w:id="60" w:name="_Toc254970529"/>
    </w:p>
    <w:p w14:paraId="6A0707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bookmarkEnd w:id="59"/>
      <w:bookmarkEnd w:id="60"/>
      <w:r>
        <w:rPr>
          <w:rFonts w:hint="eastAsia" w:asciiTheme="minorEastAsia" w:hAnsiTheme="minorEastAsia" w:eastAsiaTheme="minorEastAsia" w:cstheme="minorEastAsia"/>
          <w:color w:val="auto"/>
          <w:sz w:val="24"/>
          <w:highlight w:val="none"/>
        </w:rPr>
        <w:t>投标人的资格要求</w:t>
      </w:r>
    </w:p>
    <w:p w14:paraId="3E41003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投标人的资格要求详见“招标公告”。</w:t>
      </w:r>
    </w:p>
    <w:p w14:paraId="03794B30">
      <w:pPr>
        <w:spacing w:line="360" w:lineRule="auto"/>
        <w:ind w:firstLine="480" w:firstLineChars="200"/>
        <w:rPr>
          <w:rFonts w:hint="eastAsia" w:asciiTheme="minorEastAsia" w:hAnsiTheme="minorEastAsia" w:eastAsiaTheme="minorEastAsia" w:cstheme="minorEastAsia"/>
          <w:color w:val="auto"/>
          <w:sz w:val="24"/>
          <w:highlight w:val="none"/>
        </w:rPr>
      </w:pPr>
      <w:bookmarkStart w:id="61" w:name="_Toc254970530"/>
      <w:bookmarkStart w:id="62" w:name="_Toc254970671"/>
      <w:r>
        <w:rPr>
          <w:rFonts w:hint="eastAsia" w:asciiTheme="minorEastAsia" w:hAnsiTheme="minorEastAsia" w:eastAsiaTheme="minorEastAsia" w:cstheme="minorEastAsia"/>
          <w:color w:val="auto"/>
          <w:sz w:val="24"/>
          <w:highlight w:val="none"/>
        </w:rPr>
        <w:t>4.投标委托</w:t>
      </w:r>
      <w:bookmarkEnd w:id="61"/>
      <w:bookmarkEnd w:id="62"/>
    </w:p>
    <w:p w14:paraId="5B53143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2DA259EF">
      <w:pPr>
        <w:spacing w:line="360" w:lineRule="auto"/>
        <w:ind w:firstLine="480" w:firstLineChars="200"/>
        <w:rPr>
          <w:rFonts w:hint="eastAsia" w:asciiTheme="minorEastAsia" w:hAnsiTheme="minorEastAsia" w:eastAsiaTheme="minorEastAsia" w:cstheme="minorEastAsia"/>
          <w:color w:val="auto"/>
          <w:sz w:val="24"/>
          <w:highlight w:val="none"/>
        </w:rPr>
      </w:pPr>
      <w:bookmarkStart w:id="63" w:name="_5.投标费用"/>
      <w:bookmarkEnd w:id="63"/>
      <w:bookmarkStart w:id="64" w:name="_Toc254970531"/>
      <w:bookmarkStart w:id="65" w:name="_Toc254970672"/>
      <w:r>
        <w:rPr>
          <w:rFonts w:hint="eastAsia" w:asciiTheme="minorEastAsia" w:hAnsiTheme="minorEastAsia" w:eastAsiaTheme="minorEastAsia" w:cstheme="minorEastAsia"/>
          <w:color w:val="auto"/>
          <w:sz w:val="24"/>
          <w:highlight w:val="none"/>
        </w:rPr>
        <w:t>5.投标费用</w:t>
      </w:r>
      <w:bookmarkEnd w:id="64"/>
      <w:bookmarkEnd w:id="65"/>
    </w:p>
    <w:p w14:paraId="30ED31A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投标费用：投标人应承担参与本次采购活动有关的所有费用，包括但不限于勘查现场、编制投标文件、参加澄清说明、签订合同等，不论投标结果如何，均应自行承担。</w:t>
      </w:r>
    </w:p>
    <w:p w14:paraId="69F762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6.联合体投标</w:t>
      </w:r>
    </w:p>
    <w:p w14:paraId="7843FF0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6.1本项目是否接受联合体投标，详见“投标人须知前附表”。</w:t>
      </w:r>
    </w:p>
    <w:p w14:paraId="7FE051AE">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6.2如接受联合体投标，联合体投标要求详见“投标人须知前附表”。</w:t>
      </w:r>
    </w:p>
    <w:p w14:paraId="4BD2B873">
      <w:pPr>
        <w:spacing w:line="360" w:lineRule="auto"/>
        <w:ind w:firstLine="420" w:firstLineChars="200"/>
        <w:rPr>
          <w:rFonts w:hint="eastAsia" w:asciiTheme="minorEastAsia" w:hAnsiTheme="minorEastAsia" w:eastAsiaTheme="minorEastAsia" w:cstheme="minorEastAsia"/>
          <w:bCs/>
          <w:color w:val="auto"/>
          <w:sz w:val="24"/>
          <w:szCs w:val="21"/>
          <w:highlight w:val="none"/>
          <w:shd w:val="clear" w:color="auto" w:fill="FFFFFF"/>
        </w:rPr>
      </w:pPr>
      <w:r>
        <w:rPr>
          <w:rFonts w:hint="eastAsia" w:asciiTheme="minorEastAsia" w:hAnsiTheme="minorEastAsia" w:eastAsiaTheme="minorEastAsia" w:cstheme="minorEastAsia"/>
          <w:bCs/>
          <w:color w:val="auto"/>
          <w:szCs w:val="21"/>
          <w:highlight w:val="none"/>
        </w:rPr>
        <w:t>6.3根据《政府采购促进中小企业发展管理办法》（财库[2020]46号）第九条、</w:t>
      </w:r>
      <w:r>
        <w:rPr>
          <w:rFonts w:hint="eastAsia"/>
          <w:color w:val="auto"/>
          <w:highlight w:val="none"/>
        </w:rPr>
        <w:t>《广西壮族自治区财政厅关于持续优化政府采购营商环境推动高质量发展的通知》（桂财采〔2024〕55号）</w:t>
      </w:r>
      <w:r>
        <w:rPr>
          <w:rFonts w:hint="eastAsia" w:asciiTheme="minorEastAsia" w:hAnsiTheme="minorEastAsia" w:eastAsiaTheme="minorEastAsia" w:cstheme="minorEastAsia"/>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B9BA43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7.转包与分包             </w:t>
      </w:r>
    </w:p>
    <w:p w14:paraId="0A41DA0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A139827">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7.2根据《政府采购促进中小企业发展管理办法》（财库[2020]46号）第九条及</w:t>
      </w:r>
      <w:r>
        <w:rPr>
          <w:rFonts w:hint="eastAsia"/>
          <w:color w:val="auto"/>
          <w:highlight w:val="none"/>
        </w:rPr>
        <w:t>《广西壮族自治区财政厅关于持续优化政府采购营商环境推动高质量发展的通知》（桂财采〔2024〕55号）</w:t>
      </w:r>
      <w:r>
        <w:rPr>
          <w:rFonts w:hint="eastAsia" w:asciiTheme="minorEastAsia" w:hAnsiTheme="minorEastAsia" w:eastAsiaTheme="minorEastAsia" w:cstheme="minorEastAsia"/>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B3C3875">
      <w:pPr>
        <w:spacing w:line="360" w:lineRule="auto"/>
        <w:ind w:firstLine="480" w:firstLineChars="200"/>
        <w:rPr>
          <w:rFonts w:hint="eastAsia" w:asciiTheme="minorEastAsia" w:hAnsiTheme="minorEastAsia" w:eastAsiaTheme="minorEastAsia" w:cstheme="minorEastAsia"/>
          <w:color w:val="auto"/>
          <w:sz w:val="24"/>
          <w:highlight w:val="none"/>
        </w:rPr>
      </w:pPr>
      <w:bookmarkStart w:id="66" w:name="_Toc254970673"/>
      <w:bookmarkStart w:id="67" w:name="_Toc254970532"/>
      <w:r>
        <w:rPr>
          <w:rFonts w:hint="eastAsia" w:asciiTheme="minorEastAsia" w:hAnsiTheme="minorEastAsia" w:eastAsiaTheme="minorEastAsia" w:cstheme="minorEastAsia"/>
          <w:color w:val="auto"/>
          <w:sz w:val="24"/>
          <w:highlight w:val="none"/>
        </w:rPr>
        <w:t>8.特别说明：</w:t>
      </w:r>
      <w:bookmarkEnd w:id="66"/>
      <w:bookmarkEnd w:id="67"/>
      <w:bookmarkStart w:id="68" w:name="_8.1提供相同品牌产品且通过资格审查、符合性审查的不同投标人参加同一合"/>
      <w:bookmarkEnd w:id="68"/>
    </w:p>
    <w:p w14:paraId="6CEB8BFC">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8.1如果本招标文件要求投标人提供资格、信誉、荣誉、业绩与企业认证等材料的，则投标人所提供的以上材料必须为投标人所拥有。</w:t>
      </w:r>
    </w:p>
    <w:p w14:paraId="433CD52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8.2投标人应仔细阅读招标文件的所有内容，按照招标文件的要求提交投标文件，并对所提供的全部资料的真实性承担法律责任。</w:t>
      </w:r>
    </w:p>
    <w:p w14:paraId="0DBC27DE">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193EB2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9.回避与串通投标</w:t>
      </w:r>
    </w:p>
    <w:p w14:paraId="03A2D66A">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9.1在政府采购活动中，采购人员及相关人员与供应商有下列利害关系之一的，应当回避：</w:t>
      </w:r>
    </w:p>
    <w:p w14:paraId="37E6EEF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（1）参加采购活动前3年内与供应商存在劳动关系；</w:t>
      </w:r>
    </w:p>
    <w:p w14:paraId="70B8A9D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（2）参加采购活动前3年内担任供应商的董事、监事；</w:t>
      </w:r>
    </w:p>
    <w:p w14:paraId="1F1B2C2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（3）参加采购活动前3年内是供应商的控股股东或者实际控制人；</w:t>
      </w:r>
    </w:p>
    <w:p w14:paraId="5924C15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（4）与供应商的法定代表人或者负责人有夫妻、直系血亲、三代以内旁系血亲或者近姻亲关系；</w:t>
      </w:r>
    </w:p>
    <w:p w14:paraId="032960E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（5）与供应商有其他可能影响政府采购活动公平、公正进行的关系。</w:t>
      </w:r>
    </w:p>
    <w:p w14:paraId="2086C4B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C97498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9.2有下列情形之一的视为投标人相互串通投标，投标文件将被视为无效：</w:t>
      </w:r>
    </w:p>
    <w:p w14:paraId="64E81510">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（1）不同投标人的投标文件由同一单位或者个人编制；或者不同投标人报名的IP地址一致的；或者编制标书硬件设备CPU编号、硬盘编号、网卡地址一致的情况。</w:t>
      </w:r>
    </w:p>
    <w:p w14:paraId="783CCCB6">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（2）不同投标人委托同一单位或者个人办理投标事宜；</w:t>
      </w:r>
    </w:p>
    <w:p w14:paraId="153992B3">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（3）不同的投标人的投标文件载明的项目管理员为同一个人；</w:t>
      </w:r>
    </w:p>
    <w:p w14:paraId="50FAF7C3">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（4）不同投标人的电子或纸质投标文件异常一致或者投标报价呈规律性差异；</w:t>
      </w:r>
    </w:p>
    <w:p w14:paraId="7B68A808">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（5）不同投标人的纸质投标文件相互混装；</w:t>
      </w:r>
    </w:p>
    <w:p w14:paraId="141B11A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9.3供应商有下列情形之一的，属于恶意串通行为，将报同级监督管理部门：</w:t>
      </w:r>
    </w:p>
    <w:p w14:paraId="793A7A9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（1）供应商直接或者间接从采购人或者采购代理机构处获得其他供应商的相关信息并修改其投标文件或者投标文件；</w:t>
      </w:r>
    </w:p>
    <w:p w14:paraId="1EE698E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（2）供应商按照采购人或者采购代理机构的授意撤换、修改投标文件或者投标文件；</w:t>
      </w:r>
    </w:p>
    <w:p w14:paraId="64A9A1C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（3）供应商之间协商报价、技术方案等投标文件或者投标文件的实质性内容；</w:t>
      </w:r>
    </w:p>
    <w:p w14:paraId="23DD033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（4）属于同一集团、协会、商会等组织成员的供应商按照该组织要求协同参加政府采购活动；</w:t>
      </w:r>
    </w:p>
    <w:p w14:paraId="774FC3D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（5）供应商之间事先约定一致抬高或者压低投标报价，或者在招标项目中事先约定轮流以高价位或者低价位中标，或者事先约定由某一特定供应商中标，然后再参加投标；</w:t>
      </w:r>
    </w:p>
    <w:p w14:paraId="3740528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（6）供应商之间商定部分供应商放弃参加政府采购活动或者放弃中标；</w:t>
      </w:r>
    </w:p>
    <w:p w14:paraId="0B6D9B7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（7）供应商与采购人或者采购代理机构之间、供应商相互之间，为谋求特定供应商中标或者排斥其他供应商的其他串通行为。</w:t>
      </w:r>
    </w:p>
    <w:p w14:paraId="4CA64588">
      <w:pPr>
        <w:pStyle w:val="12"/>
        <w:snapToGrid w:val="0"/>
        <w:spacing w:line="360" w:lineRule="auto"/>
        <w:ind w:left="2" w:leftChars="1" w:firstLine="422" w:firstLineChars="200"/>
        <w:rPr>
          <w:rFonts w:hint="eastAsia" w:asciiTheme="minorEastAsia" w:hAnsiTheme="minorEastAsia" w:eastAsiaTheme="minorEastAsia" w:cstheme="minorEastAsia"/>
          <w:b/>
          <w:color w:val="auto"/>
          <w:highlight w:val="none"/>
        </w:rPr>
      </w:pPr>
    </w:p>
    <w:p w14:paraId="52C9B5EC">
      <w:pPr>
        <w:pStyle w:val="5"/>
        <w:keepNext w:val="0"/>
        <w:keepLines w:val="0"/>
        <w:spacing w:line="400" w:lineRule="exact"/>
        <w:jc w:val="center"/>
        <w:rPr>
          <w:rFonts w:hint="eastAsia" w:asciiTheme="minorEastAsia" w:hAnsiTheme="minorEastAsia" w:eastAsiaTheme="minorEastAsia" w:cstheme="minorEastAsia"/>
          <w:color w:val="auto"/>
          <w:highlight w:val="none"/>
        </w:rPr>
      </w:pPr>
      <w:bookmarkStart w:id="69" w:name="_Toc28438"/>
      <w:bookmarkStart w:id="70" w:name="_Toc254970675"/>
      <w:bookmarkStart w:id="71" w:name="_Toc20943"/>
      <w:bookmarkStart w:id="72" w:name="_Toc254970534"/>
      <w:r>
        <w:rPr>
          <w:rFonts w:hint="eastAsia" w:asciiTheme="minorEastAsia" w:hAnsiTheme="minorEastAsia" w:eastAsiaTheme="minorEastAsia" w:cstheme="minorEastAsia"/>
          <w:color w:val="auto"/>
          <w:highlight w:val="none"/>
        </w:rPr>
        <w:t>二、招标文件</w:t>
      </w:r>
      <w:bookmarkEnd w:id="69"/>
      <w:bookmarkEnd w:id="70"/>
      <w:bookmarkEnd w:id="71"/>
      <w:bookmarkEnd w:id="72"/>
    </w:p>
    <w:p w14:paraId="724C410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10.招标文件的组成</w:t>
      </w:r>
    </w:p>
    <w:p w14:paraId="6682137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招标公告；</w:t>
      </w:r>
    </w:p>
    <w:p w14:paraId="00EBDFF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第二章 采购需求； </w:t>
      </w:r>
    </w:p>
    <w:p w14:paraId="16C556C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第三章 投标人须知；</w:t>
      </w:r>
    </w:p>
    <w:p w14:paraId="43168D2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第四章 评标方法及评标标准；</w:t>
      </w:r>
    </w:p>
    <w:p w14:paraId="31A57EC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第五章 拟签订的合同文本；</w:t>
      </w:r>
    </w:p>
    <w:p w14:paraId="329820B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投标文件格式；</w:t>
      </w:r>
    </w:p>
    <w:p w14:paraId="6DFBA6B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第七章 质疑、投诉材料格式</w:t>
      </w:r>
    </w:p>
    <w:p w14:paraId="548B1F9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40889E5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11.招标文件的澄清、修改 、现场考察和答疑会</w:t>
      </w:r>
    </w:p>
    <w:p w14:paraId="35F6ADFF">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D34DFE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投标人应认真审阅本公开招标文件，如有疑问，或发现其中有误或有要求不合理的，应在投标人须知前附表规定的</w:t>
      </w:r>
      <w:r>
        <w:rPr>
          <w:rFonts w:hint="eastAsia" w:asciiTheme="minorEastAsia" w:hAnsiTheme="minorEastAsia" w:eastAsiaTheme="minorEastAsia" w:cstheme="minorEastAsia"/>
          <w:color w:val="auto"/>
          <w:kern w:val="0"/>
          <w:szCs w:val="21"/>
          <w:highlight w:val="none"/>
        </w:rPr>
        <w:t>投标截止时间</w:t>
      </w:r>
      <w:r>
        <w:rPr>
          <w:rFonts w:hint="eastAsia" w:asciiTheme="minorEastAsia" w:hAnsiTheme="minorEastAsia" w:eastAsiaTheme="minorEastAsia" w:cstheme="minorEastAsia"/>
          <w:color w:val="auto"/>
          <w:highlight w:val="none"/>
        </w:rPr>
        <w:t>前以书面形式要求采购人或采购代理机构对招标文件予以澄清；否则，由此产生的后果由投标人自行负责。</w:t>
      </w:r>
    </w:p>
    <w:p w14:paraId="77C090C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Theme="minorEastAsia" w:hAnsiTheme="minorEastAsia" w:eastAsiaTheme="minorEastAsia" w:cstheme="minorEastAsia"/>
          <w:color w:val="auto"/>
          <w:szCs w:val="21"/>
          <w:highlight w:val="none"/>
        </w:rPr>
        <w:t>投标人须知前附表”</w:t>
      </w:r>
      <w:r>
        <w:rPr>
          <w:rFonts w:hint="eastAsia" w:asciiTheme="minorEastAsia" w:hAnsiTheme="minorEastAsia" w:eastAsiaTheme="minorEastAsia" w:cstheme="minorEastAsia"/>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8309B1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采购人和采购代理机构可以视采购具体情况，变更投标截止时间和开标时间，将变更时间将在“</w:t>
      </w:r>
      <w:r>
        <w:rPr>
          <w:rFonts w:hint="eastAsia" w:asciiTheme="minorEastAsia" w:hAnsiTheme="minorEastAsia" w:eastAsiaTheme="minorEastAsia" w:cstheme="minorEastAsia"/>
          <w:color w:val="auto"/>
          <w:szCs w:val="21"/>
          <w:highlight w:val="none"/>
        </w:rPr>
        <w:t>投标人须知前附表”</w:t>
      </w:r>
      <w:r>
        <w:rPr>
          <w:rFonts w:hint="eastAsia" w:asciiTheme="minorEastAsia" w:hAnsiTheme="minorEastAsia" w:eastAsiaTheme="minorEastAsia" w:cstheme="minorEastAsia"/>
          <w:color w:val="auto"/>
          <w:kern w:val="0"/>
          <w:szCs w:val="21"/>
          <w:highlight w:val="none"/>
        </w:rPr>
        <w:t>规定的政府采购信息发布媒体上</w:t>
      </w:r>
      <w:r>
        <w:rPr>
          <w:rFonts w:hint="eastAsia" w:asciiTheme="minorEastAsia" w:hAnsiTheme="minorEastAsia" w:eastAsiaTheme="minorEastAsia" w:cstheme="minorEastAsia"/>
          <w:color w:val="auto"/>
          <w:highlight w:val="none"/>
        </w:rPr>
        <w:t>发布更正公告。</w:t>
      </w:r>
    </w:p>
    <w:p w14:paraId="5EBE20F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bookmarkStart w:id="73" w:name="_Hlk53134511"/>
      <w:r>
        <w:rPr>
          <w:rFonts w:hint="eastAsia" w:asciiTheme="minorEastAsia" w:hAnsiTheme="minorEastAsia" w:eastAsiaTheme="minorEastAsia" w:cstheme="minorEastAsia"/>
          <w:color w:val="auto"/>
          <w:highlight w:val="none"/>
        </w:rPr>
        <w:t>5采购人或者采购代理机构可以在招标文件提供期限截止后，组织已获取招标文件的潜在投标人现场考察或者召开开标前答疑会，具体详见“投标人须知前附表”。</w:t>
      </w:r>
    </w:p>
    <w:bookmarkEnd w:id="73"/>
    <w:p w14:paraId="7B36734F">
      <w:pPr>
        <w:pStyle w:val="5"/>
        <w:keepNext w:val="0"/>
        <w:keepLines w:val="0"/>
        <w:spacing w:line="400" w:lineRule="exact"/>
        <w:jc w:val="center"/>
        <w:rPr>
          <w:rFonts w:hint="eastAsia" w:asciiTheme="minorEastAsia" w:hAnsiTheme="minorEastAsia" w:eastAsiaTheme="minorEastAsia" w:cstheme="minorEastAsia"/>
          <w:color w:val="auto"/>
          <w:highlight w:val="none"/>
        </w:rPr>
      </w:pPr>
      <w:bookmarkStart w:id="74" w:name="_Toc254970535"/>
      <w:bookmarkStart w:id="75" w:name="_Toc5025"/>
      <w:bookmarkStart w:id="76" w:name="_Toc254970676"/>
      <w:bookmarkStart w:id="77" w:name="_Toc3710"/>
      <w:r>
        <w:rPr>
          <w:rFonts w:hint="eastAsia" w:asciiTheme="minorEastAsia" w:hAnsiTheme="minorEastAsia" w:eastAsiaTheme="minorEastAsia" w:cstheme="minorEastAsia"/>
          <w:color w:val="auto"/>
          <w:highlight w:val="none"/>
        </w:rPr>
        <w:t>三、投标文件的编制</w:t>
      </w:r>
      <w:bookmarkEnd w:id="74"/>
      <w:bookmarkEnd w:id="75"/>
      <w:bookmarkEnd w:id="76"/>
      <w:bookmarkEnd w:id="77"/>
    </w:p>
    <w:p w14:paraId="1384B9F8">
      <w:pPr>
        <w:spacing w:line="360" w:lineRule="auto"/>
        <w:ind w:firstLine="480" w:firstLineChars="200"/>
        <w:rPr>
          <w:rFonts w:hint="eastAsia" w:asciiTheme="minorEastAsia" w:hAnsiTheme="minorEastAsia" w:eastAsiaTheme="minorEastAsia" w:cstheme="minorEastAsia"/>
          <w:color w:val="auto"/>
          <w:sz w:val="24"/>
          <w:highlight w:val="none"/>
        </w:rPr>
      </w:pPr>
      <w:bookmarkStart w:id="78" w:name="_Toc254970536"/>
      <w:bookmarkStart w:id="79" w:name="_Toc254970677"/>
      <w:r>
        <w:rPr>
          <w:rFonts w:hint="eastAsia" w:asciiTheme="minorEastAsia" w:hAnsiTheme="minorEastAsia" w:eastAsiaTheme="minorEastAsia" w:cstheme="minorEastAsia"/>
          <w:color w:val="auto"/>
          <w:sz w:val="24"/>
          <w:highlight w:val="none"/>
        </w:rPr>
        <w:t>12.投标文件的编制原则</w:t>
      </w:r>
    </w:p>
    <w:p w14:paraId="1ADA38F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12.1投标人必须按照招标文件的要求编制投标文件。投标文件必须对招标文件提出的要求和条件作出明确响应。</w:t>
      </w:r>
    </w:p>
    <w:p w14:paraId="376687F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F41549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13.投标文件的组成</w:t>
      </w:r>
      <w:bookmarkEnd w:id="78"/>
      <w:bookmarkEnd w:id="79"/>
    </w:p>
    <w:p w14:paraId="6C43983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13.1投标文件由报价文件、资格证明文件、商务文件、技术文件四部分组成。</w:t>
      </w:r>
    </w:p>
    <w:p w14:paraId="5309C0D1">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0" w:name="_13.2资格证明文件：具体材料见“投标人须知前附表”。"/>
      <w:bookmarkEnd w:id="80"/>
      <w:bookmarkStart w:id="81" w:name="_13.1报价文件:_具体材料见“投标人须知前附表”。"/>
      <w:bookmarkEnd w:id="81"/>
      <w:r>
        <w:rPr>
          <w:rFonts w:hint="eastAsia" w:asciiTheme="minorEastAsia" w:hAnsiTheme="minorEastAsia" w:eastAsiaTheme="minorEastAsia" w:cstheme="minorEastAsia"/>
          <w:bCs/>
          <w:color w:val="auto"/>
          <w:szCs w:val="21"/>
          <w:highlight w:val="none"/>
        </w:rPr>
        <w:t>（1）资格证明文件：具体材料见“投标人须知前附表”。</w:t>
      </w:r>
    </w:p>
    <w:p w14:paraId="4A466DDD">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2" w:name="_13.3商务文件:_具体材料见“投标人须知前附表”。"/>
      <w:bookmarkEnd w:id="82"/>
      <w:r>
        <w:rPr>
          <w:rFonts w:hint="eastAsia" w:asciiTheme="minorEastAsia" w:hAnsiTheme="minorEastAsia" w:eastAsiaTheme="minorEastAsia" w:cstheme="minorEastAsia"/>
          <w:bCs/>
          <w:color w:val="auto"/>
          <w:szCs w:val="21"/>
          <w:highlight w:val="none"/>
        </w:rPr>
        <w:t>（2）商务文件：具体材料见“投标人须知前附表”。</w:t>
      </w:r>
    </w:p>
    <w:p w14:paraId="3A760AC6">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3" w:name="_13.4技术文件：具体材料见“投标人须知前附表”。"/>
      <w:bookmarkEnd w:id="83"/>
      <w:r>
        <w:rPr>
          <w:rFonts w:hint="eastAsia" w:asciiTheme="minorEastAsia" w:hAnsiTheme="minorEastAsia" w:eastAsiaTheme="minorEastAsia" w:cstheme="minorEastAsia"/>
          <w:bCs/>
          <w:color w:val="auto"/>
          <w:szCs w:val="21"/>
          <w:highlight w:val="none"/>
        </w:rPr>
        <w:t xml:space="preserve">（3）技术文件：具体材料见“投标人须知前附表”。 </w:t>
      </w:r>
    </w:p>
    <w:p w14:paraId="00446B04">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（4）报价文件： 具体材料见“投标人须知前附表”。</w:t>
      </w:r>
    </w:p>
    <w:p w14:paraId="500A3F2B">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4" w:name="_13.5投标文件电子版：具体材料见“投标人须知前附表”。"/>
      <w:bookmarkEnd w:id="84"/>
      <w:r>
        <w:rPr>
          <w:rFonts w:hint="eastAsia" w:asciiTheme="minorEastAsia" w:hAnsiTheme="minorEastAsia" w:eastAsiaTheme="minorEastAsia" w:cstheme="minorEastAsia"/>
          <w:bCs/>
          <w:color w:val="auto"/>
          <w:szCs w:val="21"/>
          <w:highlight w:val="none"/>
        </w:rPr>
        <w:t>13.2投标文件电子版：具体要求见本节19.投标文件编制。</w:t>
      </w:r>
    </w:p>
    <w:p w14:paraId="3331F948">
      <w:pPr>
        <w:spacing w:line="360" w:lineRule="auto"/>
        <w:ind w:firstLine="480" w:firstLineChars="200"/>
        <w:rPr>
          <w:rFonts w:hint="eastAsia" w:asciiTheme="minorEastAsia" w:hAnsiTheme="minorEastAsia" w:eastAsiaTheme="minorEastAsia" w:cstheme="minorEastAsia"/>
          <w:color w:val="auto"/>
          <w:sz w:val="24"/>
          <w:highlight w:val="none"/>
        </w:rPr>
      </w:pPr>
      <w:bookmarkStart w:id="85" w:name="_Toc254970678"/>
      <w:bookmarkStart w:id="86" w:name="_Toc254970537"/>
      <w:r>
        <w:rPr>
          <w:rFonts w:hint="eastAsia" w:asciiTheme="minorEastAsia" w:hAnsiTheme="minorEastAsia" w:eastAsiaTheme="minorEastAsia" w:cstheme="minorEastAsia"/>
          <w:color w:val="auto"/>
          <w:sz w:val="24"/>
          <w:highlight w:val="none"/>
        </w:rPr>
        <w:t>14.投标文件的语言及计量</w:t>
      </w:r>
      <w:bookmarkEnd w:id="85"/>
      <w:bookmarkEnd w:id="86"/>
    </w:p>
    <w:p w14:paraId="59726E8D">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14.1语言文字</w:t>
      </w:r>
    </w:p>
    <w:p w14:paraId="33C20B4E">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877A56">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14.2投标计量单位</w:t>
      </w:r>
    </w:p>
    <w:p w14:paraId="08B14B9A">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招标文件已有明确规定的，使用招标文件规定的计量单位；招标文件没有规定的，应采用中华人民共和国法定计量单位，货币种类为人民币，否则视同未响应。</w:t>
      </w:r>
    </w:p>
    <w:p w14:paraId="2B50CC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15.投标文件提交的风险</w:t>
      </w:r>
    </w:p>
    <w:p w14:paraId="13BCE7B1">
      <w:pPr>
        <w:spacing w:line="360" w:lineRule="auto"/>
        <w:ind w:firstLine="42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14:paraId="6B0E20A6">
      <w:pPr>
        <w:spacing w:line="360" w:lineRule="auto"/>
        <w:ind w:firstLine="480" w:firstLineChars="200"/>
        <w:rPr>
          <w:rFonts w:hint="eastAsia" w:asciiTheme="minorEastAsia" w:hAnsiTheme="minorEastAsia" w:eastAsiaTheme="minorEastAsia" w:cstheme="minorEastAsia"/>
          <w:color w:val="auto"/>
          <w:sz w:val="24"/>
          <w:highlight w:val="none"/>
        </w:rPr>
      </w:pPr>
      <w:bookmarkStart w:id="87" w:name="_Toc254970679"/>
      <w:bookmarkStart w:id="88" w:name="_Toc254970538"/>
      <w:r>
        <w:rPr>
          <w:rFonts w:hint="eastAsia" w:asciiTheme="minorEastAsia" w:hAnsiTheme="minorEastAsia" w:eastAsiaTheme="minorEastAsia" w:cstheme="minorEastAsia"/>
          <w:color w:val="auto"/>
          <w:sz w:val="24"/>
          <w:highlight w:val="none"/>
        </w:rPr>
        <w:t>16.投标报价</w:t>
      </w:r>
      <w:bookmarkEnd w:id="87"/>
      <w:bookmarkEnd w:id="88"/>
    </w:p>
    <w:p w14:paraId="2FC0659F">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16.1投标报价应</w:t>
      </w:r>
      <w:r>
        <w:rPr>
          <w:rFonts w:hint="eastAsia" w:asciiTheme="minorEastAsia" w:hAnsiTheme="minorEastAsia" w:eastAsiaTheme="minorEastAsia" w:cstheme="minorEastAsia"/>
          <w:bCs/>
          <w:color w:val="auto"/>
          <w:szCs w:val="20"/>
          <w:highlight w:val="none"/>
        </w:rPr>
        <w:t>按“第六章　投标文件格式”中“开标一览表”格式填写。</w:t>
      </w:r>
    </w:p>
    <w:p w14:paraId="0AA675E6">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89" w:name="_16.2投标报价具体定义见投标人须知前附表。"/>
      <w:bookmarkEnd w:id="89"/>
      <w:r>
        <w:rPr>
          <w:rFonts w:hint="eastAsia" w:asciiTheme="minorEastAsia" w:hAnsiTheme="minorEastAsia" w:eastAsiaTheme="minorEastAsia" w:cstheme="minorEastAsia"/>
          <w:bCs/>
          <w:color w:val="auto"/>
          <w:szCs w:val="21"/>
          <w:highlight w:val="none"/>
        </w:rPr>
        <w:t>16.2投标报价具体包括内容详见“投标人须知前附表”。</w:t>
      </w:r>
    </w:p>
    <w:p w14:paraId="50D448B5">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16.3投标人必须就所投每个分标的全部内容分别作完整唯一总价报价，不得存在漏项报价；投标人必须就所投分标的单项内容作唯一报价。</w:t>
      </w:r>
    </w:p>
    <w:p w14:paraId="13950B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17.投标有效期</w:t>
      </w:r>
    </w:p>
    <w:p w14:paraId="2A54E47B">
      <w:pPr>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90" w:name="_17.1投标有效期应按“投标人须知中的前附表”规定的期限。"/>
      <w:bookmarkEnd w:id="90"/>
      <w:r>
        <w:rPr>
          <w:rFonts w:hint="eastAsia" w:asciiTheme="minorEastAsia" w:hAnsiTheme="minorEastAsia" w:eastAsiaTheme="minorEastAsia" w:cstheme="minorEastAsia"/>
          <w:bCs/>
          <w:color w:val="auto"/>
          <w:szCs w:val="21"/>
          <w:highlight w:val="none"/>
        </w:rPr>
        <w:t>17.1投标有效期是指为保证采购人有足够的时间在开标后完成评标、定标、合同签订等工作而要求投标人提交的投标文件在一定时间内保持有效的期限。</w:t>
      </w:r>
    </w:p>
    <w:p w14:paraId="5FB8DC7C">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17.2</w:t>
      </w:r>
      <w:bookmarkStart w:id="91" w:name="_Toc254970681"/>
      <w:bookmarkStart w:id="92" w:name="_Toc254970540"/>
      <w:r>
        <w:rPr>
          <w:rFonts w:hint="eastAsia" w:asciiTheme="minorEastAsia" w:hAnsiTheme="minorEastAsia" w:eastAsiaTheme="minorEastAsia" w:cstheme="minorEastAsia"/>
          <w:bCs/>
          <w:color w:val="auto"/>
          <w:szCs w:val="21"/>
          <w:highlight w:val="none"/>
        </w:rPr>
        <w:t xml:space="preserve"> 投标有效期应按规定的期限作出承诺，具体详见“投标人须知前附表”。</w:t>
      </w:r>
    </w:p>
    <w:p w14:paraId="4D3F4527">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17.3投标人的投标文件在投标有效期内均保持有效。</w:t>
      </w:r>
      <w:bookmarkEnd w:id="91"/>
      <w:bookmarkEnd w:id="92"/>
    </w:p>
    <w:p w14:paraId="66EDB402">
      <w:pPr>
        <w:spacing w:line="360" w:lineRule="auto"/>
        <w:ind w:firstLine="480" w:firstLineChars="200"/>
        <w:rPr>
          <w:rFonts w:hint="eastAsia" w:asciiTheme="minorEastAsia" w:hAnsiTheme="minorEastAsia" w:eastAsiaTheme="minorEastAsia" w:cstheme="minorEastAsia"/>
          <w:color w:val="auto"/>
          <w:sz w:val="24"/>
          <w:highlight w:val="none"/>
        </w:rPr>
      </w:pPr>
      <w:bookmarkStart w:id="93" w:name="_18.投标保证金"/>
      <w:bookmarkEnd w:id="93"/>
      <w:bookmarkStart w:id="94" w:name="_Toc254970682"/>
      <w:bookmarkStart w:id="95" w:name="_Toc254970541"/>
      <w:r>
        <w:rPr>
          <w:rFonts w:hint="eastAsia" w:asciiTheme="minorEastAsia" w:hAnsiTheme="minorEastAsia" w:eastAsiaTheme="minorEastAsia" w:cstheme="minorEastAsia"/>
          <w:color w:val="auto"/>
          <w:sz w:val="24"/>
          <w:highlight w:val="none"/>
        </w:rPr>
        <w:t>18.投标保证金</w:t>
      </w:r>
      <w:bookmarkEnd w:id="94"/>
      <w:bookmarkEnd w:id="95"/>
    </w:p>
    <w:p w14:paraId="0DA0C1D6">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96" w:name="_Toc254970542"/>
      <w:bookmarkStart w:id="97" w:name="_Toc254970683"/>
      <w:r>
        <w:rPr>
          <w:rFonts w:hint="eastAsia" w:asciiTheme="minorEastAsia" w:hAnsiTheme="minorEastAsia" w:eastAsiaTheme="minorEastAsia" w:cstheme="minorEastAsia"/>
          <w:color w:val="auto"/>
          <w:szCs w:val="21"/>
          <w:highlight w:val="none"/>
        </w:rPr>
        <w:t>见“投标人须知前附表”。</w:t>
      </w:r>
    </w:p>
    <w:p w14:paraId="675370D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19.投标文件的</w:t>
      </w:r>
      <w:bookmarkEnd w:id="96"/>
      <w:bookmarkEnd w:id="97"/>
      <w:r>
        <w:rPr>
          <w:rFonts w:hint="eastAsia" w:asciiTheme="minorEastAsia" w:hAnsiTheme="minorEastAsia" w:eastAsiaTheme="minorEastAsia" w:cstheme="minorEastAsia"/>
          <w:color w:val="auto"/>
          <w:sz w:val="24"/>
          <w:highlight w:val="none"/>
        </w:rPr>
        <w:t>编制</w:t>
      </w:r>
    </w:p>
    <w:p w14:paraId="01BE6B8A">
      <w:pPr>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98" w:name="_19.2投标文件应按报价文件、资格证明文件、商务文件、技术文件分别编制"/>
      <w:bookmarkEnd w:id="98"/>
      <w:r>
        <w:rPr>
          <w:rFonts w:hint="eastAsia" w:asciiTheme="minorEastAsia" w:hAnsiTheme="minorEastAsia" w:eastAsiaTheme="minorEastAsia" w:cstheme="minorEastAsia"/>
          <w:color w:val="auto"/>
          <w:szCs w:val="21"/>
          <w:highlight w:val="none"/>
        </w:rPr>
        <w:t xml:space="preserve"> </w:t>
      </w:r>
    </w:p>
    <w:p w14:paraId="1EAE8070">
      <w:pPr>
        <w:pStyle w:val="3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19.2投标文件按照招标文件第六章格式要求在规定位置进行签署、盖章。投标人的投标文件未按照招标文件要求签署、盖章的，</w:t>
      </w:r>
      <w:r>
        <w:rPr>
          <w:rFonts w:hint="eastAsia" w:asciiTheme="minorEastAsia" w:hAnsiTheme="minorEastAsia" w:eastAsiaTheme="minorEastAsia" w:cstheme="minorEastAsia"/>
          <w:b/>
          <w:color w:val="auto"/>
          <w:sz w:val="21"/>
          <w:szCs w:val="21"/>
          <w:highlight w:val="none"/>
        </w:rPr>
        <w:t>其投标无效。</w:t>
      </w:r>
      <w:r>
        <w:rPr>
          <w:rFonts w:hint="eastAsia" w:asciiTheme="minorEastAsia" w:hAnsiTheme="minorEastAsia" w:eastAsiaTheme="minorEastAsia" w:cstheme="minorEastAsia"/>
          <w:color w:val="auto"/>
          <w:sz w:val="21"/>
          <w:szCs w:val="21"/>
          <w:highlight w:val="none"/>
        </w:rPr>
        <w:t>骑缝盖公章不视为在规定位置盖章。</w:t>
      </w:r>
    </w:p>
    <w:p w14:paraId="29664C93">
      <w:pPr>
        <w:pStyle w:val="3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11C62C5C">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19.4投标文件中标注的投标人名称应与主体资格证明（如营业执照、事业单位法人证书、执业许可证、自然人身份证等）及公章一致，</w:t>
      </w:r>
      <w:r>
        <w:rPr>
          <w:rFonts w:hint="eastAsia" w:asciiTheme="minorEastAsia" w:hAnsiTheme="minorEastAsia" w:eastAsiaTheme="minorEastAsia" w:cstheme="minorEastAsia"/>
          <w:color w:val="auto"/>
          <w:szCs w:val="21"/>
          <w:highlight w:val="none"/>
        </w:rPr>
        <w:t>否则作无效投标处理</w:t>
      </w:r>
      <w:r>
        <w:rPr>
          <w:rFonts w:hint="eastAsia" w:asciiTheme="minorEastAsia" w:hAnsiTheme="minorEastAsia" w:eastAsiaTheme="minorEastAsia" w:cstheme="minorEastAsia"/>
          <w:b/>
          <w:color w:val="auto"/>
          <w:szCs w:val="21"/>
          <w:highlight w:val="none"/>
        </w:rPr>
        <w:t>。</w:t>
      </w:r>
    </w:p>
    <w:p w14:paraId="2E24CA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19.5投标文件应避免涂改、行间插字或者删除，</w:t>
      </w:r>
      <w:r>
        <w:rPr>
          <w:rFonts w:hint="eastAsia" w:asciiTheme="minorEastAsia" w:hAnsiTheme="minorEastAsia" w:eastAsiaTheme="minorEastAsia" w:cstheme="minorEastAsia"/>
          <w:b/>
          <w:color w:val="auto"/>
          <w:szCs w:val="21"/>
          <w:highlight w:val="none"/>
        </w:rPr>
        <w:t>否则其投标无效。</w:t>
      </w:r>
    </w:p>
    <w:p w14:paraId="3DF2F380">
      <w:pPr>
        <w:spacing w:line="360" w:lineRule="auto"/>
        <w:ind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19.6 对招标文件的实质性要求和条件作出响应是指投标人必须对招标文件中标注为实质性要求和条件的</w:t>
      </w:r>
      <w:r>
        <w:rPr>
          <w:rFonts w:hint="eastAsia" w:asciiTheme="minorEastAsia" w:hAnsiTheme="minorEastAsia" w:eastAsiaTheme="minorEastAsia" w:cstheme="minorEastAsia"/>
          <w:color w:val="auto"/>
          <w:szCs w:val="21"/>
          <w:highlight w:val="none"/>
        </w:rPr>
        <w:t>服务内容及要求</w:t>
      </w:r>
      <w:r>
        <w:rPr>
          <w:rFonts w:hint="eastAsia" w:asciiTheme="minorEastAsia" w:hAnsiTheme="minorEastAsia" w:eastAsiaTheme="minorEastAsia" w:cstheme="minorEastAsia"/>
          <w:color w:val="auto"/>
          <w:highlight w:val="none"/>
        </w:rPr>
        <w:t>、商务条款及其它内容</w:t>
      </w:r>
      <w:r>
        <w:rPr>
          <w:rFonts w:hint="eastAsia" w:asciiTheme="minorEastAsia" w:hAnsiTheme="minorEastAsia" w:eastAsiaTheme="minorEastAsia" w:cstheme="minorEastAsia"/>
          <w:b/>
          <w:color w:val="auto"/>
          <w:highlight w:val="none"/>
        </w:rPr>
        <w:t>作出满足或者优于原要求和条件的承诺</w:t>
      </w:r>
      <w:r>
        <w:rPr>
          <w:rFonts w:hint="eastAsia" w:asciiTheme="minorEastAsia" w:hAnsiTheme="minorEastAsia" w:eastAsiaTheme="minorEastAsia" w:cstheme="minorEastAsia"/>
          <w:color w:val="auto"/>
          <w:highlight w:val="none"/>
        </w:rPr>
        <w:t>。</w:t>
      </w:r>
    </w:p>
    <w:p w14:paraId="760B1265">
      <w:pPr>
        <w:spacing w:line="360" w:lineRule="auto"/>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19.7本项目为南宁市全流程电子化项目，异常情况见“第二节 投标人须知正文”中“四、24.2开标程序。</w:t>
      </w:r>
    </w:p>
    <w:p w14:paraId="42FA7E0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20.备份投标文件</w:t>
      </w:r>
    </w:p>
    <w:p w14:paraId="64A59D81">
      <w:pPr>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Cs w:val="21"/>
          <w:highlight w:val="none"/>
        </w:rPr>
        <w:t>详见“投标人须知前附表”。</w:t>
      </w:r>
    </w:p>
    <w:p w14:paraId="0E807A0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21.投标文件的提交</w:t>
      </w:r>
    </w:p>
    <w:p w14:paraId="704AE605">
      <w:pPr>
        <w:spacing w:line="360" w:lineRule="auto"/>
        <w:ind w:firstLine="420" w:firstLineChars="200"/>
        <w:rPr>
          <w:rFonts w:hint="eastAsia" w:asciiTheme="minorEastAsia" w:hAnsiTheme="minorEastAsia" w:eastAsiaTheme="minorEastAsia" w:cstheme="minorEastAsia"/>
          <w:b/>
          <w:color w:val="auto"/>
          <w:highlight w:val="none"/>
        </w:rPr>
      </w:pPr>
      <w:bookmarkStart w:id="99" w:name="_21.1投标人必须在“投标人须知中的前附表”规定的投标文件接收时间和投"/>
      <w:bookmarkEnd w:id="99"/>
      <w:r>
        <w:rPr>
          <w:rFonts w:hint="eastAsia" w:asciiTheme="minorEastAsia" w:hAnsiTheme="minorEastAsia" w:eastAsiaTheme="minorEastAsia" w:cstheme="minorEastAsia"/>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b/>
          <w:color w:val="auto"/>
          <w:highlight w:val="none"/>
        </w:rPr>
        <w:t xml:space="preserve"> </w:t>
      </w:r>
    </w:p>
    <w:p w14:paraId="5A25268B">
      <w:pPr>
        <w:spacing w:line="360" w:lineRule="auto"/>
        <w:ind w:firstLine="422" w:firstLineChars="200"/>
        <w:rPr>
          <w:rFonts w:hint="eastAsia"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1"/>
          <w:highlight w:val="none"/>
        </w:rPr>
        <w:t>21.2未在规定时间内提交或者未按照招标文件要求密封或者标记的电子投标文件，广西政府采购云平台将拒收。</w:t>
      </w:r>
    </w:p>
    <w:p w14:paraId="555C453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21.3电子版投标文件提交方式见“招标公告”中“四、提交投标文件截止时间、开标时间和地点”</w:t>
      </w:r>
      <w:r>
        <w:rPr>
          <w:rFonts w:hint="eastAsia" w:asciiTheme="minorEastAsia" w:hAnsiTheme="minorEastAsia" w:eastAsiaTheme="minorEastAsia" w:cstheme="minorEastAsia"/>
          <w:b/>
          <w:color w:val="auto"/>
          <w:szCs w:val="21"/>
          <w:highlight w:val="none"/>
        </w:rPr>
        <w:t xml:space="preserve"> 。</w:t>
      </w:r>
    </w:p>
    <w:p w14:paraId="4EEC6EB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投标文件的补充、修改、撤回与退回</w:t>
      </w:r>
      <w:bookmarkStart w:id="100" w:name="_Toc254970543"/>
      <w:bookmarkStart w:id="101" w:name="_Toc254970684"/>
    </w:p>
    <w:p w14:paraId="1C743A5C">
      <w:pPr>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75EC82A4">
      <w:pPr>
        <w:pStyle w:val="3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00"/>
    <w:bookmarkEnd w:id="101"/>
    <w:p w14:paraId="106D7B1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6F8AA8E0">
      <w:pPr>
        <w:pStyle w:val="3"/>
        <w:snapToGrid w:val="0"/>
        <w:spacing w:line="400" w:lineRule="exact"/>
        <w:ind w:firstLine="739"/>
        <w:rPr>
          <w:rFonts w:hint="eastAsia" w:asciiTheme="minorEastAsia" w:hAnsiTheme="minorEastAsia" w:eastAsiaTheme="minorEastAsia" w:cstheme="minorEastAsia"/>
          <w:snapToGrid w:val="0"/>
          <w:color w:val="auto"/>
          <w:sz w:val="21"/>
          <w:szCs w:val="21"/>
          <w:highlight w:val="none"/>
        </w:rPr>
      </w:pPr>
    </w:p>
    <w:p w14:paraId="60AF9099">
      <w:pPr>
        <w:pStyle w:val="5"/>
        <w:keepNext w:val="0"/>
        <w:keepLines w:val="0"/>
        <w:spacing w:line="400" w:lineRule="exact"/>
        <w:jc w:val="center"/>
        <w:rPr>
          <w:rFonts w:hint="eastAsia" w:asciiTheme="minorEastAsia" w:hAnsiTheme="minorEastAsia" w:eastAsiaTheme="minorEastAsia" w:cstheme="minorEastAsia"/>
          <w:color w:val="auto"/>
          <w:highlight w:val="none"/>
        </w:rPr>
      </w:pPr>
      <w:bookmarkStart w:id="102" w:name="_Toc20244"/>
      <w:bookmarkStart w:id="103" w:name="_Toc19885"/>
      <w:bookmarkStart w:id="104" w:name="_Toc254970544"/>
      <w:bookmarkStart w:id="105" w:name="_Toc254970685"/>
      <w:r>
        <w:rPr>
          <w:rFonts w:hint="eastAsia" w:asciiTheme="minorEastAsia" w:hAnsiTheme="minorEastAsia" w:eastAsiaTheme="minorEastAsia" w:cstheme="minorEastAsia"/>
          <w:color w:val="auto"/>
          <w:highlight w:val="none"/>
        </w:rPr>
        <w:t>四、开    标</w:t>
      </w:r>
      <w:bookmarkEnd w:id="102"/>
      <w:bookmarkEnd w:id="103"/>
      <w:bookmarkEnd w:id="104"/>
      <w:bookmarkEnd w:id="105"/>
    </w:p>
    <w:p w14:paraId="0593AEF3">
      <w:pPr>
        <w:spacing w:line="360" w:lineRule="auto"/>
        <w:ind w:firstLine="480" w:firstLineChars="200"/>
        <w:rPr>
          <w:rFonts w:hint="eastAsia" w:asciiTheme="minorEastAsia" w:hAnsiTheme="minorEastAsia" w:eastAsiaTheme="minorEastAsia" w:cstheme="minorEastAsia"/>
          <w:color w:val="auto"/>
          <w:sz w:val="24"/>
          <w:highlight w:val="none"/>
        </w:rPr>
      </w:pPr>
      <w:bookmarkStart w:id="106" w:name="_23.开标时间和地点"/>
      <w:bookmarkEnd w:id="106"/>
      <w:r>
        <w:rPr>
          <w:rFonts w:hint="eastAsia" w:asciiTheme="minorEastAsia" w:hAnsiTheme="minorEastAsia" w:eastAsiaTheme="minorEastAsia" w:cstheme="minorEastAsia"/>
          <w:color w:val="auto"/>
          <w:sz w:val="24"/>
          <w:highlight w:val="none"/>
        </w:rPr>
        <w:t>23.开标时间和地点</w:t>
      </w:r>
    </w:p>
    <w:p w14:paraId="5B6210FE">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23.1开标时间及地点详见“投标人须知前附表”</w:t>
      </w:r>
    </w:p>
    <w:p w14:paraId="5B0A190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23.2如</w:t>
      </w:r>
      <w:r>
        <w:rPr>
          <w:rFonts w:hint="eastAsia" w:asciiTheme="minorEastAsia" w:hAnsiTheme="minorEastAsia" w:eastAsiaTheme="minorEastAsia" w:cstheme="minorEastAsia"/>
          <w:bCs/>
          <w:color w:val="auto"/>
          <w:highlight w:val="none"/>
        </w:rPr>
        <w:t>投标人成功解密投标文件，但未在</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highlight w:val="none"/>
        </w:rPr>
        <w:t>电子开标大厅参加开标的，视同认可开标过程和结果，</w:t>
      </w:r>
      <w:r>
        <w:rPr>
          <w:rFonts w:hint="eastAsia" w:asciiTheme="minorEastAsia" w:hAnsiTheme="minorEastAsia" w:eastAsiaTheme="minorEastAsia" w:cstheme="minorEastAsia"/>
          <w:color w:val="auto"/>
          <w:highlight w:val="none"/>
        </w:rPr>
        <w:t>由此产生的后果由投标人自行负责。 投标人不足3家的，不得开标。</w:t>
      </w:r>
    </w:p>
    <w:p w14:paraId="15EAE9E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24.开标程序</w:t>
      </w:r>
    </w:p>
    <w:p w14:paraId="4934077A">
      <w:pPr>
        <w:autoSpaceDE w:val="0"/>
        <w:autoSpaceDN w:val="0"/>
        <w:adjustRightInd w:val="0"/>
        <w:spacing w:line="44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24.1</w:t>
      </w:r>
      <w:r>
        <w:rPr>
          <w:rFonts w:hint="eastAsia" w:asciiTheme="minorEastAsia" w:hAnsiTheme="minorEastAsia" w:eastAsiaTheme="minorEastAsia" w:cstheme="minorEastAsia"/>
          <w:color w:val="auto"/>
          <w:kern w:val="0"/>
          <w:szCs w:val="21"/>
          <w:highlight w:val="none"/>
        </w:rPr>
        <w:t>开标形式：</w:t>
      </w:r>
    </w:p>
    <w:p w14:paraId="3EEFAC11">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开标的准备工作由采购代理机构负责落实，采购代理机构必须基于</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szCs w:val="21"/>
          <w:highlight w:val="none"/>
        </w:rPr>
        <w:t>选取评审专家，如采购代理机构未按规定选取专家的，视为本次开评标无效，应当重新采购；</w:t>
      </w:r>
    </w:p>
    <w:p w14:paraId="70BCF7FB">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（2）采购代理机构将按照招标文件规定的时间通过</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77E2AC0">
      <w:pPr>
        <w:autoSpaceDE w:val="0"/>
        <w:autoSpaceDN w:val="0"/>
        <w:adjustRightInd w:val="0"/>
        <w:spacing w:line="44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24.2开标程序：</w:t>
      </w:r>
    </w:p>
    <w:p w14:paraId="6EC13689">
      <w:pPr>
        <w:pStyle w:val="12"/>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（1）解密电子投标文件。</w:t>
      </w:r>
      <w:r>
        <w:rPr>
          <w:rFonts w:hint="eastAsia" w:asciiTheme="minorEastAsia" w:hAnsiTheme="minorEastAsia" w:eastAsiaTheme="minorEastAsia" w:cstheme="minorEastAsia"/>
          <w:color w:val="auto"/>
          <w:szCs w:val="21"/>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asciiTheme="minorEastAsia" w:hAnsiTheme="minorEastAsia" w:eastAsiaTheme="minorEastAsia" w:cstheme="minorEastAsia"/>
          <w:b/>
          <w:color w:val="auto"/>
          <w:szCs w:val="21"/>
          <w:highlight w:val="none"/>
        </w:rPr>
        <w:t>须携带加密时所用的CA锁准时登录到广西政府采购云平台电子开标大厅签到并对电子投标文件解密</w:t>
      </w:r>
      <w:r>
        <w:rPr>
          <w:rFonts w:hint="eastAsia" w:asciiTheme="minorEastAsia" w:hAnsiTheme="minorEastAsia" w:eastAsiaTheme="minorEastAsia" w:cstheme="minorEastAsia"/>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Theme="minorEastAsia" w:hAnsiTheme="minorEastAsia" w:eastAsiaTheme="minorEastAsia" w:cstheme="minorEastAsia"/>
          <w:b/>
          <w:color w:val="auto"/>
          <w:szCs w:val="21"/>
          <w:highlight w:val="none"/>
        </w:rPr>
        <w:t>均视为无效投标。</w:t>
      </w:r>
    </w:p>
    <w:p w14:paraId="2524EC00">
      <w:pPr>
        <w:pStyle w:val="12"/>
        <w:snapToGrid w:val="0"/>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（解密</w:t>
      </w:r>
      <w:r>
        <w:rPr>
          <w:rFonts w:hint="eastAsia" w:asciiTheme="minorEastAsia" w:hAnsiTheme="minorEastAsia" w:eastAsiaTheme="minorEastAsia" w:cstheme="minorEastAsia"/>
          <w:bCs/>
          <w:color w:val="auto"/>
          <w:szCs w:val="21"/>
          <w:highlight w:val="none"/>
        </w:rPr>
        <w:t>异常情况处理：详见本章</w:t>
      </w:r>
      <w:r>
        <w:rPr>
          <w:rFonts w:hint="eastAsia" w:asciiTheme="minorEastAsia" w:hAnsiTheme="minorEastAsia" w:eastAsiaTheme="minorEastAsia" w:cstheme="minorEastAsia"/>
          <w:color w:val="auto"/>
          <w:highlight w:val="none"/>
        </w:rPr>
        <w:t>29.3 电子交易活动的中止。</w:t>
      </w:r>
      <w:r>
        <w:rPr>
          <w:rFonts w:hint="eastAsia" w:asciiTheme="minorEastAsia" w:hAnsiTheme="minorEastAsia" w:eastAsiaTheme="minorEastAsia" w:cstheme="minorEastAsia"/>
          <w:color w:val="auto"/>
          <w:szCs w:val="21"/>
          <w:highlight w:val="none"/>
        </w:rPr>
        <w:t>）</w:t>
      </w:r>
    </w:p>
    <w:p w14:paraId="5D5CCF1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color w:val="auto"/>
          <w:szCs w:val="21"/>
          <w:highlight w:val="none"/>
        </w:rPr>
        <w:t>电子唱标。</w:t>
      </w:r>
      <w:r>
        <w:rPr>
          <w:rFonts w:hint="eastAsia" w:asciiTheme="minorEastAsia" w:hAnsiTheme="minorEastAsia" w:eastAsiaTheme="minorEastAsia" w:cstheme="minorEastAsia"/>
          <w:color w:val="auto"/>
          <w:szCs w:val="21"/>
          <w:highlight w:val="none"/>
        </w:rPr>
        <w:t>投标文件解密结束，各投标供应商报价均在广西政府采购云平台远程不见面开标大厅展示；</w:t>
      </w:r>
    </w:p>
    <w:p w14:paraId="18C383C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
          <w:color w:val="auto"/>
          <w:szCs w:val="21"/>
          <w:highlight w:val="none"/>
        </w:rPr>
        <w:t>签署电子《政府采购活动现场确认声明书》。</w:t>
      </w:r>
      <w:r>
        <w:rPr>
          <w:rFonts w:hint="eastAsia" w:asciiTheme="minorEastAsia" w:hAnsiTheme="minorEastAsia" w:eastAsiaTheme="minorEastAsia" w:cstheme="minorEastAsia"/>
          <w:color w:val="auto"/>
          <w:szCs w:val="21"/>
          <w:highlight w:val="none"/>
        </w:rPr>
        <w:t>通过邮件形式在远程不见面开标大厅发送各投标人签署电子《政府采购活动现场确认声明书》。</w:t>
      </w:r>
    </w:p>
    <w:p w14:paraId="04A3DF56">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397F2FD6">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F42E4DB">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（6）开标结束。</w:t>
      </w:r>
    </w:p>
    <w:p w14:paraId="700B7047">
      <w:pPr>
        <w:pStyle w:val="12"/>
        <w:snapToGrid w:val="0"/>
        <w:spacing w:line="44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特别说明：</w:t>
      </w:r>
      <w:r>
        <w:rPr>
          <w:rFonts w:hint="eastAsia" w:asciiTheme="minorEastAsia" w:hAnsiTheme="minorEastAsia" w:eastAsiaTheme="minorEastAsia" w:cstheme="minorEastAsia"/>
          <w:color w:val="auto"/>
          <w:szCs w:val="21"/>
          <w:highlight w:val="none"/>
        </w:rPr>
        <w:t>如遇广西政府采购云平台电子化开标或评审程序调整的，按调整后执行。</w:t>
      </w:r>
    </w:p>
    <w:p w14:paraId="0EA7D1B2">
      <w:pPr>
        <w:pStyle w:val="12"/>
        <w:snapToGrid w:val="0"/>
        <w:spacing w:line="400" w:lineRule="exact"/>
        <w:ind w:left="689" w:leftChars="228" w:hanging="210" w:hangingChars="100"/>
        <w:rPr>
          <w:rFonts w:hint="eastAsia" w:asciiTheme="minorEastAsia" w:hAnsiTheme="minorEastAsia" w:eastAsiaTheme="minorEastAsia" w:cstheme="minorEastAsia"/>
          <w:color w:val="auto"/>
          <w:highlight w:val="none"/>
        </w:rPr>
      </w:pPr>
    </w:p>
    <w:p w14:paraId="0D7D822D">
      <w:pPr>
        <w:pStyle w:val="5"/>
        <w:keepNext w:val="0"/>
        <w:keepLines w:val="0"/>
        <w:spacing w:line="400" w:lineRule="exact"/>
        <w:jc w:val="center"/>
        <w:rPr>
          <w:rFonts w:hint="eastAsia" w:asciiTheme="minorEastAsia" w:hAnsiTheme="minorEastAsia" w:eastAsiaTheme="minorEastAsia" w:cstheme="minorEastAsia"/>
          <w:color w:val="auto"/>
          <w:highlight w:val="none"/>
        </w:rPr>
      </w:pPr>
      <w:bookmarkStart w:id="107" w:name="_Toc27569"/>
      <w:bookmarkStart w:id="108" w:name="_Toc27807"/>
      <w:r>
        <w:rPr>
          <w:rFonts w:hint="eastAsia" w:asciiTheme="minorEastAsia" w:hAnsiTheme="minorEastAsia" w:eastAsiaTheme="minorEastAsia" w:cstheme="minorEastAsia"/>
          <w:color w:val="auto"/>
          <w:highlight w:val="none"/>
        </w:rPr>
        <w:t>五、资格审查</w:t>
      </w:r>
      <w:bookmarkEnd w:id="107"/>
      <w:bookmarkEnd w:id="108"/>
    </w:p>
    <w:p w14:paraId="7667F823">
      <w:pPr>
        <w:pStyle w:val="7"/>
        <w:keepNext w:val="0"/>
        <w:keepLines w:val="0"/>
        <w:spacing w:before="0" w:after="0"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25.资格审查</w:t>
      </w:r>
    </w:p>
    <w:p w14:paraId="006A91A4">
      <w:pPr>
        <w:spacing w:line="360" w:lineRule="auto"/>
        <w:ind w:firstLine="422" w:firstLineChars="200"/>
        <w:rPr>
          <w:rFonts w:hint="eastAsia" w:asciiTheme="minorEastAsia" w:hAnsiTheme="minorEastAsia" w:eastAsiaTheme="minorEastAsia" w:cstheme="minorEastAsia"/>
          <w:b/>
          <w:bCs/>
          <w:color w:val="auto"/>
          <w:szCs w:val="20"/>
          <w:highlight w:val="none"/>
        </w:rPr>
      </w:pPr>
      <w:r>
        <w:rPr>
          <w:rFonts w:hint="eastAsia" w:asciiTheme="minorEastAsia" w:hAnsiTheme="minorEastAsia" w:eastAsiaTheme="minorEastAsia" w:cstheme="minorEastAsia"/>
          <w:b/>
          <w:bCs/>
          <w:color w:val="auto"/>
          <w:szCs w:val="20"/>
          <w:highlight w:val="none"/>
        </w:rPr>
        <w:t xml:space="preserve"> 25.1开标结束后，采购人或采购机构依法通过电子投标文件对投标人的资格进行线上审查。</w:t>
      </w:r>
    </w:p>
    <w:p w14:paraId="2AEEC479">
      <w:pPr>
        <w:spacing w:line="360" w:lineRule="auto"/>
        <w:ind w:firstLine="422" w:firstLineChars="200"/>
        <w:rPr>
          <w:rFonts w:hint="eastAsia" w:asciiTheme="minorEastAsia" w:hAnsiTheme="minorEastAsia" w:eastAsiaTheme="minorEastAsia" w:cstheme="minorEastAsia"/>
          <w:b/>
          <w:bCs/>
          <w:color w:val="auto"/>
          <w:szCs w:val="20"/>
          <w:highlight w:val="none"/>
        </w:rPr>
      </w:pPr>
      <w:r>
        <w:rPr>
          <w:rFonts w:hint="eastAsia" w:asciiTheme="minorEastAsia" w:hAnsiTheme="minorEastAsia" w:eastAsiaTheme="minorEastAsia" w:cstheme="minorEastAsia"/>
          <w:b/>
          <w:bCs/>
          <w:color w:val="auto"/>
          <w:szCs w:val="20"/>
          <w:highlight w:val="none"/>
        </w:rPr>
        <w:t xml:space="preserve"> 25.2采购人或采购机构依据法律法规和招标文件的规定，对投标人的基本资格条件、特定资格条件进行审查。</w:t>
      </w:r>
    </w:p>
    <w:p w14:paraId="341754B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7606780">
      <w:pPr>
        <w:spacing w:line="360" w:lineRule="auto"/>
        <w:ind w:firstLine="422" w:firstLineChars="200"/>
        <w:rPr>
          <w:rFonts w:hint="eastAsia" w:asciiTheme="minorEastAsia" w:hAnsiTheme="minorEastAsia" w:eastAsiaTheme="minorEastAsia" w:cstheme="minorEastAsia"/>
          <w:b/>
          <w:bCs/>
          <w:color w:val="auto"/>
          <w:szCs w:val="20"/>
          <w:highlight w:val="none"/>
        </w:rPr>
      </w:pPr>
      <w:bookmarkStart w:id="109" w:name="_25.3_投标人有下列情形之一的，资格审查不通过而导致其投标无效："/>
      <w:bookmarkEnd w:id="109"/>
      <w:r>
        <w:rPr>
          <w:rFonts w:hint="eastAsia" w:asciiTheme="minorEastAsia" w:hAnsiTheme="minorEastAsia" w:eastAsiaTheme="minorEastAsia" w:cstheme="minorEastAsia"/>
          <w:b/>
          <w:bCs/>
          <w:color w:val="auto"/>
          <w:szCs w:val="20"/>
          <w:highlight w:val="none"/>
        </w:rPr>
        <w:t>25.4投标人有下列情形之一的，资格审查不通过，作无效投标处理：</w:t>
      </w:r>
    </w:p>
    <w:p w14:paraId="10B8116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（1）不具备招标文件中规定的资格要求的；（注：其中信用查询规则见“投标人须知前附表”，</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color w:val="auto"/>
          <w:highlight w:val="none"/>
        </w:rPr>
        <w:t>已与“信用中国”平台做接口，审查专家可直接在线查询）</w:t>
      </w:r>
    </w:p>
    <w:p w14:paraId="75417B7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（2）投标文件未提供任一项“投标人须知前附表”资格证明文件规定的“必须提供”的文件资料的；</w:t>
      </w:r>
    </w:p>
    <w:p w14:paraId="770C41F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（3）投标文件提供的资格证明文件出现任一项不符合“投标人须知前附表”资格证明文件规定的“必须提供”的文件资料要求或者无效的。</w:t>
      </w:r>
    </w:p>
    <w:p w14:paraId="73D83B81">
      <w:pPr>
        <w:pStyle w:val="7"/>
        <w:keepNext w:val="0"/>
        <w:keepLines w:val="0"/>
        <w:spacing w:before="0" w:after="0" w:line="360" w:lineRule="auto"/>
        <w:ind w:firstLine="420" w:firstLineChars="200"/>
        <w:rPr>
          <w:rFonts w:hint="eastAsia" w:asciiTheme="minorEastAsia" w:hAnsiTheme="minorEastAsia" w:eastAsiaTheme="minorEastAsia" w:cstheme="minorEastAsia"/>
          <w:b w:val="0"/>
          <w:bCs w:val="0"/>
          <w:color w:val="auto"/>
          <w:sz w:val="21"/>
          <w:szCs w:val="20"/>
          <w:highlight w:val="none"/>
        </w:rPr>
      </w:pPr>
      <w:r>
        <w:rPr>
          <w:rFonts w:hint="eastAsia" w:asciiTheme="minorEastAsia" w:hAnsiTheme="minorEastAsia" w:eastAsiaTheme="minorEastAsia" w:cstheme="minorEastAsia"/>
          <w:b w:val="0"/>
          <w:bCs w:val="0"/>
          <w:color w:val="auto"/>
          <w:sz w:val="21"/>
          <w:szCs w:val="20"/>
          <w:highlight w:val="none"/>
        </w:rPr>
        <w:t>25.5资格审查的合格投标人不足3家的，不得评标。</w:t>
      </w:r>
    </w:p>
    <w:p w14:paraId="49091591">
      <w:pPr>
        <w:pStyle w:val="5"/>
        <w:keepNext w:val="0"/>
        <w:keepLines w:val="0"/>
        <w:spacing w:line="360" w:lineRule="auto"/>
        <w:jc w:val="center"/>
        <w:rPr>
          <w:rFonts w:hint="eastAsia" w:asciiTheme="minorEastAsia" w:hAnsiTheme="minorEastAsia" w:eastAsiaTheme="minorEastAsia" w:cstheme="minorEastAsia"/>
          <w:color w:val="auto"/>
          <w:highlight w:val="none"/>
        </w:rPr>
      </w:pPr>
      <w:bookmarkStart w:id="110" w:name="_Toc7226"/>
      <w:bookmarkStart w:id="111" w:name="_Toc29672"/>
      <w:r>
        <w:rPr>
          <w:rFonts w:hint="eastAsia" w:asciiTheme="minorEastAsia" w:hAnsiTheme="minorEastAsia" w:eastAsiaTheme="minorEastAsia" w:cstheme="minorEastAsia"/>
          <w:color w:val="auto"/>
          <w:highlight w:val="none"/>
        </w:rPr>
        <w:t>六、评   标</w:t>
      </w:r>
      <w:bookmarkEnd w:id="110"/>
      <w:bookmarkEnd w:id="111"/>
    </w:p>
    <w:p w14:paraId="6A6E088B">
      <w:pPr>
        <w:spacing w:line="360" w:lineRule="auto"/>
        <w:ind w:firstLine="480" w:firstLineChars="200"/>
        <w:rPr>
          <w:rFonts w:hint="eastAsia" w:asciiTheme="minorEastAsia" w:hAnsiTheme="minorEastAsia" w:eastAsiaTheme="minorEastAsia" w:cstheme="minorEastAsia"/>
          <w:color w:val="auto"/>
          <w:sz w:val="24"/>
          <w:highlight w:val="none"/>
        </w:rPr>
      </w:pPr>
      <w:bookmarkStart w:id="112" w:name="_26.组建评标委员会"/>
      <w:bookmarkEnd w:id="112"/>
      <w:r>
        <w:rPr>
          <w:rFonts w:hint="eastAsia" w:asciiTheme="minorEastAsia" w:hAnsiTheme="minorEastAsia" w:eastAsiaTheme="minorEastAsia" w:cstheme="minorEastAsia"/>
          <w:color w:val="auto"/>
          <w:sz w:val="24"/>
          <w:highlight w:val="none"/>
        </w:rPr>
        <w:t>26.组建评标委员会</w:t>
      </w:r>
    </w:p>
    <w:p w14:paraId="17CD9F8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评标委员会由采购人代表和评审专家组成，人数为5人以上单数，其中评审专家不得少于成员总数的三分之二。</w:t>
      </w:r>
    </w:p>
    <w:p w14:paraId="001C71E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参加过采购项目前期咨询论证的专家，不得参加该采购项目的评审活动。</w:t>
      </w:r>
    </w:p>
    <w:p w14:paraId="67F8213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27.评标的依据</w:t>
      </w:r>
    </w:p>
    <w:p w14:paraId="258EA86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评标委员会以招标文件为依据对投标文件进行评审，“第四章 评标方法和评标标准”没有规定的方法、评审因素和标准，不作为评标依据。</w:t>
      </w:r>
    </w:p>
    <w:p w14:paraId="6FEC666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28.评标原则</w:t>
      </w:r>
    </w:p>
    <w:p w14:paraId="1E6C3EE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37F980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3" w:name="_28.3评标方法。本项目将按须知前附表规定的评标办法进行评标，具体评标"/>
      <w:bookmarkEnd w:id="113"/>
    </w:p>
    <w:p w14:paraId="4EFEE5D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D4DBD7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28.4评标过程的监控。本项目电子评标过程实行网上留痕、全程录音、录像监控，投标人在评标过程中所进行的试图影响评标结果的不公正活动，可能导致其投标按无效处理。</w:t>
      </w:r>
    </w:p>
    <w:p w14:paraId="4BB6E5DA">
      <w:pPr>
        <w:widowControl/>
        <w:spacing w:line="560" w:lineRule="exact"/>
        <w:ind w:firstLine="420" w:firstLineChars="200"/>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12B7A1D">
      <w:pPr>
        <w:widowControl/>
        <w:spacing w:line="560" w:lineRule="exact"/>
        <w:ind w:firstLine="420" w:firstLineChars="200"/>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28.6  在招标采购中，符合专业条件的供应商或者对招标文件作实质响应的供应商不足3家的，应予以废标。</w:t>
      </w:r>
    </w:p>
    <w:p w14:paraId="610694C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29.评标方法及评标标准</w:t>
      </w:r>
    </w:p>
    <w:p w14:paraId="3A59286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29.1本项目的评标方法详见“投标人须知前附表”。</w:t>
      </w:r>
    </w:p>
    <w:p w14:paraId="2AF720F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 评标委员会按照</w:t>
      </w:r>
      <w:r>
        <w:rPr>
          <w:rFonts w:hint="eastAsia" w:asciiTheme="minorEastAsia" w:hAnsiTheme="minorEastAsia" w:eastAsiaTheme="minorEastAsia" w:cstheme="minorEastAsia"/>
          <w:b/>
          <w:color w:val="auto"/>
          <w:highlight w:val="none"/>
        </w:rPr>
        <w:t>“第四章 评标方法和评标标准”</w:t>
      </w:r>
      <w:r>
        <w:rPr>
          <w:rFonts w:hint="eastAsia" w:asciiTheme="minorEastAsia" w:hAnsiTheme="minorEastAsia" w:eastAsiaTheme="minorEastAsia" w:cstheme="minorEastAsia"/>
          <w:color w:val="auto"/>
          <w:highlight w:val="none"/>
        </w:rPr>
        <w:t>规定的方法、评审因素、标准和程序对投标文件进行评审。</w:t>
      </w:r>
    </w:p>
    <w:p w14:paraId="1430DD4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 电子交易活动的中止。采购过程中出现以下情形，导致电子交易平台无法正常运行，或者无法保证电子交易的公平、公正和安全时，采购机构可中止电子交易活动：</w:t>
      </w:r>
    </w:p>
    <w:p w14:paraId="3931B0D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（1）电子交易平台发生故障而无法登录访问的； </w:t>
      </w:r>
    </w:p>
    <w:p w14:paraId="59ECF2B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（2）电子交易平台应用或数据库出现错误，不能进行正常操作的；</w:t>
      </w:r>
    </w:p>
    <w:p w14:paraId="3071422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（3）电子交易平台发现严重安全漏洞，有潜在泄密危险的；</w:t>
      </w:r>
    </w:p>
    <w:p w14:paraId="157E9D8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（4）病毒发作导致不能进行正常操作的； </w:t>
      </w:r>
    </w:p>
    <w:p w14:paraId="232DBBA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（4）其他无法保证电子交易的公平、公正和安全的情况。</w:t>
      </w:r>
    </w:p>
    <w:p w14:paraId="4A5014C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5C2AA15">
      <w:pPr>
        <w:pStyle w:val="12"/>
        <w:snapToGrid w:val="0"/>
        <w:spacing w:line="400" w:lineRule="exact"/>
        <w:ind w:firstLine="420" w:firstLineChars="200"/>
        <w:rPr>
          <w:rFonts w:hint="eastAsia" w:asciiTheme="minorEastAsia" w:hAnsiTheme="minorEastAsia" w:eastAsiaTheme="minorEastAsia" w:cstheme="minorEastAsia"/>
          <w:color w:val="auto"/>
          <w:highlight w:val="none"/>
        </w:rPr>
      </w:pPr>
    </w:p>
    <w:p w14:paraId="60D91C09">
      <w:pPr>
        <w:pStyle w:val="5"/>
        <w:keepNext w:val="0"/>
        <w:keepLines w:val="0"/>
        <w:spacing w:line="400" w:lineRule="exact"/>
        <w:jc w:val="center"/>
        <w:rPr>
          <w:rFonts w:hint="eastAsia" w:asciiTheme="minorEastAsia" w:hAnsiTheme="minorEastAsia" w:eastAsiaTheme="minorEastAsia" w:cstheme="minorEastAsia"/>
          <w:color w:val="auto"/>
          <w:highlight w:val="none"/>
        </w:rPr>
      </w:pPr>
      <w:bookmarkStart w:id="114" w:name="_Toc254970687"/>
      <w:bookmarkStart w:id="115" w:name="_Toc254970546"/>
      <w:bookmarkStart w:id="116" w:name="_Toc8266"/>
      <w:bookmarkStart w:id="117" w:name="_Toc16966"/>
      <w:r>
        <w:rPr>
          <w:rFonts w:hint="eastAsia" w:asciiTheme="minorEastAsia" w:hAnsiTheme="minorEastAsia" w:eastAsiaTheme="minorEastAsia" w:cstheme="minorEastAsia"/>
          <w:color w:val="auto"/>
          <w:highlight w:val="none"/>
        </w:rPr>
        <w:t>七、</w:t>
      </w:r>
      <w:bookmarkEnd w:id="114"/>
      <w:bookmarkEnd w:id="115"/>
      <w:r>
        <w:rPr>
          <w:rFonts w:hint="eastAsia" w:asciiTheme="minorEastAsia" w:hAnsiTheme="minorEastAsia" w:eastAsiaTheme="minorEastAsia" w:cstheme="minorEastAsia"/>
          <w:color w:val="auto"/>
          <w:highlight w:val="none"/>
        </w:rPr>
        <w:t>中标和合同</w:t>
      </w:r>
      <w:bookmarkEnd w:id="116"/>
      <w:bookmarkEnd w:id="117"/>
    </w:p>
    <w:p w14:paraId="615660D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30.确定中标人</w:t>
      </w:r>
    </w:p>
    <w:p w14:paraId="15D159B6">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30.1本项目授权评标委员会直接按第四章“评标方法及标准”的规定排列中标候选人顺序，并依照次序确定中标人。</w:t>
      </w:r>
    </w:p>
    <w:p w14:paraId="5FEA238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EB1C8E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30.3中标供应商无正当理由拒签合同的，根据《中华人民共和国政府采购法》第七十七条第一款规定处理。</w:t>
      </w:r>
    </w:p>
    <w:p w14:paraId="66DC5DC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30.4根据《中华人民共和国民法典》</w:t>
      </w:r>
      <w:r>
        <w:rPr>
          <w:rFonts w:hint="eastAsia" w:asciiTheme="minorEastAsia" w:hAnsiTheme="minorEastAsia" w:eastAsiaTheme="minorEastAsia" w:cstheme="minorEastAsia"/>
          <w:color w:val="auto"/>
          <w:sz w:val="19"/>
          <w:szCs w:val="19"/>
          <w:highlight w:val="none"/>
        </w:rPr>
        <w:t>第五百六十三条</w:t>
      </w:r>
      <w:r>
        <w:rPr>
          <w:rFonts w:hint="eastAsia" w:asciiTheme="minorEastAsia" w:hAnsiTheme="minorEastAsia" w:eastAsiaTheme="minorEastAsia" w:cstheme="minorEastAsia"/>
          <w:color w:val="auto"/>
          <w:szCs w:val="21"/>
          <w:highlight w:val="none"/>
        </w:rPr>
        <w:t>，因不可抗力致使不能实现合同目的的，当事人可以解除合同。</w:t>
      </w:r>
    </w:p>
    <w:p w14:paraId="6AFD2DF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结果公告</w:t>
      </w:r>
    </w:p>
    <w:p w14:paraId="25DD938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31.1</w:t>
      </w:r>
      <w:r>
        <w:rPr>
          <w:rFonts w:hint="eastAsia" w:asciiTheme="minorEastAsia" w:hAnsiTheme="minorEastAsia" w:eastAsiaTheme="minorEastAsia" w:cstheme="minorEastAsia"/>
          <w:color w:val="auto"/>
          <w:highlight w:val="none"/>
        </w:rPr>
        <w:t>在中标供应商确定之日起2个工作日内，由采购代理机构</w:t>
      </w:r>
      <w:r>
        <w:rPr>
          <w:rFonts w:hint="eastAsia" w:asciiTheme="minorEastAsia" w:hAnsiTheme="minorEastAsia" w:eastAsiaTheme="minorEastAsia" w:cstheme="minorEastAsia"/>
          <w:b/>
          <w:color w:val="auto"/>
          <w:szCs w:val="21"/>
          <w:highlight w:val="none"/>
        </w:rPr>
        <w:t>在招标公告发布媒体上</w:t>
      </w:r>
      <w:r>
        <w:rPr>
          <w:rFonts w:hint="eastAsia" w:asciiTheme="minorEastAsia" w:hAnsiTheme="minorEastAsia" w:eastAsiaTheme="minorEastAsia" w:cstheme="minorEastAsia"/>
          <w:color w:val="auto"/>
          <w:highlight w:val="none"/>
        </w:rPr>
        <w:t>发布中标结果公告，中标结果公告期限为1个工作日，发布中标结果公告的同时向中标供应商发出中标通知书。</w:t>
      </w:r>
      <w:r>
        <w:rPr>
          <w:rFonts w:hint="eastAsia" w:asciiTheme="minorEastAsia" w:hAnsiTheme="minorEastAsia" w:eastAsiaTheme="minorEastAsia" w:cstheme="minorEastAsia"/>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Theme="minorEastAsia" w:hAnsiTheme="minorEastAsia" w:eastAsiaTheme="minorEastAsia" w:cstheme="minorEastAsia"/>
          <w:color w:val="auto"/>
          <w:szCs w:val="21"/>
          <w:highlight w:val="none"/>
        </w:rPr>
        <w:t>排名第二的中标候选人因前款规定的同样原因被取消中标资格的，授权的评标委员会可以确定排名第三的中标候选人为中标人，以此类推。</w:t>
      </w:r>
    </w:p>
    <w:p w14:paraId="553BEC7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以上信息查询记录及相关证据与采购文件一并保存。</w:t>
      </w:r>
    </w:p>
    <w:p w14:paraId="6F3A58D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8C9243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32.发出中标通知书</w:t>
      </w:r>
    </w:p>
    <w:p w14:paraId="515DA6AB">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32.1在发布中标公告的同时，采购代理机构向中标人通过广西政府采购云平台发出电子中标通知书。</w:t>
      </w:r>
    </w:p>
    <w:p w14:paraId="29B3A97E">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2282381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无义务解释未中标原因</w:t>
      </w:r>
    </w:p>
    <w:p w14:paraId="2E14F4C6">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采购代理机构无义务向未中标的投标人解释未中标原因和退还投标文件。</w:t>
      </w:r>
    </w:p>
    <w:p w14:paraId="4F84774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34.合同授予标准</w:t>
      </w:r>
    </w:p>
    <w:p w14:paraId="491B4CD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合同将授予被确定实质上响应招标文件要求，具备履行合同能力的中标人（招标文件另有约定多名中标人的除外）。</w:t>
      </w:r>
    </w:p>
    <w:p w14:paraId="1947D90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35.履约保证金</w:t>
      </w:r>
    </w:p>
    <w:p w14:paraId="5E3FF5FA">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118" w:name="_39.1中标人须于签订合同前按本须知前附表规定的金额转账或电汇到指定账"/>
      <w:bookmarkEnd w:id="118"/>
      <w:r>
        <w:rPr>
          <w:rFonts w:hint="eastAsia" w:asciiTheme="minorEastAsia" w:hAnsiTheme="minorEastAsia" w:eastAsiaTheme="minorEastAsia" w:cstheme="minorEastAsia"/>
          <w:color w:val="auto"/>
          <w:szCs w:val="21"/>
          <w:highlight w:val="none"/>
        </w:rPr>
        <w:t>见“投标人须知前附表”。</w:t>
      </w:r>
    </w:p>
    <w:p w14:paraId="09430E6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36.签订合同</w:t>
      </w:r>
    </w:p>
    <w:p w14:paraId="7A1DC767">
      <w:pPr>
        <w:pStyle w:val="30"/>
        <w:snapToGrid w:val="0"/>
        <w:spacing w:before="0"/>
        <w:ind w:firstLine="422"/>
        <w:rPr>
          <w:rFonts w:hint="eastAsia" w:asciiTheme="minorEastAsia" w:hAnsiTheme="minorEastAsia" w:eastAsiaTheme="minorEastAsia" w:cstheme="minorEastAsia"/>
          <w:color w:val="auto"/>
          <w:kern w:val="0"/>
          <w:sz w:val="21"/>
          <w:szCs w:val="21"/>
          <w:highlight w:val="none"/>
          <w:lang w:val="zh-CN"/>
        </w:rPr>
      </w:pPr>
      <w:bookmarkStart w:id="119" w:name="_40.1投标人接到中标通知书后，按须知前附表规定向采购人出示相关资格证"/>
      <w:bookmarkEnd w:id="119"/>
      <w:r>
        <w:rPr>
          <w:rFonts w:hint="eastAsia" w:asciiTheme="minorEastAsia" w:hAnsiTheme="minorEastAsia" w:eastAsiaTheme="minorEastAsia" w:cstheme="minorEastAsia"/>
          <w:b/>
          <w:color w:val="auto"/>
          <w:sz w:val="21"/>
          <w:szCs w:val="21"/>
          <w:highlight w:val="none"/>
        </w:rPr>
        <w:t xml:space="preserve"> 36.1中标人领取电子中标通知书后，</w:t>
      </w:r>
      <w:r>
        <w:rPr>
          <w:rFonts w:hint="eastAsia" w:asciiTheme="minorEastAsia" w:hAnsiTheme="minorEastAsia" w:eastAsiaTheme="minorEastAsia" w:cstheme="minorEastAsia"/>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F609FE2">
      <w:pPr>
        <w:pStyle w:val="30"/>
        <w:snapToGrid w:val="0"/>
        <w:spacing w:before="0"/>
        <w:ind w:firstLine="42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36.2</w:t>
      </w:r>
      <w:r>
        <w:rPr>
          <w:rFonts w:hint="eastAsia" w:asciiTheme="minorEastAsia" w:hAnsiTheme="minorEastAsia" w:eastAsiaTheme="minorEastAsia" w:cstheme="minorEastAsia"/>
          <w:color w:val="auto"/>
          <w:sz w:val="21"/>
          <w:szCs w:val="21"/>
          <w:highlight w:val="none"/>
        </w:rPr>
        <w:t>采购合同由采购人与中标供应商根据招标文件、投标文件等内容通过政府采购电子交易平台在线签订，自动备案。</w:t>
      </w:r>
    </w:p>
    <w:p w14:paraId="203C0EBA">
      <w:pPr>
        <w:pStyle w:val="3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36.3签订合同时间：按中标通知书规定的时间与采购人签订合同（最长不能超过25日）。</w:t>
      </w:r>
    </w:p>
    <w:p w14:paraId="347DB47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7CC9C5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5054CD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B64640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36.7如签订合同并生效后，供应商无故拒绝或延期，除按照合同条款处理外，将承担相应的法律责任。</w:t>
      </w:r>
    </w:p>
    <w:p w14:paraId="772DC505">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1495B7D">
      <w:pPr>
        <w:spacing w:line="360" w:lineRule="auto"/>
        <w:ind w:firstLine="480" w:firstLineChars="200"/>
        <w:rPr>
          <w:rFonts w:hint="eastAsia" w:asciiTheme="minorEastAsia" w:hAnsiTheme="minorEastAsia" w:eastAsiaTheme="minorEastAsia" w:cstheme="minorEastAsia"/>
          <w:color w:val="auto"/>
          <w:sz w:val="24"/>
          <w:highlight w:val="none"/>
        </w:rPr>
      </w:pPr>
      <w:bookmarkStart w:id="120" w:name="_41.政府采购合同公告"/>
      <w:bookmarkEnd w:id="120"/>
      <w:r>
        <w:rPr>
          <w:rFonts w:hint="eastAsia" w:asciiTheme="minorEastAsia" w:hAnsiTheme="minorEastAsia" w:eastAsiaTheme="minorEastAsia" w:cstheme="minorEastAsia"/>
          <w:color w:val="auto"/>
          <w:sz w:val="24"/>
          <w:highlight w:val="none"/>
        </w:rPr>
        <w:t>37.政府采购合同公告</w:t>
      </w:r>
    </w:p>
    <w:p w14:paraId="2CF160B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采购人或者受托采购代理机构应当自政府采购合同签订之日起2个工作日内，将政府采购合同</w:t>
      </w:r>
      <w:r>
        <w:rPr>
          <w:rFonts w:hint="eastAsia" w:asciiTheme="minorEastAsia" w:hAnsiTheme="minorEastAsia" w:eastAsiaTheme="minorEastAsia" w:cstheme="minorEastAsia"/>
          <w:bCs/>
          <w:color w:val="auto"/>
          <w:highlight w:val="none"/>
        </w:rPr>
        <w:t>在以下媒体上发布</w:t>
      </w:r>
      <w:r>
        <w:rPr>
          <w:rFonts w:hint="eastAsia" w:asciiTheme="minorEastAsia" w:hAnsiTheme="minorEastAsia" w:eastAsiaTheme="minorEastAsia" w:cstheme="minorEastAsia"/>
          <w:color w:val="auto"/>
          <w:kern w:val="0"/>
          <w:szCs w:val="21"/>
          <w:highlight w:val="none"/>
        </w:rPr>
        <w:t xml:space="preserve"> “广西政府采购网”（http://zfcg.gxzf.gov.cn）</w:t>
      </w:r>
      <w:r>
        <w:rPr>
          <w:rFonts w:hint="eastAsia" w:asciiTheme="minorEastAsia" w:hAnsiTheme="minorEastAsia" w:eastAsiaTheme="minorEastAsia" w:cstheme="minorEastAsia"/>
          <w:color w:val="auto"/>
          <w:highlight w:val="none"/>
        </w:rPr>
        <w:t>上公告，但政府采购合同中涉及国家秘密、商业秘密的内容除外。</w:t>
      </w:r>
    </w:p>
    <w:p w14:paraId="2DEA9B3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 询问、质疑和投诉</w:t>
      </w:r>
    </w:p>
    <w:p w14:paraId="3D7385E7">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38.1询问</w:t>
      </w:r>
    </w:p>
    <w:p w14:paraId="7CAC7429">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38.1.1供应商在开标前对政府采购活动事项有疑问的，可以向采购人或采购代理机构项目负责人提出询问。</w:t>
      </w:r>
    </w:p>
    <w:p w14:paraId="34AF618B">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38.1.2采购人或采购人委托的采购代理机构自受理询问之日起3个工作日内对供应商依法提出的询问作出答复，</w:t>
      </w:r>
      <w:r>
        <w:rPr>
          <w:rFonts w:hint="eastAsia" w:asciiTheme="minorEastAsia" w:hAnsiTheme="minorEastAsia" w:eastAsiaTheme="minorEastAsia" w:cstheme="minorEastAsia"/>
          <w:color w:val="auto"/>
          <w:highlight w:val="none"/>
        </w:rPr>
        <w:t>但答复内容不得涉及商业秘密</w:t>
      </w:r>
      <w:r>
        <w:rPr>
          <w:rFonts w:hint="eastAsia" w:asciiTheme="minorEastAsia" w:hAnsiTheme="minorEastAsia" w:eastAsiaTheme="minorEastAsia" w:cstheme="minorEastAsia"/>
          <w:bCs/>
          <w:color w:val="auto"/>
          <w:szCs w:val="21"/>
          <w:highlight w:val="none"/>
        </w:rPr>
        <w:t>。</w:t>
      </w:r>
    </w:p>
    <w:p w14:paraId="4C0F8C12">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38.1.3 询问事项可能影响中标、成交结果的，采购人应当暂停签订合同，已经签订合同的，应当中止履行合同。</w:t>
      </w:r>
    </w:p>
    <w:p w14:paraId="69B39226">
      <w:pPr>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38.2质疑</w:t>
      </w:r>
    </w:p>
    <w:p w14:paraId="3A4BC8E6">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38.2.1</w:t>
      </w:r>
      <w:r>
        <w:rPr>
          <w:rFonts w:hint="eastAsia" w:asciiTheme="minorEastAsia" w:hAnsiTheme="minorEastAsia" w:eastAsiaTheme="minorEastAsia" w:cstheme="minorEastAsia"/>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C228089">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（1）潜在供应商依法获取公开招标文件后，认为采购文件使自己的权益受到损害的，应当在公开招标文件公告期限届满之日起7个工作日内提出质疑。</w:t>
      </w:r>
      <w:r>
        <w:rPr>
          <w:rFonts w:hint="eastAsia" w:asciiTheme="minorEastAsia" w:hAnsiTheme="minorEastAsia" w:eastAsiaTheme="minorEastAsia" w:cstheme="minorEastAsia"/>
          <w:color w:val="auto"/>
          <w:highlight w:val="none"/>
        </w:rPr>
        <w:t>委托代理协议无特殊约定的，</w:t>
      </w:r>
      <w:r>
        <w:rPr>
          <w:rFonts w:hint="eastAsia" w:asciiTheme="minorEastAsia" w:hAnsiTheme="minorEastAsia" w:eastAsiaTheme="minorEastAsia" w:cstheme="minorEastAsia"/>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1B6743B8">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E1EF258">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（3）供应商认为中标或者成交结果使自己的权益受到损害的，应当在中标或者成交结果公告期限届满之日起7个工作日内提出质疑，由采购人受理并负责答复。</w:t>
      </w:r>
    </w:p>
    <w:p w14:paraId="38FA6BAA">
      <w:pPr>
        <w:spacing w:line="360" w:lineRule="auto"/>
        <w:ind w:firstLine="422"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bCs/>
          <w:color w:val="auto"/>
          <w:szCs w:val="21"/>
          <w:highlight w:val="none"/>
        </w:rPr>
        <w:t>38.2.2</w:t>
      </w:r>
      <w:r>
        <w:rPr>
          <w:rFonts w:hint="eastAsia" w:asciiTheme="minorEastAsia" w:hAnsiTheme="minorEastAsia" w:eastAsiaTheme="minorEastAsia" w:cstheme="minorEastAsia"/>
          <w:bCs/>
          <w:color w:val="auto"/>
          <w:szCs w:val="21"/>
          <w:highlight w:val="none"/>
        </w:rPr>
        <w:t>供应商质疑实行实名制，其质疑应当有具体的质疑事项及事实根据，质疑应当坚持依法依规、诚实信用原则，不得进行虚假、恶意质疑。</w:t>
      </w:r>
    </w:p>
    <w:p w14:paraId="6A313C33">
      <w:pPr>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olor w:val="auto"/>
          <w:highlight w:val="none"/>
        </w:rPr>
        <w:t>38.2.3</w:t>
      </w:r>
      <w:r>
        <w:rPr>
          <w:rFonts w:hint="eastAsia" w:asciiTheme="minorEastAsia" w:hAnsiTheme="minorEastAsia" w:eastAsiaTheme="minorEastAsia" w:cstheme="minorEastAsia"/>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Theme="minorEastAsia" w:hAnsiTheme="minorEastAsia" w:eastAsiaTheme="minorEastAsia" w:cstheme="minorEastAsia"/>
          <w:color w:val="auto"/>
          <w:highlight w:val="none"/>
        </w:rPr>
        <w:t>。</w:t>
      </w:r>
    </w:p>
    <w:p w14:paraId="6EA97A22">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38.2.4 质疑供应商提起质疑应当符合下列条件：</w:t>
      </w:r>
    </w:p>
    <w:p w14:paraId="018D4036">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（1）质疑供应商是参与所质疑</w:t>
      </w:r>
      <w:r>
        <w:rPr>
          <w:rFonts w:hint="eastAsia" w:asciiTheme="minorEastAsia" w:hAnsiTheme="minorEastAsia" w:eastAsiaTheme="minorEastAsia" w:cstheme="minorEastAsia"/>
          <w:bCs/>
          <w:color w:val="auto"/>
          <w:szCs w:val="21"/>
          <w:highlight w:val="none"/>
        </w:rPr>
        <w:t>项目</w:t>
      </w:r>
      <w:r>
        <w:rPr>
          <w:rFonts w:hint="eastAsia" w:asciiTheme="minorEastAsia" w:hAnsiTheme="minorEastAsia" w:eastAsiaTheme="minorEastAsia" w:cstheme="minorEastAsia"/>
          <w:bCs/>
          <w:color w:val="auto"/>
          <w:highlight w:val="none"/>
        </w:rPr>
        <w:t>采购活动的供应商（潜在供应商已依法获取采购文件的，可以对该采购文件质疑）；</w:t>
      </w:r>
    </w:p>
    <w:p w14:paraId="154B505D">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（2）质疑函内容符合本章第38.2.5项的规定；</w:t>
      </w:r>
    </w:p>
    <w:p w14:paraId="52314AEB">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（3）在质疑有效期限内提起质疑；</w:t>
      </w:r>
    </w:p>
    <w:p w14:paraId="07BB95EB">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（4）属于所质疑的采购人或采购人委托的采购代理机构组织的采购活动；</w:t>
      </w:r>
    </w:p>
    <w:p w14:paraId="4C86F0EF">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（5）同一质疑事项未经采购人或采购人委托的采购代理机构质疑处理； </w:t>
      </w:r>
    </w:p>
    <w:p w14:paraId="61340054">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（6）供应商对同一采购程序环节的质疑应当在质疑有效期内一次性提出；</w:t>
      </w:r>
    </w:p>
    <w:p w14:paraId="3A996F73">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（7）供应商提交质疑应当提交必要的证明材料，证明材料应以合法手段取得；</w:t>
      </w:r>
    </w:p>
    <w:p w14:paraId="3E9F118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（8）财政部门规定的其他条件。</w:t>
      </w:r>
    </w:p>
    <w:p w14:paraId="1D2156CB">
      <w:pPr>
        <w:spacing w:line="360" w:lineRule="auto"/>
        <w:ind w:firstLine="420" w:firstLineChars="200"/>
        <w:rPr>
          <w:rFonts w:hint="eastAsia" w:asciiTheme="minorEastAsia" w:hAnsiTheme="minorEastAsia" w:eastAsiaTheme="minorEastAsia" w:cstheme="minorEastAsia"/>
          <w:b/>
          <w:color w:val="auto"/>
          <w:szCs w:val="21"/>
          <w:highlight w:val="none"/>
        </w:rPr>
      </w:pPr>
      <w:bookmarkStart w:id="121" w:name="_9.2质疑、投诉应当采用书面形式，质疑函、投诉书均应明确阐述招标文件、"/>
      <w:bookmarkEnd w:id="121"/>
      <w:r>
        <w:rPr>
          <w:rFonts w:hint="eastAsia" w:asciiTheme="minorEastAsia" w:hAnsiTheme="minorEastAsia" w:eastAsiaTheme="minorEastAsia" w:cstheme="minorEastAsia"/>
          <w:color w:val="auto"/>
          <w:szCs w:val="21"/>
          <w:highlight w:val="none"/>
        </w:rPr>
        <w:t xml:space="preserve"> 38.2.5 </w:t>
      </w:r>
      <w:r>
        <w:rPr>
          <w:rFonts w:hint="eastAsia" w:asciiTheme="minorEastAsia" w:hAnsiTheme="minorEastAsia" w:eastAsiaTheme="minorEastAsia" w:cstheme="minorEastAsia"/>
          <w:bCs/>
          <w:color w:val="auto"/>
          <w:highlight w:val="none"/>
        </w:rPr>
        <w:t>供应商提出质疑应当提交质疑函和必要的证明材料，针对同一采购程序环节的质疑必须在法定质疑期内一次性提出。质疑函应当包括下列内容（质疑函格式后附）：</w:t>
      </w:r>
    </w:p>
    <w:p w14:paraId="3DD17D7A">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（1）供应商的姓名或者名称、地址、邮编、联系人及联系电话；</w:t>
      </w:r>
    </w:p>
    <w:p w14:paraId="512ACBF6">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（2）质疑项目的名称、编号；</w:t>
      </w:r>
    </w:p>
    <w:p w14:paraId="4264AE6B">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（3）具体、明确的质疑事项和与质疑事项相关的请求；</w:t>
      </w:r>
    </w:p>
    <w:p w14:paraId="5AC2E4E1">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（4）事实依据（列明权益受到损害的事实和理由）；</w:t>
      </w:r>
    </w:p>
    <w:p w14:paraId="6F70F6FB">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（5）必要的法律依据；</w:t>
      </w:r>
    </w:p>
    <w:p w14:paraId="3491F8C0">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（6）提出质疑的日期。</w:t>
      </w:r>
    </w:p>
    <w:p w14:paraId="2B6ED80C">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供应商为自然人的，应当由本人签字；供应商为法人或者其他组织的，应当由法定代表人、主要负责人，或者其委托代理人签字或者盖章，并加盖公章。</w:t>
      </w:r>
    </w:p>
    <w:p w14:paraId="5DB7D079">
      <w:pPr>
        <w:spacing w:line="360" w:lineRule="auto"/>
        <w:ind w:firstLine="422" w:firstLineChars="200"/>
        <w:rPr>
          <w:rFonts w:hint="eastAsia"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BCEDBB0">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1AECD58">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5D811352">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0E89ED22">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质疑答复导致中标结果改变的，采购人或者采购代理机构应当将有关情况书面报告本级财政部门。</w:t>
      </w:r>
    </w:p>
    <w:p w14:paraId="1A2E0C96">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38.3投诉</w:t>
      </w:r>
    </w:p>
    <w:p w14:paraId="10FAA012">
      <w:pPr>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38.3</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
          <w:bCs/>
          <w:color w:val="auto"/>
          <w:highlight w:val="none"/>
        </w:rPr>
        <w:t xml:space="preserve">1 </w:t>
      </w:r>
      <w:r>
        <w:rPr>
          <w:rFonts w:hint="eastAsia" w:asciiTheme="minorEastAsia" w:hAnsiTheme="minorEastAsia" w:eastAsiaTheme="minorEastAsia" w:cstheme="minorEastAsia"/>
          <w:bCs/>
          <w:color w:val="auto"/>
          <w:highlight w:val="none"/>
        </w:rPr>
        <w:t xml:space="preserve"> 供应商认为采购文件、采购过程、中标和成交结果使自己的合法权益受到损害的，应当首先依法向采购人或采购人委托的</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提出质疑。对采购人、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的答复不满意，或者采购人、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未在规定期限内做出答复的，供应商可以在答复期满后15个工作日内向横州市政府采购监督管理部门提起投诉，投诉方式见“投标人须知前附表”。</w:t>
      </w:r>
    </w:p>
    <w:p w14:paraId="31A57F3A">
      <w:pPr>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 xml:space="preserve">38.3.2 </w:t>
      </w:r>
      <w:r>
        <w:rPr>
          <w:rFonts w:hint="eastAsia" w:asciiTheme="minorEastAsia" w:hAnsiTheme="minorEastAsia" w:eastAsiaTheme="minorEastAsia" w:cstheme="minorEastAsia"/>
          <w:color w:val="auto"/>
          <w:highlight w:val="none"/>
        </w:rPr>
        <w:t xml:space="preserve"> 投诉人投诉时，应当提交投诉书，并按照被投诉采购人、采购代理机构和与投诉事项有关的供应商数量提供投诉书的副本。投诉书</w:t>
      </w:r>
      <w:r>
        <w:rPr>
          <w:rFonts w:hint="eastAsia" w:asciiTheme="minorEastAsia" w:hAnsiTheme="minorEastAsia" w:eastAsiaTheme="minorEastAsia" w:cstheme="minorEastAsia"/>
          <w:color w:val="auto"/>
          <w:szCs w:val="21"/>
          <w:highlight w:val="none"/>
        </w:rPr>
        <w:t>应当包括下列主要内容</w:t>
      </w:r>
      <w:r>
        <w:rPr>
          <w:rFonts w:hint="eastAsia" w:asciiTheme="minorEastAsia" w:hAnsiTheme="minorEastAsia" w:eastAsiaTheme="minorEastAsia" w:cstheme="minorEastAsia"/>
          <w:color w:val="auto"/>
          <w:highlight w:val="none"/>
        </w:rPr>
        <w:t>（如材料中有外文资料应同时附上对应的中文译本）</w:t>
      </w:r>
      <w:r>
        <w:rPr>
          <w:rFonts w:hint="eastAsia" w:asciiTheme="minorEastAsia" w:hAnsiTheme="minorEastAsia" w:eastAsiaTheme="minorEastAsia" w:cstheme="minorEastAsia"/>
          <w:bCs/>
          <w:color w:val="auto"/>
          <w:highlight w:val="none"/>
        </w:rPr>
        <w:t>（投诉书格式后附）</w:t>
      </w:r>
      <w:r>
        <w:rPr>
          <w:rFonts w:hint="eastAsia" w:asciiTheme="minorEastAsia" w:hAnsiTheme="minorEastAsia" w:eastAsiaTheme="minorEastAsia" w:cstheme="minorEastAsia"/>
          <w:color w:val="auto"/>
          <w:szCs w:val="21"/>
          <w:highlight w:val="none"/>
        </w:rPr>
        <w:t>：</w:t>
      </w:r>
    </w:p>
    <w:p w14:paraId="315EF82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（1）投诉人和被投诉人的名称、地址、邮编、联系人及联系电话等； </w:t>
      </w:r>
    </w:p>
    <w:p w14:paraId="6600859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（2）质疑和质疑答复情况及相关证明材料； </w:t>
      </w:r>
    </w:p>
    <w:p w14:paraId="13C9570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（3）具体、明确的投诉事项和与投诉事项相关的投诉请求；</w:t>
      </w:r>
    </w:p>
    <w:p w14:paraId="1C1B0E0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（4）事实依据；</w:t>
      </w:r>
    </w:p>
    <w:p w14:paraId="64F2B41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（5）法律依据；</w:t>
      </w:r>
    </w:p>
    <w:p w14:paraId="4D1009B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（6）提起投诉的日期。</w:t>
      </w:r>
    </w:p>
    <w:p w14:paraId="080E5CD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Theme="minorEastAsia" w:hAnsiTheme="minorEastAsia" w:eastAsiaTheme="minorEastAsia" w:cstheme="minorEastAsia"/>
          <w:color w:val="auto"/>
          <w:highlight w:val="none"/>
        </w:rPr>
        <w:tab/>
      </w:r>
    </w:p>
    <w:p w14:paraId="1FD097ED">
      <w:pPr>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 xml:space="preserve">38.3.3  </w:t>
      </w:r>
      <w:r>
        <w:rPr>
          <w:rFonts w:hint="eastAsia" w:asciiTheme="minorEastAsia" w:hAnsiTheme="minorEastAsia" w:eastAsiaTheme="minorEastAsia" w:cstheme="minorEastAsia"/>
          <w:color w:val="auto"/>
          <w:highlight w:val="none"/>
        </w:rPr>
        <w:t>投诉人可以委托代理人办理投诉事务。</w:t>
      </w:r>
      <w:r>
        <w:rPr>
          <w:rFonts w:hint="eastAsia" w:asciiTheme="minorEastAsia" w:hAnsiTheme="minorEastAsia" w:eastAsiaTheme="minorEastAsia" w:cstheme="minorEastAsia"/>
          <w:bCs/>
          <w:color w:val="auto"/>
          <w:highlight w:val="none"/>
        </w:rPr>
        <w:t>委托代理人应熟悉相关业务情况。</w:t>
      </w:r>
      <w:r>
        <w:rPr>
          <w:rFonts w:hint="eastAsia" w:asciiTheme="minorEastAsia" w:hAnsiTheme="minorEastAsia" w:eastAsiaTheme="minorEastAsia" w:cstheme="minorEastAsia"/>
          <w:color w:val="auto"/>
          <w:highlight w:val="none"/>
        </w:rPr>
        <w:t>代理人办理投诉事务时，除提交投诉书外，还应当提交投诉人的授权委托书和委托代理人身份证明复印件。</w:t>
      </w:r>
    </w:p>
    <w:p w14:paraId="76DA1BE1">
      <w:pPr>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38.3.4</w:t>
      </w:r>
      <w:r>
        <w:rPr>
          <w:rFonts w:hint="eastAsia" w:asciiTheme="minorEastAsia" w:hAnsiTheme="minorEastAsia" w:eastAsiaTheme="minorEastAsia" w:cstheme="minorEastAsia"/>
          <w:color w:val="auto"/>
          <w:highlight w:val="none"/>
        </w:rPr>
        <w:t xml:space="preserve">  投诉人提起投诉应当符合下列条件：</w:t>
      </w:r>
    </w:p>
    <w:p w14:paraId="345D549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（1）投诉人是参与所投诉政府采购活动的供应商；</w:t>
      </w:r>
    </w:p>
    <w:p w14:paraId="59BC709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（2）提起投诉前已依法进行质疑；</w:t>
      </w:r>
    </w:p>
    <w:p w14:paraId="6A2A33C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（3）投诉书内容符合本章第38.3.2项的规定；</w:t>
      </w:r>
    </w:p>
    <w:p w14:paraId="0DC202A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（4）在投诉有效期限内提起投诉；</w:t>
      </w:r>
    </w:p>
    <w:p w14:paraId="46784F1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（5）属于横州市政府采购监督管理部门管辖；</w:t>
      </w:r>
    </w:p>
    <w:p w14:paraId="4B4525C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（6）同一投诉事项未经</w:t>
      </w:r>
      <w:r>
        <w:rPr>
          <w:rFonts w:hint="eastAsia" w:asciiTheme="minorEastAsia" w:hAnsiTheme="minorEastAsia" w:eastAsiaTheme="minorEastAsia" w:cstheme="minorEastAsia"/>
          <w:bCs/>
          <w:color w:val="auto"/>
          <w:highlight w:val="none"/>
        </w:rPr>
        <w:t>横州市政府采购监督管理部门</w:t>
      </w:r>
      <w:r>
        <w:rPr>
          <w:rFonts w:hint="eastAsia" w:asciiTheme="minorEastAsia" w:hAnsiTheme="minorEastAsia" w:eastAsiaTheme="minorEastAsia" w:cstheme="minorEastAsia"/>
          <w:color w:val="auto"/>
          <w:highlight w:val="none"/>
        </w:rPr>
        <w:t>投诉处理；</w:t>
      </w:r>
    </w:p>
    <w:p w14:paraId="6A3FCA1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（7）国务院财政部门规定的其他条件。</w:t>
      </w:r>
    </w:p>
    <w:p w14:paraId="5AE0CBB3">
      <w:pPr>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38.3.5</w:t>
      </w:r>
      <w:r>
        <w:rPr>
          <w:rFonts w:hint="eastAsia" w:asciiTheme="minorEastAsia" w:hAnsiTheme="minorEastAsia" w:eastAsiaTheme="minorEastAsia" w:cstheme="minorEastAsia"/>
          <w:color w:val="auto"/>
          <w:highlight w:val="none"/>
        </w:rPr>
        <w:t xml:space="preserve">  横州市政府采购监督管理部门自受理投诉之日起30个工作日内，对投诉事项作出处理决定，并以书面形式通知投诉人、被投诉人及其他与投诉处理结果有利害关系的政府采购当事人。并将投诉结果在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Theme="minorEastAsia" w:hAnsiTheme="minorEastAsia" w:eastAsiaTheme="minorEastAsia" w:cstheme="minorEastAsia"/>
          <w:color w:val="auto"/>
          <w:kern w:val="0"/>
          <w:szCs w:val="21"/>
          <w:highlight w:val="none"/>
        </w:rPr>
        <w:t>“广西政府采购网”（http://zfcg.gxzf.gov.cn）</w:t>
      </w:r>
      <w:r>
        <w:rPr>
          <w:rFonts w:hint="eastAsia" w:asciiTheme="minorEastAsia" w:hAnsiTheme="minorEastAsia" w:eastAsiaTheme="minorEastAsia" w:cstheme="minorEastAsia"/>
          <w:color w:val="auto"/>
          <w:highlight w:val="none"/>
        </w:rPr>
        <w:t>发布。</w:t>
      </w:r>
    </w:p>
    <w:p w14:paraId="68624E2C">
      <w:pPr>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38.3.6</w:t>
      </w:r>
      <w:r>
        <w:rPr>
          <w:rFonts w:hint="eastAsia" w:asciiTheme="minorEastAsia" w:hAnsiTheme="minorEastAsia" w:eastAsiaTheme="minorEastAsia" w:cstheme="minorEastAsia"/>
          <w:color w:val="auto"/>
          <w:highlight w:val="none"/>
        </w:rPr>
        <w:t xml:space="preserve">  横州市政府采购监督管理部门在处理投诉事项期间，可以视具体情况暂停采购活动。</w:t>
      </w:r>
    </w:p>
    <w:p w14:paraId="46ABDA09">
      <w:pPr>
        <w:snapToGrid w:val="0"/>
        <w:spacing w:line="360" w:lineRule="auto"/>
        <w:ind w:left="120" w:leftChars="57" w:firstLine="482" w:firstLineChars="150"/>
        <w:jc w:val="center"/>
        <w:outlineLvl w:val="2"/>
        <w:rPr>
          <w:rFonts w:hint="eastAsia" w:asciiTheme="minorEastAsia" w:hAnsiTheme="minorEastAsia" w:eastAsiaTheme="minorEastAsia" w:cstheme="minorEastAsia"/>
          <w:b/>
          <w:bCs/>
          <w:color w:val="auto"/>
          <w:sz w:val="32"/>
          <w:szCs w:val="32"/>
          <w:highlight w:val="none"/>
        </w:rPr>
      </w:pPr>
      <w:bookmarkStart w:id="122" w:name="_Toc28289"/>
      <w:bookmarkStart w:id="123" w:name="_Toc25336"/>
      <w:r>
        <w:rPr>
          <w:rFonts w:hint="eastAsia" w:asciiTheme="minorEastAsia" w:hAnsiTheme="minorEastAsia" w:eastAsiaTheme="minorEastAsia" w:cstheme="minorEastAsia"/>
          <w:b/>
          <w:bCs/>
          <w:color w:val="auto"/>
          <w:sz w:val="32"/>
          <w:szCs w:val="32"/>
          <w:highlight w:val="none"/>
        </w:rPr>
        <w:t>八、验收</w:t>
      </w:r>
      <w:bookmarkEnd w:id="122"/>
      <w:bookmarkEnd w:id="123"/>
    </w:p>
    <w:p w14:paraId="325ACD5D">
      <w:pPr>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39.验收</w:t>
      </w:r>
    </w:p>
    <w:p w14:paraId="34B03B11">
      <w:pPr>
        <w:tabs>
          <w:tab w:val="left" w:pos="0"/>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5578A7">
      <w:pPr>
        <w:tabs>
          <w:tab w:val="left" w:pos="0"/>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39.2采购人可以邀请参加本项目的其他投标人或者第三方机构参与验收。参与验收的投标人或者第三方机构的意见作为验收书的参考资料一并存档。</w:t>
      </w:r>
    </w:p>
    <w:p w14:paraId="3B14CC22">
      <w:pPr>
        <w:tabs>
          <w:tab w:val="left" w:pos="0"/>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2775E4">
      <w:pPr>
        <w:tabs>
          <w:tab w:val="left" w:pos="0"/>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E88F0D">
      <w:pPr>
        <w:pStyle w:val="12"/>
        <w:snapToGrid w:val="0"/>
        <w:spacing w:line="400" w:lineRule="exact"/>
        <w:rPr>
          <w:rFonts w:hint="eastAsia" w:asciiTheme="minorEastAsia" w:hAnsiTheme="minorEastAsia" w:eastAsiaTheme="minorEastAsia" w:cstheme="minorEastAsia"/>
          <w:color w:val="auto"/>
          <w:highlight w:val="none"/>
        </w:rPr>
      </w:pPr>
    </w:p>
    <w:p w14:paraId="1496B44F">
      <w:pPr>
        <w:pStyle w:val="5"/>
        <w:keepNext w:val="0"/>
        <w:keepLines w:val="0"/>
        <w:spacing w:line="360" w:lineRule="auto"/>
        <w:jc w:val="center"/>
        <w:rPr>
          <w:rFonts w:hint="eastAsia" w:asciiTheme="minorEastAsia" w:hAnsiTheme="minorEastAsia" w:eastAsiaTheme="minorEastAsia" w:cstheme="minorEastAsia"/>
          <w:color w:val="auto"/>
          <w:highlight w:val="none"/>
        </w:rPr>
      </w:pPr>
      <w:bookmarkStart w:id="124" w:name="_八、其他事项"/>
      <w:bookmarkEnd w:id="124"/>
      <w:bookmarkStart w:id="125" w:name="_Toc25202"/>
      <w:bookmarkStart w:id="126" w:name="_Toc29710"/>
      <w:r>
        <w:rPr>
          <w:rFonts w:hint="eastAsia" w:asciiTheme="minorEastAsia" w:hAnsiTheme="minorEastAsia" w:eastAsiaTheme="minorEastAsia" w:cstheme="minorEastAsia"/>
          <w:color w:val="auto"/>
          <w:highlight w:val="none"/>
        </w:rPr>
        <w:t>九、其他事项</w:t>
      </w:r>
      <w:bookmarkEnd w:id="125"/>
      <w:bookmarkEnd w:id="126"/>
    </w:p>
    <w:p w14:paraId="7425154C">
      <w:pPr>
        <w:spacing w:line="360" w:lineRule="auto"/>
        <w:ind w:firstLine="480" w:firstLineChars="200"/>
        <w:rPr>
          <w:rFonts w:hint="eastAsia" w:asciiTheme="minorEastAsia" w:hAnsiTheme="minorEastAsia" w:eastAsiaTheme="minorEastAsia" w:cstheme="minorEastAsia"/>
          <w:color w:val="auto"/>
          <w:sz w:val="24"/>
          <w:highlight w:val="none"/>
        </w:rPr>
      </w:pPr>
      <w:bookmarkStart w:id="127" w:name="_42.代理服务费"/>
      <w:bookmarkEnd w:id="127"/>
      <w:r>
        <w:rPr>
          <w:rFonts w:hint="eastAsia" w:asciiTheme="minorEastAsia" w:hAnsiTheme="minorEastAsia" w:eastAsiaTheme="minorEastAsia" w:cstheme="minorEastAsia"/>
          <w:color w:val="auto"/>
          <w:sz w:val="24"/>
          <w:highlight w:val="none"/>
        </w:rPr>
        <w:t>40.代理服务费</w:t>
      </w:r>
    </w:p>
    <w:p w14:paraId="5B8F755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代理服务收费标准及缴费账户详见“投标人须知前附表”，投标人为联合体的，可以由联合体中的一方或者多方共同交纳代理服务费。</w:t>
      </w:r>
    </w:p>
    <w:p w14:paraId="52C0743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需要补充的其他内容</w:t>
      </w:r>
    </w:p>
    <w:p w14:paraId="512581C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41.1本招标文件解释规则详见“投标人须知前附表”。</w:t>
      </w:r>
    </w:p>
    <w:p w14:paraId="3021A91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41.2 其他事项详见“投标人须知前附表”。</w:t>
      </w:r>
    </w:p>
    <w:p w14:paraId="29BD5AE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1497AC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14:paraId="3096B61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依据本文件规定享受扶持政策获得政府采购合同的，小微企业不得将合同分包给大中型企业，中型企业不得将合同分包给大型企业。</w:t>
      </w:r>
    </w:p>
    <w:p w14:paraId="6CA377C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 政采贷相关说明</w:t>
      </w:r>
    </w:p>
    <w:p w14:paraId="6BA51DA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687F3DDF">
      <w:pPr>
        <w:numPr>
          <w:ilvl w:val="0"/>
          <w:numId w:val="1"/>
        </w:num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"http://www.nnggzy.org.cn）“交易信息-政府采购-政府采购信用融资”中融资银行和南宁市企业融资服务中心专栏信息申请政府采购信用融资。" </w:instrText>
      </w:r>
      <w:r>
        <w:rPr>
          <w:color w:val="auto"/>
          <w:highlight w:val="none"/>
        </w:rPr>
        <w:fldChar w:fldCharType="separate"/>
      </w:r>
      <w:r>
        <w:rPr>
          <w:rStyle w:val="25"/>
          <w:rFonts w:hint="eastAsia" w:asciiTheme="minorEastAsia" w:hAnsiTheme="minorEastAsia" w:eastAsiaTheme="minorEastAsia" w:cstheme="minorEastAsia"/>
          <w:color w:val="auto"/>
          <w:highlight w:val="none"/>
        </w:rPr>
        <w:t>http://www.nnggzy.org.cn）“交易信息-政府采购-政府采购信用融资”中融资银行和南宁市企业融资服务中心专栏信息申请政府采购信用融资。</w:t>
      </w:r>
      <w:r>
        <w:rPr>
          <w:rStyle w:val="25"/>
          <w:rFonts w:hint="eastAsia" w:asciiTheme="minorEastAsia" w:hAnsiTheme="minorEastAsia" w:eastAsiaTheme="minorEastAsia" w:cstheme="minorEastAsia"/>
          <w:color w:val="auto"/>
          <w:highlight w:val="none"/>
        </w:rPr>
        <w:fldChar w:fldCharType="end"/>
      </w:r>
    </w:p>
    <w:p w14:paraId="0F9223C7">
      <w:pPr>
        <w:numPr>
          <w:ilvl w:val="0"/>
          <w:numId w:val="1"/>
        </w:num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Theme="minorEastAsia" w:hAnsiTheme="minorEastAsia" w:eastAsiaTheme="minorEastAsia" w:cstheme="minorEastAsia"/>
          <w:color w:val="auto"/>
          <w:highlight w:val="none"/>
        </w:rPr>
        <w:br w:type="page"/>
      </w:r>
      <w:bookmarkStart w:id="128" w:name="_Toc532545043"/>
    </w:p>
    <w:p w14:paraId="0A4F33FD">
      <w:pPr>
        <w:pStyle w:val="12"/>
        <w:jc w:val="center"/>
        <w:outlineLvl w:val="0"/>
        <w:rPr>
          <w:rFonts w:hint="eastAsia" w:asciiTheme="minorEastAsia" w:hAnsiTheme="minorEastAsia" w:eastAsiaTheme="minorEastAsia" w:cstheme="minorEastAsia"/>
          <w:b/>
          <w:color w:val="auto"/>
          <w:sz w:val="36"/>
          <w:highlight w:val="none"/>
        </w:rPr>
      </w:pPr>
      <w:bookmarkStart w:id="129" w:name="_Toc9276"/>
      <w:r>
        <w:rPr>
          <w:rFonts w:hint="eastAsia" w:asciiTheme="minorEastAsia" w:hAnsiTheme="minorEastAsia" w:eastAsiaTheme="minorEastAsia" w:cstheme="minorEastAsia"/>
          <w:b/>
          <w:color w:val="auto"/>
          <w:sz w:val="36"/>
          <w:highlight w:val="none"/>
        </w:rPr>
        <w:t>第四章  评标方法</w:t>
      </w:r>
      <w:bookmarkEnd w:id="128"/>
      <w:r>
        <w:rPr>
          <w:rFonts w:hint="eastAsia" w:asciiTheme="minorEastAsia" w:hAnsiTheme="minorEastAsia" w:eastAsiaTheme="minorEastAsia" w:cstheme="minorEastAsia"/>
          <w:b/>
          <w:color w:val="auto"/>
          <w:sz w:val="36"/>
          <w:highlight w:val="none"/>
        </w:rPr>
        <w:t>及评分标准</w:t>
      </w:r>
      <w:bookmarkEnd w:id="129"/>
    </w:p>
    <w:p w14:paraId="758DAFC0">
      <w:pPr>
        <w:pStyle w:val="12"/>
        <w:jc w:val="center"/>
        <w:outlineLvl w:val="1"/>
        <w:rPr>
          <w:rFonts w:hint="eastAsia" w:asciiTheme="minorEastAsia" w:hAnsiTheme="minorEastAsia" w:eastAsiaTheme="minorEastAsia" w:cstheme="minorEastAsia"/>
          <w:b/>
          <w:bCs/>
          <w:color w:val="auto"/>
          <w:sz w:val="32"/>
          <w:szCs w:val="32"/>
          <w:highlight w:val="none"/>
        </w:rPr>
      </w:pPr>
      <w:bookmarkStart w:id="130" w:name="_Toc29328"/>
      <w:r>
        <w:rPr>
          <w:rFonts w:hint="eastAsia" w:asciiTheme="minorEastAsia" w:hAnsiTheme="minorEastAsia" w:eastAsiaTheme="minorEastAsia" w:cstheme="minorEastAsia"/>
          <w:b/>
          <w:bCs/>
          <w:color w:val="auto"/>
          <w:sz w:val="32"/>
          <w:szCs w:val="32"/>
          <w:highlight w:val="none"/>
        </w:rPr>
        <w:t>第一节 评标方法</w:t>
      </w:r>
      <w:bookmarkEnd w:id="130"/>
    </w:p>
    <w:p w14:paraId="22AF89A7">
      <w:pPr>
        <w:pStyle w:val="12"/>
        <w:tabs>
          <w:tab w:val="left" w:pos="2472"/>
        </w:tabs>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w:t>
      </w:r>
      <w:r>
        <w:rPr>
          <w:rFonts w:hint="eastAsia" w:asciiTheme="minorEastAsia" w:hAnsiTheme="minorEastAsia" w:eastAsiaTheme="minorEastAsia" w:cstheme="minorEastAsia"/>
          <w:color w:val="auto"/>
          <w:szCs w:val="21"/>
          <w:highlight w:val="none"/>
          <w:u w:val="single"/>
        </w:rPr>
        <w:t xml:space="preserve"> 以下勾选的方式</w:t>
      </w:r>
      <w:r>
        <w:rPr>
          <w:rFonts w:hint="eastAsia" w:asciiTheme="minorEastAsia" w:hAnsiTheme="minorEastAsia" w:eastAsiaTheme="minorEastAsia" w:cstheme="minorEastAsia"/>
          <w:color w:val="auto"/>
          <w:szCs w:val="21"/>
          <w:highlight w:val="none"/>
        </w:rPr>
        <w:t>进行评审。</w:t>
      </w:r>
    </w:p>
    <w:p w14:paraId="2D7C3164">
      <w:pPr>
        <w:pStyle w:val="12"/>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□最低评标价法，是指投标文件满足招标文件</w:t>
      </w:r>
      <w:r>
        <w:rPr>
          <w:rFonts w:hint="eastAsia" w:asciiTheme="minorEastAsia" w:hAnsiTheme="minorEastAsia" w:eastAsiaTheme="minorEastAsia" w:cstheme="minorEastAsia"/>
          <w:color w:val="auto"/>
          <w:highlight w:val="none"/>
        </w:rPr>
        <w:t>全部实质性要求，且投标报价最低的投标人为中标候选人的评标方法。</w:t>
      </w:r>
    </w:p>
    <w:p w14:paraId="24C777F4">
      <w:pP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☑综合评分法，</w:t>
      </w:r>
      <w:r>
        <w:rPr>
          <w:rFonts w:hint="eastAsia" w:asciiTheme="minorEastAsia" w:hAnsiTheme="minorEastAsia" w:eastAsiaTheme="minorEastAsia" w:cstheme="minorEastAsia"/>
          <w:b/>
          <w:bCs/>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CF4156B">
      <w:pPr>
        <w:pStyle w:val="12"/>
        <w:spacing w:line="360" w:lineRule="auto"/>
        <w:ind w:firstLine="420"/>
        <w:rPr>
          <w:rFonts w:hint="eastAsia" w:asciiTheme="minorEastAsia" w:hAnsiTheme="minorEastAsia" w:eastAsiaTheme="minorEastAsia" w:cstheme="minorEastAsia"/>
          <w:color w:val="auto"/>
          <w:highlight w:val="none"/>
        </w:rPr>
      </w:pPr>
    </w:p>
    <w:p w14:paraId="70281F2A">
      <w:pPr>
        <w:pStyle w:val="12"/>
        <w:tabs>
          <w:tab w:val="left" w:pos="2472"/>
        </w:tabs>
        <w:spacing w:line="460" w:lineRule="exact"/>
        <w:jc w:val="center"/>
        <w:outlineLvl w:val="1"/>
        <w:rPr>
          <w:rFonts w:hint="eastAsia" w:asciiTheme="minorEastAsia" w:hAnsiTheme="minorEastAsia" w:eastAsiaTheme="minorEastAsia" w:cstheme="minorEastAsia"/>
          <w:b/>
          <w:bCs/>
          <w:color w:val="auto"/>
          <w:sz w:val="32"/>
          <w:szCs w:val="32"/>
          <w:highlight w:val="none"/>
        </w:rPr>
      </w:pPr>
      <w:bookmarkStart w:id="131" w:name="_Toc3945"/>
      <w:r>
        <w:rPr>
          <w:rFonts w:hint="eastAsia" w:asciiTheme="minorEastAsia" w:hAnsiTheme="minorEastAsia" w:eastAsiaTheme="minorEastAsia" w:cstheme="minorEastAsia"/>
          <w:b/>
          <w:bCs/>
          <w:color w:val="auto"/>
          <w:sz w:val="32"/>
          <w:szCs w:val="32"/>
          <w:highlight w:val="none"/>
        </w:rPr>
        <w:t>第二节 评标程序</w:t>
      </w:r>
      <w:bookmarkEnd w:id="131"/>
    </w:p>
    <w:p w14:paraId="2787B95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1.符合性审查</w:t>
      </w:r>
    </w:p>
    <w:p w14:paraId="1FF628F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评标委员会应当对符合资格的投标人的投标文件进行投标报价、商务、技术等实质性内容符合性审查，以确定其是否满足招标文件的实质性要求。</w:t>
      </w:r>
    </w:p>
    <w:p w14:paraId="69A7C77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2.符合性审查不通过而导致投标无效的情形</w:t>
      </w:r>
    </w:p>
    <w:p w14:paraId="28BBD59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投标人的投标文件中存在对招标文件的任何实质性要求和条件的负偏离，将被视为投标无效。</w:t>
      </w:r>
    </w:p>
    <w:p w14:paraId="6CDC0D6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2.1在报价评审时，如发现下列情形之一的，将被视为投标无效：</w:t>
      </w:r>
    </w:p>
    <w:p w14:paraId="1A0188F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（1）投标文件未提供“投标人须知前附表”第13.1条规定中“必须提供”的文件资料的;</w:t>
      </w:r>
    </w:p>
    <w:p w14:paraId="42254D0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（2）未采用人民币报价或者未按照招标文件标明的币种报价的；</w:t>
      </w:r>
    </w:p>
    <w:p w14:paraId="4AC92FE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（3）报价超出招标文件规定最高限价，或者超出采购预算金额（包括分项预算）的；</w:t>
      </w:r>
    </w:p>
    <w:p w14:paraId="554AF93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148DBA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（5）修正后的报价，投标人不确认的；</w:t>
      </w:r>
    </w:p>
    <w:p w14:paraId="7D590E7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（6）投标人属于本章第5条第（2）项情形的。</w:t>
      </w:r>
    </w:p>
    <w:p w14:paraId="6A94E85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2.2在商务评审时，如发现下列情形之一的，将被视为投标无效：</w:t>
      </w:r>
    </w:p>
    <w:p w14:paraId="1D72642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（1）投标文件未按招标文件要求签署、盖章的；</w:t>
      </w:r>
    </w:p>
    <w:p w14:paraId="1F89287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（2）委托代理人未能出具有效身份证明或者出具的身份证明与授权委托书中的信息不符的； </w:t>
      </w:r>
    </w:p>
    <w:p w14:paraId="19BE16E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（3）投标文件未提供“投标人须知前附表”第13.1条规定中“必须提供”或者“委托时必须提供”的文件资料的;</w:t>
      </w:r>
    </w:p>
    <w:p w14:paraId="7E31E89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（4）投标有效期、项目完成时间（交货时间、服务完成时间或者服务期等）、质保期、售后服务等招标文件中标“▲”的商务条款发生负偏离的；</w:t>
      </w:r>
    </w:p>
    <w:p w14:paraId="214980A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（5）商务条款评审允许负偏离的条款数超过“投标人须知前附表”规定项数的。</w:t>
      </w:r>
    </w:p>
    <w:p w14:paraId="55E9F80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（6）投标文件的实质性内容未使用中文表述、使用计量单位不符合招标文件要求的；</w:t>
      </w:r>
    </w:p>
    <w:p w14:paraId="41664FC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（7）投标文件中的文件资料因填写不齐全或者内容虚假或者出现其他情形而导致被评标委员会认定无效的；</w:t>
      </w:r>
    </w:p>
    <w:p w14:paraId="5733ADB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（8）投标文件含有采购人不能接受的附加条件的；</w:t>
      </w:r>
    </w:p>
    <w:p w14:paraId="7434FAB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（9）未响应招标文件实质性要求的；</w:t>
      </w:r>
    </w:p>
    <w:p w14:paraId="7C3F796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（10）属于投标人须知正文第9.2条情形的；</w:t>
      </w:r>
    </w:p>
    <w:p w14:paraId="30DEEA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（11）法律、法规和招标文件规定的其他无效情形。</w:t>
      </w:r>
    </w:p>
    <w:p w14:paraId="2C42B67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2.3在技术评审时，如发现下列情形之一的，将被视为投标无效：</w:t>
      </w:r>
    </w:p>
    <w:p w14:paraId="5F950F3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（1）不满足招标文件要求的服务内容、技术要求、安全、质量标准，或者与招标文件中标“▲”的技术需求发生负偏离的；</w:t>
      </w:r>
    </w:p>
    <w:p w14:paraId="082C7AD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（2）技术需求评审允许负偏离的条款数超过“投标人须知前附表”规定项数的；</w:t>
      </w:r>
    </w:p>
    <w:p w14:paraId="4C6A6F1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（3）投标文件未提供“投标人须知前附表”第13.1条规定中“必须提供”的文件资料的;</w:t>
      </w:r>
    </w:p>
    <w:p w14:paraId="04CFCFB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（4）虚假投标，或者出现其他情形而导致被评标委员会认定无效的；</w:t>
      </w:r>
    </w:p>
    <w:p w14:paraId="778E01F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（5）如招标文件需要提供技术方案的，投标技术方案不明确，招标文件未允许但存在一个或者一个以上备选（替代）投标方案的。</w:t>
      </w:r>
    </w:p>
    <w:p w14:paraId="0675D907">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3.澄清补正、说明或者补正</w:t>
      </w:r>
    </w:p>
    <w:p w14:paraId="75D8C64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66C5548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0D18A7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4.投标文件修正</w:t>
      </w:r>
    </w:p>
    <w:p w14:paraId="2C28C49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4.1投标文件报价出现前后不一致的，按照下列规定修正： </w:t>
      </w:r>
    </w:p>
    <w:p w14:paraId="740CFA1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（1）报价文件中“开标一览表”内容与投标文件中相应内容不一致的，以“开标一览表”为准；</w:t>
      </w:r>
    </w:p>
    <w:p w14:paraId="3D69683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（2）大写金额和小写金额不一致的，以大写金额为准；</w:t>
      </w:r>
    </w:p>
    <w:p w14:paraId="060188D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（3）单价金额小数点或者百分比有明显错位的，以开标一览表的总价为准，并修改单价；</w:t>
      </w:r>
    </w:p>
    <w:p w14:paraId="4531E09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（4）总价金额与按单价汇总金额不一致的，以单价金额计算结果为准。</w:t>
      </w:r>
    </w:p>
    <w:p w14:paraId="4BD812A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同时出现两种以上不一致的，按照以上（1）-（4）规定的顺序修正。修正后的报价经投标人确认后产生约束力，投标人不确认的，其投标无效。</w:t>
      </w:r>
    </w:p>
    <w:p w14:paraId="4040522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4.2经投标人确认修正后的报价若超过采购预算金额或者最高限价，投标人的投标文件作无效投标处理。</w:t>
      </w:r>
    </w:p>
    <w:p w14:paraId="23A5076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4.3经投标人确认修正后的报价作为签订合同的依据，并以此报价计算价格分。</w:t>
      </w:r>
    </w:p>
    <w:p w14:paraId="03ECC9F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5.比较与评价</w:t>
      </w:r>
    </w:p>
    <w:p w14:paraId="7349329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5.1评标委员会按照招标文件中规定的评标方法和评标标准，对符合性审查合格的投标文件进行商务和技术评估，综合比较与评价。</w:t>
      </w:r>
    </w:p>
    <w:p w14:paraId="1859EFF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5.2评标委员会独立对每个投标人的投标文件进行评价，并汇总每个投标人的得分。</w:t>
      </w:r>
    </w:p>
    <w:p w14:paraId="5A16804B">
      <w:pPr>
        <w:widowControl/>
        <w:numPr>
          <w:ilvl w:val="0"/>
          <w:numId w:val="2"/>
        </w:numPr>
        <w:spacing w:after="150" w:line="48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5E582D3">
      <w:pPr>
        <w:widowControl/>
        <w:numPr>
          <w:ilvl w:val="0"/>
          <w:numId w:val="2"/>
        </w:numPr>
        <w:spacing w:after="150" w:line="48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19F9E0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5.3评标委员会按照招标文件中规定的评标方法和标准计算各投标人的报价得分。在计算过程中，不得去掉最高报价或者最低报价。</w:t>
      </w:r>
    </w:p>
    <w:p w14:paraId="603A64F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5.4各投标人的得分为所有评委的有效评分的算术平均数。</w:t>
      </w:r>
    </w:p>
    <w:p w14:paraId="0A76DAD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5.5评标委员会按照招标文件中的规定推荐中标候选人。</w:t>
      </w:r>
    </w:p>
    <w:p w14:paraId="431A6CC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8B991AB">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6.评审复核</w:t>
      </w:r>
    </w:p>
    <w:p w14:paraId="5AE9854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6.1评标报告签署前，评标委员会要对评审结果进行复核，复核意见要体现在评标报告中。</w:t>
      </w:r>
    </w:p>
    <w:p w14:paraId="3A23607B">
      <w:pPr>
        <w:widowControl/>
        <w:spacing w:line="560" w:lineRule="exact"/>
        <w:ind w:firstLine="420" w:firstLineChars="200"/>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6.2评标结果汇总完成后，除下列情形外，任何人不得修改评标结果：</w:t>
      </w:r>
    </w:p>
    <w:p w14:paraId="70C5FB68">
      <w:pPr>
        <w:widowControl/>
        <w:spacing w:line="56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（一）分值汇总计算错误的；</w:t>
      </w:r>
    </w:p>
    <w:p w14:paraId="4C422370">
      <w:pPr>
        <w:widowControl/>
        <w:spacing w:line="56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（二）分项评分超出评分标准范围的；</w:t>
      </w:r>
    </w:p>
    <w:p w14:paraId="653DC8C9">
      <w:pPr>
        <w:widowControl/>
        <w:spacing w:line="56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（三）评标委员会成员对客观评审因素评分不一致的；</w:t>
      </w:r>
    </w:p>
    <w:p w14:paraId="4E6B8267">
      <w:pPr>
        <w:widowControl/>
        <w:spacing w:line="560" w:lineRule="exact"/>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（四）经评标委员会认定评分畸高、畸低的。</w:t>
      </w:r>
    </w:p>
    <w:p w14:paraId="21FF48F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900BEE">
      <w:pPr>
        <w:pStyle w:val="10"/>
        <w:rPr>
          <w:color w:val="auto"/>
          <w:highlight w:val="none"/>
        </w:rPr>
      </w:pPr>
    </w:p>
    <w:p w14:paraId="08C46B84">
      <w:pPr>
        <w:pStyle w:val="4"/>
        <w:jc w:val="center"/>
        <w:rPr>
          <w:rFonts w:hint="eastAsia" w:asciiTheme="minorEastAsia" w:hAnsiTheme="minorEastAsia" w:eastAsiaTheme="minorEastAsia" w:cstheme="minorEastAsia"/>
          <w:b w:val="0"/>
          <w:color w:val="auto"/>
          <w:sz w:val="30"/>
          <w:szCs w:val="30"/>
          <w:highlight w:val="none"/>
        </w:rPr>
      </w:pPr>
      <w:bookmarkStart w:id="132" w:name="_Toc29713"/>
    </w:p>
    <w:p w14:paraId="3C1E1867">
      <w:pPr>
        <w:rPr>
          <w:rFonts w:hint="eastAsia" w:asciiTheme="minorEastAsia" w:hAnsiTheme="minorEastAsia" w:eastAsiaTheme="minorEastAsia" w:cstheme="minorEastAsia"/>
          <w:color w:val="auto"/>
          <w:sz w:val="30"/>
          <w:szCs w:val="30"/>
          <w:highlight w:val="none"/>
        </w:rPr>
      </w:pPr>
    </w:p>
    <w:p w14:paraId="3AA2151A">
      <w:pPr>
        <w:pStyle w:val="14"/>
        <w:rPr>
          <w:rFonts w:hint="eastAsia" w:asciiTheme="minorEastAsia" w:hAnsiTheme="minorEastAsia" w:eastAsiaTheme="minorEastAsia" w:cstheme="minorEastAsia"/>
          <w:color w:val="auto"/>
          <w:sz w:val="30"/>
          <w:szCs w:val="30"/>
          <w:highlight w:val="none"/>
        </w:rPr>
      </w:pPr>
    </w:p>
    <w:p w14:paraId="0334F84F">
      <w:pPr>
        <w:pStyle w:val="28"/>
        <w:rPr>
          <w:rFonts w:hint="eastAsia" w:asciiTheme="minorEastAsia" w:hAnsiTheme="minorEastAsia" w:eastAsiaTheme="minorEastAsia" w:cstheme="minorEastAsia"/>
          <w:color w:val="auto"/>
          <w:sz w:val="30"/>
          <w:szCs w:val="30"/>
          <w:highlight w:val="none"/>
        </w:rPr>
      </w:pPr>
    </w:p>
    <w:p w14:paraId="4DAE7B72">
      <w:pPr>
        <w:rPr>
          <w:rFonts w:hint="eastAsia" w:asciiTheme="minorEastAsia" w:hAnsiTheme="minorEastAsia" w:eastAsiaTheme="minorEastAsia" w:cstheme="minorEastAsia"/>
          <w:color w:val="auto"/>
          <w:sz w:val="30"/>
          <w:szCs w:val="30"/>
          <w:highlight w:val="none"/>
        </w:rPr>
      </w:pPr>
    </w:p>
    <w:p w14:paraId="673ADA55">
      <w:pPr>
        <w:pStyle w:val="14"/>
        <w:rPr>
          <w:rFonts w:hint="eastAsia" w:asciiTheme="minorEastAsia" w:hAnsiTheme="minorEastAsia" w:eastAsiaTheme="minorEastAsia" w:cstheme="minorEastAsia"/>
          <w:color w:val="auto"/>
          <w:sz w:val="30"/>
          <w:szCs w:val="30"/>
          <w:highlight w:val="none"/>
        </w:rPr>
      </w:pPr>
    </w:p>
    <w:p w14:paraId="5C4B8128">
      <w:pPr>
        <w:pStyle w:val="28"/>
        <w:rPr>
          <w:color w:val="auto"/>
          <w:highlight w:val="none"/>
        </w:rPr>
      </w:pPr>
    </w:p>
    <w:p w14:paraId="0C85DB1D">
      <w:pPr>
        <w:pStyle w:val="4"/>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第三节 评分标准</w:t>
      </w:r>
      <w:bookmarkEnd w:id="132"/>
    </w:p>
    <w:p w14:paraId="61979C0F">
      <w:pPr>
        <w:pStyle w:val="12"/>
        <w:ind w:firstLine="602" w:firstLineChars="20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综合评分法</w:t>
      </w:r>
    </w:p>
    <w:p w14:paraId="5AE9E718">
      <w:pPr>
        <w:spacing w:line="400" w:lineRule="exact"/>
        <w:ind w:firstLine="420"/>
        <w:rPr>
          <w:rFonts w:hint="eastAsia" w:ascii="宋体" w:hAnsi="宋体"/>
          <w:bCs/>
          <w:color w:val="auto"/>
          <w:szCs w:val="21"/>
          <w:highlight w:val="none"/>
        </w:rPr>
      </w:pPr>
      <w:r>
        <w:rPr>
          <w:rFonts w:hint="eastAsia" w:ascii="宋体" w:hAnsi="宋体"/>
          <w:bCs/>
          <w:color w:val="auto"/>
          <w:szCs w:val="21"/>
          <w:highlight w:val="none"/>
        </w:rPr>
        <w:t>注：</w:t>
      </w:r>
    </w:p>
    <w:p w14:paraId="57F5C9FE">
      <w:pPr>
        <w:wordWrap w:val="0"/>
        <w:spacing w:line="360" w:lineRule="auto"/>
        <w:ind w:firstLine="1050" w:firstLineChars="500"/>
        <w:jc w:val="left"/>
        <w:rPr>
          <w:rFonts w:hint="eastAsia" w:ascii="宋体" w:hAnsi="宋体" w:cs="宋体"/>
          <w:color w:val="auto"/>
          <w:szCs w:val="21"/>
          <w:highlight w:val="none"/>
        </w:rPr>
      </w:pPr>
      <w:r>
        <w:rPr>
          <w:rFonts w:hint="eastAsia" w:hAnsi="宋体"/>
          <w:bCs/>
          <w:color w:val="auto"/>
          <w:szCs w:val="21"/>
          <w:highlight w:val="none"/>
        </w:rPr>
        <w:t>1、计分方法按四舍五入取至百分位。</w:t>
      </w:r>
    </w:p>
    <w:p w14:paraId="701EFAF9">
      <w:pPr>
        <w:wordWrap w:val="0"/>
        <w:spacing w:line="360" w:lineRule="auto"/>
        <w:ind w:firstLine="1050" w:firstLineChars="500"/>
        <w:jc w:val="left"/>
        <w:rPr>
          <w:rFonts w:hint="eastAsia" w:hAnsi="宋体"/>
          <w:bCs/>
          <w:color w:val="auto"/>
          <w:szCs w:val="21"/>
          <w:highlight w:val="none"/>
        </w:rPr>
      </w:pPr>
      <w:r>
        <w:rPr>
          <w:rFonts w:hint="eastAsia" w:hAnsi="宋体"/>
          <w:bCs/>
          <w:color w:val="auto"/>
          <w:szCs w:val="21"/>
          <w:highlight w:val="none"/>
        </w:rPr>
        <w:t>2、商务技术评审因素为客观评分项的，应在评分项目或评分标准中予以标注为“客观分”。对投标人的客观评分项目，各评标专家评分应当一致。</w:t>
      </w:r>
    </w:p>
    <w:p w14:paraId="629CB699">
      <w:pPr>
        <w:pStyle w:val="10"/>
        <w:rPr>
          <w:rFonts w:hint="eastAsia" w:hAnsi="宋体"/>
          <w:bCs/>
          <w:color w:val="auto"/>
          <w:szCs w:val="21"/>
          <w:highlight w:val="none"/>
        </w:rPr>
      </w:pPr>
    </w:p>
    <w:tbl>
      <w:tblPr>
        <w:tblStyle w:val="21"/>
        <w:tblpPr w:leftFromText="180" w:rightFromText="180" w:vertAnchor="text" w:horzAnchor="page" w:tblpX="735" w:tblpY="493"/>
        <w:tblOverlap w:val="never"/>
        <w:tblW w:w="10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84"/>
        <w:gridCol w:w="1363"/>
        <w:gridCol w:w="5960"/>
        <w:gridCol w:w="1428"/>
        <w:gridCol w:w="19"/>
      </w:tblGrid>
      <w:tr w14:paraId="2FC0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49" w:hRule="atLeast"/>
        </w:trPr>
        <w:tc>
          <w:tcPr>
            <w:tcW w:w="1846" w:type="dxa"/>
            <w:gridSpan w:val="2"/>
            <w:vAlign w:val="center"/>
          </w:tcPr>
          <w:p w14:paraId="3C9D925E">
            <w:pPr>
              <w:adjustRightInd w:val="0"/>
              <w:jc w:val="center"/>
              <w:textAlignment w:val="baseline"/>
              <w:rPr>
                <w:rFonts w:hint="eastAsia" w:ascii="宋体" w:hAnsi="宋体" w:cs="宋体"/>
                <w:b/>
                <w:color w:val="auto"/>
                <w:szCs w:val="21"/>
                <w:highlight w:val="none"/>
              </w:rPr>
            </w:pPr>
            <w:bookmarkStart w:id="133" w:name="_Toc23668"/>
            <w:r>
              <w:rPr>
                <w:rFonts w:hint="eastAsia" w:ascii="宋体" w:hAnsi="宋体" w:cs="宋体"/>
                <w:b/>
                <w:color w:val="auto"/>
                <w:szCs w:val="21"/>
                <w:highlight w:val="none"/>
              </w:rPr>
              <w:t>序号</w:t>
            </w:r>
          </w:p>
        </w:tc>
        <w:tc>
          <w:tcPr>
            <w:tcW w:w="1363" w:type="dxa"/>
            <w:vAlign w:val="center"/>
          </w:tcPr>
          <w:p w14:paraId="4875672A">
            <w:pPr>
              <w:adjustRightInd w:val="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评分因素</w:t>
            </w:r>
          </w:p>
        </w:tc>
        <w:tc>
          <w:tcPr>
            <w:tcW w:w="5960" w:type="dxa"/>
            <w:vAlign w:val="center"/>
          </w:tcPr>
          <w:p w14:paraId="60CCC4D6">
            <w:pPr>
              <w:adjustRightInd w:val="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评分标准</w:t>
            </w:r>
          </w:p>
        </w:tc>
        <w:tc>
          <w:tcPr>
            <w:tcW w:w="1428" w:type="dxa"/>
          </w:tcPr>
          <w:p w14:paraId="38632B70">
            <w:pPr>
              <w:adjustRightInd w:val="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评分依据</w:t>
            </w:r>
          </w:p>
        </w:tc>
      </w:tr>
      <w:tr w14:paraId="1C5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562" w:type="dxa"/>
            <w:vAlign w:val="center"/>
          </w:tcPr>
          <w:p w14:paraId="0FC736B4">
            <w:pPr>
              <w:adjustRightIn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1</w:t>
            </w:r>
          </w:p>
        </w:tc>
        <w:tc>
          <w:tcPr>
            <w:tcW w:w="1284" w:type="dxa"/>
            <w:vAlign w:val="center"/>
          </w:tcPr>
          <w:p w14:paraId="48125278">
            <w:pPr>
              <w:adjustRightIn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价格分</w:t>
            </w:r>
          </w:p>
          <w:p w14:paraId="11DD9597">
            <w:pPr>
              <w:adjustRightIn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（满分10分）</w:t>
            </w:r>
          </w:p>
          <w:p w14:paraId="1797F455">
            <w:pPr>
              <w:adjustRightInd w:val="0"/>
              <w:jc w:val="left"/>
              <w:textAlignment w:val="baseline"/>
              <w:rPr>
                <w:rFonts w:hint="eastAsia" w:ascii="宋体" w:hAnsi="宋体" w:cs="宋体"/>
                <w:b/>
                <w:bCs/>
                <w:color w:val="auto"/>
                <w:szCs w:val="21"/>
                <w:highlight w:val="none"/>
              </w:rPr>
            </w:pPr>
          </w:p>
        </w:tc>
        <w:tc>
          <w:tcPr>
            <w:tcW w:w="1363" w:type="dxa"/>
            <w:vAlign w:val="center"/>
          </w:tcPr>
          <w:p w14:paraId="6B1888C9">
            <w:pPr>
              <w:adjustRightIn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投标报价（满分10分）</w:t>
            </w:r>
          </w:p>
          <w:p w14:paraId="54A9F5CC">
            <w:pPr>
              <w:adjustRightInd w:val="0"/>
              <w:jc w:val="center"/>
              <w:textAlignment w:val="baseline"/>
              <w:rPr>
                <w:rFonts w:hint="eastAsia" w:ascii="宋体" w:hAnsi="宋体" w:cs="宋体"/>
                <w:b/>
                <w:bCs/>
                <w:color w:val="auto"/>
                <w:szCs w:val="21"/>
                <w:highlight w:val="none"/>
              </w:rPr>
            </w:pPr>
          </w:p>
        </w:tc>
        <w:tc>
          <w:tcPr>
            <w:tcW w:w="5960" w:type="dxa"/>
            <w:vAlign w:val="center"/>
          </w:tcPr>
          <w:p w14:paraId="6CC3194B">
            <w:pPr>
              <w:snapToGrid w:val="0"/>
              <w:spacing w:line="360" w:lineRule="exact"/>
              <w:ind w:firstLine="233" w:firstLineChars="111"/>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（1）评标报价为投标人的投标报价进行政策性扣除后的价格，评标报价只作</w:t>
            </w:r>
            <w:r>
              <w:rPr>
                <w:rFonts w:hint="eastAsia" w:ascii="宋体" w:hAnsi="宋体"/>
                <w:bCs/>
                <w:color w:val="auto"/>
                <w:szCs w:val="21"/>
                <w:highlight w:val="none"/>
              </w:rPr>
              <w:t>为评标时使用。最终中标人的中标下浮系数等于投标下浮系数。</w:t>
            </w:r>
          </w:p>
          <w:p w14:paraId="332395C3">
            <w:pPr>
              <w:snapToGrid w:val="0"/>
              <w:spacing w:line="360" w:lineRule="exact"/>
              <w:ind w:firstLine="233" w:firstLineChars="111"/>
              <w:rPr>
                <w:rFonts w:hint="eastAsia" w:ascii="宋体" w:hAnsi="宋体"/>
                <w:color w:val="auto"/>
                <w:szCs w:val="21"/>
                <w:highlight w:val="none"/>
              </w:rPr>
            </w:pPr>
            <w:r>
              <w:rPr>
                <w:rFonts w:hint="eastAsia" w:ascii="宋体" w:hAnsi="宋体"/>
                <w:bCs/>
                <w:color w:val="auto"/>
                <w:szCs w:val="21"/>
                <w:highlight w:val="none"/>
              </w:rPr>
              <w:t>（2）</w:t>
            </w:r>
            <w:r>
              <w:rPr>
                <w:rFonts w:hint="eastAsia"/>
                <w:color w:val="auto"/>
                <w:highlight w:val="none"/>
              </w:rPr>
              <w:t>按照《政府采购促进中小企业发展管理办法》（财库〔2020〕46号）的规定，投标人在其投标文件中提供《中小企业声明函》，</w:t>
            </w:r>
            <w:r>
              <w:rPr>
                <w:rFonts w:hint="eastAsia" w:ascii="宋体" w:hAnsi="宋体"/>
                <w:bCs/>
                <w:color w:val="auto"/>
                <w:szCs w:val="21"/>
                <w:highlight w:val="none"/>
              </w:rPr>
              <w:t>且其服务由小微企业承接</w:t>
            </w:r>
            <w:r>
              <w:rPr>
                <w:rFonts w:hint="eastAsia" w:ascii="宋体" w:hAnsi="宋体"/>
                <w:bCs/>
                <w:color w:val="auto"/>
                <w:szCs w:val="21"/>
                <w:highlight w:val="none"/>
                <w:lang w:eastAsia="zh-CN"/>
              </w:rPr>
              <w:t>的</w:t>
            </w:r>
            <w:r>
              <w:rPr>
                <w:rFonts w:hint="eastAsia"/>
                <w:color w:val="auto"/>
                <w:highlight w:val="none"/>
              </w:rPr>
              <w:t>，按《广西壮族自治区财政厅关于持续优化政府采购营商环境推动高质量发展的通知》（桂财采〔2024〕55号）的规定对其最后报价给予10%的扣除。</w:t>
            </w:r>
          </w:p>
          <w:p w14:paraId="4AA5EA3F">
            <w:pPr>
              <w:snapToGrid w:val="0"/>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不重复享受政策。</w:t>
            </w:r>
          </w:p>
          <w:p w14:paraId="6099933C">
            <w:pPr>
              <w:snapToGrid w:val="0"/>
              <w:spacing w:line="360" w:lineRule="exact"/>
              <w:ind w:firstLine="233" w:firstLineChars="111"/>
              <w:rPr>
                <w:rFonts w:hint="eastAsia" w:ascii="宋体" w:hAnsi="宋体"/>
                <w:bCs/>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14:paraId="5E3CB85A">
            <w:pPr>
              <w:snapToGrid w:val="0"/>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（5）政策性扣除计算方法。</w:t>
            </w:r>
          </w:p>
          <w:p w14:paraId="38E2A087">
            <w:pPr>
              <w:snapToGrid w:val="0"/>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在服务采购项目中，服务由小微企业承接；对符合上述要求的投标人的投标报价给予10%的扣除，扣除后的价格为评标报价，即评标报价=投标报价×（1-1</w:t>
            </w:r>
            <w:r>
              <w:rPr>
                <w:rFonts w:ascii="宋体" w:hAnsi="宋体"/>
                <w:bCs/>
                <w:color w:val="auto"/>
                <w:szCs w:val="21"/>
                <w:highlight w:val="none"/>
              </w:rPr>
              <w:t>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4%</w:t>
            </w:r>
            <w:r>
              <w:rPr>
                <w:rFonts w:hint="eastAsia" w:ascii="宋体" w:hAnsi="宋体"/>
                <w:bCs/>
                <w:color w:val="auto"/>
                <w:szCs w:val="21"/>
                <w:highlight w:val="none"/>
              </w:rPr>
              <w:t>的扣除，用扣除后的价格参加评审，扣除后的价格为评标报价，即评标报价=投标报价×（1-</w:t>
            </w:r>
            <w:r>
              <w:rPr>
                <w:rFonts w:ascii="宋体" w:hAnsi="宋体"/>
                <w:bCs/>
                <w:color w:val="auto"/>
                <w:szCs w:val="21"/>
                <w:highlight w:val="none"/>
                <w:u w:val="single"/>
              </w:rPr>
              <w:t xml:space="preserve"> </w:t>
            </w:r>
            <w:r>
              <w:rPr>
                <w:rFonts w:hint="eastAsia" w:ascii="宋体" w:hAnsi="宋体"/>
                <w:bCs/>
                <w:color w:val="auto"/>
                <w:szCs w:val="21"/>
                <w:highlight w:val="none"/>
                <w:u w:val="single"/>
              </w:rPr>
              <w:t>4</w:t>
            </w:r>
            <w:r>
              <w:rPr>
                <w:rFonts w:ascii="宋体" w:hAnsi="宋体"/>
                <w:bCs/>
                <w:color w:val="auto"/>
                <w:szCs w:val="21"/>
                <w:highlight w:val="none"/>
                <w:u w:val="single"/>
              </w:rPr>
              <w:t xml:space="preserve"> </w:t>
            </w:r>
            <w:r>
              <w:rPr>
                <w:rFonts w:hint="eastAsia" w:ascii="宋体" w:hAnsi="宋体"/>
                <w:bCs/>
                <w:color w:val="auto"/>
                <w:szCs w:val="21"/>
                <w:highlight w:val="none"/>
              </w:rPr>
              <w:t>%）。除上述情况外，评标报价=投标报价。</w:t>
            </w:r>
          </w:p>
          <w:p w14:paraId="67773F60">
            <w:pPr>
              <w:snapToGrid w:val="0"/>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（6）满足招标文件要求且为最高下浮系数的评标报价价格分为满分。（最高下浮系数是指：例如A投标人投标下浮系数为30%，B投标人投标下浮系数为50%，则最高下浮系数为50%。）</w:t>
            </w:r>
          </w:p>
          <w:p w14:paraId="02D9BB02">
            <w:pPr>
              <w:spacing w:line="360" w:lineRule="exact"/>
              <w:ind w:firstLine="233" w:firstLineChars="111"/>
              <w:rPr>
                <w:rFonts w:hint="eastAsia" w:ascii="宋体" w:hAnsi="宋体"/>
                <w:bCs/>
                <w:color w:val="auto"/>
                <w:szCs w:val="21"/>
                <w:highlight w:val="none"/>
              </w:rPr>
            </w:pPr>
            <w:r>
              <w:rPr>
                <w:rFonts w:hint="eastAsia" w:ascii="宋体" w:hAnsi="宋体"/>
                <w:bCs/>
                <w:color w:val="auto"/>
                <w:szCs w:val="21"/>
                <w:highlight w:val="none"/>
              </w:rPr>
              <w:t>（7）价格分计算公式：</w:t>
            </w:r>
          </w:p>
          <w:p w14:paraId="26B4DF70">
            <w:pPr>
              <w:ind w:firstLine="420" w:firstLineChars="200"/>
              <w:rPr>
                <w:rFonts w:hint="eastAsia" w:ascii="宋体" w:hAnsi="宋体" w:cs="宋体"/>
                <w:bCs/>
                <w:color w:val="auto"/>
                <w:szCs w:val="21"/>
                <w:highlight w:val="none"/>
              </w:rPr>
            </w:pPr>
            <w:r>
              <w:rPr>
                <w:rFonts w:hint="eastAsia" w:hAnsi="宋体"/>
                <w:bCs/>
                <w:color w:val="auto"/>
                <w:szCs w:val="21"/>
                <w:highlight w:val="none"/>
              </w:rPr>
              <w:t>某有效竞标人价格分 = （1-有效供应商报价最高下浮系数）/（1-某有效供应商下浮系数）×10</w:t>
            </w:r>
          </w:p>
        </w:tc>
        <w:tc>
          <w:tcPr>
            <w:tcW w:w="1428" w:type="dxa"/>
            <w:vAlign w:val="center"/>
          </w:tcPr>
          <w:p w14:paraId="43068D96">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《投标报价表》</w:t>
            </w:r>
          </w:p>
        </w:tc>
      </w:tr>
      <w:tr w14:paraId="6510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0" w:hRule="atLeast"/>
        </w:trPr>
        <w:tc>
          <w:tcPr>
            <w:tcW w:w="562" w:type="dxa"/>
            <w:vMerge w:val="restart"/>
            <w:vAlign w:val="center"/>
          </w:tcPr>
          <w:p w14:paraId="1DE9E7DA">
            <w:pPr>
              <w:adjustRightInd w:val="0"/>
              <w:snapToGri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w:t>
            </w:r>
          </w:p>
        </w:tc>
        <w:tc>
          <w:tcPr>
            <w:tcW w:w="1284" w:type="dxa"/>
            <w:vMerge w:val="restart"/>
            <w:vAlign w:val="center"/>
          </w:tcPr>
          <w:p w14:paraId="59A0EC05">
            <w:pPr>
              <w:adjustRightInd w:val="0"/>
              <w:snapToGrid w:val="0"/>
              <w:ind w:left="-105" w:leftChars="-50" w:right="-105" w:rightChars="-50"/>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技术分</w:t>
            </w:r>
          </w:p>
          <w:p w14:paraId="562B06EE">
            <w:pPr>
              <w:adjustRightInd w:val="0"/>
              <w:snapToGrid w:val="0"/>
              <w:ind w:left="-105" w:leftChars="-50" w:right="-105" w:rightChars="-50"/>
              <w:jc w:val="center"/>
              <w:textAlignment w:val="baseline"/>
              <w:rPr>
                <w:rFonts w:hint="eastAsia" w:ascii="宋体" w:hAnsi="宋体" w:cs="宋体"/>
                <w:b/>
                <w:color w:val="auto"/>
                <w:spacing w:val="-18"/>
                <w:szCs w:val="21"/>
                <w:highlight w:val="none"/>
              </w:rPr>
            </w:pPr>
            <w:r>
              <w:rPr>
                <w:rFonts w:hint="eastAsia" w:ascii="宋体" w:hAnsi="宋体" w:cs="宋体"/>
                <w:b/>
                <w:color w:val="auto"/>
                <w:szCs w:val="21"/>
                <w:highlight w:val="none"/>
              </w:rPr>
              <w:t>（满分62分）</w:t>
            </w:r>
          </w:p>
        </w:tc>
        <w:tc>
          <w:tcPr>
            <w:tcW w:w="1363" w:type="dxa"/>
            <w:vAlign w:val="center"/>
          </w:tcPr>
          <w:p w14:paraId="7B32FA22">
            <w:pPr>
              <w:pStyle w:val="12"/>
              <w:jc w:val="left"/>
              <w:rPr>
                <w:rFonts w:hint="eastAsia" w:hAnsi="宋体" w:cs="宋体"/>
                <w:b/>
                <w:color w:val="auto"/>
                <w:szCs w:val="21"/>
                <w:highlight w:val="none"/>
              </w:rPr>
            </w:pPr>
            <w:r>
              <w:rPr>
                <w:rFonts w:hint="eastAsia" w:hAnsi="宋体" w:cs="宋体"/>
                <w:b/>
                <w:color w:val="auto"/>
                <w:szCs w:val="21"/>
                <w:highlight w:val="none"/>
              </w:rPr>
              <w:t>（1）全过程工程咨询服务方案(25分)</w:t>
            </w:r>
            <w:r>
              <w:rPr>
                <w:rFonts w:hint="eastAsia" w:hAnsi="宋体" w:cs="宋体"/>
                <w:b/>
                <w:color w:val="auto"/>
                <w:szCs w:val="21"/>
                <w:highlight w:val="none"/>
              </w:rPr>
              <w:tab/>
            </w:r>
          </w:p>
          <w:p w14:paraId="33F0EC52">
            <w:pPr>
              <w:adjustRightInd w:val="0"/>
              <w:jc w:val="center"/>
              <w:textAlignment w:val="baseline"/>
              <w:rPr>
                <w:rFonts w:hint="eastAsia" w:ascii="宋体" w:hAnsi="宋体" w:cs="宋体"/>
                <w:b/>
                <w:color w:val="auto"/>
                <w:szCs w:val="21"/>
                <w:highlight w:val="none"/>
              </w:rPr>
            </w:pPr>
          </w:p>
        </w:tc>
        <w:tc>
          <w:tcPr>
            <w:tcW w:w="5960" w:type="dxa"/>
            <w:vAlign w:val="center"/>
          </w:tcPr>
          <w:p w14:paraId="6FF6124F">
            <w:pPr>
              <w:pStyle w:val="12"/>
              <w:spacing w:line="380" w:lineRule="exact"/>
              <w:rPr>
                <w:rFonts w:hint="eastAsia" w:hAnsi="宋体"/>
                <w:bCs/>
                <w:color w:val="auto"/>
                <w:highlight w:val="none"/>
              </w:rPr>
            </w:pPr>
            <w:r>
              <w:rPr>
                <w:rFonts w:hint="eastAsia" w:hAnsi="宋体"/>
                <w:bCs/>
                <w:color w:val="auto"/>
                <w:highlight w:val="none"/>
              </w:rPr>
              <w:t>一档（25分）：投标人对项目的理解，为完成本项目的全过程工程咨询，制定的工作计划、制度、内容、程序、方法和措施等描述清晰准确、分析科学合理，方案的实施性、针对性强，内容详细具体，方案内容与深度能优于项目需要，方案理念切合实际、合理、可实施性强，能很好地满足项目需要的。</w:t>
            </w:r>
          </w:p>
          <w:p w14:paraId="5B2C33FC">
            <w:pPr>
              <w:pStyle w:val="12"/>
              <w:spacing w:line="380" w:lineRule="exact"/>
              <w:rPr>
                <w:rFonts w:hint="eastAsia" w:hAnsi="宋体"/>
                <w:bCs/>
                <w:color w:val="auto"/>
                <w:highlight w:val="none"/>
              </w:rPr>
            </w:pPr>
            <w:r>
              <w:rPr>
                <w:rFonts w:hint="eastAsia" w:hAnsi="宋体"/>
                <w:bCs/>
                <w:color w:val="auto"/>
                <w:highlight w:val="none"/>
              </w:rPr>
              <w:t>二档（16分）： 投标人对项目的理解，为完成本项目的全过程工程咨询，制定的工作计划、制度、内容、程序、方法和措施等描述基本清晰、分析基本到位，方案的实施性、针对性较强，内容较详细，方案内容与深度能满足项目需要，方案理念切合实际，措施可行，有针对性。</w:t>
            </w:r>
          </w:p>
          <w:p w14:paraId="59CC632D">
            <w:pPr>
              <w:pStyle w:val="12"/>
              <w:spacing w:line="380" w:lineRule="exact"/>
              <w:rPr>
                <w:rFonts w:hint="eastAsia" w:hAnsi="宋体"/>
                <w:bCs/>
                <w:color w:val="auto"/>
                <w:highlight w:val="none"/>
              </w:rPr>
            </w:pPr>
            <w:r>
              <w:rPr>
                <w:rFonts w:hint="eastAsia" w:hAnsi="宋体"/>
                <w:bCs/>
                <w:color w:val="auto"/>
                <w:highlight w:val="none"/>
              </w:rPr>
              <w:t>三档（8分）：投标人对项目的理解，为完成本项目的全过程工程咨询，制定的工作计划、制度、内容、程序、方法和措施等描述基本清晰，方案的实施性、针对性一般，内容基本齐全，方案内容与深度基本能满足项目需要的，内容有冗杂。</w:t>
            </w:r>
          </w:p>
          <w:p w14:paraId="493A727B">
            <w:pPr>
              <w:pStyle w:val="12"/>
              <w:spacing w:line="380" w:lineRule="exact"/>
              <w:rPr>
                <w:rFonts w:hint="eastAsia" w:hAnsi="宋体"/>
                <w:bCs/>
                <w:color w:val="auto"/>
                <w:highlight w:val="none"/>
              </w:rPr>
            </w:pPr>
            <w:r>
              <w:rPr>
                <w:rFonts w:hint="eastAsia" w:hAnsi="宋体"/>
                <w:bCs/>
                <w:color w:val="auto"/>
                <w:highlight w:val="none"/>
              </w:rPr>
              <w:t>四档（4分）：投标人对项目的理解，为完成本项目的全过程工程咨询，制定的工作计划、制度、内容、程序、方法和措施等描述不清晰、分析不到位，总体目标不明确，方案的实施性、针对性不强，内容不详细。</w:t>
            </w:r>
          </w:p>
          <w:p w14:paraId="5873C5CA">
            <w:pPr>
              <w:pStyle w:val="12"/>
              <w:spacing w:line="380" w:lineRule="exact"/>
              <w:rPr>
                <w:rFonts w:hint="eastAsia" w:hAnsi="宋体" w:cs="宋体"/>
                <w:bCs/>
                <w:color w:val="auto"/>
                <w:szCs w:val="21"/>
                <w:highlight w:val="none"/>
              </w:rPr>
            </w:pPr>
            <w:r>
              <w:rPr>
                <w:rFonts w:hint="eastAsia" w:hAnsi="宋体"/>
                <w:bCs/>
                <w:color w:val="auto"/>
                <w:highlight w:val="none"/>
              </w:rPr>
              <w:t>备注：未提供全过程工程咨询服务方案的，本项不得分。</w:t>
            </w:r>
          </w:p>
        </w:tc>
        <w:tc>
          <w:tcPr>
            <w:tcW w:w="1428" w:type="dxa"/>
            <w:vAlign w:val="center"/>
          </w:tcPr>
          <w:p w14:paraId="7B318BB5">
            <w:pPr>
              <w:widowControl/>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技术服务方案</w:t>
            </w:r>
          </w:p>
        </w:tc>
      </w:tr>
      <w:tr w14:paraId="1DD3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562" w:type="dxa"/>
            <w:vMerge w:val="continue"/>
          </w:tcPr>
          <w:p w14:paraId="05777CF0">
            <w:pPr>
              <w:adjustRightInd w:val="0"/>
              <w:snapToGrid w:val="0"/>
              <w:jc w:val="center"/>
              <w:textAlignment w:val="baseline"/>
              <w:rPr>
                <w:rFonts w:hint="eastAsia" w:ascii="宋体" w:hAnsi="宋体" w:cs="宋体"/>
                <w:color w:val="auto"/>
                <w:szCs w:val="21"/>
                <w:highlight w:val="none"/>
              </w:rPr>
            </w:pPr>
          </w:p>
        </w:tc>
        <w:tc>
          <w:tcPr>
            <w:tcW w:w="1284" w:type="dxa"/>
            <w:vMerge w:val="continue"/>
          </w:tcPr>
          <w:p w14:paraId="78D68122">
            <w:pPr>
              <w:adjustRightInd w:val="0"/>
              <w:snapToGrid w:val="0"/>
              <w:jc w:val="center"/>
              <w:textAlignment w:val="baseline"/>
              <w:rPr>
                <w:rFonts w:hint="eastAsia" w:ascii="宋体" w:hAnsi="宋体" w:cs="宋体"/>
                <w:color w:val="auto"/>
                <w:szCs w:val="21"/>
                <w:highlight w:val="none"/>
              </w:rPr>
            </w:pPr>
          </w:p>
        </w:tc>
        <w:tc>
          <w:tcPr>
            <w:tcW w:w="1363" w:type="dxa"/>
            <w:tcMar>
              <w:left w:w="57" w:type="dxa"/>
              <w:right w:w="57" w:type="dxa"/>
            </w:tcMar>
            <w:vAlign w:val="center"/>
          </w:tcPr>
          <w:p w14:paraId="5DAF3490">
            <w:pPr>
              <w:jc w:val="left"/>
              <w:rPr>
                <w:rFonts w:hint="eastAsia" w:ascii="宋体" w:hAnsi="宋体" w:cs="宋体"/>
                <w:color w:val="auto"/>
                <w:szCs w:val="21"/>
                <w:highlight w:val="none"/>
              </w:rPr>
            </w:pPr>
            <w:r>
              <w:rPr>
                <w:rFonts w:hint="eastAsia" w:ascii="宋体" w:hAnsi="宋体" w:cs="宋体"/>
                <w:b/>
                <w:bCs/>
                <w:color w:val="auto"/>
                <w:szCs w:val="21"/>
                <w:highlight w:val="none"/>
              </w:rPr>
              <w:t>（2）全过程咨询工作的管理要点（18分）</w:t>
            </w:r>
          </w:p>
        </w:tc>
        <w:tc>
          <w:tcPr>
            <w:tcW w:w="5960" w:type="dxa"/>
            <w:vAlign w:val="center"/>
          </w:tcPr>
          <w:p w14:paraId="66DE7C62">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评审因素：全过程咨询工作的管理要点及质量和周期的主要措施完善性、针对性；服务工作的质量和周期控制保障措施进行评分。对项目工期、质量保证措施，且工期与甲方要求相符；充分考虑本项目具体情况，有确保工期合理可行的保障措施等进行评审。 </w:t>
            </w:r>
          </w:p>
          <w:p w14:paraId="2A76A3A4">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一档（18分）：全过程咨询工作的管理要点明确清晰、可行性强，包含有工作计划编排及保证措施、质量保证措施、优化设计管理、对拟投入人员考核及处罚管理等内容，内容充实、完整、具体详细，完全满足招标要求。</w:t>
            </w:r>
          </w:p>
          <w:p w14:paraId="62F33F0D">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 xml:space="preserve">二档（12分）全过程咨询工作的管理要点基本清晰、可行性一般，包含有工作计划编排及保证措施、质量保证措施、对拟投入人员考核及处罚管理等内容，内容基本充实，满足招标要求。 </w:t>
            </w:r>
          </w:p>
          <w:p w14:paraId="07642F6A">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三档（6分）：全过程咨询工作的管理要点不明确，不可行性，不能满足招标要求。</w:t>
            </w:r>
          </w:p>
          <w:p w14:paraId="09F691F9">
            <w:pPr>
              <w:pStyle w:val="6"/>
              <w:spacing w:line="240" w:lineRule="auto"/>
              <w:ind w:left="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备注：不提供全过程咨询工作的管理要点不得分。</w:t>
            </w:r>
          </w:p>
        </w:tc>
        <w:tc>
          <w:tcPr>
            <w:tcW w:w="1428" w:type="dxa"/>
            <w:vAlign w:val="center"/>
          </w:tcPr>
          <w:p w14:paraId="5976DC15">
            <w:pPr>
              <w:widowControl/>
              <w:snapToGrid w:val="0"/>
              <w:jc w:val="center"/>
              <w:rPr>
                <w:rFonts w:hint="eastAsia" w:ascii="宋体" w:hAnsi="宋体" w:cs="宋体"/>
                <w:bCs/>
                <w:color w:val="auto"/>
                <w:kern w:val="0"/>
                <w:szCs w:val="21"/>
                <w:highlight w:val="none"/>
              </w:rPr>
            </w:pPr>
            <w:r>
              <w:rPr>
                <w:rFonts w:hint="eastAsia" w:ascii="宋体" w:hAnsi="宋体" w:cs="宋体"/>
                <w:bCs/>
                <w:color w:val="auto"/>
                <w:szCs w:val="21"/>
                <w:highlight w:val="none"/>
              </w:rPr>
              <w:t>技术服务方案</w:t>
            </w:r>
          </w:p>
        </w:tc>
      </w:tr>
      <w:tr w14:paraId="1AE2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562" w:type="dxa"/>
            <w:vMerge w:val="continue"/>
          </w:tcPr>
          <w:p w14:paraId="566827B5">
            <w:pPr>
              <w:adjustRightInd w:val="0"/>
              <w:snapToGrid w:val="0"/>
              <w:jc w:val="center"/>
              <w:textAlignment w:val="baseline"/>
              <w:rPr>
                <w:rFonts w:hint="eastAsia" w:ascii="宋体" w:hAnsi="宋体" w:cs="宋体"/>
                <w:color w:val="auto"/>
                <w:szCs w:val="21"/>
                <w:highlight w:val="none"/>
              </w:rPr>
            </w:pPr>
          </w:p>
        </w:tc>
        <w:tc>
          <w:tcPr>
            <w:tcW w:w="1284" w:type="dxa"/>
            <w:vMerge w:val="continue"/>
          </w:tcPr>
          <w:p w14:paraId="40CD9744">
            <w:pPr>
              <w:adjustRightInd w:val="0"/>
              <w:snapToGrid w:val="0"/>
              <w:jc w:val="center"/>
              <w:textAlignment w:val="baseline"/>
              <w:rPr>
                <w:rFonts w:hint="eastAsia" w:ascii="宋体" w:hAnsi="宋体" w:cs="宋体"/>
                <w:color w:val="auto"/>
                <w:szCs w:val="21"/>
                <w:highlight w:val="none"/>
              </w:rPr>
            </w:pPr>
          </w:p>
        </w:tc>
        <w:tc>
          <w:tcPr>
            <w:tcW w:w="1363" w:type="dxa"/>
            <w:tcMar>
              <w:left w:w="57" w:type="dxa"/>
              <w:right w:w="57" w:type="dxa"/>
            </w:tcMar>
            <w:vAlign w:val="center"/>
          </w:tcPr>
          <w:p w14:paraId="2BA50EBD">
            <w:pPr>
              <w:pStyle w:val="12"/>
              <w:jc w:val="left"/>
              <w:rPr>
                <w:rFonts w:hint="eastAsia" w:hAnsi="宋体" w:cs="宋体"/>
                <w:color w:val="auto"/>
                <w:szCs w:val="21"/>
                <w:highlight w:val="none"/>
              </w:rPr>
            </w:pPr>
            <w:r>
              <w:rPr>
                <w:rFonts w:hint="eastAsia" w:hAnsi="宋体" w:cs="宋体"/>
                <w:b/>
                <w:bCs/>
                <w:color w:val="auto"/>
                <w:szCs w:val="21"/>
                <w:highlight w:val="none"/>
              </w:rPr>
              <w:t>（3）服务工作的配合（15分）</w:t>
            </w:r>
            <w:r>
              <w:rPr>
                <w:rFonts w:hint="eastAsia" w:hAnsi="宋体" w:cs="宋体"/>
                <w:color w:val="auto"/>
                <w:szCs w:val="21"/>
                <w:highlight w:val="none"/>
              </w:rPr>
              <w:tab/>
            </w:r>
          </w:p>
          <w:p w14:paraId="69140554">
            <w:pPr>
              <w:widowControl/>
              <w:snapToGrid w:val="0"/>
              <w:jc w:val="center"/>
              <w:rPr>
                <w:rFonts w:hint="eastAsia" w:ascii="宋体" w:hAnsi="宋体" w:cs="宋体"/>
                <w:color w:val="auto"/>
                <w:szCs w:val="21"/>
                <w:highlight w:val="none"/>
              </w:rPr>
            </w:pPr>
          </w:p>
        </w:tc>
        <w:tc>
          <w:tcPr>
            <w:tcW w:w="5960" w:type="dxa"/>
            <w:vAlign w:val="center"/>
          </w:tcPr>
          <w:p w14:paraId="2976106E">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评审因素：根据协调配合计划切合实际，提出的设计与施工的配合方案可行性，项目管理工作配合积极，满足项目需求、实施方案的具体、完整、合理及协调配合计划的可操作性进行评分。 投标人须在项目所在地备有常驻工作小组协调工作，并承诺在设计及施工阶段提供周到服务等进行评审。</w:t>
            </w:r>
          </w:p>
          <w:p w14:paraId="7BAC6204">
            <w:pPr>
              <w:pStyle w:val="12"/>
              <w:jc w:val="left"/>
              <w:rPr>
                <w:rFonts w:hint="eastAsia" w:hAnsi="宋体" w:cs="宋体"/>
                <w:bCs/>
                <w:color w:val="auto"/>
                <w:szCs w:val="21"/>
                <w:highlight w:val="none"/>
              </w:rPr>
            </w:pPr>
            <w:r>
              <w:rPr>
                <w:rFonts w:hint="eastAsia" w:hAnsi="宋体" w:cs="宋体"/>
                <w:bCs/>
                <w:color w:val="auto"/>
                <w:szCs w:val="21"/>
                <w:highlight w:val="none"/>
              </w:rPr>
              <w:t xml:space="preserve">    一档（15分）：在施工过程中，能及时、有效的与甲方及施工单位进行沟通、协调、配合的，且承诺2小时内到达现场并主动解决问题。</w:t>
            </w:r>
          </w:p>
          <w:p w14:paraId="593A28B8">
            <w:pPr>
              <w:pStyle w:val="12"/>
              <w:jc w:val="left"/>
              <w:rPr>
                <w:rFonts w:hint="eastAsia" w:hAnsi="宋体" w:cs="宋体"/>
                <w:bCs/>
                <w:color w:val="auto"/>
                <w:szCs w:val="21"/>
                <w:highlight w:val="none"/>
              </w:rPr>
            </w:pPr>
            <w:r>
              <w:rPr>
                <w:rFonts w:hint="eastAsia" w:hAnsi="宋体" w:cs="宋体"/>
                <w:bCs/>
                <w:color w:val="auto"/>
                <w:szCs w:val="21"/>
                <w:highlight w:val="none"/>
              </w:rPr>
              <w:t xml:space="preserve">    二档（10分）：在设计过程中，能与甲方及施工单位进行沟通、协调、配合的，且承诺4小时内到达现场并主动解决问题。</w:t>
            </w:r>
          </w:p>
          <w:p w14:paraId="7A2A5DF0">
            <w:pPr>
              <w:pStyle w:val="12"/>
              <w:jc w:val="left"/>
              <w:rPr>
                <w:rFonts w:hint="eastAsia" w:hAnsi="宋体" w:cs="宋体"/>
                <w:bCs/>
                <w:color w:val="auto"/>
                <w:szCs w:val="21"/>
                <w:highlight w:val="none"/>
              </w:rPr>
            </w:pPr>
            <w:r>
              <w:rPr>
                <w:rFonts w:hint="eastAsia" w:hAnsi="宋体" w:cs="宋体"/>
                <w:bCs/>
                <w:color w:val="auto"/>
                <w:szCs w:val="21"/>
                <w:highlight w:val="none"/>
              </w:rPr>
              <w:t xml:space="preserve">    三档（5分）：在设计过程中，不能有效与甲方及施工单位进行沟通、协调、配合的，且超出4小时到达现场。</w:t>
            </w:r>
          </w:p>
          <w:p w14:paraId="1AFC46C2">
            <w:pPr>
              <w:pStyle w:val="6"/>
              <w:spacing w:line="240" w:lineRule="auto"/>
              <w:ind w:left="0"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备注：不提供服务工作的配合承诺不得分。</w:t>
            </w:r>
          </w:p>
        </w:tc>
        <w:tc>
          <w:tcPr>
            <w:tcW w:w="1428" w:type="dxa"/>
            <w:vAlign w:val="center"/>
          </w:tcPr>
          <w:p w14:paraId="479CA56F">
            <w:pPr>
              <w:widowControl/>
              <w:snapToGrid w:val="0"/>
              <w:jc w:val="center"/>
              <w:rPr>
                <w:rFonts w:hint="eastAsia" w:ascii="宋体" w:hAnsi="宋体" w:cs="宋体"/>
                <w:bCs/>
                <w:color w:val="auto"/>
                <w:kern w:val="0"/>
                <w:szCs w:val="21"/>
                <w:highlight w:val="none"/>
              </w:rPr>
            </w:pPr>
            <w:r>
              <w:rPr>
                <w:rFonts w:hint="eastAsia" w:ascii="宋体" w:hAnsi="宋体" w:cs="宋体"/>
                <w:bCs/>
                <w:color w:val="auto"/>
                <w:szCs w:val="21"/>
                <w:highlight w:val="none"/>
              </w:rPr>
              <w:t>技术服务方案</w:t>
            </w:r>
          </w:p>
        </w:tc>
      </w:tr>
      <w:tr w14:paraId="60EB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562" w:type="dxa"/>
            <w:vMerge w:val="continue"/>
          </w:tcPr>
          <w:p w14:paraId="5610D961">
            <w:pPr>
              <w:adjustRightInd w:val="0"/>
              <w:snapToGrid w:val="0"/>
              <w:jc w:val="center"/>
              <w:textAlignment w:val="baseline"/>
              <w:rPr>
                <w:rFonts w:hint="eastAsia" w:ascii="宋体" w:hAnsi="宋体" w:cs="宋体"/>
                <w:color w:val="auto"/>
                <w:szCs w:val="21"/>
                <w:highlight w:val="none"/>
              </w:rPr>
            </w:pPr>
          </w:p>
        </w:tc>
        <w:tc>
          <w:tcPr>
            <w:tcW w:w="1284" w:type="dxa"/>
            <w:vMerge w:val="continue"/>
          </w:tcPr>
          <w:p w14:paraId="1E4660AA">
            <w:pPr>
              <w:adjustRightInd w:val="0"/>
              <w:snapToGrid w:val="0"/>
              <w:jc w:val="center"/>
              <w:textAlignment w:val="baseline"/>
              <w:rPr>
                <w:rFonts w:hint="eastAsia" w:ascii="宋体" w:hAnsi="宋体" w:cs="宋体"/>
                <w:color w:val="auto"/>
                <w:szCs w:val="21"/>
                <w:highlight w:val="none"/>
              </w:rPr>
            </w:pPr>
          </w:p>
        </w:tc>
        <w:tc>
          <w:tcPr>
            <w:tcW w:w="1363" w:type="dxa"/>
            <w:tcMar>
              <w:left w:w="57" w:type="dxa"/>
              <w:right w:w="57" w:type="dxa"/>
            </w:tcMar>
            <w:vAlign w:val="center"/>
          </w:tcPr>
          <w:p w14:paraId="4990A14A">
            <w:pPr>
              <w:widowControl/>
              <w:snapToGrid w:val="0"/>
              <w:jc w:val="center"/>
              <w:rPr>
                <w:rFonts w:hint="eastAsia" w:ascii="宋体" w:hAnsi="宋体" w:cs="宋体"/>
                <w:color w:val="auto"/>
                <w:szCs w:val="21"/>
                <w:highlight w:val="none"/>
              </w:rPr>
            </w:pPr>
            <w:r>
              <w:rPr>
                <w:rFonts w:hint="eastAsia" w:ascii="宋体" w:hAnsi="宋体" w:cs="宋体"/>
                <w:b/>
                <w:bCs/>
                <w:color w:val="auto"/>
                <w:szCs w:val="21"/>
                <w:highlight w:val="none"/>
              </w:rPr>
              <w:t>(4)服务承诺分（满分4分）</w:t>
            </w:r>
          </w:p>
        </w:tc>
        <w:tc>
          <w:tcPr>
            <w:tcW w:w="5960" w:type="dxa"/>
            <w:vAlign w:val="center"/>
          </w:tcPr>
          <w:p w14:paraId="16990E53">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一档（4分）：服务承诺满足招标文件要求，并能配合招标人完成行政主管部门备案工作及施工全过程直至工程竣工验收合格期间的跟踪服务。</w:t>
            </w:r>
          </w:p>
          <w:p w14:paraId="35961A16">
            <w:pPr>
              <w:pStyle w:val="12"/>
              <w:ind w:firstLine="420" w:firstLineChars="200"/>
              <w:rPr>
                <w:rFonts w:hint="eastAsia" w:hAnsi="宋体" w:cs="宋体"/>
                <w:bCs/>
                <w:color w:val="auto"/>
                <w:szCs w:val="21"/>
                <w:highlight w:val="none"/>
              </w:rPr>
            </w:pPr>
            <w:r>
              <w:rPr>
                <w:rFonts w:hint="eastAsia" w:hAnsi="宋体" w:cs="宋体"/>
                <w:bCs/>
                <w:color w:val="auto"/>
                <w:szCs w:val="21"/>
                <w:highlight w:val="none"/>
              </w:rPr>
              <w:t xml:space="preserve">二档（2分）：服务承诺基本满足招标文件要求。 </w:t>
            </w:r>
          </w:p>
          <w:p w14:paraId="3B2C94E0">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三档（0分）：无服务承诺</w:t>
            </w:r>
            <w:r>
              <w:rPr>
                <w:rFonts w:hint="eastAsia"/>
                <w:color w:val="auto"/>
                <w:highlight w:val="none"/>
              </w:rPr>
              <w:t>。</w:t>
            </w:r>
          </w:p>
        </w:tc>
        <w:tc>
          <w:tcPr>
            <w:tcW w:w="1428" w:type="dxa"/>
            <w:vAlign w:val="center"/>
          </w:tcPr>
          <w:p w14:paraId="08AEC28E">
            <w:pPr>
              <w:widowControl/>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技术服务方案</w:t>
            </w:r>
          </w:p>
        </w:tc>
      </w:tr>
      <w:tr w14:paraId="6480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45" w:hRule="atLeast"/>
        </w:trPr>
        <w:tc>
          <w:tcPr>
            <w:tcW w:w="562" w:type="dxa"/>
            <w:vMerge w:val="restart"/>
            <w:vAlign w:val="center"/>
          </w:tcPr>
          <w:p w14:paraId="55651D02">
            <w:pPr>
              <w:adjustRightInd w:val="0"/>
              <w:snapToGri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w:t>
            </w:r>
          </w:p>
        </w:tc>
        <w:tc>
          <w:tcPr>
            <w:tcW w:w="1284" w:type="dxa"/>
            <w:vMerge w:val="restart"/>
            <w:vAlign w:val="center"/>
          </w:tcPr>
          <w:p w14:paraId="453AE00B">
            <w:pPr>
              <w:adjustRightInd w:val="0"/>
              <w:snapToGri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商务信誉分 （满分28分）</w:t>
            </w:r>
          </w:p>
          <w:p w14:paraId="6DB823ED">
            <w:pPr>
              <w:snapToGrid w:val="0"/>
              <w:jc w:val="center"/>
              <w:rPr>
                <w:rFonts w:hint="eastAsia" w:ascii="宋体" w:hAnsi="宋体" w:cs="宋体"/>
                <w:color w:val="auto"/>
                <w:szCs w:val="21"/>
                <w:highlight w:val="none"/>
              </w:rPr>
            </w:pPr>
          </w:p>
        </w:tc>
        <w:tc>
          <w:tcPr>
            <w:tcW w:w="1363" w:type="dxa"/>
            <w:vAlign w:val="center"/>
          </w:tcPr>
          <w:p w14:paraId="421015A2">
            <w:pPr>
              <w:spacing w:after="120"/>
              <w:jc w:val="left"/>
              <w:rPr>
                <w:rFonts w:hint="eastAsia" w:ascii="宋体" w:hAnsi="宋体" w:cs="宋体"/>
                <w:color w:val="auto"/>
                <w:szCs w:val="21"/>
                <w:highlight w:val="none"/>
              </w:rPr>
            </w:pPr>
            <w:r>
              <w:rPr>
                <w:rFonts w:hint="eastAsia" w:ascii="宋体" w:hAnsi="宋体" w:cs="宋体"/>
                <w:b/>
                <w:color w:val="auto"/>
                <w:szCs w:val="21"/>
                <w:highlight w:val="none"/>
              </w:rPr>
              <w:t>业绩证明（满分9分）</w:t>
            </w:r>
          </w:p>
        </w:tc>
        <w:tc>
          <w:tcPr>
            <w:tcW w:w="5960" w:type="dxa"/>
            <w:vAlign w:val="center"/>
          </w:tcPr>
          <w:p w14:paraId="008C821B">
            <w:pPr>
              <w:pStyle w:val="12"/>
              <w:jc w:val="left"/>
              <w:rPr>
                <w:bCs/>
                <w:color w:val="auto"/>
                <w:highlight w:val="none"/>
              </w:rPr>
            </w:pPr>
            <w:r>
              <w:rPr>
                <w:rFonts w:hint="eastAsia" w:hAnsi="宋体" w:cs="宋体"/>
                <w:bCs/>
                <w:color w:val="auto"/>
                <w:szCs w:val="21"/>
                <w:highlight w:val="none"/>
              </w:rPr>
              <w:t>投标人2020年以来完成过类似</w:t>
            </w:r>
            <w:r>
              <w:rPr>
                <w:rFonts w:hAnsi="宋体" w:cs="宋体"/>
                <w:bCs/>
                <w:color w:val="auto"/>
                <w:szCs w:val="21"/>
                <w:highlight w:val="none"/>
              </w:rPr>
              <w:t>全过程工程咨询</w:t>
            </w:r>
            <w:r>
              <w:rPr>
                <w:rFonts w:hint="eastAsia" w:hAnsi="宋体" w:cs="宋体"/>
                <w:bCs/>
                <w:color w:val="auto"/>
                <w:szCs w:val="21"/>
                <w:highlight w:val="none"/>
              </w:rPr>
              <w:t>项目业绩（提供中标通知书或合同复印件）,每项得3分,最多得9分。</w:t>
            </w:r>
          </w:p>
        </w:tc>
        <w:tc>
          <w:tcPr>
            <w:tcW w:w="1428" w:type="dxa"/>
            <w:vAlign w:val="center"/>
          </w:tcPr>
          <w:p w14:paraId="069C0AB7">
            <w:pPr>
              <w:adjustRightInd w:val="0"/>
              <w:snapToGrid w:val="0"/>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合同或中标通知书</w:t>
            </w:r>
          </w:p>
        </w:tc>
      </w:tr>
      <w:tr w14:paraId="4E72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092" w:hRule="atLeast"/>
        </w:trPr>
        <w:tc>
          <w:tcPr>
            <w:tcW w:w="562" w:type="dxa"/>
            <w:vMerge w:val="continue"/>
            <w:vAlign w:val="center"/>
          </w:tcPr>
          <w:p w14:paraId="67CD50F7">
            <w:pPr>
              <w:snapToGrid w:val="0"/>
              <w:jc w:val="center"/>
              <w:rPr>
                <w:rFonts w:hint="eastAsia" w:ascii="宋体" w:hAnsi="宋体" w:cs="宋体"/>
                <w:color w:val="auto"/>
                <w:szCs w:val="21"/>
                <w:highlight w:val="none"/>
              </w:rPr>
            </w:pPr>
          </w:p>
        </w:tc>
        <w:tc>
          <w:tcPr>
            <w:tcW w:w="1284" w:type="dxa"/>
            <w:vMerge w:val="continue"/>
            <w:vAlign w:val="center"/>
          </w:tcPr>
          <w:p w14:paraId="341B46E5">
            <w:pPr>
              <w:snapToGrid w:val="0"/>
              <w:jc w:val="center"/>
              <w:rPr>
                <w:rFonts w:hint="eastAsia" w:ascii="宋体" w:hAnsi="宋体" w:cs="宋体"/>
                <w:color w:val="auto"/>
                <w:szCs w:val="21"/>
                <w:highlight w:val="none"/>
              </w:rPr>
            </w:pPr>
          </w:p>
        </w:tc>
        <w:tc>
          <w:tcPr>
            <w:tcW w:w="1363" w:type="dxa"/>
            <w:vAlign w:val="center"/>
          </w:tcPr>
          <w:p w14:paraId="19607DDB">
            <w:pPr>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体系认证情况（满分 3分）</w:t>
            </w:r>
            <w:r>
              <w:rPr>
                <w:rFonts w:hint="eastAsia" w:ascii="宋体" w:hAnsi="宋体" w:cs="宋体"/>
                <w:b/>
                <w:bCs/>
                <w:color w:val="auto"/>
                <w:szCs w:val="21"/>
                <w:highlight w:val="none"/>
              </w:rPr>
              <w:tab/>
            </w:r>
          </w:p>
        </w:tc>
        <w:tc>
          <w:tcPr>
            <w:tcW w:w="5960" w:type="dxa"/>
            <w:vAlign w:val="center"/>
          </w:tcPr>
          <w:p w14:paraId="029564C9">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投标人同时具备有效的质量管理体系认证证书、职业健康安全管理体系认证证书、环境管理体系认证证书，每项得1分，满分3分。（提供证书复印件）。</w:t>
            </w:r>
          </w:p>
        </w:tc>
        <w:tc>
          <w:tcPr>
            <w:tcW w:w="1428" w:type="dxa"/>
            <w:vAlign w:val="center"/>
          </w:tcPr>
          <w:p w14:paraId="468D87A6">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有关证书、证明</w:t>
            </w:r>
          </w:p>
        </w:tc>
      </w:tr>
      <w:tr w14:paraId="4233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092" w:hRule="atLeast"/>
        </w:trPr>
        <w:tc>
          <w:tcPr>
            <w:tcW w:w="562" w:type="dxa"/>
            <w:vMerge w:val="continue"/>
            <w:vAlign w:val="center"/>
          </w:tcPr>
          <w:p w14:paraId="46B0E51D">
            <w:pPr>
              <w:snapToGrid w:val="0"/>
              <w:jc w:val="center"/>
              <w:rPr>
                <w:rFonts w:hint="eastAsia" w:ascii="宋体" w:hAnsi="宋体" w:cs="宋体"/>
                <w:color w:val="auto"/>
                <w:szCs w:val="21"/>
                <w:highlight w:val="none"/>
              </w:rPr>
            </w:pPr>
          </w:p>
        </w:tc>
        <w:tc>
          <w:tcPr>
            <w:tcW w:w="1284" w:type="dxa"/>
            <w:vMerge w:val="continue"/>
            <w:vAlign w:val="center"/>
          </w:tcPr>
          <w:p w14:paraId="4B3A1B25">
            <w:pPr>
              <w:snapToGrid w:val="0"/>
              <w:jc w:val="center"/>
              <w:rPr>
                <w:rFonts w:hint="eastAsia" w:ascii="宋体" w:hAnsi="宋体" w:cs="宋体"/>
                <w:color w:val="auto"/>
                <w:szCs w:val="21"/>
                <w:highlight w:val="none"/>
              </w:rPr>
            </w:pPr>
          </w:p>
        </w:tc>
        <w:tc>
          <w:tcPr>
            <w:tcW w:w="1363" w:type="dxa"/>
            <w:vAlign w:val="center"/>
          </w:tcPr>
          <w:p w14:paraId="14754DDD">
            <w:pPr>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拟投入人员配置（16分）</w:t>
            </w:r>
          </w:p>
        </w:tc>
        <w:tc>
          <w:tcPr>
            <w:tcW w:w="5960" w:type="dxa"/>
            <w:vAlign w:val="center"/>
          </w:tcPr>
          <w:p w14:paraId="473B4AB2">
            <w:pPr>
              <w:pStyle w:val="12"/>
              <w:ind w:firstLine="420" w:firstLineChars="200"/>
              <w:rPr>
                <w:rFonts w:hint="eastAsia" w:hAnsi="宋体" w:cs="宋体"/>
                <w:bCs/>
                <w:color w:val="auto"/>
                <w:szCs w:val="21"/>
                <w:highlight w:val="none"/>
              </w:rPr>
            </w:pPr>
            <w:r>
              <w:rPr>
                <w:rFonts w:hint="eastAsia" w:hAnsi="宋体" w:cs="宋体"/>
                <w:bCs/>
                <w:color w:val="auto"/>
                <w:szCs w:val="21"/>
                <w:highlight w:val="none"/>
              </w:rPr>
              <w:t>1、拟投入本项目实施的人员必须是在本单位注册的人员，并持有相应的执业资格证书或岗位证书。除项目负责人以外不少于9人的全过程咨询团队，配备人员中至少需5人常驻现场。</w:t>
            </w:r>
          </w:p>
          <w:p w14:paraId="188A9ADA">
            <w:pPr>
              <w:pStyle w:val="12"/>
              <w:ind w:firstLine="420" w:firstLineChars="200"/>
              <w:rPr>
                <w:rFonts w:hint="eastAsia" w:hAnsi="宋体" w:cs="宋体"/>
                <w:bCs/>
                <w:color w:val="auto"/>
                <w:szCs w:val="21"/>
                <w:highlight w:val="none"/>
              </w:rPr>
            </w:pPr>
            <w:r>
              <w:rPr>
                <w:rFonts w:hint="eastAsia" w:hAnsi="宋体" w:cs="宋体"/>
                <w:bCs/>
                <w:color w:val="auto"/>
                <w:szCs w:val="21"/>
                <w:highlight w:val="none"/>
              </w:rPr>
              <w:t>其中各专业人员不少于： ①可研编制负责人1人，具有中级及以上技术职称；② 设计负责人1人，具有中级及以上技术职称；③造价编制负责人1人，具有国家注册造价师执业资格和中级及以上职称；</w:t>
            </w:r>
          </w:p>
          <w:p w14:paraId="6B0E5D8C">
            <w:pPr>
              <w:pStyle w:val="12"/>
              <w:ind w:firstLine="420" w:firstLineChars="200"/>
              <w:rPr>
                <w:rFonts w:hint="eastAsia" w:hAnsi="宋体" w:cs="宋体"/>
                <w:bCs/>
                <w:color w:val="auto"/>
                <w:szCs w:val="21"/>
                <w:highlight w:val="none"/>
              </w:rPr>
            </w:pPr>
            <w:r>
              <w:rPr>
                <w:rFonts w:hint="eastAsia" w:hAnsi="宋体" w:cs="宋体"/>
                <w:bCs/>
                <w:color w:val="auto"/>
                <w:szCs w:val="21"/>
                <w:highlight w:val="none"/>
              </w:rPr>
              <w:t>拟投入的咨询、设计人员必须满足上述最低人员配置要求，低于最低人员配置的，此项为0分。</w:t>
            </w:r>
          </w:p>
          <w:p w14:paraId="33A791BC">
            <w:pPr>
              <w:pStyle w:val="12"/>
              <w:ind w:firstLine="420" w:firstLineChars="200"/>
              <w:rPr>
                <w:rFonts w:hint="eastAsia" w:hAnsi="宋体" w:cs="宋体"/>
                <w:bCs/>
                <w:color w:val="auto"/>
                <w:szCs w:val="21"/>
                <w:highlight w:val="none"/>
              </w:rPr>
            </w:pPr>
            <w:r>
              <w:rPr>
                <w:rFonts w:hAnsi="宋体" w:cs="宋体"/>
                <w:bCs/>
                <w:color w:val="auto"/>
                <w:szCs w:val="21"/>
                <w:highlight w:val="none"/>
              </w:rPr>
              <w:t>a</w:t>
            </w:r>
            <w:r>
              <w:rPr>
                <w:rFonts w:hint="eastAsia" w:hAnsi="宋体" w:cs="宋体"/>
                <w:bCs/>
                <w:color w:val="auto"/>
                <w:szCs w:val="21"/>
                <w:highlight w:val="none"/>
              </w:rPr>
              <w:t>、拟派项目负责人同时具备教授级高级（正高级）工程师职称、注册咨询工程师（投资）证书得 2分。</w:t>
            </w:r>
          </w:p>
          <w:p w14:paraId="4C6D01C9">
            <w:pPr>
              <w:pStyle w:val="12"/>
              <w:ind w:firstLine="420" w:firstLineChars="200"/>
              <w:rPr>
                <w:rFonts w:hAnsi="宋体" w:cs="宋体"/>
                <w:bCs/>
                <w:color w:val="auto"/>
                <w:szCs w:val="21"/>
                <w:highlight w:val="none"/>
              </w:rPr>
            </w:pPr>
            <w:r>
              <w:rPr>
                <w:rFonts w:hint="eastAsia" w:hAnsi="宋体" w:cs="宋体"/>
                <w:bCs/>
                <w:color w:val="auto"/>
                <w:szCs w:val="21"/>
                <w:highlight w:val="none"/>
              </w:rPr>
              <w:t>b、拟派设计负责人同时具备高级工程师职称、注册咨询工程师（投资）证书、勘察设计类注册证书得 2分；拟派设计负责人同时具备教授级高级（正高级）工程师职称、注册咨询工程师（投资）证书、勘察设计类注册证书得 4分；此项满分4分。</w:t>
            </w:r>
          </w:p>
          <w:p w14:paraId="50FF048E">
            <w:pPr>
              <w:pStyle w:val="12"/>
              <w:ind w:firstLine="420" w:firstLineChars="200"/>
              <w:rPr>
                <w:rFonts w:hint="eastAsia" w:hAnsi="宋体" w:cs="宋体"/>
                <w:bCs/>
                <w:color w:val="auto"/>
                <w:szCs w:val="21"/>
                <w:highlight w:val="none"/>
              </w:rPr>
            </w:pPr>
            <w:r>
              <w:rPr>
                <w:rFonts w:hint="eastAsia" w:hAnsi="宋体" w:cs="宋体"/>
                <w:bCs/>
                <w:color w:val="auto"/>
                <w:szCs w:val="21"/>
                <w:highlight w:val="none"/>
              </w:rPr>
              <w:t>c、拟投入上述人员中，同时具有国家注册执业资格证书和高级及以上职称的，每人加1分。此项满分4分。</w:t>
            </w:r>
          </w:p>
          <w:p w14:paraId="73462835">
            <w:pPr>
              <w:pStyle w:val="12"/>
              <w:ind w:firstLine="420" w:firstLineChars="200"/>
              <w:rPr>
                <w:rFonts w:hint="eastAsia" w:hAnsi="宋体" w:cs="宋体"/>
                <w:bCs/>
                <w:color w:val="auto"/>
                <w:szCs w:val="21"/>
                <w:highlight w:val="none"/>
              </w:rPr>
            </w:pPr>
            <w:r>
              <w:rPr>
                <w:rFonts w:hint="eastAsia" w:hAnsi="宋体" w:cs="宋体"/>
                <w:bCs/>
                <w:color w:val="auto"/>
                <w:szCs w:val="21"/>
                <w:highlight w:val="none"/>
              </w:rPr>
              <w:t>d、在满足最低人员配置要求的基础上，每增加一名全过程咨询团队人员，且同时具有工程类专业中级及以上职称和国家注册执业资格证书的，每人加1分。此项满分6分。</w:t>
            </w:r>
          </w:p>
          <w:p w14:paraId="0F545A12">
            <w:pPr>
              <w:pStyle w:val="12"/>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备注：附上述相关人员的职称证（如有）、注册证（如有）、毕业证（如有）、非事业单位的提供投标人2025年2月—2025年7月期间任意连续三个月(必须提供，否则不计分)为上述人员依法缴纳社会保险的有效证明材料，并在证明材料中将人员姓名进行标注，以便评委审查，如投标人为事业单位须提供经机构编制管理部门批准的人员编制证复印件。</w:t>
            </w:r>
          </w:p>
        </w:tc>
        <w:tc>
          <w:tcPr>
            <w:tcW w:w="1428" w:type="dxa"/>
            <w:vAlign w:val="center"/>
          </w:tcPr>
          <w:p w14:paraId="0ADE2CB2">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有关证书、证明</w:t>
            </w:r>
          </w:p>
        </w:tc>
      </w:tr>
      <w:tr w14:paraId="67D3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Pr>
        <w:tc>
          <w:tcPr>
            <w:tcW w:w="562" w:type="dxa"/>
            <w:vAlign w:val="center"/>
          </w:tcPr>
          <w:p w14:paraId="23FCC17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84" w:type="dxa"/>
            <w:vAlign w:val="center"/>
          </w:tcPr>
          <w:p w14:paraId="202D1C14">
            <w:pPr>
              <w:snapToGrid w:val="0"/>
              <w:jc w:val="center"/>
              <w:rPr>
                <w:rFonts w:hint="eastAsia" w:ascii="宋体" w:hAnsi="宋体" w:cs="宋体"/>
                <w:color w:val="auto"/>
                <w:szCs w:val="21"/>
                <w:highlight w:val="none"/>
              </w:rPr>
            </w:pPr>
            <w:r>
              <w:rPr>
                <w:rFonts w:hint="eastAsia" w:ascii="宋体" w:hAnsi="宋体" w:cs="宋体"/>
                <w:b/>
                <w:bCs/>
                <w:color w:val="auto"/>
                <w:szCs w:val="21"/>
                <w:highlight w:val="none"/>
              </w:rPr>
              <w:t>其他</w:t>
            </w:r>
          </w:p>
        </w:tc>
        <w:tc>
          <w:tcPr>
            <w:tcW w:w="1363" w:type="dxa"/>
            <w:vAlign w:val="center"/>
          </w:tcPr>
          <w:p w14:paraId="6AB202E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诚信分</w:t>
            </w:r>
          </w:p>
          <w:p w14:paraId="4217A1F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（满分0分）</w:t>
            </w:r>
          </w:p>
        </w:tc>
        <w:tc>
          <w:tcPr>
            <w:tcW w:w="5960" w:type="dxa"/>
          </w:tcPr>
          <w:p w14:paraId="54E7C493">
            <w:pPr>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(1）投标人在截标日前1年内在政府采购活动中存在违约违规情形的（以财政部门出具的书面材料为评分依据），每次扣除3分，最高扣分6分扣完为止。</w:t>
            </w:r>
          </w:p>
        </w:tc>
        <w:tc>
          <w:tcPr>
            <w:tcW w:w="1428" w:type="dxa"/>
          </w:tcPr>
          <w:p w14:paraId="317234F8">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财政部门出具的书面材料</w:t>
            </w:r>
          </w:p>
        </w:tc>
      </w:tr>
      <w:tr w14:paraId="49F7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169" w:type="dxa"/>
            <w:gridSpan w:val="4"/>
            <w:vAlign w:val="center"/>
          </w:tcPr>
          <w:p w14:paraId="6E533E90">
            <w:pPr>
              <w:pStyle w:val="12"/>
              <w:snapToGrid w:val="0"/>
              <w:rPr>
                <w:rFonts w:hint="eastAsia" w:hAnsi="宋体" w:cs="宋体"/>
                <w:b/>
                <w:bCs/>
                <w:color w:val="auto"/>
                <w:szCs w:val="21"/>
                <w:highlight w:val="none"/>
              </w:rPr>
            </w:pPr>
            <w:r>
              <w:rPr>
                <w:rFonts w:hint="eastAsia" w:hAnsi="宋体" w:cs="宋体"/>
                <w:b/>
                <w:bCs/>
                <w:color w:val="auto"/>
                <w:szCs w:val="21"/>
                <w:highlight w:val="none"/>
              </w:rPr>
              <w:t>总得分=1+2+3 +4</w:t>
            </w:r>
          </w:p>
        </w:tc>
        <w:tc>
          <w:tcPr>
            <w:tcW w:w="1447" w:type="dxa"/>
            <w:gridSpan w:val="2"/>
          </w:tcPr>
          <w:p w14:paraId="54A09EB5">
            <w:pPr>
              <w:pStyle w:val="12"/>
              <w:snapToGrid w:val="0"/>
              <w:rPr>
                <w:rFonts w:hint="eastAsia" w:hAnsi="宋体" w:cs="宋体"/>
                <w:b/>
                <w:bCs/>
                <w:color w:val="auto"/>
                <w:szCs w:val="21"/>
                <w:highlight w:val="none"/>
              </w:rPr>
            </w:pPr>
          </w:p>
        </w:tc>
      </w:tr>
    </w:tbl>
    <w:p w14:paraId="40D528A1">
      <w:pPr>
        <w:pStyle w:val="4"/>
        <w:rPr>
          <w:rFonts w:hint="eastAsia" w:asciiTheme="minorEastAsia" w:hAnsiTheme="minorEastAsia" w:eastAsiaTheme="minorEastAsia" w:cstheme="minorEastAsia"/>
          <w:b w:val="0"/>
          <w:color w:val="auto"/>
          <w:sz w:val="30"/>
          <w:szCs w:val="30"/>
          <w:highlight w:val="none"/>
        </w:rPr>
      </w:pPr>
    </w:p>
    <w:p w14:paraId="278E9A78">
      <w:pPr>
        <w:pStyle w:val="4"/>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第四节 中标候选人推荐原则</w:t>
      </w:r>
      <w:bookmarkEnd w:id="133"/>
    </w:p>
    <w:p w14:paraId="2059B9D9">
      <w:pPr>
        <w:pStyle w:val="12"/>
        <w:numPr>
          <w:ilvl w:val="0"/>
          <w:numId w:val="3"/>
        </w:numPr>
        <w:spacing w:line="360" w:lineRule="auto"/>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w:t>
      </w:r>
    </w:p>
    <w:p w14:paraId="06098C60">
      <w:pPr>
        <w:pStyle w:val="12"/>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6AC59EA">
      <w:pPr>
        <w:pStyle w:val="4"/>
        <w:jc w:val="center"/>
        <w:rPr>
          <w:rFonts w:hint="eastAsia" w:asciiTheme="minorEastAsia" w:hAnsiTheme="minorEastAsia" w:eastAsiaTheme="minorEastAsia" w:cstheme="minorEastAsia"/>
          <w:color w:val="auto"/>
          <w:highlight w:val="none"/>
        </w:rPr>
      </w:pPr>
      <w:bookmarkStart w:id="134" w:name="_Toc18534"/>
      <w:r>
        <w:rPr>
          <w:rFonts w:hint="eastAsia" w:asciiTheme="minorEastAsia" w:hAnsiTheme="minorEastAsia" w:eastAsiaTheme="minorEastAsia" w:cstheme="minorEastAsia"/>
          <w:color w:val="auto"/>
          <w:highlight w:val="none"/>
        </w:rPr>
        <w:t>第五节 评标报告</w:t>
      </w:r>
      <w:bookmarkEnd w:id="134"/>
    </w:p>
    <w:p w14:paraId="21FFAD45">
      <w:pPr>
        <w:pStyle w:val="30"/>
        <w:spacing w:before="0"/>
        <w:ind w:firstLine="482"/>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（一）评标报告与推荐中标候选人</w:t>
      </w:r>
    </w:p>
    <w:p w14:paraId="0A73D203">
      <w:pPr>
        <w:pStyle w:val="12"/>
        <w:tabs>
          <w:tab w:val="left" w:pos="2472"/>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评标委员会根据原始评标记录和评标结果编写评标报告，并通过电子交易平台向采购人、采购代理机构提交。</w:t>
      </w:r>
    </w:p>
    <w:p w14:paraId="67DBED64">
      <w:pPr>
        <w:widowControl/>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（二）评标争议事项处理</w:t>
      </w:r>
    </w:p>
    <w:p w14:paraId="48FB2014">
      <w:pPr>
        <w:pStyle w:val="12"/>
        <w:tabs>
          <w:tab w:val="left" w:pos="2472"/>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E091AC0">
      <w:pPr>
        <w:widowControl/>
        <w:jc w:val="left"/>
        <w:rPr>
          <w:rFonts w:hint="eastAsia" w:asciiTheme="minorEastAsia" w:hAnsiTheme="minorEastAsia" w:eastAsiaTheme="minorEastAsia" w:cstheme="minorEastAsia"/>
          <w:b/>
          <w:color w:val="auto"/>
          <w:sz w:val="36"/>
          <w:szCs w:val="20"/>
          <w:highlight w:val="none"/>
        </w:rPr>
        <w:sectPr>
          <w:pgSz w:w="11906" w:h="16838"/>
          <w:pgMar w:top="1134" w:right="1134" w:bottom="1134" w:left="1134" w:header="720" w:footer="720" w:gutter="0"/>
          <w:cols w:space="720" w:num="1"/>
          <w:docGrid w:type="lines" w:linePitch="331" w:charSpace="0"/>
        </w:sectPr>
      </w:pPr>
    </w:p>
    <w:p w14:paraId="09211A3E">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354B8BA7">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52C24833">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1334F547">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F09E609">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83CEDA7">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24879DBB">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4744DA6">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B3E680F">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42BA845">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705DD41">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7DA416DE">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7DA80F87">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3D1F9A0">
      <w:pPr>
        <w:pStyle w:val="12"/>
        <w:tabs>
          <w:tab w:val="left" w:pos="2472"/>
        </w:tabs>
        <w:spacing w:line="460" w:lineRule="exact"/>
        <w:jc w:val="center"/>
        <w:outlineLvl w:val="0"/>
        <w:rPr>
          <w:rFonts w:hint="eastAsia" w:asciiTheme="minorEastAsia" w:hAnsiTheme="minorEastAsia" w:eastAsiaTheme="minorEastAsia" w:cstheme="minorEastAsia"/>
          <w:b/>
          <w:color w:val="auto"/>
          <w:sz w:val="36"/>
          <w:highlight w:val="none"/>
        </w:rPr>
      </w:pPr>
      <w:bookmarkStart w:id="135" w:name="_Toc7342"/>
      <w:r>
        <w:rPr>
          <w:rFonts w:hint="eastAsia" w:asciiTheme="minorEastAsia" w:hAnsiTheme="minorEastAsia" w:eastAsiaTheme="minorEastAsia" w:cstheme="minorEastAsia"/>
          <w:b/>
          <w:color w:val="auto"/>
          <w:sz w:val="36"/>
          <w:highlight w:val="none"/>
        </w:rPr>
        <w:t>第五章 拟签订的合同文本</w:t>
      </w:r>
      <w:bookmarkEnd w:id="135"/>
    </w:p>
    <w:p w14:paraId="0195D212">
      <w:pPr>
        <w:widowControl/>
        <w:jc w:val="left"/>
        <w:rPr>
          <w:rFonts w:hint="eastAsia" w:asciiTheme="minorEastAsia" w:hAnsiTheme="minorEastAsia" w:eastAsiaTheme="minorEastAsia" w:cstheme="minorEastAsia"/>
          <w:bCs/>
          <w:color w:val="auto"/>
          <w:szCs w:val="20"/>
          <w:highlight w:val="none"/>
        </w:rPr>
        <w:sectPr>
          <w:pgSz w:w="11906" w:h="16838"/>
          <w:pgMar w:top="1134" w:right="1134" w:bottom="1134" w:left="1134" w:header="720" w:footer="720" w:gutter="0"/>
          <w:cols w:space="720" w:num="1"/>
          <w:docGrid w:type="lines" w:linePitch="331" w:charSpace="0"/>
        </w:sectPr>
      </w:pPr>
    </w:p>
    <w:p w14:paraId="4596050E">
      <w:pPr>
        <w:spacing w:line="360" w:lineRule="auto"/>
        <w:rPr>
          <w:rFonts w:hint="eastAsia" w:asciiTheme="minorEastAsia" w:hAnsiTheme="minorEastAsia" w:eastAsiaTheme="minorEastAsia" w:cstheme="minorEastAsia"/>
          <w:color w:val="auto"/>
          <w:sz w:val="24"/>
          <w:highlight w:val="none"/>
        </w:rPr>
      </w:pPr>
    </w:p>
    <w:p w14:paraId="13DA203F">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广西政府采购云平台合同编号：</w:t>
      </w:r>
      <w:r>
        <w:rPr>
          <w:rFonts w:hint="eastAsia" w:asciiTheme="minorEastAsia" w:hAnsiTheme="minorEastAsia" w:eastAsiaTheme="minorEastAsia" w:cstheme="minorEastAsia"/>
          <w:color w:val="auto"/>
          <w:sz w:val="24"/>
          <w:highlight w:val="none"/>
          <w:u w:val="single"/>
        </w:rPr>
        <w:t xml:space="preserve">           </w:t>
      </w:r>
    </w:p>
    <w:p w14:paraId="04566BA7">
      <w:pPr>
        <w:spacing w:line="360" w:lineRule="auto"/>
        <w:jc w:val="center"/>
        <w:rPr>
          <w:rFonts w:hint="eastAsia" w:asciiTheme="minorEastAsia" w:hAnsiTheme="minorEastAsia" w:eastAsiaTheme="minorEastAsia" w:cstheme="minorEastAsia"/>
          <w:b/>
          <w:bCs/>
          <w:color w:val="auto"/>
          <w:sz w:val="52"/>
          <w:highlight w:val="none"/>
        </w:rPr>
      </w:pPr>
    </w:p>
    <w:p w14:paraId="7786827E">
      <w:pPr>
        <w:spacing w:line="360" w:lineRule="auto"/>
        <w:jc w:val="center"/>
        <w:rPr>
          <w:rFonts w:hint="eastAsia" w:asciiTheme="minorEastAsia" w:hAnsiTheme="minorEastAsia" w:eastAsiaTheme="minorEastAsia" w:cstheme="minorEastAsia"/>
          <w:b/>
          <w:bCs/>
          <w:color w:val="auto"/>
          <w:sz w:val="52"/>
          <w:highlight w:val="none"/>
        </w:rPr>
      </w:pPr>
    </w:p>
    <w:p w14:paraId="750A283E">
      <w:pPr>
        <w:spacing w:line="360" w:lineRule="auto"/>
        <w:jc w:val="center"/>
        <w:rPr>
          <w:rFonts w:hint="eastAsia"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7F5A9F39">
      <w:pPr>
        <w:spacing w:line="360" w:lineRule="auto"/>
        <w:ind w:firstLine="420" w:firstLineChars="200"/>
        <w:rPr>
          <w:rFonts w:hint="eastAsia" w:asciiTheme="minorEastAsia" w:hAnsiTheme="minorEastAsia" w:eastAsiaTheme="minorEastAsia" w:cstheme="minorEastAsia"/>
          <w:color w:val="auto"/>
          <w:highlight w:val="none"/>
        </w:rPr>
      </w:pPr>
    </w:p>
    <w:p w14:paraId="08413F8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0890569C">
      <w:pPr>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u w:val="single"/>
        </w:rPr>
        <w:t xml:space="preserve"> 2026-2027年度横州市水库移民项目全过程工程咨询项目</w:t>
      </w:r>
      <w:r>
        <w:rPr>
          <w:rFonts w:hint="eastAsia" w:asciiTheme="minorEastAsia" w:hAnsiTheme="minorEastAsia" w:eastAsiaTheme="minorEastAsia" w:cstheme="minorEastAsia"/>
          <w:b/>
          <w:bCs/>
          <w:color w:val="auto"/>
          <w:sz w:val="44"/>
          <w:highlight w:val="none"/>
        </w:rPr>
        <w:t>合同</w:t>
      </w:r>
    </w:p>
    <w:p w14:paraId="4BA38F6A">
      <w:pPr>
        <w:spacing w:line="360" w:lineRule="auto"/>
        <w:jc w:val="center"/>
        <w:rPr>
          <w:rFonts w:hint="eastAsia" w:asciiTheme="minorEastAsia" w:hAnsiTheme="minorEastAsia" w:eastAsiaTheme="minorEastAsia" w:cstheme="minorEastAsia"/>
          <w:b/>
          <w:bCs/>
          <w:color w:val="auto"/>
          <w:sz w:val="44"/>
          <w:highlight w:val="none"/>
        </w:rPr>
      </w:pPr>
    </w:p>
    <w:p w14:paraId="2AFEC7DB">
      <w:pPr>
        <w:spacing w:line="360" w:lineRule="auto"/>
        <w:rPr>
          <w:rFonts w:hint="eastAsia" w:asciiTheme="minorEastAsia" w:hAnsiTheme="minorEastAsia" w:eastAsiaTheme="minorEastAsia" w:cstheme="minorEastAsia"/>
          <w:b/>
          <w:bCs/>
          <w:color w:val="auto"/>
          <w:sz w:val="44"/>
          <w:highlight w:val="none"/>
        </w:rPr>
      </w:pPr>
    </w:p>
    <w:p w14:paraId="57249423">
      <w:pPr>
        <w:ind w:firstLine="1995" w:firstLineChars="552"/>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项目编号：</w:t>
      </w:r>
      <w:r>
        <w:rPr>
          <w:rFonts w:hint="eastAsia" w:asciiTheme="minorEastAsia" w:hAnsiTheme="minorEastAsia" w:eastAsiaTheme="minorEastAsia" w:cstheme="minorEastAsia"/>
          <w:b/>
          <w:color w:val="auto"/>
          <w:sz w:val="36"/>
          <w:szCs w:val="36"/>
          <w:highlight w:val="none"/>
          <w:u w:val="single"/>
        </w:rPr>
        <w:t xml:space="preserve">NNZC2025-G3-270119-JGJD </w:t>
      </w:r>
    </w:p>
    <w:p w14:paraId="5FC778C6">
      <w:pPr>
        <w:ind w:firstLine="1995" w:firstLineChars="552"/>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计划编号：</w:t>
      </w:r>
      <w:r>
        <w:rPr>
          <w:rFonts w:hint="eastAsia" w:asciiTheme="minorEastAsia" w:hAnsiTheme="minorEastAsia" w:eastAsiaTheme="minorEastAsia" w:cstheme="minorEastAsia"/>
          <w:b/>
          <w:color w:val="auto"/>
          <w:sz w:val="36"/>
          <w:szCs w:val="36"/>
          <w:highlight w:val="none"/>
          <w:u w:val="single"/>
        </w:rPr>
        <w:t xml:space="preserve">                        </w:t>
      </w:r>
    </w:p>
    <w:p w14:paraId="76FC3F2C">
      <w:pPr>
        <w:ind w:firstLine="1970" w:firstLineChars="545"/>
        <w:rPr>
          <w:rFonts w:hint="eastAsia" w:asciiTheme="minorEastAsia" w:hAnsiTheme="minorEastAsia" w:eastAsiaTheme="minorEastAsia" w:cstheme="minorEastAsia"/>
          <w:b/>
          <w:color w:val="auto"/>
          <w:sz w:val="36"/>
          <w:szCs w:val="36"/>
          <w:highlight w:val="none"/>
          <w:u w:val="single"/>
        </w:rPr>
      </w:pPr>
    </w:p>
    <w:p w14:paraId="2C60B9ED">
      <w:pPr>
        <w:tabs>
          <w:tab w:val="left" w:pos="7200"/>
        </w:tabs>
        <w:spacing w:line="360" w:lineRule="auto"/>
        <w:ind w:firstLine="1995" w:firstLineChars="552"/>
        <w:rPr>
          <w:rFonts w:hint="eastAsia"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rPr>
        <w:t xml:space="preserve"> 横州市水库移民安置服务中心  </w:t>
      </w:r>
    </w:p>
    <w:p w14:paraId="5F53F118">
      <w:pPr>
        <w:tabs>
          <w:tab w:val="left" w:pos="7380"/>
        </w:tabs>
        <w:spacing w:line="360" w:lineRule="auto"/>
        <w:ind w:firstLine="1995" w:firstLineChars="552"/>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中标供应商：</w:t>
      </w:r>
      <w:r>
        <w:rPr>
          <w:rFonts w:hint="eastAsia" w:asciiTheme="minorEastAsia" w:hAnsiTheme="minorEastAsia" w:eastAsiaTheme="minorEastAsia" w:cstheme="minorEastAsia"/>
          <w:b/>
          <w:color w:val="auto"/>
          <w:sz w:val="36"/>
          <w:szCs w:val="36"/>
          <w:highlight w:val="none"/>
          <w:u w:val="single"/>
        </w:rPr>
        <w:t xml:space="preserve">                   </w:t>
      </w:r>
    </w:p>
    <w:p w14:paraId="5C8E9A2E">
      <w:pPr>
        <w:tabs>
          <w:tab w:val="left" w:pos="7380"/>
        </w:tabs>
        <w:spacing w:line="360" w:lineRule="auto"/>
        <w:rPr>
          <w:rFonts w:hint="eastAsia" w:asciiTheme="minorEastAsia" w:hAnsiTheme="minorEastAsia" w:eastAsiaTheme="minorEastAsia" w:cstheme="minorEastAsia"/>
          <w:b/>
          <w:bCs/>
          <w:color w:val="auto"/>
          <w:sz w:val="44"/>
          <w:highlight w:val="none"/>
        </w:rPr>
      </w:pPr>
    </w:p>
    <w:p w14:paraId="41E88164">
      <w:pPr>
        <w:spacing w:before="120" w:line="360" w:lineRule="auto"/>
        <w:ind w:firstLine="960" w:firstLineChars="400"/>
        <w:rPr>
          <w:rFonts w:hint="eastAsia" w:asciiTheme="minorEastAsia" w:hAnsiTheme="minorEastAsia" w:eastAsiaTheme="minorEastAsia" w:cstheme="minorEastAsia"/>
          <w:color w:val="auto"/>
          <w:sz w:val="24"/>
          <w:highlight w:val="none"/>
        </w:rPr>
      </w:pPr>
    </w:p>
    <w:p w14:paraId="327F8BD3">
      <w:pPr>
        <w:spacing w:before="120" w:line="360" w:lineRule="auto"/>
        <w:ind w:firstLine="960" w:firstLineChars="400"/>
        <w:rPr>
          <w:rFonts w:hint="eastAsia" w:asciiTheme="minorEastAsia" w:hAnsiTheme="minorEastAsia" w:eastAsiaTheme="minorEastAsia" w:cstheme="minorEastAsia"/>
          <w:color w:val="auto"/>
          <w:sz w:val="24"/>
          <w:highlight w:val="none"/>
        </w:rPr>
      </w:pPr>
    </w:p>
    <w:p w14:paraId="7F275467">
      <w:pPr>
        <w:spacing w:before="120" w:line="360" w:lineRule="auto"/>
        <w:ind w:firstLine="2280" w:firstLineChars="950"/>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A8598F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24"/>
          <w:highlight w:val="none"/>
        </w:rPr>
        <w:t>合同目录</w:t>
      </w:r>
    </w:p>
    <w:p w14:paraId="47C7AA5B">
      <w:pPr>
        <w:snapToGrid w:val="0"/>
        <w:spacing w:line="360" w:lineRule="auto"/>
        <w:jc w:val="center"/>
        <w:rPr>
          <w:rFonts w:hint="eastAsia" w:asciiTheme="minorEastAsia" w:hAnsiTheme="minorEastAsia" w:eastAsiaTheme="minorEastAsia" w:cstheme="minorEastAsia"/>
          <w:b/>
          <w:bCs/>
          <w:color w:val="auto"/>
          <w:sz w:val="44"/>
          <w:highlight w:val="none"/>
        </w:rPr>
      </w:pPr>
    </w:p>
    <w:p w14:paraId="517D9AA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0C42C28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06D6EEA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6852B7D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5D88B23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4.1中标通知书 …………………………………………………………………（页码）</w:t>
      </w:r>
    </w:p>
    <w:p w14:paraId="5262782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4.2招标文件服务需求一览表 …………………………………………………（页码）</w:t>
      </w:r>
    </w:p>
    <w:p w14:paraId="60921222">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4.3招标文件的更改通知（如有） ……………………………………………（页码）</w:t>
      </w:r>
    </w:p>
    <w:p w14:paraId="38F8011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4.4投标函 ………………………………………………………………………（页码）</w:t>
      </w:r>
    </w:p>
    <w:p w14:paraId="3832347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4.5报价表 ………………………………………………………………………（页码）</w:t>
      </w:r>
    </w:p>
    <w:p w14:paraId="7B791F1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4.6投标服务技术资料表 ………………………………………………………（页码）</w:t>
      </w:r>
    </w:p>
    <w:p w14:paraId="703AED2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07CD635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4.8中标供应商澄清函（如有请提供） ………………………………………（页码）</w:t>
      </w:r>
    </w:p>
    <w:p w14:paraId="422583E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1BCD8F8F">
      <w:pPr>
        <w:snapToGrid w:val="0"/>
        <w:spacing w:line="360" w:lineRule="auto"/>
        <w:rPr>
          <w:rFonts w:hint="eastAsia" w:asciiTheme="minorEastAsia" w:hAnsiTheme="minorEastAsia" w:eastAsiaTheme="minorEastAsia" w:cstheme="minorEastAsia"/>
          <w:color w:val="auto"/>
          <w:kern w:val="0"/>
          <w:sz w:val="24"/>
          <w:highlight w:val="none"/>
        </w:rPr>
      </w:pPr>
    </w:p>
    <w:p w14:paraId="1A99F1FD">
      <w:pPr>
        <w:widowControl/>
        <w:jc w:val="left"/>
        <w:rPr>
          <w:rFonts w:hint="eastAsia" w:asciiTheme="minorEastAsia" w:hAnsiTheme="minorEastAsia" w:eastAsiaTheme="minorEastAsia" w:cstheme="minorEastAsia"/>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59BE17CC">
      <w:pPr>
        <w:pStyle w:val="31"/>
        <w:spacing w:after="0"/>
        <w:ind w:firstLine="562"/>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346CDB0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横州市水库移民安置服务中心 </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2026-2027年度横州市水库移民项目全过程工程咨询项目</w:t>
      </w:r>
      <w:r>
        <w:rPr>
          <w:rFonts w:hint="eastAsia" w:ascii="仿宋_GB2312" w:hAnsi="楷体" w:eastAsia="仿宋_GB2312"/>
          <w:color w:val="auto"/>
          <w:sz w:val="24"/>
          <w:highlight w:val="none"/>
        </w:rPr>
        <w:t>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w:t>
      </w:r>
      <w:r>
        <w:rPr>
          <w:rFonts w:hint="eastAsia" w:ascii="仿宋_GB2312" w:hAnsi="楷体" w:eastAsia="仿宋_GB2312"/>
          <w:color w:val="auto"/>
          <w:sz w:val="24"/>
          <w:highlight w:val="none"/>
          <w:u w:val="single"/>
        </w:rPr>
        <w:t>25</w:t>
      </w:r>
      <w:r>
        <w:rPr>
          <w:rFonts w:hint="eastAsia" w:ascii="仿宋_GB2312" w:hAnsi="楷体" w:eastAsia="仿宋_GB2312"/>
          <w:color w:val="auto"/>
          <w:sz w:val="24"/>
          <w:highlight w:val="none"/>
        </w:rPr>
        <w:t>日内（根据项目实际情况填写，不能超过25日），按照采购文件确定的事项签订本合同。</w:t>
      </w:r>
    </w:p>
    <w:p w14:paraId="5FDB90F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横州市水库移民安置服务中心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124FD047">
      <w:pPr>
        <w:spacing w:line="360" w:lineRule="auto"/>
        <w:ind w:firstLine="482" w:firstLineChars="200"/>
        <w:rPr>
          <w:rFonts w:hint="eastAsia" w:ascii="仿宋_GB2312" w:hAnsi="楷体" w:eastAsia="仿宋_GB2312"/>
          <w:b/>
          <w:color w:val="auto"/>
          <w:sz w:val="24"/>
          <w:highlight w:val="none"/>
        </w:rPr>
      </w:pPr>
      <w:bookmarkStart w:id="136" w:name="_Toc2232"/>
      <w:bookmarkStart w:id="137" w:name="_Toc24059"/>
      <w:bookmarkStart w:id="138" w:name="_Toc3029"/>
      <w:r>
        <w:rPr>
          <w:rFonts w:hint="eastAsia" w:ascii="仿宋_GB2312" w:hAnsi="楷体" w:eastAsia="仿宋_GB2312"/>
          <w:b/>
          <w:color w:val="auto"/>
          <w:sz w:val="24"/>
          <w:highlight w:val="none"/>
        </w:rPr>
        <w:t>1.1 合同组成部分</w:t>
      </w:r>
      <w:bookmarkEnd w:id="136"/>
      <w:bookmarkEnd w:id="137"/>
      <w:bookmarkEnd w:id="138"/>
    </w:p>
    <w:p w14:paraId="2922C2B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94701C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0C83753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16A44BD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46DA25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0148EC8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1B14CE3F">
      <w:pPr>
        <w:spacing w:line="360" w:lineRule="auto"/>
        <w:ind w:firstLine="482" w:firstLineChars="200"/>
        <w:rPr>
          <w:rFonts w:hint="eastAsia" w:ascii="仿宋_GB2312" w:hAnsi="楷体" w:eastAsia="仿宋_GB2312"/>
          <w:b/>
          <w:color w:val="auto"/>
          <w:sz w:val="24"/>
          <w:highlight w:val="none"/>
        </w:rPr>
      </w:pPr>
      <w:bookmarkStart w:id="139" w:name="_Toc24300"/>
      <w:bookmarkStart w:id="140" w:name="_Toc27126"/>
      <w:bookmarkStart w:id="141" w:name="_Toc21295"/>
      <w:r>
        <w:rPr>
          <w:rFonts w:hint="eastAsia" w:ascii="仿宋_GB2312" w:hAnsi="楷体" w:eastAsia="仿宋_GB2312"/>
          <w:b/>
          <w:color w:val="auto"/>
          <w:sz w:val="24"/>
          <w:highlight w:val="none"/>
        </w:rPr>
        <w:t>1.2 标的物</w:t>
      </w:r>
      <w:bookmarkEnd w:id="139"/>
      <w:bookmarkEnd w:id="140"/>
      <w:bookmarkEnd w:id="141"/>
    </w:p>
    <w:p w14:paraId="43F1C6B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64635203">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2026-2027年度横州市水库移民项目全过程工程咨询项目</w:t>
      </w:r>
      <w:r>
        <w:rPr>
          <w:rFonts w:hint="eastAsia" w:ascii="仿宋_GB2312" w:hAnsi="楷体" w:eastAsia="仿宋_GB2312"/>
          <w:color w:val="auto"/>
          <w:sz w:val="24"/>
          <w:highlight w:val="none"/>
        </w:rPr>
        <w:t>；</w:t>
      </w:r>
    </w:p>
    <w:p w14:paraId="3DCB5680">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2026-2027年度横州市水库移民项目全过程工程咨询项目服务范围为2026-2027年度横州市水库移民项目规划编制、项目可行性研究报告编制、实施方案编制或工程设计（方案设计、初步设计、施工图设计）及预算、工程勘察（地勘、测绘）及项目全过程管理。涉及农村道路、风貌改造、水系整治、环境整治、产业发展等类别以及新农村建设项目</w:t>
      </w:r>
      <w:r>
        <w:rPr>
          <w:rFonts w:hint="eastAsia" w:ascii="仿宋_GB2312" w:hAnsi="楷体" w:eastAsia="仿宋_GB2312"/>
          <w:color w:val="auto"/>
          <w:sz w:val="24"/>
          <w:highlight w:val="none"/>
        </w:rPr>
        <w:t>；</w:t>
      </w:r>
    </w:p>
    <w:p w14:paraId="6FF75EE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国家、行业有关质量标准，采购文件上的服务需求，及投标人投标文件，符合现行国家颁布的有关规程规范要求，并通过国家相关部门组织的审查与评审</w:t>
      </w:r>
      <w:r>
        <w:rPr>
          <w:rFonts w:hint="eastAsia" w:ascii="仿宋_GB2312" w:hAnsi="楷体" w:eastAsia="仿宋_GB2312"/>
          <w:color w:val="auto"/>
          <w:sz w:val="24"/>
          <w:highlight w:val="none"/>
        </w:rPr>
        <w:t>。</w:t>
      </w:r>
    </w:p>
    <w:p w14:paraId="1D408AF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18B1EF0F">
      <w:pPr>
        <w:spacing w:line="360" w:lineRule="auto"/>
        <w:ind w:firstLine="482" w:firstLineChars="200"/>
        <w:rPr>
          <w:rFonts w:hint="eastAsia" w:ascii="仿宋_GB2312" w:hAnsi="楷体" w:eastAsia="仿宋_GB2312"/>
          <w:b/>
          <w:color w:val="auto"/>
          <w:sz w:val="24"/>
          <w:highlight w:val="none"/>
        </w:rPr>
      </w:pPr>
      <w:bookmarkStart w:id="142" w:name="_Toc21631"/>
      <w:bookmarkStart w:id="143" w:name="_Toc23292"/>
      <w:bookmarkStart w:id="144" w:name="_Toc21551"/>
      <w:r>
        <w:rPr>
          <w:rFonts w:hint="eastAsia" w:ascii="仿宋_GB2312" w:hAnsi="楷体" w:eastAsia="仿宋_GB2312"/>
          <w:b/>
          <w:color w:val="auto"/>
          <w:sz w:val="24"/>
          <w:highlight w:val="none"/>
        </w:rPr>
        <w:t>1.3 价款</w:t>
      </w:r>
      <w:bookmarkEnd w:id="142"/>
      <w:bookmarkEnd w:id="143"/>
      <w:bookmarkEnd w:id="144"/>
    </w:p>
    <w:p w14:paraId="7580740E">
      <w:pPr>
        <w:spacing w:line="360" w:lineRule="auto"/>
        <w:ind w:firstLine="480" w:firstLineChars="200"/>
        <w:rPr>
          <w:rFonts w:hint="eastAsia" w:ascii="仿宋_GB2312" w:hAnsi="楷体" w:eastAsia="仿宋_GB2312"/>
          <w:color w:val="auto"/>
          <w:sz w:val="24"/>
          <w:highlight w:val="none"/>
        </w:rPr>
      </w:pPr>
      <w:bookmarkStart w:id="145" w:name="_Toc1814"/>
      <w:bookmarkStart w:id="146" w:name="_Toc10340"/>
      <w:bookmarkStart w:id="147" w:name="_Toc22618"/>
      <w:r>
        <w:rPr>
          <w:rFonts w:hint="eastAsia" w:ascii="仿宋_GB2312" w:hAnsi="楷体" w:eastAsia="仿宋_GB2312"/>
          <w:color w:val="auto"/>
          <w:sz w:val="24"/>
          <w:highlight w:val="none"/>
        </w:rPr>
        <w:t>(一)计费标准</w:t>
      </w:r>
    </w:p>
    <w:p w14:paraId="32167FA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1.《城市规划设计计费指导意见》(〔2004〕中规协秘字第 022号文)(2017年修订版)</w:t>
      </w:r>
    </w:p>
    <w:p w14:paraId="10B6908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2.《广西壮族自治区工程建设其他费用定额》(2018年)(桂建标(2018]37号)</w:t>
      </w:r>
    </w:p>
    <w:p w14:paraId="2A5CD7F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3.《广西壮族自治区工程勘察设计收费指导标准》(2020年)(桂设协(2020)92号)</w:t>
      </w:r>
    </w:p>
    <w:p w14:paraId="14F023D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4.《水利水电工程全过程工程咨询服务导则》(T/CNACE8001-2021)</w:t>
      </w:r>
    </w:p>
    <w:p w14:paraId="562247B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(二)计费原则:项目相关费用按现行规范执行，优先</w:t>
      </w:r>
      <w:r>
        <w:rPr>
          <w:rFonts w:hint="eastAsia" w:ascii="仿宋_GB2312" w:hAnsi="楷体" w:eastAsia="仿宋_GB2312"/>
          <w:color w:val="auto"/>
          <w:sz w:val="24"/>
          <w:highlight w:val="none"/>
          <w:lang w:val="en-US" w:eastAsia="zh-CN"/>
        </w:rPr>
        <w:t>采用</w:t>
      </w:r>
      <w:r>
        <w:rPr>
          <w:rFonts w:hint="eastAsia" w:ascii="仿宋_GB2312" w:hAnsi="楷体" w:eastAsia="仿宋_GB2312"/>
          <w:color w:val="auto"/>
          <w:sz w:val="24"/>
          <w:highlight w:val="none"/>
        </w:rPr>
        <w:t>广西现行计费标准执行，新标准与旧标准相冲突时，按新标准执行。</w:t>
      </w:r>
    </w:p>
    <w:p w14:paraId="72D8B76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(三)计费方法:</w:t>
      </w:r>
    </w:p>
    <w:p w14:paraId="737C15F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1、规划编制费:依据《城市规划设计计费指导意见》(〔2004)中规协秘字第 022号文)(2017年修订版)中村庄规划等有关规定取费。</w:t>
      </w:r>
    </w:p>
    <w:p w14:paraId="15971BC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2、建设项目前期工作咨询费包括:编制可行性研究报告，以及其他与建设项目前期工作有关的咨询服务收费。(详见桂建标〔2018]37号相关收费说明)</w:t>
      </w:r>
    </w:p>
    <w:p w14:paraId="52923D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3、工程勘察设计收费:根据《广西壮族自治区工程勘察设计收费指导标准》(2020年)(桂设协〔2020】92号)收费标准计算。</w:t>
      </w:r>
    </w:p>
    <w:p w14:paraId="3585716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4、全过程项目管理费:参照中国工程咨询协会发布的《水利水电工程全过程工程咨询服务导则》(T/CNACE8001-2021)关于水利水电工程全过程工程咨询服务计费方法计费，采用差额定率累加递进计费方式计算。</w:t>
      </w:r>
    </w:p>
    <w:p w14:paraId="2110302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(四)合同金额</w:t>
      </w:r>
    </w:p>
    <w:p w14:paraId="29480E9B">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 xml:space="preserve">全过程工程咨询服务费=(规划编制费+建设项目前期工作咨询费+工程勘察费+实施方案编制或工程设计费+全过程项目管理费)x(1- </w:t>
      </w:r>
      <w:r>
        <w:rPr>
          <w:rFonts w:hint="eastAsia" w:ascii="仿宋_GB2312" w:hAnsi="楷体" w:eastAsia="仿宋_GB2312"/>
          <w:color w:val="auto"/>
          <w:sz w:val="24"/>
          <w:highlight w:val="none"/>
          <w:u w:val="single"/>
        </w:rPr>
        <w:t xml:space="preserve">    （下浮系数）</w:t>
      </w:r>
      <w:r>
        <w:rPr>
          <w:rFonts w:hint="eastAsia" w:ascii="仿宋_GB2312" w:hAnsi="楷体" w:eastAsia="仿宋_GB2312"/>
          <w:color w:val="auto"/>
          <w:sz w:val="24"/>
          <w:highlight w:val="none"/>
        </w:rPr>
        <w:t>)。</w:t>
      </w:r>
    </w:p>
    <w:p w14:paraId="495A7DCA">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1.4 付款方式和发票开具方式</w:t>
      </w:r>
      <w:bookmarkEnd w:id="145"/>
      <w:bookmarkEnd w:id="146"/>
      <w:bookmarkEnd w:id="147"/>
    </w:p>
    <w:p w14:paraId="39DC60C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u w:val="single"/>
        </w:rPr>
        <w:t>按合同约定提交编制成果并通过审查后一个月内由</w:t>
      </w:r>
      <w:r>
        <w:rPr>
          <w:rFonts w:hint="eastAsia" w:ascii="仿宋_GB2312" w:hAnsi="楷体" w:eastAsia="仿宋_GB2312"/>
          <w:color w:val="auto"/>
          <w:sz w:val="24"/>
          <w:highlight w:val="none"/>
          <w:u w:val="single"/>
          <w:lang w:val="en-US" w:eastAsia="zh-CN"/>
        </w:rPr>
        <w:t>甲方</w:t>
      </w:r>
      <w:r>
        <w:rPr>
          <w:rFonts w:hint="eastAsia" w:ascii="仿宋_GB2312" w:hAnsi="楷体" w:eastAsia="仿宋_GB2312"/>
          <w:color w:val="auto"/>
          <w:sz w:val="24"/>
          <w:highlight w:val="none"/>
          <w:u w:val="single"/>
        </w:rPr>
        <w:t>向财政局申请支付全过程咨询总技术服务费的80%，竣工验收后一个月内由</w:t>
      </w:r>
      <w:r>
        <w:rPr>
          <w:rFonts w:hint="eastAsia" w:ascii="仿宋_GB2312" w:hAnsi="楷体" w:eastAsia="仿宋_GB2312"/>
          <w:color w:val="auto"/>
          <w:sz w:val="24"/>
          <w:highlight w:val="none"/>
          <w:u w:val="single"/>
          <w:lang w:val="en-US" w:eastAsia="zh-CN"/>
        </w:rPr>
        <w:t>甲方</w:t>
      </w:r>
      <w:r>
        <w:rPr>
          <w:rFonts w:hint="eastAsia" w:ascii="仿宋_GB2312" w:hAnsi="楷体" w:eastAsia="仿宋_GB2312"/>
          <w:color w:val="auto"/>
          <w:sz w:val="24"/>
          <w:highlight w:val="none"/>
          <w:u w:val="single"/>
        </w:rPr>
        <w:t>向财政局申请支付至全过程咨询总技术服务费的97%（含已支付的），横州市级竣工验收完成且工程缺陷责任期满后14天内由</w:t>
      </w:r>
      <w:r>
        <w:rPr>
          <w:rFonts w:hint="eastAsia" w:ascii="仿宋_GB2312" w:hAnsi="楷体" w:eastAsia="仿宋_GB2312"/>
          <w:color w:val="auto"/>
          <w:sz w:val="24"/>
          <w:highlight w:val="none"/>
          <w:u w:val="single"/>
          <w:lang w:val="en-US" w:eastAsia="zh-CN"/>
        </w:rPr>
        <w:t>甲方</w:t>
      </w:r>
      <w:r>
        <w:rPr>
          <w:rFonts w:hint="eastAsia" w:ascii="仿宋_GB2312" w:hAnsi="楷体" w:eastAsia="仿宋_GB2312"/>
          <w:color w:val="auto"/>
          <w:sz w:val="24"/>
          <w:highlight w:val="none"/>
          <w:u w:val="single"/>
        </w:rPr>
        <w:t>向财政局申请支付全部余款。</w:t>
      </w:r>
    </w:p>
    <w:p w14:paraId="1FA8AF3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增值税普通发票 </w:t>
      </w:r>
      <w:r>
        <w:rPr>
          <w:rFonts w:hint="eastAsia" w:ascii="仿宋_GB2312" w:hAnsi="楷体" w:eastAsia="仿宋_GB2312"/>
          <w:color w:val="auto"/>
          <w:sz w:val="24"/>
          <w:highlight w:val="none"/>
        </w:rPr>
        <w:t>。</w:t>
      </w:r>
    </w:p>
    <w:p w14:paraId="2789D0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1.4.3具体支付方式: </w:t>
      </w:r>
      <w:r>
        <w:rPr>
          <w:rFonts w:hint="eastAsia" w:ascii="仿宋_GB2312" w:hAnsi="楷体" w:eastAsia="仿宋_GB2312"/>
          <w:color w:val="auto"/>
          <w:sz w:val="24"/>
          <w:highlight w:val="none"/>
          <w:u w:val="single"/>
        </w:rPr>
        <w:t>甲乙双方根据上级年度计划资金的批复情况签订合同补充协议,在补充协议里明确具体合同金额及乙方成员各自具体合同金额，由甲方将相应合同金额分别支付给乙方联合体各成员。</w:t>
      </w:r>
    </w:p>
    <w:p w14:paraId="3371B5CC">
      <w:pPr>
        <w:spacing w:line="360" w:lineRule="auto"/>
        <w:ind w:firstLine="482" w:firstLineChars="200"/>
        <w:rPr>
          <w:rFonts w:hint="eastAsia" w:ascii="仿宋_GB2312" w:hAnsi="楷体" w:eastAsia="仿宋_GB2312"/>
          <w:b/>
          <w:color w:val="auto"/>
          <w:sz w:val="24"/>
          <w:highlight w:val="none"/>
        </w:rPr>
      </w:pPr>
      <w:bookmarkStart w:id="148" w:name="_Toc19304"/>
      <w:bookmarkStart w:id="149" w:name="_Toc32071"/>
      <w:bookmarkStart w:id="150" w:name="_Toc2846"/>
      <w:r>
        <w:rPr>
          <w:rFonts w:hint="eastAsia" w:ascii="仿宋_GB2312" w:hAnsi="楷体" w:eastAsia="仿宋_GB2312"/>
          <w:b/>
          <w:color w:val="auto"/>
          <w:sz w:val="24"/>
          <w:highlight w:val="none"/>
        </w:rPr>
        <w:t>1.5 标的物交付期限、地点、方式</w:t>
      </w:r>
      <w:bookmarkEnd w:id="148"/>
      <w:bookmarkEnd w:id="149"/>
      <w:bookmarkEnd w:id="150"/>
      <w:r>
        <w:rPr>
          <w:rFonts w:hint="eastAsia" w:ascii="仿宋_GB2312" w:hAnsi="楷体" w:eastAsia="仿宋_GB2312"/>
          <w:b/>
          <w:color w:val="auto"/>
          <w:sz w:val="24"/>
          <w:highlight w:val="none"/>
        </w:rPr>
        <w:t>和服务期限</w:t>
      </w:r>
    </w:p>
    <w:p w14:paraId="361C184E">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乙方应将咨询项目编制成果按约定的期限及方式交付给甲方。双方履行合同过程中，如咨询项目内容涉及补充、变更、修改等技术性操作，相应的咨询服务意见应顺延至 2026-2027年度横州市水库移民项目横州市级竣工验收完成后、施工保修期结束止:具体交付期限明确如下:(1)自接到采购人通知之日起，在上级文件要求时间内完成年度项目计划编制:(2)自接到采购人通知之日起15日历天完成并提交可行性研究报告编制成果文件(其中，初稿报审时间10日历天，自接到采购人审查意见批复后3日历天内完成修改稿并提交修改稿，修改稿审核通过后2日历天内提交成果文件):(3)自接到采购人通知之日起 15 日内完成现场勘测:10日内完成方案及初步设计;15日内完成施工图设计及投资估算，接到有关部门修改批复意见后5日历天内提交修改稿:(4)项目管理:从工程项目施工阶段开始至横州市级竣工验收</w:t>
      </w:r>
      <w:r>
        <w:rPr>
          <w:rFonts w:hint="eastAsia" w:ascii="仿宋_GB2312" w:hAnsi="楷体" w:eastAsia="仿宋_GB2312"/>
          <w:color w:val="auto"/>
          <w:sz w:val="24"/>
          <w:highlight w:val="none"/>
        </w:rPr>
        <w:t>；</w:t>
      </w:r>
    </w:p>
    <w:p w14:paraId="29B5DB2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横州市内采购人指定地点</w:t>
      </w:r>
      <w:r>
        <w:rPr>
          <w:rFonts w:hint="eastAsia" w:ascii="仿宋_GB2312" w:hAnsi="楷体" w:eastAsia="仿宋_GB2312"/>
          <w:color w:val="auto"/>
          <w:sz w:val="24"/>
          <w:highlight w:val="none"/>
        </w:rPr>
        <w:t>；</w:t>
      </w:r>
    </w:p>
    <w:p w14:paraId="1E100F2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项目规划和可研编制报告书各一式5份,电子文档1份(PDF及word版)，设计文件提供纸质版图纸一式5份，CAD电子版 </w:t>
      </w:r>
      <w:r>
        <w:rPr>
          <w:rFonts w:hint="eastAsia" w:ascii="仿宋_GB2312" w:hAnsi="楷体" w:eastAsia="仿宋_GB2312"/>
          <w:color w:val="auto"/>
          <w:sz w:val="24"/>
          <w:highlight w:val="none"/>
        </w:rPr>
        <w:t>；</w:t>
      </w:r>
    </w:p>
    <w:p w14:paraId="3B946F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w:t>
      </w:r>
      <w:r>
        <w:rPr>
          <w:rFonts w:ascii="仿宋_GB2312" w:hAnsi="楷体" w:eastAsia="仿宋_GB2312"/>
          <w:color w:val="auto"/>
          <w:sz w:val="24"/>
          <w:highlight w:val="none"/>
        </w:rPr>
        <w:t>4</w:t>
      </w:r>
      <w:r>
        <w:rPr>
          <w:rFonts w:hint="eastAsia" w:ascii="仿宋_GB2312" w:hAnsi="楷体" w:eastAsia="仿宋_GB2312"/>
          <w:color w:val="auto"/>
          <w:sz w:val="24"/>
          <w:highlight w:val="none"/>
        </w:rPr>
        <w:t xml:space="preserve"> 服务及质保期限：</w:t>
      </w:r>
      <w:r>
        <w:rPr>
          <w:rFonts w:hint="eastAsia" w:ascii="仿宋_GB2312" w:hAnsi="楷体" w:eastAsia="仿宋_GB2312"/>
          <w:color w:val="auto"/>
          <w:sz w:val="24"/>
          <w:highlight w:val="none"/>
          <w:u w:val="single"/>
        </w:rPr>
        <w:t xml:space="preserve"> 交付的标的质量应符合本合同1.2.1.3要求;质保期限为自答订合同之日起至 2026-2027 年度横州市水库移民项目全过程工程咨询横州市级竣工验收完成后、施工保修期结束止 </w:t>
      </w:r>
      <w:r>
        <w:rPr>
          <w:rFonts w:hint="eastAsia" w:ascii="仿宋_GB2312" w:hAnsi="楷体" w:eastAsia="仿宋_GB2312"/>
          <w:color w:val="auto"/>
          <w:sz w:val="24"/>
          <w:highlight w:val="none"/>
        </w:rPr>
        <w:t>。</w:t>
      </w:r>
    </w:p>
    <w:p w14:paraId="79917110">
      <w:pPr>
        <w:spacing w:line="360" w:lineRule="auto"/>
        <w:ind w:firstLine="482" w:firstLineChars="200"/>
        <w:rPr>
          <w:rFonts w:hint="eastAsia" w:ascii="仿宋_GB2312" w:hAnsi="楷体" w:eastAsia="仿宋_GB2312"/>
          <w:b/>
          <w:color w:val="auto"/>
          <w:sz w:val="24"/>
          <w:highlight w:val="none"/>
        </w:rPr>
      </w:pPr>
      <w:bookmarkStart w:id="151" w:name="_Toc21423"/>
      <w:bookmarkStart w:id="152" w:name="_Toc19554"/>
      <w:bookmarkStart w:id="153" w:name="_Toc27250"/>
      <w:r>
        <w:rPr>
          <w:rFonts w:hint="eastAsia" w:ascii="仿宋_GB2312" w:hAnsi="楷体" w:eastAsia="仿宋_GB2312"/>
          <w:b/>
          <w:color w:val="auto"/>
          <w:sz w:val="24"/>
          <w:highlight w:val="none"/>
        </w:rPr>
        <w:t>1.6 违约责任</w:t>
      </w:r>
      <w:bookmarkEnd w:id="151"/>
      <w:bookmarkEnd w:id="152"/>
      <w:bookmarkEnd w:id="153"/>
    </w:p>
    <w:p w14:paraId="678518D7">
      <w:pPr>
        <w:spacing w:line="360" w:lineRule="auto"/>
        <w:ind w:firstLine="480" w:firstLineChars="200"/>
        <w:rPr>
          <w:rFonts w:hint="eastAsia" w:ascii="仿宋_GB2312" w:hAnsi="楷体" w:eastAsia="仿宋_GB2312"/>
          <w:color w:val="auto"/>
          <w:sz w:val="24"/>
          <w:highlight w:val="none"/>
        </w:rPr>
      </w:pPr>
      <w:bookmarkStart w:id="154" w:name="_Toc15583"/>
      <w:bookmarkStart w:id="155" w:name="_Toc16021"/>
      <w:bookmarkStart w:id="156" w:name="_Toc28375"/>
      <w:r>
        <w:rPr>
          <w:rFonts w:hint="eastAsia" w:ascii="仿宋_GB2312" w:hAnsi="楷体" w:eastAsia="仿宋_GB2312"/>
          <w:color w:val="auto"/>
          <w:sz w:val="24"/>
          <w:highlight w:val="none"/>
        </w:rPr>
        <w:t xml:space="preserve">1.6.1 除不可抗力外，如果乙方没有按照本合同约定的期限、地点和方式交付标的物，甲方可要求乙方支付违约金，违约金按每迟延交付标的物一日的应交付而未交付标的物价格的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万分之五</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 xml:space="preserve"> %（根据项目实际填写，一般为20%）；迟延超过【</w:t>
      </w:r>
      <w:r>
        <w:rPr>
          <w:rFonts w:hint="eastAsia" w:ascii="仿宋_GB2312" w:hAnsi="楷体" w:eastAsia="仿宋_GB2312"/>
          <w:color w:val="auto"/>
          <w:sz w:val="24"/>
          <w:highlight w:val="none"/>
          <w:u w:val="single"/>
        </w:rPr>
        <w:t xml:space="preserve"> 30 </w:t>
      </w:r>
      <w:r>
        <w:rPr>
          <w:rFonts w:hint="eastAsia" w:ascii="仿宋_GB2312" w:hAnsi="楷体" w:eastAsia="仿宋_GB2312"/>
          <w:color w:val="auto"/>
          <w:sz w:val="24"/>
          <w:highlight w:val="none"/>
        </w:rPr>
        <w:t>】（根据项目实际填写）日的，甲方有权在要求乙方支付违约金的同时，书面通知乙方解除本合同，乙方应退回全部已收取的合同价款并按合同总金额的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（根据项目实际填写，一般为20%）向甲方支付违约金；</w:t>
      </w:r>
    </w:p>
    <w:p w14:paraId="634F070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万分之五</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727C5E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9FFEA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1.6.4乙方在质保期内未按承诺提供售后等服务的，每发生一次向甲方支付违约金额        元。（根据项目实际填写）</w:t>
      </w:r>
    </w:p>
    <w:p w14:paraId="1A7204E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9C48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C99FFC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68EF852">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1.7 合同争议的解决</w:t>
      </w:r>
      <w:bookmarkEnd w:id="154"/>
      <w:bookmarkEnd w:id="155"/>
      <w:bookmarkEnd w:id="156"/>
    </w:p>
    <w:p w14:paraId="11409A0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1.7.2  </w:t>
      </w:r>
      <w:r>
        <w:rPr>
          <w:rFonts w:hint="eastAsia" w:ascii="仿宋_GB2312" w:hAnsi="楷体" w:eastAsia="仿宋_GB2312"/>
          <w:color w:val="auto"/>
          <w:sz w:val="24"/>
          <w:highlight w:val="none"/>
        </w:rPr>
        <w:t>种方式解决：</w:t>
      </w:r>
    </w:p>
    <w:p w14:paraId="120C1A2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4911C2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有管辖权的人民法院起诉。</w:t>
      </w:r>
    </w:p>
    <w:p w14:paraId="0EC0C1C2">
      <w:pPr>
        <w:spacing w:line="360" w:lineRule="auto"/>
        <w:ind w:firstLine="482" w:firstLineChars="200"/>
        <w:rPr>
          <w:rFonts w:hint="eastAsia" w:ascii="仿宋_GB2312" w:hAnsi="楷体" w:eastAsia="仿宋_GB2312"/>
          <w:b/>
          <w:color w:val="auto"/>
          <w:sz w:val="24"/>
          <w:highlight w:val="none"/>
        </w:rPr>
      </w:pPr>
      <w:bookmarkStart w:id="157" w:name="_Toc11173"/>
      <w:bookmarkStart w:id="158" w:name="_Toc7245"/>
      <w:bookmarkStart w:id="159" w:name="_Toc15322"/>
      <w:r>
        <w:rPr>
          <w:rFonts w:hint="eastAsia" w:ascii="仿宋_GB2312" w:hAnsi="楷体" w:eastAsia="仿宋_GB2312"/>
          <w:b/>
          <w:color w:val="auto"/>
          <w:sz w:val="24"/>
          <w:highlight w:val="none"/>
        </w:rPr>
        <w:t>1.8 合同生效</w:t>
      </w:r>
      <w:bookmarkEnd w:id="157"/>
      <w:bookmarkEnd w:id="158"/>
      <w:bookmarkEnd w:id="159"/>
    </w:p>
    <w:p w14:paraId="6DC067E6">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085376F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11700C78">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52434834">
      <w:pPr>
        <w:spacing w:line="360" w:lineRule="auto"/>
        <w:ind w:firstLine="200"/>
        <w:rPr>
          <w:rFonts w:hint="eastAsia" w:ascii="仿宋_GB2312" w:hAnsi="楷体" w:eastAsia="仿宋_GB2312"/>
          <w:color w:val="auto"/>
          <w:sz w:val="24"/>
          <w:highlight w:val="none"/>
          <w:lang w:val="zh-CN"/>
        </w:rPr>
      </w:pPr>
    </w:p>
    <w:p w14:paraId="554DA74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1A550699">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423A07A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14:paraId="5EC07DAC">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599527D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152C4BB8">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5C3D74A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4F0EEC7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165A6E34">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08AD7C12">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4C923C29">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011A99F9">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331CBE2A">
      <w:pPr>
        <w:spacing w:line="360" w:lineRule="auto"/>
        <w:ind w:firstLine="200"/>
        <w:jc w:val="center"/>
        <w:rPr>
          <w:rFonts w:hint="eastAsia" w:ascii="仿宋_GB2312" w:hAnsi="楷体" w:eastAsia="仿宋_GB2312"/>
          <w:b/>
          <w:color w:val="auto"/>
          <w:sz w:val="28"/>
          <w:szCs w:val="28"/>
          <w:highlight w:val="none"/>
        </w:rPr>
      </w:pPr>
      <w:bookmarkStart w:id="160" w:name="_Toc331685783"/>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bookmarkEnd w:id="160"/>
    </w:p>
    <w:p w14:paraId="4FE2FBA8">
      <w:pPr>
        <w:spacing w:line="360" w:lineRule="auto"/>
        <w:ind w:firstLine="482" w:firstLineChars="200"/>
        <w:rPr>
          <w:rFonts w:hint="eastAsia" w:ascii="仿宋_GB2312" w:hAnsi="楷体" w:eastAsia="仿宋_GB2312"/>
          <w:b/>
          <w:color w:val="auto"/>
          <w:sz w:val="24"/>
          <w:highlight w:val="none"/>
        </w:rPr>
      </w:pPr>
      <w:bookmarkStart w:id="161" w:name="_Toc16917"/>
      <w:bookmarkStart w:id="162" w:name="_Toc19614"/>
      <w:bookmarkStart w:id="163" w:name="_Ref467379214"/>
      <w:bookmarkStart w:id="164" w:name="_Ref467379225"/>
      <w:bookmarkStart w:id="165" w:name="_Toc259093669"/>
      <w:bookmarkStart w:id="166" w:name="_Ref467379101"/>
      <w:bookmarkStart w:id="167" w:name="_Ref467379195"/>
      <w:bookmarkStart w:id="168" w:name="_Ref467379094"/>
      <w:bookmarkStart w:id="169" w:name="_Ref467379109"/>
      <w:bookmarkStart w:id="170" w:name="_Toc279701240"/>
      <w:bookmarkStart w:id="171" w:name="_Toc487900349"/>
      <w:bookmarkStart w:id="172" w:name="_Ref467379205"/>
      <w:bookmarkStart w:id="173" w:name="_Ref467378463"/>
      <w:bookmarkStart w:id="174" w:name="_Toc28763"/>
      <w:bookmarkStart w:id="175" w:name="_Ref467378499"/>
      <w:bookmarkStart w:id="176" w:name="_Ref467378404"/>
      <w:r>
        <w:rPr>
          <w:rFonts w:hint="eastAsia" w:ascii="仿宋_GB2312" w:hAnsi="楷体" w:eastAsia="仿宋_GB2312"/>
          <w:b/>
          <w:color w:val="auto"/>
          <w:sz w:val="24"/>
          <w:highlight w:val="none"/>
        </w:rPr>
        <w:t>2.1 定义</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968160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2A96206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18ABF3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4868E07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4FBBD12">
      <w:pPr>
        <w:spacing w:line="360" w:lineRule="auto"/>
        <w:ind w:firstLine="480" w:firstLineChars="200"/>
        <w:rPr>
          <w:rFonts w:hint="eastAsia" w:ascii="仿宋_GB2312" w:hAnsi="楷体" w:eastAsia="仿宋_GB2312"/>
          <w:color w:val="auto"/>
          <w:sz w:val="24"/>
          <w:highlight w:val="none"/>
        </w:rPr>
      </w:pPr>
      <w:bookmarkStart w:id="177" w:name="_Ref467378840"/>
      <w:r>
        <w:rPr>
          <w:rFonts w:hint="eastAsia" w:ascii="仿宋_GB2312" w:hAnsi="楷体" w:eastAsia="仿宋_GB2312"/>
          <w:color w:val="auto"/>
          <w:sz w:val="24"/>
          <w:highlight w:val="none"/>
        </w:rPr>
        <w:t>2.1.4 “甲方”系指与中标人签署合同的采购人</w:t>
      </w:r>
      <w:bookmarkEnd w:id="177"/>
      <w:r>
        <w:rPr>
          <w:rFonts w:hint="eastAsia" w:ascii="仿宋_GB2312" w:hAnsi="楷体" w:eastAsia="仿宋_GB2312"/>
          <w:color w:val="auto"/>
          <w:sz w:val="24"/>
          <w:highlight w:val="none"/>
        </w:rPr>
        <w:t>；采购人委托采购机构代表其与乙方签订合同的，采购人的授权委托书作为合同附件。</w:t>
      </w:r>
    </w:p>
    <w:p w14:paraId="3D6BA469">
      <w:pPr>
        <w:spacing w:line="360" w:lineRule="auto"/>
        <w:ind w:firstLine="480" w:firstLineChars="200"/>
        <w:rPr>
          <w:rFonts w:hint="eastAsia" w:ascii="仿宋_GB2312" w:hAnsi="楷体" w:eastAsia="仿宋_GB2312"/>
          <w:color w:val="auto"/>
          <w:sz w:val="24"/>
          <w:highlight w:val="none"/>
        </w:rPr>
      </w:pPr>
      <w:bookmarkStart w:id="178" w:name="_Ref467379400"/>
      <w:r>
        <w:rPr>
          <w:rFonts w:hint="eastAsia" w:ascii="仿宋_GB2312" w:hAnsi="楷体" w:eastAsia="仿宋_GB2312"/>
          <w:color w:val="auto"/>
          <w:sz w:val="24"/>
          <w:highlight w:val="none"/>
        </w:rPr>
        <w:t>2.1.5 “乙方”系指根据合同约定交付标的物的</w:t>
      </w:r>
      <w:bookmarkEnd w:id="178"/>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54CA001">
      <w:pPr>
        <w:spacing w:line="360" w:lineRule="auto"/>
        <w:ind w:firstLine="480" w:firstLineChars="200"/>
        <w:rPr>
          <w:rFonts w:hint="eastAsia" w:ascii="仿宋_GB2312" w:hAnsi="楷体" w:eastAsia="仿宋_GB2312"/>
          <w:color w:val="auto"/>
          <w:sz w:val="24"/>
          <w:highlight w:val="none"/>
        </w:rPr>
      </w:pPr>
      <w:bookmarkStart w:id="179" w:name="_Ref467379436"/>
      <w:r>
        <w:rPr>
          <w:rFonts w:hint="eastAsia" w:ascii="仿宋_GB2312" w:hAnsi="楷体" w:eastAsia="仿宋_GB2312"/>
          <w:color w:val="auto"/>
          <w:sz w:val="24"/>
          <w:highlight w:val="none"/>
        </w:rPr>
        <w:t>2.1.6 “现场”系指合同约定标的物将要运至或者实施或者安装的地点。</w:t>
      </w:r>
      <w:bookmarkEnd w:id="179"/>
    </w:p>
    <w:p w14:paraId="564BC968">
      <w:pPr>
        <w:spacing w:line="360" w:lineRule="auto"/>
        <w:ind w:firstLine="482" w:firstLineChars="200"/>
        <w:rPr>
          <w:rFonts w:hint="eastAsia" w:ascii="仿宋_GB2312" w:hAnsi="楷体" w:eastAsia="仿宋_GB2312"/>
          <w:b/>
          <w:color w:val="auto"/>
          <w:sz w:val="24"/>
          <w:highlight w:val="none"/>
        </w:rPr>
      </w:pPr>
      <w:bookmarkStart w:id="180" w:name="_Toc487900350"/>
      <w:bookmarkStart w:id="181" w:name="_Toc13336"/>
      <w:bookmarkStart w:id="182" w:name="_Toc279701241"/>
      <w:bookmarkStart w:id="183" w:name="_Toc27635"/>
      <w:bookmarkStart w:id="184" w:name="_Toc32504"/>
      <w:bookmarkStart w:id="185" w:name="_Toc259093670"/>
      <w:r>
        <w:rPr>
          <w:rFonts w:hint="eastAsia" w:ascii="仿宋_GB2312" w:hAnsi="楷体" w:eastAsia="仿宋_GB2312"/>
          <w:b/>
          <w:color w:val="auto"/>
          <w:sz w:val="24"/>
          <w:highlight w:val="none"/>
        </w:rPr>
        <w:t>2.2 技术规范</w:t>
      </w:r>
      <w:bookmarkEnd w:id="180"/>
      <w:bookmarkEnd w:id="181"/>
      <w:bookmarkEnd w:id="182"/>
      <w:bookmarkEnd w:id="183"/>
      <w:bookmarkEnd w:id="184"/>
      <w:bookmarkEnd w:id="185"/>
    </w:p>
    <w:p w14:paraId="4E0054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83845FD">
      <w:pPr>
        <w:spacing w:line="360" w:lineRule="auto"/>
        <w:ind w:firstLine="482" w:firstLineChars="200"/>
        <w:rPr>
          <w:rFonts w:hint="eastAsia" w:ascii="仿宋_GB2312" w:hAnsi="楷体" w:eastAsia="仿宋_GB2312"/>
          <w:b/>
          <w:color w:val="auto"/>
          <w:sz w:val="24"/>
          <w:highlight w:val="none"/>
        </w:rPr>
      </w:pPr>
      <w:bookmarkStart w:id="186" w:name="_Toc31634"/>
      <w:bookmarkStart w:id="187" w:name="_Toc487900351"/>
      <w:bookmarkStart w:id="188" w:name="_Toc27853"/>
      <w:bookmarkStart w:id="189" w:name="_Toc9829"/>
      <w:bookmarkStart w:id="190" w:name="_Toc279701242"/>
      <w:bookmarkStart w:id="191" w:name="_Toc259093671"/>
      <w:r>
        <w:rPr>
          <w:rFonts w:hint="eastAsia" w:ascii="仿宋_GB2312" w:hAnsi="楷体" w:eastAsia="仿宋_GB2312"/>
          <w:b/>
          <w:color w:val="auto"/>
          <w:sz w:val="24"/>
          <w:highlight w:val="none"/>
        </w:rPr>
        <w:t>2.3 知识产权</w:t>
      </w:r>
      <w:bookmarkEnd w:id="186"/>
      <w:bookmarkEnd w:id="187"/>
      <w:bookmarkEnd w:id="188"/>
      <w:bookmarkEnd w:id="189"/>
      <w:bookmarkEnd w:id="190"/>
      <w:bookmarkEnd w:id="191"/>
    </w:p>
    <w:p w14:paraId="4B81083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62BC91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FFF9244">
      <w:pPr>
        <w:spacing w:line="360" w:lineRule="auto"/>
        <w:ind w:firstLine="482" w:firstLineChars="200"/>
        <w:rPr>
          <w:rFonts w:hint="eastAsia" w:ascii="仿宋_GB2312" w:hAnsi="楷体" w:eastAsia="仿宋_GB2312"/>
          <w:b/>
          <w:color w:val="auto"/>
          <w:sz w:val="24"/>
          <w:highlight w:val="none"/>
        </w:rPr>
      </w:pPr>
      <w:bookmarkStart w:id="192" w:name="_Toc11932"/>
      <w:bookmarkStart w:id="193" w:name="_Toc4194"/>
      <w:bookmarkStart w:id="194" w:name="_Toc29149"/>
      <w:r>
        <w:rPr>
          <w:rFonts w:hint="eastAsia" w:ascii="仿宋_GB2312" w:hAnsi="楷体" w:eastAsia="仿宋_GB2312"/>
          <w:b/>
          <w:color w:val="auto"/>
          <w:sz w:val="24"/>
          <w:highlight w:val="none"/>
        </w:rPr>
        <w:t>2.4 包装和装运</w:t>
      </w:r>
      <w:bookmarkEnd w:id="192"/>
      <w:bookmarkEnd w:id="193"/>
      <w:bookmarkEnd w:id="194"/>
    </w:p>
    <w:p w14:paraId="3BB4EDF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B6A4BA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30CD687">
      <w:pPr>
        <w:spacing w:line="360" w:lineRule="auto"/>
        <w:ind w:firstLine="482" w:firstLineChars="200"/>
        <w:rPr>
          <w:rFonts w:hint="eastAsia" w:ascii="仿宋_GB2312" w:hAnsi="楷体" w:eastAsia="仿宋_GB2312"/>
          <w:b/>
          <w:color w:val="auto"/>
          <w:sz w:val="24"/>
          <w:highlight w:val="none"/>
        </w:rPr>
      </w:pPr>
      <w:bookmarkStart w:id="195" w:name="_Ref467378591"/>
      <w:bookmarkStart w:id="196" w:name="_Ref467379542"/>
      <w:bookmarkStart w:id="197" w:name="_Ref467379527"/>
      <w:bookmarkStart w:id="198" w:name="_Ref467378541"/>
      <w:bookmarkStart w:id="199" w:name="_Toc279701245"/>
      <w:bookmarkStart w:id="200" w:name="_Toc487900354"/>
      <w:bookmarkStart w:id="201" w:name="_Toc259093674"/>
      <w:bookmarkStart w:id="202" w:name="_Ref467379536"/>
      <w:bookmarkStart w:id="203" w:name="_Toc30272"/>
      <w:bookmarkStart w:id="204" w:name="_Toc19074"/>
      <w:bookmarkStart w:id="205" w:name="_Toc26182"/>
      <w:r>
        <w:rPr>
          <w:rFonts w:hint="eastAsia" w:ascii="仿宋_GB2312" w:hAnsi="楷体" w:eastAsia="仿宋_GB2312"/>
          <w:b/>
          <w:color w:val="auto"/>
          <w:sz w:val="24"/>
          <w:highlight w:val="none"/>
        </w:rPr>
        <w:t>2.</w:t>
      </w:r>
      <w:bookmarkEnd w:id="195"/>
      <w:bookmarkEnd w:id="196"/>
      <w:bookmarkEnd w:id="197"/>
      <w:bookmarkEnd w:id="198"/>
      <w:bookmarkEnd w:id="199"/>
      <w:bookmarkEnd w:id="200"/>
      <w:bookmarkEnd w:id="201"/>
      <w:bookmarkEnd w:id="202"/>
      <w:r>
        <w:rPr>
          <w:rFonts w:hint="eastAsia" w:ascii="仿宋_GB2312" w:hAnsi="楷体" w:eastAsia="仿宋_GB2312"/>
          <w:b/>
          <w:color w:val="auto"/>
          <w:sz w:val="24"/>
          <w:highlight w:val="none"/>
        </w:rPr>
        <w:t>5 履约检查和问题反馈</w:t>
      </w:r>
      <w:bookmarkEnd w:id="203"/>
      <w:bookmarkEnd w:id="204"/>
      <w:bookmarkEnd w:id="205"/>
    </w:p>
    <w:p w14:paraId="559F8E23">
      <w:pPr>
        <w:spacing w:line="360" w:lineRule="auto"/>
        <w:ind w:firstLine="480" w:firstLineChars="200"/>
        <w:rPr>
          <w:rFonts w:hint="eastAsia" w:ascii="仿宋_GB2312" w:hAnsi="楷体" w:eastAsia="仿宋_GB2312"/>
          <w:color w:val="auto"/>
          <w:sz w:val="24"/>
          <w:highlight w:val="none"/>
        </w:rPr>
      </w:pPr>
      <w:bookmarkStart w:id="206" w:name="_Ref467379657"/>
      <w:r>
        <w:rPr>
          <w:rFonts w:hint="eastAsia" w:ascii="仿宋_GB2312" w:hAnsi="楷体" w:eastAsia="仿宋_GB2312"/>
          <w:color w:val="auto"/>
          <w:sz w:val="24"/>
          <w:highlight w:val="none"/>
        </w:rPr>
        <w:t>2.5.1</w:t>
      </w:r>
      <w:bookmarkEnd w:id="206"/>
      <w:bookmarkStart w:id="207" w:name="_Toc186431854"/>
      <w:bookmarkStart w:id="208" w:name="_Ref467379793"/>
      <w:bookmarkStart w:id="209" w:name="_Toc259093676"/>
      <w:bookmarkStart w:id="210" w:name="_Toc487900357"/>
      <w:bookmarkStart w:id="211" w:name="_Toc279701247"/>
      <w:bookmarkStart w:id="212" w:name="_Ref46737980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B28EA2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207"/>
      <w:bookmarkStart w:id="213" w:name="_Toc186431855"/>
      <w:r>
        <w:rPr>
          <w:rFonts w:hint="eastAsia" w:ascii="仿宋_GB2312" w:hAnsi="楷体" w:eastAsia="仿宋_GB2312"/>
          <w:color w:val="auto"/>
          <w:sz w:val="24"/>
          <w:highlight w:val="none"/>
        </w:rPr>
        <w:t>。</w:t>
      </w:r>
    </w:p>
    <w:bookmarkEnd w:id="213"/>
    <w:p w14:paraId="50AFCA55">
      <w:pPr>
        <w:spacing w:line="360" w:lineRule="auto"/>
        <w:ind w:firstLine="482" w:firstLineChars="200"/>
        <w:rPr>
          <w:rFonts w:hint="eastAsia" w:ascii="仿宋_GB2312" w:hAnsi="楷体" w:eastAsia="仿宋_GB2312"/>
          <w:b/>
          <w:color w:val="auto"/>
          <w:sz w:val="24"/>
          <w:highlight w:val="none"/>
        </w:rPr>
      </w:pPr>
      <w:bookmarkStart w:id="214" w:name="_Toc28451"/>
      <w:bookmarkStart w:id="215" w:name="_Toc19219"/>
      <w:bookmarkStart w:id="216" w:name="_Toc7836"/>
      <w:r>
        <w:rPr>
          <w:rFonts w:hint="eastAsia" w:ascii="仿宋_GB2312" w:hAnsi="楷体" w:eastAsia="仿宋_GB2312"/>
          <w:b/>
          <w:color w:val="auto"/>
          <w:sz w:val="24"/>
          <w:highlight w:val="none"/>
        </w:rPr>
        <w:t>2.6 结算方式和付款条件</w:t>
      </w:r>
      <w:bookmarkEnd w:id="208"/>
      <w:bookmarkEnd w:id="209"/>
      <w:bookmarkEnd w:id="210"/>
      <w:bookmarkEnd w:id="211"/>
      <w:bookmarkEnd w:id="212"/>
      <w:bookmarkEnd w:id="214"/>
      <w:bookmarkEnd w:id="215"/>
      <w:bookmarkEnd w:id="216"/>
    </w:p>
    <w:p w14:paraId="101E527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3803CBE">
      <w:pPr>
        <w:spacing w:line="360" w:lineRule="auto"/>
        <w:ind w:firstLine="482" w:firstLineChars="200"/>
        <w:rPr>
          <w:rFonts w:hint="eastAsia" w:ascii="仿宋_GB2312" w:hAnsi="楷体" w:eastAsia="仿宋_GB2312"/>
          <w:b/>
          <w:color w:val="auto"/>
          <w:sz w:val="24"/>
          <w:highlight w:val="none"/>
        </w:rPr>
      </w:pPr>
      <w:bookmarkStart w:id="217" w:name="_Ref467379852"/>
      <w:bookmarkStart w:id="218" w:name="_Toc259093677"/>
      <w:bookmarkStart w:id="219" w:name="_Toc279701248"/>
      <w:bookmarkStart w:id="220" w:name="_Toc487900358"/>
      <w:bookmarkStart w:id="221" w:name="_Ref467379863"/>
      <w:bookmarkStart w:id="222" w:name="_Ref467379923"/>
      <w:bookmarkStart w:id="223" w:name="_Toc16110"/>
      <w:bookmarkStart w:id="224" w:name="_Toc3225"/>
      <w:bookmarkStart w:id="225" w:name="_Toc774"/>
      <w:r>
        <w:rPr>
          <w:rFonts w:hint="eastAsia" w:ascii="仿宋_GB2312" w:hAnsi="楷体" w:eastAsia="仿宋_GB2312"/>
          <w:b/>
          <w:color w:val="auto"/>
          <w:sz w:val="24"/>
          <w:highlight w:val="none"/>
        </w:rPr>
        <w:t>2.7 技术资料</w:t>
      </w:r>
      <w:bookmarkEnd w:id="217"/>
      <w:bookmarkEnd w:id="218"/>
      <w:bookmarkEnd w:id="219"/>
      <w:bookmarkEnd w:id="220"/>
      <w:bookmarkEnd w:id="221"/>
      <w:bookmarkEnd w:id="222"/>
      <w:r>
        <w:rPr>
          <w:rFonts w:hint="eastAsia" w:ascii="仿宋_GB2312" w:hAnsi="楷体" w:eastAsia="仿宋_GB2312"/>
          <w:b/>
          <w:color w:val="auto"/>
          <w:sz w:val="24"/>
          <w:highlight w:val="none"/>
        </w:rPr>
        <w:t>和保密义务</w:t>
      </w:r>
      <w:bookmarkEnd w:id="223"/>
      <w:bookmarkEnd w:id="224"/>
      <w:bookmarkEnd w:id="225"/>
    </w:p>
    <w:p w14:paraId="4D2ECE7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4E931E6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177EFB6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CC58DAE">
      <w:pPr>
        <w:spacing w:line="360" w:lineRule="auto"/>
        <w:ind w:firstLine="482" w:firstLineChars="200"/>
        <w:rPr>
          <w:rFonts w:hint="eastAsia" w:ascii="仿宋_GB2312" w:hAnsi="楷体" w:eastAsia="仿宋_GB2312"/>
          <w:b/>
          <w:color w:val="auto"/>
          <w:sz w:val="24"/>
          <w:highlight w:val="none"/>
        </w:rPr>
      </w:pPr>
      <w:bookmarkStart w:id="226" w:name="_Toc7860"/>
      <w:r>
        <w:rPr>
          <w:rFonts w:hint="eastAsia" w:ascii="仿宋_GB2312" w:hAnsi="楷体" w:eastAsia="仿宋_GB2312"/>
          <w:b/>
          <w:color w:val="auto"/>
          <w:sz w:val="24"/>
          <w:highlight w:val="none"/>
        </w:rPr>
        <w:t>2.8 质量保证</w:t>
      </w:r>
      <w:bookmarkEnd w:id="226"/>
    </w:p>
    <w:p w14:paraId="2CCDFDA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2CBC345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38D2677E">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3E7987C8">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 xml:space="preserve"> 30%  </w:t>
      </w:r>
      <w:r>
        <w:rPr>
          <w:rFonts w:hint="eastAsia" w:ascii="仿宋_GB2312" w:hAnsi="仿宋" w:eastAsia="仿宋_GB2312"/>
          <w:color w:val="auto"/>
          <w:sz w:val="24"/>
          <w:highlight w:val="none"/>
        </w:rPr>
        <w:t>（根据项目实际情况填写，一般为30%）。</w:t>
      </w:r>
    </w:p>
    <w:p w14:paraId="46056658">
      <w:pPr>
        <w:spacing w:line="360" w:lineRule="auto"/>
        <w:ind w:firstLine="482" w:firstLineChars="200"/>
        <w:rPr>
          <w:rFonts w:hint="eastAsia" w:ascii="仿宋_GB2312" w:hAnsi="楷体" w:eastAsia="仿宋_GB2312"/>
          <w:b/>
          <w:color w:val="auto"/>
          <w:sz w:val="24"/>
          <w:highlight w:val="none"/>
        </w:rPr>
      </w:pPr>
      <w:bookmarkStart w:id="227" w:name="_Toc17244"/>
      <w:bookmarkStart w:id="228" w:name="_Toc279701252"/>
      <w:bookmarkStart w:id="229" w:name="_Toc259093681"/>
      <w:bookmarkStart w:id="230" w:name="_Toc487900362"/>
      <w:r>
        <w:rPr>
          <w:rFonts w:hint="eastAsia" w:ascii="仿宋_GB2312" w:hAnsi="楷体" w:eastAsia="仿宋_GB2312"/>
          <w:b/>
          <w:color w:val="auto"/>
          <w:sz w:val="24"/>
          <w:highlight w:val="none"/>
        </w:rPr>
        <w:t>2.9 标的物的风险负担</w:t>
      </w:r>
      <w:bookmarkEnd w:id="227"/>
    </w:p>
    <w:p w14:paraId="3310920C">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E58CFA8">
      <w:pPr>
        <w:spacing w:line="360" w:lineRule="auto"/>
        <w:ind w:firstLine="482" w:firstLineChars="200"/>
        <w:rPr>
          <w:rFonts w:hint="eastAsia" w:ascii="仿宋_GB2312" w:hAnsi="楷体" w:eastAsia="仿宋_GB2312"/>
          <w:b/>
          <w:color w:val="auto"/>
          <w:sz w:val="24"/>
          <w:highlight w:val="none"/>
        </w:rPr>
      </w:pPr>
      <w:bookmarkStart w:id="231" w:name="_Toc14055"/>
      <w:r>
        <w:rPr>
          <w:rFonts w:hint="eastAsia" w:ascii="仿宋_GB2312" w:hAnsi="楷体" w:eastAsia="仿宋_GB2312"/>
          <w:b/>
          <w:color w:val="auto"/>
          <w:sz w:val="24"/>
          <w:highlight w:val="none"/>
        </w:rPr>
        <w:t>2.10 延迟交货</w:t>
      </w:r>
      <w:bookmarkEnd w:id="228"/>
      <w:bookmarkEnd w:id="229"/>
      <w:bookmarkEnd w:id="230"/>
      <w:bookmarkEnd w:id="231"/>
      <w:r>
        <w:rPr>
          <w:rFonts w:hint="eastAsia" w:ascii="仿宋_GB2312" w:hAnsi="楷体" w:eastAsia="仿宋_GB2312"/>
          <w:b/>
          <w:color w:val="auto"/>
          <w:sz w:val="24"/>
          <w:highlight w:val="none"/>
        </w:rPr>
        <w:t>/交付</w:t>
      </w:r>
    </w:p>
    <w:p w14:paraId="1588126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C7239AD">
      <w:pPr>
        <w:spacing w:line="360" w:lineRule="auto"/>
        <w:ind w:firstLine="482" w:firstLineChars="200"/>
        <w:rPr>
          <w:rFonts w:hint="eastAsia" w:ascii="仿宋_GB2312" w:hAnsi="楷体" w:eastAsia="仿宋_GB2312"/>
          <w:b/>
          <w:color w:val="auto"/>
          <w:sz w:val="24"/>
          <w:highlight w:val="none"/>
        </w:rPr>
      </w:pPr>
      <w:bookmarkStart w:id="232" w:name="_Toc7502"/>
      <w:bookmarkStart w:id="233" w:name="_Ref467378121"/>
      <w:bookmarkStart w:id="234" w:name="_Toc279701254"/>
      <w:bookmarkStart w:id="235" w:name="_Toc487900364"/>
      <w:bookmarkStart w:id="236" w:name="_Toc259093683"/>
      <w:r>
        <w:rPr>
          <w:rFonts w:hint="eastAsia" w:ascii="仿宋_GB2312" w:hAnsi="楷体" w:eastAsia="仿宋_GB2312"/>
          <w:b/>
          <w:color w:val="auto"/>
          <w:sz w:val="24"/>
          <w:highlight w:val="none"/>
        </w:rPr>
        <w:t>2.11 合同变更</w:t>
      </w:r>
      <w:bookmarkEnd w:id="232"/>
    </w:p>
    <w:p w14:paraId="04C548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0B212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37" w:name="_Toc259093688"/>
      <w:bookmarkStart w:id="238" w:name="_Toc279701259"/>
      <w:bookmarkStart w:id="239" w:name="_Toc487900369"/>
    </w:p>
    <w:p w14:paraId="326C369E">
      <w:pPr>
        <w:spacing w:line="360" w:lineRule="auto"/>
        <w:ind w:firstLine="482" w:firstLineChars="200"/>
        <w:rPr>
          <w:rFonts w:hint="eastAsia" w:ascii="仿宋_GB2312" w:hAnsi="楷体" w:eastAsia="仿宋_GB2312"/>
          <w:b/>
          <w:color w:val="auto"/>
          <w:sz w:val="24"/>
          <w:highlight w:val="none"/>
        </w:rPr>
      </w:pPr>
      <w:bookmarkStart w:id="240" w:name="_Toc15237"/>
      <w:bookmarkStart w:id="241" w:name="_Toc22955"/>
      <w:bookmarkStart w:id="242" w:name="_Toc10366"/>
      <w:r>
        <w:rPr>
          <w:rFonts w:hint="eastAsia" w:ascii="仿宋_GB2312" w:hAnsi="楷体" w:eastAsia="仿宋_GB2312"/>
          <w:b/>
          <w:color w:val="auto"/>
          <w:sz w:val="24"/>
          <w:highlight w:val="none"/>
        </w:rPr>
        <w:t>2.12 合同转让</w:t>
      </w:r>
      <w:bookmarkEnd w:id="237"/>
      <w:bookmarkEnd w:id="238"/>
      <w:bookmarkEnd w:id="239"/>
      <w:r>
        <w:rPr>
          <w:rFonts w:hint="eastAsia" w:ascii="仿宋_GB2312" w:hAnsi="楷体" w:eastAsia="仿宋_GB2312"/>
          <w:b/>
          <w:color w:val="auto"/>
          <w:sz w:val="24"/>
          <w:highlight w:val="none"/>
        </w:rPr>
        <w:t>和分包</w:t>
      </w:r>
      <w:bookmarkEnd w:id="240"/>
      <w:bookmarkEnd w:id="241"/>
      <w:bookmarkEnd w:id="242"/>
    </w:p>
    <w:p w14:paraId="22B0C05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6BB6427">
      <w:pPr>
        <w:spacing w:line="360" w:lineRule="auto"/>
        <w:ind w:firstLine="482" w:firstLineChars="200"/>
        <w:rPr>
          <w:rFonts w:hint="eastAsia" w:ascii="仿宋_GB2312" w:hAnsi="楷体" w:eastAsia="仿宋_GB2312"/>
          <w:b/>
          <w:color w:val="auto"/>
          <w:sz w:val="24"/>
          <w:highlight w:val="none"/>
        </w:rPr>
      </w:pPr>
      <w:bookmarkStart w:id="243" w:name="_Toc13566"/>
      <w:bookmarkStart w:id="244" w:name="_Toc16508"/>
      <w:bookmarkStart w:id="245" w:name="_Toc14066"/>
      <w:r>
        <w:rPr>
          <w:rFonts w:hint="eastAsia" w:ascii="仿宋_GB2312" w:hAnsi="楷体" w:eastAsia="仿宋_GB2312"/>
          <w:b/>
          <w:color w:val="auto"/>
          <w:sz w:val="24"/>
          <w:highlight w:val="none"/>
        </w:rPr>
        <w:t>2.13 不可抗力</w:t>
      </w:r>
      <w:bookmarkEnd w:id="243"/>
      <w:bookmarkEnd w:id="244"/>
      <w:bookmarkEnd w:id="245"/>
    </w:p>
    <w:p w14:paraId="3AE29F8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79FC1B7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7F50851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4B8BA8E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704D91C2">
      <w:pPr>
        <w:spacing w:line="360" w:lineRule="auto"/>
        <w:ind w:firstLine="482" w:firstLineChars="200"/>
        <w:rPr>
          <w:rFonts w:hint="eastAsia" w:ascii="仿宋_GB2312" w:hAnsi="楷体" w:eastAsia="仿宋_GB2312"/>
          <w:b/>
          <w:color w:val="auto"/>
          <w:sz w:val="24"/>
          <w:highlight w:val="none"/>
        </w:rPr>
      </w:pPr>
      <w:bookmarkStart w:id="246" w:name="_Toc6969"/>
      <w:bookmarkStart w:id="247" w:name="_Toc487900365"/>
      <w:bookmarkStart w:id="248" w:name="_Toc259093684"/>
      <w:bookmarkStart w:id="249" w:name="_Toc279701255"/>
      <w:bookmarkStart w:id="250" w:name="_Toc30676"/>
      <w:bookmarkStart w:id="251" w:name="_Toc689"/>
      <w:r>
        <w:rPr>
          <w:rFonts w:hint="eastAsia" w:ascii="仿宋_GB2312" w:hAnsi="楷体" w:eastAsia="仿宋_GB2312"/>
          <w:b/>
          <w:color w:val="auto"/>
          <w:sz w:val="24"/>
          <w:highlight w:val="none"/>
        </w:rPr>
        <w:t>2.14 税费</w:t>
      </w:r>
      <w:bookmarkEnd w:id="246"/>
      <w:bookmarkEnd w:id="247"/>
      <w:bookmarkEnd w:id="248"/>
      <w:bookmarkEnd w:id="249"/>
      <w:bookmarkEnd w:id="250"/>
      <w:bookmarkEnd w:id="251"/>
    </w:p>
    <w:p w14:paraId="7DD675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41AEB938">
      <w:pPr>
        <w:spacing w:line="360" w:lineRule="auto"/>
        <w:ind w:firstLine="482" w:firstLineChars="200"/>
        <w:rPr>
          <w:rFonts w:hint="eastAsia" w:ascii="仿宋_GB2312" w:hAnsi="楷体" w:eastAsia="仿宋_GB2312"/>
          <w:b/>
          <w:color w:val="auto"/>
          <w:sz w:val="24"/>
          <w:highlight w:val="none"/>
        </w:rPr>
      </w:pPr>
      <w:bookmarkStart w:id="252" w:name="_Toc8298"/>
      <w:bookmarkStart w:id="253" w:name="_Toc259093687"/>
      <w:bookmarkStart w:id="254" w:name="_Toc487900368"/>
      <w:bookmarkStart w:id="255" w:name="_Toc7102"/>
      <w:bookmarkStart w:id="256" w:name="_Toc16959"/>
      <w:bookmarkStart w:id="257" w:name="_Toc279701258"/>
      <w:r>
        <w:rPr>
          <w:rFonts w:hint="eastAsia" w:ascii="仿宋_GB2312" w:hAnsi="楷体" w:eastAsia="仿宋_GB2312"/>
          <w:b/>
          <w:color w:val="auto"/>
          <w:sz w:val="24"/>
          <w:highlight w:val="none"/>
        </w:rPr>
        <w:t>2.15 乙方破产</w:t>
      </w:r>
      <w:bookmarkEnd w:id="252"/>
      <w:bookmarkEnd w:id="253"/>
      <w:bookmarkEnd w:id="254"/>
      <w:bookmarkEnd w:id="255"/>
      <w:bookmarkEnd w:id="256"/>
      <w:bookmarkEnd w:id="257"/>
    </w:p>
    <w:p w14:paraId="00E91AA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09C8017">
      <w:pPr>
        <w:spacing w:line="360" w:lineRule="auto"/>
        <w:ind w:firstLine="482" w:firstLineChars="200"/>
        <w:rPr>
          <w:rFonts w:hint="eastAsia" w:ascii="仿宋_GB2312" w:hAnsi="楷体" w:eastAsia="仿宋_GB2312"/>
          <w:b/>
          <w:color w:val="auto"/>
          <w:sz w:val="24"/>
          <w:highlight w:val="none"/>
        </w:rPr>
      </w:pPr>
      <w:bookmarkStart w:id="258" w:name="_Toc29333"/>
      <w:bookmarkStart w:id="259" w:name="_Toc6134"/>
      <w:bookmarkStart w:id="260" w:name="_Toc15387"/>
      <w:r>
        <w:rPr>
          <w:rFonts w:hint="eastAsia" w:ascii="仿宋_GB2312" w:hAnsi="楷体" w:eastAsia="仿宋_GB2312"/>
          <w:b/>
          <w:color w:val="auto"/>
          <w:sz w:val="24"/>
          <w:highlight w:val="none"/>
        </w:rPr>
        <w:t>2.16 合同中止、终止</w:t>
      </w:r>
      <w:bookmarkEnd w:id="258"/>
      <w:bookmarkEnd w:id="259"/>
      <w:bookmarkEnd w:id="260"/>
    </w:p>
    <w:p w14:paraId="036683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127205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4591EB40">
      <w:pPr>
        <w:spacing w:line="360" w:lineRule="auto"/>
        <w:ind w:firstLine="482" w:firstLineChars="200"/>
        <w:rPr>
          <w:rFonts w:hint="eastAsia" w:ascii="仿宋_GB2312" w:hAnsi="楷体" w:eastAsia="仿宋_GB2312"/>
          <w:b/>
          <w:color w:val="auto"/>
          <w:sz w:val="24"/>
          <w:highlight w:val="none"/>
        </w:rPr>
      </w:pPr>
      <w:bookmarkStart w:id="261" w:name="_Toc6596"/>
      <w:bookmarkStart w:id="262" w:name="_Toc14563"/>
      <w:bookmarkStart w:id="263" w:name="_Toc1125"/>
      <w:r>
        <w:rPr>
          <w:rFonts w:hint="eastAsia" w:ascii="仿宋_GB2312" w:hAnsi="楷体" w:eastAsia="仿宋_GB2312"/>
          <w:b/>
          <w:color w:val="auto"/>
          <w:sz w:val="24"/>
          <w:highlight w:val="none"/>
        </w:rPr>
        <w:t>2.17 检验和验收</w:t>
      </w:r>
      <w:bookmarkEnd w:id="261"/>
      <w:bookmarkEnd w:id="262"/>
      <w:bookmarkEnd w:id="263"/>
    </w:p>
    <w:p w14:paraId="53763F9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5D6E29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77090E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233"/>
    <w:bookmarkEnd w:id="234"/>
    <w:bookmarkEnd w:id="235"/>
    <w:bookmarkEnd w:id="236"/>
    <w:p w14:paraId="1BB36C63">
      <w:pPr>
        <w:spacing w:line="360" w:lineRule="auto"/>
        <w:ind w:firstLine="482" w:firstLineChars="200"/>
        <w:rPr>
          <w:rFonts w:hint="eastAsia" w:ascii="仿宋_GB2312" w:hAnsi="楷体" w:eastAsia="仿宋_GB2312"/>
          <w:b/>
          <w:color w:val="auto"/>
          <w:sz w:val="24"/>
          <w:highlight w:val="none"/>
        </w:rPr>
      </w:pPr>
      <w:bookmarkStart w:id="264" w:name="_Toc487900371"/>
      <w:bookmarkStart w:id="265" w:name="_Toc279701261"/>
      <w:bookmarkStart w:id="266" w:name="_Toc259093690"/>
      <w:bookmarkStart w:id="267" w:name="_Toc19604"/>
      <w:bookmarkStart w:id="268" w:name="_Toc25182"/>
      <w:bookmarkStart w:id="269" w:name="_Toc11284"/>
      <w:r>
        <w:rPr>
          <w:rFonts w:hint="eastAsia" w:ascii="仿宋_GB2312" w:hAnsi="楷体" w:eastAsia="仿宋_GB2312"/>
          <w:b/>
          <w:color w:val="auto"/>
          <w:sz w:val="24"/>
          <w:highlight w:val="none"/>
        </w:rPr>
        <w:t>2.18 通知</w:t>
      </w:r>
      <w:bookmarkEnd w:id="264"/>
      <w:bookmarkEnd w:id="265"/>
      <w:bookmarkEnd w:id="266"/>
      <w:r>
        <w:rPr>
          <w:rFonts w:hint="eastAsia" w:ascii="仿宋_GB2312" w:hAnsi="楷体" w:eastAsia="仿宋_GB2312"/>
          <w:b/>
          <w:color w:val="auto"/>
          <w:sz w:val="24"/>
          <w:highlight w:val="none"/>
        </w:rPr>
        <w:t>和送达</w:t>
      </w:r>
      <w:bookmarkEnd w:id="267"/>
      <w:bookmarkEnd w:id="268"/>
      <w:bookmarkEnd w:id="269"/>
    </w:p>
    <w:p w14:paraId="625C6861">
      <w:pPr>
        <w:spacing w:line="360" w:lineRule="auto"/>
        <w:ind w:firstLine="480" w:firstLineChars="200"/>
        <w:rPr>
          <w:rFonts w:hint="eastAsia" w:ascii="仿宋_GB2312" w:hAnsi="楷体" w:eastAsia="仿宋_GB2312"/>
          <w:color w:val="auto"/>
          <w:sz w:val="24"/>
          <w:highlight w:val="none"/>
        </w:rPr>
      </w:pPr>
      <w:bookmarkStart w:id="270" w:name="_Toc6698"/>
      <w:bookmarkStart w:id="271" w:name="_Toc3135"/>
      <w:bookmarkStart w:id="272" w:name="_Toc259093691"/>
      <w:bookmarkStart w:id="273" w:name="_Toc487900372"/>
      <w:bookmarkStart w:id="274"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5  </w:t>
      </w:r>
      <w:r>
        <w:rPr>
          <w:rFonts w:hint="eastAsia" w:ascii="仿宋_GB2312" w:hAnsi="楷体" w:eastAsia="仿宋_GB2312"/>
          <w:color w:val="auto"/>
          <w:sz w:val="24"/>
          <w:highlight w:val="none"/>
        </w:rPr>
        <w:t>个工作日（根据项目实际情况填写）内书面通知对方当事人，在对方当事人收到有关变更通知之前，变更前的约定送达方式或者地址仍视为有效。</w:t>
      </w:r>
      <w:bookmarkEnd w:id="270"/>
      <w:bookmarkEnd w:id="271"/>
    </w:p>
    <w:p w14:paraId="240754A7">
      <w:pPr>
        <w:spacing w:line="360" w:lineRule="auto"/>
        <w:ind w:firstLine="480" w:firstLineChars="200"/>
        <w:rPr>
          <w:rFonts w:hint="eastAsia" w:ascii="仿宋_GB2312" w:hAnsi="楷体" w:eastAsia="仿宋_GB2312"/>
          <w:color w:val="auto"/>
          <w:sz w:val="24"/>
          <w:highlight w:val="none"/>
        </w:rPr>
      </w:pPr>
      <w:bookmarkStart w:id="275" w:name="_Toc23128"/>
      <w:bookmarkStart w:id="276"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5"/>
      <w:bookmarkEnd w:id="276"/>
    </w:p>
    <w:p w14:paraId="1E2B3FBF">
      <w:pPr>
        <w:spacing w:line="360" w:lineRule="auto"/>
        <w:ind w:firstLine="482" w:firstLineChars="200"/>
        <w:rPr>
          <w:rFonts w:hint="eastAsia" w:ascii="仿宋_GB2312" w:hAnsi="楷体" w:eastAsia="仿宋_GB2312"/>
          <w:b/>
          <w:color w:val="auto"/>
          <w:sz w:val="24"/>
          <w:highlight w:val="none"/>
        </w:rPr>
      </w:pPr>
      <w:bookmarkStart w:id="277" w:name="_Toc18540"/>
      <w:bookmarkStart w:id="278" w:name="_Toc30599"/>
      <w:bookmarkStart w:id="279" w:name="_Toc4355"/>
      <w:r>
        <w:rPr>
          <w:rFonts w:hint="eastAsia" w:ascii="仿宋_GB2312" w:hAnsi="楷体" w:eastAsia="仿宋_GB2312"/>
          <w:b/>
          <w:color w:val="auto"/>
          <w:sz w:val="24"/>
          <w:highlight w:val="none"/>
        </w:rPr>
        <w:t>2.19 计量单位</w:t>
      </w:r>
      <w:bookmarkEnd w:id="272"/>
      <w:bookmarkEnd w:id="273"/>
      <w:bookmarkEnd w:id="274"/>
      <w:bookmarkEnd w:id="277"/>
      <w:bookmarkEnd w:id="278"/>
      <w:bookmarkEnd w:id="279"/>
    </w:p>
    <w:p w14:paraId="7486CE1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5F168793">
      <w:pPr>
        <w:spacing w:line="360" w:lineRule="auto"/>
        <w:ind w:firstLine="482" w:firstLineChars="200"/>
        <w:rPr>
          <w:rFonts w:hint="eastAsia" w:ascii="仿宋_GB2312" w:hAnsi="楷体" w:eastAsia="仿宋_GB2312"/>
          <w:b/>
          <w:color w:val="auto"/>
          <w:sz w:val="24"/>
          <w:highlight w:val="none"/>
        </w:rPr>
      </w:pPr>
      <w:bookmarkStart w:id="280" w:name="_Toc10330"/>
      <w:bookmarkStart w:id="281" w:name="_Toc487900373"/>
      <w:bookmarkStart w:id="282" w:name="_Toc279701263"/>
      <w:bookmarkStart w:id="283" w:name="_Toc259093692"/>
      <w:bookmarkStart w:id="284" w:name="_Toc12773"/>
      <w:bookmarkStart w:id="285" w:name="_Toc18567"/>
      <w:r>
        <w:rPr>
          <w:rFonts w:hint="eastAsia" w:ascii="仿宋_GB2312" w:hAnsi="楷体" w:eastAsia="仿宋_GB2312"/>
          <w:b/>
          <w:color w:val="auto"/>
          <w:sz w:val="24"/>
          <w:highlight w:val="none"/>
        </w:rPr>
        <w:t>2.20 合同使用的文字和适用的法律</w:t>
      </w:r>
      <w:bookmarkEnd w:id="280"/>
      <w:bookmarkEnd w:id="281"/>
      <w:bookmarkEnd w:id="282"/>
      <w:bookmarkEnd w:id="283"/>
      <w:bookmarkEnd w:id="284"/>
      <w:bookmarkEnd w:id="285"/>
    </w:p>
    <w:p w14:paraId="1EBF918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4E39732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411A250F">
      <w:pPr>
        <w:spacing w:line="360" w:lineRule="auto"/>
        <w:ind w:firstLine="482" w:firstLineChars="200"/>
        <w:rPr>
          <w:rFonts w:hint="eastAsia" w:ascii="仿宋_GB2312" w:hAnsi="楷体" w:eastAsia="仿宋_GB2312"/>
          <w:b/>
          <w:color w:val="auto"/>
          <w:sz w:val="24"/>
          <w:highlight w:val="none"/>
        </w:rPr>
      </w:pPr>
      <w:bookmarkStart w:id="286" w:name="_Toc12004"/>
      <w:bookmarkStart w:id="287" w:name="_Toc16673"/>
      <w:bookmarkStart w:id="288" w:name="_Toc3148"/>
      <w:bookmarkStart w:id="289" w:name="_Toc259093693"/>
      <w:bookmarkStart w:id="290" w:name="_Toc279701264"/>
      <w:bookmarkStart w:id="291" w:name="_Toc487900374"/>
      <w:r>
        <w:rPr>
          <w:rFonts w:hint="eastAsia" w:ascii="仿宋_GB2312" w:hAnsi="楷体" w:eastAsia="仿宋_GB2312"/>
          <w:b/>
          <w:color w:val="auto"/>
          <w:sz w:val="24"/>
          <w:highlight w:val="none"/>
        </w:rPr>
        <w:t>2.21 履约保证金</w:t>
      </w:r>
      <w:bookmarkEnd w:id="286"/>
      <w:bookmarkEnd w:id="287"/>
      <w:bookmarkEnd w:id="288"/>
      <w:bookmarkEnd w:id="289"/>
      <w:bookmarkEnd w:id="290"/>
    </w:p>
    <w:p w14:paraId="3E198CB5">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1206D1AE">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15B03B17">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☑否）为中小企业“政采贷”可融资合同，关于中小企业信用融资事项见采购文件“投标人须知正文”。</w:t>
      </w:r>
    </w:p>
    <w:p w14:paraId="25D13FF6">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w:t>
      </w:r>
      <w:r>
        <w:rPr>
          <w:rFonts w:ascii="仿宋_GB2312" w:hAnsi="仿宋" w:eastAsia="仿宋_GB2312"/>
          <w:color w:val="auto"/>
          <w:kern w:val="0"/>
          <w:sz w:val="24"/>
          <w:highlight w:val="none"/>
          <w:lang w:val="zh-CN"/>
        </w:rPr>
        <w:t xml:space="preserve">本合同（□是  </w:t>
      </w:r>
      <w:r>
        <w:rPr>
          <w:rFonts w:hint="eastAsia" w:ascii="仿宋_GB2312" w:hAnsi="仿宋" w:eastAsia="仿宋_GB2312"/>
          <w:color w:val="auto"/>
          <w:kern w:val="0"/>
          <w:sz w:val="24"/>
          <w:highlight w:val="none"/>
          <w:lang w:val="zh-CN"/>
        </w:rPr>
        <w:t>☑否）为中小企业预留合同。</w:t>
      </w:r>
    </w:p>
    <w:bookmarkEnd w:id="291"/>
    <w:p w14:paraId="7E18DA94">
      <w:pPr>
        <w:spacing w:line="360" w:lineRule="auto"/>
        <w:ind w:firstLine="482" w:firstLineChars="200"/>
        <w:rPr>
          <w:rFonts w:hint="eastAsia" w:ascii="仿宋_GB2312" w:hAnsi="楷体" w:eastAsia="仿宋_GB2312"/>
          <w:b/>
          <w:color w:val="auto"/>
          <w:sz w:val="24"/>
          <w:highlight w:val="none"/>
        </w:rPr>
      </w:pPr>
      <w:bookmarkStart w:id="292" w:name="_Toc19890"/>
      <w:bookmarkStart w:id="293" w:name="_Toc14001"/>
      <w:bookmarkStart w:id="294" w:name="_Toc6885"/>
      <w:r>
        <w:rPr>
          <w:rFonts w:hint="eastAsia" w:ascii="仿宋_GB2312" w:hAnsi="楷体" w:eastAsia="仿宋_GB2312"/>
          <w:b/>
          <w:color w:val="auto"/>
          <w:sz w:val="24"/>
          <w:highlight w:val="none"/>
        </w:rPr>
        <w:t>2.23 合同份数</w:t>
      </w:r>
      <w:bookmarkEnd w:id="292"/>
      <w:bookmarkEnd w:id="293"/>
      <w:bookmarkEnd w:id="294"/>
    </w:p>
    <w:p w14:paraId="33EF2FA7">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捌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肆</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肆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6E17D1FC">
      <w:pPr>
        <w:spacing w:line="360" w:lineRule="auto"/>
        <w:ind w:left="720" w:firstLine="723" w:firstLineChars="200"/>
        <w:outlineLvl w:val="0"/>
        <w:rPr>
          <w:rFonts w:hint="eastAsia" w:ascii="仿宋" w:hAnsi="仿宋" w:eastAsia="仿宋" w:cs="仿宋_GB2312"/>
          <w:b/>
          <w:color w:val="auto"/>
          <w:sz w:val="36"/>
          <w:szCs w:val="20"/>
          <w:highlight w:val="none"/>
        </w:rPr>
      </w:pPr>
    </w:p>
    <w:p w14:paraId="2BAB1E5E">
      <w:pPr>
        <w:spacing w:line="360" w:lineRule="auto"/>
        <w:ind w:left="720" w:firstLine="723" w:firstLineChars="200"/>
        <w:outlineLvl w:val="0"/>
        <w:rPr>
          <w:rFonts w:hint="eastAsia" w:ascii="仿宋" w:hAnsi="仿宋" w:eastAsia="仿宋" w:cs="仿宋_GB2312"/>
          <w:b/>
          <w:color w:val="auto"/>
          <w:sz w:val="36"/>
          <w:szCs w:val="20"/>
          <w:highlight w:val="none"/>
        </w:rPr>
      </w:pPr>
    </w:p>
    <w:p w14:paraId="19B3273D">
      <w:pPr>
        <w:tabs>
          <w:tab w:val="left" w:pos="7380"/>
        </w:tabs>
        <w:spacing w:line="360" w:lineRule="auto"/>
        <w:jc w:val="center"/>
        <w:rPr>
          <w:rFonts w:hint="eastAsia" w:hAnsi="宋体"/>
          <w:color w:val="auto"/>
          <w:highlight w:val="none"/>
        </w:rPr>
        <w:sectPr>
          <w:pgSz w:w="11906" w:h="16838"/>
          <w:pgMar w:top="1134" w:right="1134" w:bottom="1134" w:left="1134" w:header="720" w:footer="720" w:gutter="0"/>
          <w:cols w:space="720" w:num="1"/>
          <w:docGrid w:type="lines" w:linePitch="331" w:charSpace="0"/>
        </w:sectPr>
      </w:pPr>
    </w:p>
    <w:p w14:paraId="22AEF5E4">
      <w:pPr>
        <w:spacing w:line="360" w:lineRule="auto"/>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第三部分  合同专用条款</w:t>
      </w:r>
    </w:p>
    <w:p w14:paraId="3E1CC1A8">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本部分是对前两部分的补充和修改，如果前两部分和本部分的约定不一致，应以本部分的约定为准。本部分的条款号应与前两部分的条款号保持对应；与前两部分无对应关系的内容可另行编制条款号。</w:t>
      </w:r>
    </w:p>
    <w:p w14:paraId="2D4E57F4">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3.1具有知识产权的标的物知识产权归属：</w:t>
      </w:r>
    </w:p>
    <w:p w14:paraId="4F269BA9">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 xml:space="preserve">乙方应保证所提供的服务或其任何一部分均不会侵犯任何第三方的专利权、商标权或著作权。乙方保证所交付服务的所有权完全属于乙方且无任何抵押、查封等产权瑕疵。如乙方所交付服务有产权瑕疵的，视为乙方违约，按照本合同的约定处理。但在已经全部支付完合同款后才发现有产权瑕疵的，乙方除了支付违约金还应负担甲方由此产生的一切损失。  </w:t>
      </w:r>
    </w:p>
    <w:p w14:paraId="11976E27">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3.2包装和装运专用条款（如果有）：</w:t>
      </w:r>
    </w:p>
    <w:p w14:paraId="76A758B7">
      <w:pPr>
        <w:spacing w:line="360" w:lineRule="auto"/>
        <w:ind w:firstLine="480" w:firstLineChars="200"/>
        <w:rPr>
          <w:rFonts w:ascii="仿宋_GB2312" w:eastAsia="仿宋_GB2312" w:cs="仿宋_GB2312"/>
          <w:color w:val="auto"/>
          <w:kern w:val="0"/>
          <w:sz w:val="24"/>
          <w:highlight w:val="none"/>
          <w:lang w:val="zh-CN"/>
        </w:rPr>
      </w:pPr>
    </w:p>
    <w:p w14:paraId="7B6113FC">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3.3装运标的物的要求和通知：</w:t>
      </w:r>
    </w:p>
    <w:p w14:paraId="54686A59">
      <w:pPr>
        <w:spacing w:line="360" w:lineRule="auto"/>
        <w:ind w:firstLine="480" w:firstLineChars="200"/>
        <w:rPr>
          <w:rFonts w:ascii="仿宋_GB2312" w:eastAsia="仿宋_GB2312" w:cs="仿宋_GB2312"/>
          <w:color w:val="auto"/>
          <w:kern w:val="0"/>
          <w:sz w:val="24"/>
          <w:highlight w:val="none"/>
          <w:lang w:val="zh-CN"/>
        </w:rPr>
      </w:pPr>
    </w:p>
    <w:p w14:paraId="5610C529">
      <w:pPr>
        <w:wordWrap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2AD215FA">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本次项目中标</w:t>
      </w:r>
      <w:r>
        <w:rPr>
          <w:rFonts w:hint="eastAsia" w:ascii="仿宋_GB2312" w:eastAsia="仿宋_GB2312" w:cs="仿宋_GB2312"/>
          <w:color w:val="auto"/>
          <w:kern w:val="0"/>
          <w:sz w:val="24"/>
          <w:highlight w:val="none"/>
        </w:rPr>
        <w:t>下浮系数</w:t>
      </w:r>
      <w:r>
        <w:rPr>
          <w:rFonts w:hint="eastAsia" w:ascii="仿宋_GB2312" w:eastAsia="仿宋_GB2312" w:cs="仿宋_GB2312"/>
          <w:color w:val="auto"/>
          <w:kern w:val="0"/>
          <w:sz w:val="24"/>
          <w:highlight w:val="none"/>
          <w:lang w:val="zh-CN"/>
        </w:rPr>
        <w:t>为：</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%。本项目采用以下勾选结算方式进行支付：</w:t>
      </w:r>
    </w:p>
    <w:p w14:paraId="35781F4F">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1F691DC5">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44697803">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第一期付款</w:t>
      </w:r>
      <w:r>
        <w:rPr>
          <w:rFonts w:hint="eastAsia" w:ascii="仿宋_GB2312" w:eastAsia="仿宋_GB2312" w:cs="仿宋_GB2312"/>
          <w:color w:val="auto"/>
          <w:kern w:val="0"/>
          <w:sz w:val="24"/>
          <w:highlight w:val="none"/>
        </w:rPr>
        <w:t>：</w:t>
      </w:r>
      <w:r>
        <w:rPr>
          <w:rFonts w:hint="eastAsia" w:ascii="仿宋_GB2312" w:hAnsi="楷体" w:eastAsia="仿宋_GB2312"/>
          <w:color w:val="auto"/>
          <w:sz w:val="24"/>
          <w:highlight w:val="none"/>
          <w:u w:val="single"/>
          <w:lang w:val="en-US" w:eastAsia="zh-CN"/>
        </w:rPr>
        <w:t>乙方</w:t>
      </w:r>
      <w:r>
        <w:rPr>
          <w:rFonts w:hint="eastAsia" w:ascii="仿宋_GB2312" w:hAnsi="楷体" w:eastAsia="仿宋_GB2312"/>
          <w:color w:val="auto"/>
          <w:sz w:val="24"/>
          <w:highlight w:val="none"/>
          <w:u w:val="single"/>
        </w:rPr>
        <w:t>按合同约定提交编制成果并通过审查后一个月内由</w:t>
      </w:r>
      <w:r>
        <w:rPr>
          <w:rFonts w:hint="eastAsia" w:ascii="仿宋_GB2312" w:hAnsi="楷体" w:eastAsia="仿宋_GB2312"/>
          <w:color w:val="auto"/>
          <w:sz w:val="24"/>
          <w:highlight w:val="none"/>
          <w:u w:val="single"/>
          <w:lang w:val="en-US" w:eastAsia="zh-CN"/>
        </w:rPr>
        <w:t>甲方</w:t>
      </w:r>
      <w:r>
        <w:rPr>
          <w:rFonts w:hint="eastAsia" w:ascii="仿宋_GB2312" w:hAnsi="楷体" w:eastAsia="仿宋_GB2312"/>
          <w:color w:val="auto"/>
          <w:sz w:val="24"/>
          <w:highlight w:val="none"/>
          <w:u w:val="single"/>
        </w:rPr>
        <w:t>向财政局申请支付全过程咨询总技术服务费的80%；</w:t>
      </w:r>
    </w:p>
    <w:p w14:paraId="67341407">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二</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hAnsi="楷体" w:eastAsia="仿宋_GB2312"/>
          <w:color w:val="auto"/>
          <w:sz w:val="24"/>
          <w:highlight w:val="none"/>
          <w:u w:val="single"/>
        </w:rPr>
        <w:t>竣工验收后一个月内由</w:t>
      </w:r>
      <w:r>
        <w:rPr>
          <w:rFonts w:hint="eastAsia" w:ascii="仿宋_GB2312" w:hAnsi="楷体" w:eastAsia="仿宋_GB2312"/>
          <w:color w:val="auto"/>
          <w:sz w:val="24"/>
          <w:highlight w:val="none"/>
          <w:u w:val="single"/>
          <w:lang w:val="en-US" w:eastAsia="zh-CN"/>
        </w:rPr>
        <w:t>甲方</w:t>
      </w:r>
      <w:r>
        <w:rPr>
          <w:rFonts w:hint="eastAsia" w:ascii="仿宋_GB2312" w:hAnsi="楷体" w:eastAsia="仿宋_GB2312"/>
          <w:color w:val="auto"/>
          <w:sz w:val="24"/>
          <w:highlight w:val="none"/>
          <w:u w:val="single"/>
        </w:rPr>
        <w:t>向财政局申请支付至全过程咨询总技术服务费的97%（含已支付的）；</w:t>
      </w:r>
    </w:p>
    <w:p w14:paraId="5673C874">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三</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hAnsi="楷体" w:eastAsia="仿宋_GB2312"/>
          <w:color w:val="auto"/>
          <w:sz w:val="24"/>
          <w:highlight w:val="none"/>
          <w:u w:val="single"/>
        </w:rPr>
        <w:t>横州市级竣工验收完成且工程缺陷责任期满后14天内由</w:t>
      </w:r>
      <w:r>
        <w:rPr>
          <w:rFonts w:hint="eastAsia" w:ascii="仿宋_GB2312" w:hAnsi="楷体" w:eastAsia="仿宋_GB2312"/>
          <w:color w:val="auto"/>
          <w:sz w:val="24"/>
          <w:highlight w:val="none"/>
          <w:u w:val="single"/>
          <w:lang w:val="en-US" w:eastAsia="zh-CN"/>
        </w:rPr>
        <w:t>甲方</w:t>
      </w:r>
      <w:r>
        <w:rPr>
          <w:rFonts w:hint="eastAsia" w:ascii="仿宋_GB2312" w:hAnsi="楷体" w:eastAsia="仿宋_GB2312"/>
          <w:color w:val="auto"/>
          <w:sz w:val="24"/>
          <w:highlight w:val="none"/>
          <w:u w:val="single"/>
        </w:rPr>
        <w:t>向财政局申请支付全部余款。</w:t>
      </w:r>
    </w:p>
    <w:p w14:paraId="4D5F2A70">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w:t>
      </w:r>
    </w:p>
    <w:p w14:paraId="36A133CD">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甲方无故逾期支付服务费用的，按照每逾期一日支付欠付服务费额度的（根据项目实际填写，一般为万分之五）</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u w:val="single"/>
        </w:rPr>
        <w:t>万分之五</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承担违约责任，违约金上限按照《合同书》约定执行。</w:t>
      </w:r>
    </w:p>
    <w:p w14:paraId="42566C99">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 xml:space="preserve">（温馨提示：根据《广西壮族自治区财政厅关于进一步发挥政府采购政策功能促进企业 发展的通知》（桂财采〔2022〕30 号）及《2023 年广西优化营商环境行动方案》等规定，政府 采购货物和服务的采购人在政府采购合同中约定预付款比例的，采购合同履行期超过 30 天， 对中小企业合同预付款比例应不低于合同金额的 30％，不高于合同金额的 50%；项目分年度 安排预算的，每年预付款比例不低于项目年度计划支付金额的 30％；采购项目以人工投入 为主的，可降低预付款比例，但不得低于 10%。采购文件和采购合同没有约定预付款的，经 供应商申请采购人可支付预付款。对于未实行预付款的政府采购项目，鼓励采购人在合同中 明确首付款支付比例。） </w:t>
      </w:r>
    </w:p>
    <w:p w14:paraId="664DB2F4">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3.5标的物的风险负担</w:t>
      </w:r>
    </w:p>
    <w:p w14:paraId="5758EF73">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标的物或者在途标的物或者交付给第一承运人后的标的物毁损、灭失的风险负担：</w:t>
      </w:r>
    </w:p>
    <w:p w14:paraId="200A9DF1">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 xml:space="preserve">乙方                                                                       </w:t>
      </w:r>
    </w:p>
    <w:p w14:paraId="4AEB3B54">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3.5.1受不可抗力影响的一方在不可抗力发生后，应在日内（根据项目实际填写）以书面形式通知对方当事人，并在日内，将有关部门出具的证明文件送达对方当事人。</w:t>
      </w:r>
    </w:p>
    <w:p w14:paraId="21A1E32B">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3.5.2因不可抗力致使合同有变更必要的，双方当事人应在日内（根据项目实际填写）以书面形式变更合同；</w:t>
      </w:r>
    </w:p>
    <w:p w14:paraId="75E8996E">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1CC547FF">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3.5.4 检验和验收标准、程序等具体内容以及前述验收书的效力：</w:t>
      </w:r>
    </w:p>
    <w:p w14:paraId="4ECBEF11">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3.5.5 其他：</w:t>
      </w:r>
    </w:p>
    <w:p w14:paraId="55361B6A">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3.6项目验收：</w:t>
      </w:r>
    </w:p>
    <w:p w14:paraId="7F7CB2A7">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D60717D">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64054656">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C03BEAF">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3.6.4验收产生的费用：</w:t>
      </w:r>
    </w:p>
    <w:p w14:paraId="12550307">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首次验收费用由</w:t>
      </w:r>
      <w:r>
        <w:rPr>
          <w:rFonts w:hint="eastAsia" w:ascii="仿宋_GB2312" w:eastAsia="仿宋_GB2312" w:cs="仿宋_GB2312"/>
          <w:color w:val="auto"/>
          <w:kern w:val="0"/>
          <w:sz w:val="24"/>
          <w:highlight w:val="none"/>
          <w:u w:val="single"/>
        </w:rPr>
        <w:t xml:space="preserve"> 甲方 </w:t>
      </w:r>
      <w:r>
        <w:rPr>
          <w:rFonts w:hint="eastAsia" w:ascii="仿宋_GB2312" w:eastAsia="仿宋_GB2312" w:cs="仿宋_GB2312"/>
          <w:color w:val="auto"/>
          <w:kern w:val="0"/>
          <w:sz w:val="24"/>
          <w:highlight w:val="none"/>
          <w:lang w:val="zh-CN"/>
        </w:rPr>
        <w:t>承担，如首次验收不合格，后续验收费用由</w:t>
      </w:r>
      <w:r>
        <w:rPr>
          <w:rFonts w:hint="eastAsia" w:ascii="仿宋_GB2312" w:eastAsia="仿宋_GB2312" w:cs="仿宋_GB2312"/>
          <w:color w:val="auto"/>
          <w:kern w:val="0"/>
          <w:sz w:val="24"/>
          <w:highlight w:val="none"/>
          <w:u w:val="single"/>
        </w:rPr>
        <w:t xml:space="preserve"> 乙方 </w:t>
      </w:r>
      <w:r>
        <w:rPr>
          <w:rFonts w:hint="eastAsia" w:ascii="仿宋_GB2312" w:eastAsia="仿宋_GB2312" w:cs="仿宋_GB2312"/>
          <w:color w:val="auto"/>
          <w:kern w:val="0"/>
          <w:sz w:val="24"/>
          <w:highlight w:val="none"/>
          <w:lang w:val="zh-CN"/>
        </w:rPr>
        <w:t>支付。</w:t>
      </w:r>
    </w:p>
    <w:p w14:paraId="5E5588C1">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3.6.5验收内容及资料要求：</w:t>
      </w:r>
    </w:p>
    <w:p w14:paraId="1C1C6E2E">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根据采购文件确定的技术指标或者服务要求确定验收指标和标准。未进行相应约定的，应当符合国家强制性规定、政策要求、安全标准、行业或企业有关标准等。</w:t>
      </w:r>
    </w:p>
    <w:p w14:paraId="538EC599">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3.6.6验收内容</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524"/>
        <w:gridCol w:w="5930"/>
      </w:tblGrid>
      <w:tr w14:paraId="5D51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vAlign w:val="center"/>
          </w:tcPr>
          <w:p w14:paraId="2ABF52E9">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序号</w:t>
            </w:r>
          </w:p>
        </w:tc>
        <w:tc>
          <w:tcPr>
            <w:tcW w:w="1524" w:type="dxa"/>
            <w:tcBorders>
              <w:top w:val="single" w:color="auto" w:sz="4" w:space="0"/>
              <w:left w:val="single" w:color="auto" w:sz="4" w:space="0"/>
              <w:bottom w:val="single" w:color="auto" w:sz="4" w:space="0"/>
              <w:right w:val="single" w:color="auto" w:sz="4" w:space="0"/>
            </w:tcBorders>
            <w:vAlign w:val="center"/>
          </w:tcPr>
          <w:p w14:paraId="288B77F3">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7CC8F28A">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 xml:space="preserve"> 验收标准</w:t>
            </w:r>
          </w:p>
        </w:tc>
      </w:tr>
      <w:tr w14:paraId="558C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28C73592">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1</w:t>
            </w:r>
          </w:p>
        </w:tc>
        <w:tc>
          <w:tcPr>
            <w:tcW w:w="1524" w:type="dxa"/>
            <w:tcBorders>
              <w:top w:val="single" w:color="auto" w:sz="4" w:space="0"/>
              <w:left w:val="single" w:color="auto" w:sz="4" w:space="0"/>
              <w:bottom w:val="single" w:color="auto" w:sz="4" w:space="0"/>
              <w:right w:val="single" w:color="auto" w:sz="4" w:space="0"/>
            </w:tcBorders>
            <w:vAlign w:val="center"/>
          </w:tcPr>
          <w:p w14:paraId="1C9B96AF">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交付标的物数量</w:t>
            </w:r>
          </w:p>
        </w:tc>
        <w:tc>
          <w:tcPr>
            <w:tcW w:w="5930" w:type="dxa"/>
            <w:vMerge w:val="restart"/>
            <w:tcBorders>
              <w:top w:val="single" w:color="auto" w:sz="4" w:space="0"/>
              <w:left w:val="single" w:color="auto" w:sz="4" w:space="0"/>
              <w:right w:val="single" w:color="auto" w:sz="4" w:space="0"/>
            </w:tcBorders>
            <w:vAlign w:val="center"/>
          </w:tcPr>
          <w:p w14:paraId="5007BDC3">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u w:val="single"/>
                <w:lang w:val="zh-CN"/>
              </w:rPr>
              <w:t>国家、行业有关质量标准，采购文件上的服务需求，及投标人投标文件，符合现行国家颁布的有关规程规范要求，并通过国家相关部门组织的审查与评审。</w:t>
            </w:r>
          </w:p>
        </w:tc>
      </w:tr>
      <w:tr w14:paraId="3391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5645B20E">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2</w:t>
            </w:r>
          </w:p>
        </w:tc>
        <w:tc>
          <w:tcPr>
            <w:tcW w:w="1524" w:type="dxa"/>
            <w:tcBorders>
              <w:top w:val="single" w:color="auto" w:sz="4" w:space="0"/>
              <w:left w:val="single" w:color="auto" w:sz="4" w:space="0"/>
              <w:bottom w:val="single" w:color="auto" w:sz="4" w:space="0"/>
              <w:right w:val="single" w:color="auto" w:sz="4" w:space="0"/>
            </w:tcBorders>
            <w:vAlign w:val="center"/>
          </w:tcPr>
          <w:p w14:paraId="09AFBEAE">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交付标的物质量文件</w:t>
            </w:r>
          </w:p>
        </w:tc>
        <w:tc>
          <w:tcPr>
            <w:tcW w:w="5930" w:type="dxa"/>
            <w:vMerge w:val="continue"/>
            <w:tcBorders>
              <w:left w:val="single" w:color="auto" w:sz="4" w:space="0"/>
              <w:right w:val="single" w:color="auto" w:sz="4" w:space="0"/>
            </w:tcBorders>
            <w:vAlign w:val="center"/>
          </w:tcPr>
          <w:p w14:paraId="05E0A1A5">
            <w:pPr>
              <w:spacing w:line="360" w:lineRule="auto"/>
              <w:ind w:firstLine="480" w:firstLineChars="200"/>
              <w:rPr>
                <w:rFonts w:ascii="仿宋_GB2312" w:eastAsia="仿宋_GB2312" w:cs="仿宋_GB2312"/>
                <w:color w:val="auto"/>
                <w:kern w:val="0"/>
                <w:sz w:val="24"/>
                <w:highlight w:val="none"/>
                <w:lang w:val="zh-CN"/>
              </w:rPr>
            </w:pPr>
          </w:p>
        </w:tc>
      </w:tr>
      <w:tr w14:paraId="181B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183FDBC8">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4</w:t>
            </w:r>
          </w:p>
        </w:tc>
        <w:tc>
          <w:tcPr>
            <w:tcW w:w="1524" w:type="dxa"/>
            <w:tcBorders>
              <w:top w:val="single" w:color="auto" w:sz="4" w:space="0"/>
              <w:left w:val="single" w:color="auto" w:sz="4" w:space="0"/>
              <w:bottom w:val="single" w:color="auto" w:sz="4" w:space="0"/>
              <w:right w:val="single" w:color="auto" w:sz="4" w:space="0"/>
            </w:tcBorders>
            <w:vAlign w:val="center"/>
          </w:tcPr>
          <w:p w14:paraId="5A3BBFCE">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 xml:space="preserve">交付标的物技术、性能指标 </w:t>
            </w:r>
          </w:p>
        </w:tc>
        <w:tc>
          <w:tcPr>
            <w:tcW w:w="5930" w:type="dxa"/>
            <w:vMerge w:val="continue"/>
            <w:tcBorders>
              <w:left w:val="single" w:color="auto" w:sz="4" w:space="0"/>
              <w:right w:val="single" w:color="auto" w:sz="4" w:space="0"/>
            </w:tcBorders>
            <w:vAlign w:val="center"/>
          </w:tcPr>
          <w:p w14:paraId="5099AEB7">
            <w:pPr>
              <w:spacing w:line="360" w:lineRule="auto"/>
              <w:ind w:firstLine="480" w:firstLineChars="200"/>
              <w:rPr>
                <w:rFonts w:ascii="仿宋_GB2312" w:eastAsia="仿宋_GB2312" w:cs="仿宋_GB2312"/>
                <w:color w:val="auto"/>
                <w:kern w:val="0"/>
                <w:sz w:val="24"/>
                <w:highlight w:val="none"/>
                <w:lang w:val="zh-CN"/>
              </w:rPr>
            </w:pPr>
          </w:p>
        </w:tc>
      </w:tr>
      <w:tr w14:paraId="58EF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4D5CFA90">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5</w:t>
            </w:r>
          </w:p>
        </w:tc>
        <w:tc>
          <w:tcPr>
            <w:tcW w:w="1524" w:type="dxa"/>
            <w:tcBorders>
              <w:top w:val="single" w:color="auto" w:sz="4" w:space="0"/>
              <w:left w:val="single" w:color="auto" w:sz="4" w:space="0"/>
              <w:bottom w:val="single" w:color="auto" w:sz="4" w:space="0"/>
              <w:right w:val="single" w:color="auto" w:sz="4" w:space="0"/>
            </w:tcBorders>
            <w:vAlign w:val="center"/>
          </w:tcPr>
          <w:p w14:paraId="4B1CC3BA">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售后服务承诺</w:t>
            </w:r>
          </w:p>
        </w:tc>
        <w:tc>
          <w:tcPr>
            <w:tcW w:w="5930" w:type="dxa"/>
            <w:vMerge w:val="continue"/>
            <w:tcBorders>
              <w:left w:val="single" w:color="auto" w:sz="4" w:space="0"/>
              <w:right w:val="single" w:color="auto" w:sz="4" w:space="0"/>
            </w:tcBorders>
            <w:vAlign w:val="center"/>
          </w:tcPr>
          <w:p w14:paraId="3E472910">
            <w:pPr>
              <w:spacing w:line="360" w:lineRule="auto"/>
              <w:ind w:firstLine="480" w:firstLineChars="200"/>
              <w:rPr>
                <w:rFonts w:ascii="仿宋_GB2312" w:eastAsia="仿宋_GB2312" w:cs="仿宋_GB2312"/>
                <w:color w:val="auto"/>
                <w:kern w:val="0"/>
                <w:sz w:val="24"/>
                <w:highlight w:val="none"/>
                <w:lang w:val="zh-CN"/>
              </w:rPr>
            </w:pPr>
          </w:p>
        </w:tc>
      </w:tr>
      <w:tr w14:paraId="49D3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14:paraId="0E0819DA">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6</w:t>
            </w:r>
          </w:p>
        </w:tc>
        <w:tc>
          <w:tcPr>
            <w:tcW w:w="1524" w:type="dxa"/>
            <w:tcBorders>
              <w:top w:val="single" w:color="auto" w:sz="4" w:space="0"/>
              <w:left w:val="single" w:color="auto" w:sz="4" w:space="0"/>
              <w:bottom w:val="single" w:color="auto" w:sz="4" w:space="0"/>
              <w:right w:val="single" w:color="auto" w:sz="4" w:space="0"/>
            </w:tcBorders>
            <w:vAlign w:val="center"/>
          </w:tcPr>
          <w:p w14:paraId="399A723C">
            <w:pPr>
              <w:spacing w:line="360" w:lineRule="auto"/>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其他工作</w:t>
            </w:r>
          </w:p>
        </w:tc>
        <w:tc>
          <w:tcPr>
            <w:tcW w:w="5930" w:type="dxa"/>
            <w:vMerge w:val="continue"/>
            <w:tcBorders>
              <w:left w:val="single" w:color="auto" w:sz="4" w:space="0"/>
              <w:bottom w:val="single" w:color="auto" w:sz="4" w:space="0"/>
              <w:right w:val="single" w:color="auto" w:sz="4" w:space="0"/>
            </w:tcBorders>
            <w:vAlign w:val="center"/>
          </w:tcPr>
          <w:p w14:paraId="7F4A8AD4">
            <w:pPr>
              <w:spacing w:line="360" w:lineRule="auto"/>
              <w:ind w:firstLine="480" w:firstLineChars="200"/>
              <w:rPr>
                <w:rFonts w:ascii="仿宋_GB2312" w:eastAsia="仿宋_GB2312" w:cs="仿宋_GB2312"/>
                <w:color w:val="auto"/>
                <w:kern w:val="0"/>
                <w:sz w:val="24"/>
                <w:highlight w:val="none"/>
                <w:lang w:val="zh-CN"/>
              </w:rPr>
            </w:pPr>
          </w:p>
        </w:tc>
      </w:tr>
    </w:tbl>
    <w:p w14:paraId="43954BC0">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4E731BAD">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3.6.7验收资料要求</w:t>
      </w:r>
    </w:p>
    <w:p w14:paraId="10043F8E">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验收资料要求包括（不限于）以下内容：</w:t>
      </w:r>
    </w:p>
    <w:p w14:paraId="3FA2C3B8">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（1）采购文件；</w:t>
      </w:r>
    </w:p>
    <w:p w14:paraId="62374F73">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（2）投标文件；</w:t>
      </w:r>
    </w:p>
    <w:p w14:paraId="3F06D31C">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（3）采购合同；</w:t>
      </w:r>
    </w:p>
    <w:p w14:paraId="60973775">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b/>
          <w:color w:val="auto"/>
          <w:sz w:val="36"/>
          <w:szCs w:val="20"/>
          <w:highlight w:val="none"/>
        </w:rPr>
      </w:pPr>
      <w:r>
        <w:rPr>
          <w:rFonts w:hint="eastAsia" w:ascii="仿宋_GB2312" w:eastAsia="仿宋_GB2312" w:cs="仿宋_GB2312"/>
          <w:color w:val="auto"/>
          <w:kern w:val="0"/>
          <w:sz w:val="24"/>
          <w:highlight w:val="none"/>
          <w:lang w:val="zh-CN"/>
        </w:rPr>
        <w:t>（4）其他需提供的相关材料：（业主根据项目实际增减第（4）点验收资料内容）</w:t>
      </w:r>
      <w:r>
        <w:rPr>
          <w:rFonts w:hint="eastAsia" w:asciiTheme="minorEastAsia" w:hAnsiTheme="minorEastAsia" w:eastAsiaTheme="minorEastAsia" w:cstheme="minorEastAsia"/>
          <w:color w:val="auto"/>
          <w:sz w:val="24"/>
          <w:highlight w:val="none"/>
        </w:rPr>
        <w:t>。</w:t>
      </w:r>
    </w:p>
    <w:p w14:paraId="3CD5A84F">
      <w:pPr>
        <w:rPr>
          <w:rFonts w:hint="eastAsia" w:asciiTheme="minorEastAsia" w:hAnsiTheme="minorEastAsia" w:eastAsiaTheme="minorEastAsia" w:cstheme="minorEastAsia"/>
          <w:color w:val="auto"/>
          <w:highlight w:val="none"/>
        </w:rPr>
      </w:pPr>
    </w:p>
    <w:p w14:paraId="426DB59C">
      <w:pPr>
        <w:pStyle w:val="12"/>
        <w:spacing w:line="360" w:lineRule="auto"/>
        <w:ind w:left="178" w:leftChars="85"/>
        <w:rPr>
          <w:rFonts w:hint="eastAsia" w:asciiTheme="minorEastAsia" w:hAnsiTheme="minorEastAsia" w:eastAsiaTheme="minorEastAsia" w:cstheme="minorEastAsia"/>
          <w:color w:val="auto"/>
          <w:highlight w:val="none"/>
        </w:rPr>
      </w:pPr>
    </w:p>
    <w:p w14:paraId="6339D54C">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20A298F6">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DF727BF">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7CE4CAA">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39D2BAA">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AB53937">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6EA83CB">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AD588D1">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357C173D">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9880A7E">
      <w:pPr>
        <w:pStyle w:val="12"/>
        <w:tabs>
          <w:tab w:val="left" w:pos="2472"/>
        </w:tabs>
        <w:spacing w:line="460" w:lineRule="exact"/>
        <w:jc w:val="center"/>
        <w:outlineLvl w:val="0"/>
        <w:rPr>
          <w:rFonts w:hint="eastAsia" w:asciiTheme="minorEastAsia" w:hAnsiTheme="minorEastAsia" w:eastAsiaTheme="minorEastAsia" w:cstheme="minorEastAsia"/>
          <w:b/>
          <w:color w:val="auto"/>
          <w:sz w:val="36"/>
          <w:highlight w:val="none"/>
        </w:rPr>
      </w:pPr>
      <w:bookmarkStart w:id="295" w:name="_Toc298"/>
      <w:r>
        <w:rPr>
          <w:rFonts w:hint="eastAsia" w:asciiTheme="minorEastAsia" w:hAnsiTheme="minorEastAsia" w:eastAsiaTheme="minorEastAsia" w:cstheme="minorEastAsia"/>
          <w:b/>
          <w:color w:val="auto"/>
          <w:sz w:val="36"/>
          <w:highlight w:val="none"/>
        </w:rPr>
        <w:t>第六章 投标文件格式</w:t>
      </w:r>
      <w:bookmarkEnd w:id="295"/>
    </w:p>
    <w:p w14:paraId="73B5040D">
      <w:pPr>
        <w:widowControl/>
        <w:spacing w:beforeAutospacing="1" w:line="360" w:lineRule="auto"/>
        <w:jc w:val="left"/>
        <w:rPr>
          <w:rFonts w:hint="eastAsia" w:asciiTheme="minorEastAsia" w:hAnsiTheme="minorEastAsia" w:eastAsiaTheme="minorEastAsia" w:cstheme="minorEastAsia"/>
          <w:color w:val="auto"/>
          <w:szCs w:val="20"/>
          <w:highlight w:val="none"/>
        </w:rPr>
        <w:sectPr>
          <w:pgSz w:w="11906" w:h="16838"/>
          <w:pgMar w:top="1134" w:right="1134" w:bottom="1134" w:left="1134" w:header="720" w:footer="720" w:gutter="0"/>
          <w:cols w:space="720" w:num="1"/>
          <w:docGrid w:type="lines" w:linePitch="331" w:charSpace="0"/>
        </w:sectPr>
      </w:pPr>
    </w:p>
    <w:p w14:paraId="0EF0E40A">
      <w:pPr>
        <w:pStyle w:val="12"/>
        <w:ind w:firstLine="551" w:firstLineChars="196"/>
        <w:jc w:val="center"/>
        <w:outlineLvl w:val="1"/>
        <w:rPr>
          <w:rFonts w:hint="eastAsia" w:asciiTheme="minorEastAsia" w:hAnsiTheme="minorEastAsia" w:eastAsiaTheme="minorEastAsia" w:cstheme="minorEastAsia"/>
          <w:b/>
          <w:bCs/>
          <w:color w:val="auto"/>
          <w:sz w:val="28"/>
          <w:szCs w:val="28"/>
          <w:highlight w:val="none"/>
        </w:rPr>
      </w:pPr>
      <w:bookmarkStart w:id="296" w:name="_Toc29354"/>
      <w:r>
        <w:rPr>
          <w:rFonts w:hint="eastAsia" w:asciiTheme="minorEastAsia" w:hAnsiTheme="minorEastAsia" w:eastAsiaTheme="minorEastAsia" w:cstheme="minorEastAsia"/>
          <w:b/>
          <w:bCs/>
          <w:color w:val="auto"/>
          <w:sz w:val="28"/>
          <w:szCs w:val="28"/>
          <w:highlight w:val="none"/>
        </w:rPr>
        <w:t>第一节 投标文件外层包装封面</w:t>
      </w:r>
      <w:bookmarkEnd w:id="296"/>
    </w:p>
    <w:p w14:paraId="36B71F90">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p>
    <w:p w14:paraId="09BE7CEE">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p>
    <w:p w14:paraId="6B47CA64">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p>
    <w:p w14:paraId="1457C8BF">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p>
    <w:p w14:paraId="7FB12C78">
      <w:pPr>
        <w:spacing w:before="120" w:beforeLines="50" w:after="120" w:afterLines="50"/>
        <w:jc w:val="center"/>
        <w:rPr>
          <w:rFonts w:hint="eastAsia" w:asciiTheme="minorEastAsia" w:hAnsiTheme="minorEastAsia" w:eastAsiaTheme="minorEastAsia" w:cstheme="minorEastAsia"/>
          <w:color w:val="auto"/>
          <w:spacing w:val="20"/>
          <w:sz w:val="44"/>
          <w:szCs w:val="44"/>
          <w:highlight w:val="none"/>
        </w:rPr>
      </w:pPr>
      <w:r>
        <w:rPr>
          <w:rFonts w:hint="eastAsia" w:asciiTheme="minorEastAsia" w:hAnsiTheme="minorEastAsia" w:eastAsiaTheme="minorEastAsia" w:cstheme="minorEastAsia"/>
          <w:color w:val="auto"/>
          <w:spacing w:val="20"/>
          <w:sz w:val="44"/>
          <w:szCs w:val="44"/>
          <w:highlight w:val="none"/>
        </w:rPr>
        <w:t>2026-2027年度横州市水库移民项目全过程工程咨询项目</w:t>
      </w:r>
    </w:p>
    <w:p w14:paraId="620355E8">
      <w:pPr>
        <w:spacing w:before="120" w:beforeLines="50" w:after="120" w:afterLines="50"/>
        <w:jc w:val="center"/>
        <w:rPr>
          <w:rFonts w:hint="eastAsia" w:asciiTheme="minorEastAsia" w:hAnsiTheme="minorEastAsia" w:eastAsiaTheme="minorEastAsia" w:cstheme="minorEastAsia"/>
          <w:color w:val="auto"/>
          <w:spacing w:val="40"/>
          <w:w w:val="110"/>
          <w:sz w:val="44"/>
          <w:szCs w:val="44"/>
          <w:highlight w:val="none"/>
        </w:rPr>
      </w:pPr>
      <w:r>
        <w:rPr>
          <w:rFonts w:hint="eastAsia" w:asciiTheme="minorEastAsia" w:hAnsiTheme="minorEastAsia" w:eastAsiaTheme="minorEastAsia" w:cstheme="minorEastAsia"/>
          <w:color w:val="auto"/>
          <w:spacing w:val="40"/>
          <w:w w:val="110"/>
          <w:sz w:val="44"/>
          <w:szCs w:val="44"/>
          <w:highlight w:val="none"/>
        </w:rPr>
        <w:t>投标文件</w:t>
      </w:r>
    </w:p>
    <w:p w14:paraId="2F0CCFA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（电子投标文件）</w:t>
      </w:r>
    </w:p>
    <w:tbl>
      <w:tblPr>
        <w:tblStyle w:val="21"/>
        <w:tblW w:w="0" w:type="auto"/>
        <w:jc w:val="center"/>
        <w:tblLayout w:type="fixed"/>
        <w:tblCellMar>
          <w:top w:w="0" w:type="dxa"/>
          <w:left w:w="108" w:type="dxa"/>
          <w:bottom w:w="0" w:type="dxa"/>
          <w:right w:w="108" w:type="dxa"/>
        </w:tblCellMar>
      </w:tblPr>
      <w:tblGrid>
        <w:gridCol w:w="1601"/>
        <w:gridCol w:w="6172"/>
      </w:tblGrid>
      <w:tr w14:paraId="094F0DBF">
        <w:tblPrEx>
          <w:tblCellMar>
            <w:top w:w="0" w:type="dxa"/>
            <w:left w:w="108" w:type="dxa"/>
            <w:bottom w:w="0" w:type="dxa"/>
            <w:right w:w="108" w:type="dxa"/>
          </w:tblCellMar>
        </w:tblPrEx>
        <w:trPr>
          <w:jc w:val="center"/>
        </w:trPr>
        <w:tc>
          <w:tcPr>
            <w:tcW w:w="1601" w:type="dxa"/>
            <w:vAlign w:val="bottom"/>
          </w:tcPr>
          <w:p w14:paraId="7F49EF3F">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6172" w:type="dxa"/>
            <w:tcBorders>
              <w:top w:val="nil"/>
              <w:left w:val="nil"/>
              <w:bottom w:val="single" w:color="000000" w:sz="4" w:space="0"/>
              <w:right w:val="nil"/>
            </w:tcBorders>
            <w:vAlign w:val="bottom"/>
          </w:tcPr>
          <w:p w14:paraId="07FA4321">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2026-2027年度横州市水库移民项目全过程工程咨询项目</w:t>
            </w:r>
          </w:p>
        </w:tc>
      </w:tr>
      <w:tr w14:paraId="669D9852">
        <w:tblPrEx>
          <w:tblCellMar>
            <w:top w:w="0" w:type="dxa"/>
            <w:left w:w="108" w:type="dxa"/>
            <w:bottom w:w="0" w:type="dxa"/>
            <w:right w:w="108" w:type="dxa"/>
          </w:tblCellMar>
        </w:tblPrEx>
        <w:trPr>
          <w:jc w:val="center"/>
        </w:trPr>
        <w:tc>
          <w:tcPr>
            <w:tcW w:w="1601" w:type="dxa"/>
            <w:vAlign w:val="bottom"/>
          </w:tcPr>
          <w:p w14:paraId="5BE25118">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6C132AA5">
            <w:pPr>
              <w:jc w:val="left"/>
              <w:rPr>
                <w:rFonts w:hint="eastAsia" w:asciiTheme="minorEastAsia" w:hAnsiTheme="minorEastAsia" w:eastAsiaTheme="minorEastAsia" w:cstheme="minorEastAsia"/>
                <w:color w:val="auto"/>
                <w:sz w:val="24"/>
                <w:highlight w:val="none"/>
              </w:rPr>
            </w:pPr>
            <w:bookmarkStart w:id="297" w:name="PO_3000001866_PM003"/>
            <w:r>
              <w:rPr>
                <w:rFonts w:hint="eastAsia" w:asciiTheme="minorEastAsia" w:hAnsiTheme="minorEastAsia" w:eastAsiaTheme="minorEastAsia" w:cstheme="minorEastAsia"/>
                <w:color w:val="auto"/>
                <w:sz w:val="24"/>
                <w:highlight w:val="none"/>
              </w:rPr>
              <w:t>公开招标</w:t>
            </w:r>
            <w:bookmarkEnd w:id="297"/>
          </w:p>
        </w:tc>
      </w:tr>
      <w:tr w14:paraId="5AB5D7CA">
        <w:tblPrEx>
          <w:tblCellMar>
            <w:top w:w="0" w:type="dxa"/>
            <w:left w:w="108" w:type="dxa"/>
            <w:bottom w:w="0" w:type="dxa"/>
            <w:right w:w="108" w:type="dxa"/>
          </w:tblCellMar>
        </w:tblPrEx>
        <w:trPr>
          <w:jc w:val="center"/>
        </w:trPr>
        <w:tc>
          <w:tcPr>
            <w:tcW w:w="1601" w:type="dxa"/>
            <w:vAlign w:val="bottom"/>
          </w:tcPr>
          <w:p w14:paraId="1D685255">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6E2DA559">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NNZC2025-G3-270119-JGJD</w:t>
            </w:r>
          </w:p>
        </w:tc>
      </w:tr>
      <w:tr w14:paraId="1EEB73B9">
        <w:tblPrEx>
          <w:tblCellMar>
            <w:top w:w="0" w:type="dxa"/>
            <w:left w:w="108" w:type="dxa"/>
            <w:bottom w:w="0" w:type="dxa"/>
            <w:right w:w="108" w:type="dxa"/>
          </w:tblCellMar>
        </w:tblPrEx>
        <w:trPr>
          <w:jc w:val="center"/>
        </w:trPr>
        <w:tc>
          <w:tcPr>
            <w:tcW w:w="1601" w:type="dxa"/>
            <w:vAlign w:val="bottom"/>
          </w:tcPr>
          <w:p w14:paraId="28B75DCF">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6AA555E7">
            <w:pPr>
              <w:jc w:val="left"/>
              <w:rPr>
                <w:rFonts w:hint="eastAsia" w:asciiTheme="minorEastAsia" w:hAnsiTheme="minorEastAsia" w:eastAsiaTheme="minorEastAsia" w:cstheme="minorEastAsia"/>
                <w:color w:val="auto"/>
                <w:sz w:val="24"/>
                <w:highlight w:val="none"/>
              </w:rPr>
            </w:pPr>
          </w:p>
        </w:tc>
      </w:tr>
      <w:tr w14:paraId="6BF428A2">
        <w:tblPrEx>
          <w:tblCellMar>
            <w:top w:w="0" w:type="dxa"/>
            <w:left w:w="108" w:type="dxa"/>
            <w:bottom w:w="0" w:type="dxa"/>
            <w:right w:w="108" w:type="dxa"/>
          </w:tblCellMar>
        </w:tblPrEx>
        <w:trPr>
          <w:jc w:val="center"/>
        </w:trPr>
        <w:tc>
          <w:tcPr>
            <w:tcW w:w="1601" w:type="dxa"/>
            <w:vAlign w:val="bottom"/>
          </w:tcPr>
          <w:p w14:paraId="0D468BF2">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5BD015E4">
            <w:pPr>
              <w:jc w:val="left"/>
              <w:rPr>
                <w:rFonts w:hint="eastAsia" w:asciiTheme="minorEastAsia" w:hAnsiTheme="minorEastAsia" w:eastAsiaTheme="minorEastAsia" w:cstheme="minorEastAsia"/>
                <w:color w:val="auto"/>
                <w:sz w:val="24"/>
                <w:highlight w:val="none"/>
              </w:rPr>
            </w:pPr>
          </w:p>
        </w:tc>
      </w:tr>
      <w:tr w14:paraId="2C87A4F3">
        <w:tblPrEx>
          <w:tblCellMar>
            <w:top w:w="0" w:type="dxa"/>
            <w:left w:w="108" w:type="dxa"/>
            <w:bottom w:w="0" w:type="dxa"/>
            <w:right w:w="108" w:type="dxa"/>
          </w:tblCellMar>
        </w:tblPrEx>
        <w:trPr>
          <w:jc w:val="center"/>
        </w:trPr>
        <w:tc>
          <w:tcPr>
            <w:tcW w:w="1601" w:type="dxa"/>
            <w:vAlign w:val="bottom"/>
          </w:tcPr>
          <w:p w14:paraId="5BBF9613">
            <w:pPr>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495076DC">
            <w:pPr>
              <w:jc w:val="left"/>
              <w:rPr>
                <w:rFonts w:hint="eastAsia" w:asciiTheme="minorEastAsia" w:hAnsiTheme="minorEastAsia" w:eastAsiaTheme="minorEastAsia" w:cstheme="minorEastAsia"/>
                <w:color w:val="auto"/>
                <w:sz w:val="24"/>
                <w:highlight w:val="none"/>
              </w:rPr>
            </w:pPr>
          </w:p>
        </w:tc>
      </w:tr>
    </w:tbl>
    <w:p w14:paraId="1FE5A9A5">
      <w:pPr>
        <w:ind w:firstLine="4200" w:firstLineChars="1750"/>
        <w:rPr>
          <w:rFonts w:hint="eastAsia" w:asciiTheme="minorEastAsia" w:hAnsiTheme="minorEastAsia" w:eastAsiaTheme="minorEastAsia" w:cstheme="minorEastAsia"/>
          <w:color w:val="auto"/>
          <w:sz w:val="24"/>
          <w:highlight w:val="none"/>
        </w:rPr>
      </w:pPr>
    </w:p>
    <w:p w14:paraId="4C1B87E4">
      <w:pPr>
        <w:ind w:firstLine="4200" w:firstLineChars="1750"/>
        <w:rPr>
          <w:rFonts w:hint="eastAsia" w:asciiTheme="minorEastAsia" w:hAnsiTheme="minorEastAsia" w:eastAsiaTheme="minorEastAsia" w:cstheme="minorEastAsia"/>
          <w:color w:val="auto"/>
          <w:sz w:val="24"/>
          <w:highlight w:val="none"/>
        </w:rPr>
      </w:pPr>
    </w:p>
    <w:p w14:paraId="742B1BC9">
      <w:pPr>
        <w:ind w:firstLine="4200" w:firstLineChars="1750"/>
        <w:rPr>
          <w:rFonts w:hint="eastAsia" w:asciiTheme="minorEastAsia" w:hAnsiTheme="minorEastAsia" w:eastAsiaTheme="minorEastAsia" w:cstheme="minorEastAsia"/>
          <w:color w:val="auto"/>
          <w:sz w:val="24"/>
          <w:highlight w:val="none"/>
        </w:rPr>
      </w:pPr>
    </w:p>
    <w:p w14:paraId="6033E82F">
      <w:pPr>
        <w:ind w:firstLine="5880" w:firstLine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投标截止时间前不得解密</w:t>
      </w:r>
    </w:p>
    <w:p w14:paraId="163EEAC6">
      <w:pPr>
        <w:ind w:firstLine="6480" w:firstLineChars="2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6ABBA38F">
      <w:pPr>
        <w:widowControl/>
        <w:jc w:val="left"/>
        <w:rPr>
          <w:rFonts w:hint="eastAsia" w:asciiTheme="minorEastAsia" w:hAnsiTheme="minorEastAsia" w:eastAsiaTheme="minorEastAsia" w:cstheme="minorEastAsia"/>
          <w:color w:val="auto"/>
          <w:sz w:val="24"/>
          <w:highlight w:val="none"/>
        </w:rPr>
        <w:sectPr>
          <w:pgSz w:w="11907" w:h="16840"/>
          <w:pgMar w:top="1531" w:right="1418" w:bottom="1361" w:left="1418" w:header="720" w:footer="720" w:gutter="0"/>
          <w:cols w:space="720" w:num="1"/>
        </w:sectPr>
      </w:pPr>
    </w:p>
    <w:p w14:paraId="72799EA7">
      <w:pPr>
        <w:pStyle w:val="12"/>
        <w:jc w:val="center"/>
        <w:outlineLvl w:val="1"/>
        <w:rPr>
          <w:rFonts w:hint="eastAsia" w:asciiTheme="minorEastAsia" w:hAnsiTheme="minorEastAsia" w:eastAsiaTheme="minorEastAsia" w:cstheme="minorEastAsia"/>
          <w:b/>
          <w:bCs/>
          <w:color w:val="auto"/>
          <w:sz w:val="28"/>
          <w:szCs w:val="28"/>
          <w:highlight w:val="none"/>
        </w:rPr>
      </w:pPr>
      <w:bookmarkStart w:id="298" w:name="_Toc14463"/>
      <w:r>
        <w:rPr>
          <w:rFonts w:hint="eastAsia" w:asciiTheme="minorEastAsia" w:hAnsiTheme="minorEastAsia" w:eastAsiaTheme="minorEastAsia" w:cstheme="minorEastAsia"/>
          <w:b/>
          <w:bCs/>
          <w:color w:val="auto"/>
          <w:sz w:val="28"/>
          <w:szCs w:val="28"/>
          <w:highlight w:val="none"/>
        </w:rPr>
        <w:t>第二节 资格证明文件格式</w:t>
      </w:r>
      <w:bookmarkEnd w:id="298"/>
    </w:p>
    <w:p w14:paraId="6F6EB16C">
      <w:pPr>
        <w:pStyle w:val="12"/>
        <w:spacing w:line="360" w:lineRule="auto"/>
        <w:ind w:firstLine="420"/>
        <w:rPr>
          <w:rFonts w:hint="eastAsia" w:asciiTheme="minorEastAsia" w:hAnsiTheme="minorEastAsia" w:eastAsiaTheme="minorEastAsia" w:cstheme="minorEastAsia"/>
          <w:color w:val="auto"/>
          <w:sz w:val="30"/>
          <w:highlight w:val="none"/>
        </w:rPr>
      </w:pPr>
    </w:p>
    <w:p w14:paraId="2013CCAD">
      <w:pPr>
        <w:snapToGrid w:val="0"/>
        <w:spacing w:before="165"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4973C542">
      <w:pPr>
        <w:snapToGrid w:val="0"/>
        <w:spacing w:before="165" w:beforeLines="50" w:after="50"/>
        <w:rPr>
          <w:rFonts w:hint="eastAsia" w:asciiTheme="minorEastAsia" w:hAnsiTheme="minorEastAsia" w:eastAsiaTheme="minorEastAsia" w:cstheme="minorEastAsia"/>
          <w:color w:val="auto"/>
          <w:sz w:val="24"/>
          <w:szCs w:val="20"/>
          <w:highlight w:val="none"/>
        </w:rPr>
      </w:pPr>
    </w:p>
    <w:p w14:paraId="0D029FD3">
      <w:pPr>
        <w:snapToGrid w:val="0"/>
        <w:spacing w:before="165" w:beforeLines="50" w:after="50"/>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资格证明文件（封面）</w:t>
      </w:r>
    </w:p>
    <w:p w14:paraId="6AD36C50">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631499FE">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61B955F9">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0769E684">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6A480B33">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7C67FDC2">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6C828ECC">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6E3EFF1C">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项目名称：2026-2027年度横州市水库移民项目全过程工程咨询项目</w:t>
      </w:r>
    </w:p>
    <w:p w14:paraId="1615E395">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47CD2D60">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项目编号：NNZC2025-G3-270119-JGJD</w:t>
      </w:r>
    </w:p>
    <w:p w14:paraId="26BCE08C">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 </w:t>
      </w:r>
    </w:p>
    <w:p w14:paraId="07019F53">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17E68AC4">
      <w:pPr>
        <w:pStyle w:val="8"/>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p>
    <w:p w14:paraId="3AECFCCC">
      <w:pPr>
        <w:pStyle w:val="8"/>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p>
    <w:p w14:paraId="3251C177">
      <w:pPr>
        <w:pStyle w:val="8"/>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p>
    <w:p w14:paraId="5E10FEF5">
      <w:pPr>
        <w:pStyle w:val="8"/>
        <w:snapToGrid w:val="0"/>
        <w:spacing w:before="50" w:after="50"/>
        <w:ind w:firstLine="960" w:firstLineChars="400"/>
        <w:rPr>
          <w:rFonts w:hint="eastAsia" w:asciiTheme="minorEastAsia" w:hAnsiTheme="minorEastAsia" w:eastAsiaTheme="minorEastAsia" w:cstheme="minorEastAsia"/>
          <w:bCs/>
          <w:color w:val="auto"/>
          <w:sz w:val="24"/>
          <w:szCs w:val="24"/>
          <w:highlight w:val="none"/>
        </w:rPr>
      </w:pPr>
    </w:p>
    <w:p w14:paraId="1A98DAE0">
      <w:pPr>
        <w:snapToGrid w:val="0"/>
        <w:spacing w:before="165" w:beforeLines="50" w:after="50"/>
        <w:ind w:firstLine="64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20DB865">
      <w:pPr>
        <w:widowControl/>
        <w:spacing w:line="360" w:lineRule="auto"/>
        <w:jc w:val="left"/>
        <w:rPr>
          <w:rFonts w:hint="eastAsia"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412C2440">
      <w:pPr>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1028AD65">
      <w:pPr>
        <w:snapToGrid w:val="0"/>
        <w:spacing w:line="360" w:lineRule="auto"/>
        <w:rPr>
          <w:rFonts w:hint="eastAsia" w:asciiTheme="minorEastAsia" w:hAnsiTheme="minorEastAsia" w:eastAsiaTheme="minorEastAsia" w:cstheme="minorEastAsia"/>
          <w:color w:val="auto"/>
          <w:kern w:val="0"/>
          <w:sz w:val="24"/>
          <w:highlight w:val="none"/>
        </w:rPr>
      </w:pPr>
    </w:p>
    <w:p w14:paraId="5493CE9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一、投标人为法人或者其他组织的，提供营业执照等证明文件（如营业执照或者事业单位法人证书或者执业许可证等），投标人为自然人的，提供身份证复印件………（页码）</w:t>
      </w:r>
    </w:p>
    <w:p w14:paraId="6B4136D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二、投标人依法缴纳税收的相关材料…………………………………………………（页码）</w:t>
      </w:r>
    </w:p>
    <w:p w14:paraId="77DA070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三、投标人依法缴纳社会保障资金的相关材料………………………………………（页码）</w:t>
      </w:r>
    </w:p>
    <w:p w14:paraId="23C384C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四、财务状况报告方面的材料…………………………………………………………（页码）</w:t>
      </w:r>
    </w:p>
    <w:p w14:paraId="419CFAF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五、投标人直接控股股东信息表</w:t>
      </w:r>
      <w:r>
        <w:rPr>
          <w:rFonts w:hint="eastAsia" w:asciiTheme="minorEastAsia" w:hAnsiTheme="minorEastAsia" w:eastAsiaTheme="minorEastAsia" w:cstheme="minorEastAsia"/>
          <w:color w:val="auto"/>
          <w:kern w:val="0"/>
          <w:sz w:val="24"/>
          <w:highlight w:val="none"/>
        </w:rPr>
        <w:t>…………………………………………………………（页码）</w:t>
      </w:r>
    </w:p>
    <w:p w14:paraId="0020D25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六、投标人直接关联关系信息表</w:t>
      </w:r>
      <w:r>
        <w:rPr>
          <w:rFonts w:hint="eastAsia" w:asciiTheme="minorEastAsia" w:hAnsiTheme="minorEastAsia" w:eastAsiaTheme="minorEastAsia" w:cstheme="minorEastAsia"/>
          <w:color w:val="auto"/>
          <w:kern w:val="0"/>
          <w:sz w:val="24"/>
          <w:highlight w:val="none"/>
        </w:rPr>
        <w:t>………………………………………………………（页码）</w:t>
      </w:r>
    </w:p>
    <w:p w14:paraId="54B89A1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七、投标资格声明函……………………………………………………………………（页码）</w:t>
      </w:r>
    </w:p>
    <w:p w14:paraId="6779999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八、联合体协议书（以联合体形式投标的，提供联合体协议；本项目不接受联合体投标或者投标人不以联合体形式投标的，则不需要提供）……………………（页码）</w:t>
      </w:r>
    </w:p>
    <w:p w14:paraId="2A40E72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九、符合特定资格条件的有关证明材料（复印件）………………………（页码）</w:t>
      </w:r>
    </w:p>
    <w:p w14:paraId="7E8DFCD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十、除招标文件规定必须提供以外，投标人认为需要提供的其他证明材料</w:t>
      </w:r>
      <w:r>
        <w:rPr>
          <w:rFonts w:hint="eastAsia" w:asciiTheme="minorEastAsia" w:hAnsiTheme="minorEastAsia" w:eastAsiaTheme="minorEastAsia" w:cstheme="minorEastAsia"/>
          <w:color w:val="auto"/>
          <w:kern w:val="0"/>
          <w:sz w:val="24"/>
          <w:highlight w:val="none"/>
        </w:rPr>
        <w:t>……（页码）</w:t>
      </w:r>
    </w:p>
    <w:p w14:paraId="11F3AAA5">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1760B755">
      <w:pPr>
        <w:widowControl/>
        <w:spacing w:line="360" w:lineRule="auto"/>
        <w:jc w:val="left"/>
        <w:rPr>
          <w:rFonts w:hint="eastAsia"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2050DFB1">
      <w:pPr>
        <w:snapToGrid w:val="0"/>
        <w:spacing w:line="360" w:lineRule="auto"/>
        <w:rPr>
          <w:rFonts w:hint="eastAsia" w:asciiTheme="minorEastAsia" w:hAnsiTheme="minorEastAsia" w:eastAsiaTheme="minorEastAsia" w:cstheme="minorEastAsia"/>
          <w:b/>
          <w:color w:val="auto"/>
          <w:kern w:val="0"/>
          <w:sz w:val="32"/>
          <w:szCs w:val="32"/>
          <w:highlight w:val="none"/>
          <w:lang w:val="zh-CN"/>
        </w:rPr>
      </w:pPr>
    </w:p>
    <w:p w14:paraId="4F5F7084">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一、投标人为法人或者其他组织的，提供营业执照等证明文件（如营业执照或者事业单位法人证书或者执业许可证等），投标人为自然人的，提供身份证复印件</w:t>
      </w:r>
    </w:p>
    <w:p w14:paraId="65666948">
      <w:pPr>
        <w:spacing w:line="360" w:lineRule="auto"/>
        <w:rPr>
          <w:rFonts w:hint="eastAsia" w:asciiTheme="minorEastAsia" w:hAnsiTheme="minorEastAsia" w:eastAsiaTheme="minorEastAsia" w:cstheme="minorEastAsia"/>
          <w:b/>
          <w:color w:val="auto"/>
          <w:sz w:val="30"/>
          <w:szCs w:val="30"/>
          <w:highlight w:val="none"/>
        </w:rPr>
      </w:pPr>
    </w:p>
    <w:p w14:paraId="528985D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投标人名称(电子签章)：                              </w:t>
      </w:r>
    </w:p>
    <w:p w14:paraId="192151E2">
      <w:pPr>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kern w:val="0"/>
          <w:sz w:val="24"/>
          <w:highlight w:val="none"/>
          <w:lang w:val="zh-CN"/>
        </w:rPr>
        <w:t xml:space="preserve">                   日期：  年  月</w:t>
      </w:r>
    </w:p>
    <w:p w14:paraId="0A29EB22">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EFD2718">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二、投标人依法缴纳税收的相关材料</w:t>
      </w:r>
    </w:p>
    <w:p w14:paraId="026875F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29E8E867">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03D510A3">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1E77EB1D">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A0D63CB">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0794D05">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05124BB">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三、投标人依法缴纳社会保障资金的相关材料</w:t>
      </w:r>
    </w:p>
    <w:p w14:paraId="0343E79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7E89CD3F">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2384601D">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5193913E">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2E0CC8A">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p>
    <w:p w14:paraId="1005CC3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lang w:val="zh-CN"/>
        </w:rPr>
      </w:pPr>
    </w:p>
    <w:p w14:paraId="2A98C774">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四、</w:t>
      </w:r>
      <w:r>
        <w:rPr>
          <w:rFonts w:hint="eastAsia" w:asciiTheme="minorEastAsia" w:hAnsiTheme="minorEastAsia" w:eastAsiaTheme="minorEastAsia" w:cstheme="minorEastAsia"/>
          <w:b/>
          <w:color w:val="auto"/>
          <w:kern w:val="0"/>
          <w:sz w:val="32"/>
          <w:szCs w:val="32"/>
          <w:highlight w:val="none"/>
          <w:lang w:val="zh-CN"/>
        </w:rPr>
        <w:t>财务状况报告方面的材料</w:t>
      </w:r>
    </w:p>
    <w:p w14:paraId="19E5139D">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p>
    <w:p w14:paraId="14C5CFE3">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p>
    <w:p w14:paraId="4E9D9124">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19D47724">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D78FDF4">
      <w:pPr>
        <w:spacing w:line="360" w:lineRule="auto"/>
        <w:rPr>
          <w:rFonts w:hint="eastAsia" w:asciiTheme="minorEastAsia" w:hAnsiTheme="minorEastAsia" w:eastAsiaTheme="minorEastAsia" w:cstheme="minorEastAsia"/>
          <w:b/>
          <w:color w:val="auto"/>
          <w:kern w:val="0"/>
          <w:sz w:val="32"/>
          <w:szCs w:val="32"/>
          <w:highlight w:val="none"/>
          <w:lang w:val="zh-CN"/>
        </w:rPr>
      </w:pPr>
    </w:p>
    <w:p w14:paraId="2A43D3C8">
      <w:pPr>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五、投标人直接控股股东信息</w:t>
      </w:r>
      <w:r>
        <w:rPr>
          <w:rFonts w:hint="eastAsia" w:asciiTheme="minorEastAsia" w:hAnsiTheme="minorEastAsia" w:eastAsiaTheme="minorEastAsia" w:cstheme="minorEastAsia"/>
          <w:b/>
          <w:color w:val="auto"/>
          <w:kern w:val="0"/>
          <w:sz w:val="32"/>
          <w:szCs w:val="32"/>
          <w:highlight w:val="none"/>
        </w:rPr>
        <w:t>表</w:t>
      </w:r>
    </w:p>
    <w:p w14:paraId="59E94558">
      <w:pPr>
        <w:snapToGrid w:val="0"/>
        <w:spacing w:line="360" w:lineRule="auto"/>
        <w:ind w:right="480"/>
        <w:jc w:val="center"/>
        <w:rPr>
          <w:rFonts w:hint="eastAsia" w:asciiTheme="minorEastAsia" w:hAnsiTheme="minorEastAsia" w:eastAsiaTheme="minorEastAsia" w:cstheme="minorEastAsia"/>
          <w:b/>
          <w:color w:val="auto"/>
          <w:sz w:val="28"/>
          <w:szCs w:val="28"/>
          <w:highlight w:val="none"/>
        </w:rPr>
      </w:pPr>
    </w:p>
    <w:tbl>
      <w:tblPr>
        <w:tblStyle w:val="2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BEE2001">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2A72A7">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B0170F">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2A7054">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82C9F6">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7B9242">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6747025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9E5AEB">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881473">
            <w:pPr>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C25290">
            <w:pPr>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D56E02">
            <w:pPr>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77F32E">
            <w:pPr>
              <w:spacing w:line="360" w:lineRule="auto"/>
              <w:jc w:val="center"/>
              <w:rPr>
                <w:rFonts w:hint="eastAsia" w:asciiTheme="minorEastAsia" w:hAnsiTheme="minorEastAsia" w:eastAsiaTheme="minorEastAsia" w:cstheme="minorEastAsia"/>
                <w:color w:val="auto"/>
                <w:kern w:val="0"/>
                <w:sz w:val="24"/>
                <w:highlight w:val="none"/>
              </w:rPr>
            </w:pPr>
          </w:p>
        </w:tc>
      </w:tr>
      <w:tr w14:paraId="6D57D2D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B38A8">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95E54C">
            <w:pPr>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B47445">
            <w:pPr>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3F3115">
            <w:pPr>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840B03">
            <w:pPr>
              <w:spacing w:line="360" w:lineRule="auto"/>
              <w:jc w:val="center"/>
              <w:rPr>
                <w:rFonts w:hint="eastAsia" w:asciiTheme="minorEastAsia" w:hAnsiTheme="minorEastAsia" w:eastAsiaTheme="minorEastAsia" w:cstheme="minorEastAsia"/>
                <w:color w:val="auto"/>
                <w:kern w:val="0"/>
                <w:sz w:val="24"/>
                <w:highlight w:val="none"/>
              </w:rPr>
            </w:pPr>
          </w:p>
        </w:tc>
      </w:tr>
      <w:tr w14:paraId="06AAE16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F8BFB0">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3DD6D3">
            <w:pPr>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9B391F">
            <w:pPr>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34ED4D">
            <w:pPr>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262782">
            <w:pPr>
              <w:spacing w:line="360" w:lineRule="auto"/>
              <w:jc w:val="center"/>
              <w:rPr>
                <w:rFonts w:hint="eastAsia" w:asciiTheme="minorEastAsia" w:hAnsiTheme="minorEastAsia" w:eastAsiaTheme="minorEastAsia" w:cstheme="minorEastAsia"/>
                <w:color w:val="auto"/>
                <w:kern w:val="0"/>
                <w:sz w:val="24"/>
                <w:highlight w:val="none"/>
              </w:rPr>
            </w:pPr>
          </w:p>
        </w:tc>
      </w:tr>
      <w:tr w14:paraId="07A74F3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556EF5">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DE820B">
            <w:pPr>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9BDADB">
            <w:pPr>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0D3C7B">
            <w:pPr>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81EBEC">
            <w:pPr>
              <w:spacing w:line="360" w:lineRule="auto"/>
              <w:jc w:val="center"/>
              <w:rPr>
                <w:rFonts w:hint="eastAsia" w:asciiTheme="minorEastAsia" w:hAnsiTheme="minorEastAsia" w:eastAsiaTheme="minorEastAsia" w:cstheme="minorEastAsia"/>
                <w:color w:val="auto"/>
                <w:kern w:val="0"/>
                <w:sz w:val="24"/>
                <w:highlight w:val="none"/>
              </w:rPr>
            </w:pPr>
          </w:p>
        </w:tc>
      </w:tr>
    </w:tbl>
    <w:p w14:paraId="6308ADD8">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67EBE04F">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AD2DA0">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2.本表所指的控股关系仅限于直接控股关系，不包括间接的控股关系。公司实际控制人与公司之间的关系不属于本表所指的直接控股关系。</w:t>
      </w:r>
    </w:p>
    <w:p w14:paraId="704FCDB0">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3.供应商不存在直接控股股东的，则填“无”。</w:t>
      </w:r>
    </w:p>
    <w:p w14:paraId="47969F13">
      <w:pPr>
        <w:snapToGrid w:val="0"/>
        <w:spacing w:line="360" w:lineRule="auto"/>
        <w:jc w:val="left"/>
        <w:rPr>
          <w:rFonts w:hint="eastAsia" w:asciiTheme="minorEastAsia" w:hAnsiTheme="minorEastAsia" w:eastAsiaTheme="minorEastAsia" w:cstheme="minorEastAsia"/>
          <w:color w:val="auto"/>
          <w:sz w:val="24"/>
          <w:highlight w:val="none"/>
        </w:rPr>
      </w:pPr>
    </w:p>
    <w:p w14:paraId="433D87FB">
      <w:pPr>
        <w:snapToGrid w:val="0"/>
        <w:spacing w:line="360" w:lineRule="auto"/>
        <w:jc w:val="left"/>
        <w:rPr>
          <w:rFonts w:hint="eastAsia" w:asciiTheme="minorEastAsia" w:hAnsiTheme="minorEastAsia" w:eastAsiaTheme="minorEastAsia" w:cstheme="minorEastAsia"/>
          <w:color w:val="auto"/>
          <w:sz w:val="24"/>
          <w:highlight w:val="none"/>
        </w:rPr>
      </w:pPr>
    </w:p>
    <w:p w14:paraId="220F3A2E">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43E1D3E7">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B3620C2">
      <w:pPr>
        <w:snapToGrid w:val="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16C283B">
      <w:pPr>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六、投标人直接管理关系信息表</w:t>
      </w:r>
    </w:p>
    <w:tbl>
      <w:tblPr>
        <w:tblStyle w:val="2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4865ADA">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E3945C">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B4057F">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BFA6A1">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A23A7E">
            <w:pPr>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3F7DE40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9857E6">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8BBD83">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22F029">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1A3AB9">
            <w:pPr>
              <w:spacing w:line="360" w:lineRule="auto"/>
              <w:jc w:val="center"/>
              <w:rPr>
                <w:rFonts w:hint="eastAsia" w:asciiTheme="minorEastAsia" w:hAnsiTheme="minorEastAsia" w:eastAsiaTheme="minorEastAsia" w:cstheme="minorEastAsia"/>
                <w:color w:val="auto"/>
                <w:kern w:val="0"/>
                <w:sz w:val="24"/>
                <w:highlight w:val="none"/>
              </w:rPr>
            </w:pPr>
          </w:p>
        </w:tc>
      </w:tr>
      <w:tr w14:paraId="103EB05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826C08">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05498F">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DD8444">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9F4B5E">
            <w:pPr>
              <w:spacing w:line="360" w:lineRule="auto"/>
              <w:jc w:val="center"/>
              <w:rPr>
                <w:rFonts w:hint="eastAsia" w:asciiTheme="minorEastAsia" w:hAnsiTheme="minorEastAsia" w:eastAsiaTheme="minorEastAsia" w:cstheme="minorEastAsia"/>
                <w:color w:val="auto"/>
                <w:kern w:val="0"/>
                <w:sz w:val="24"/>
                <w:highlight w:val="none"/>
              </w:rPr>
            </w:pPr>
          </w:p>
        </w:tc>
      </w:tr>
      <w:tr w14:paraId="4004A8E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4B71B">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073D89">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9059D8">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B3E2A0">
            <w:pPr>
              <w:spacing w:line="360" w:lineRule="auto"/>
              <w:jc w:val="center"/>
              <w:rPr>
                <w:rFonts w:hint="eastAsia" w:asciiTheme="minorEastAsia" w:hAnsiTheme="minorEastAsia" w:eastAsiaTheme="minorEastAsia" w:cstheme="minorEastAsia"/>
                <w:color w:val="auto"/>
                <w:kern w:val="0"/>
                <w:sz w:val="24"/>
                <w:highlight w:val="none"/>
              </w:rPr>
            </w:pPr>
          </w:p>
        </w:tc>
      </w:tr>
      <w:tr w14:paraId="15FA663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693994">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417122">
            <w:pPr>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30BEE">
            <w:pPr>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130F69">
            <w:pPr>
              <w:spacing w:line="360" w:lineRule="auto"/>
              <w:jc w:val="center"/>
              <w:rPr>
                <w:rFonts w:hint="eastAsia" w:asciiTheme="minorEastAsia" w:hAnsiTheme="minorEastAsia" w:eastAsiaTheme="minorEastAsia" w:cstheme="minorEastAsia"/>
                <w:color w:val="auto"/>
                <w:kern w:val="0"/>
                <w:sz w:val="24"/>
                <w:highlight w:val="none"/>
              </w:rPr>
            </w:pPr>
          </w:p>
        </w:tc>
      </w:tr>
    </w:tbl>
    <w:p w14:paraId="14686449">
      <w:pPr>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9FEC27C">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1.管理关系：是指不具有出资持股关系的其他单位之间存在的管理与被管理关系，如一些上下级关系的事业单位和团体组织。</w:t>
      </w:r>
    </w:p>
    <w:p w14:paraId="4EE98023">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pacing w:val="-6"/>
          <w:sz w:val="24"/>
          <w:highlight w:val="none"/>
        </w:rPr>
        <w:t>本表所指的管理关系仅限于直接管理关系，不包括间接的管理关系。</w:t>
      </w:r>
    </w:p>
    <w:p w14:paraId="0509F1A2">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3.供应商不存在直接管理关系的，则填“无”。</w:t>
      </w:r>
    </w:p>
    <w:p w14:paraId="4529461F">
      <w:pPr>
        <w:snapToGrid w:val="0"/>
        <w:spacing w:line="360" w:lineRule="auto"/>
        <w:jc w:val="left"/>
        <w:rPr>
          <w:rFonts w:hint="eastAsia" w:asciiTheme="minorEastAsia" w:hAnsiTheme="minorEastAsia" w:eastAsiaTheme="minorEastAsia" w:cstheme="minorEastAsia"/>
          <w:color w:val="auto"/>
          <w:sz w:val="24"/>
          <w:highlight w:val="none"/>
        </w:rPr>
      </w:pPr>
    </w:p>
    <w:p w14:paraId="38B0CAB4">
      <w:pPr>
        <w:snapToGrid w:val="0"/>
        <w:spacing w:line="360" w:lineRule="auto"/>
        <w:jc w:val="left"/>
        <w:rPr>
          <w:rFonts w:hint="eastAsia" w:asciiTheme="minorEastAsia" w:hAnsiTheme="minorEastAsia" w:eastAsiaTheme="minorEastAsia" w:cstheme="minorEastAsia"/>
          <w:color w:val="auto"/>
          <w:sz w:val="24"/>
          <w:highlight w:val="none"/>
        </w:rPr>
      </w:pPr>
    </w:p>
    <w:p w14:paraId="3B05ED49">
      <w:pPr>
        <w:snapToGrid w:val="0"/>
        <w:spacing w:line="360" w:lineRule="auto"/>
        <w:jc w:val="left"/>
        <w:rPr>
          <w:rFonts w:hint="eastAsia" w:asciiTheme="minorEastAsia" w:hAnsiTheme="minorEastAsia" w:eastAsiaTheme="minorEastAsia" w:cstheme="minorEastAsia"/>
          <w:color w:val="auto"/>
          <w:sz w:val="24"/>
          <w:highlight w:val="none"/>
        </w:rPr>
      </w:pPr>
    </w:p>
    <w:p w14:paraId="6A6864CD">
      <w:pPr>
        <w:snapToGrid w:val="0"/>
        <w:spacing w:line="360" w:lineRule="auto"/>
        <w:jc w:val="left"/>
        <w:rPr>
          <w:rFonts w:hint="eastAsia" w:asciiTheme="minorEastAsia" w:hAnsiTheme="minorEastAsia" w:eastAsiaTheme="minorEastAsia" w:cstheme="minorEastAsia"/>
          <w:color w:val="auto"/>
          <w:sz w:val="24"/>
          <w:highlight w:val="none"/>
        </w:rPr>
      </w:pPr>
    </w:p>
    <w:p w14:paraId="597A08C3">
      <w:pPr>
        <w:snapToGrid w:val="0"/>
        <w:spacing w:line="360" w:lineRule="auto"/>
        <w:jc w:val="left"/>
        <w:rPr>
          <w:rFonts w:hint="eastAsia" w:asciiTheme="minorEastAsia" w:hAnsiTheme="minorEastAsia" w:eastAsiaTheme="minorEastAsia" w:cstheme="minorEastAsia"/>
          <w:color w:val="auto"/>
          <w:sz w:val="24"/>
          <w:highlight w:val="none"/>
        </w:rPr>
      </w:pPr>
    </w:p>
    <w:p w14:paraId="235AAED3">
      <w:pPr>
        <w:snapToGrid w:val="0"/>
        <w:spacing w:line="360" w:lineRule="auto"/>
        <w:jc w:val="left"/>
        <w:rPr>
          <w:rFonts w:hint="eastAsia" w:asciiTheme="minorEastAsia" w:hAnsiTheme="minorEastAsia" w:eastAsiaTheme="minorEastAsia" w:cstheme="minorEastAsia"/>
          <w:color w:val="auto"/>
          <w:sz w:val="24"/>
          <w:highlight w:val="none"/>
        </w:rPr>
      </w:pPr>
    </w:p>
    <w:p w14:paraId="13F8F4EE">
      <w:pPr>
        <w:snapToGrid w:val="0"/>
        <w:spacing w:line="360" w:lineRule="auto"/>
        <w:jc w:val="left"/>
        <w:rPr>
          <w:rFonts w:hint="eastAsia" w:asciiTheme="minorEastAsia" w:hAnsiTheme="minorEastAsia" w:eastAsiaTheme="minorEastAsia" w:cstheme="minorEastAsia"/>
          <w:color w:val="auto"/>
          <w:sz w:val="24"/>
          <w:highlight w:val="none"/>
        </w:rPr>
      </w:pPr>
    </w:p>
    <w:p w14:paraId="44FA48B8">
      <w:pPr>
        <w:snapToGrid w:val="0"/>
        <w:spacing w:line="360" w:lineRule="auto"/>
        <w:jc w:val="left"/>
        <w:rPr>
          <w:rFonts w:hint="eastAsia" w:asciiTheme="minorEastAsia" w:hAnsiTheme="minorEastAsia" w:eastAsiaTheme="minorEastAsia" w:cstheme="minorEastAsia"/>
          <w:color w:val="auto"/>
          <w:sz w:val="24"/>
          <w:highlight w:val="none"/>
        </w:rPr>
      </w:pPr>
    </w:p>
    <w:p w14:paraId="23942F9C">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20B6D89C">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A84D08A">
      <w:pPr>
        <w:snapToGrid w:val="0"/>
        <w:spacing w:before="50" w:after="165" w:afterLines="50"/>
        <w:jc w:val="left"/>
        <w:rPr>
          <w:rFonts w:hint="eastAsia" w:asciiTheme="minorEastAsia" w:hAnsiTheme="minorEastAsia" w:eastAsiaTheme="minorEastAsia" w:cstheme="minorEastAsia"/>
          <w:color w:val="auto"/>
          <w:szCs w:val="21"/>
          <w:highlight w:val="none"/>
        </w:rPr>
      </w:pPr>
    </w:p>
    <w:p w14:paraId="4306758A">
      <w:pPr>
        <w:snapToGrid w:val="0"/>
        <w:spacing w:before="165" w:beforeLines="50" w:after="50"/>
        <w:jc w:val="left"/>
        <w:rPr>
          <w:rFonts w:hint="eastAsia" w:asciiTheme="minorEastAsia" w:hAnsiTheme="minorEastAsia" w:eastAsiaTheme="minorEastAsia" w:cstheme="minorEastAsia"/>
          <w:b/>
          <w:color w:val="auto"/>
          <w:sz w:val="24"/>
          <w:szCs w:val="20"/>
          <w:highlight w:val="none"/>
        </w:rPr>
      </w:pPr>
    </w:p>
    <w:p w14:paraId="22244890">
      <w:pPr>
        <w:snapToGrid w:val="0"/>
        <w:spacing w:before="165" w:beforeLines="50" w:after="50"/>
        <w:jc w:val="left"/>
        <w:rPr>
          <w:rFonts w:hint="eastAsia" w:asciiTheme="minorEastAsia" w:hAnsiTheme="minorEastAsia" w:eastAsiaTheme="minorEastAsia" w:cstheme="minorEastAsia"/>
          <w:b/>
          <w:color w:val="auto"/>
          <w:sz w:val="24"/>
          <w:highlight w:val="none"/>
        </w:rPr>
      </w:pPr>
    </w:p>
    <w:p w14:paraId="4450049B">
      <w:pPr>
        <w:snapToGrid w:val="0"/>
        <w:spacing w:before="165" w:beforeLines="50" w:after="50"/>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xml:space="preserve"> </w:t>
      </w:r>
    </w:p>
    <w:p w14:paraId="2F9E21E3">
      <w:pPr>
        <w:snapToGrid w:val="0"/>
        <w:spacing w:before="165" w:beforeLines="50" w:after="50"/>
        <w:jc w:val="left"/>
        <w:rPr>
          <w:rFonts w:hint="eastAsia" w:asciiTheme="minorEastAsia" w:hAnsiTheme="minorEastAsia" w:eastAsiaTheme="minorEastAsia" w:cstheme="minorEastAsia"/>
          <w:b/>
          <w:color w:val="auto"/>
          <w:sz w:val="24"/>
          <w:szCs w:val="20"/>
          <w:highlight w:val="none"/>
        </w:rPr>
      </w:pPr>
    </w:p>
    <w:p w14:paraId="13D850C8">
      <w:pPr>
        <w:snapToGrid w:val="0"/>
        <w:spacing w:before="165" w:beforeLines="50" w:after="50"/>
        <w:jc w:val="left"/>
        <w:rPr>
          <w:rFonts w:hint="eastAsia" w:asciiTheme="minorEastAsia" w:hAnsiTheme="minorEastAsia" w:eastAsiaTheme="minorEastAsia" w:cstheme="minorEastAsia"/>
          <w:b/>
          <w:color w:val="auto"/>
          <w:sz w:val="24"/>
          <w:szCs w:val="20"/>
          <w:highlight w:val="none"/>
        </w:rPr>
      </w:pPr>
    </w:p>
    <w:p w14:paraId="1B2B1CA4">
      <w:pPr>
        <w:snapToGrid w:val="0"/>
        <w:spacing w:before="50" w:after="165" w:afterLines="50"/>
        <w:jc w:val="left"/>
        <w:rPr>
          <w:rFonts w:hint="eastAsia" w:asciiTheme="minorEastAsia" w:hAnsiTheme="minorEastAsia" w:eastAsiaTheme="minorEastAsia" w:cstheme="minorEastAsia"/>
          <w:color w:val="auto"/>
          <w:highlight w:val="none"/>
        </w:rPr>
      </w:pPr>
    </w:p>
    <w:p w14:paraId="13FE53B5">
      <w:pPr>
        <w:snapToGrid w:val="0"/>
        <w:spacing w:before="50" w:after="165" w:afterLines="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七、投标资格声明函</w:t>
      </w:r>
    </w:p>
    <w:p w14:paraId="13970A8C">
      <w:pPr>
        <w:tabs>
          <w:tab w:val="left" w:pos="7200"/>
        </w:tabs>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致：</w:t>
      </w:r>
      <w:bookmarkStart w:id="299" w:name="PO_3000001866_PM031_5"/>
      <w:r>
        <w:rPr>
          <w:rFonts w:hint="eastAsia" w:asciiTheme="minorEastAsia" w:hAnsiTheme="minorEastAsia" w:eastAsiaTheme="minorEastAsia" w:cstheme="minorEastAsia"/>
          <w:color w:val="auto"/>
          <w:szCs w:val="21"/>
          <w:highlight w:val="none"/>
          <w:u w:val="single"/>
        </w:rPr>
        <w:t>广西建设工程机电设备招标中心有限公司</w:t>
      </w:r>
      <w:bookmarkEnd w:id="299"/>
      <w:r>
        <w:rPr>
          <w:rFonts w:hint="eastAsia" w:asciiTheme="minorEastAsia" w:hAnsiTheme="minorEastAsia" w:eastAsiaTheme="minorEastAsia" w:cstheme="minorEastAsia"/>
          <w:color w:val="auto"/>
          <w:szCs w:val="21"/>
          <w:highlight w:val="none"/>
          <w:u w:val="single"/>
        </w:rPr>
        <w:t xml:space="preserve"> </w:t>
      </w:r>
    </w:p>
    <w:p w14:paraId="04DD8953">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我方愿意参加贵方组织的_</w:t>
      </w:r>
      <w:r>
        <w:rPr>
          <w:rFonts w:hint="eastAsia" w:asciiTheme="minorEastAsia" w:hAnsiTheme="minorEastAsia" w:eastAsiaTheme="minorEastAsia" w:cstheme="minorEastAsia"/>
          <w:color w:val="auto"/>
          <w:szCs w:val="21"/>
          <w:highlight w:val="none"/>
          <w:u w:val="single"/>
        </w:rPr>
        <w:t xml:space="preserve">2026-2027年度横州市水库移民项目全过程工程咨询项目 </w:t>
      </w:r>
      <w:r>
        <w:rPr>
          <w:rFonts w:hint="eastAsia" w:asciiTheme="minorEastAsia" w:hAnsiTheme="minorEastAsia" w:eastAsiaTheme="minorEastAsia" w:cstheme="minorEastAsia"/>
          <w:color w:val="auto"/>
          <w:szCs w:val="21"/>
          <w:highlight w:val="none"/>
        </w:rPr>
        <w:t>_（项目编号：NNZC2025-G3-270119-JGJD ）项目的投标，为便于贵方公正、择优地确定中标人，我方就本次投标有关事项郑重声明如下：</w:t>
      </w:r>
    </w:p>
    <w:p w14:paraId="6DE35965">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6D5ACFD">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我方不是采购人的附属机构；在获知本项目采购信息后，与采购人聘请的为此项目提供咨询服务的公司及其附属机构没有任何联系。</w:t>
      </w:r>
    </w:p>
    <w:p w14:paraId="05BF1345">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3.经查询，在“信用中国”和“中国政府采购网”网站我方未被列入失信被执行人、重大税收违法案件当事人名单、政府采购严重违法失信行为记录名单。</w:t>
      </w:r>
    </w:p>
    <w:p w14:paraId="5B3D1EB4">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4.以上事项如有虚假或隐瞒，我方愿意承担一切后果，并不再寻求任何旨在减轻或免除法律责任的辩解。 </w:t>
      </w:r>
    </w:p>
    <w:p w14:paraId="6C61D873">
      <w:pPr>
        <w:tabs>
          <w:tab w:val="left" w:pos="7200"/>
        </w:tabs>
        <w:ind w:firstLine="270" w:firstLineChars="1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说明：</w:t>
      </w:r>
    </w:p>
    <w:p w14:paraId="5597C369">
      <w:pPr>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0DB4C11">
      <w:pPr>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006442">
      <w:pPr>
        <w:snapToGrid w:val="0"/>
        <w:spacing w:before="50" w:after="165" w:afterLines="5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 </w:t>
      </w:r>
      <w:r>
        <w:rPr>
          <w:rFonts w:hint="eastAsia" w:asciiTheme="minorEastAsia" w:hAnsiTheme="minorEastAsia" w:eastAsiaTheme="minorEastAsia" w:cstheme="minorEastAsia"/>
          <w:b/>
          <w:color w:val="auto"/>
          <w:sz w:val="18"/>
          <w:szCs w:val="18"/>
          <w:highlight w:val="none"/>
        </w:rPr>
        <w:t xml:space="preserve">  3.如为联合体投标，盖章处须加盖联合体各方公章并由联合体各方法定代表人分别签署，否则投标无效。</w:t>
      </w:r>
    </w:p>
    <w:p w14:paraId="4B8300A8">
      <w:pPr>
        <w:snapToGrid w:val="0"/>
        <w:spacing w:before="50" w:after="331" w:afterLines="100"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862EF8C">
      <w:pPr>
        <w:snapToGrid w:val="0"/>
        <w:spacing w:before="50" w:after="331" w:afterLines="100" w:line="360" w:lineRule="auto"/>
        <w:ind w:left="7428" w:leftChars="2223" w:hanging="2760" w:hangingChars="115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r>
        <w:rPr>
          <w:rFonts w:hint="eastAsia" w:asciiTheme="minorEastAsia" w:hAnsiTheme="minorEastAsia" w:eastAsiaTheme="minorEastAsia" w:cstheme="minorEastAsia"/>
          <w:color w:val="auto"/>
          <w:szCs w:val="21"/>
          <w:highlight w:val="none"/>
        </w:rPr>
        <w:t xml:space="preserve">                                     年    月    日</w:t>
      </w:r>
    </w:p>
    <w:p w14:paraId="27E0794F">
      <w:pPr>
        <w:pStyle w:val="12"/>
        <w:spacing w:line="600" w:lineRule="exact"/>
        <w:jc w:val="center"/>
        <w:rPr>
          <w:rFonts w:hint="eastAsia" w:asciiTheme="minorEastAsia" w:hAnsiTheme="minorEastAsia" w:eastAsiaTheme="minorEastAsia" w:cstheme="minorEastAsia"/>
          <w:b/>
          <w:bCs/>
          <w:color w:val="auto"/>
          <w:sz w:val="30"/>
          <w:szCs w:val="30"/>
          <w:highlight w:val="none"/>
        </w:rPr>
      </w:pPr>
    </w:p>
    <w:p w14:paraId="23351C26">
      <w:pPr>
        <w:pStyle w:val="12"/>
        <w:spacing w:line="600" w:lineRule="exact"/>
        <w:jc w:val="center"/>
        <w:rPr>
          <w:rFonts w:hint="eastAsia" w:asciiTheme="minorEastAsia" w:hAnsiTheme="minorEastAsia" w:eastAsiaTheme="minorEastAsia" w:cstheme="minorEastAsia"/>
          <w:b/>
          <w:bCs/>
          <w:color w:val="auto"/>
          <w:sz w:val="30"/>
          <w:szCs w:val="30"/>
          <w:highlight w:val="none"/>
        </w:rPr>
      </w:pPr>
    </w:p>
    <w:p w14:paraId="7FB3310F">
      <w:pPr>
        <w:widowControl/>
        <w:jc w:val="left"/>
        <w:rPr>
          <w:rFonts w:hint="eastAsia" w:asciiTheme="minorEastAsia" w:hAnsiTheme="minorEastAsia" w:eastAsiaTheme="minorEastAsia" w:cstheme="minorEastAsia"/>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66D19406">
      <w:pPr>
        <w:snapToGrid w:val="0"/>
        <w:spacing w:before="50" w:after="165" w:afterLines="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八、</w:t>
      </w:r>
      <w:r>
        <w:rPr>
          <w:rFonts w:hint="eastAsia"/>
          <w:b/>
          <w:bCs/>
          <w:color w:val="auto"/>
          <w:sz w:val="30"/>
          <w:szCs w:val="30"/>
          <w:highlight w:val="none"/>
        </w:rPr>
        <w:t>联合体协议书</w:t>
      </w:r>
    </w:p>
    <w:p w14:paraId="4EBB5365">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广西建设工程机电设备招标中心有限公司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2026-2027年度横州市水库移民项目全过程工程咨询项目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NNZC2025-G3-270119-JGJD</w:t>
      </w:r>
      <w:r>
        <w:rPr>
          <w:rFonts w:hint="eastAsia" w:ascii="宋体" w:cs="宋体"/>
          <w:color w:val="auto"/>
          <w:kern w:val="0"/>
          <w:szCs w:val="21"/>
          <w:highlight w:val="none"/>
        </w:rPr>
        <w:t>）投标。现就联合体投标事宜订立如下协议：</w:t>
      </w:r>
    </w:p>
    <w:p w14:paraId="58A18F2A">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78408DB0">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220B251">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联合体各成员将严格按照招标文件、投标文件和合同的要求全面履行义务，并向招标人承担连带责任。</w:t>
      </w:r>
    </w:p>
    <w:p w14:paraId="30C2DAB9">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w:t>
      </w:r>
      <w:r>
        <w:rPr>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0B6AD1D8">
      <w:pPr>
        <w:pStyle w:val="12"/>
        <w:spacing w:line="360" w:lineRule="auto"/>
        <w:ind w:firstLine="420" w:firstLineChars="200"/>
        <w:rPr>
          <w:rFonts w:ascii="Times New Roman" w:hAnsi="Times New Roman"/>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color w:val="auto"/>
          <w:highlight w:val="none"/>
          <w:u w:val="single"/>
        </w:rPr>
        <w:t>________________________</w:t>
      </w:r>
      <w:r>
        <w:rPr>
          <w:rFonts w:hint="eastAsia" w:hAnsi="宋体" w:cs="宋体"/>
          <w:color w:val="auto"/>
          <w:kern w:val="0"/>
          <w:highlight w:val="none"/>
          <w:u w:val="single"/>
        </w:rPr>
        <w:t>（某成员单位名称）为</w:t>
      </w:r>
      <w:r>
        <w:rPr>
          <w:rFonts w:hint="eastAsia"/>
          <w:color w:val="auto"/>
          <w:highlight w:val="none"/>
          <w:u w:val="single"/>
        </w:rPr>
        <w:t>______</w:t>
      </w:r>
      <w:r>
        <w:rPr>
          <w:rFonts w:hint="eastAsia"/>
          <w:color w:val="auto"/>
          <w:highlight w:val="none"/>
        </w:rPr>
        <w:t>（请填写：中型、小型、微型）企业，其协议合同金额占联合体协议合同总金额的</w:t>
      </w:r>
      <w:r>
        <w:rPr>
          <w:rFonts w:hint="eastAsia"/>
          <w:color w:val="auto"/>
          <w:highlight w:val="none"/>
          <w:u w:val="single"/>
        </w:rPr>
        <w:t>______</w:t>
      </w:r>
      <w:r>
        <w:rPr>
          <w:rFonts w:hint="eastAsia"/>
          <w:color w:val="auto"/>
          <w:highlight w:val="none"/>
        </w:rPr>
        <w:t>%。【如联合体成员中有小型、微型企业的，请填写此条，否则无需填写；如联合体成员中有多个小型、微型企业的，请逐一列出。】</w:t>
      </w:r>
    </w:p>
    <w:p w14:paraId="6ACED247">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019F241B">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3E2F19DA">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56A45BFD">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58EDDC5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2AD582E2">
      <w:pPr>
        <w:autoSpaceDE w:val="0"/>
        <w:autoSpaceDN w:val="0"/>
        <w:adjustRightInd w:val="0"/>
        <w:spacing w:line="360" w:lineRule="auto"/>
        <w:jc w:val="left"/>
        <w:rPr>
          <w:rFonts w:ascii="宋体" w:cs="宋体"/>
          <w:color w:val="auto"/>
          <w:kern w:val="0"/>
          <w:szCs w:val="21"/>
          <w:highlight w:val="none"/>
        </w:rPr>
      </w:pPr>
    </w:p>
    <w:p w14:paraId="2B0E68AE">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6050546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5ABB46AD">
      <w:pPr>
        <w:autoSpaceDE w:val="0"/>
        <w:autoSpaceDN w:val="0"/>
        <w:adjustRightInd w:val="0"/>
        <w:spacing w:line="360" w:lineRule="auto"/>
        <w:jc w:val="left"/>
        <w:rPr>
          <w:rFonts w:ascii="宋体" w:cs="宋体"/>
          <w:color w:val="auto"/>
          <w:kern w:val="0"/>
          <w:szCs w:val="21"/>
          <w:highlight w:val="none"/>
        </w:rPr>
      </w:pPr>
    </w:p>
    <w:p w14:paraId="5B812DE7">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30568B2E">
      <w:pPr>
        <w:pStyle w:val="12"/>
        <w:spacing w:line="600" w:lineRule="exact"/>
        <w:rPr>
          <w:rFonts w:hint="eastAsia" w:asciiTheme="minorEastAsia" w:hAnsiTheme="minorEastAsia" w:eastAsiaTheme="minorEastAsia" w:cstheme="minorEastAsia"/>
          <w:color w:val="auto"/>
          <w:kern w:val="0"/>
          <w:szCs w:val="21"/>
          <w:highlight w:val="none"/>
        </w:rPr>
      </w:pPr>
      <w:r>
        <w:rPr>
          <w:rFonts w:hint="eastAsia" w:cs="宋体"/>
          <w:color w:val="auto"/>
          <w:kern w:val="0"/>
          <w:szCs w:val="21"/>
          <w:highlight w:val="none"/>
        </w:rPr>
        <w:t>法定代表人或其委托代理人：</w:t>
      </w:r>
      <w:r>
        <w:rPr>
          <w:rFonts w:hint="eastAsia" w:cs="宋体"/>
          <w:color w:val="auto"/>
          <w:kern w:val="0"/>
          <w:szCs w:val="21"/>
          <w:highlight w:val="none"/>
          <w:u w:val="single"/>
        </w:rPr>
        <w:t xml:space="preserve">                         </w:t>
      </w:r>
      <w:r>
        <w:rPr>
          <w:rFonts w:hint="eastAsia" w:cs="宋体"/>
          <w:color w:val="auto"/>
          <w:kern w:val="0"/>
          <w:szCs w:val="21"/>
          <w:highlight w:val="none"/>
        </w:rPr>
        <w:t>（</w:t>
      </w:r>
      <w:r>
        <w:rPr>
          <w:rFonts w:hint="eastAsia" w:hAnsi="Times New Roman" w:cs="宋体"/>
          <w:color w:val="auto"/>
          <w:kern w:val="0"/>
          <w:szCs w:val="21"/>
          <w:highlight w:val="none"/>
        </w:rPr>
        <w:t>手写签名</w:t>
      </w:r>
      <w:r>
        <w:rPr>
          <w:rFonts w:hint="eastAsia" w:cs="宋体"/>
          <w:color w:val="auto"/>
          <w:kern w:val="0"/>
          <w:szCs w:val="21"/>
          <w:highlight w:val="none"/>
        </w:rPr>
        <w:t>/</w:t>
      </w:r>
      <w:r>
        <w:rPr>
          <w:rFonts w:hint="eastAsia" w:hAnsi="Times New Roman" w:cs="宋体"/>
          <w:color w:val="auto"/>
          <w:kern w:val="0"/>
          <w:szCs w:val="21"/>
          <w:highlight w:val="none"/>
        </w:rPr>
        <w:t>电子签名</w:t>
      </w:r>
      <w:r>
        <w:rPr>
          <w:rFonts w:hint="eastAsia" w:cs="宋体"/>
          <w:color w:val="auto"/>
          <w:kern w:val="0"/>
          <w:szCs w:val="21"/>
          <w:highlight w:val="none"/>
        </w:rPr>
        <w:t>）</w:t>
      </w:r>
    </w:p>
    <w:p w14:paraId="17047A57">
      <w:pPr>
        <w:pStyle w:val="12"/>
        <w:spacing w:line="600" w:lineRule="exact"/>
        <w:jc w:val="center"/>
        <w:rPr>
          <w:rFonts w:hint="eastAsia" w:asciiTheme="minorEastAsia" w:hAnsiTheme="minorEastAsia" w:eastAsiaTheme="minorEastAsia" w:cstheme="minorEastAsia"/>
          <w:color w:val="auto"/>
          <w:kern w:val="0"/>
          <w:szCs w:val="21"/>
          <w:highlight w:val="none"/>
        </w:rPr>
      </w:pPr>
    </w:p>
    <w:p w14:paraId="3DC3AD06">
      <w:pPr>
        <w:pStyle w:val="6"/>
        <w:rPr>
          <w:color w:val="auto"/>
          <w:highlight w:val="none"/>
        </w:rPr>
      </w:pPr>
    </w:p>
    <w:p w14:paraId="18FAB31D">
      <w:pPr>
        <w:pStyle w:val="12"/>
        <w:spacing w:line="6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九、</w:t>
      </w:r>
      <w:r>
        <w:rPr>
          <w:rFonts w:hint="eastAsia" w:ascii="Times New Roman" w:hAnsi="Times New Roman"/>
          <w:b/>
          <w:bCs/>
          <w:color w:val="auto"/>
          <w:sz w:val="30"/>
          <w:szCs w:val="30"/>
          <w:highlight w:val="none"/>
        </w:rPr>
        <w:t>符合特定资格条件的有关证明材料</w:t>
      </w:r>
    </w:p>
    <w:p w14:paraId="61A57F84">
      <w:pPr>
        <w:pStyle w:val="12"/>
        <w:spacing w:line="600" w:lineRule="exact"/>
        <w:jc w:val="center"/>
        <w:rPr>
          <w:rFonts w:hint="eastAsia" w:asciiTheme="minorEastAsia" w:hAnsiTheme="minorEastAsia" w:eastAsiaTheme="minorEastAsia" w:cstheme="minorEastAsia"/>
          <w:b/>
          <w:bCs/>
          <w:color w:val="auto"/>
          <w:sz w:val="30"/>
          <w:szCs w:val="30"/>
          <w:highlight w:val="none"/>
        </w:rPr>
      </w:pPr>
    </w:p>
    <w:p w14:paraId="1DFA6753">
      <w:pPr>
        <w:pStyle w:val="6"/>
        <w:rPr>
          <w:color w:val="auto"/>
          <w:highlight w:val="none"/>
        </w:rPr>
      </w:pPr>
    </w:p>
    <w:p w14:paraId="381728B8">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投标人名称(电子签章)：</w:t>
      </w:r>
    </w:p>
    <w:p w14:paraId="66B6E511">
      <w:pPr>
        <w:snapToGrid w:val="0"/>
        <w:spacing w:line="360" w:lineRule="auto"/>
        <w:ind w:firstLine="5040" w:firstLineChars="210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11B869A">
      <w:pPr>
        <w:pStyle w:val="12"/>
        <w:spacing w:line="600" w:lineRule="exact"/>
        <w:jc w:val="center"/>
        <w:rPr>
          <w:rFonts w:hint="eastAsia" w:asciiTheme="minorEastAsia" w:hAnsiTheme="minorEastAsia" w:eastAsiaTheme="minorEastAsia" w:cstheme="minorEastAsia"/>
          <w:b/>
          <w:bCs/>
          <w:color w:val="auto"/>
          <w:sz w:val="30"/>
          <w:szCs w:val="30"/>
          <w:highlight w:val="none"/>
        </w:rPr>
      </w:pPr>
    </w:p>
    <w:p w14:paraId="53E18818">
      <w:pPr>
        <w:pStyle w:val="12"/>
        <w:spacing w:line="6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十、除招标文件规定必须提供以外，投标人认为需要提供的其他证明材料</w:t>
      </w:r>
    </w:p>
    <w:p w14:paraId="2F807D78">
      <w:pPr>
        <w:pStyle w:val="12"/>
        <w:spacing w:line="600" w:lineRule="exact"/>
        <w:jc w:val="center"/>
        <w:rPr>
          <w:rFonts w:hint="eastAsia" w:asciiTheme="minorEastAsia" w:hAnsiTheme="minorEastAsia" w:eastAsiaTheme="minorEastAsia" w:cstheme="minorEastAsia"/>
          <w:b/>
          <w:bCs/>
          <w:color w:val="auto"/>
          <w:sz w:val="30"/>
          <w:szCs w:val="30"/>
          <w:highlight w:val="none"/>
        </w:rPr>
      </w:pPr>
    </w:p>
    <w:p w14:paraId="1A2C18D9">
      <w:pPr>
        <w:pStyle w:val="12"/>
        <w:spacing w:line="600" w:lineRule="exact"/>
        <w:jc w:val="center"/>
        <w:rPr>
          <w:rFonts w:hint="eastAsia" w:asciiTheme="minorEastAsia" w:hAnsiTheme="minorEastAsia" w:eastAsiaTheme="minorEastAsia" w:cstheme="minorEastAsia"/>
          <w:b/>
          <w:bCs/>
          <w:color w:val="auto"/>
          <w:sz w:val="30"/>
          <w:szCs w:val="30"/>
          <w:highlight w:val="none"/>
        </w:rPr>
      </w:pPr>
    </w:p>
    <w:p w14:paraId="4FDAACC7">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0512C8B0">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4FCEAA0">
      <w:pPr>
        <w:widowControl/>
        <w:spacing w:line="360" w:lineRule="auto"/>
        <w:jc w:val="left"/>
        <w:rPr>
          <w:rFonts w:hint="eastAsia" w:asciiTheme="minorEastAsia" w:hAnsiTheme="minorEastAsia" w:eastAsiaTheme="minorEastAsia" w:cstheme="minorEastAsia"/>
          <w:color w:val="auto"/>
          <w:szCs w:val="21"/>
          <w:highlight w:val="none"/>
        </w:rPr>
        <w:sectPr>
          <w:pgSz w:w="11906" w:h="16838"/>
          <w:pgMar w:top="1134" w:right="1134" w:bottom="1134" w:left="1134" w:header="720" w:footer="720" w:gutter="0"/>
          <w:cols w:space="720" w:num="1"/>
          <w:docGrid w:type="lines" w:linePitch="331" w:charSpace="0"/>
        </w:sectPr>
      </w:pPr>
    </w:p>
    <w:p w14:paraId="078D68B0">
      <w:pPr>
        <w:pStyle w:val="12"/>
        <w:rPr>
          <w:rFonts w:hint="eastAsia" w:asciiTheme="minorEastAsia" w:hAnsiTheme="minorEastAsia" w:eastAsiaTheme="minorEastAsia" w:cstheme="minorEastAsia"/>
          <w:color w:val="auto"/>
          <w:szCs w:val="21"/>
          <w:highlight w:val="none"/>
        </w:rPr>
      </w:pPr>
    </w:p>
    <w:p w14:paraId="025884D4">
      <w:pPr>
        <w:pStyle w:val="12"/>
        <w:jc w:val="center"/>
        <w:outlineLvl w:val="1"/>
        <w:rPr>
          <w:rFonts w:hint="eastAsia" w:asciiTheme="minorEastAsia" w:hAnsiTheme="minorEastAsia" w:eastAsiaTheme="minorEastAsia" w:cstheme="minorEastAsia"/>
          <w:b/>
          <w:bCs/>
          <w:color w:val="auto"/>
          <w:sz w:val="28"/>
          <w:szCs w:val="28"/>
          <w:highlight w:val="none"/>
        </w:rPr>
      </w:pPr>
      <w:bookmarkStart w:id="300" w:name="_Toc29299"/>
      <w:bookmarkStart w:id="301" w:name="_Toc19686838"/>
      <w:r>
        <w:rPr>
          <w:rFonts w:hint="eastAsia" w:asciiTheme="minorEastAsia" w:hAnsiTheme="minorEastAsia" w:eastAsiaTheme="minorEastAsia" w:cstheme="minorEastAsia"/>
          <w:b/>
          <w:bCs/>
          <w:color w:val="auto"/>
          <w:sz w:val="28"/>
          <w:szCs w:val="28"/>
          <w:highlight w:val="none"/>
        </w:rPr>
        <w:t>第三节 商务文件格式</w:t>
      </w:r>
      <w:bookmarkEnd w:id="300"/>
      <w:bookmarkEnd w:id="301"/>
    </w:p>
    <w:p w14:paraId="6A05B933">
      <w:pPr>
        <w:snapToGrid w:val="0"/>
        <w:spacing w:before="165" w:beforeLines="50" w:after="50"/>
        <w:rPr>
          <w:rFonts w:hint="eastAsia" w:asciiTheme="minorEastAsia" w:hAnsiTheme="minorEastAsia" w:eastAsiaTheme="minorEastAsia" w:cstheme="minorEastAsia"/>
          <w:color w:val="auto"/>
          <w:sz w:val="30"/>
          <w:szCs w:val="20"/>
          <w:highlight w:val="none"/>
        </w:rPr>
      </w:pPr>
    </w:p>
    <w:p w14:paraId="3C856648">
      <w:pPr>
        <w:snapToGrid w:val="0"/>
        <w:spacing w:before="165"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 xml:space="preserve">             电子投标文件</w:t>
      </w:r>
    </w:p>
    <w:p w14:paraId="5D25BCF2">
      <w:pPr>
        <w:snapToGrid w:val="0"/>
        <w:spacing w:before="165" w:beforeLines="50" w:after="50"/>
        <w:rPr>
          <w:rFonts w:hint="eastAsia" w:asciiTheme="minorEastAsia" w:hAnsiTheme="minorEastAsia" w:eastAsiaTheme="minorEastAsia" w:cstheme="minorEastAsia"/>
          <w:color w:val="auto"/>
          <w:sz w:val="24"/>
          <w:szCs w:val="20"/>
          <w:highlight w:val="none"/>
        </w:rPr>
      </w:pPr>
    </w:p>
    <w:p w14:paraId="32AD65B9">
      <w:pPr>
        <w:snapToGrid w:val="0"/>
        <w:spacing w:before="165" w:beforeLines="50" w:after="50"/>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商务文件（封面）</w:t>
      </w:r>
    </w:p>
    <w:p w14:paraId="12F895F4">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7D434F51">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项目名称：2026-2027年度横州市水库移民项目全过程工程咨询项目</w:t>
      </w:r>
    </w:p>
    <w:p w14:paraId="3898BED0">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7853FAB7">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项目编号：NNZC2025-G3-270119-JGJD</w:t>
      </w:r>
    </w:p>
    <w:p w14:paraId="284E0503">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 </w:t>
      </w:r>
    </w:p>
    <w:p w14:paraId="05B03694">
      <w:pPr>
        <w:snapToGrid w:val="0"/>
        <w:spacing w:before="165" w:beforeLines="50" w:after="50"/>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00268BAE">
      <w:pPr>
        <w:snapToGrid w:val="0"/>
        <w:spacing w:before="165" w:beforeLines="50" w:after="50"/>
        <w:ind w:firstLine="540" w:firstLineChars="225"/>
        <w:rPr>
          <w:rFonts w:hint="eastAsia" w:asciiTheme="minorEastAsia" w:hAnsiTheme="minorEastAsia" w:eastAsiaTheme="minorEastAsia" w:cstheme="minorEastAsia"/>
          <w:bCs/>
          <w:color w:val="auto"/>
          <w:sz w:val="24"/>
          <w:szCs w:val="20"/>
          <w:highlight w:val="none"/>
        </w:rPr>
      </w:pPr>
    </w:p>
    <w:p w14:paraId="72209590">
      <w:pPr>
        <w:pStyle w:val="8"/>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p>
    <w:p w14:paraId="26437512">
      <w:pPr>
        <w:pStyle w:val="8"/>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p>
    <w:p w14:paraId="04A4D0D8">
      <w:pPr>
        <w:pStyle w:val="8"/>
        <w:snapToGrid w:val="0"/>
        <w:spacing w:before="50" w:after="50"/>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投标人地址：</w:t>
      </w:r>
    </w:p>
    <w:p w14:paraId="10C4E71E">
      <w:pPr>
        <w:pStyle w:val="8"/>
        <w:snapToGrid w:val="0"/>
        <w:spacing w:before="50" w:after="50"/>
        <w:ind w:firstLine="960" w:firstLineChars="400"/>
        <w:rPr>
          <w:rFonts w:hint="eastAsia" w:asciiTheme="minorEastAsia" w:hAnsiTheme="minorEastAsia" w:eastAsiaTheme="minorEastAsia" w:cstheme="minorEastAsia"/>
          <w:bCs/>
          <w:color w:val="auto"/>
          <w:sz w:val="24"/>
          <w:szCs w:val="24"/>
          <w:highlight w:val="none"/>
        </w:rPr>
      </w:pPr>
    </w:p>
    <w:p w14:paraId="7338C631">
      <w:pPr>
        <w:snapToGrid w:val="0"/>
        <w:spacing w:before="165" w:beforeLines="50" w:after="50"/>
        <w:ind w:firstLine="64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0A8B1F19">
      <w:pPr>
        <w:snapToGrid w:val="0"/>
        <w:spacing w:before="165" w:beforeLines="50" w:after="5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 </w:t>
      </w:r>
    </w:p>
    <w:p w14:paraId="751E5731">
      <w:pPr>
        <w:spacing w:line="360" w:lineRule="auto"/>
        <w:ind w:right="420"/>
        <w:rPr>
          <w:rFonts w:hint="eastAsia" w:asciiTheme="minorEastAsia" w:hAnsiTheme="minorEastAsia" w:eastAsiaTheme="minorEastAsia" w:cstheme="minorEastAsia"/>
          <w:color w:val="auto"/>
          <w:sz w:val="24"/>
          <w:szCs w:val="20"/>
          <w:highlight w:val="none"/>
        </w:rPr>
      </w:pPr>
    </w:p>
    <w:p w14:paraId="06B5A9EA">
      <w:pPr>
        <w:spacing w:line="360" w:lineRule="auto"/>
        <w:ind w:right="420"/>
        <w:rPr>
          <w:rFonts w:hint="eastAsia" w:asciiTheme="minorEastAsia" w:hAnsiTheme="minorEastAsia" w:eastAsiaTheme="minorEastAsia" w:cstheme="minorEastAsia"/>
          <w:color w:val="auto"/>
          <w:sz w:val="24"/>
          <w:szCs w:val="20"/>
          <w:highlight w:val="none"/>
        </w:rPr>
      </w:pPr>
    </w:p>
    <w:p w14:paraId="1299DF4F">
      <w:pPr>
        <w:spacing w:line="360" w:lineRule="auto"/>
        <w:ind w:right="420"/>
        <w:rPr>
          <w:rFonts w:hint="eastAsia" w:asciiTheme="minorEastAsia" w:hAnsiTheme="minorEastAsia" w:eastAsiaTheme="minorEastAsia" w:cstheme="minorEastAsia"/>
          <w:color w:val="auto"/>
          <w:sz w:val="24"/>
          <w:szCs w:val="20"/>
          <w:highlight w:val="none"/>
        </w:rPr>
      </w:pPr>
    </w:p>
    <w:p w14:paraId="5CD267EB">
      <w:pPr>
        <w:spacing w:line="360" w:lineRule="auto"/>
        <w:ind w:right="420"/>
        <w:rPr>
          <w:rFonts w:hint="eastAsia" w:asciiTheme="minorEastAsia" w:hAnsiTheme="minorEastAsia" w:eastAsiaTheme="minorEastAsia" w:cstheme="minorEastAsia"/>
          <w:color w:val="auto"/>
          <w:sz w:val="24"/>
          <w:szCs w:val="20"/>
          <w:highlight w:val="none"/>
        </w:rPr>
      </w:pPr>
    </w:p>
    <w:p w14:paraId="4DC4569F">
      <w:pPr>
        <w:spacing w:line="360" w:lineRule="auto"/>
        <w:ind w:right="420"/>
        <w:rPr>
          <w:rFonts w:hint="eastAsia" w:asciiTheme="minorEastAsia" w:hAnsiTheme="minorEastAsia" w:eastAsiaTheme="minorEastAsia" w:cstheme="minorEastAsia"/>
          <w:color w:val="auto"/>
          <w:sz w:val="24"/>
          <w:szCs w:val="20"/>
          <w:highlight w:val="none"/>
        </w:rPr>
      </w:pPr>
    </w:p>
    <w:p w14:paraId="584DFAF5">
      <w:pPr>
        <w:spacing w:line="360" w:lineRule="auto"/>
        <w:ind w:right="420"/>
        <w:rPr>
          <w:rFonts w:hint="eastAsia" w:asciiTheme="minorEastAsia" w:hAnsiTheme="minorEastAsia" w:eastAsiaTheme="minorEastAsia" w:cstheme="minorEastAsia"/>
          <w:color w:val="auto"/>
          <w:sz w:val="24"/>
          <w:szCs w:val="20"/>
          <w:highlight w:val="none"/>
        </w:rPr>
      </w:pPr>
    </w:p>
    <w:p w14:paraId="736B437B">
      <w:pPr>
        <w:spacing w:line="360" w:lineRule="auto"/>
        <w:ind w:right="420"/>
        <w:rPr>
          <w:rFonts w:hint="eastAsia" w:asciiTheme="minorEastAsia" w:hAnsiTheme="minorEastAsia" w:eastAsiaTheme="minorEastAsia" w:cstheme="minorEastAsia"/>
          <w:color w:val="auto"/>
          <w:sz w:val="24"/>
          <w:szCs w:val="20"/>
          <w:highlight w:val="none"/>
        </w:rPr>
      </w:pPr>
    </w:p>
    <w:p w14:paraId="6DE00A6B">
      <w:pPr>
        <w:spacing w:line="360" w:lineRule="auto"/>
        <w:ind w:right="420"/>
        <w:rPr>
          <w:rFonts w:hint="eastAsia" w:asciiTheme="minorEastAsia" w:hAnsiTheme="minorEastAsia" w:eastAsiaTheme="minorEastAsia" w:cstheme="minorEastAsia"/>
          <w:color w:val="auto"/>
          <w:sz w:val="24"/>
          <w:szCs w:val="20"/>
          <w:highlight w:val="none"/>
        </w:rPr>
      </w:pPr>
    </w:p>
    <w:p w14:paraId="21202CCA">
      <w:pPr>
        <w:spacing w:line="360" w:lineRule="auto"/>
        <w:ind w:right="420"/>
        <w:rPr>
          <w:rFonts w:hint="eastAsia" w:asciiTheme="minorEastAsia" w:hAnsiTheme="minorEastAsia" w:eastAsiaTheme="minorEastAsia" w:cstheme="minorEastAsia"/>
          <w:color w:val="auto"/>
          <w:sz w:val="24"/>
          <w:szCs w:val="20"/>
          <w:highlight w:val="none"/>
        </w:rPr>
      </w:pPr>
    </w:p>
    <w:p w14:paraId="5D8A503F">
      <w:pPr>
        <w:spacing w:line="360" w:lineRule="auto"/>
        <w:ind w:right="42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w:t>
      </w:r>
    </w:p>
    <w:p w14:paraId="08B265C5">
      <w:pPr>
        <w:rPr>
          <w:rFonts w:hint="eastAsia" w:asciiTheme="minorEastAsia" w:hAnsiTheme="minorEastAsia" w:eastAsiaTheme="minorEastAsia" w:cstheme="minorEastAsia"/>
          <w:b/>
          <w:color w:val="auto"/>
          <w:kern w:val="0"/>
          <w:sz w:val="24"/>
          <w:highlight w:val="none"/>
        </w:rPr>
      </w:pPr>
    </w:p>
    <w:p w14:paraId="71256278">
      <w:pPr>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商务文件目录</w:t>
      </w:r>
    </w:p>
    <w:p w14:paraId="1303F410">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一、无串标行为承诺函…………………………………………………………………（页码）</w:t>
      </w:r>
    </w:p>
    <w:p w14:paraId="53FEB9E8">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5D356D6C">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三、法定代表人授权委托书（如有委托时）……………………………………（页码）</w:t>
      </w:r>
    </w:p>
    <w:p w14:paraId="632E7437">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669D0806">
      <w:pPr>
        <w:pStyle w:val="32"/>
        <w:spacing w:line="360" w:lineRule="auto"/>
        <w:rPr>
          <w:rFonts w:hint="eastAsia" w:asciiTheme="minorEastAsia" w:hAnsiTheme="minorEastAsia" w:eastAsiaTheme="minorEastAsia" w:cstheme="minorEastAsia"/>
          <w:color w:val="auto"/>
          <w:highlight w:val="none"/>
        </w:rPr>
      </w:pPr>
      <w:bookmarkStart w:id="302" w:name="OLE_LINK6"/>
      <w:bookmarkStart w:id="303" w:name="OLE_LINK7"/>
      <w:bookmarkStart w:id="304" w:name="OLE_LINK5"/>
      <w:r>
        <w:rPr>
          <w:rFonts w:hint="eastAsia" w:asciiTheme="minorEastAsia" w:hAnsiTheme="minorEastAsia" w:eastAsiaTheme="minorEastAsia" w:cstheme="minorEastAsia"/>
          <w:color w:val="auto"/>
          <w:highlight w:val="none"/>
        </w:rPr>
        <w:t>五、投标人情况介绍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7CED6282">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六、项目实施人员一览表</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5AC1964F">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七、投标人类似业绩的证明文件（如有要求）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302"/>
      <w:bookmarkEnd w:id="303"/>
    </w:p>
    <w:p w14:paraId="37C567BD">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八、其他商务文件或说明</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bookmarkEnd w:id="304"/>
    <w:p w14:paraId="7D64EF39">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383B1955">
      <w:pPr>
        <w:widowControl/>
        <w:spacing w:line="360" w:lineRule="auto"/>
        <w:jc w:val="left"/>
        <w:rPr>
          <w:rFonts w:hint="eastAsia" w:asciiTheme="minorEastAsia" w:hAnsiTheme="minorEastAsia" w:eastAsiaTheme="minorEastAsia" w:cstheme="minorEastAsia"/>
          <w:color w:val="auto"/>
          <w:highlight w:val="none"/>
        </w:rPr>
        <w:sectPr>
          <w:pgSz w:w="11906" w:h="16838"/>
          <w:pgMar w:top="1134" w:right="1134" w:bottom="1134" w:left="1134" w:header="720" w:footer="720" w:gutter="0"/>
          <w:cols w:space="720" w:num="1"/>
          <w:docGrid w:type="lines" w:linePitch="331" w:charSpace="0"/>
        </w:sectPr>
      </w:pPr>
    </w:p>
    <w:p w14:paraId="0FBB3D09">
      <w:pPr>
        <w:snapToGrid w:val="0"/>
        <w:spacing w:before="120" w:beforeLines="50" w:after="50"/>
        <w:ind w:left="42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一、无串标行为承诺函</w:t>
      </w:r>
    </w:p>
    <w:p w14:paraId="18180E46">
      <w:pPr>
        <w:snapToGrid w:val="0"/>
        <w:spacing w:before="120" w:beforeLines="50" w:after="50"/>
        <w:ind w:left="42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投标人参加本项目无围标串标行为的承诺函</w:t>
      </w:r>
    </w:p>
    <w:p w14:paraId="548B0A5C">
      <w:pPr>
        <w:snapToGrid w:val="0"/>
        <w:spacing w:before="120" w:beforeLines="50" w:after="50"/>
        <w:rPr>
          <w:rFonts w:hint="eastAsia" w:asciiTheme="minorEastAsia" w:hAnsiTheme="minorEastAsia" w:eastAsiaTheme="minorEastAsia" w:cstheme="minorEastAsia"/>
          <w:b/>
          <w:color w:val="auto"/>
          <w:szCs w:val="21"/>
          <w:highlight w:val="none"/>
        </w:rPr>
      </w:pPr>
    </w:p>
    <w:p w14:paraId="19366C54">
      <w:pPr>
        <w:snapToGrid w:val="0"/>
        <w:spacing w:before="120" w:beforeLines="50" w:after="50"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一、我方承诺无下列相互串通投标的情形：</w:t>
      </w:r>
    </w:p>
    <w:p w14:paraId="1EB3FDAA">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1.不同投标人的投标文件由同一单位或者个人编制；或者不同投标人报名的IP地址一致的；或者编制标书硬件设备CPU编号、硬盘编号、网卡地址一致的情况。</w:t>
      </w:r>
    </w:p>
    <w:p w14:paraId="2B89D11D">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14:paraId="11E70494">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3.不同的投标人的投标文件载明的项目管理员为同一个人；</w:t>
      </w:r>
    </w:p>
    <w:p w14:paraId="6D32CD1D">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14:paraId="78979A87">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14:paraId="0749056F">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6.不同投标人的投标保证金从同一单位或者个人账户转出。</w:t>
      </w:r>
    </w:p>
    <w:p w14:paraId="30F8D636">
      <w:pPr>
        <w:snapToGrid w:val="0"/>
        <w:spacing w:before="120" w:beforeLines="50" w:after="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二、我方承诺无下列恶意串通的情形：</w:t>
      </w:r>
    </w:p>
    <w:p w14:paraId="63B1AA8A">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1.投标人直接或者间接从采购人或者采购代理机构处获得其他投标人的相关信息并修改其投标文件或者投标文件；</w:t>
      </w:r>
    </w:p>
    <w:p w14:paraId="1F6FA1FB">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2.投标人按照采购人或者采购代理机构的授意撤换、修改投标文件或者投标文件；</w:t>
      </w:r>
    </w:p>
    <w:p w14:paraId="7571858E">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3.投标人之间协商报价、技术方案等投标文件或者投标文件的实质性内容；</w:t>
      </w:r>
    </w:p>
    <w:p w14:paraId="2116BDB0">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4.属于同一集团、协会、商会等组织成员的投标人按照该组织要求协同参加政府采购活动；</w:t>
      </w:r>
    </w:p>
    <w:p w14:paraId="0CA26001">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18CBA4E">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6.投标人之间商定部分投标人放弃参加政府采购活动或者放弃中标；</w:t>
      </w:r>
    </w:p>
    <w:p w14:paraId="3257C6DC">
      <w:pPr>
        <w:snapToGrid w:val="0"/>
        <w:spacing w:before="120" w:beforeLines="50" w:after="50"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7.投标人与采购人或者采购代理机构之间、投标人相互之间，为谋求特定投标人中标或者排斥其他投标人的其他串通行为。</w:t>
      </w:r>
    </w:p>
    <w:p w14:paraId="1F513777">
      <w:pPr>
        <w:snapToGrid w:val="0"/>
        <w:spacing w:before="120" w:beforeLines="50" w:after="50" w:line="360" w:lineRule="auto"/>
        <w:ind w:firstLine="413" w:firstLineChars="196"/>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以上情形一经核查属实，我方愿意承担一切后果，接受政府采购监管部门对我方认定存在围标串标行为，并不再寻求任何旨在减轻或者免除法律责任的辩解。</w:t>
      </w:r>
    </w:p>
    <w:p w14:paraId="11F3CE8A">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4781690F">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F7BC4FE">
      <w:pPr>
        <w:pStyle w:val="12"/>
        <w:snapToGrid w:val="0"/>
        <w:spacing w:before="295" w:after="295"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bCs/>
          <w:color w:val="auto"/>
          <w:sz w:val="30"/>
          <w:szCs w:val="30"/>
          <w:highlight w:val="none"/>
        </w:rPr>
        <w:t>二、法定代表人身份证明</w:t>
      </w:r>
    </w:p>
    <w:p w14:paraId="278464E4">
      <w:pPr>
        <w:spacing w:before="240" w:beforeLines="100" w:after="120" w:afterLines="50"/>
        <w:ind w:left="540"/>
        <w:jc w:val="center"/>
        <w:rPr>
          <w:rFonts w:hint="eastAsia" w:asciiTheme="minorEastAsia" w:hAnsiTheme="minorEastAsia" w:eastAsiaTheme="minorEastAsia" w:cstheme="minorEastAsia"/>
          <w:b/>
          <w:color w:val="auto"/>
          <w:sz w:val="32"/>
          <w:szCs w:val="32"/>
          <w:highlight w:val="none"/>
        </w:rPr>
      </w:pPr>
    </w:p>
    <w:p w14:paraId="7B094BCE">
      <w:pPr>
        <w:spacing w:before="240" w:beforeLines="100" w:after="120" w:afterLines="50"/>
        <w:ind w:left="54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法定代表人身份证明</w:t>
      </w:r>
    </w:p>
    <w:p w14:paraId="3AC7C23D">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r>
        <w:rPr>
          <w:rFonts w:hint="eastAsia" w:asciiTheme="minorEastAsia" w:hAnsiTheme="minorEastAsia" w:eastAsiaTheme="minorEastAsia" w:cstheme="minorEastAsia"/>
          <w:color w:val="auto"/>
          <w:sz w:val="24"/>
          <w:highlight w:val="none"/>
          <w:u w:val="single"/>
        </w:rPr>
        <w:t xml:space="preserve">                                                        </w:t>
      </w:r>
    </w:p>
    <w:p w14:paraId="5BE793A7">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0C8B79BB">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14F7373A">
      <w:pPr>
        <w:spacing w:line="500" w:lineRule="exact"/>
        <w:ind w:left="54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34B8D537">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4AC956E1">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（投标人名称）              </w:t>
      </w:r>
      <w:r>
        <w:rPr>
          <w:rFonts w:hint="eastAsia" w:asciiTheme="minorEastAsia" w:hAnsiTheme="minorEastAsia" w:eastAsiaTheme="minorEastAsia" w:cstheme="minorEastAsia"/>
          <w:color w:val="auto"/>
          <w:sz w:val="24"/>
          <w:highlight w:val="none"/>
        </w:rPr>
        <w:t>的法定代表人。</w:t>
      </w:r>
    </w:p>
    <w:p w14:paraId="07D50E83">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6D8839DA">
      <w:pPr>
        <w:spacing w:line="500" w:lineRule="exact"/>
        <w:ind w:left="540"/>
        <w:rPr>
          <w:rFonts w:hint="eastAsia" w:asciiTheme="minorEastAsia" w:hAnsiTheme="minorEastAsia" w:eastAsiaTheme="minorEastAsia" w:cstheme="minorEastAsia"/>
          <w:color w:val="auto"/>
          <w:sz w:val="24"/>
          <w:highlight w:val="none"/>
        </w:rPr>
      </w:pPr>
    </w:p>
    <w:p w14:paraId="2ADF36AC">
      <w:pPr>
        <w:spacing w:line="500" w:lineRule="exact"/>
        <w:ind w:left="540"/>
        <w:rPr>
          <w:rFonts w:hint="eastAsia" w:asciiTheme="minorEastAsia" w:hAnsiTheme="minorEastAsia" w:eastAsiaTheme="minorEastAsia" w:cstheme="minorEastAsia"/>
          <w:color w:val="auto"/>
          <w:sz w:val="24"/>
          <w:highlight w:val="none"/>
        </w:rPr>
      </w:pPr>
    </w:p>
    <w:p w14:paraId="5C5FF88D">
      <w:pPr>
        <w:spacing w:line="500" w:lineRule="exact"/>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28960C1B">
      <w:pPr>
        <w:spacing w:line="500" w:lineRule="exact"/>
        <w:ind w:left="540"/>
        <w:rPr>
          <w:rFonts w:hint="eastAsia" w:asciiTheme="minorEastAsia" w:hAnsiTheme="minorEastAsia" w:eastAsiaTheme="minorEastAsia" w:cstheme="minorEastAsia"/>
          <w:color w:val="auto"/>
          <w:sz w:val="24"/>
          <w:highlight w:val="none"/>
        </w:rPr>
      </w:pPr>
    </w:p>
    <w:p w14:paraId="56D3E56E">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5565FFC0">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FB1BAEB">
      <w:pPr>
        <w:snapToGrid w:val="0"/>
        <w:spacing w:before="120" w:beforeLines="50" w:after="50"/>
        <w:jc w:val="center"/>
        <w:rPr>
          <w:rFonts w:hint="eastAsia" w:asciiTheme="minorEastAsia" w:hAnsiTheme="minorEastAsia" w:eastAsiaTheme="minorEastAsia" w:cstheme="minorEastAsia"/>
          <w:b/>
          <w:color w:val="auto"/>
          <w:sz w:val="24"/>
          <w:highlight w:val="none"/>
        </w:rPr>
      </w:pPr>
    </w:p>
    <w:p w14:paraId="73D2F504">
      <w:pPr>
        <w:snapToGrid w:val="0"/>
        <w:spacing w:before="120" w:beforeLines="50" w:after="50"/>
        <w:ind w:firstLine="600" w:firstLineChars="2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注：自然人投标的无需提供</w:t>
      </w:r>
    </w:p>
    <w:p w14:paraId="2E055409">
      <w:pPr>
        <w:snapToGrid w:val="0"/>
        <w:spacing w:before="120" w:beforeLines="50" w:after="50"/>
        <w:ind w:firstLine="600" w:firstLineChars="250"/>
        <w:jc w:val="left"/>
        <w:rPr>
          <w:rFonts w:hint="eastAsia" w:asciiTheme="minorEastAsia" w:hAnsiTheme="minorEastAsia" w:eastAsiaTheme="minorEastAsia" w:cstheme="minorEastAsia"/>
          <w:color w:val="auto"/>
          <w:sz w:val="24"/>
          <w:highlight w:val="none"/>
        </w:rPr>
      </w:pPr>
    </w:p>
    <w:p w14:paraId="14AF13A6">
      <w:pPr>
        <w:snapToGrid w:val="0"/>
        <w:spacing w:before="120" w:beforeLines="50" w:after="50"/>
        <w:ind w:firstLine="602" w:firstLineChars="250"/>
        <w:jc w:val="left"/>
        <w:rPr>
          <w:rFonts w:hint="eastAsia" w:asciiTheme="minorEastAsia" w:hAnsiTheme="minorEastAsia" w:eastAsiaTheme="minorEastAsia" w:cstheme="minorEastAsia"/>
          <w:b/>
          <w:color w:val="auto"/>
          <w:sz w:val="24"/>
          <w:szCs w:val="20"/>
          <w:highlight w:val="none"/>
        </w:r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65C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37406FF5">
            <w:pPr>
              <w:spacing w:line="360" w:lineRule="auto"/>
              <w:rPr>
                <w:rFonts w:hint="eastAsia" w:asciiTheme="minorEastAsia" w:hAnsiTheme="minorEastAsia" w:eastAsiaTheme="minorEastAsia" w:cstheme="minorEastAsia"/>
                <w:b/>
                <w:color w:val="auto"/>
                <w:sz w:val="24"/>
                <w:highlight w:val="none"/>
              </w:rPr>
            </w:pPr>
          </w:p>
          <w:p w14:paraId="27C686A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w:t>
            </w:r>
            <w:r>
              <w:rPr>
                <w:rFonts w:hint="eastAsia" w:asciiTheme="minorEastAsia" w:hAnsiTheme="minorEastAsia" w:eastAsiaTheme="minorEastAsia" w:cstheme="minorEastAsia"/>
                <w:b/>
                <w:color w:val="auto"/>
                <w:sz w:val="24"/>
                <w:highlight w:val="none"/>
                <w:lang w:val="en-US" w:eastAsia="zh-CN"/>
              </w:rPr>
              <w:t>粘贴</w:t>
            </w:r>
            <w:r>
              <w:rPr>
                <w:rFonts w:hint="eastAsia" w:asciiTheme="minorEastAsia" w:hAnsiTheme="minorEastAsia" w:eastAsiaTheme="minorEastAsia" w:cstheme="minorEastAsia"/>
                <w:b/>
                <w:color w:val="auto"/>
                <w:sz w:val="24"/>
                <w:highlight w:val="none"/>
              </w:rPr>
              <w:t>处（正、反面）</w:t>
            </w:r>
          </w:p>
        </w:tc>
      </w:tr>
    </w:tbl>
    <w:p w14:paraId="63D47E85">
      <w:pPr>
        <w:pStyle w:val="12"/>
        <w:snapToGrid w:val="0"/>
        <w:spacing w:before="295" w:after="295"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bCs/>
          <w:color w:val="auto"/>
          <w:sz w:val="30"/>
          <w:szCs w:val="30"/>
          <w:highlight w:val="none"/>
        </w:rPr>
        <w:t>三、法定代表人授权委托书（如有委托时）</w:t>
      </w:r>
    </w:p>
    <w:p w14:paraId="6F1E7ED7">
      <w:pPr>
        <w:snapToGrid w:val="0"/>
        <w:spacing w:before="120" w:beforeLines="50" w:after="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3EB9B1D6">
      <w:pPr>
        <w:snapToGrid w:val="0"/>
        <w:spacing w:before="120" w:beforeLines="50" w:after="50"/>
        <w:jc w:val="center"/>
        <w:rPr>
          <w:rFonts w:hint="eastAsia" w:asciiTheme="minorEastAsia" w:hAnsiTheme="minorEastAsia" w:eastAsiaTheme="minorEastAsia" w:cstheme="minorEastAsia"/>
          <w:b/>
          <w:color w:val="auto"/>
          <w:sz w:val="24"/>
          <w:highlight w:val="none"/>
        </w:rPr>
      </w:pPr>
    </w:p>
    <w:p w14:paraId="74B48C47">
      <w:pPr>
        <w:pStyle w:val="12"/>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 xml:space="preserve"> </w:t>
      </w:r>
      <w:bookmarkStart w:id="305" w:name="PO_3000001866_PM031_7"/>
      <w:r>
        <w:rPr>
          <w:rFonts w:hint="eastAsia" w:asciiTheme="minorEastAsia" w:hAnsiTheme="minorEastAsia" w:eastAsiaTheme="minorEastAsia" w:cstheme="minorEastAsia"/>
          <w:color w:val="auto"/>
          <w:highlight w:val="none"/>
          <w:u w:val="single"/>
        </w:rPr>
        <w:t>广西建设工程机电设备招标中心有限公司</w:t>
      </w:r>
      <w:bookmarkEnd w:id="305"/>
      <w:r>
        <w:rPr>
          <w:rFonts w:hint="eastAsia" w:asciiTheme="minorEastAsia" w:hAnsiTheme="minorEastAsia" w:eastAsiaTheme="minorEastAsia" w:cstheme="minorEastAsia"/>
          <w:color w:val="auto"/>
          <w:highlight w:val="none"/>
          <w:u w:val="single"/>
        </w:rPr>
        <w:t xml:space="preserve"> </w:t>
      </w:r>
    </w:p>
    <w:p w14:paraId="31DC75D5">
      <w:pPr>
        <w:pStyle w:val="12"/>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（投标人名称）的法定代表人，现授权我单位在职正式员工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auto"/>
          <w:highlight w:val="none"/>
          <w:u w:val="single"/>
        </w:rPr>
        <w:t xml:space="preserve"> 2026-2027年度横州市水库移民项目全过程工程咨询项目 </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u w:val="single"/>
        </w:rPr>
        <w:t xml:space="preserve">NNZC2025-G3-270119-JGJD </w:t>
      </w:r>
      <w:r>
        <w:rPr>
          <w:rFonts w:hint="eastAsia" w:asciiTheme="minorEastAsia" w:hAnsiTheme="minorEastAsia" w:eastAsiaTheme="minorEastAsia" w:cstheme="minorEastAsia"/>
          <w:color w:val="auto"/>
          <w:highlight w:val="none"/>
        </w:rPr>
        <w:t>）的投标文件、签订合同和处理一切有关事宜，其法律后果由我方承担。</w:t>
      </w:r>
    </w:p>
    <w:p w14:paraId="20D6C52B">
      <w:pPr>
        <w:pStyle w:val="12"/>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日签字生效，委托期限：</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w:t>
      </w:r>
    </w:p>
    <w:p w14:paraId="2171A70D">
      <w:pPr>
        <w:pStyle w:val="12"/>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代理人无转委托权。</w:t>
      </w:r>
    </w:p>
    <w:p w14:paraId="38705865">
      <w:pPr>
        <w:pStyle w:val="12"/>
        <w:spacing w:line="360" w:lineRule="auto"/>
        <w:ind w:firstLine="420"/>
        <w:rPr>
          <w:rFonts w:hint="eastAsia" w:asciiTheme="minorEastAsia" w:hAnsiTheme="minorEastAsia" w:eastAsiaTheme="minorEastAsia" w:cstheme="minorEastAsia"/>
          <w:color w:val="auto"/>
          <w:highlight w:val="none"/>
        </w:rPr>
      </w:pPr>
    </w:p>
    <w:p w14:paraId="4A27E662">
      <w:pPr>
        <w:pStyle w:val="12"/>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投标人（或联合体投标</w:t>
      </w:r>
      <w:r>
        <w:rPr>
          <w:rFonts w:hint="eastAsia" w:asciiTheme="minorEastAsia" w:hAnsiTheme="minorEastAsia" w:eastAsiaTheme="minorEastAsia" w:cstheme="minorEastAsia"/>
          <w:color w:val="auto"/>
          <w:kern w:val="0"/>
          <w:szCs w:val="21"/>
          <w:highlight w:val="none"/>
        </w:rPr>
        <w:t>牵头人名称</w:t>
      </w:r>
      <w:r>
        <w:rPr>
          <w:rFonts w:hint="eastAsia" w:asciiTheme="minorEastAsia" w:hAnsiTheme="minorEastAsia" w:eastAsiaTheme="minorEastAsia" w:cstheme="minorEastAsia"/>
          <w:color w:val="auto"/>
          <w:highlight w:val="none"/>
        </w:rPr>
        <w:t>）（盖单位公章）：</w:t>
      </w:r>
      <w:r>
        <w:rPr>
          <w:rFonts w:hint="eastAsia" w:asciiTheme="minorEastAsia" w:hAnsiTheme="minorEastAsia" w:eastAsiaTheme="minorEastAsia" w:cstheme="minorEastAsia"/>
          <w:color w:val="auto"/>
          <w:highlight w:val="none"/>
          <w:u w:val="single"/>
        </w:rPr>
        <w:t xml:space="preserve">                                    </w:t>
      </w:r>
    </w:p>
    <w:p w14:paraId="77D14204">
      <w:pPr>
        <w:pStyle w:val="12"/>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u w:val="single"/>
        </w:rPr>
        <w:t xml:space="preserve">                                </w:t>
      </w:r>
    </w:p>
    <w:p w14:paraId="65D87FA2">
      <w:pPr>
        <w:pStyle w:val="12"/>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法定代表人身份证号码：</w:t>
      </w:r>
      <w:r>
        <w:rPr>
          <w:rFonts w:hint="eastAsia" w:asciiTheme="minorEastAsia" w:hAnsiTheme="minorEastAsia" w:eastAsiaTheme="minorEastAsia" w:cstheme="minorEastAsia"/>
          <w:color w:val="auto"/>
          <w:highlight w:val="none"/>
          <w:u w:val="single"/>
        </w:rPr>
        <w:t xml:space="preserve">                                   </w:t>
      </w:r>
    </w:p>
    <w:p w14:paraId="14EC4A22">
      <w:pPr>
        <w:pStyle w:val="12"/>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委托代理人（签字）：</w:t>
      </w:r>
      <w:r>
        <w:rPr>
          <w:rFonts w:hint="eastAsia" w:asciiTheme="minorEastAsia" w:hAnsiTheme="minorEastAsia" w:eastAsiaTheme="minorEastAsia" w:cstheme="minorEastAsia"/>
          <w:color w:val="auto"/>
          <w:highlight w:val="none"/>
          <w:u w:val="single"/>
        </w:rPr>
        <w:t xml:space="preserve">                                </w:t>
      </w:r>
    </w:p>
    <w:p w14:paraId="3C7A84D3">
      <w:pPr>
        <w:pStyle w:val="12"/>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委托代理人身份证号码：</w:t>
      </w:r>
      <w:r>
        <w:rPr>
          <w:rFonts w:hint="eastAsia" w:asciiTheme="minorEastAsia" w:hAnsiTheme="minorEastAsia" w:eastAsiaTheme="minorEastAsia" w:cstheme="minorEastAsia"/>
          <w:color w:val="auto"/>
          <w:highlight w:val="none"/>
          <w:u w:val="single"/>
        </w:rPr>
        <w:t xml:space="preserve">                                   </w:t>
      </w:r>
    </w:p>
    <w:p w14:paraId="3BD3297C">
      <w:pPr>
        <w:pStyle w:val="12"/>
        <w:spacing w:line="360" w:lineRule="auto"/>
        <w:ind w:firstLine="420"/>
        <w:rPr>
          <w:rFonts w:hint="eastAsia" w:asciiTheme="minorEastAsia" w:hAnsiTheme="minorEastAsia" w:eastAsiaTheme="minorEastAsia" w:cstheme="minorEastAsia"/>
          <w:color w:val="auto"/>
          <w:highlight w:val="none"/>
          <w:u w:val="single"/>
        </w:rPr>
      </w:pPr>
    </w:p>
    <w:p w14:paraId="7FEC8407">
      <w:pPr>
        <w:pStyle w:val="12"/>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szCs w:val="21"/>
          <w:highlight w:val="none"/>
        </w:rPr>
        <w:t>成员一名称：</w:t>
      </w:r>
      <w:r>
        <w:rPr>
          <w:rFonts w:hint="eastAsia" w:asciiTheme="minorEastAsia" w:hAnsiTheme="minorEastAsia" w:eastAsiaTheme="minorEastAsia" w:cstheme="minorEastAsia"/>
          <w:color w:val="auto"/>
          <w:highlight w:val="none"/>
        </w:rPr>
        <w:t>（盖单位公章）：</w:t>
      </w:r>
      <w:r>
        <w:rPr>
          <w:rFonts w:hint="eastAsia" w:asciiTheme="minorEastAsia" w:hAnsiTheme="minorEastAsia" w:eastAsiaTheme="minorEastAsia" w:cstheme="minorEastAsia"/>
          <w:color w:val="auto"/>
          <w:highlight w:val="none"/>
          <w:u w:val="single"/>
        </w:rPr>
        <w:t xml:space="preserve">                                    </w:t>
      </w:r>
    </w:p>
    <w:p w14:paraId="3B89339A">
      <w:pPr>
        <w:pStyle w:val="12"/>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u w:val="single"/>
        </w:rPr>
        <w:t xml:space="preserve">                                </w:t>
      </w:r>
    </w:p>
    <w:p w14:paraId="4FC8DFCF">
      <w:pPr>
        <w:pStyle w:val="12"/>
        <w:spacing w:line="360" w:lineRule="auto"/>
        <w:ind w:firstLine="420"/>
        <w:rPr>
          <w:rFonts w:hint="eastAsia" w:asciiTheme="minorEastAsia" w:hAnsiTheme="minorEastAsia" w:eastAsiaTheme="minorEastAsia" w:cstheme="minorEastAsia"/>
          <w:color w:val="auto"/>
          <w:highlight w:val="none"/>
          <w:u w:val="single"/>
        </w:rPr>
      </w:pPr>
    </w:p>
    <w:p w14:paraId="16A8C3EA">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成员二名称：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（盖单位公章）</w:t>
      </w:r>
    </w:p>
    <w:p w14:paraId="56EC018E">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法定代表人或其委托代理人：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（签字）</w:t>
      </w:r>
    </w:p>
    <w:p w14:paraId="7E731674">
      <w:pPr>
        <w:pStyle w:val="12"/>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028C918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2593F95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1.法定代表人和委托代理人必须在授权委托书上亲笔签名，不得使用印章、签名章或者其他电子制版签名代替，</w:t>
      </w:r>
      <w:r>
        <w:rPr>
          <w:rFonts w:hint="eastAsia" w:asciiTheme="minorEastAsia" w:hAnsiTheme="minorEastAsia" w:eastAsiaTheme="minorEastAsia" w:cstheme="minorEastAsia"/>
          <w:b/>
          <w:bCs/>
          <w:color w:val="auto"/>
          <w:szCs w:val="21"/>
          <w:highlight w:val="none"/>
        </w:rPr>
        <w:t>否则作无效投标处理</w:t>
      </w:r>
      <w:r>
        <w:rPr>
          <w:rFonts w:hint="eastAsia" w:asciiTheme="minorEastAsia" w:hAnsiTheme="minorEastAsia" w:eastAsiaTheme="minorEastAsia" w:cstheme="minorEastAsia"/>
          <w:color w:val="auto"/>
          <w:szCs w:val="21"/>
          <w:highlight w:val="none"/>
        </w:rPr>
        <w:t>；</w:t>
      </w:r>
    </w:p>
    <w:p w14:paraId="64840188">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2.以联合体形式投标的，本授权委托书应由联合体牵头人的法定代表人按上述规定签署。</w:t>
      </w:r>
    </w:p>
    <w:p w14:paraId="01BA1096">
      <w:pPr>
        <w:snapToGrid w:val="0"/>
        <w:spacing w:before="50" w:after="120" w:after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CDF356E">
      <w:pPr>
        <w:snapToGrid w:val="0"/>
        <w:spacing w:before="50" w:after="120" w:after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若为联合体投标须各方签字或盖章。</w:t>
      </w:r>
    </w:p>
    <w:p w14:paraId="761AB4A1">
      <w:pPr>
        <w:spacing w:line="360" w:lineRule="auto"/>
        <w:rPr>
          <w:rFonts w:hint="eastAsia" w:asciiTheme="minorEastAsia" w:hAnsiTheme="minorEastAsia" w:eastAsiaTheme="minorEastAsia" w:cstheme="minorEastAsia"/>
          <w:b/>
          <w:color w:val="auto"/>
          <w:sz w:val="24"/>
          <w:highlight w:val="none"/>
        </w:rPr>
      </w:pPr>
    </w:p>
    <w:p w14:paraId="644F71E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p>
    <w:tbl>
      <w:tblPr>
        <w:tblStyle w:val="21"/>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233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02CEFE59">
            <w:pPr>
              <w:spacing w:line="360" w:lineRule="auto"/>
              <w:rPr>
                <w:rFonts w:hint="eastAsia" w:asciiTheme="minorEastAsia" w:hAnsiTheme="minorEastAsia" w:eastAsiaTheme="minorEastAsia" w:cstheme="minorEastAsia"/>
                <w:b/>
                <w:color w:val="auto"/>
                <w:sz w:val="24"/>
                <w:highlight w:val="none"/>
              </w:rPr>
            </w:pPr>
          </w:p>
          <w:p w14:paraId="6A5F16F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全权代表身份证复印件</w:t>
            </w:r>
            <w:r>
              <w:rPr>
                <w:rFonts w:hint="eastAsia" w:asciiTheme="minorEastAsia" w:hAnsiTheme="minorEastAsia" w:eastAsiaTheme="minorEastAsia" w:cstheme="minorEastAsia"/>
                <w:b/>
                <w:color w:val="auto"/>
                <w:sz w:val="24"/>
                <w:highlight w:val="none"/>
                <w:lang w:val="en-US" w:eastAsia="zh-CN"/>
              </w:rPr>
              <w:t>粘贴</w:t>
            </w:r>
            <w:r>
              <w:rPr>
                <w:rFonts w:hint="eastAsia" w:asciiTheme="minorEastAsia" w:hAnsiTheme="minorEastAsia" w:eastAsiaTheme="minorEastAsia" w:cstheme="minorEastAsia"/>
                <w:b/>
                <w:color w:val="auto"/>
                <w:sz w:val="24"/>
                <w:highlight w:val="none"/>
              </w:rPr>
              <w:t>处（正、反面）</w:t>
            </w:r>
          </w:p>
        </w:tc>
      </w:tr>
    </w:tbl>
    <w:p w14:paraId="16B8D907">
      <w:pPr>
        <w:snapToGrid w:val="0"/>
        <w:spacing w:before="50" w:after="120" w:afterLines="50" w:line="360" w:lineRule="auto"/>
        <w:jc w:val="left"/>
        <w:rPr>
          <w:rFonts w:hint="eastAsia" w:asciiTheme="minorEastAsia" w:hAnsiTheme="minorEastAsia" w:eastAsiaTheme="minorEastAsia" w:cstheme="minorEastAsia"/>
          <w:color w:val="auto"/>
          <w:szCs w:val="21"/>
          <w:highlight w:val="none"/>
        </w:rPr>
      </w:pPr>
    </w:p>
    <w:p w14:paraId="28A0CAFA">
      <w:pPr>
        <w:snapToGrid w:val="0"/>
        <w:spacing w:before="120" w:beforeLines="50" w:after="50"/>
        <w:ind w:firstLine="566" w:firstLineChars="23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br w:type="page"/>
      </w:r>
    </w:p>
    <w:p w14:paraId="3803547E">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四、商务条款偏离表</w:t>
      </w:r>
    </w:p>
    <w:p w14:paraId="788AF613">
      <w:pPr>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color w:val="auto"/>
          <w:sz w:val="30"/>
          <w:szCs w:val="20"/>
          <w:highlight w:val="none"/>
        </w:rPr>
        <w:t>(注：按项目需求表具体项目修改)</w:t>
      </w:r>
    </w:p>
    <w:p w14:paraId="783DEB50">
      <w:pPr>
        <w:snapToGrid w:val="0"/>
        <w:spacing w:before="50"/>
        <w:jc w:val="left"/>
        <w:rPr>
          <w:rFonts w:hint="eastAsia" w:asciiTheme="minorEastAsia" w:hAnsiTheme="minorEastAsia" w:eastAsiaTheme="minorEastAsia" w:cstheme="minorEastAsia"/>
          <w:color w:val="auto"/>
          <w:sz w:val="24"/>
          <w:highlight w:val="none"/>
        </w:rPr>
      </w:pPr>
    </w:p>
    <w:p w14:paraId="6CB99F45">
      <w:pPr>
        <w:pStyle w:val="12"/>
        <w:spacing w:line="360" w:lineRule="auto"/>
        <w:ind w:left="-424" w:leftChars="-202" w:firstLine="8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请逐条对应本项目招标文件第二章“服务需求一览表”中“商务条款”的要求，详细填写相应的具体内容。“偏离说明”一栏应当选择“正偏离”、“负偏离”或“无偏离”进行填写。</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7E6D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440E6EA">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1E470ECF">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3F08612D">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237762B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51C1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2CDC08E">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6E7F23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2E0DB6E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070614B7">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32A97A01">
            <w:pPr>
              <w:spacing w:line="300" w:lineRule="exact"/>
              <w:rPr>
                <w:rFonts w:hint="eastAsia" w:asciiTheme="minorEastAsia" w:hAnsiTheme="minorEastAsia" w:eastAsiaTheme="minorEastAsia" w:cstheme="minorEastAsia"/>
                <w:color w:val="auto"/>
                <w:szCs w:val="21"/>
                <w:highlight w:val="none"/>
              </w:rPr>
            </w:pPr>
          </w:p>
        </w:tc>
      </w:tr>
      <w:tr w14:paraId="200C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03759DE">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006EBA3">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56D27038">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6338EA07">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0A9E60E">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7BF99780">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5499CA9F">
            <w:pPr>
              <w:spacing w:line="300" w:lineRule="exact"/>
              <w:rPr>
                <w:rFonts w:hint="eastAsia" w:asciiTheme="minorEastAsia" w:hAnsiTheme="minorEastAsia" w:eastAsiaTheme="minorEastAsia" w:cstheme="minorEastAsia"/>
                <w:color w:val="auto"/>
                <w:szCs w:val="21"/>
                <w:highlight w:val="none"/>
              </w:rPr>
            </w:pPr>
          </w:p>
        </w:tc>
      </w:tr>
      <w:tr w14:paraId="5202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9127727">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446A634">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E006319">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59E1FD83">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AD9E3AF">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4F0F6324">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6C233A5">
            <w:pPr>
              <w:spacing w:line="300" w:lineRule="exact"/>
              <w:rPr>
                <w:rFonts w:hint="eastAsia" w:asciiTheme="minorEastAsia" w:hAnsiTheme="minorEastAsia" w:eastAsiaTheme="minorEastAsia" w:cstheme="minorEastAsia"/>
                <w:color w:val="auto"/>
                <w:szCs w:val="21"/>
                <w:highlight w:val="none"/>
              </w:rPr>
            </w:pPr>
          </w:p>
        </w:tc>
      </w:tr>
      <w:tr w14:paraId="4A04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B5CF2D4">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E8E2C88">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6F8F600E">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2B30ED18">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641FBCD5">
            <w:pPr>
              <w:spacing w:line="300" w:lineRule="exact"/>
              <w:rPr>
                <w:rFonts w:hint="eastAsia" w:asciiTheme="minorEastAsia" w:hAnsiTheme="minorEastAsia" w:eastAsiaTheme="minorEastAsia" w:cstheme="minorEastAsia"/>
                <w:color w:val="auto"/>
                <w:szCs w:val="21"/>
                <w:highlight w:val="none"/>
              </w:rPr>
            </w:pPr>
          </w:p>
        </w:tc>
      </w:tr>
      <w:tr w14:paraId="274F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39D7050">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A3F471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13E6CCB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6D97B705">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73D4DEBC">
            <w:pPr>
              <w:spacing w:line="300" w:lineRule="exact"/>
              <w:rPr>
                <w:rFonts w:hint="eastAsia" w:asciiTheme="minorEastAsia" w:hAnsiTheme="minorEastAsia" w:eastAsiaTheme="minorEastAsia" w:cstheme="minorEastAsia"/>
                <w:color w:val="auto"/>
                <w:szCs w:val="21"/>
                <w:highlight w:val="none"/>
              </w:rPr>
            </w:pPr>
          </w:p>
        </w:tc>
      </w:tr>
      <w:tr w14:paraId="3E29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19CAF81">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850764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2CAE536C">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3BDFCE63">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8613881">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239B4BB4">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E535903">
            <w:pPr>
              <w:spacing w:line="300" w:lineRule="exact"/>
              <w:rPr>
                <w:rFonts w:hint="eastAsia" w:asciiTheme="minorEastAsia" w:hAnsiTheme="minorEastAsia" w:eastAsiaTheme="minorEastAsia" w:cstheme="minorEastAsia"/>
                <w:color w:val="auto"/>
                <w:szCs w:val="21"/>
                <w:highlight w:val="none"/>
              </w:rPr>
            </w:pPr>
          </w:p>
        </w:tc>
      </w:tr>
      <w:tr w14:paraId="7FB0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0D57988">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8BA0FC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63F9E1DF">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1F06F954">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D1E5C1B">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405060F8">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5ABC431D">
            <w:pPr>
              <w:spacing w:line="300" w:lineRule="exact"/>
              <w:rPr>
                <w:rFonts w:hint="eastAsia" w:asciiTheme="minorEastAsia" w:hAnsiTheme="minorEastAsia" w:eastAsiaTheme="minorEastAsia" w:cstheme="minorEastAsia"/>
                <w:color w:val="auto"/>
                <w:szCs w:val="21"/>
                <w:highlight w:val="none"/>
              </w:rPr>
            </w:pPr>
          </w:p>
        </w:tc>
      </w:tr>
      <w:tr w14:paraId="3702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008FC105">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1ABABA8">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28C83A91">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364EA882">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3A25BAA8">
            <w:pPr>
              <w:spacing w:line="300" w:lineRule="exact"/>
              <w:rPr>
                <w:rFonts w:hint="eastAsia" w:asciiTheme="minorEastAsia" w:hAnsiTheme="minorEastAsia" w:eastAsiaTheme="minorEastAsia" w:cstheme="minorEastAsia"/>
                <w:color w:val="auto"/>
                <w:szCs w:val="21"/>
                <w:highlight w:val="none"/>
              </w:rPr>
            </w:pPr>
          </w:p>
        </w:tc>
      </w:tr>
      <w:tr w14:paraId="58FE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BF49B74">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53879B3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4327591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5FBE645C">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6858345">
            <w:pPr>
              <w:spacing w:line="300" w:lineRule="exact"/>
              <w:rPr>
                <w:rFonts w:hint="eastAsia" w:asciiTheme="minorEastAsia" w:hAnsiTheme="minorEastAsia" w:eastAsiaTheme="minorEastAsia" w:cstheme="minorEastAsia"/>
                <w:color w:val="auto"/>
                <w:szCs w:val="21"/>
                <w:highlight w:val="none"/>
              </w:rPr>
            </w:pPr>
          </w:p>
        </w:tc>
      </w:tr>
      <w:tr w14:paraId="0B8F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8B724AD">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A25D18E">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76DE7AE">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15B81EB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C678C95">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4D595CCE">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3A862296">
            <w:pPr>
              <w:spacing w:line="300" w:lineRule="exact"/>
              <w:rPr>
                <w:rFonts w:hint="eastAsia" w:asciiTheme="minorEastAsia" w:hAnsiTheme="minorEastAsia" w:eastAsiaTheme="minorEastAsia" w:cstheme="minorEastAsia"/>
                <w:color w:val="auto"/>
                <w:szCs w:val="21"/>
                <w:highlight w:val="none"/>
              </w:rPr>
            </w:pPr>
          </w:p>
        </w:tc>
      </w:tr>
      <w:tr w14:paraId="6073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A7C3EFF">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94082D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7E50945">
            <w:pPr>
              <w:spacing w:line="34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73A7E6FD">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642C215D">
            <w:pPr>
              <w:spacing w:line="300" w:lineRule="exact"/>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30D6DEB3">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4C844EF9">
            <w:pPr>
              <w:spacing w:line="300" w:lineRule="exact"/>
              <w:rPr>
                <w:rFonts w:hint="eastAsia" w:asciiTheme="minorEastAsia" w:hAnsiTheme="minorEastAsia" w:eastAsiaTheme="minorEastAsia" w:cstheme="minorEastAsia"/>
                <w:color w:val="auto"/>
                <w:szCs w:val="21"/>
                <w:highlight w:val="none"/>
              </w:rPr>
            </w:pPr>
          </w:p>
        </w:tc>
      </w:tr>
      <w:tr w14:paraId="3017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813571D">
            <w:pPr>
              <w:spacing w:line="340" w:lineRule="exact"/>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CEB76BA">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430F2EB3">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760A2C9C">
            <w:pPr>
              <w:spacing w:line="3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04227BD">
            <w:pPr>
              <w:spacing w:line="300" w:lineRule="exact"/>
              <w:rPr>
                <w:rFonts w:hint="eastAsia" w:asciiTheme="minorEastAsia" w:hAnsiTheme="minorEastAsia" w:eastAsiaTheme="minorEastAsia" w:cstheme="minorEastAsia"/>
                <w:color w:val="auto"/>
                <w:szCs w:val="21"/>
                <w:highlight w:val="none"/>
              </w:rPr>
            </w:pPr>
          </w:p>
        </w:tc>
      </w:tr>
    </w:tbl>
    <w:p w14:paraId="5EA57F19">
      <w:pPr>
        <w:pStyle w:val="12"/>
        <w:spacing w:line="360" w:lineRule="auto"/>
        <w:ind w:left="-708" w:leftChars="-337"/>
        <w:rPr>
          <w:rFonts w:hint="eastAsia" w:asciiTheme="minorEastAsia" w:hAnsiTheme="minorEastAsia" w:eastAsiaTheme="minorEastAsia" w:cstheme="minorEastAsia"/>
          <w:color w:val="auto"/>
          <w:highlight w:val="none"/>
        </w:rPr>
      </w:pPr>
    </w:p>
    <w:p w14:paraId="46579E9C">
      <w:pPr>
        <w:pStyle w:val="12"/>
        <w:spacing w:line="360" w:lineRule="auto"/>
        <w:ind w:left="-708" w:leftChars="-33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248A9B12">
      <w:pPr>
        <w:pStyle w:val="12"/>
        <w:spacing w:line="360" w:lineRule="auto"/>
        <w:ind w:left="-708" w:leftChars="-337"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1.表格内容均需按要求填写并盖章，不得留空，否则按投标无效处理。</w:t>
      </w:r>
    </w:p>
    <w:p w14:paraId="6D2E4401">
      <w:pPr>
        <w:pStyle w:val="12"/>
        <w:spacing w:line="360" w:lineRule="auto"/>
        <w:ind w:left="-603" w:leftChars="-287" w:firstLine="315"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684FDCE0">
      <w:pPr>
        <w:pStyle w:val="12"/>
        <w:spacing w:line="360" w:lineRule="auto"/>
        <w:ind w:left="-603" w:leftChars="-287" w:firstLine="315"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3.当投标文件的商务内容低于招标文件要求时，投标人应当如实写明“负偏离”，否则视为虚假应标。</w:t>
      </w:r>
    </w:p>
    <w:p w14:paraId="0235A52B">
      <w:pPr>
        <w:pStyle w:val="12"/>
        <w:spacing w:line="360" w:lineRule="auto"/>
        <w:ind w:left="-708" w:leftChars="-337"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4.采购需求中带“▲”及“★”的条款，也要分别在本表“投标文件的商务需求”、“投标文件承诺的商务条款”中标记。</w:t>
      </w:r>
    </w:p>
    <w:p w14:paraId="64B2E447">
      <w:pPr>
        <w:snapToGrid w:val="0"/>
        <w:spacing w:before="50" w:after="50"/>
        <w:rPr>
          <w:rFonts w:hint="eastAsia" w:asciiTheme="minorEastAsia" w:hAnsiTheme="minorEastAsia" w:eastAsiaTheme="minorEastAsia" w:cstheme="minorEastAsia"/>
          <w:color w:val="auto"/>
          <w:sz w:val="24"/>
          <w:highlight w:val="none"/>
        </w:rPr>
      </w:pPr>
    </w:p>
    <w:p w14:paraId="14008547">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1BFBF7F0">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42B93E5">
      <w:pPr>
        <w:widowControl/>
        <w:jc w:val="left"/>
        <w:rPr>
          <w:rFonts w:hint="eastAsia" w:asciiTheme="minorEastAsia" w:hAnsiTheme="minorEastAsia" w:eastAsiaTheme="minorEastAsia" w:cstheme="minorEastAsia"/>
          <w:color w:val="auto"/>
          <w:szCs w:val="21"/>
          <w:highlight w:val="none"/>
        </w:rPr>
        <w:sectPr>
          <w:pgSz w:w="11906" w:h="16838"/>
          <w:pgMar w:top="1440" w:right="1797" w:bottom="1440" w:left="1797" w:header="851" w:footer="992" w:gutter="0"/>
          <w:cols w:space="720" w:num="1"/>
        </w:sectPr>
      </w:pPr>
    </w:p>
    <w:p w14:paraId="1AAB2FE4">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五、投标人情况介绍</w:t>
      </w:r>
    </w:p>
    <w:p w14:paraId="58CBB2E7">
      <w:pPr>
        <w:spacing w:line="360" w:lineRule="auto"/>
        <w:ind w:firstLine="4048" w:firstLineChars="168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（格式自拟）</w:t>
      </w:r>
    </w:p>
    <w:p w14:paraId="5E3293F1">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6FD8A051">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13BEDA36">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2E5365F5">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655FFECD">
      <w:pPr>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5A21DA27">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CCABF36">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3558C36D">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5389B024">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6597E8AB">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051C1674">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4B703407">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4C29D10F">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464923B8">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307E1174">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2FA8054D">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4D51A9DE">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79C75342">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7444F64F">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70FD79E9">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2A863FB9">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12C531E0">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25E3CC82">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5475D151">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660D8606">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p>
    <w:p w14:paraId="675753E7">
      <w:pPr>
        <w:snapToGrid w:val="0"/>
        <w:spacing w:before="165" w:beforeLines="50" w:after="50"/>
        <w:ind w:left="142"/>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六、项目实施人员一览表</w:t>
      </w:r>
    </w:p>
    <w:p w14:paraId="43324407">
      <w:pPr>
        <w:spacing w:line="360" w:lineRule="auto"/>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（由投标人根据采购需求及招标文件要求编制）</w:t>
      </w:r>
    </w:p>
    <w:p w14:paraId="58CB019B">
      <w:pPr>
        <w:pStyle w:val="12"/>
        <w:rPr>
          <w:rFonts w:hint="eastAsia" w:asciiTheme="majorEastAsia" w:hAnsiTheme="majorEastAsia" w:eastAsiaTheme="majorEastAsia" w:cstheme="majorEastAsia"/>
          <w:color w:val="auto"/>
          <w:sz w:val="24"/>
          <w:szCs w:val="24"/>
          <w:highlight w:val="none"/>
        </w:rPr>
      </w:pPr>
    </w:p>
    <w:p w14:paraId="37D80DE9">
      <w:pPr>
        <w:keepNext/>
        <w:autoSpaceDE w:val="0"/>
        <w:autoSpaceDN w:val="0"/>
        <w:spacing w:line="360" w:lineRule="auto"/>
        <w:ind w:firstLine="477"/>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附表A:本项目的项目经理情况表</w:t>
      </w:r>
    </w:p>
    <w:tbl>
      <w:tblPr>
        <w:tblStyle w:val="21"/>
        <w:tblW w:w="0" w:type="auto"/>
        <w:tblInd w:w="0" w:type="dxa"/>
        <w:tblLayout w:type="fixed"/>
        <w:tblCellMar>
          <w:top w:w="0" w:type="dxa"/>
          <w:left w:w="108" w:type="dxa"/>
          <w:bottom w:w="0" w:type="dxa"/>
          <w:right w:w="108" w:type="dxa"/>
        </w:tblCellMar>
      </w:tblPr>
      <w:tblGrid>
        <w:gridCol w:w="2061"/>
        <w:gridCol w:w="2725"/>
        <w:gridCol w:w="4394"/>
      </w:tblGrid>
      <w:tr w14:paraId="52D2C4E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14:paraId="6099ABF5">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姓名</w:t>
            </w:r>
          </w:p>
        </w:tc>
        <w:tc>
          <w:tcPr>
            <w:tcW w:w="2725" w:type="dxa"/>
            <w:tcBorders>
              <w:top w:val="single" w:color="auto" w:sz="6" w:space="0"/>
              <w:left w:val="single" w:color="auto" w:sz="6" w:space="0"/>
              <w:bottom w:val="single" w:color="auto" w:sz="6" w:space="0"/>
              <w:right w:val="single" w:color="auto" w:sz="4" w:space="0"/>
            </w:tcBorders>
            <w:shd w:val="clear" w:color="auto" w:fill="B3B3B3"/>
            <w:vAlign w:val="center"/>
          </w:tcPr>
          <w:p w14:paraId="2F411DE6">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tcBorders>
              <w:top w:val="single" w:color="auto" w:sz="6" w:space="0"/>
              <w:left w:val="single" w:color="auto" w:sz="6" w:space="0"/>
              <w:bottom w:val="single" w:color="auto" w:sz="6" w:space="0"/>
              <w:right w:val="single" w:color="auto" w:sz="6" w:space="0"/>
            </w:tcBorders>
            <w:vAlign w:val="center"/>
          </w:tcPr>
          <w:p w14:paraId="43D975B6">
            <w:pPr>
              <w:autoSpaceDE w:val="0"/>
              <w:autoSpaceDN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投标截止时间前三年业绩及承担的主要工作情况，曾担任项目经理的项目应列明细</w:t>
            </w:r>
          </w:p>
        </w:tc>
      </w:tr>
      <w:tr w14:paraId="7541827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205295D">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性别</w:t>
            </w:r>
          </w:p>
        </w:tc>
        <w:tc>
          <w:tcPr>
            <w:tcW w:w="2725" w:type="dxa"/>
            <w:tcBorders>
              <w:top w:val="single" w:color="auto" w:sz="6" w:space="0"/>
              <w:left w:val="single" w:color="auto" w:sz="6" w:space="0"/>
              <w:bottom w:val="single" w:color="auto" w:sz="6" w:space="0"/>
              <w:right w:val="single" w:color="auto" w:sz="4" w:space="0"/>
            </w:tcBorders>
            <w:vAlign w:val="center"/>
          </w:tcPr>
          <w:p w14:paraId="36912E71">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restart"/>
            <w:tcBorders>
              <w:top w:val="single" w:color="auto" w:sz="6" w:space="0"/>
              <w:left w:val="single" w:color="auto" w:sz="6" w:space="0"/>
              <w:bottom w:val="single" w:color="auto" w:sz="6" w:space="0"/>
              <w:right w:val="single" w:color="auto" w:sz="6" w:space="0"/>
            </w:tcBorders>
            <w:vAlign w:val="center"/>
          </w:tcPr>
          <w:p w14:paraId="3E26DBDB">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7D70953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14:paraId="28986EB0">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年龄</w:t>
            </w:r>
          </w:p>
        </w:tc>
        <w:tc>
          <w:tcPr>
            <w:tcW w:w="2725" w:type="dxa"/>
            <w:tcBorders>
              <w:top w:val="single" w:color="auto" w:sz="6" w:space="0"/>
              <w:left w:val="single" w:color="auto" w:sz="6" w:space="0"/>
              <w:bottom w:val="single" w:color="auto" w:sz="6" w:space="0"/>
              <w:right w:val="single" w:color="auto" w:sz="4" w:space="0"/>
            </w:tcBorders>
            <w:vAlign w:val="center"/>
          </w:tcPr>
          <w:p w14:paraId="1A85677C">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continue"/>
            <w:tcBorders>
              <w:top w:val="single" w:color="auto" w:sz="6" w:space="0"/>
              <w:left w:val="single" w:color="auto" w:sz="6" w:space="0"/>
              <w:bottom w:val="single" w:color="auto" w:sz="6" w:space="0"/>
              <w:right w:val="single" w:color="auto" w:sz="6" w:space="0"/>
            </w:tcBorders>
            <w:vAlign w:val="center"/>
          </w:tcPr>
          <w:p w14:paraId="78D30398">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36BF597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8E985F7">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职称</w:t>
            </w:r>
          </w:p>
        </w:tc>
        <w:tc>
          <w:tcPr>
            <w:tcW w:w="2725" w:type="dxa"/>
            <w:tcBorders>
              <w:top w:val="single" w:color="auto" w:sz="6" w:space="0"/>
              <w:left w:val="single" w:color="auto" w:sz="6" w:space="0"/>
              <w:bottom w:val="single" w:color="auto" w:sz="6" w:space="0"/>
              <w:right w:val="single" w:color="auto" w:sz="4" w:space="0"/>
            </w:tcBorders>
            <w:vAlign w:val="center"/>
          </w:tcPr>
          <w:p w14:paraId="7363129E">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continue"/>
            <w:tcBorders>
              <w:top w:val="single" w:color="auto" w:sz="6" w:space="0"/>
              <w:left w:val="single" w:color="auto" w:sz="6" w:space="0"/>
              <w:bottom w:val="single" w:color="auto" w:sz="6" w:space="0"/>
              <w:right w:val="single" w:color="auto" w:sz="6" w:space="0"/>
            </w:tcBorders>
            <w:vAlign w:val="center"/>
          </w:tcPr>
          <w:p w14:paraId="78D7810B">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3062B4D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35303B3">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毕业时间</w:t>
            </w:r>
          </w:p>
        </w:tc>
        <w:tc>
          <w:tcPr>
            <w:tcW w:w="2725" w:type="dxa"/>
            <w:tcBorders>
              <w:top w:val="single" w:color="auto" w:sz="6" w:space="0"/>
              <w:left w:val="single" w:color="auto" w:sz="6" w:space="0"/>
              <w:bottom w:val="single" w:color="auto" w:sz="6" w:space="0"/>
              <w:right w:val="single" w:color="auto" w:sz="4" w:space="0"/>
            </w:tcBorders>
            <w:vAlign w:val="center"/>
          </w:tcPr>
          <w:p w14:paraId="3F6A7EA6">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continue"/>
            <w:tcBorders>
              <w:top w:val="single" w:color="auto" w:sz="6" w:space="0"/>
              <w:left w:val="single" w:color="auto" w:sz="6" w:space="0"/>
              <w:bottom w:val="single" w:color="auto" w:sz="6" w:space="0"/>
              <w:right w:val="single" w:color="auto" w:sz="6" w:space="0"/>
            </w:tcBorders>
            <w:vAlign w:val="center"/>
          </w:tcPr>
          <w:p w14:paraId="2BEC56E5">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1B53CF0A">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2E750DD">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所学专业</w:t>
            </w:r>
          </w:p>
        </w:tc>
        <w:tc>
          <w:tcPr>
            <w:tcW w:w="2725" w:type="dxa"/>
            <w:tcBorders>
              <w:top w:val="single" w:color="auto" w:sz="6" w:space="0"/>
              <w:left w:val="single" w:color="auto" w:sz="6" w:space="0"/>
              <w:bottom w:val="single" w:color="auto" w:sz="6" w:space="0"/>
              <w:right w:val="single" w:color="auto" w:sz="4" w:space="0"/>
            </w:tcBorders>
            <w:vAlign w:val="center"/>
          </w:tcPr>
          <w:p w14:paraId="3FCD6370">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continue"/>
            <w:tcBorders>
              <w:top w:val="single" w:color="auto" w:sz="6" w:space="0"/>
              <w:left w:val="single" w:color="auto" w:sz="6" w:space="0"/>
              <w:bottom w:val="single" w:color="auto" w:sz="6" w:space="0"/>
              <w:right w:val="single" w:color="auto" w:sz="6" w:space="0"/>
            </w:tcBorders>
            <w:vAlign w:val="center"/>
          </w:tcPr>
          <w:p w14:paraId="36F66456">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19D71C6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4391FC5">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学历</w:t>
            </w:r>
          </w:p>
        </w:tc>
        <w:tc>
          <w:tcPr>
            <w:tcW w:w="2725" w:type="dxa"/>
            <w:tcBorders>
              <w:top w:val="single" w:color="auto" w:sz="6" w:space="0"/>
              <w:left w:val="single" w:color="auto" w:sz="6" w:space="0"/>
              <w:bottom w:val="single" w:color="auto" w:sz="6" w:space="0"/>
              <w:right w:val="single" w:color="auto" w:sz="4" w:space="0"/>
            </w:tcBorders>
            <w:vAlign w:val="center"/>
          </w:tcPr>
          <w:p w14:paraId="711EF5EA">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continue"/>
            <w:tcBorders>
              <w:top w:val="single" w:color="auto" w:sz="6" w:space="0"/>
              <w:left w:val="single" w:color="auto" w:sz="6" w:space="0"/>
              <w:bottom w:val="single" w:color="auto" w:sz="6" w:space="0"/>
              <w:right w:val="single" w:color="auto" w:sz="6" w:space="0"/>
            </w:tcBorders>
            <w:vAlign w:val="center"/>
          </w:tcPr>
          <w:p w14:paraId="23909F42">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4443E53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52D19F54">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资质证书编号</w:t>
            </w:r>
          </w:p>
        </w:tc>
        <w:tc>
          <w:tcPr>
            <w:tcW w:w="2725" w:type="dxa"/>
            <w:tcBorders>
              <w:top w:val="single" w:color="auto" w:sz="6" w:space="0"/>
              <w:left w:val="single" w:color="auto" w:sz="6" w:space="0"/>
              <w:bottom w:val="single" w:color="auto" w:sz="6" w:space="0"/>
              <w:right w:val="single" w:color="auto" w:sz="4" w:space="0"/>
            </w:tcBorders>
            <w:vAlign w:val="center"/>
          </w:tcPr>
          <w:p w14:paraId="6DFC74C4">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continue"/>
            <w:tcBorders>
              <w:top w:val="single" w:color="auto" w:sz="6" w:space="0"/>
              <w:left w:val="single" w:color="auto" w:sz="6" w:space="0"/>
              <w:bottom w:val="single" w:color="auto" w:sz="6" w:space="0"/>
              <w:right w:val="single" w:color="auto" w:sz="6" w:space="0"/>
            </w:tcBorders>
            <w:vAlign w:val="center"/>
          </w:tcPr>
          <w:p w14:paraId="2BB90ADF">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58660E6A">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1D5736B">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其他资质情况</w:t>
            </w:r>
          </w:p>
        </w:tc>
        <w:tc>
          <w:tcPr>
            <w:tcW w:w="2725" w:type="dxa"/>
            <w:tcBorders>
              <w:top w:val="single" w:color="auto" w:sz="6" w:space="0"/>
              <w:left w:val="single" w:color="auto" w:sz="6" w:space="0"/>
              <w:bottom w:val="single" w:color="auto" w:sz="6" w:space="0"/>
              <w:right w:val="single" w:color="auto" w:sz="4" w:space="0"/>
            </w:tcBorders>
            <w:vAlign w:val="center"/>
          </w:tcPr>
          <w:p w14:paraId="303064C2">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continue"/>
            <w:tcBorders>
              <w:top w:val="single" w:color="auto" w:sz="6" w:space="0"/>
              <w:left w:val="single" w:color="auto" w:sz="6" w:space="0"/>
              <w:bottom w:val="single" w:color="auto" w:sz="6" w:space="0"/>
              <w:right w:val="single" w:color="auto" w:sz="6" w:space="0"/>
            </w:tcBorders>
            <w:vAlign w:val="center"/>
          </w:tcPr>
          <w:p w14:paraId="40249361">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3A7035A8">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14:paraId="31DEDF62">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p>
        </w:tc>
        <w:tc>
          <w:tcPr>
            <w:tcW w:w="2725" w:type="dxa"/>
            <w:tcBorders>
              <w:top w:val="single" w:color="auto" w:sz="6" w:space="0"/>
              <w:left w:val="single" w:color="auto" w:sz="6" w:space="0"/>
              <w:bottom w:val="single" w:color="auto" w:sz="6" w:space="0"/>
              <w:right w:val="single" w:color="auto" w:sz="4" w:space="0"/>
            </w:tcBorders>
            <w:vAlign w:val="center"/>
          </w:tcPr>
          <w:p w14:paraId="5810EB41">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4394" w:type="dxa"/>
            <w:vMerge w:val="continue"/>
            <w:tcBorders>
              <w:top w:val="single" w:color="auto" w:sz="6" w:space="0"/>
              <w:left w:val="single" w:color="auto" w:sz="6" w:space="0"/>
              <w:bottom w:val="single" w:color="auto" w:sz="6" w:space="0"/>
              <w:right w:val="single" w:color="auto" w:sz="6" w:space="0"/>
            </w:tcBorders>
            <w:vAlign w:val="center"/>
          </w:tcPr>
          <w:p w14:paraId="7D2BA8AC">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bl>
    <w:p w14:paraId="36664098">
      <w:pPr>
        <w:autoSpaceDE w:val="0"/>
        <w:autoSpaceDN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注：须随表提交相应的证书复印件。</w:t>
      </w:r>
    </w:p>
    <w:p w14:paraId="67E7C865">
      <w:pPr>
        <w:autoSpaceDE w:val="0"/>
        <w:autoSpaceDN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附表B:本项目的项目小组人员情况表</w:t>
      </w:r>
      <w:r>
        <w:rPr>
          <w:rFonts w:hint="eastAsia" w:asciiTheme="majorEastAsia" w:hAnsiTheme="majorEastAsia" w:eastAsiaTheme="majorEastAsia" w:cstheme="majorEastAsia"/>
          <w:color w:val="auto"/>
          <w:sz w:val="24"/>
          <w:highlight w:val="none"/>
        </w:rPr>
        <w:t>（按此格式自制）</w:t>
      </w:r>
    </w:p>
    <w:tbl>
      <w:tblPr>
        <w:tblStyle w:val="21"/>
        <w:tblW w:w="0" w:type="auto"/>
        <w:jc w:val="center"/>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86A1377">
        <w:trPr>
          <w:jc w:val="center"/>
        </w:trPr>
        <w:tc>
          <w:tcPr>
            <w:tcW w:w="420" w:type="dxa"/>
            <w:tcBorders>
              <w:top w:val="single" w:color="auto" w:sz="6" w:space="0"/>
              <w:left w:val="single" w:color="auto" w:sz="6" w:space="0"/>
              <w:bottom w:val="single" w:color="auto" w:sz="6" w:space="0"/>
              <w:right w:val="single" w:color="auto" w:sz="6" w:space="0"/>
            </w:tcBorders>
            <w:vAlign w:val="center"/>
          </w:tcPr>
          <w:p w14:paraId="4698CBE7">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F5E9B08">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0FB98A">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8C2D93D">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CC05961">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学历</w:t>
            </w:r>
          </w:p>
          <w:p w14:paraId="1297C58B">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2457ACF">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专业</w:t>
            </w:r>
          </w:p>
          <w:p w14:paraId="7C7B08D3">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D6F868B">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职称</w:t>
            </w:r>
          </w:p>
          <w:p w14:paraId="713436F5">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8E73158">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ABE4D61">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6BA6F6B">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参与本项目的到位情况</w:t>
            </w:r>
          </w:p>
        </w:tc>
      </w:tr>
      <w:tr w14:paraId="09A862C5">
        <w:tblPrEx>
          <w:tblCellMar>
            <w:top w:w="0" w:type="dxa"/>
            <w:left w:w="108" w:type="dxa"/>
            <w:bottom w:w="0" w:type="dxa"/>
            <w:right w:w="108" w:type="dxa"/>
          </w:tblCellMar>
        </w:tblPrEx>
        <w:trPr>
          <w:trHeight w:val="479" w:hRule="atLeast"/>
          <w:jc w:val="center"/>
        </w:trPr>
        <w:tc>
          <w:tcPr>
            <w:tcW w:w="420" w:type="dxa"/>
            <w:tcBorders>
              <w:top w:val="single" w:color="auto" w:sz="6" w:space="0"/>
              <w:left w:val="single" w:color="auto" w:sz="6" w:space="0"/>
              <w:bottom w:val="single" w:color="auto" w:sz="6" w:space="0"/>
              <w:right w:val="single" w:color="auto" w:sz="6" w:space="0"/>
            </w:tcBorders>
          </w:tcPr>
          <w:p w14:paraId="48D2F06F">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C484C71">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A39C21E">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49040CD">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F62378F">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E02AE8">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6829B0">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56A39A4">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26F026C">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88F1DBA">
            <w:pPr>
              <w:autoSpaceDE w:val="0"/>
              <w:autoSpaceDN w:val="0"/>
              <w:spacing w:line="360" w:lineRule="auto"/>
              <w:rPr>
                <w:rFonts w:hint="eastAsia" w:asciiTheme="majorEastAsia" w:hAnsiTheme="majorEastAsia" w:eastAsiaTheme="majorEastAsia" w:cstheme="majorEastAsia"/>
                <w:color w:val="auto"/>
                <w:sz w:val="24"/>
                <w:highlight w:val="none"/>
              </w:rPr>
            </w:pPr>
          </w:p>
        </w:tc>
      </w:tr>
      <w:tr w14:paraId="751556C5">
        <w:tblPrEx>
          <w:tblCellMar>
            <w:top w:w="0" w:type="dxa"/>
            <w:left w:w="108" w:type="dxa"/>
            <w:bottom w:w="0" w:type="dxa"/>
            <w:right w:w="108" w:type="dxa"/>
          </w:tblCellMar>
        </w:tblPrEx>
        <w:trPr>
          <w:trHeight w:val="473" w:hRule="atLeast"/>
          <w:jc w:val="center"/>
        </w:trPr>
        <w:tc>
          <w:tcPr>
            <w:tcW w:w="420" w:type="dxa"/>
            <w:tcBorders>
              <w:top w:val="single" w:color="auto" w:sz="6" w:space="0"/>
              <w:left w:val="single" w:color="auto" w:sz="6" w:space="0"/>
              <w:bottom w:val="single" w:color="auto" w:sz="6" w:space="0"/>
              <w:right w:val="single" w:color="auto" w:sz="6" w:space="0"/>
            </w:tcBorders>
          </w:tcPr>
          <w:p w14:paraId="19B4F768">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CB3D1A3">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A353EA8">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45EADB">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83FDBC6">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1DF401">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EA962E">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BF8490">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4CC0A7B">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FBA72DC">
            <w:pPr>
              <w:autoSpaceDE w:val="0"/>
              <w:autoSpaceDN w:val="0"/>
              <w:spacing w:line="360" w:lineRule="auto"/>
              <w:rPr>
                <w:rFonts w:hint="eastAsia" w:asciiTheme="majorEastAsia" w:hAnsiTheme="majorEastAsia" w:eastAsiaTheme="majorEastAsia" w:cstheme="majorEastAsia"/>
                <w:color w:val="auto"/>
                <w:sz w:val="24"/>
                <w:highlight w:val="none"/>
              </w:rPr>
            </w:pPr>
          </w:p>
        </w:tc>
      </w:tr>
    </w:tbl>
    <w:p w14:paraId="1C1CB5EB">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注：投标人可按上述的格式自行编制，须随表提交相应的证书复印件。</w:t>
      </w:r>
    </w:p>
    <w:p w14:paraId="3100F842">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附表C:本项目的项目经理和小组人员近3个月</w:t>
      </w:r>
      <w:r>
        <w:rPr>
          <w:rFonts w:hint="eastAsia" w:asciiTheme="majorEastAsia" w:hAnsiTheme="majorEastAsia" w:eastAsiaTheme="majorEastAsia" w:cstheme="majorEastAsia"/>
          <w:b/>
          <w:color w:val="auto"/>
          <w:sz w:val="24"/>
          <w:highlight w:val="none"/>
          <w:lang w:val="en-US" w:eastAsia="zh-CN"/>
        </w:rPr>
        <w:t>缴纳</w:t>
      </w:r>
      <w:r>
        <w:rPr>
          <w:rFonts w:hint="eastAsia" w:asciiTheme="majorEastAsia" w:hAnsiTheme="majorEastAsia" w:eastAsiaTheme="majorEastAsia" w:cstheme="majorEastAsia"/>
          <w:b/>
          <w:color w:val="auto"/>
          <w:sz w:val="24"/>
          <w:highlight w:val="none"/>
        </w:rPr>
        <w:t>社保记录情况表</w:t>
      </w:r>
      <w:r>
        <w:rPr>
          <w:rFonts w:hint="eastAsia" w:asciiTheme="majorEastAsia" w:hAnsiTheme="majorEastAsia" w:eastAsiaTheme="majorEastAsia" w:cstheme="majorEastAsia"/>
          <w:color w:val="auto"/>
          <w:sz w:val="24"/>
          <w:highlight w:val="none"/>
        </w:rPr>
        <w:t>（以社保局缴纳凭证作附件）</w:t>
      </w:r>
    </w:p>
    <w:p w14:paraId="5CC027E3">
      <w:pPr>
        <w:snapToGrid w:val="0"/>
        <w:spacing w:line="360" w:lineRule="auto"/>
        <w:ind w:firstLine="4320" w:firstLineChars="18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投标人名称(电子签章)：</w:t>
      </w:r>
    </w:p>
    <w:p w14:paraId="50546137">
      <w:pPr>
        <w:snapToGrid w:val="0"/>
        <w:spacing w:before="165" w:beforeLines="50" w:after="50"/>
        <w:ind w:firstLine="480" w:firstLineChars="200"/>
        <w:rPr>
          <w:rFonts w:hint="eastAsia" w:asciiTheme="minorEastAsia" w:hAnsiTheme="minorEastAsia" w:eastAsiaTheme="minorEastAsia" w:cstheme="minorEastAsia"/>
          <w:b/>
          <w:bCs/>
          <w:color w:val="auto"/>
          <w:sz w:val="30"/>
          <w:szCs w:val="30"/>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  年  月   日</w:t>
      </w:r>
    </w:p>
    <w:p w14:paraId="109E38EA">
      <w:pPr>
        <w:widowControl/>
        <w:jc w:val="left"/>
        <w:rPr>
          <w:rFonts w:hint="eastAsia" w:asciiTheme="minorEastAsia" w:hAnsiTheme="minorEastAsia" w:eastAsiaTheme="minorEastAsia" w:cstheme="minorEastAsia"/>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2233E054">
      <w:pPr>
        <w:snapToGrid w:val="0"/>
        <w:spacing w:before="165" w:beforeLines="50" w:after="50"/>
        <w:ind w:firstLine="602" w:firstLineChars="20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七、投标人类似的业绩证明文件（如有要求）</w:t>
      </w:r>
    </w:p>
    <w:p w14:paraId="1C66DBF9">
      <w:pPr>
        <w:pStyle w:val="17"/>
        <w:snapToGrid w:val="0"/>
        <w:ind w:left="480" w:hanging="480"/>
        <w:rPr>
          <w:rFonts w:hint="eastAsia" w:asciiTheme="minorEastAsia" w:hAnsiTheme="minorEastAsia" w:eastAsiaTheme="minorEastAsia" w:cstheme="minorEastAsia"/>
          <w:color w:val="auto"/>
          <w:sz w:val="24"/>
          <w:highlight w:val="none"/>
        </w:rPr>
      </w:pPr>
    </w:p>
    <w:p w14:paraId="1DA0C46C">
      <w:pPr>
        <w:pStyle w:val="17"/>
        <w:snapToGrid w:val="0"/>
        <w:ind w:left="480" w:hanging="480"/>
        <w:rPr>
          <w:rFonts w:hint="eastAsia" w:asciiTheme="minorEastAsia" w:hAnsiTheme="minorEastAsia" w:eastAsiaTheme="minorEastAsia" w:cstheme="minorEastAsia"/>
          <w:color w:val="auto"/>
          <w:sz w:val="24"/>
          <w:highlight w:val="none"/>
        </w:rPr>
      </w:pPr>
    </w:p>
    <w:p w14:paraId="5280569A">
      <w:pPr>
        <w:pStyle w:val="17"/>
        <w:snapToGrid w:val="0"/>
        <w:ind w:left="480" w:hanging="480"/>
        <w:rPr>
          <w:rFonts w:hint="eastAsia" w:asciiTheme="minorEastAsia" w:hAnsiTheme="minorEastAsia" w:eastAsiaTheme="minorEastAsia" w:cstheme="minorEastAsia"/>
          <w:color w:val="auto"/>
          <w:sz w:val="24"/>
          <w:highlight w:val="none"/>
        </w:rPr>
      </w:pPr>
    </w:p>
    <w:p w14:paraId="5126412F">
      <w:pPr>
        <w:autoSpaceDE w:val="0"/>
        <w:autoSpaceDN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附表 :相关项目业绩一览表（投标人同类项目合同复印件、用户验收报告、用户评价意见格式自拟）</w:t>
      </w:r>
    </w:p>
    <w:tbl>
      <w:tblPr>
        <w:tblStyle w:val="21"/>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1A84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661609C">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BFBF7ED">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F78712A">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p w14:paraId="27A706F8">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p w14:paraId="2D378E1B">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ACB8C61">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B0063AF">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w:t>
            </w:r>
          </w:p>
          <w:p w14:paraId="473649E4">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r>
      <w:tr w14:paraId="1A539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172BA19">
            <w:pPr>
              <w:widowControl/>
              <w:jc w:val="left"/>
              <w:rPr>
                <w:rFonts w:hint="eastAsia" w:asciiTheme="minorEastAsia" w:hAnsiTheme="minorEastAsia" w:eastAsiaTheme="minorEastAsia" w:cstheme="minorEastAsia"/>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6319D22">
            <w:pPr>
              <w:widowControl/>
              <w:jc w:val="left"/>
              <w:rPr>
                <w:rFonts w:hint="eastAsia" w:asciiTheme="minorEastAsia" w:hAnsiTheme="minorEastAsia" w:eastAsiaTheme="minorEastAsia" w:cstheme="minorEastAsia"/>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0C2345E9">
            <w:pPr>
              <w:widowControl/>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9761070">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4BDE256E">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63D5995A">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60B91800">
            <w:pPr>
              <w:widowControl/>
              <w:jc w:val="left"/>
              <w:rPr>
                <w:rFonts w:hint="eastAsia" w:asciiTheme="minorEastAsia" w:hAnsiTheme="minorEastAsia" w:eastAsiaTheme="minorEastAsia" w:cstheme="minorEastAsia"/>
                <w:color w:val="auto"/>
                <w:sz w:val="24"/>
                <w:highlight w:val="none"/>
              </w:rPr>
            </w:pPr>
          </w:p>
        </w:tc>
      </w:tr>
      <w:tr w14:paraId="20D91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6CFE2148">
            <w:pPr>
              <w:snapToGrid w:val="0"/>
              <w:spacing w:line="24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74B71A6">
            <w:pPr>
              <w:snapToGrid w:val="0"/>
              <w:spacing w:line="24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9BDF096">
            <w:pPr>
              <w:snapToGrid w:val="0"/>
              <w:spacing w:line="24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8DDFDF5">
            <w:pPr>
              <w:snapToGrid w:val="0"/>
              <w:spacing w:line="24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CFC6016">
            <w:pPr>
              <w:snapToGrid w:val="0"/>
              <w:spacing w:line="24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6CDE2DF">
            <w:pPr>
              <w:snapToGrid w:val="0"/>
              <w:spacing w:line="24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3A5B4A8">
            <w:pPr>
              <w:snapToGrid w:val="0"/>
              <w:spacing w:line="240" w:lineRule="exact"/>
              <w:jc w:val="left"/>
              <w:rPr>
                <w:rFonts w:hint="eastAsia" w:asciiTheme="minorEastAsia" w:hAnsiTheme="minorEastAsia" w:eastAsiaTheme="minorEastAsia" w:cstheme="minorEastAsia"/>
                <w:color w:val="auto"/>
                <w:sz w:val="24"/>
                <w:highlight w:val="none"/>
              </w:rPr>
            </w:pPr>
          </w:p>
        </w:tc>
      </w:tr>
      <w:tr w14:paraId="6871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2C6D8A6">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F3A53D9">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1FAC795">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F1E84B0">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3CE5A8D">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8AF1D9A">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5423304">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r>
      <w:tr w14:paraId="5061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31FFDAF">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97504E4">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4AC0942">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2379C56">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790088E">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ECC85A2">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5B27782">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r>
      <w:tr w14:paraId="6ED6B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E1E4CE7">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D231F9B">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5EF47B6">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877A85D">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CCB7949">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7893A28">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35B4F51">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r>
      <w:tr w14:paraId="7C57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28" w:type="dxa"/>
            <w:tcBorders>
              <w:top w:val="single" w:color="auto" w:sz="4" w:space="0"/>
              <w:left w:val="single" w:color="auto" w:sz="4" w:space="0"/>
              <w:bottom w:val="single" w:color="auto" w:sz="4" w:space="0"/>
              <w:right w:val="single" w:color="auto" w:sz="4" w:space="0"/>
            </w:tcBorders>
          </w:tcPr>
          <w:p w14:paraId="6117AACF">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0190BD2">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4C905E1">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B402B48">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539C865">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36D2E4B">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50FD216">
            <w:pPr>
              <w:snapToGrid w:val="0"/>
              <w:spacing w:before="50" w:after="165" w:afterLines="50" w:line="400" w:lineRule="exact"/>
              <w:jc w:val="left"/>
              <w:rPr>
                <w:rFonts w:hint="eastAsia" w:asciiTheme="minorEastAsia" w:hAnsiTheme="minorEastAsia" w:eastAsiaTheme="minorEastAsia" w:cstheme="minorEastAsia"/>
                <w:color w:val="auto"/>
                <w:sz w:val="24"/>
                <w:highlight w:val="none"/>
              </w:rPr>
            </w:pPr>
          </w:p>
        </w:tc>
      </w:tr>
    </w:tbl>
    <w:p w14:paraId="027EBB63">
      <w:pPr>
        <w:pStyle w:val="12"/>
        <w:spacing w:line="360" w:lineRule="auto"/>
        <w:ind w:left="7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注：投标人可按上述的格式自行编制，须随表提交相应的合同复印件和用户单位验收证明并注明所在投标人商务技术文件页码。</w:t>
      </w:r>
    </w:p>
    <w:p w14:paraId="79FB3D90">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146EE888">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2AE02D9D">
      <w:pPr>
        <w:snapToGrid w:val="0"/>
        <w:spacing w:line="360" w:lineRule="auto"/>
        <w:ind w:firstLine="10080" w:firstLineChars="48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6D6EE9EC">
      <w:pPr>
        <w:snapToGrid w:val="0"/>
        <w:spacing w:line="360" w:lineRule="auto"/>
        <w:ind w:firstLine="10080" w:firstLineChars="4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81DC691">
      <w:pPr>
        <w:widowControl/>
        <w:spacing w:line="360" w:lineRule="auto"/>
        <w:jc w:val="left"/>
        <w:rPr>
          <w:rFonts w:hint="eastAsia" w:asciiTheme="minorEastAsia" w:hAnsiTheme="minorEastAsia" w:eastAsiaTheme="minorEastAsia" w:cstheme="minorEastAsia"/>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0850C7F7">
      <w:pPr>
        <w:pStyle w:val="12"/>
        <w:jc w:val="center"/>
        <w:outlineLvl w:val="1"/>
        <w:rPr>
          <w:rFonts w:hint="eastAsia" w:asciiTheme="minorEastAsia" w:hAnsiTheme="minorEastAsia" w:eastAsiaTheme="minorEastAsia" w:cstheme="minorEastAsia"/>
          <w:b/>
          <w:bCs/>
          <w:color w:val="auto"/>
          <w:sz w:val="30"/>
          <w:szCs w:val="30"/>
          <w:highlight w:val="none"/>
        </w:rPr>
      </w:pPr>
      <w:bookmarkStart w:id="306" w:name="_Toc21227"/>
      <w:bookmarkStart w:id="307" w:name="_Toc19686839"/>
      <w:r>
        <w:rPr>
          <w:rFonts w:hint="eastAsia" w:asciiTheme="minorEastAsia" w:hAnsiTheme="minorEastAsia" w:eastAsiaTheme="minorEastAsia" w:cstheme="minorEastAsia"/>
          <w:b/>
          <w:bCs/>
          <w:color w:val="auto"/>
          <w:sz w:val="30"/>
          <w:szCs w:val="30"/>
          <w:highlight w:val="none"/>
        </w:rPr>
        <w:t>八、其他商务文件或说明</w:t>
      </w:r>
    </w:p>
    <w:p w14:paraId="60635AB1">
      <w:pPr>
        <w:pStyle w:val="12"/>
        <w:jc w:val="center"/>
        <w:outlineLvl w:val="1"/>
        <w:rPr>
          <w:rFonts w:hint="eastAsia" w:asciiTheme="minorEastAsia" w:hAnsiTheme="minorEastAsia" w:eastAsiaTheme="minorEastAsia" w:cstheme="minorEastAsia"/>
          <w:b/>
          <w:bCs/>
          <w:color w:val="auto"/>
          <w:sz w:val="28"/>
          <w:szCs w:val="28"/>
          <w:highlight w:val="none"/>
        </w:rPr>
      </w:pPr>
    </w:p>
    <w:p w14:paraId="48128286">
      <w:pPr>
        <w:pStyle w:val="12"/>
        <w:jc w:val="center"/>
        <w:outlineLvl w:val="1"/>
        <w:rPr>
          <w:rFonts w:hint="eastAsia" w:asciiTheme="minorEastAsia" w:hAnsiTheme="minorEastAsia" w:eastAsiaTheme="minorEastAsia" w:cstheme="minorEastAsia"/>
          <w:b/>
          <w:bCs/>
          <w:color w:val="auto"/>
          <w:sz w:val="28"/>
          <w:szCs w:val="28"/>
          <w:highlight w:val="none"/>
        </w:rPr>
      </w:pPr>
    </w:p>
    <w:p w14:paraId="576A21F3">
      <w:pPr>
        <w:pStyle w:val="12"/>
        <w:jc w:val="center"/>
        <w:outlineLvl w:val="1"/>
        <w:rPr>
          <w:rFonts w:hint="eastAsia" w:asciiTheme="minorEastAsia" w:hAnsiTheme="minorEastAsia" w:eastAsiaTheme="minorEastAsia" w:cstheme="minorEastAsia"/>
          <w:b/>
          <w:bCs/>
          <w:color w:val="auto"/>
          <w:sz w:val="28"/>
          <w:szCs w:val="28"/>
          <w:highlight w:val="none"/>
        </w:rPr>
      </w:pPr>
    </w:p>
    <w:p w14:paraId="51D66BCE">
      <w:pPr>
        <w:pStyle w:val="12"/>
        <w:jc w:val="center"/>
        <w:outlineLvl w:val="1"/>
        <w:rPr>
          <w:rFonts w:hint="eastAsia" w:asciiTheme="minorEastAsia" w:hAnsiTheme="minorEastAsia" w:eastAsiaTheme="minorEastAsia" w:cstheme="minorEastAsia"/>
          <w:b/>
          <w:bCs/>
          <w:color w:val="auto"/>
          <w:sz w:val="28"/>
          <w:szCs w:val="28"/>
          <w:highlight w:val="none"/>
        </w:rPr>
      </w:pPr>
    </w:p>
    <w:p w14:paraId="0EBCA690">
      <w:pPr>
        <w:pStyle w:val="12"/>
        <w:jc w:val="center"/>
        <w:outlineLvl w:val="1"/>
        <w:rPr>
          <w:rFonts w:hint="eastAsia" w:asciiTheme="minorEastAsia" w:hAnsiTheme="minorEastAsia" w:eastAsiaTheme="minorEastAsia" w:cstheme="minorEastAsia"/>
          <w:b/>
          <w:bCs/>
          <w:color w:val="auto"/>
          <w:sz w:val="28"/>
          <w:szCs w:val="28"/>
          <w:highlight w:val="none"/>
        </w:rPr>
      </w:pPr>
    </w:p>
    <w:p w14:paraId="6E1F9DA8">
      <w:pPr>
        <w:pStyle w:val="12"/>
        <w:jc w:val="center"/>
        <w:outlineLvl w:val="1"/>
        <w:rPr>
          <w:rFonts w:hint="eastAsia" w:asciiTheme="minorEastAsia" w:hAnsiTheme="minorEastAsia" w:eastAsiaTheme="minorEastAsia" w:cstheme="minorEastAsia"/>
          <w:b/>
          <w:bCs/>
          <w:color w:val="auto"/>
          <w:sz w:val="28"/>
          <w:szCs w:val="28"/>
          <w:highlight w:val="none"/>
        </w:rPr>
      </w:pPr>
    </w:p>
    <w:p w14:paraId="3805A27D">
      <w:pPr>
        <w:pStyle w:val="12"/>
        <w:jc w:val="center"/>
        <w:outlineLvl w:val="1"/>
        <w:rPr>
          <w:rFonts w:hint="eastAsia" w:asciiTheme="minorEastAsia" w:hAnsiTheme="minorEastAsia" w:eastAsiaTheme="minorEastAsia" w:cstheme="minorEastAsia"/>
          <w:b/>
          <w:bCs/>
          <w:color w:val="auto"/>
          <w:sz w:val="28"/>
          <w:szCs w:val="28"/>
          <w:highlight w:val="none"/>
        </w:rPr>
      </w:pPr>
    </w:p>
    <w:p w14:paraId="3A43C4BB">
      <w:pPr>
        <w:pStyle w:val="12"/>
        <w:jc w:val="center"/>
        <w:outlineLvl w:val="1"/>
        <w:rPr>
          <w:rFonts w:hint="eastAsia" w:asciiTheme="minorEastAsia" w:hAnsiTheme="minorEastAsia" w:eastAsiaTheme="minorEastAsia" w:cstheme="minorEastAsia"/>
          <w:b/>
          <w:bCs/>
          <w:color w:val="auto"/>
          <w:sz w:val="28"/>
          <w:szCs w:val="28"/>
          <w:highlight w:val="none"/>
        </w:rPr>
      </w:pPr>
    </w:p>
    <w:p w14:paraId="18505FC5">
      <w:pPr>
        <w:pStyle w:val="12"/>
        <w:jc w:val="center"/>
        <w:outlineLvl w:val="1"/>
        <w:rPr>
          <w:rFonts w:hint="eastAsia" w:asciiTheme="minorEastAsia" w:hAnsiTheme="minorEastAsia" w:eastAsiaTheme="minorEastAsia" w:cstheme="minorEastAsia"/>
          <w:b/>
          <w:bCs/>
          <w:color w:val="auto"/>
          <w:sz w:val="28"/>
          <w:szCs w:val="28"/>
          <w:highlight w:val="none"/>
        </w:rPr>
      </w:pPr>
    </w:p>
    <w:p w14:paraId="55D9D10F">
      <w:pPr>
        <w:pStyle w:val="12"/>
        <w:jc w:val="center"/>
        <w:outlineLvl w:val="1"/>
        <w:rPr>
          <w:rFonts w:hint="eastAsia" w:asciiTheme="minorEastAsia" w:hAnsiTheme="minorEastAsia" w:eastAsiaTheme="minorEastAsia" w:cstheme="minorEastAsia"/>
          <w:b/>
          <w:bCs/>
          <w:color w:val="auto"/>
          <w:sz w:val="28"/>
          <w:szCs w:val="28"/>
          <w:highlight w:val="none"/>
        </w:rPr>
      </w:pPr>
    </w:p>
    <w:p w14:paraId="5DC6B9E9">
      <w:pPr>
        <w:pStyle w:val="12"/>
        <w:jc w:val="center"/>
        <w:outlineLvl w:val="1"/>
        <w:rPr>
          <w:rFonts w:hint="eastAsia" w:asciiTheme="minorEastAsia" w:hAnsiTheme="minorEastAsia" w:eastAsiaTheme="minorEastAsia" w:cstheme="minorEastAsia"/>
          <w:b/>
          <w:bCs/>
          <w:color w:val="auto"/>
          <w:sz w:val="28"/>
          <w:szCs w:val="28"/>
          <w:highlight w:val="none"/>
        </w:rPr>
      </w:pPr>
    </w:p>
    <w:p w14:paraId="7A93FAB4">
      <w:pPr>
        <w:pStyle w:val="12"/>
        <w:jc w:val="center"/>
        <w:outlineLvl w:val="1"/>
        <w:rPr>
          <w:rFonts w:hint="eastAsia" w:asciiTheme="minorEastAsia" w:hAnsiTheme="minorEastAsia" w:eastAsiaTheme="minorEastAsia" w:cstheme="minorEastAsia"/>
          <w:b/>
          <w:bCs/>
          <w:color w:val="auto"/>
          <w:sz w:val="28"/>
          <w:szCs w:val="28"/>
          <w:highlight w:val="none"/>
        </w:rPr>
      </w:pPr>
    </w:p>
    <w:p w14:paraId="09D62F51">
      <w:pPr>
        <w:pStyle w:val="12"/>
        <w:jc w:val="center"/>
        <w:outlineLvl w:val="1"/>
        <w:rPr>
          <w:rFonts w:hint="eastAsia" w:asciiTheme="minorEastAsia" w:hAnsiTheme="minorEastAsia" w:eastAsiaTheme="minorEastAsia" w:cstheme="minorEastAsia"/>
          <w:b/>
          <w:bCs/>
          <w:color w:val="auto"/>
          <w:sz w:val="28"/>
          <w:szCs w:val="28"/>
          <w:highlight w:val="none"/>
        </w:rPr>
      </w:pPr>
    </w:p>
    <w:p w14:paraId="0B493599">
      <w:pPr>
        <w:pStyle w:val="12"/>
        <w:jc w:val="center"/>
        <w:outlineLvl w:val="1"/>
        <w:rPr>
          <w:rFonts w:hint="eastAsia" w:asciiTheme="minorEastAsia" w:hAnsiTheme="minorEastAsia" w:eastAsiaTheme="minorEastAsia" w:cstheme="minorEastAsia"/>
          <w:b/>
          <w:bCs/>
          <w:color w:val="auto"/>
          <w:sz w:val="28"/>
          <w:szCs w:val="28"/>
          <w:highlight w:val="none"/>
        </w:rPr>
      </w:pPr>
    </w:p>
    <w:p w14:paraId="59C45070">
      <w:pPr>
        <w:pStyle w:val="6"/>
        <w:rPr>
          <w:rFonts w:hint="eastAsia" w:asciiTheme="minorEastAsia" w:hAnsiTheme="minorEastAsia" w:eastAsiaTheme="minorEastAsia" w:cstheme="minorEastAsia"/>
          <w:b/>
          <w:bCs/>
          <w:color w:val="auto"/>
          <w:szCs w:val="28"/>
          <w:highlight w:val="none"/>
        </w:rPr>
      </w:pPr>
    </w:p>
    <w:p w14:paraId="28D4FB80">
      <w:pPr>
        <w:rPr>
          <w:rFonts w:hint="eastAsia" w:asciiTheme="minorEastAsia" w:hAnsiTheme="minorEastAsia" w:eastAsiaTheme="minorEastAsia" w:cstheme="minorEastAsia"/>
          <w:b/>
          <w:bCs/>
          <w:color w:val="auto"/>
          <w:sz w:val="28"/>
          <w:szCs w:val="28"/>
          <w:highlight w:val="none"/>
        </w:rPr>
      </w:pPr>
    </w:p>
    <w:p w14:paraId="7193CF6B">
      <w:pPr>
        <w:rPr>
          <w:rFonts w:hint="eastAsia" w:asciiTheme="minorEastAsia" w:hAnsiTheme="minorEastAsia" w:eastAsiaTheme="minorEastAsia" w:cstheme="minorEastAsia"/>
          <w:b/>
          <w:bCs/>
          <w:color w:val="auto"/>
          <w:sz w:val="28"/>
          <w:szCs w:val="28"/>
          <w:highlight w:val="none"/>
        </w:rPr>
      </w:pPr>
    </w:p>
    <w:p w14:paraId="40CA07E9">
      <w:pPr>
        <w:rPr>
          <w:rFonts w:hint="eastAsia" w:asciiTheme="minorEastAsia" w:hAnsiTheme="minorEastAsia" w:eastAsiaTheme="minorEastAsia" w:cstheme="minorEastAsia"/>
          <w:b/>
          <w:bCs/>
          <w:color w:val="auto"/>
          <w:sz w:val="28"/>
          <w:szCs w:val="28"/>
          <w:highlight w:val="none"/>
        </w:rPr>
      </w:pPr>
    </w:p>
    <w:p w14:paraId="48784142">
      <w:pPr>
        <w:rPr>
          <w:rFonts w:hint="eastAsia" w:asciiTheme="minorEastAsia" w:hAnsiTheme="minorEastAsia" w:eastAsiaTheme="minorEastAsia" w:cstheme="minorEastAsia"/>
          <w:b/>
          <w:bCs/>
          <w:color w:val="auto"/>
          <w:sz w:val="28"/>
          <w:szCs w:val="28"/>
          <w:highlight w:val="none"/>
        </w:rPr>
      </w:pPr>
    </w:p>
    <w:p w14:paraId="1C8CF9BE">
      <w:pPr>
        <w:pStyle w:val="12"/>
        <w:jc w:val="center"/>
        <w:outlineLvl w:val="1"/>
        <w:rPr>
          <w:rFonts w:hint="eastAsia" w:asciiTheme="minorEastAsia" w:hAnsiTheme="minorEastAsia" w:eastAsiaTheme="minorEastAsia" w:cstheme="minorEastAsia"/>
          <w:b/>
          <w:bCs/>
          <w:color w:val="auto"/>
          <w:sz w:val="28"/>
          <w:szCs w:val="28"/>
          <w:highlight w:val="none"/>
        </w:rPr>
      </w:pPr>
    </w:p>
    <w:p w14:paraId="537CE1BB">
      <w:pPr>
        <w:pStyle w:val="12"/>
        <w:jc w:val="center"/>
        <w:outlineLvl w:val="1"/>
        <w:rPr>
          <w:rFonts w:hint="eastAsia" w:asciiTheme="minorEastAsia" w:hAnsiTheme="minorEastAsia" w:eastAsiaTheme="minorEastAsia" w:cstheme="minorEastAsia"/>
          <w:b/>
          <w:bCs/>
          <w:color w:val="auto"/>
          <w:sz w:val="28"/>
          <w:szCs w:val="28"/>
          <w:highlight w:val="none"/>
        </w:rPr>
      </w:pPr>
    </w:p>
    <w:p w14:paraId="6F7BB456">
      <w:pPr>
        <w:pStyle w:val="12"/>
        <w:jc w:val="center"/>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第四节 技术文件格式</w:t>
      </w:r>
      <w:bookmarkEnd w:id="306"/>
      <w:bookmarkEnd w:id="307"/>
    </w:p>
    <w:p w14:paraId="5D45D70B">
      <w:pPr>
        <w:snapToGrid w:val="0"/>
        <w:spacing w:before="165"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762C9EE6">
      <w:pPr>
        <w:snapToGrid w:val="0"/>
        <w:spacing w:before="165" w:beforeLines="50" w:after="50"/>
        <w:rPr>
          <w:rFonts w:hint="eastAsia" w:asciiTheme="minorEastAsia" w:hAnsiTheme="minorEastAsia" w:eastAsiaTheme="minorEastAsia" w:cstheme="minorEastAsia"/>
          <w:color w:val="auto"/>
          <w:sz w:val="24"/>
          <w:szCs w:val="20"/>
          <w:highlight w:val="none"/>
        </w:rPr>
      </w:pPr>
    </w:p>
    <w:p w14:paraId="541E9C69">
      <w:pPr>
        <w:snapToGrid w:val="0"/>
        <w:spacing w:before="165" w:beforeLines="50" w:after="50"/>
        <w:jc w:val="center"/>
        <w:rPr>
          <w:rFonts w:hint="eastAsia" w:asciiTheme="minorEastAsia" w:hAnsiTheme="minorEastAsia" w:eastAsiaTheme="minorEastAsia" w:cstheme="minorEastAsia"/>
          <w:b/>
          <w:bCs/>
          <w:color w:val="auto"/>
          <w:sz w:val="32"/>
          <w:szCs w:val="32"/>
          <w:highlight w:val="none"/>
        </w:rPr>
      </w:pPr>
    </w:p>
    <w:p w14:paraId="546032B4">
      <w:pPr>
        <w:snapToGrid w:val="0"/>
        <w:spacing w:before="165" w:beforeLines="50" w:after="50"/>
        <w:jc w:val="center"/>
        <w:rPr>
          <w:rFonts w:hint="eastAsia" w:asciiTheme="minorEastAsia" w:hAnsiTheme="minorEastAsia" w:eastAsiaTheme="minorEastAsia" w:cstheme="minorEastAsia"/>
          <w:b/>
          <w:bCs/>
          <w:color w:val="auto"/>
          <w:sz w:val="32"/>
          <w:szCs w:val="32"/>
          <w:highlight w:val="none"/>
        </w:rPr>
      </w:pPr>
    </w:p>
    <w:p w14:paraId="6AE25716">
      <w:pPr>
        <w:snapToGrid w:val="0"/>
        <w:spacing w:before="165" w:beforeLines="50" w:after="50"/>
        <w:jc w:val="center"/>
        <w:rPr>
          <w:rFonts w:hint="eastAsia" w:asciiTheme="minorEastAsia" w:hAnsiTheme="minorEastAsia" w:eastAsiaTheme="minorEastAsia" w:cstheme="minorEastAsia"/>
          <w:b/>
          <w:bCs/>
          <w:color w:val="auto"/>
          <w:sz w:val="32"/>
          <w:szCs w:val="32"/>
          <w:highlight w:val="none"/>
        </w:rPr>
      </w:pPr>
    </w:p>
    <w:p w14:paraId="492A6412">
      <w:pPr>
        <w:snapToGrid w:val="0"/>
        <w:spacing w:before="165" w:beforeLines="50" w:after="5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技术文件（封面）</w:t>
      </w:r>
    </w:p>
    <w:p w14:paraId="40605908">
      <w:pPr>
        <w:snapToGrid w:val="0"/>
        <w:spacing w:before="165" w:beforeLines="50" w:after="50"/>
        <w:rPr>
          <w:rFonts w:hint="eastAsia" w:asciiTheme="minorEastAsia" w:hAnsiTheme="minorEastAsia" w:eastAsiaTheme="minorEastAsia" w:cstheme="minorEastAsia"/>
          <w:bCs/>
          <w:color w:val="auto"/>
          <w:sz w:val="24"/>
          <w:szCs w:val="20"/>
          <w:highlight w:val="none"/>
        </w:rPr>
      </w:pPr>
    </w:p>
    <w:p w14:paraId="48AD996E">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项目名称： 2026-2027年度横州市水库移民项目全过程工程咨询项目</w:t>
      </w:r>
    </w:p>
    <w:p w14:paraId="0833FB28">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 NNZC2025-G3-270119-JGJD</w:t>
      </w:r>
    </w:p>
    <w:p w14:paraId="60D315A2">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397CEEEA">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31B8F9B2">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02C838B6">
      <w:pPr>
        <w:snapToGrid w:val="0"/>
        <w:spacing w:before="165" w:beforeLines="50" w:after="50"/>
        <w:ind w:firstLine="64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266E3A26">
      <w:pPr>
        <w:snapToGrid w:val="0"/>
        <w:spacing w:before="165" w:beforeLines="50" w:after="50"/>
        <w:ind w:firstLine="645"/>
        <w:jc w:val="center"/>
        <w:rPr>
          <w:rFonts w:hint="eastAsia" w:asciiTheme="minorEastAsia" w:hAnsiTheme="minorEastAsia" w:eastAsiaTheme="minorEastAsia" w:cstheme="minorEastAsia"/>
          <w:color w:val="auto"/>
          <w:sz w:val="24"/>
          <w:szCs w:val="20"/>
          <w:highlight w:val="none"/>
        </w:rPr>
      </w:pPr>
    </w:p>
    <w:p w14:paraId="6DC05A02">
      <w:pPr>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bCs/>
          <w:color w:val="auto"/>
          <w:sz w:val="24"/>
          <w:highlight w:val="none"/>
        </w:rPr>
        <w:br w:type="page"/>
      </w:r>
      <w:r>
        <w:rPr>
          <w:rFonts w:hint="eastAsia" w:asciiTheme="minorEastAsia" w:hAnsiTheme="minorEastAsia" w:eastAsiaTheme="minorEastAsia" w:cstheme="minorEastAsia"/>
          <w:b/>
          <w:color w:val="auto"/>
          <w:kern w:val="0"/>
          <w:sz w:val="28"/>
          <w:szCs w:val="28"/>
          <w:highlight w:val="none"/>
        </w:rPr>
        <w:t>技术文件目录</w:t>
      </w:r>
    </w:p>
    <w:p w14:paraId="5AA58295">
      <w:pPr>
        <w:pStyle w:val="32"/>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一、投标服务技术需求偏离表…………………………………………………（页码）</w:t>
      </w:r>
    </w:p>
    <w:p w14:paraId="11620181">
      <w:pPr>
        <w:pStyle w:val="32"/>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二、技术服务方案…………………………………………………………………（页码）</w:t>
      </w:r>
    </w:p>
    <w:p w14:paraId="370AD217">
      <w:pPr>
        <w:pStyle w:val="32"/>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三、售后服务方案 ………………………………</w:t>
      </w:r>
      <w:r>
        <w:rPr>
          <w:rFonts w:hint="eastAsia" w:asciiTheme="minorEastAsia" w:hAnsiTheme="minorEastAsia" w:eastAsiaTheme="minorEastAsia" w:cstheme="minorEastAsia"/>
          <w:bCs/>
          <w:color w:val="auto"/>
          <w:highlight w:val="none"/>
          <w:lang w:val="zh-CN"/>
        </w:rPr>
        <w:t>………</w:t>
      </w:r>
      <w:r>
        <w:rPr>
          <w:rFonts w:hint="eastAsia" w:asciiTheme="minorEastAsia" w:hAnsiTheme="minorEastAsia" w:eastAsiaTheme="minorEastAsia" w:cstheme="minorEastAsia"/>
          <w:bCs/>
          <w:color w:val="auto"/>
          <w:highlight w:val="none"/>
        </w:rPr>
        <w:t>…………………………（页码）</w:t>
      </w:r>
    </w:p>
    <w:p w14:paraId="01AA6100">
      <w:pPr>
        <w:pStyle w:val="32"/>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四、投标人对项目的合理化建议和改进措施</w:t>
      </w:r>
      <w:r>
        <w:rPr>
          <w:rFonts w:hint="eastAsia" w:asciiTheme="minorEastAsia" w:hAnsiTheme="minorEastAsia" w:eastAsiaTheme="minorEastAsia" w:cstheme="minorEastAsia"/>
          <w:bCs/>
          <w:color w:val="auto"/>
          <w:highlight w:val="none"/>
          <w:lang w:val="zh-CN"/>
        </w:rPr>
        <w:t>………………………</w:t>
      </w:r>
      <w:r>
        <w:rPr>
          <w:rFonts w:hint="eastAsia" w:asciiTheme="minorEastAsia" w:hAnsiTheme="minorEastAsia" w:eastAsiaTheme="minorEastAsia" w:cstheme="minorEastAsia"/>
          <w:bCs/>
          <w:color w:val="auto"/>
          <w:highlight w:val="none"/>
        </w:rPr>
        <w:t>………（页码）</w:t>
      </w:r>
    </w:p>
    <w:p w14:paraId="20D56CCF">
      <w:pPr>
        <w:pStyle w:val="32"/>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五、认为需要的其他技术文件或说明（如有）</w:t>
      </w:r>
      <w:r>
        <w:rPr>
          <w:rFonts w:hint="eastAsia" w:asciiTheme="minorEastAsia" w:hAnsiTheme="minorEastAsia" w:eastAsiaTheme="minorEastAsia" w:cstheme="minorEastAsia"/>
          <w:bCs/>
          <w:color w:val="auto"/>
          <w:highlight w:val="none"/>
          <w:lang w:val="zh-CN"/>
        </w:rPr>
        <w:t>………………………………</w:t>
      </w:r>
      <w:r>
        <w:rPr>
          <w:rFonts w:hint="eastAsia" w:asciiTheme="minorEastAsia" w:hAnsiTheme="minorEastAsia" w:eastAsiaTheme="minorEastAsia" w:cstheme="minorEastAsia"/>
          <w:bCs/>
          <w:color w:val="auto"/>
          <w:highlight w:val="none"/>
        </w:rPr>
        <w:t>（页码）</w:t>
      </w:r>
    </w:p>
    <w:p w14:paraId="54470B1F">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426F119D">
      <w:pPr>
        <w:snapToGrid w:val="0"/>
        <w:spacing w:before="165" w:beforeLines="50" w:after="50"/>
        <w:ind w:left="143" w:leftChars="68" w:firstLine="472" w:firstLineChars="196"/>
        <w:jc w:val="left"/>
        <w:rPr>
          <w:rFonts w:hint="eastAsia" w:asciiTheme="minorEastAsia" w:hAnsiTheme="minorEastAsia" w:eastAsiaTheme="minorEastAsia" w:cstheme="minorEastAsia"/>
          <w:b/>
          <w:color w:val="auto"/>
          <w:sz w:val="24"/>
          <w:highlight w:val="none"/>
        </w:rPr>
      </w:pPr>
    </w:p>
    <w:p w14:paraId="5A85CE3A">
      <w:pPr>
        <w:snapToGrid w:val="0"/>
        <w:spacing w:before="165" w:beforeLines="50" w:after="50"/>
        <w:ind w:left="143" w:leftChars="68" w:firstLine="472" w:firstLineChars="196"/>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 xml:space="preserve"> </w:t>
      </w:r>
    </w:p>
    <w:p w14:paraId="4A5B98D6">
      <w:pPr>
        <w:pStyle w:val="12"/>
        <w:spacing w:line="5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一、技术需求偏离表</w:t>
      </w:r>
    </w:p>
    <w:p w14:paraId="4FBED258">
      <w:pPr>
        <w:pStyle w:val="12"/>
        <w:spacing w:line="440" w:lineRule="exact"/>
        <w:ind w:firstLine="420" w:firstLineChars="200"/>
        <w:rPr>
          <w:rFonts w:hint="eastAsia" w:asciiTheme="minorEastAsia" w:hAnsiTheme="minorEastAsia" w:eastAsiaTheme="minorEastAsia" w:cstheme="minorEastAsia"/>
          <w:color w:val="auto"/>
          <w:highlight w:val="none"/>
        </w:rPr>
      </w:pPr>
    </w:p>
    <w:p w14:paraId="5D0FB514">
      <w:pPr>
        <w:pStyle w:val="12"/>
        <w:spacing w:line="6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请根据所投服务的实际技术参数，</w:t>
      </w:r>
      <w:r>
        <w:rPr>
          <w:rFonts w:hint="eastAsia" w:asciiTheme="minorEastAsia" w:hAnsiTheme="minorEastAsia" w:eastAsiaTheme="minorEastAsia" w:cstheme="minorEastAsia"/>
          <w:b/>
          <w:color w:val="auto"/>
          <w:sz w:val="28"/>
          <w:szCs w:val="28"/>
          <w:highlight w:val="none"/>
        </w:rPr>
        <w:t>逐条对应</w:t>
      </w:r>
      <w:r>
        <w:rPr>
          <w:rFonts w:hint="eastAsia" w:asciiTheme="minorEastAsia" w:hAnsiTheme="minorEastAsia" w:eastAsiaTheme="minorEastAsia" w:cstheme="minorEastAsia"/>
          <w:color w:val="auto"/>
          <w:sz w:val="24"/>
          <w:szCs w:val="24"/>
          <w:highlight w:val="none"/>
        </w:rPr>
        <w:t>本项目招标文件第二章“服务需求一览表”中的</w:t>
      </w:r>
      <w:r>
        <w:rPr>
          <w:rFonts w:hint="eastAsia" w:asciiTheme="minorEastAsia" w:hAnsiTheme="minorEastAsia" w:eastAsiaTheme="minorEastAsia" w:cstheme="minorEastAsia"/>
          <w:b/>
          <w:bCs/>
          <w:color w:val="auto"/>
          <w:sz w:val="24"/>
          <w:szCs w:val="24"/>
          <w:highlight w:val="none"/>
        </w:rPr>
        <w:t>“服务内容及要求”</w:t>
      </w:r>
      <w:r>
        <w:rPr>
          <w:rFonts w:hint="eastAsia" w:asciiTheme="minorEastAsia" w:hAnsiTheme="minorEastAsia" w:eastAsiaTheme="minorEastAsia" w:cstheme="minorEastAsia"/>
          <w:color w:val="auto"/>
          <w:sz w:val="24"/>
          <w:szCs w:val="24"/>
          <w:highlight w:val="none"/>
        </w:rPr>
        <w:t>详细填写相应的具体内容。“偏离说明”一栏应当选择“正偏离”、“负偏离”或“无偏离”进行填写。</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1AE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CABD47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589245C">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3DD66A07">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7331F5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77B8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14:paraId="0FCF188E">
            <w:pPr>
              <w:widowControl/>
              <w:jc w:val="left"/>
              <w:rPr>
                <w:rFonts w:hint="eastAsia" w:asciiTheme="minorEastAsia" w:hAnsiTheme="minorEastAsia" w:eastAsiaTheme="minorEastAsia" w:cs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635EB0">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C89E32E">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13F5A00">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5E0E2E8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076FD30">
            <w:pPr>
              <w:widowControl/>
              <w:jc w:val="left"/>
              <w:rPr>
                <w:rFonts w:hint="eastAsia" w:asciiTheme="minorEastAsia" w:hAnsiTheme="minorEastAsia" w:eastAsiaTheme="minorEastAsia" w:cstheme="minorEastAsia"/>
                <w:color w:val="auto"/>
                <w:szCs w:val="21"/>
                <w:highlight w:val="none"/>
              </w:rPr>
            </w:pPr>
          </w:p>
        </w:tc>
      </w:tr>
      <w:tr w14:paraId="06F8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E341AF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735211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1FD54A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78C3BF4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744E2F4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B8BD52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623B57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F390D7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1B54145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5005700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78D3DAD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98171E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14:paraId="3234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BCBF97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9F85CA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E163E8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C9B3F3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72C5984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8A3F01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3859393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BBA8A7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1CBE38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381D83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3E7ADC1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42EBD0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14:paraId="2467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183BA6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F31A944">
            <w:pPr>
              <w:rPr>
                <w:rFonts w:hint="eastAsia" w:asciiTheme="minorEastAsia" w:hAnsiTheme="minorEastAsia" w:eastAsiaTheme="minorEastAsia" w:cstheme="minorEastAsia"/>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1E502C78">
            <w:pPr>
              <w:rPr>
                <w:rFonts w:hint="eastAsia" w:asciiTheme="minorEastAsia" w:hAnsiTheme="minorEastAsia" w:eastAsiaTheme="minorEastAsia" w:cstheme="minorEastAsia"/>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526D1F8">
            <w:pPr>
              <w:rPr>
                <w:rFonts w:hint="eastAsia" w:asciiTheme="minorEastAsia" w:hAnsiTheme="minorEastAsia" w:eastAsiaTheme="minorEastAsia" w:cstheme="minorEastAsia"/>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6E0AEBF3">
            <w:pPr>
              <w:rPr>
                <w:rFonts w:hint="eastAsia" w:asciiTheme="minorEastAsia" w:hAnsiTheme="minorEastAsia" w:eastAsiaTheme="minorEastAsia" w:cstheme="minorEastAsia"/>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5CC7660">
            <w:pPr>
              <w:rPr>
                <w:rFonts w:hint="eastAsia" w:asciiTheme="minorEastAsia" w:hAnsiTheme="minorEastAsia" w:eastAsiaTheme="minorEastAsia" w:cstheme="minorEastAsia"/>
                <w:color w:val="auto"/>
                <w:szCs w:val="21"/>
                <w:highlight w:val="none"/>
              </w:rPr>
            </w:pPr>
          </w:p>
        </w:tc>
      </w:tr>
      <w:tr w14:paraId="14A4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0A1949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bl>
    <w:p w14:paraId="1EF80236">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646C08E5">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1.表格内容均需按要求填写并盖章，不得留空，</w:t>
      </w:r>
      <w:r>
        <w:rPr>
          <w:rFonts w:hint="eastAsia" w:asciiTheme="minorEastAsia" w:hAnsiTheme="minorEastAsia" w:eastAsiaTheme="minorEastAsia" w:cstheme="minorEastAsia"/>
          <w:bCs/>
          <w:color w:val="auto"/>
          <w:szCs w:val="21"/>
          <w:highlight w:val="none"/>
        </w:rPr>
        <w:t>否则按投标无效处理</w:t>
      </w:r>
      <w:r>
        <w:rPr>
          <w:rFonts w:hint="eastAsia" w:asciiTheme="minorEastAsia" w:hAnsiTheme="minorEastAsia" w:eastAsiaTheme="minorEastAsia" w:cstheme="minorEastAsia"/>
          <w:color w:val="auto"/>
          <w:szCs w:val="21"/>
          <w:highlight w:val="none"/>
        </w:rPr>
        <w:t>。</w:t>
      </w:r>
    </w:p>
    <w:p w14:paraId="15867F4D">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2.当投标文件的服务内容低于招标文件要求时，投标人应当如实写明“负偏离”，否则视为虚假应标。</w:t>
      </w:r>
    </w:p>
    <w:p w14:paraId="7B7D3426">
      <w:pPr>
        <w:pStyle w:val="1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szCs w:val="21"/>
          <w:highlight w:val="none"/>
        </w:rPr>
        <w:t>采购需求中带“▲”及“★”的条款，也要分别在本表“服务参数”、“所提供服务的内容”中标记。</w:t>
      </w:r>
    </w:p>
    <w:p w14:paraId="2E1D8DE3">
      <w:pPr>
        <w:snapToGrid w:val="0"/>
        <w:spacing w:line="360" w:lineRule="auto"/>
        <w:ind w:firstLine="5640" w:firstLineChars="2350"/>
        <w:rPr>
          <w:rFonts w:hint="eastAsia" w:asciiTheme="minorEastAsia" w:hAnsiTheme="minorEastAsia" w:eastAsiaTheme="minorEastAsia" w:cstheme="minorEastAsia"/>
          <w:color w:val="auto"/>
          <w:kern w:val="0"/>
          <w:sz w:val="24"/>
          <w:highlight w:val="none"/>
          <w:lang w:val="zh-CN"/>
        </w:rPr>
      </w:pPr>
    </w:p>
    <w:p w14:paraId="796A8CAE">
      <w:pPr>
        <w:snapToGrid w:val="0"/>
        <w:spacing w:line="360" w:lineRule="auto"/>
        <w:ind w:firstLine="5640"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18DAF9CC">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40C08E5">
      <w:pPr>
        <w:widowControl/>
        <w:jc w:val="left"/>
        <w:rPr>
          <w:rFonts w:hint="eastAsia"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7AC992D3">
      <w:pPr>
        <w:snapToGrid w:val="0"/>
        <w:spacing w:before="165" w:beforeLines="50" w:after="50"/>
        <w:jc w:val="center"/>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t>二、技术服务方案</w:t>
      </w:r>
    </w:p>
    <w:p w14:paraId="72AE3313">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（由投标人根据采购需求及招标文件要求编制）</w:t>
      </w:r>
    </w:p>
    <w:p w14:paraId="179F1EB7">
      <w:pPr>
        <w:rPr>
          <w:rFonts w:hint="eastAsia" w:asciiTheme="majorEastAsia" w:hAnsiTheme="majorEastAsia" w:eastAsiaTheme="majorEastAsia" w:cstheme="majorEastAsia"/>
          <w:b/>
          <w:bCs/>
          <w:color w:val="auto"/>
          <w:kern w:val="0"/>
          <w:sz w:val="24"/>
          <w:highlight w:val="none"/>
          <w:lang w:val="zh-CN"/>
        </w:rPr>
      </w:pPr>
    </w:p>
    <w:p w14:paraId="54CB0B91">
      <w:pPr>
        <w:rPr>
          <w:rFonts w:hint="eastAsia" w:asciiTheme="majorEastAsia" w:hAnsiTheme="majorEastAsia" w:eastAsiaTheme="majorEastAsia" w:cstheme="majorEastAsia"/>
          <w:b/>
          <w:bCs/>
          <w:color w:val="auto"/>
          <w:kern w:val="0"/>
          <w:sz w:val="24"/>
          <w:highlight w:val="none"/>
          <w:lang w:val="zh-CN"/>
        </w:rPr>
      </w:pPr>
    </w:p>
    <w:p w14:paraId="3CA39FFE">
      <w:pPr>
        <w:rPr>
          <w:rFonts w:hint="eastAsia" w:asciiTheme="majorEastAsia" w:hAnsiTheme="majorEastAsia" w:eastAsiaTheme="majorEastAsia" w:cstheme="majorEastAsia"/>
          <w:b/>
          <w:bCs/>
          <w:color w:val="auto"/>
          <w:kern w:val="0"/>
          <w:sz w:val="24"/>
          <w:highlight w:val="none"/>
          <w:lang w:val="zh-CN"/>
        </w:rPr>
      </w:pPr>
    </w:p>
    <w:p w14:paraId="06465033">
      <w:pPr>
        <w:rPr>
          <w:rFonts w:hint="eastAsia" w:asciiTheme="majorEastAsia" w:hAnsiTheme="majorEastAsia" w:eastAsiaTheme="majorEastAsia" w:cstheme="majorEastAsia"/>
          <w:b/>
          <w:bCs/>
          <w:color w:val="auto"/>
          <w:kern w:val="0"/>
          <w:sz w:val="24"/>
          <w:highlight w:val="none"/>
          <w:lang w:val="zh-CN"/>
        </w:rPr>
      </w:pPr>
      <w:bookmarkStart w:id="308" w:name="_Toc78473822"/>
      <w:r>
        <w:rPr>
          <w:rFonts w:hint="eastAsia" w:asciiTheme="majorEastAsia" w:hAnsiTheme="majorEastAsia" w:eastAsiaTheme="majorEastAsia" w:cstheme="majorEastAsia"/>
          <w:b/>
          <w:bCs/>
          <w:color w:val="auto"/>
          <w:kern w:val="0"/>
          <w:sz w:val="24"/>
          <w:highlight w:val="none"/>
          <w:lang w:val="zh-CN"/>
        </w:rPr>
        <w:t>附表:项目实施进度计划表</w:t>
      </w:r>
      <w:r>
        <w:rPr>
          <w:rFonts w:hint="eastAsia" w:asciiTheme="majorEastAsia" w:hAnsiTheme="majorEastAsia" w:eastAsiaTheme="majorEastAsia" w:cstheme="majorEastAsia"/>
          <w:b/>
          <w:color w:val="auto"/>
          <w:sz w:val="24"/>
          <w:highlight w:val="none"/>
        </w:rPr>
        <w:t>(以生效日算起)</w:t>
      </w:r>
      <w:bookmarkEnd w:id="308"/>
      <w:r>
        <w:rPr>
          <w:rFonts w:hint="eastAsia" w:asciiTheme="majorEastAsia" w:hAnsiTheme="majorEastAsia" w:eastAsiaTheme="majorEastAsia" w:cstheme="majorEastAsia"/>
          <w:b/>
          <w:color w:val="auto"/>
          <w:sz w:val="24"/>
          <w:highlight w:val="none"/>
        </w:rPr>
        <w:t xml:space="preserve"> </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04F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444EBFE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 name="组合 1"/>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5F8D2F69">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1C47BF6">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590EDD1">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7vjOhBIDAABI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9ctcntgAAAAIAQAADwAAAAAAAAABACAAAAAiAAAAZHJzL2Rvd25yZXYueG1sUEsB&#10;AhQAFAAAAAgAh07iQO74zoQSAwAASAsAAA4AAAAAAAAAAQAgAAAAJwEAAGRycy9lMm9Eb2MueG1s&#10;UEsFBgAAAAAGAAYAWQEAAKsGA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F8D2F69">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1C47BF6">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590EDD1">
                              <w:pPr>
                                <w:snapToGrid w:val="0"/>
                              </w:pPr>
                              <w:r>
                                <w:t>日</w:t>
                              </w:r>
                            </w:p>
                          </w:txbxContent>
                        </v:textbox>
                      </v:shape>
                    </v:group>
                  </w:pict>
                </mc:Fallback>
              </mc:AlternateContent>
            </w:r>
          </w:p>
          <w:p w14:paraId="1CBD7CE2">
            <w:pPr>
              <w:spacing w:line="360" w:lineRule="auto"/>
              <w:rPr>
                <w:rFonts w:hint="eastAsia" w:asciiTheme="majorEastAsia" w:hAnsiTheme="majorEastAsia" w:eastAsiaTheme="majorEastAsia" w:cstheme="majorEastAsia"/>
                <w:color w:val="auto"/>
                <w:sz w:val="24"/>
                <w:highlight w:val="none"/>
              </w:rPr>
            </w:pPr>
          </w:p>
          <w:p w14:paraId="250AEA5F">
            <w:pPr>
              <w:spacing w:line="360" w:lineRule="auto"/>
              <w:rPr>
                <w:rFonts w:hint="eastAsia" w:asciiTheme="majorEastAsia" w:hAnsiTheme="majorEastAsia" w:eastAsiaTheme="majorEastAsia" w:cstheme="majorEastAsia"/>
                <w:color w:val="auto"/>
                <w:sz w:val="24"/>
                <w:highlight w:val="none"/>
              </w:rPr>
            </w:pPr>
          </w:p>
          <w:p w14:paraId="3A8F79E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内容</w:t>
            </w:r>
          </w:p>
        </w:tc>
        <w:tc>
          <w:tcPr>
            <w:tcW w:w="552" w:type="dxa"/>
            <w:vAlign w:val="center"/>
          </w:tcPr>
          <w:p w14:paraId="24440AE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552" w:type="dxa"/>
            <w:vAlign w:val="center"/>
          </w:tcPr>
          <w:p w14:paraId="36C4660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552" w:type="dxa"/>
            <w:vAlign w:val="center"/>
          </w:tcPr>
          <w:p w14:paraId="738A721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552" w:type="dxa"/>
            <w:vAlign w:val="center"/>
          </w:tcPr>
          <w:p w14:paraId="18B2373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552" w:type="dxa"/>
            <w:vAlign w:val="center"/>
          </w:tcPr>
          <w:p w14:paraId="174EE5C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552" w:type="dxa"/>
            <w:vAlign w:val="center"/>
          </w:tcPr>
          <w:p w14:paraId="69E90E5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553" w:type="dxa"/>
            <w:vAlign w:val="center"/>
          </w:tcPr>
          <w:p w14:paraId="522783C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553" w:type="dxa"/>
            <w:vAlign w:val="center"/>
          </w:tcPr>
          <w:p w14:paraId="3A695DD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553" w:type="dxa"/>
            <w:vAlign w:val="center"/>
          </w:tcPr>
          <w:p w14:paraId="109FE43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553" w:type="dxa"/>
            <w:vAlign w:val="center"/>
          </w:tcPr>
          <w:p w14:paraId="13BD37B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553" w:type="dxa"/>
            <w:vAlign w:val="center"/>
          </w:tcPr>
          <w:p w14:paraId="46F4575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553" w:type="dxa"/>
            <w:vAlign w:val="center"/>
          </w:tcPr>
          <w:p w14:paraId="5B1D16E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553" w:type="dxa"/>
            <w:vAlign w:val="center"/>
          </w:tcPr>
          <w:p w14:paraId="3C25ED1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w:t>
            </w:r>
          </w:p>
        </w:tc>
        <w:tc>
          <w:tcPr>
            <w:tcW w:w="553" w:type="dxa"/>
            <w:vAlign w:val="center"/>
          </w:tcPr>
          <w:p w14:paraId="5528131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w:t>
            </w:r>
          </w:p>
        </w:tc>
        <w:tc>
          <w:tcPr>
            <w:tcW w:w="553" w:type="dxa"/>
            <w:vAlign w:val="center"/>
          </w:tcPr>
          <w:p w14:paraId="77DDAB3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w:t>
            </w:r>
          </w:p>
        </w:tc>
        <w:tc>
          <w:tcPr>
            <w:tcW w:w="553" w:type="dxa"/>
            <w:vAlign w:val="center"/>
          </w:tcPr>
          <w:p w14:paraId="20CC432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r>
      <w:tr w14:paraId="1664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006802">
            <w:pPr>
              <w:spacing w:line="360" w:lineRule="auto"/>
              <w:rPr>
                <w:rFonts w:hint="eastAsia" w:asciiTheme="majorEastAsia" w:hAnsiTheme="majorEastAsia" w:eastAsiaTheme="majorEastAsia" w:cstheme="majorEastAsia"/>
                <w:color w:val="auto"/>
                <w:sz w:val="24"/>
                <w:highlight w:val="none"/>
              </w:rPr>
            </w:pPr>
          </w:p>
        </w:tc>
        <w:tc>
          <w:tcPr>
            <w:tcW w:w="552" w:type="dxa"/>
          </w:tcPr>
          <w:p w14:paraId="6F9B4663">
            <w:pPr>
              <w:spacing w:line="360" w:lineRule="auto"/>
              <w:rPr>
                <w:rFonts w:hint="eastAsia" w:asciiTheme="majorEastAsia" w:hAnsiTheme="majorEastAsia" w:eastAsiaTheme="majorEastAsia" w:cstheme="majorEastAsia"/>
                <w:color w:val="auto"/>
                <w:sz w:val="24"/>
                <w:highlight w:val="none"/>
              </w:rPr>
            </w:pPr>
          </w:p>
        </w:tc>
        <w:tc>
          <w:tcPr>
            <w:tcW w:w="552" w:type="dxa"/>
          </w:tcPr>
          <w:p w14:paraId="01734F3C">
            <w:pPr>
              <w:spacing w:line="360" w:lineRule="auto"/>
              <w:rPr>
                <w:rFonts w:hint="eastAsia" w:asciiTheme="majorEastAsia" w:hAnsiTheme="majorEastAsia" w:eastAsiaTheme="majorEastAsia" w:cstheme="majorEastAsia"/>
                <w:color w:val="auto"/>
                <w:sz w:val="24"/>
                <w:highlight w:val="none"/>
              </w:rPr>
            </w:pPr>
          </w:p>
        </w:tc>
        <w:tc>
          <w:tcPr>
            <w:tcW w:w="552" w:type="dxa"/>
          </w:tcPr>
          <w:p w14:paraId="787CA44B">
            <w:pPr>
              <w:spacing w:line="360" w:lineRule="auto"/>
              <w:rPr>
                <w:rFonts w:hint="eastAsia" w:asciiTheme="majorEastAsia" w:hAnsiTheme="majorEastAsia" w:eastAsiaTheme="majorEastAsia" w:cstheme="majorEastAsia"/>
                <w:color w:val="auto"/>
                <w:sz w:val="24"/>
                <w:highlight w:val="none"/>
              </w:rPr>
            </w:pPr>
          </w:p>
        </w:tc>
        <w:tc>
          <w:tcPr>
            <w:tcW w:w="552" w:type="dxa"/>
          </w:tcPr>
          <w:p w14:paraId="275D9C64">
            <w:pPr>
              <w:spacing w:line="360" w:lineRule="auto"/>
              <w:rPr>
                <w:rFonts w:hint="eastAsia" w:asciiTheme="majorEastAsia" w:hAnsiTheme="majorEastAsia" w:eastAsiaTheme="majorEastAsia" w:cstheme="majorEastAsia"/>
                <w:color w:val="auto"/>
                <w:sz w:val="24"/>
                <w:highlight w:val="none"/>
              </w:rPr>
            </w:pPr>
          </w:p>
        </w:tc>
        <w:tc>
          <w:tcPr>
            <w:tcW w:w="552" w:type="dxa"/>
          </w:tcPr>
          <w:p w14:paraId="1CA9FF16">
            <w:pPr>
              <w:spacing w:line="360" w:lineRule="auto"/>
              <w:rPr>
                <w:rFonts w:hint="eastAsia" w:asciiTheme="majorEastAsia" w:hAnsiTheme="majorEastAsia" w:eastAsiaTheme="majorEastAsia" w:cstheme="majorEastAsia"/>
                <w:color w:val="auto"/>
                <w:sz w:val="24"/>
                <w:highlight w:val="none"/>
              </w:rPr>
            </w:pPr>
          </w:p>
        </w:tc>
        <w:tc>
          <w:tcPr>
            <w:tcW w:w="552" w:type="dxa"/>
          </w:tcPr>
          <w:p w14:paraId="07934EB7">
            <w:pPr>
              <w:spacing w:line="360" w:lineRule="auto"/>
              <w:rPr>
                <w:rFonts w:hint="eastAsia" w:asciiTheme="majorEastAsia" w:hAnsiTheme="majorEastAsia" w:eastAsiaTheme="majorEastAsia" w:cstheme="majorEastAsia"/>
                <w:color w:val="auto"/>
                <w:sz w:val="24"/>
                <w:highlight w:val="none"/>
              </w:rPr>
            </w:pPr>
          </w:p>
        </w:tc>
        <w:tc>
          <w:tcPr>
            <w:tcW w:w="553" w:type="dxa"/>
          </w:tcPr>
          <w:p w14:paraId="174CC9F3">
            <w:pPr>
              <w:spacing w:line="360" w:lineRule="auto"/>
              <w:rPr>
                <w:rFonts w:hint="eastAsia" w:asciiTheme="majorEastAsia" w:hAnsiTheme="majorEastAsia" w:eastAsiaTheme="majorEastAsia" w:cstheme="majorEastAsia"/>
                <w:color w:val="auto"/>
                <w:sz w:val="24"/>
                <w:highlight w:val="none"/>
              </w:rPr>
            </w:pPr>
          </w:p>
        </w:tc>
        <w:tc>
          <w:tcPr>
            <w:tcW w:w="553" w:type="dxa"/>
          </w:tcPr>
          <w:p w14:paraId="25AF481F">
            <w:pPr>
              <w:spacing w:line="360" w:lineRule="auto"/>
              <w:rPr>
                <w:rFonts w:hint="eastAsia" w:asciiTheme="majorEastAsia" w:hAnsiTheme="majorEastAsia" w:eastAsiaTheme="majorEastAsia" w:cstheme="majorEastAsia"/>
                <w:color w:val="auto"/>
                <w:sz w:val="24"/>
                <w:highlight w:val="none"/>
              </w:rPr>
            </w:pPr>
          </w:p>
        </w:tc>
        <w:tc>
          <w:tcPr>
            <w:tcW w:w="553" w:type="dxa"/>
          </w:tcPr>
          <w:p w14:paraId="7CC9E562">
            <w:pPr>
              <w:spacing w:line="360" w:lineRule="auto"/>
              <w:rPr>
                <w:rFonts w:hint="eastAsia" w:asciiTheme="majorEastAsia" w:hAnsiTheme="majorEastAsia" w:eastAsiaTheme="majorEastAsia" w:cstheme="majorEastAsia"/>
                <w:color w:val="auto"/>
                <w:sz w:val="24"/>
                <w:highlight w:val="none"/>
              </w:rPr>
            </w:pPr>
          </w:p>
        </w:tc>
        <w:tc>
          <w:tcPr>
            <w:tcW w:w="553" w:type="dxa"/>
          </w:tcPr>
          <w:p w14:paraId="596CC811">
            <w:pPr>
              <w:spacing w:line="360" w:lineRule="auto"/>
              <w:rPr>
                <w:rFonts w:hint="eastAsia" w:asciiTheme="majorEastAsia" w:hAnsiTheme="majorEastAsia" w:eastAsiaTheme="majorEastAsia" w:cstheme="majorEastAsia"/>
                <w:color w:val="auto"/>
                <w:sz w:val="24"/>
                <w:highlight w:val="none"/>
              </w:rPr>
            </w:pPr>
          </w:p>
        </w:tc>
        <w:tc>
          <w:tcPr>
            <w:tcW w:w="553" w:type="dxa"/>
          </w:tcPr>
          <w:p w14:paraId="4C0A0652">
            <w:pPr>
              <w:spacing w:line="360" w:lineRule="auto"/>
              <w:rPr>
                <w:rFonts w:hint="eastAsia" w:asciiTheme="majorEastAsia" w:hAnsiTheme="majorEastAsia" w:eastAsiaTheme="majorEastAsia" w:cstheme="majorEastAsia"/>
                <w:color w:val="auto"/>
                <w:sz w:val="24"/>
                <w:highlight w:val="none"/>
              </w:rPr>
            </w:pPr>
          </w:p>
        </w:tc>
        <w:tc>
          <w:tcPr>
            <w:tcW w:w="553" w:type="dxa"/>
          </w:tcPr>
          <w:p w14:paraId="6729501F">
            <w:pPr>
              <w:spacing w:line="360" w:lineRule="auto"/>
              <w:rPr>
                <w:rFonts w:hint="eastAsia" w:asciiTheme="majorEastAsia" w:hAnsiTheme="majorEastAsia" w:eastAsiaTheme="majorEastAsia" w:cstheme="majorEastAsia"/>
                <w:color w:val="auto"/>
                <w:sz w:val="24"/>
                <w:highlight w:val="none"/>
              </w:rPr>
            </w:pPr>
          </w:p>
        </w:tc>
        <w:tc>
          <w:tcPr>
            <w:tcW w:w="553" w:type="dxa"/>
          </w:tcPr>
          <w:p w14:paraId="1A258440">
            <w:pPr>
              <w:spacing w:line="360" w:lineRule="auto"/>
              <w:rPr>
                <w:rFonts w:hint="eastAsia" w:asciiTheme="majorEastAsia" w:hAnsiTheme="majorEastAsia" w:eastAsiaTheme="majorEastAsia" w:cstheme="majorEastAsia"/>
                <w:color w:val="auto"/>
                <w:sz w:val="24"/>
                <w:highlight w:val="none"/>
              </w:rPr>
            </w:pPr>
          </w:p>
        </w:tc>
        <w:tc>
          <w:tcPr>
            <w:tcW w:w="553" w:type="dxa"/>
          </w:tcPr>
          <w:p w14:paraId="4E8B05CF">
            <w:pPr>
              <w:spacing w:line="360" w:lineRule="auto"/>
              <w:rPr>
                <w:rFonts w:hint="eastAsia" w:asciiTheme="majorEastAsia" w:hAnsiTheme="majorEastAsia" w:eastAsiaTheme="majorEastAsia" w:cstheme="majorEastAsia"/>
                <w:color w:val="auto"/>
                <w:sz w:val="24"/>
                <w:highlight w:val="none"/>
              </w:rPr>
            </w:pPr>
          </w:p>
        </w:tc>
        <w:tc>
          <w:tcPr>
            <w:tcW w:w="553" w:type="dxa"/>
          </w:tcPr>
          <w:p w14:paraId="01E880C4">
            <w:pPr>
              <w:spacing w:line="360" w:lineRule="auto"/>
              <w:rPr>
                <w:rFonts w:hint="eastAsia" w:asciiTheme="majorEastAsia" w:hAnsiTheme="majorEastAsia" w:eastAsiaTheme="majorEastAsia" w:cstheme="majorEastAsia"/>
                <w:color w:val="auto"/>
                <w:sz w:val="24"/>
                <w:highlight w:val="none"/>
              </w:rPr>
            </w:pPr>
          </w:p>
        </w:tc>
        <w:tc>
          <w:tcPr>
            <w:tcW w:w="553" w:type="dxa"/>
          </w:tcPr>
          <w:p w14:paraId="0042B73A">
            <w:pPr>
              <w:spacing w:line="360" w:lineRule="auto"/>
              <w:rPr>
                <w:rFonts w:hint="eastAsia" w:asciiTheme="majorEastAsia" w:hAnsiTheme="majorEastAsia" w:eastAsiaTheme="majorEastAsia" w:cstheme="majorEastAsia"/>
                <w:color w:val="auto"/>
                <w:sz w:val="24"/>
                <w:highlight w:val="none"/>
              </w:rPr>
            </w:pPr>
          </w:p>
        </w:tc>
      </w:tr>
      <w:tr w14:paraId="3471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EE189A">
            <w:pPr>
              <w:spacing w:line="360" w:lineRule="auto"/>
              <w:rPr>
                <w:rFonts w:hint="eastAsia" w:asciiTheme="majorEastAsia" w:hAnsiTheme="majorEastAsia" w:eastAsiaTheme="majorEastAsia" w:cstheme="majorEastAsia"/>
                <w:color w:val="auto"/>
                <w:sz w:val="24"/>
                <w:highlight w:val="none"/>
              </w:rPr>
            </w:pPr>
          </w:p>
        </w:tc>
        <w:tc>
          <w:tcPr>
            <w:tcW w:w="552" w:type="dxa"/>
          </w:tcPr>
          <w:p w14:paraId="2EA71B99">
            <w:pPr>
              <w:spacing w:line="360" w:lineRule="auto"/>
              <w:rPr>
                <w:rFonts w:hint="eastAsia" w:asciiTheme="majorEastAsia" w:hAnsiTheme="majorEastAsia" w:eastAsiaTheme="majorEastAsia" w:cstheme="majorEastAsia"/>
                <w:color w:val="auto"/>
                <w:sz w:val="24"/>
                <w:highlight w:val="none"/>
              </w:rPr>
            </w:pPr>
          </w:p>
        </w:tc>
        <w:tc>
          <w:tcPr>
            <w:tcW w:w="552" w:type="dxa"/>
          </w:tcPr>
          <w:p w14:paraId="5EA08CDB">
            <w:pPr>
              <w:spacing w:line="360" w:lineRule="auto"/>
              <w:rPr>
                <w:rFonts w:hint="eastAsia" w:asciiTheme="majorEastAsia" w:hAnsiTheme="majorEastAsia" w:eastAsiaTheme="majorEastAsia" w:cstheme="majorEastAsia"/>
                <w:color w:val="auto"/>
                <w:sz w:val="24"/>
                <w:highlight w:val="none"/>
              </w:rPr>
            </w:pPr>
          </w:p>
        </w:tc>
        <w:tc>
          <w:tcPr>
            <w:tcW w:w="552" w:type="dxa"/>
          </w:tcPr>
          <w:p w14:paraId="5639E2F4">
            <w:pPr>
              <w:spacing w:line="360" w:lineRule="auto"/>
              <w:rPr>
                <w:rFonts w:hint="eastAsia" w:asciiTheme="majorEastAsia" w:hAnsiTheme="majorEastAsia" w:eastAsiaTheme="majorEastAsia" w:cstheme="majorEastAsia"/>
                <w:color w:val="auto"/>
                <w:sz w:val="24"/>
                <w:highlight w:val="none"/>
              </w:rPr>
            </w:pPr>
          </w:p>
        </w:tc>
        <w:tc>
          <w:tcPr>
            <w:tcW w:w="552" w:type="dxa"/>
          </w:tcPr>
          <w:p w14:paraId="07D4E7DC">
            <w:pPr>
              <w:spacing w:line="360" w:lineRule="auto"/>
              <w:rPr>
                <w:rFonts w:hint="eastAsia" w:asciiTheme="majorEastAsia" w:hAnsiTheme="majorEastAsia" w:eastAsiaTheme="majorEastAsia" w:cstheme="majorEastAsia"/>
                <w:color w:val="auto"/>
                <w:sz w:val="24"/>
                <w:highlight w:val="none"/>
              </w:rPr>
            </w:pPr>
          </w:p>
        </w:tc>
        <w:tc>
          <w:tcPr>
            <w:tcW w:w="552" w:type="dxa"/>
          </w:tcPr>
          <w:p w14:paraId="4468DE77">
            <w:pPr>
              <w:spacing w:line="360" w:lineRule="auto"/>
              <w:rPr>
                <w:rFonts w:hint="eastAsia" w:asciiTheme="majorEastAsia" w:hAnsiTheme="majorEastAsia" w:eastAsiaTheme="majorEastAsia" w:cstheme="majorEastAsia"/>
                <w:color w:val="auto"/>
                <w:sz w:val="24"/>
                <w:highlight w:val="none"/>
              </w:rPr>
            </w:pPr>
          </w:p>
        </w:tc>
        <w:tc>
          <w:tcPr>
            <w:tcW w:w="552" w:type="dxa"/>
          </w:tcPr>
          <w:p w14:paraId="05E543CF">
            <w:pPr>
              <w:spacing w:line="360" w:lineRule="auto"/>
              <w:rPr>
                <w:rFonts w:hint="eastAsia" w:asciiTheme="majorEastAsia" w:hAnsiTheme="majorEastAsia" w:eastAsiaTheme="majorEastAsia" w:cstheme="majorEastAsia"/>
                <w:color w:val="auto"/>
                <w:sz w:val="24"/>
                <w:highlight w:val="none"/>
              </w:rPr>
            </w:pPr>
          </w:p>
        </w:tc>
        <w:tc>
          <w:tcPr>
            <w:tcW w:w="553" w:type="dxa"/>
          </w:tcPr>
          <w:p w14:paraId="3C235C52">
            <w:pPr>
              <w:spacing w:line="360" w:lineRule="auto"/>
              <w:rPr>
                <w:rFonts w:hint="eastAsia" w:asciiTheme="majorEastAsia" w:hAnsiTheme="majorEastAsia" w:eastAsiaTheme="majorEastAsia" w:cstheme="majorEastAsia"/>
                <w:color w:val="auto"/>
                <w:sz w:val="24"/>
                <w:highlight w:val="none"/>
              </w:rPr>
            </w:pPr>
          </w:p>
        </w:tc>
        <w:tc>
          <w:tcPr>
            <w:tcW w:w="553" w:type="dxa"/>
          </w:tcPr>
          <w:p w14:paraId="5F4E07BE">
            <w:pPr>
              <w:spacing w:line="360" w:lineRule="auto"/>
              <w:rPr>
                <w:rFonts w:hint="eastAsia" w:asciiTheme="majorEastAsia" w:hAnsiTheme="majorEastAsia" w:eastAsiaTheme="majorEastAsia" w:cstheme="majorEastAsia"/>
                <w:color w:val="auto"/>
                <w:sz w:val="24"/>
                <w:highlight w:val="none"/>
              </w:rPr>
            </w:pPr>
          </w:p>
        </w:tc>
        <w:tc>
          <w:tcPr>
            <w:tcW w:w="553" w:type="dxa"/>
          </w:tcPr>
          <w:p w14:paraId="6E25ACE0">
            <w:pPr>
              <w:spacing w:line="360" w:lineRule="auto"/>
              <w:rPr>
                <w:rFonts w:hint="eastAsia" w:asciiTheme="majorEastAsia" w:hAnsiTheme="majorEastAsia" w:eastAsiaTheme="majorEastAsia" w:cstheme="majorEastAsia"/>
                <w:color w:val="auto"/>
                <w:sz w:val="24"/>
                <w:highlight w:val="none"/>
              </w:rPr>
            </w:pPr>
          </w:p>
        </w:tc>
        <w:tc>
          <w:tcPr>
            <w:tcW w:w="553" w:type="dxa"/>
          </w:tcPr>
          <w:p w14:paraId="62C1D483">
            <w:pPr>
              <w:spacing w:line="360" w:lineRule="auto"/>
              <w:rPr>
                <w:rFonts w:hint="eastAsia" w:asciiTheme="majorEastAsia" w:hAnsiTheme="majorEastAsia" w:eastAsiaTheme="majorEastAsia" w:cstheme="majorEastAsia"/>
                <w:color w:val="auto"/>
                <w:sz w:val="24"/>
                <w:highlight w:val="none"/>
              </w:rPr>
            </w:pPr>
          </w:p>
        </w:tc>
        <w:tc>
          <w:tcPr>
            <w:tcW w:w="553" w:type="dxa"/>
          </w:tcPr>
          <w:p w14:paraId="25EA3CCF">
            <w:pPr>
              <w:spacing w:line="360" w:lineRule="auto"/>
              <w:rPr>
                <w:rFonts w:hint="eastAsia" w:asciiTheme="majorEastAsia" w:hAnsiTheme="majorEastAsia" w:eastAsiaTheme="majorEastAsia" w:cstheme="majorEastAsia"/>
                <w:color w:val="auto"/>
                <w:sz w:val="24"/>
                <w:highlight w:val="none"/>
              </w:rPr>
            </w:pPr>
          </w:p>
        </w:tc>
        <w:tc>
          <w:tcPr>
            <w:tcW w:w="553" w:type="dxa"/>
          </w:tcPr>
          <w:p w14:paraId="5F64032B">
            <w:pPr>
              <w:spacing w:line="360" w:lineRule="auto"/>
              <w:rPr>
                <w:rFonts w:hint="eastAsia" w:asciiTheme="majorEastAsia" w:hAnsiTheme="majorEastAsia" w:eastAsiaTheme="majorEastAsia" w:cstheme="majorEastAsia"/>
                <w:color w:val="auto"/>
                <w:sz w:val="24"/>
                <w:highlight w:val="none"/>
              </w:rPr>
            </w:pPr>
          </w:p>
        </w:tc>
        <w:tc>
          <w:tcPr>
            <w:tcW w:w="553" w:type="dxa"/>
          </w:tcPr>
          <w:p w14:paraId="07A9722E">
            <w:pPr>
              <w:spacing w:line="360" w:lineRule="auto"/>
              <w:rPr>
                <w:rFonts w:hint="eastAsia" w:asciiTheme="majorEastAsia" w:hAnsiTheme="majorEastAsia" w:eastAsiaTheme="majorEastAsia" w:cstheme="majorEastAsia"/>
                <w:color w:val="auto"/>
                <w:sz w:val="24"/>
                <w:highlight w:val="none"/>
              </w:rPr>
            </w:pPr>
          </w:p>
        </w:tc>
        <w:tc>
          <w:tcPr>
            <w:tcW w:w="553" w:type="dxa"/>
          </w:tcPr>
          <w:p w14:paraId="65CBAC21">
            <w:pPr>
              <w:spacing w:line="360" w:lineRule="auto"/>
              <w:rPr>
                <w:rFonts w:hint="eastAsia" w:asciiTheme="majorEastAsia" w:hAnsiTheme="majorEastAsia" w:eastAsiaTheme="majorEastAsia" w:cstheme="majorEastAsia"/>
                <w:color w:val="auto"/>
                <w:sz w:val="24"/>
                <w:highlight w:val="none"/>
              </w:rPr>
            </w:pPr>
          </w:p>
        </w:tc>
        <w:tc>
          <w:tcPr>
            <w:tcW w:w="553" w:type="dxa"/>
          </w:tcPr>
          <w:p w14:paraId="7B222D34">
            <w:pPr>
              <w:spacing w:line="360" w:lineRule="auto"/>
              <w:rPr>
                <w:rFonts w:hint="eastAsia" w:asciiTheme="majorEastAsia" w:hAnsiTheme="majorEastAsia" w:eastAsiaTheme="majorEastAsia" w:cstheme="majorEastAsia"/>
                <w:color w:val="auto"/>
                <w:sz w:val="24"/>
                <w:highlight w:val="none"/>
              </w:rPr>
            </w:pPr>
          </w:p>
        </w:tc>
        <w:tc>
          <w:tcPr>
            <w:tcW w:w="553" w:type="dxa"/>
          </w:tcPr>
          <w:p w14:paraId="57437A1E">
            <w:pPr>
              <w:spacing w:line="360" w:lineRule="auto"/>
              <w:rPr>
                <w:rFonts w:hint="eastAsia" w:asciiTheme="majorEastAsia" w:hAnsiTheme="majorEastAsia" w:eastAsiaTheme="majorEastAsia" w:cstheme="majorEastAsia"/>
                <w:color w:val="auto"/>
                <w:sz w:val="24"/>
                <w:highlight w:val="none"/>
              </w:rPr>
            </w:pPr>
          </w:p>
        </w:tc>
      </w:tr>
      <w:tr w14:paraId="302F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63D80B6">
            <w:pPr>
              <w:spacing w:line="360" w:lineRule="auto"/>
              <w:rPr>
                <w:rFonts w:hint="eastAsia" w:asciiTheme="majorEastAsia" w:hAnsiTheme="majorEastAsia" w:eastAsiaTheme="majorEastAsia" w:cstheme="majorEastAsia"/>
                <w:color w:val="auto"/>
                <w:sz w:val="24"/>
                <w:highlight w:val="none"/>
              </w:rPr>
            </w:pPr>
          </w:p>
        </w:tc>
        <w:tc>
          <w:tcPr>
            <w:tcW w:w="552" w:type="dxa"/>
          </w:tcPr>
          <w:p w14:paraId="1635818B">
            <w:pPr>
              <w:spacing w:line="360" w:lineRule="auto"/>
              <w:rPr>
                <w:rFonts w:hint="eastAsia" w:asciiTheme="majorEastAsia" w:hAnsiTheme="majorEastAsia" w:eastAsiaTheme="majorEastAsia" w:cstheme="majorEastAsia"/>
                <w:color w:val="auto"/>
                <w:sz w:val="24"/>
                <w:highlight w:val="none"/>
              </w:rPr>
            </w:pPr>
          </w:p>
        </w:tc>
        <w:tc>
          <w:tcPr>
            <w:tcW w:w="552" w:type="dxa"/>
          </w:tcPr>
          <w:p w14:paraId="44BE3A60">
            <w:pPr>
              <w:spacing w:line="360" w:lineRule="auto"/>
              <w:rPr>
                <w:rFonts w:hint="eastAsia" w:asciiTheme="majorEastAsia" w:hAnsiTheme="majorEastAsia" w:eastAsiaTheme="majorEastAsia" w:cstheme="majorEastAsia"/>
                <w:color w:val="auto"/>
                <w:sz w:val="24"/>
                <w:highlight w:val="none"/>
              </w:rPr>
            </w:pPr>
          </w:p>
        </w:tc>
        <w:tc>
          <w:tcPr>
            <w:tcW w:w="552" w:type="dxa"/>
          </w:tcPr>
          <w:p w14:paraId="6942ED9C">
            <w:pPr>
              <w:spacing w:line="360" w:lineRule="auto"/>
              <w:rPr>
                <w:rFonts w:hint="eastAsia" w:asciiTheme="majorEastAsia" w:hAnsiTheme="majorEastAsia" w:eastAsiaTheme="majorEastAsia" w:cstheme="majorEastAsia"/>
                <w:color w:val="auto"/>
                <w:sz w:val="24"/>
                <w:highlight w:val="none"/>
              </w:rPr>
            </w:pPr>
          </w:p>
        </w:tc>
        <w:tc>
          <w:tcPr>
            <w:tcW w:w="552" w:type="dxa"/>
          </w:tcPr>
          <w:p w14:paraId="3106164D">
            <w:pPr>
              <w:spacing w:line="360" w:lineRule="auto"/>
              <w:rPr>
                <w:rFonts w:hint="eastAsia" w:asciiTheme="majorEastAsia" w:hAnsiTheme="majorEastAsia" w:eastAsiaTheme="majorEastAsia" w:cstheme="majorEastAsia"/>
                <w:color w:val="auto"/>
                <w:sz w:val="24"/>
                <w:highlight w:val="none"/>
              </w:rPr>
            </w:pPr>
          </w:p>
        </w:tc>
        <w:tc>
          <w:tcPr>
            <w:tcW w:w="552" w:type="dxa"/>
          </w:tcPr>
          <w:p w14:paraId="3B4CB90F">
            <w:pPr>
              <w:spacing w:line="360" w:lineRule="auto"/>
              <w:rPr>
                <w:rFonts w:hint="eastAsia" w:asciiTheme="majorEastAsia" w:hAnsiTheme="majorEastAsia" w:eastAsiaTheme="majorEastAsia" w:cstheme="majorEastAsia"/>
                <w:color w:val="auto"/>
                <w:sz w:val="24"/>
                <w:highlight w:val="none"/>
              </w:rPr>
            </w:pPr>
          </w:p>
        </w:tc>
        <w:tc>
          <w:tcPr>
            <w:tcW w:w="552" w:type="dxa"/>
          </w:tcPr>
          <w:p w14:paraId="0FD0C0B5">
            <w:pPr>
              <w:spacing w:line="360" w:lineRule="auto"/>
              <w:rPr>
                <w:rFonts w:hint="eastAsia" w:asciiTheme="majorEastAsia" w:hAnsiTheme="majorEastAsia" w:eastAsiaTheme="majorEastAsia" w:cstheme="majorEastAsia"/>
                <w:color w:val="auto"/>
                <w:sz w:val="24"/>
                <w:highlight w:val="none"/>
              </w:rPr>
            </w:pPr>
          </w:p>
        </w:tc>
        <w:tc>
          <w:tcPr>
            <w:tcW w:w="553" w:type="dxa"/>
          </w:tcPr>
          <w:p w14:paraId="466CC5CF">
            <w:pPr>
              <w:spacing w:line="360" w:lineRule="auto"/>
              <w:rPr>
                <w:rFonts w:hint="eastAsia" w:asciiTheme="majorEastAsia" w:hAnsiTheme="majorEastAsia" w:eastAsiaTheme="majorEastAsia" w:cstheme="majorEastAsia"/>
                <w:color w:val="auto"/>
                <w:sz w:val="24"/>
                <w:highlight w:val="none"/>
              </w:rPr>
            </w:pPr>
          </w:p>
        </w:tc>
        <w:tc>
          <w:tcPr>
            <w:tcW w:w="553" w:type="dxa"/>
          </w:tcPr>
          <w:p w14:paraId="6ABE86C0">
            <w:pPr>
              <w:spacing w:line="360" w:lineRule="auto"/>
              <w:rPr>
                <w:rFonts w:hint="eastAsia" w:asciiTheme="majorEastAsia" w:hAnsiTheme="majorEastAsia" w:eastAsiaTheme="majorEastAsia" w:cstheme="majorEastAsia"/>
                <w:color w:val="auto"/>
                <w:sz w:val="24"/>
                <w:highlight w:val="none"/>
              </w:rPr>
            </w:pPr>
          </w:p>
        </w:tc>
        <w:tc>
          <w:tcPr>
            <w:tcW w:w="553" w:type="dxa"/>
          </w:tcPr>
          <w:p w14:paraId="73622006">
            <w:pPr>
              <w:spacing w:line="360" w:lineRule="auto"/>
              <w:rPr>
                <w:rFonts w:hint="eastAsia" w:asciiTheme="majorEastAsia" w:hAnsiTheme="majorEastAsia" w:eastAsiaTheme="majorEastAsia" w:cstheme="majorEastAsia"/>
                <w:color w:val="auto"/>
                <w:sz w:val="24"/>
                <w:highlight w:val="none"/>
              </w:rPr>
            </w:pPr>
          </w:p>
        </w:tc>
        <w:tc>
          <w:tcPr>
            <w:tcW w:w="553" w:type="dxa"/>
          </w:tcPr>
          <w:p w14:paraId="136A1AFF">
            <w:pPr>
              <w:spacing w:line="360" w:lineRule="auto"/>
              <w:rPr>
                <w:rFonts w:hint="eastAsia" w:asciiTheme="majorEastAsia" w:hAnsiTheme="majorEastAsia" w:eastAsiaTheme="majorEastAsia" w:cstheme="majorEastAsia"/>
                <w:color w:val="auto"/>
                <w:sz w:val="24"/>
                <w:highlight w:val="none"/>
              </w:rPr>
            </w:pPr>
          </w:p>
        </w:tc>
        <w:tc>
          <w:tcPr>
            <w:tcW w:w="553" w:type="dxa"/>
          </w:tcPr>
          <w:p w14:paraId="32454CA1">
            <w:pPr>
              <w:spacing w:line="360" w:lineRule="auto"/>
              <w:rPr>
                <w:rFonts w:hint="eastAsia" w:asciiTheme="majorEastAsia" w:hAnsiTheme="majorEastAsia" w:eastAsiaTheme="majorEastAsia" w:cstheme="majorEastAsia"/>
                <w:color w:val="auto"/>
                <w:sz w:val="24"/>
                <w:highlight w:val="none"/>
              </w:rPr>
            </w:pPr>
          </w:p>
        </w:tc>
        <w:tc>
          <w:tcPr>
            <w:tcW w:w="553" w:type="dxa"/>
          </w:tcPr>
          <w:p w14:paraId="7D04ECC2">
            <w:pPr>
              <w:spacing w:line="360" w:lineRule="auto"/>
              <w:rPr>
                <w:rFonts w:hint="eastAsia" w:asciiTheme="majorEastAsia" w:hAnsiTheme="majorEastAsia" w:eastAsiaTheme="majorEastAsia" w:cstheme="majorEastAsia"/>
                <w:color w:val="auto"/>
                <w:sz w:val="24"/>
                <w:highlight w:val="none"/>
              </w:rPr>
            </w:pPr>
          </w:p>
        </w:tc>
        <w:tc>
          <w:tcPr>
            <w:tcW w:w="553" w:type="dxa"/>
          </w:tcPr>
          <w:p w14:paraId="2D544370">
            <w:pPr>
              <w:spacing w:line="360" w:lineRule="auto"/>
              <w:rPr>
                <w:rFonts w:hint="eastAsia" w:asciiTheme="majorEastAsia" w:hAnsiTheme="majorEastAsia" w:eastAsiaTheme="majorEastAsia" w:cstheme="majorEastAsia"/>
                <w:color w:val="auto"/>
                <w:sz w:val="24"/>
                <w:highlight w:val="none"/>
              </w:rPr>
            </w:pPr>
          </w:p>
        </w:tc>
        <w:tc>
          <w:tcPr>
            <w:tcW w:w="553" w:type="dxa"/>
          </w:tcPr>
          <w:p w14:paraId="60D26D35">
            <w:pPr>
              <w:spacing w:line="360" w:lineRule="auto"/>
              <w:rPr>
                <w:rFonts w:hint="eastAsia" w:asciiTheme="majorEastAsia" w:hAnsiTheme="majorEastAsia" w:eastAsiaTheme="majorEastAsia" w:cstheme="majorEastAsia"/>
                <w:color w:val="auto"/>
                <w:sz w:val="24"/>
                <w:highlight w:val="none"/>
              </w:rPr>
            </w:pPr>
          </w:p>
        </w:tc>
        <w:tc>
          <w:tcPr>
            <w:tcW w:w="553" w:type="dxa"/>
          </w:tcPr>
          <w:p w14:paraId="720396D3">
            <w:pPr>
              <w:spacing w:line="360" w:lineRule="auto"/>
              <w:rPr>
                <w:rFonts w:hint="eastAsia" w:asciiTheme="majorEastAsia" w:hAnsiTheme="majorEastAsia" w:eastAsiaTheme="majorEastAsia" w:cstheme="majorEastAsia"/>
                <w:color w:val="auto"/>
                <w:sz w:val="24"/>
                <w:highlight w:val="none"/>
              </w:rPr>
            </w:pPr>
          </w:p>
        </w:tc>
        <w:tc>
          <w:tcPr>
            <w:tcW w:w="553" w:type="dxa"/>
          </w:tcPr>
          <w:p w14:paraId="4FBFBA51">
            <w:pPr>
              <w:spacing w:line="360" w:lineRule="auto"/>
              <w:rPr>
                <w:rFonts w:hint="eastAsia" w:asciiTheme="majorEastAsia" w:hAnsiTheme="majorEastAsia" w:eastAsiaTheme="majorEastAsia" w:cstheme="majorEastAsia"/>
                <w:color w:val="auto"/>
                <w:sz w:val="24"/>
                <w:highlight w:val="none"/>
              </w:rPr>
            </w:pPr>
          </w:p>
        </w:tc>
      </w:tr>
      <w:tr w14:paraId="6BD9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326B13">
            <w:pPr>
              <w:spacing w:line="360" w:lineRule="auto"/>
              <w:rPr>
                <w:rFonts w:hint="eastAsia" w:asciiTheme="majorEastAsia" w:hAnsiTheme="majorEastAsia" w:eastAsiaTheme="majorEastAsia" w:cstheme="majorEastAsia"/>
                <w:color w:val="auto"/>
                <w:sz w:val="24"/>
                <w:highlight w:val="none"/>
              </w:rPr>
            </w:pPr>
          </w:p>
        </w:tc>
        <w:tc>
          <w:tcPr>
            <w:tcW w:w="552" w:type="dxa"/>
          </w:tcPr>
          <w:p w14:paraId="1568B643">
            <w:pPr>
              <w:spacing w:line="360" w:lineRule="auto"/>
              <w:rPr>
                <w:rFonts w:hint="eastAsia" w:asciiTheme="majorEastAsia" w:hAnsiTheme="majorEastAsia" w:eastAsiaTheme="majorEastAsia" w:cstheme="majorEastAsia"/>
                <w:color w:val="auto"/>
                <w:sz w:val="24"/>
                <w:highlight w:val="none"/>
              </w:rPr>
            </w:pPr>
          </w:p>
        </w:tc>
        <w:tc>
          <w:tcPr>
            <w:tcW w:w="552" w:type="dxa"/>
          </w:tcPr>
          <w:p w14:paraId="656AB900">
            <w:pPr>
              <w:spacing w:line="360" w:lineRule="auto"/>
              <w:rPr>
                <w:rFonts w:hint="eastAsia" w:asciiTheme="majorEastAsia" w:hAnsiTheme="majorEastAsia" w:eastAsiaTheme="majorEastAsia" w:cstheme="majorEastAsia"/>
                <w:color w:val="auto"/>
                <w:sz w:val="24"/>
                <w:highlight w:val="none"/>
              </w:rPr>
            </w:pPr>
          </w:p>
        </w:tc>
        <w:tc>
          <w:tcPr>
            <w:tcW w:w="552" w:type="dxa"/>
          </w:tcPr>
          <w:p w14:paraId="4E735883">
            <w:pPr>
              <w:spacing w:line="360" w:lineRule="auto"/>
              <w:rPr>
                <w:rFonts w:hint="eastAsia" w:asciiTheme="majorEastAsia" w:hAnsiTheme="majorEastAsia" w:eastAsiaTheme="majorEastAsia" w:cstheme="majorEastAsia"/>
                <w:color w:val="auto"/>
                <w:sz w:val="24"/>
                <w:highlight w:val="none"/>
              </w:rPr>
            </w:pPr>
          </w:p>
        </w:tc>
        <w:tc>
          <w:tcPr>
            <w:tcW w:w="552" w:type="dxa"/>
          </w:tcPr>
          <w:p w14:paraId="52FD424D">
            <w:pPr>
              <w:spacing w:line="360" w:lineRule="auto"/>
              <w:rPr>
                <w:rFonts w:hint="eastAsia" w:asciiTheme="majorEastAsia" w:hAnsiTheme="majorEastAsia" w:eastAsiaTheme="majorEastAsia" w:cstheme="majorEastAsia"/>
                <w:color w:val="auto"/>
                <w:sz w:val="24"/>
                <w:highlight w:val="none"/>
              </w:rPr>
            </w:pPr>
          </w:p>
        </w:tc>
        <w:tc>
          <w:tcPr>
            <w:tcW w:w="552" w:type="dxa"/>
          </w:tcPr>
          <w:p w14:paraId="4E497DF5">
            <w:pPr>
              <w:spacing w:line="360" w:lineRule="auto"/>
              <w:rPr>
                <w:rFonts w:hint="eastAsia" w:asciiTheme="majorEastAsia" w:hAnsiTheme="majorEastAsia" w:eastAsiaTheme="majorEastAsia" w:cstheme="majorEastAsia"/>
                <w:color w:val="auto"/>
                <w:sz w:val="24"/>
                <w:highlight w:val="none"/>
              </w:rPr>
            </w:pPr>
          </w:p>
        </w:tc>
        <w:tc>
          <w:tcPr>
            <w:tcW w:w="552" w:type="dxa"/>
          </w:tcPr>
          <w:p w14:paraId="4727A751">
            <w:pPr>
              <w:spacing w:line="360" w:lineRule="auto"/>
              <w:rPr>
                <w:rFonts w:hint="eastAsia" w:asciiTheme="majorEastAsia" w:hAnsiTheme="majorEastAsia" w:eastAsiaTheme="majorEastAsia" w:cstheme="majorEastAsia"/>
                <w:color w:val="auto"/>
                <w:sz w:val="24"/>
                <w:highlight w:val="none"/>
              </w:rPr>
            </w:pPr>
          </w:p>
        </w:tc>
        <w:tc>
          <w:tcPr>
            <w:tcW w:w="553" w:type="dxa"/>
          </w:tcPr>
          <w:p w14:paraId="32967F83">
            <w:pPr>
              <w:spacing w:line="360" w:lineRule="auto"/>
              <w:rPr>
                <w:rFonts w:hint="eastAsia" w:asciiTheme="majorEastAsia" w:hAnsiTheme="majorEastAsia" w:eastAsiaTheme="majorEastAsia" w:cstheme="majorEastAsia"/>
                <w:color w:val="auto"/>
                <w:sz w:val="24"/>
                <w:highlight w:val="none"/>
              </w:rPr>
            </w:pPr>
          </w:p>
        </w:tc>
        <w:tc>
          <w:tcPr>
            <w:tcW w:w="553" w:type="dxa"/>
          </w:tcPr>
          <w:p w14:paraId="77E7F0C6">
            <w:pPr>
              <w:spacing w:line="360" w:lineRule="auto"/>
              <w:rPr>
                <w:rFonts w:hint="eastAsia" w:asciiTheme="majorEastAsia" w:hAnsiTheme="majorEastAsia" w:eastAsiaTheme="majorEastAsia" w:cstheme="majorEastAsia"/>
                <w:color w:val="auto"/>
                <w:sz w:val="24"/>
                <w:highlight w:val="none"/>
              </w:rPr>
            </w:pPr>
          </w:p>
        </w:tc>
        <w:tc>
          <w:tcPr>
            <w:tcW w:w="553" w:type="dxa"/>
          </w:tcPr>
          <w:p w14:paraId="6D195850">
            <w:pPr>
              <w:spacing w:line="360" w:lineRule="auto"/>
              <w:rPr>
                <w:rFonts w:hint="eastAsia" w:asciiTheme="majorEastAsia" w:hAnsiTheme="majorEastAsia" w:eastAsiaTheme="majorEastAsia" w:cstheme="majorEastAsia"/>
                <w:color w:val="auto"/>
                <w:sz w:val="24"/>
                <w:highlight w:val="none"/>
              </w:rPr>
            </w:pPr>
          </w:p>
        </w:tc>
        <w:tc>
          <w:tcPr>
            <w:tcW w:w="553" w:type="dxa"/>
          </w:tcPr>
          <w:p w14:paraId="52EBE85D">
            <w:pPr>
              <w:spacing w:line="360" w:lineRule="auto"/>
              <w:rPr>
                <w:rFonts w:hint="eastAsia" w:asciiTheme="majorEastAsia" w:hAnsiTheme="majorEastAsia" w:eastAsiaTheme="majorEastAsia" w:cstheme="majorEastAsia"/>
                <w:color w:val="auto"/>
                <w:sz w:val="24"/>
                <w:highlight w:val="none"/>
              </w:rPr>
            </w:pPr>
          </w:p>
        </w:tc>
        <w:tc>
          <w:tcPr>
            <w:tcW w:w="553" w:type="dxa"/>
          </w:tcPr>
          <w:p w14:paraId="69EF4997">
            <w:pPr>
              <w:spacing w:line="360" w:lineRule="auto"/>
              <w:rPr>
                <w:rFonts w:hint="eastAsia" w:asciiTheme="majorEastAsia" w:hAnsiTheme="majorEastAsia" w:eastAsiaTheme="majorEastAsia" w:cstheme="majorEastAsia"/>
                <w:color w:val="auto"/>
                <w:sz w:val="24"/>
                <w:highlight w:val="none"/>
              </w:rPr>
            </w:pPr>
          </w:p>
        </w:tc>
        <w:tc>
          <w:tcPr>
            <w:tcW w:w="553" w:type="dxa"/>
          </w:tcPr>
          <w:p w14:paraId="22BF854F">
            <w:pPr>
              <w:spacing w:line="360" w:lineRule="auto"/>
              <w:rPr>
                <w:rFonts w:hint="eastAsia" w:asciiTheme="majorEastAsia" w:hAnsiTheme="majorEastAsia" w:eastAsiaTheme="majorEastAsia" w:cstheme="majorEastAsia"/>
                <w:color w:val="auto"/>
                <w:sz w:val="24"/>
                <w:highlight w:val="none"/>
              </w:rPr>
            </w:pPr>
          </w:p>
        </w:tc>
        <w:tc>
          <w:tcPr>
            <w:tcW w:w="553" w:type="dxa"/>
          </w:tcPr>
          <w:p w14:paraId="55BE7FB2">
            <w:pPr>
              <w:spacing w:line="360" w:lineRule="auto"/>
              <w:rPr>
                <w:rFonts w:hint="eastAsia" w:asciiTheme="majorEastAsia" w:hAnsiTheme="majorEastAsia" w:eastAsiaTheme="majorEastAsia" w:cstheme="majorEastAsia"/>
                <w:color w:val="auto"/>
                <w:sz w:val="24"/>
                <w:highlight w:val="none"/>
              </w:rPr>
            </w:pPr>
          </w:p>
        </w:tc>
        <w:tc>
          <w:tcPr>
            <w:tcW w:w="553" w:type="dxa"/>
          </w:tcPr>
          <w:p w14:paraId="720ED31C">
            <w:pPr>
              <w:spacing w:line="360" w:lineRule="auto"/>
              <w:rPr>
                <w:rFonts w:hint="eastAsia" w:asciiTheme="majorEastAsia" w:hAnsiTheme="majorEastAsia" w:eastAsiaTheme="majorEastAsia" w:cstheme="majorEastAsia"/>
                <w:color w:val="auto"/>
                <w:sz w:val="24"/>
                <w:highlight w:val="none"/>
              </w:rPr>
            </w:pPr>
          </w:p>
        </w:tc>
        <w:tc>
          <w:tcPr>
            <w:tcW w:w="553" w:type="dxa"/>
          </w:tcPr>
          <w:p w14:paraId="7B71D02B">
            <w:pPr>
              <w:spacing w:line="360" w:lineRule="auto"/>
              <w:rPr>
                <w:rFonts w:hint="eastAsia" w:asciiTheme="majorEastAsia" w:hAnsiTheme="majorEastAsia" w:eastAsiaTheme="majorEastAsia" w:cstheme="majorEastAsia"/>
                <w:color w:val="auto"/>
                <w:sz w:val="24"/>
                <w:highlight w:val="none"/>
              </w:rPr>
            </w:pPr>
          </w:p>
        </w:tc>
        <w:tc>
          <w:tcPr>
            <w:tcW w:w="553" w:type="dxa"/>
          </w:tcPr>
          <w:p w14:paraId="0F422F97">
            <w:pPr>
              <w:spacing w:line="360" w:lineRule="auto"/>
              <w:rPr>
                <w:rFonts w:hint="eastAsia" w:asciiTheme="majorEastAsia" w:hAnsiTheme="majorEastAsia" w:eastAsiaTheme="majorEastAsia" w:cstheme="majorEastAsia"/>
                <w:color w:val="auto"/>
                <w:sz w:val="24"/>
                <w:highlight w:val="none"/>
              </w:rPr>
            </w:pPr>
          </w:p>
        </w:tc>
      </w:tr>
      <w:tr w14:paraId="64A0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E450B3">
            <w:pPr>
              <w:spacing w:line="360" w:lineRule="auto"/>
              <w:rPr>
                <w:rFonts w:hint="eastAsia" w:asciiTheme="majorEastAsia" w:hAnsiTheme="majorEastAsia" w:eastAsiaTheme="majorEastAsia" w:cstheme="majorEastAsia"/>
                <w:color w:val="auto"/>
                <w:sz w:val="24"/>
                <w:highlight w:val="none"/>
              </w:rPr>
            </w:pPr>
          </w:p>
        </w:tc>
        <w:tc>
          <w:tcPr>
            <w:tcW w:w="552" w:type="dxa"/>
          </w:tcPr>
          <w:p w14:paraId="330BA6AE">
            <w:pPr>
              <w:spacing w:line="360" w:lineRule="auto"/>
              <w:rPr>
                <w:rFonts w:hint="eastAsia" w:asciiTheme="majorEastAsia" w:hAnsiTheme="majorEastAsia" w:eastAsiaTheme="majorEastAsia" w:cstheme="majorEastAsia"/>
                <w:color w:val="auto"/>
                <w:sz w:val="24"/>
                <w:highlight w:val="none"/>
              </w:rPr>
            </w:pPr>
          </w:p>
        </w:tc>
        <w:tc>
          <w:tcPr>
            <w:tcW w:w="552" w:type="dxa"/>
          </w:tcPr>
          <w:p w14:paraId="656F1B64">
            <w:pPr>
              <w:spacing w:line="360" w:lineRule="auto"/>
              <w:rPr>
                <w:rFonts w:hint="eastAsia" w:asciiTheme="majorEastAsia" w:hAnsiTheme="majorEastAsia" w:eastAsiaTheme="majorEastAsia" w:cstheme="majorEastAsia"/>
                <w:color w:val="auto"/>
                <w:sz w:val="24"/>
                <w:highlight w:val="none"/>
              </w:rPr>
            </w:pPr>
          </w:p>
        </w:tc>
        <w:tc>
          <w:tcPr>
            <w:tcW w:w="552" w:type="dxa"/>
          </w:tcPr>
          <w:p w14:paraId="05EBBCE9">
            <w:pPr>
              <w:spacing w:line="360" w:lineRule="auto"/>
              <w:rPr>
                <w:rFonts w:hint="eastAsia" w:asciiTheme="majorEastAsia" w:hAnsiTheme="majorEastAsia" w:eastAsiaTheme="majorEastAsia" w:cstheme="majorEastAsia"/>
                <w:color w:val="auto"/>
                <w:sz w:val="24"/>
                <w:highlight w:val="none"/>
              </w:rPr>
            </w:pPr>
          </w:p>
        </w:tc>
        <w:tc>
          <w:tcPr>
            <w:tcW w:w="552" w:type="dxa"/>
          </w:tcPr>
          <w:p w14:paraId="5F6DA386">
            <w:pPr>
              <w:spacing w:line="360" w:lineRule="auto"/>
              <w:rPr>
                <w:rFonts w:hint="eastAsia" w:asciiTheme="majorEastAsia" w:hAnsiTheme="majorEastAsia" w:eastAsiaTheme="majorEastAsia" w:cstheme="majorEastAsia"/>
                <w:color w:val="auto"/>
                <w:sz w:val="24"/>
                <w:highlight w:val="none"/>
              </w:rPr>
            </w:pPr>
          </w:p>
        </w:tc>
        <w:tc>
          <w:tcPr>
            <w:tcW w:w="552" w:type="dxa"/>
          </w:tcPr>
          <w:p w14:paraId="2D21C48E">
            <w:pPr>
              <w:spacing w:line="360" w:lineRule="auto"/>
              <w:rPr>
                <w:rFonts w:hint="eastAsia" w:asciiTheme="majorEastAsia" w:hAnsiTheme="majorEastAsia" w:eastAsiaTheme="majorEastAsia" w:cstheme="majorEastAsia"/>
                <w:color w:val="auto"/>
                <w:sz w:val="24"/>
                <w:highlight w:val="none"/>
              </w:rPr>
            </w:pPr>
          </w:p>
        </w:tc>
        <w:tc>
          <w:tcPr>
            <w:tcW w:w="552" w:type="dxa"/>
          </w:tcPr>
          <w:p w14:paraId="30A6F479">
            <w:pPr>
              <w:spacing w:line="360" w:lineRule="auto"/>
              <w:rPr>
                <w:rFonts w:hint="eastAsia" w:asciiTheme="majorEastAsia" w:hAnsiTheme="majorEastAsia" w:eastAsiaTheme="majorEastAsia" w:cstheme="majorEastAsia"/>
                <w:color w:val="auto"/>
                <w:sz w:val="24"/>
                <w:highlight w:val="none"/>
              </w:rPr>
            </w:pPr>
          </w:p>
        </w:tc>
        <w:tc>
          <w:tcPr>
            <w:tcW w:w="553" w:type="dxa"/>
          </w:tcPr>
          <w:p w14:paraId="10703D34">
            <w:pPr>
              <w:spacing w:line="360" w:lineRule="auto"/>
              <w:rPr>
                <w:rFonts w:hint="eastAsia" w:asciiTheme="majorEastAsia" w:hAnsiTheme="majorEastAsia" w:eastAsiaTheme="majorEastAsia" w:cstheme="majorEastAsia"/>
                <w:color w:val="auto"/>
                <w:sz w:val="24"/>
                <w:highlight w:val="none"/>
              </w:rPr>
            </w:pPr>
          </w:p>
        </w:tc>
        <w:tc>
          <w:tcPr>
            <w:tcW w:w="553" w:type="dxa"/>
          </w:tcPr>
          <w:p w14:paraId="4061618A">
            <w:pPr>
              <w:spacing w:line="360" w:lineRule="auto"/>
              <w:rPr>
                <w:rFonts w:hint="eastAsia" w:asciiTheme="majorEastAsia" w:hAnsiTheme="majorEastAsia" w:eastAsiaTheme="majorEastAsia" w:cstheme="majorEastAsia"/>
                <w:color w:val="auto"/>
                <w:sz w:val="24"/>
                <w:highlight w:val="none"/>
              </w:rPr>
            </w:pPr>
          </w:p>
        </w:tc>
        <w:tc>
          <w:tcPr>
            <w:tcW w:w="553" w:type="dxa"/>
          </w:tcPr>
          <w:p w14:paraId="120446C7">
            <w:pPr>
              <w:spacing w:line="360" w:lineRule="auto"/>
              <w:rPr>
                <w:rFonts w:hint="eastAsia" w:asciiTheme="majorEastAsia" w:hAnsiTheme="majorEastAsia" w:eastAsiaTheme="majorEastAsia" w:cstheme="majorEastAsia"/>
                <w:color w:val="auto"/>
                <w:sz w:val="24"/>
                <w:highlight w:val="none"/>
              </w:rPr>
            </w:pPr>
          </w:p>
        </w:tc>
        <w:tc>
          <w:tcPr>
            <w:tcW w:w="553" w:type="dxa"/>
          </w:tcPr>
          <w:p w14:paraId="7B4B9040">
            <w:pPr>
              <w:spacing w:line="360" w:lineRule="auto"/>
              <w:rPr>
                <w:rFonts w:hint="eastAsia" w:asciiTheme="majorEastAsia" w:hAnsiTheme="majorEastAsia" w:eastAsiaTheme="majorEastAsia" w:cstheme="majorEastAsia"/>
                <w:color w:val="auto"/>
                <w:sz w:val="24"/>
                <w:highlight w:val="none"/>
              </w:rPr>
            </w:pPr>
          </w:p>
        </w:tc>
        <w:tc>
          <w:tcPr>
            <w:tcW w:w="553" w:type="dxa"/>
          </w:tcPr>
          <w:p w14:paraId="6014612F">
            <w:pPr>
              <w:spacing w:line="360" w:lineRule="auto"/>
              <w:rPr>
                <w:rFonts w:hint="eastAsia" w:asciiTheme="majorEastAsia" w:hAnsiTheme="majorEastAsia" w:eastAsiaTheme="majorEastAsia" w:cstheme="majorEastAsia"/>
                <w:color w:val="auto"/>
                <w:sz w:val="24"/>
                <w:highlight w:val="none"/>
              </w:rPr>
            </w:pPr>
          </w:p>
        </w:tc>
        <w:tc>
          <w:tcPr>
            <w:tcW w:w="553" w:type="dxa"/>
          </w:tcPr>
          <w:p w14:paraId="071520D2">
            <w:pPr>
              <w:spacing w:line="360" w:lineRule="auto"/>
              <w:rPr>
                <w:rFonts w:hint="eastAsia" w:asciiTheme="majorEastAsia" w:hAnsiTheme="majorEastAsia" w:eastAsiaTheme="majorEastAsia" w:cstheme="majorEastAsia"/>
                <w:color w:val="auto"/>
                <w:sz w:val="24"/>
                <w:highlight w:val="none"/>
              </w:rPr>
            </w:pPr>
          </w:p>
        </w:tc>
        <w:tc>
          <w:tcPr>
            <w:tcW w:w="553" w:type="dxa"/>
          </w:tcPr>
          <w:p w14:paraId="71BD68FB">
            <w:pPr>
              <w:spacing w:line="360" w:lineRule="auto"/>
              <w:rPr>
                <w:rFonts w:hint="eastAsia" w:asciiTheme="majorEastAsia" w:hAnsiTheme="majorEastAsia" w:eastAsiaTheme="majorEastAsia" w:cstheme="majorEastAsia"/>
                <w:color w:val="auto"/>
                <w:sz w:val="24"/>
                <w:highlight w:val="none"/>
              </w:rPr>
            </w:pPr>
          </w:p>
        </w:tc>
        <w:tc>
          <w:tcPr>
            <w:tcW w:w="553" w:type="dxa"/>
          </w:tcPr>
          <w:p w14:paraId="06937573">
            <w:pPr>
              <w:spacing w:line="360" w:lineRule="auto"/>
              <w:rPr>
                <w:rFonts w:hint="eastAsia" w:asciiTheme="majorEastAsia" w:hAnsiTheme="majorEastAsia" w:eastAsiaTheme="majorEastAsia" w:cstheme="majorEastAsia"/>
                <w:color w:val="auto"/>
                <w:sz w:val="24"/>
                <w:highlight w:val="none"/>
              </w:rPr>
            </w:pPr>
          </w:p>
        </w:tc>
        <w:tc>
          <w:tcPr>
            <w:tcW w:w="553" w:type="dxa"/>
          </w:tcPr>
          <w:p w14:paraId="620F4613">
            <w:pPr>
              <w:spacing w:line="360" w:lineRule="auto"/>
              <w:rPr>
                <w:rFonts w:hint="eastAsia" w:asciiTheme="majorEastAsia" w:hAnsiTheme="majorEastAsia" w:eastAsiaTheme="majorEastAsia" w:cstheme="majorEastAsia"/>
                <w:color w:val="auto"/>
                <w:sz w:val="24"/>
                <w:highlight w:val="none"/>
              </w:rPr>
            </w:pPr>
          </w:p>
        </w:tc>
        <w:tc>
          <w:tcPr>
            <w:tcW w:w="553" w:type="dxa"/>
          </w:tcPr>
          <w:p w14:paraId="31809458">
            <w:pPr>
              <w:spacing w:line="360" w:lineRule="auto"/>
              <w:rPr>
                <w:rFonts w:hint="eastAsia" w:asciiTheme="majorEastAsia" w:hAnsiTheme="majorEastAsia" w:eastAsiaTheme="majorEastAsia" w:cstheme="majorEastAsia"/>
                <w:color w:val="auto"/>
                <w:sz w:val="24"/>
                <w:highlight w:val="none"/>
              </w:rPr>
            </w:pPr>
          </w:p>
        </w:tc>
      </w:tr>
      <w:tr w14:paraId="1CBF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73A24B9">
            <w:pPr>
              <w:spacing w:line="360" w:lineRule="auto"/>
              <w:rPr>
                <w:rFonts w:hint="eastAsia" w:asciiTheme="majorEastAsia" w:hAnsiTheme="majorEastAsia" w:eastAsiaTheme="majorEastAsia" w:cstheme="majorEastAsia"/>
                <w:color w:val="auto"/>
                <w:sz w:val="24"/>
                <w:highlight w:val="none"/>
              </w:rPr>
            </w:pPr>
          </w:p>
        </w:tc>
        <w:tc>
          <w:tcPr>
            <w:tcW w:w="552" w:type="dxa"/>
          </w:tcPr>
          <w:p w14:paraId="3BC7222C">
            <w:pPr>
              <w:spacing w:line="360" w:lineRule="auto"/>
              <w:rPr>
                <w:rFonts w:hint="eastAsia" w:asciiTheme="majorEastAsia" w:hAnsiTheme="majorEastAsia" w:eastAsiaTheme="majorEastAsia" w:cstheme="majorEastAsia"/>
                <w:color w:val="auto"/>
                <w:sz w:val="24"/>
                <w:highlight w:val="none"/>
              </w:rPr>
            </w:pPr>
          </w:p>
        </w:tc>
        <w:tc>
          <w:tcPr>
            <w:tcW w:w="552" w:type="dxa"/>
          </w:tcPr>
          <w:p w14:paraId="6088F779">
            <w:pPr>
              <w:spacing w:line="360" w:lineRule="auto"/>
              <w:rPr>
                <w:rFonts w:hint="eastAsia" w:asciiTheme="majorEastAsia" w:hAnsiTheme="majorEastAsia" w:eastAsiaTheme="majorEastAsia" w:cstheme="majorEastAsia"/>
                <w:color w:val="auto"/>
                <w:sz w:val="24"/>
                <w:highlight w:val="none"/>
              </w:rPr>
            </w:pPr>
          </w:p>
        </w:tc>
        <w:tc>
          <w:tcPr>
            <w:tcW w:w="552" w:type="dxa"/>
          </w:tcPr>
          <w:p w14:paraId="429DE5C3">
            <w:pPr>
              <w:spacing w:line="360" w:lineRule="auto"/>
              <w:rPr>
                <w:rFonts w:hint="eastAsia" w:asciiTheme="majorEastAsia" w:hAnsiTheme="majorEastAsia" w:eastAsiaTheme="majorEastAsia" w:cstheme="majorEastAsia"/>
                <w:color w:val="auto"/>
                <w:sz w:val="24"/>
                <w:highlight w:val="none"/>
              </w:rPr>
            </w:pPr>
          </w:p>
        </w:tc>
        <w:tc>
          <w:tcPr>
            <w:tcW w:w="552" w:type="dxa"/>
          </w:tcPr>
          <w:p w14:paraId="36A0DA4E">
            <w:pPr>
              <w:spacing w:line="360" w:lineRule="auto"/>
              <w:rPr>
                <w:rFonts w:hint="eastAsia" w:asciiTheme="majorEastAsia" w:hAnsiTheme="majorEastAsia" w:eastAsiaTheme="majorEastAsia" w:cstheme="majorEastAsia"/>
                <w:color w:val="auto"/>
                <w:sz w:val="24"/>
                <w:highlight w:val="none"/>
              </w:rPr>
            </w:pPr>
          </w:p>
        </w:tc>
        <w:tc>
          <w:tcPr>
            <w:tcW w:w="552" w:type="dxa"/>
          </w:tcPr>
          <w:p w14:paraId="3BA9D248">
            <w:pPr>
              <w:spacing w:line="360" w:lineRule="auto"/>
              <w:rPr>
                <w:rFonts w:hint="eastAsia" w:asciiTheme="majorEastAsia" w:hAnsiTheme="majorEastAsia" w:eastAsiaTheme="majorEastAsia" w:cstheme="majorEastAsia"/>
                <w:color w:val="auto"/>
                <w:sz w:val="24"/>
                <w:highlight w:val="none"/>
              </w:rPr>
            </w:pPr>
          </w:p>
        </w:tc>
        <w:tc>
          <w:tcPr>
            <w:tcW w:w="552" w:type="dxa"/>
          </w:tcPr>
          <w:p w14:paraId="4B4C01CA">
            <w:pPr>
              <w:spacing w:line="360" w:lineRule="auto"/>
              <w:rPr>
                <w:rFonts w:hint="eastAsia" w:asciiTheme="majorEastAsia" w:hAnsiTheme="majorEastAsia" w:eastAsiaTheme="majorEastAsia" w:cstheme="majorEastAsia"/>
                <w:color w:val="auto"/>
                <w:sz w:val="24"/>
                <w:highlight w:val="none"/>
              </w:rPr>
            </w:pPr>
          </w:p>
        </w:tc>
        <w:tc>
          <w:tcPr>
            <w:tcW w:w="553" w:type="dxa"/>
          </w:tcPr>
          <w:p w14:paraId="3278C072">
            <w:pPr>
              <w:spacing w:line="360" w:lineRule="auto"/>
              <w:rPr>
                <w:rFonts w:hint="eastAsia" w:asciiTheme="majorEastAsia" w:hAnsiTheme="majorEastAsia" w:eastAsiaTheme="majorEastAsia" w:cstheme="majorEastAsia"/>
                <w:color w:val="auto"/>
                <w:sz w:val="24"/>
                <w:highlight w:val="none"/>
              </w:rPr>
            </w:pPr>
          </w:p>
        </w:tc>
        <w:tc>
          <w:tcPr>
            <w:tcW w:w="553" w:type="dxa"/>
          </w:tcPr>
          <w:p w14:paraId="53A7034D">
            <w:pPr>
              <w:spacing w:line="360" w:lineRule="auto"/>
              <w:rPr>
                <w:rFonts w:hint="eastAsia" w:asciiTheme="majorEastAsia" w:hAnsiTheme="majorEastAsia" w:eastAsiaTheme="majorEastAsia" w:cstheme="majorEastAsia"/>
                <w:color w:val="auto"/>
                <w:sz w:val="24"/>
                <w:highlight w:val="none"/>
              </w:rPr>
            </w:pPr>
          </w:p>
        </w:tc>
        <w:tc>
          <w:tcPr>
            <w:tcW w:w="553" w:type="dxa"/>
          </w:tcPr>
          <w:p w14:paraId="35BDAECD">
            <w:pPr>
              <w:spacing w:line="360" w:lineRule="auto"/>
              <w:rPr>
                <w:rFonts w:hint="eastAsia" w:asciiTheme="majorEastAsia" w:hAnsiTheme="majorEastAsia" w:eastAsiaTheme="majorEastAsia" w:cstheme="majorEastAsia"/>
                <w:color w:val="auto"/>
                <w:sz w:val="24"/>
                <w:highlight w:val="none"/>
              </w:rPr>
            </w:pPr>
          </w:p>
        </w:tc>
        <w:tc>
          <w:tcPr>
            <w:tcW w:w="553" w:type="dxa"/>
          </w:tcPr>
          <w:p w14:paraId="56C4241B">
            <w:pPr>
              <w:spacing w:line="360" w:lineRule="auto"/>
              <w:rPr>
                <w:rFonts w:hint="eastAsia" w:asciiTheme="majorEastAsia" w:hAnsiTheme="majorEastAsia" w:eastAsiaTheme="majorEastAsia" w:cstheme="majorEastAsia"/>
                <w:color w:val="auto"/>
                <w:sz w:val="24"/>
                <w:highlight w:val="none"/>
              </w:rPr>
            </w:pPr>
          </w:p>
        </w:tc>
        <w:tc>
          <w:tcPr>
            <w:tcW w:w="553" w:type="dxa"/>
          </w:tcPr>
          <w:p w14:paraId="5DB26497">
            <w:pPr>
              <w:spacing w:line="360" w:lineRule="auto"/>
              <w:rPr>
                <w:rFonts w:hint="eastAsia" w:asciiTheme="majorEastAsia" w:hAnsiTheme="majorEastAsia" w:eastAsiaTheme="majorEastAsia" w:cstheme="majorEastAsia"/>
                <w:color w:val="auto"/>
                <w:sz w:val="24"/>
                <w:highlight w:val="none"/>
              </w:rPr>
            </w:pPr>
          </w:p>
        </w:tc>
        <w:tc>
          <w:tcPr>
            <w:tcW w:w="553" w:type="dxa"/>
          </w:tcPr>
          <w:p w14:paraId="4874EF21">
            <w:pPr>
              <w:spacing w:line="360" w:lineRule="auto"/>
              <w:rPr>
                <w:rFonts w:hint="eastAsia" w:asciiTheme="majorEastAsia" w:hAnsiTheme="majorEastAsia" w:eastAsiaTheme="majorEastAsia" w:cstheme="majorEastAsia"/>
                <w:color w:val="auto"/>
                <w:sz w:val="24"/>
                <w:highlight w:val="none"/>
              </w:rPr>
            </w:pPr>
          </w:p>
        </w:tc>
        <w:tc>
          <w:tcPr>
            <w:tcW w:w="553" w:type="dxa"/>
          </w:tcPr>
          <w:p w14:paraId="4971A582">
            <w:pPr>
              <w:spacing w:line="360" w:lineRule="auto"/>
              <w:rPr>
                <w:rFonts w:hint="eastAsia" w:asciiTheme="majorEastAsia" w:hAnsiTheme="majorEastAsia" w:eastAsiaTheme="majorEastAsia" w:cstheme="majorEastAsia"/>
                <w:color w:val="auto"/>
                <w:sz w:val="24"/>
                <w:highlight w:val="none"/>
              </w:rPr>
            </w:pPr>
          </w:p>
        </w:tc>
        <w:tc>
          <w:tcPr>
            <w:tcW w:w="553" w:type="dxa"/>
          </w:tcPr>
          <w:p w14:paraId="3C673AD0">
            <w:pPr>
              <w:spacing w:line="360" w:lineRule="auto"/>
              <w:rPr>
                <w:rFonts w:hint="eastAsia" w:asciiTheme="majorEastAsia" w:hAnsiTheme="majorEastAsia" w:eastAsiaTheme="majorEastAsia" w:cstheme="majorEastAsia"/>
                <w:color w:val="auto"/>
                <w:sz w:val="24"/>
                <w:highlight w:val="none"/>
              </w:rPr>
            </w:pPr>
          </w:p>
        </w:tc>
        <w:tc>
          <w:tcPr>
            <w:tcW w:w="553" w:type="dxa"/>
          </w:tcPr>
          <w:p w14:paraId="12AFAD51">
            <w:pPr>
              <w:spacing w:line="360" w:lineRule="auto"/>
              <w:rPr>
                <w:rFonts w:hint="eastAsia" w:asciiTheme="majorEastAsia" w:hAnsiTheme="majorEastAsia" w:eastAsiaTheme="majorEastAsia" w:cstheme="majorEastAsia"/>
                <w:color w:val="auto"/>
                <w:sz w:val="24"/>
                <w:highlight w:val="none"/>
              </w:rPr>
            </w:pPr>
          </w:p>
        </w:tc>
        <w:tc>
          <w:tcPr>
            <w:tcW w:w="553" w:type="dxa"/>
          </w:tcPr>
          <w:p w14:paraId="542C2B00">
            <w:pPr>
              <w:spacing w:line="360" w:lineRule="auto"/>
              <w:rPr>
                <w:rFonts w:hint="eastAsia" w:asciiTheme="majorEastAsia" w:hAnsiTheme="majorEastAsia" w:eastAsiaTheme="majorEastAsia" w:cstheme="majorEastAsia"/>
                <w:color w:val="auto"/>
                <w:sz w:val="24"/>
                <w:highlight w:val="none"/>
              </w:rPr>
            </w:pPr>
          </w:p>
        </w:tc>
      </w:tr>
      <w:tr w14:paraId="54C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AF8352">
            <w:pPr>
              <w:spacing w:line="360" w:lineRule="auto"/>
              <w:rPr>
                <w:rFonts w:hint="eastAsia" w:asciiTheme="majorEastAsia" w:hAnsiTheme="majorEastAsia" w:eastAsiaTheme="majorEastAsia" w:cstheme="majorEastAsia"/>
                <w:color w:val="auto"/>
                <w:sz w:val="24"/>
                <w:highlight w:val="none"/>
              </w:rPr>
            </w:pPr>
          </w:p>
        </w:tc>
        <w:tc>
          <w:tcPr>
            <w:tcW w:w="552" w:type="dxa"/>
          </w:tcPr>
          <w:p w14:paraId="53714250">
            <w:pPr>
              <w:spacing w:line="360" w:lineRule="auto"/>
              <w:rPr>
                <w:rFonts w:hint="eastAsia" w:asciiTheme="majorEastAsia" w:hAnsiTheme="majorEastAsia" w:eastAsiaTheme="majorEastAsia" w:cstheme="majorEastAsia"/>
                <w:color w:val="auto"/>
                <w:sz w:val="24"/>
                <w:highlight w:val="none"/>
              </w:rPr>
            </w:pPr>
          </w:p>
        </w:tc>
        <w:tc>
          <w:tcPr>
            <w:tcW w:w="552" w:type="dxa"/>
          </w:tcPr>
          <w:p w14:paraId="3ADB6562">
            <w:pPr>
              <w:spacing w:line="360" w:lineRule="auto"/>
              <w:rPr>
                <w:rFonts w:hint="eastAsia" w:asciiTheme="majorEastAsia" w:hAnsiTheme="majorEastAsia" w:eastAsiaTheme="majorEastAsia" w:cstheme="majorEastAsia"/>
                <w:color w:val="auto"/>
                <w:sz w:val="24"/>
                <w:highlight w:val="none"/>
              </w:rPr>
            </w:pPr>
          </w:p>
        </w:tc>
        <w:tc>
          <w:tcPr>
            <w:tcW w:w="552" w:type="dxa"/>
          </w:tcPr>
          <w:p w14:paraId="5F0F21EC">
            <w:pPr>
              <w:spacing w:line="360" w:lineRule="auto"/>
              <w:rPr>
                <w:rFonts w:hint="eastAsia" w:asciiTheme="majorEastAsia" w:hAnsiTheme="majorEastAsia" w:eastAsiaTheme="majorEastAsia" w:cstheme="majorEastAsia"/>
                <w:color w:val="auto"/>
                <w:sz w:val="24"/>
                <w:highlight w:val="none"/>
              </w:rPr>
            </w:pPr>
          </w:p>
        </w:tc>
        <w:tc>
          <w:tcPr>
            <w:tcW w:w="552" w:type="dxa"/>
          </w:tcPr>
          <w:p w14:paraId="4A49502F">
            <w:pPr>
              <w:spacing w:line="360" w:lineRule="auto"/>
              <w:rPr>
                <w:rFonts w:hint="eastAsia" w:asciiTheme="majorEastAsia" w:hAnsiTheme="majorEastAsia" w:eastAsiaTheme="majorEastAsia" w:cstheme="majorEastAsia"/>
                <w:color w:val="auto"/>
                <w:sz w:val="24"/>
                <w:highlight w:val="none"/>
              </w:rPr>
            </w:pPr>
          </w:p>
        </w:tc>
        <w:tc>
          <w:tcPr>
            <w:tcW w:w="552" w:type="dxa"/>
          </w:tcPr>
          <w:p w14:paraId="3C2E2782">
            <w:pPr>
              <w:spacing w:line="360" w:lineRule="auto"/>
              <w:rPr>
                <w:rFonts w:hint="eastAsia" w:asciiTheme="majorEastAsia" w:hAnsiTheme="majorEastAsia" w:eastAsiaTheme="majorEastAsia" w:cstheme="majorEastAsia"/>
                <w:color w:val="auto"/>
                <w:sz w:val="24"/>
                <w:highlight w:val="none"/>
              </w:rPr>
            </w:pPr>
          </w:p>
        </w:tc>
        <w:tc>
          <w:tcPr>
            <w:tcW w:w="552" w:type="dxa"/>
          </w:tcPr>
          <w:p w14:paraId="7690CC97">
            <w:pPr>
              <w:spacing w:line="360" w:lineRule="auto"/>
              <w:rPr>
                <w:rFonts w:hint="eastAsia" w:asciiTheme="majorEastAsia" w:hAnsiTheme="majorEastAsia" w:eastAsiaTheme="majorEastAsia" w:cstheme="majorEastAsia"/>
                <w:color w:val="auto"/>
                <w:sz w:val="24"/>
                <w:highlight w:val="none"/>
              </w:rPr>
            </w:pPr>
          </w:p>
        </w:tc>
        <w:tc>
          <w:tcPr>
            <w:tcW w:w="553" w:type="dxa"/>
          </w:tcPr>
          <w:p w14:paraId="33117327">
            <w:pPr>
              <w:spacing w:line="360" w:lineRule="auto"/>
              <w:rPr>
                <w:rFonts w:hint="eastAsia" w:asciiTheme="majorEastAsia" w:hAnsiTheme="majorEastAsia" w:eastAsiaTheme="majorEastAsia" w:cstheme="majorEastAsia"/>
                <w:color w:val="auto"/>
                <w:sz w:val="24"/>
                <w:highlight w:val="none"/>
              </w:rPr>
            </w:pPr>
          </w:p>
        </w:tc>
        <w:tc>
          <w:tcPr>
            <w:tcW w:w="553" w:type="dxa"/>
          </w:tcPr>
          <w:p w14:paraId="05DB8C2A">
            <w:pPr>
              <w:spacing w:line="360" w:lineRule="auto"/>
              <w:rPr>
                <w:rFonts w:hint="eastAsia" w:asciiTheme="majorEastAsia" w:hAnsiTheme="majorEastAsia" w:eastAsiaTheme="majorEastAsia" w:cstheme="majorEastAsia"/>
                <w:color w:val="auto"/>
                <w:sz w:val="24"/>
                <w:highlight w:val="none"/>
              </w:rPr>
            </w:pPr>
          </w:p>
        </w:tc>
        <w:tc>
          <w:tcPr>
            <w:tcW w:w="553" w:type="dxa"/>
          </w:tcPr>
          <w:p w14:paraId="5205BDF5">
            <w:pPr>
              <w:spacing w:line="360" w:lineRule="auto"/>
              <w:rPr>
                <w:rFonts w:hint="eastAsia" w:asciiTheme="majorEastAsia" w:hAnsiTheme="majorEastAsia" w:eastAsiaTheme="majorEastAsia" w:cstheme="majorEastAsia"/>
                <w:color w:val="auto"/>
                <w:sz w:val="24"/>
                <w:highlight w:val="none"/>
              </w:rPr>
            </w:pPr>
          </w:p>
        </w:tc>
        <w:tc>
          <w:tcPr>
            <w:tcW w:w="553" w:type="dxa"/>
          </w:tcPr>
          <w:p w14:paraId="7C081182">
            <w:pPr>
              <w:spacing w:line="360" w:lineRule="auto"/>
              <w:rPr>
                <w:rFonts w:hint="eastAsia" w:asciiTheme="majorEastAsia" w:hAnsiTheme="majorEastAsia" w:eastAsiaTheme="majorEastAsia" w:cstheme="majorEastAsia"/>
                <w:color w:val="auto"/>
                <w:sz w:val="24"/>
                <w:highlight w:val="none"/>
              </w:rPr>
            </w:pPr>
          </w:p>
        </w:tc>
        <w:tc>
          <w:tcPr>
            <w:tcW w:w="553" w:type="dxa"/>
          </w:tcPr>
          <w:p w14:paraId="738CA499">
            <w:pPr>
              <w:spacing w:line="360" w:lineRule="auto"/>
              <w:rPr>
                <w:rFonts w:hint="eastAsia" w:asciiTheme="majorEastAsia" w:hAnsiTheme="majorEastAsia" w:eastAsiaTheme="majorEastAsia" w:cstheme="majorEastAsia"/>
                <w:color w:val="auto"/>
                <w:sz w:val="24"/>
                <w:highlight w:val="none"/>
              </w:rPr>
            </w:pPr>
          </w:p>
        </w:tc>
        <w:tc>
          <w:tcPr>
            <w:tcW w:w="553" w:type="dxa"/>
          </w:tcPr>
          <w:p w14:paraId="789DF015">
            <w:pPr>
              <w:spacing w:line="360" w:lineRule="auto"/>
              <w:rPr>
                <w:rFonts w:hint="eastAsia" w:asciiTheme="majorEastAsia" w:hAnsiTheme="majorEastAsia" w:eastAsiaTheme="majorEastAsia" w:cstheme="majorEastAsia"/>
                <w:color w:val="auto"/>
                <w:sz w:val="24"/>
                <w:highlight w:val="none"/>
              </w:rPr>
            </w:pPr>
          </w:p>
        </w:tc>
        <w:tc>
          <w:tcPr>
            <w:tcW w:w="553" w:type="dxa"/>
          </w:tcPr>
          <w:p w14:paraId="11BA8AE9">
            <w:pPr>
              <w:spacing w:line="360" w:lineRule="auto"/>
              <w:rPr>
                <w:rFonts w:hint="eastAsia" w:asciiTheme="majorEastAsia" w:hAnsiTheme="majorEastAsia" w:eastAsiaTheme="majorEastAsia" w:cstheme="majorEastAsia"/>
                <w:color w:val="auto"/>
                <w:sz w:val="24"/>
                <w:highlight w:val="none"/>
              </w:rPr>
            </w:pPr>
          </w:p>
        </w:tc>
        <w:tc>
          <w:tcPr>
            <w:tcW w:w="553" w:type="dxa"/>
          </w:tcPr>
          <w:p w14:paraId="7757C30D">
            <w:pPr>
              <w:spacing w:line="360" w:lineRule="auto"/>
              <w:rPr>
                <w:rFonts w:hint="eastAsia" w:asciiTheme="majorEastAsia" w:hAnsiTheme="majorEastAsia" w:eastAsiaTheme="majorEastAsia" w:cstheme="majorEastAsia"/>
                <w:color w:val="auto"/>
                <w:sz w:val="24"/>
                <w:highlight w:val="none"/>
              </w:rPr>
            </w:pPr>
          </w:p>
        </w:tc>
        <w:tc>
          <w:tcPr>
            <w:tcW w:w="553" w:type="dxa"/>
          </w:tcPr>
          <w:p w14:paraId="0AA20DBE">
            <w:pPr>
              <w:spacing w:line="360" w:lineRule="auto"/>
              <w:rPr>
                <w:rFonts w:hint="eastAsia" w:asciiTheme="majorEastAsia" w:hAnsiTheme="majorEastAsia" w:eastAsiaTheme="majorEastAsia" w:cstheme="majorEastAsia"/>
                <w:color w:val="auto"/>
                <w:sz w:val="24"/>
                <w:highlight w:val="none"/>
              </w:rPr>
            </w:pPr>
          </w:p>
        </w:tc>
        <w:tc>
          <w:tcPr>
            <w:tcW w:w="553" w:type="dxa"/>
          </w:tcPr>
          <w:p w14:paraId="38E75EBE">
            <w:pPr>
              <w:spacing w:line="360" w:lineRule="auto"/>
              <w:rPr>
                <w:rFonts w:hint="eastAsia" w:asciiTheme="majorEastAsia" w:hAnsiTheme="majorEastAsia" w:eastAsiaTheme="majorEastAsia" w:cstheme="majorEastAsia"/>
                <w:color w:val="auto"/>
                <w:sz w:val="24"/>
                <w:highlight w:val="none"/>
              </w:rPr>
            </w:pPr>
          </w:p>
        </w:tc>
      </w:tr>
      <w:tr w14:paraId="6FF3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26C2A3">
            <w:pPr>
              <w:spacing w:line="360" w:lineRule="auto"/>
              <w:rPr>
                <w:rFonts w:hint="eastAsia" w:asciiTheme="majorEastAsia" w:hAnsiTheme="majorEastAsia" w:eastAsiaTheme="majorEastAsia" w:cstheme="majorEastAsia"/>
                <w:color w:val="auto"/>
                <w:sz w:val="24"/>
                <w:highlight w:val="none"/>
              </w:rPr>
            </w:pPr>
          </w:p>
        </w:tc>
        <w:tc>
          <w:tcPr>
            <w:tcW w:w="552" w:type="dxa"/>
          </w:tcPr>
          <w:p w14:paraId="01961090">
            <w:pPr>
              <w:spacing w:line="360" w:lineRule="auto"/>
              <w:rPr>
                <w:rFonts w:hint="eastAsia" w:asciiTheme="majorEastAsia" w:hAnsiTheme="majorEastAsia" w:eastAsiaTheme="majorEastAsia" w:cstheme="majorEastAsia"/>
                <w:color w:val="auto"/>
                <w:sz w:val="24"/>
                <w:highlight w:val="none"/>
              </w:rPr>
            </w:pPr>
          </w:p>
        </w:tc>
        <w:tc>
          <w:tcPr>
            <w:tcW w:w="552" w:type="dxa"/>
          </w:tcPr>
          <w:p w14:paraId="42CD6219">
            <w:pPr>
              <w:spacing w:line="360" w:lineRule="auto"/>
              <w:rPr>
                <w:rFonts w:hint="eastAsia" w:asciiTheme="majorEastAsia" w:hAnsiTheme="majorEastAsia" w:eastAsiaTheme="majorEastAsia" w:cstheme="majorEastAsia"/>
                <w:color w:val="auto"/>
                <w:sz w:val="24"/>
                <w:highlight w:val="none"/>
              </w:rPr>
            </w:pPr>
          </w:p>
        </w:tc>
        <w:tc>
          <w:tcPr>
            <w:tcW w:w="552" w:type="dxa"/>
          </w:tcPr>
          <w:p w14:paraId="20B4EF81">
            <w:pPr>
              <w:spacing w:line="360" w:lineRule="auto"/>
              <w:rPr>
                <w:rFonts w:hint="eastAsia" w:asciiTheme="majorEastAsia" w:hAnsiTheme="majorEastAsia" w:eastAsiaTheme="majorEastAsia" w:cstheme="majorEastAsia"/>
                <w:color w:val="auto"/>
                <w:sz w:val="24"/>
                <w:highlight w:val="none"/>
              </w:rPr>
            </w:pPr>
          </w:p>
        </w:tc>
        <w:tc>
          <w:tcPr>
            <w:tcW w:w="552" w:type="dxa"/>
          </w:tcPr>
          <w:p w14:paraId="4D055DD2">
            <w:pPr>
              <w:spacing w:line="360" w:lineRule="auto"/>
              <w:rPr>
                <w:rFonts w:hint="eastAsia" w:asciiTheme="majorEastAsia" w:hAnsiTheme="majorEastAsia" w:eastAsiaTheme="majorEastAsia" w:cstheme="majorEastAsia"/>
                <w:color w:val="auto"/>
                <w:sz w:val="24"/>
                <w:highlight w:val="none"/>
              </w:rPr>
            </w:pPr>
          </w:p>
        </w:tc>
        <w:tc>
          <w:tcPr>
            <w:tcW w:w="552" w:type="dxa"/>
          </w:tcPr>
          <w:p w14:paraId="73B523C9">
            <w:pPr>
              <w:spacing w:line="360" w:lineRule="auto"/>
              <w:rPr>
                <w:rFonts w:hint="eastAsia" w:asciiTheme="majorEastAsia" w:hAnsiTheme="majorEastAsia" w:eastAsiaTheme="majorEastAsia" w:cstheme="majorEastAsia"/>
                <w:color w:val="auto"/>
                <w:sz w:val="24"/>
                <w:highlight w:val="none"/>
              </w:rPr>
            </w:pPr>
          </w:p>
        </w:tc>
        <w:tc>
          <w:tcPr>
            <w:tcW w:w="552" w:type="dxa"/>
          </w:tcPr>
          <w:p w14:paraId="76568A47">
            <w:pPr>
              <w:spacing w:line="360" w:lineRule="auto"/>
              <w:rPr>
                <w:rFonts w:hint="eastAsia" w:asciiTheme="majorEastAsia" w:hAnsiTheme="majorEastAsia" w:eastAsiaTheme="majorEastAsia" w:cstheme="majorEastAsia"/>
                <w:color w:val="auto"/>
                <w:sz w:val="24"/>
                <w:highlight w:val="none"/>
              </w:rPr>
            </w:pPr>
          </w:p>
        </w:tc>
        <w:tc>
          <w:tcPr>
            <w:tcW w:w="553" w:type="dxa"/>
          </w:tcPr>
          <w:p w14:paraId="04A2C548">
            <w:pPr>
              <w:spacing w:line="360" w:lineRule="auto"/>
              <w:rPr>
                <w:rFonts w:hint="eastAsia" w:asciiTheme="majorEastAsia" w:hAnsiTheme="majorEastAsia" w:eastAsiaTheme="majorEastAsia" w:cstheme="majorEastAsia"/>
                <w:color w:val="auto"/>
                <w:sz w:val="24"/>
                <w:highlight w:val="none"/>
              </w:rPr>
            </w:pPr>
          </w:p>
        </w:tc>
        <w:tc>
          <w:tcPr>
            <w:tcW w:w="553" w:type="dxa"/>
          </w:tcPr>
          <w:p w14:paraId="788D9DFA">
            <w:pPr>
              <w:spacing w:line="360" w:lineRule="auto"/>
              <w:rPr>
                <w:rFonts w:hint="eastAsia" w:asciiTheme="majorEastAsia" w:hAnsiTheme="majorEastAsia" w:eastAsiaTheme="majorEastAsia" w:cstheme="majorEastAsia"/>
                <w:color w:val="auto"/>
                <w:sz w:val="24"/>
                <w:highlight w:val="none"/>
              </w:rPr>
            </w:pPr>
          </w:p>
        </w:tc>
        <w:tc>
          <w:tcPr>
            <w:tcW w:w="553" w:type="dxa"/>
          </w:tcPr>
          <w:p w14:paraId="13BB9982">
            <w:pPr>
              <w:spacing w:line="360" w:lineRule="auto"/>
              <w:rPr>
                <w:rFonts w:hint="eastAsia" w:asciiTheme="majorEastAsia" w:hAnsiTheme="majorEastAsia" w:eastAsiaTheme="majorEastAsia" w:cstheme="majorEastAsia"/>
                <w:color w:val="auto"/>
                <w:sz w:val="24"/>
                <w:highlight w:val="none"/>
              </w:rPr>
            </w:pPr>
          </w:p>
        </w:tc>
        <w:tc>
          <w:tcPr>
            <w:tcW w:w="553" w:type="dxa"/>
          </w:tcPr>
          <w:p w14:paraId="6B5ED26D">
            <w:pPr>
              <w:spacing w:line="360" w:lineRule="auto"/>
              <w:rPr>
                <w:rFonts w:hint="eastAsia" w:asciiTheme="majorEastAsia" w:hAnsiTheme="majorEastAsia" w:eastAsiaTheme="majorEastAsia" w:cstheme="majorEastAsia"/>
                <w:color w:val="auto"/>
                <w:sz w:val="24"/>
                <w:highlight w:val="none"/>
              </w:rPr>
            </w:pPr>
          </w:p>
        </w:tc>
        <w:tc>
          <w:tcPr>
            <w:tcW w:w="553" w:type="dxa"/>
          </w:tcPr>
          <w:p w14:paraId="38DB75D2">
            <w:pPr>
              <w:spacing w:line="360" w:lineRule="auto"/>
              <w:rPr>
                <w:rFonts w:hint="eastAsia" w:asciiTheme="majorEastAsia" w:hAnsiTheme="majorEastAsia" w:eastAsiaTheme="majorEastAsia" w:cstheme="majorEastAsia"/>
                <w:color w:val="auto"/>
                <w:sz w:val="24"/>
                <w:highlight w:val="none"/>
              </w:rPr>
            </w:pPr>
          </w:p>
        </w:tc>
        <w:tc>
          <w:tcPr>
            <w:tcW w:w="553" w:type="dxa"/>
          </w:tcPr>
          <w:p w14:paraId="22A0651F">
            <w:pPr>
              <w:spacing w:line="360" w:lineRule="auto"/>
              <w:rPr>
                <w:rFonts w:hint="eastAsia" w:asciiTheme="majorEastAsia" w:hAnsiTheme="majorEastAsia" w:eastAsiaTheme="majorEastAsia" w:cstheme="majorEastAsia"/>
                <w:color w:val="auto"/>
                <w:sz w:val="24"/>
                <w:highlight w:val="none"/>
              </w:rPr>
            </w:pPr>
          </w:p>
        </w:tc>
        <w:tc>
          <w:tcPr>
            <w:tcW w:w="553" w:type="dxa"/>
          </w:tcPr>
          <w:p w14:paraId="390FC758">
            <w:pPr>
              <w:spacing w:line="360" w:lineRule="auto"/>
              <w:rPr>
                <w:rFonts w:hint="eastAsia" w:asciiTheme="majorEastAsia" w:hAnsiTheme="majorEastAsia" w:eastAsiaTheme="majorEastAsia" w:cstheme="majorEastAsia"/>
                <w:color w:val="auto"/>
                <w:sz w:val="24"/>
                <w:highlight w:val="none"/>
              </w:rPr>
            </w:pPr>
          </w:p>
        </w:tc>
        <w:tc>
          <w:tcPr>
            <w:tcW w:w="553" w:type="dxa"/>
          </w:tcPr>
          <w:p w14:paraId="305383F6">
            <w:pPr>
              <w:spacing w:line="360" w:lineRule="auto"/>
              <w:rPr>
                <w:rFonts w:hint="eastAsia" w:asciiTheme="majorEastAsia" w:hAnsiTheme="majorEastAsia" w:eastAsiaTheme="majorEastAsia" w:cstheme="majorEastAsia"/>
                <w:color w:val="auto"/>
                <w:sz w:val="24"/>
                <w:highlight w:val="none"/>
              </w:rPr>
            </w:pPr>
          </w:p>
        </w:tc>
        <w:tc>
          <w:tcPr>
            <w:tcW w:w="553" w:type="dxa"/>
          </w:tcPr>
          <w:p w14:paraId="3F9F87B6">
            <w:pPr>
              <w:spacing w:line="360" w:lineRule="auto"/>
              <w:rPr>
                <w:rFonts w:hint="eastAsia" w:asciiTheme="majorEastAsia" w:hAnsiTheme="majorEastAsia" w:eastAsiaTheme="majorEastAsia" w:cstheme="majorEastAsia"/>
                <w:color w:val="auto"/>
                <w:sz w:val="24"/>
                <w:highlight w:val="none"/>
              </w:rPr>
            </w:pPr>
          </w:p>
        </w:tc>
        <w:tc>
          <w:tcPr>
            <w:tcW w:w="553" w:type="dxa"/>
          </w:tcPr>
          <w:p w14:paraId="1F6396AF">
            <w:pPr>
              <w:spacing w:line="360" w:lineRule="auto"/>
              <w:rPr>
                <w:rFonts w:hint="eastAsia" w:asciiTheme="majorEastAsia" w:hAnsiTheme="majorEastAsia" w:eastAsiaTheme="majorEastAsia" w:cstheme="majorEastAsia"/>
                <w:color w:val="auto"/>
                <w:sz w:val="24"/>
                <w:highlight w:val="none"/>
              </w:rPr>
            </w:pPr>
          </w:p>
        </w:tc>
      </w:tr>
      <w:tr w14:paraId="33A4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9F5566">
            <w:pPr>
              <w:spacing w:line="360" w:lineRule="auto"/>
              <w:rPr>
                <w:rFonts w:hint="eastAsia" w:asciiTheme="majorEastAsia" w:hAnsiTheme="majorEastAsia" w:eastAsiaTheme="majorEastAsia" w:cstheme="majorEastAsia"/>
                <w:color w:val="auto"/>
                <w:sz w:val="24"/>
                <w:highlight w:val="none"/>
              </w:rPr>
            </w:pPr>
          </w:p>
        </w:tc>
        <w:tc>
          <w:tcPr>
            <w:tcW w:w="552" w:type="dxa"/>
          </w:tcPr>
          <w:p w14:paraId="094077C4">
            <w:pPr>
              <w:spacing w:line="360" w:lineRule="auto"/>
              <w:rPr>
                <w:rFonts w:hint="eastAsia" w:asciiTheme="majorEastAsia" w:hAnsiTheme="majorEastAsia" w:eastAsiaTheme="majorEastAsia" w:cstheme="majorEastAsia"/>
                <w:color w:val="auto"/>
                <w:sz w:val="24"/>
                <w:highlight w:val="none"/>
              </w:rPr>
            </w:pPr>
          </w:p>
        </w:tc>
        <w:tc>
          <w:tcPr>
            <w:tcW w:w="552" w:type="dxa"/>
          </w:tcPr>
          <w:p w14:paraId="3D8C1DF5">
            <w:pPr>
              <w:spacing w:line="360" w:lineRule="auto"/>
              <w:rPr>
                <w:rFonts w:hint="eastAsia" w:asciiTheme="majorEastAsia" w:hAnsiTheme="majorEastAsia" w:eastAsiaTheme="majorEastAsia" w:cstheme="majorEastAsia"/>
                <w:color w:val="auto"/>
                <w:sz w:val="24"/>
                <w:highlight w:val="none"/>
              </w:rPr>
            </w:pPr>
          </w:p>
        </w:tc>
        <w:tc>
          <w:tcPr>
            <w:tcW w:w="552" w:type="dxa"/>
          </w:tcPr>
          <w:p w14:paraId="516C4B03">
            <w:pPr>
              <w:spacing w:line="360" w:lineRule="auto"/>
              <w:rPr>
                <w:rFonts w:hint="eastAsia" w:asciiTheme="majorEastAsia" w:hAnsiTheme="majorEastAsia" w:eastAsiaTheme="majorEastAsia" w:cstheme="majorEastAsia"/>
                <w:color w:val="auto"/>
                <w:sz w:val="24"/>
                <w:highlight w:val="none"/>
              </w:rPr>
            </w:pPr>
          </w:p>
        </w:tc>
        <w:tc>
          <w:tcPr>
            <w:tcW w:w="552" w:type="dxa"/>
          </w:tcPr>
          <w:p w14:paraId="1ED9440E">
            <w:pPr>
              <w:spacing w:line="360" w:lineRule="auto"/>
              <w:rPr>
                <w:rFonts w:hint="eastAsia" w:asciiTheme="majorEastAsia" w:hAnsiTheme="majorEastAsia" w:eastAsiaTheme="majorEastAsia" w:cstheme="majorEastAsia"/>
                <w:color w:val="auto"/>
                <w:sz w:val="24"/>
                <w:highlight w:val="none"/>
              </w:rPr>
            </w:pPr>
          </w:p>
        </w:tc>
        <w:tc>
          <w:tcPr>
            <w:tcW w:w="552" w:type="dxa"/>
          </w:tcPr>
          <w:p w14:paraId="2EF4E0C3">
            <w:pPr>
              <w:spacing w:line="360" w:lineRule="auto"/>
              <w:rPr>
                <w:rFonts w:hint="eastAsia" w:asciiTheme="majorEastAsia" w:hAnsiTheme="majorEastAsia" w:eastAsiaTheme="majorEastAsia" w:cstheme="majorEastAsia"/>
                <w:color w:val="auto"/>
                <w:sz w:val="24"/>
                <w:highlight w:val="none"/>
              </w:rPr>
            </w:pPr>
          </w:p>
        </w:tc>
        <w:tc>
          <w:tcPr>
            <w:tcW w:w="552" w:type="dxa"/>
          </w:tcPr>
          <w:p w14:paraId="40ED6583">
            <w:pPr>
              <w:spacing w:line="360" w:lineRule="auto"/>
              <w:rPr>
                <w:rFonts w:hint="eastAsia" w:asciiTheme="majorEastAsia" w:hAnsiTheme="majorEastAsia" w:eastAsiaTheme="majorEastAsia" w:cstheme="majorEastAsia"/>
                <w:color w:val="auto"/>
                <w:sz w:val="24"/>
                <w:highlight w:val="none"/>
              </w:rPr>
            </w:pPr>
          </w:p>
        </w:tc>
        <w:tc>
          <w:tcPr>
            <w:tcW w:w="553" w:type="dxa"/>
          </w:tcPr>
          <w:p w14:paraId="522BD305">
            <w:pPr>
              <w:spacing w:line="360" w:lineRule="auto"/>
              <w:rPr>
                <w:rFonts w:hint="eastAsia" w:asciiTheme="majorEastAsia" w:hAnsiTheme="majorEastAsia" w:eastAsiaTheme="majorEastAsia" w:cstheme="majorEastAsia"/>
                <w:color w:val="auto"/>
                <w:sz w:val="24"/>
                <w:highlight w:val="none"/>
              </w:rPr>
            </w:pPr>
          </w:p>
        </w:tc>
        <w:tc>
          <w:tcPr>
            <w:tcW w:w="553" w:type="dxa"/>
          </w:tcPr>
          <w:p w14:paraId="0DA34317">
            <w:pPr>
              <w:spacing w:line="360" w:lineRule="auto"/>
              <w:rPr>
                <w:rFonts w:hint="eastAsia" w:asciiTheme="majorEastAsia" w:hAnsiTheme="majorEastAsia" w:eastAsiaTheme="majorEastAsia" w:cstheme="majorEastAsia"/>
                <w:color w:val="auto"/>
                <w:sz w:val="24"/>
                <w:highlight w:val="none"/>
              </w:rPr>
            </w:pPr>
          </w:p>
        </w:tc>
        <w:tc>
          <w:tcPr>
            <w:tcW w:w="553" w:type="dxa"/>
          </w:tcPr>
          <w:p w14:paraId="1D76D3BB">
            <w:pPr>
              <w:spacing w:line="360" w:lineRule="auto"/>
              <w:rPr>
                <w:rFonts w:hint="eastAsia" w:asciiTheme="majorEastAsia" w:hAnsiTheme="majorEastAsia" w:eastAsiaTheme="majorEastAsia" w:cstheme="majorEastAsia"/>
                <w:color w:val="auto"/>
                <w:sz w:val="24"/>
                <w:highlight w:val="none"/>
              </w:rPr>
            </w:pPr>
          </w:p>
        </w:tc>
        <w:tc>
          <w:tcPr>
            <w:tcW w:w="553" w:type="dxa"/>
          </w:tcPr>
          <w:p w14:paraId="3B893BCE">
            <w:pPr>
              <w:spacing w:line="360" w:lineRule="auto"/>
              <w:rPr>
                <w:rFonts w:hint="eastAsia" w:asciiTheme="majorEastAsia" w:hAnsiTheme="majorEastAsia" w:eastAsiaTheme="majorEastAsia" w:cstheme="majorEastAsia"/>
                <w:color w:val="auto"/>
                <w:sz w:val="24"/>
                <w:highlight w:val="none"/>
              </w:rPr>
            </w:pPr>
          </w:p>
        </w:tc>
        <w:tc>
          <w:tcPr>
            <w:tcW w:w="553" w:type="dxa"/>
          </w:tcPr>
          <w:p w14:paraId="0B469655">
            <w:pPr>
              <w:spacing w:line="360" w:lineRule="auto"/>
              <w:rPr>
                <w:rFonts w:hint="eastAsia" w:asciiTheme="majorEastAsia" w:hAnsiTheme="majorEastAsia" w:eastAsiaTheme="majorEastAsia" w:cstheme="majorEastAsia"/>
                <w:color w:val="auto"/>
                <w:sz w:val="24"/>
                <w:highlight w:val="none"/>
              </w:rPr>
            </w:pPr>
          </w:p>
        </w:tc>
        <w:tc>
          <w:tcPr>
            <w:tcW w:w="553" w:type="dxa"/>
          </w:tcPr>
          <w:p w14:paraId="7CFBD65A">
            <w:pPr>
              <w:spacing w:line="360" w:lineRule="auto"/>
              <w:rPr>
                <w:rFonts w:hint="eastAsia" w:asciiTheme="majorEastAsia" w:hAnsiTheme="majorEastAsia" w:eastAsiaTheme="majorEastAsia" w:cstheme="majorEastAsia"/>
                <w:color w:val="auto"/>
                <w:sz w:val="24"/>
                <w:highlight w:val="none"/>
              </w:rPr>
            </w:pPr>
          </w:p>
        </w:tc>
        <w:tc>
          <w:tcPr>
            <w:tcW w:w="553" w:type="dxa"/>
          </w:tcPr>
          <w:p w14:paraId="59498326">
            <w:pPr>
              <w:spacing w:line="360" w:lineRule="auto"/>
              <w:rPr>
                <w:rFonts w:hint="eastAsia" w:asciiTheme="majorEastAsia" w:hAnsiTheme="majorEastAsia" w:eastAsiaTheme="majorEastAsia" w:cstheme="majorEastAsia"/>
                <w:color w:val="auto"/>
                <w:sz w:val="24"/>
                <w:highlight w:val="none"/>
              </w:rPr>
            </w:pPr>
          </w:p>
        </w:tc>
        <w:tc>
          <w:tcPr>
            <w:tcW w:w="553" w:type="dxa"/>
          </w:tcPr>
          <w:p w14:paraId="74D3608E">
            <w:pPr>
              <w:spacing w:line="360" w:lineRule="auto"/>
              <w:rPr>
                <w:rFonts w:hint="eastAsia" w:asciiTheme="majorEastAsia" w:hAnsiTheme="majorEastAsia" w:eastAsiaTheme="majorEastAsia" w:cstheme="majorEastAsia"/>
                <w:color w:val="auto"/>
                <w:sz w:val="24"/>
                <w:highlight w:val="none"/>
              </w:rPr>
            </w:pPr>
          </w:p>
        </w:tc>
        <w:tc>
          <w:tcPr>
            <w:tcW w:w="553" w:type="dxa"/>
          </w:tcPr>
          <w:p w14:paraId="5DD0BF57">
            <w:pPr>
              <w:spacing w:line="360" w:lineRule="auto"/>
              <w:rPr>
                <w:rFonts w:hint="eastAsia" w:asciiTheme="majorEastAsia" w:hAnsiTheme="majorEastAsia" w:eastAsiaTheme="majorEastAsia" w:cstheme="majorEastAsia"/>
                <w:color w:val="auto"/>
                <w:sz w:val="24"/>
                <w:highlight w:val="none"/>
              </w:rPr>
            </w:pPr>
          </w:p>
        </w:tc>
        <w:tc>
          <w:tcPr>
            <w:tcW w:w="553" w:type="dxa"/>
          </w:tcPr>
          <w:p w14:paraId="08C70AA8">
            <w:pPr>
              <w:spacing w:line="360" w:lineRule="auto"/>
              <w:rPr>
                <w:rFonts w:hint="eastAsia" w:asciiTheme="majorEastAsia" w:hAnsiTheme="majorEastAsia" w:eastAsiaTheme="majorEastAsia" w:cstheme="majorEastAsia"/>
                <w:color w:val="auto"/>
                <w:sz w:val="24"/>
                <w:highlight w:val="none"/>
              </w:rPr>
            </w:pPr>
          </w:p>
        </w:tc>
      </w:tr>
    </w:tbl>
    <w:p w14:paraId="0D3443E5">
      <w:pPr>
        <w:autoSpaceDE w:val="0"/>
        <w:autoSpaceDN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24"/>
          <w:highlight w:val="none"/>
        </w:rPr>
        <w:t>注：投标人可按上述时间表的格式自行编制切合实际的具体时间表。</w:t>
      </w:r>
    </w:p>
    <w:p w14:paraId="4DB6B9FC">
      <w:pPr>
        <w:autoSpaceDE w:val="0"/>
        <w:autoSpaceDN w:val="0"/>
        <w:spacing w:line="360" w:lineRule="auto"/>
        <w:ind w:firstLine="4440" w:firstLineChars="18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投标人名称（电子签章）：</w:t>
      </w:r>
    </w:p>
    <w:p w14:paraId="5D59E130">
      <w:pPr>
        <w:autoSpaceDE w:val="0"/>
        <w:autoSpaceDN w:val="0"/>
        <w:spacing w:line="360" w:lineRule="auto"/>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  年  月   日</w:t>
      </w:r>
    </w:p>
    <w:p w14:paraId="56DDEBC3">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6FE130A2">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0887E769">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122855B4">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0F804EDD">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20E9ADA5">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5BC30654">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5EF41E2B">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0C61798F">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p>
    <w:p w14:paraId="66BEA4B6">
      <w:pPr>
        <w:snapToGrid w:val="0"/>
        <w:spacing w:before="165" w:beforeLines="50" w:after="50"/>
        <w:jc w:val="center"/>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t>三、售后服务方案</w:t>
      </w:r>
    </w:p>
    <w:p w14:paraId="5B723518">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（由投标人根据采购需求及招标文件要求编制）</w:t>
      </w:r>
    </w:p>
    <w:p w14:paraId="1E1AA8AB">
      <w:pPr>
        <w:snapToGrid w:val="0"/>
        <w:spacing w:before="165" w:beforeLines="50" w:after="50"/>
        <w:ind w:left="142"/>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1、售后服务承诺</w:t>
      </w:r>
    </w:p>
    <w:p w14:paraId="705B440F">
      <w:pPr>
        <w:autoSpaceDE w:val="0"/>
        <w:autoSpaceDN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附表A:售后服务机构情况表</w:t>
      </w:r>
      <w:r>
        <w:rPr>
          <w:rFonts w:hint="eastAsia" w:asciiTheme="majorEastAsia" w:hAnsiTheme="majorEastAsia" w:eastAsiaTheme="majorEastAsia" w:cstheme="majorEastAsia"/>
          <w:color w:val="auto"/>
          <w:sz w:val="24"/>
          <w:highlight w:val="none"/>
        </w:rPr>
        <w:t>（按此格式自制）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707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3D71444">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2340" w:type="dxa"/>
          </w:tcPr>
          <w:p w14:paraId="0CBB0D0A">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机构名称</w:t>
            </w:r>
          </w:p>
        </w:tc>
        <w:tc>
          <w:tcPr>
            <w:tcW w:w="1095" w:type="dxa"/>
          </w:tcPr>
          <w:p w14:paraId="08BC09A8">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机构性质</w:t>
            </w:r>
          </w:p>
        </w:tc>
        <w:tc>
          <w:tcPr>
            <w:tcW w:w="1245" w:type="dxa"/>
          </w:tcPr>
          <w:p w14:paraId="4375C841">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注册地址</w:t>
            </w:r>
          </w:p>
        </w:tc>
        <w:tc>
          <w:tcPr>
            <w:tcW w:w="1980" w:type="dxa"/>
          </w:tcPr>
          <w:p w14:paraId="599A7617">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服务技术人员数量</w:t>
            </w:r>
          </w:p>
        </w:tc>
        <w:tc>
          <w:tcPr>
            <w:tcW w:w="1260" w:type="dxa"/>
          </w:tcPr>
          <w:p w14:paraId="0C5200D8">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联系电话</w:t>
            </w:r>
          </w:p>
        </w:tc>
      </w:tr>
      <w:tr w14:paraId="2769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73CF87D">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2340" w:type="dxa"/>
          </w:tcPr>
          <w:p w14:paraId="7C24D044">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095" w:type="dxa"/>
          </w:tcPr>
          <w:p w14:paraId="17DEDCB1">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245" w:type="dxa"/>
          </w:tcPr>
          <w:p w14:paraId="30F1603E">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980" w:type="dxa"/>
          </w:tcPr>
          <w:p w14:paraId="5CC1D720">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260" w:type="dxa"/>
          </w:tcPr>
          <w:p w14:paraId="3FD32D15">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7E50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D727634">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2340" w:type="dxa"/>
          </w:tcPr>
          <w:p w14:paraId="4012C2CB">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095" w:type="dxa"/>
          </w:tcPr>
          <w:p w14:paraId="35BC3BCC">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245" w:type="dxa"/>
          </w:tcPr>
          <w:p w14:paraId="123A89ED">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980" w:type="dxa"/>
          </w:tcPr>
          <w:p w14:paraId="305F70D6">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260" w:type="dxa"/>
          </w:tcPr>
          <w:p w14:paraId="02C9A914">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r w14:paraId="400C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B3E12A5">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2340" w:type="dxa"/>
          </w:tcPr>
          <w:p w14:paraId="148ACAE0">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095" w:type="dxa"/>
          </w:tcPr>
          <w:p w14:paraId="32A51787">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245" w:type="dxa"/>
          </w:tcPr>
          <w:p w14:paraId="5B5B56DC">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980" w:type="dxa"/>
          </w:tcPr>
          <w:p w14:paraId="36782E3B">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1260" w:type="dxa"/>
          </w:tcPr>
          <w:p w14:paraId="5C6D06EA">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r>
    </w:tbl>
    <w:p w14:paraId="7A8D895B">
      <w:pPr>
        <w:autoSpaceDE w:val="0"/>
        <w:autoSpaceDN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注：关于项目涉及的所有售后服务机构均在本表注明，包括投标人本单位和符合条件的第三方服务机构；</w:t>
      </w:r>
    </w:p>
    <w:p w14:paraId="107CB2CF">
      <w:pPr>
        <w:autoSpaceDE w:val="0"/>
        <w:autoSpaceDN w:val="0"/>
        <w:spacing w:line="360" w:lineRule="auto"/>
        <w:rPr>
          <w:rFonts w:hint="eastAsia" w:asciiTheme="majorEastAsia" w:hAnsiTheme="majorEastAsia" w:eastAsiaTheme="majorEastAsia" w:cstheme="majorEastAsia"/>
          <w:color w:val="auto"/>
          <w:kern w:val="0"/>
          <w:sz w:val="24"/>
          <w:highlight w:val="none"/>
        </w:rPr>
      </w:pPr>
    </w:p>
    <w:p w14:paraId="35ED8F02">
      <w:pPr>
        <w:autoSpaceDE w:val="0"/>
        <w:autoSpaceDN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附表B：售后服务人员情况表</w:t>
      </w:r>
      <w:r>
        <w:rPr>
          <w:rFonts w:hint="eastAsia" w:asciiTheme="majorEastAsia" w:hAnsiTheme="majorEastAsia" w:eastAsiaTheme="majorEastAsia" w:cstheme="majorEastAsia"/>
          <w:color w:val="auto"/>
          <w:sz w:val="24"/>
          <w:highlight w:val="none"/>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403FFF8">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97F60CE">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p w14:paraId="6FF014BC">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3E89332">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45BAD40">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183C0D0">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EF01DED">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68D5D2E8">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078A3D10">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0CD8EB1">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74A15F1">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7DEDDAD">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EBE2D53">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到达现场时间</w:t>
            </w:r>
          </w:p>
        </w:tc>
      </w:tr>
      <w:tr w14:paraId="32196DF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6C86079F">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F9D00B2">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6C85D4B0">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C905217">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1FD12B">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F21F2C">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F79C0A9">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69E428">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0CE857A">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0552613">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A2DE87F">
            <w:pPr>
              <w:autoSpaceDE w:val="0"/>
              <w:autoSpaceDN w:val="0"/>
              <w:spacing w:line="360" w:lineRule="auto"/>
              <w:rPr>
                <w:rFonts w:hint="eastAsia" w:asciiTheme="majorEastAsia" w:hAnsiTheme="majorEastAsia" w:eastAsiaTheme="majorEastAsia" w:cstheme="majorEastAsia"/>
                <w:color w:val="auto"/>
                <w:sz w:val="24"/>
                <w:highlight w:val="none"/>
              </w:rPr>
            </w:pPr>
          </w:p>
        </w:tc>
      </w:tr>
      <w:tr w14:paraId="3AE545F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E1B58F4">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7775CA2">
            <w:pPr>
              <w:autoSpaceDE w:val="0"/>
              <w:autoSpaceDN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238BFD4">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AD192BC">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63066A6">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C67826">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87ACE9">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D2149B5">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5079E23">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030F82">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CDB3CD9">
            <w:pPr>
              <w:autoSpaceDE w:val="0"/>
              <w:autoSpaceDN w:val="0"/>
              <w:spacing w:line="360" w:lineRule="auto"/>
              <w:rPr>
                <w:rFonts w:hint="eastAsia" w:asciiTheme="majorEastAsia" w:hAnsiTheme="majorEastAsia" w:eastAsiaTheme="majorEastAsia" w:cstheme="majorEastAsia"/>
                <w:color w:val="auto"/>
                <w:sz w:val="24"/>
                <w:highlight w:val="none"/>
              </w:rPr>
            </w:pPr>
          </w:p>
        </w:tc>
      </w:tr>
      <w:tr w14:paraId="4F74FB2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BFB6576">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85A0AD4">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BE3D7B5">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FC7531">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F7D42D5">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471A83">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1F1296">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878F1C4">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EC89CE">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E5DDBFA">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9970DC6">
            <w:pPr>
              <w:autoSpaceDE w:val="0"/>
              <w:autoSpaceDN w:val="0"/>
              <w:spacing w:line="360" w:lineRule="auto"/>
              <w:rPr>
                <w:rFonts w:hint="eastAsia" w:asciiTheme="majorEastAsia" w:hAnsiTheme="majorEastAsia" w:eastAsiaTheme="majorEastAsia" w:cstheme="majorEastAsia"/>
                <w:color w:val="auto"/>
                <w:sz w:val="24"/>
                <w:highlight w:val="none"/>
              </w:rPr>
            </w:pPr>
          </w:p>
        </w:tc>
      </w:tr>
      <w:tr w14:paraId="64112DD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12ED2EB">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C440FAF">
            <w:pPr>
              <w:autoSpaceDE w:val="0"/>
              <w:autoSpaceDN w:val="0"/>
              <w:spacing w:line="360" w:lineRule="auto"/>
              <w:jc w:val="center"/>
              <w:rPr>
                <w:rFonts w:hint="eastAsia" w:asciiTheme="majorEastAsia" w:hAnsiTheme="majorEastAsia" w:eastAsiaTheme="majorEastAsia" w:cstheme="maj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70FA769">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EC36519">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8AA9509">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21B0D93">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1D0A38">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29211E">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AE595BD">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AD50DFE">
            <w:pPr>
              <w:autoSpaceDE w:val="0"/>
              <w:autoSpaceDN w:val="0"/>
              <w:spacing w:line="360" w:lineRule="auto"/>
              <w:rPr>
                <w:rFonts w:hint="eastAsia" w:asciiTheme="majorEastAsia" w:hAnsiTheme="majorEastAsia" w:eastAsiaTheme="majorEastAsia" w:cstheme="maj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E215348">
            <w:pPr>
              <w:autoSpaceDE w:val="0"/>
              <w:autoSpaceDN w:val="0"/>
              <w:spacing w:line="360" w:lineRule="auto"/>
              <w:rPr>
                <w:rFonts w:hint="eastAsia" w:asciiTheme="majorEastAsia" w:hAnsiTheme="majorEastAsia" w:eastAsiaTheme="majorEastAsia" w:cstheme="majorEastAsia"/>
                <w:color w:val="auto"/>
                <w:sz w:val="24"/>
                <w:highlight w:val="none"/>
              </w:rPr>
            </w:pPr>
          </w:p>
        </w:tc>
      </w:tr>
    </w:tbl>
    <w:p w14:paraId="04863874">
      <w:pPr>
        <w:snapToGrid w:val="0"/>
        <w:spacing w:before="165" w:beforeLines="50" w:after="50"/>
        <w:ind w:left="142"/>
        <w:jc w:val="center"/>
        <w:rPr>
          <w:rFonts w:hint="eastAsia" w:asciiTheme="majorEastAsia" w:hAnsiTheme="majorEastAsia" w:eastAsiaTheme="majorEastAsia" w:cstheme="majorEastAsia"/>
          <w:b/>
          <w:color w:val="auto"/>
          <w:sz w:val="32"/>
          <w:szCs w:val="32"/>
          <w:highlight w:val="none"/>
        </w:rPr>
      </w:pPr>
    </w:p>
    <w:p w14:paraId="76975B97">
      <w:pPr>
        <w:snapToGrid w:val="0"/>
        <w:spacing w:before="165" w:beforeLines="50" w:line="360" w:lineRule="auto"/>
        <w:ind w:right="480" w:firstLine="3967" w:firstLineChars="1653"/>
        <w:rPr>
          <w:rFonts w:hint="eastAsia" w:asciiTheme="majorEastAsia" w:hAnsiTheme="majorEastAsia" w:eastAsiaTheme="majorEastAsia" w:cstheme="majorEastAsia"/>
          <w:color w:val="auto"/>
          <w:sz w:val="24"/>
          <w:highlight w:val="none"/>
        </w:rPr>
      </w:pPr>
    </w:p>
    <w:p w14:paraId="67A7EF22">
      <w:pPr>
        <w:snapToGrid w:val="0"/>
        <w:spacing w:line="360" w:lineRule="auto"/>
        <w:ind w:firstLine="5160" w:firstLineChars="21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投标人名称(电子签章)：</w:t>
      </w:r>
    </w:p>
    <w:p w14:paraId="0C5C90E2">
      <w:pPr>
        <w:snapToGrid w:val="0"/>
        <w:spacing w:line="360" w:lineRule="auto"/>
        <w:ind w:firstLine="5160" w:firstLineChars="215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4BA07DA1">
      <w:pPr>
        <w:spacing w:line="360" w:lineRule="auto"/>
        <w:ind w:firstLine="4048" w:firstLineChars="1687"/>
        <w:rPr>
          <w:rFonts w:hint="eastAsia" w:asciiTheme="majorEastAsia" w:hAnsiTheme="majorEastAsia" w:eastAsiaTheme="majorEastAsia" w:cstheme="majorEastAsia"/>
          <w:color w:val="auto"/>
          <w:sz w:val="24"/>
          <w:highlight w:val="none"/>
        </w:rPr>
        <w:sectPr>
          <w:pgSz w:w="11906" w:h="16838"/>
          <w:pgMar w:top="1134" w:right="1134" w:bottom="1134" w:left="1134" w:header="720" w:footer="720" w:gutter="0"/>
          <w:cols w:space="720" w:num="1"/>
          <w:docGrid w:type="lines" w:linePitch="331" w:charSpace="0"/>
        </w:sectPr>
      </w:pPr>
    </w:p>
    <w:p w14:paraId="07832A23">
      <w:pPr>
        <w:snapToGrid w:val="0"/>
        <w:spacing w:before="165" w:beforeLines="50" w:after="50"/>
        <w:ind w:left="142"/>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四、投标人对项目的合理化建议和改进措施</w:t>
      </w:r>
    </w:p>
    <w:p w14:paraId="5A530BB3">
      <w:pPr>
        <w:spacing w:line="360" w:lineRule="auto"/>
        <w:ind w:firstLine="4048" w:firstLineChars="168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（格式自拟）</w:t>
      </w:r>
    </w:p>
    <w:p w14:paraId="68D2B1E8">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 </w:t>
      </w:r>
    </w:p>
    <w:p w14:paraId="1B02B55A">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137D9899">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5BCB9548">
      <w:pPr>
        <w:snapToGrid w:val="0"/>
        <w:spacing w:line="360" w:lineRule="auto"/>
        <w:ind w:firstLine="4935" w:firstLineChars="2350"/>
        <w:rPr>
          <w:rFonts w:hint="eastAsia" w:asciiTheme="majorEastAsia" w:hAnsiTheme="majorEastAsia" w:eastAsiaTheme="majorEastAsia" w:cstheme="majorEastAsia"/>
          <w:color w:val="auto"/>
          <w:szCs w:val="21"/>
          <w:highlight w:val="none"/>
        </w:rPr>
      </w:pPr>
    </w:p>
    <w:p w14:paraId="3E162BE7">
      <w:pPr>
        <w:snapToGrid w:val="0"/>
        <w:spacing w:line="360" w:lineRule="auto"/>
        <w:ind w:firstLine="4935" w:firstLineChars="235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投标人名称(电子签章)：</w:t>
      </w:r>
    </w:p>
    <w:p w14:paraId="2908D74B">
      <w:pPr>
        <w:snapToGrid w:val="0"/>
        <w:spacing w:line="360" w:lineRule="auto"/>
        <w:ind w:firstLine="5160" w:firstLineChars="215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14:paraId="32BF607F">
      <w:pPr>
        <w:autoSpaceDE w:val="0"/>
        <w:autoSpaceDN w:val="0"/>
        <w:spacing w:line="360" w:lineRule="auto"/>
        <w:ind w:firstLine="120"/>
        <w:rPr>
          <w:rFonts w:hint="eastAsia" w:asciiTheme="majorEastAsia" w:hAnsiTheme="majorEastAsia" w:eastAsiaTheme="majorEastAsia" w:cstheme="majorEastAsia"/>
          <w:color w:val="auto"/>
          <w:sz w:val="24"/>
          <w:highlight w:val="none"/>
        </w:rPr>
      </w:pPr>
    </w:p>
    <w:p w14:paraId="335EF35F">
      <w:pPr>
        <w:spacing w:line="360" w:lineRule="auto"/>
        <w:jc w:val="center"/>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五、认为需要的其他技术文件或说明</w:t>
      </w:r>
    </w:p>
    <w:p w14:paraId="285607E7">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（由投标人根据采购需求自行编制）</w:t>
      </w:r>
    </w:p>
    <w:p w14:paraId="68283882">
      <w:pPr>
        <w:spacing w:line="360" w:lineRule="auto"/>
        <w:jc w:val="center"/>
        <w:rPr>
          <w:rFonts w:hint="eastAsia" w:asciiTheme="majorEastAsia" w:hAnsiTheme="majorEastAsia" w:eastAsiaTheme="majorEastAsia" w:cstheme="majorEastAsia"/>
          <w:color w:val="auto"/>
          <w:sz w:val="24"/>
          <w:highlight w:val="none"/>
        </w:rPr>
      </w:pPr>
    </w:p>
    <w:p w14:paraId="2B4A65CF">
      <w:pPr>
        <w:autoSpaceDE w:val="0"/>
        <w:autoSpaceDN w:val="0"/>
        <w:spacing w:line="360" w:lineRule="auto"/>
        <w:ind w:firstLine="4800" w:firstLineChars="20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投标人名称（电子</w:t>
      </w:r>
      <w:r>
        <w:rPr>
          <w:rFonts w:hint="eastAsia" w:asciiTheme="majorEastAsia" w:hAnsiTheme="majorEastAsia" w:eastAsiaTheme="majorEastAsia" w:cstheme="majorEastAsia"/>
          <w:color w:val="auto"/>
          <w:kern w:val="0"/>
          <w:sz w:val="24"/>
          <w:highlight w:val="none"/>
          <w:lang w:val="zh-CN"/>
        </w:rPr>
        <w:t>签章</w:t>
      </w:r>
      <w:r>
        <w:rPr>
          <w:rFonts w:hint="eastAsia" w:asciiTheme="majorEastAsia" w:hAnsiTheme="majorEastAsia" w:eastAsiaTheme="majorEastAsia" w:cstheme="majorEastAsia"/>
          <w:color w:val="auto"/>
          <w:kern w:val="0"/>
          <w:sz w:val="24"/>
          <w:highlight w:val="none"/>
        </w:rPr>
        <w:t xml:space="preserve">）：                       </w:t>
      </w:r>
    </w:p>
    <w:p w14:paraId="63695819">
      <w:pPr>
        <w:autoSpaceDE w:val="0"/>
        <w:autoSpaceDN w:val="0"/>
        <w:spacing w:line="360" w:lineRule="auto"/>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  年  月   日</w:t>
      </w:r>
    </w:p>
    <w:p w14:paraId="306D78C6">
      <w:pPr>
        <w:widowControl/>
        <w:jc w:val="left"/>
        <w:rPr>
          <w:rFonts w:hint="eastAsia" w:asciiTheme="majorEastAsia" w:hAnsiTheme="majorEastAsia" w:eastAsiaTheme="majorEastAsia" w:cstheme="majorEastAsia"/>
          <w:b/>
          <w:bCs/>
          <w:color w:val="auto"/>
          <w:sz w:val="24"/>
          <w:highlight w:val="none"/>
        </w:rPr>
        <w:sectPr>
          <w:pgSz w:w="11906" w:h="16838"/>
          <w:pgMar w:top="1134" w:right="1134" w:bottom="1134" w:left="1134" w:header="720" w:footer="720" w:gutter="0"/>
          <w:cols w:space="720" w:num="1"/>
          <w:docGrid w:type="lines" w:linePitch="331" w:charSpace="0"/>
        </w:sectPr>
      </w:pPr>
    </w:p>
    <w:p w14:paraId="3DE53B8D">
      <w:pPr>
        <w:pStyle w:val="12"/>
        <w:jc w:val="center"/>
        <w:outlineLvl w:val="1"/>
        <w:rPr>
          <w:rFonts w:hint="eastAsia" w:asciiTheme="minorEastAsia" w:hAnsiTheme="minorEastAsia" w:eastAsiaTheme="minorEastAsia" w:cstheme="minorEastAsia"/>
          <w:b/>
          <w:bCs/>
          <w:color w:val="auto"/>
          <w:sz w:val="28"/>
          <w:szCs w:val="28"/>
          <w:highlight w:val="none"/>
        </w:rPr>
      </w:pPr>
      <w:bookmarkStart w:id="309" w:name="_Toc13435"/>
      <w:r>
        <w:rPr>
          <w:rFonts w:hint="eastAsia" w:asciiTheme="minorEastAsia" w:hAnsiTheme="minorEastAsia" w:eastAsiaTheme="minorEastAsia" w:cstheme="minorEastAsia"/>
          <w:b/>
          <w:bCs/>
          <w:color w:val="auto"/>
          <w:sz w:val="28"/>
          <w:szCs w:val="28"/>
          <w:highlight w:val="none"/>
        </w:rPr>
        <w:t>第五节 报价文件格式</w:t>
      </w:r>
      <w:bookmarkEnd w:id="309"/>
    </w:p>
    <w:p w14:paraId="16882374">
      <w:pPr>
        <w:snapToGrid w:val="0"/>
        <w:spacing w:before="165" w:beforeLines="50" w:after="50" w:line="400" w:lineRule="exact"/>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61150DA8">
      <w:pPr>
        <w:snapToGrid w:val="0"/>
        <w:spacing w:before="165" w:beforeLines="50" w:after="50" w:line="400" w:lineRule="exact"/>
        <w:jc w:val="center"/>
        <w:rPr>
          <w:rFonts w:hint="eastAsia" w:asciiTheme="minorEastAsia" w:hAnsiTheme="minorEastAsia" w:eastAsiaTheme="minorEastAsia" w:cstheme="minorEastAsia"/>
          <w:bCs/>
          <w:color w:val="auto"/>
          <w:sz w:val="24"/>
          <w:szCs w:val="20"/>
          <w:highlight w:val="none"/>
        </w:rPr>
      </w:pPr>
    </w:p>
    <w:p w14:paraId="3644036B">
      <w:pPr>
        <w:snapToGrid w:val="0"/>
        <w:spacing w:before="165" w:beforeLines="50" w:after="50" w:line="40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报价文件（封面）</w:t>
      </w:r>
    </w:p>
    <w:p w14:paraId="3AD62599">
      <w:pPr>
        <w:snapToGrid w:val="0"/>
        <w:spacing w:before="165" w:beforeLines="50" w:after="50" w:line="400" w:lineRule="exact"/>
        <w:rPr>
          <w:rFonts w:hint="eastAsia" w:asciiTheme="minorEastAsia" w:hAnsiTheme="minorEastAsia" w:eastAsiaTheme="minorEastAsia" w:cstheme="minorEastAsia"/>
          <w:bCs/>
          <w:color w:val="auto"/>
          <w:sz w:val="24"/>
          <w:szCs w:val="20"/>
          <w:highlight w:val="none"/>
        </w:rPr>
      </w:pPr>
    </w:p>
    <w:p w14:paraId="75D61AB8">
      <w:pPr>
        <w:snapToGrid w:val="0"/>
        <w:spacing w:before="165" w:beforeLines="50" w:after="50" w:line="400" w:lineRule="exact"/>
        <w:rPr>
          <w:rFonts w:hint="eastAsia" w:asciiTheme="minorEastAsia" w:hAnsiTheme="minorEastAsia" w:eastAsiaTheme="minorEastAsia" w:cstheme="minorEastAsia"/>
          <w:bCs/>
          <w:color w:val="auto"/>
          <w:sz w:val="24"/>
          <w:szCs w:val="20"/>
          <w:highlight w:val="none"/>
        </w:rPr>
      </w:pPr>
    </w:p>
    <w:p w14:paraId="1F3FE5B4">
      <w:pPr>
        <w:snapToGrid w:val="0"/>
        <w:spacing w:before="165" w:beforeLines="50" w:after="50" w:line="400" w:lineRule="exact"/>
        <w:rPr>
          <w:rFonts w:hint="eastAsia" w:asciiTheme="minorEastAsia" w:hAnsiTheme="minorEastAsia" w:eastAsiaTheme="minorEastAsia" w:cstheme="minorEastAsia"/>
          <w:bCs/>
          <w:color w:val="auto"/>
          <w:sz w:val="24"/>
          <w:szCs w:val="20"/>
          <w:highlight w:val="none"/>
        </w:rPr>
      </w:pPr>
    </w:p>
    <w:p w14:paraId="0F1C17BF">
      <w:pPr>
        <w:snapToGrid w:val="0"/>
        <w:spacing w:before="165" w:beforeLines="50" w:after="50" w:line="400" w:lineRule="exact"/>
        <w:rPr>
          <w:rFonts w:hint="eastAsia" w:asciiTheme="minorEastAsia" w:hAnsiTheme="minorEastAsia" w:eastAsiaTheme="minorEastAsia" w:cstheme="minorEastAsia"/>
          <w:bCs/>
          <w:color w:val="auto"/>
          <w:sz w:val="24"/>
          <w:szCs w:val="20"/>
          <w:highlight w:val="none"/>
        </w:rPr>
      </w:pPr>
    </w:p>
    <w:p w14:paraId="40BE2085">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 2026-2027年度横州市水库移民项目全过程工程咨询项目</w:t>
      </w:r>
    </w:p>
    <w:p w14:paraId="19BB499E">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43E541DA">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 NNZC2025-G3-270119-JGJD</w:t>
      </w:r>
    </w:p>
    <w:p w14:paraId="6A859306">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012630B7">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3AF5FE05">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2A344B92">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070D4891">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p>
    <w:p w14:paraId="3413AE71">
      <w:pPr>
        <w:snapToGrid w:val="0"/>
        <w:spacing w:before="165" w:beforeLines="50" w:after="50" w:line="400" w:lineRule="exact"/>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043C4A1F">
      <w:pPr>
        <w:pStyle w:val="8"/>
        <w:snapToGrid w:val="0"/>
        <w:spacing w:before="50" w:after="50" w:line="400" w:lineRule="exact"/>
        <w:ind w:firstLine="960" w:firstLineChars="400"/>
        <w:rPr>
          <w:rFonts w:hint="eastAsia" w:asciiTheme="minorEastAsia" w:hAnsiTheme="minorEastAsia" w:eastAsiaTheme="minorEastAsia" w:cstheme="minorEastAsia"/>
          <w:bCs/>
          <w:color w:val="auto"/>
          <w:sz w:val="24"/>
          <w:szCs w:val="24"/>
          <w:highlight w:val="none"/>
        </w:rPr>
      </w:pPr>
    </w:p>
    <w:p w14:paraId="47F4CA2B">
      <w:pPr>
        <w:snapToGrid w:val="0"/>
        <w:spacing w:before="165" w:beforeLines="50" w:after="50"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3E516A93">
      <w:pPr>
        <w:widowControl/>
        <w:jc w:val="left"/>
        <w:rPr>
          <w:rFonts w:hint="eastAsia" w:asciiTheme="minorEastAsia" w:hAnsiTheme="minorEastAsia" w:eastAsiaTheme="minorEastAsia" w:cstheme="minorEastAsia"/>
          <w:color w:val="auto"/>
          <w:sz w:val="24"/>
          <w:highlight w:val="none"/>
        </w:rPr>
        <w:sectPr>
          <w:pgSz w:w="11906" w:h="16838"/>
          <w:pgMar w:top="1134" w:right="1134" w:bottom="1134" w:left="1134" w:header="720" w:footer="720" w:gutter="0"/>
          <w:cols w:space="720" w:num="1"/>
          <w:docGrid w:type="lines" w:linePitch="331" w:charSpace="0"/>
        </w:sectPr>
      </w:pPr>
    </w:p>
    <w:p w14:paraId="30C9D723">
      <w:pPr>
        <w:rPr>
          <w:rFonts w:hint="eastAsia" w:asciiTheme="minorEastAsia" w:hAnsiTheme="minorEastAsia" w:eastAsiaTheme="minorEastAsia" w:cstheme="minorEastAsia"/>
          <w:color w:val="auto"/>
          <w:highlight w:val="none"/>
        </w:rPr>
      </w:pPr>
    </w:p>
    <w:p w14:paraId="6C3227F0">
      <w:pPr>
        <w:snapToGrid w:val="0"/>
        <w:spacing w:before="165" w:beforeLines="50" w:after="50" w:line="40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报价文件目录</w:t>
      </w:r>
    </w:p>
    <w:p w14:paraId="4667F2F1">
      <w:pPr>
        <w:rPr>
          <w:rFonts w:hint="eastAsia" w:asciiTheme="minorEastAsia" w:hAnsiTheme="minorEastAsia" w:eastAsiaTheme="minorEastAsia" w:cstheme="minorEastAsia"/>
          <w:color w:val="auto"/>
          <w:highlight w:val="none"/>
        </w:rPr>
      </w:pPr>
    </w:p>
    <w:p w14:paraId="304D9CAB">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一、投标函………………………………………………………（页码）</w:t>
      </w:r>
    </w:p>
    <w:p w14:paraId="0A08368D">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二、开标一览表…………………………………………………（页码）</w:t>
      </w:r>
    </w:p>
    <w:p w14:paraId="18BA52A2">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三、中小企业声明函……………………………………………（页码）</w:t>
      </w:r>
    </w:p>
    <w:p w14:paraId="24683A68">
      <w:pPr>
        <w:pStyle w:val="10"/>
        <w:rPr>
          <w:color w:val="auto"/>
          <w:highlight w:val="none"/>
        </w:rPr>
        <w:sectPr>
          <w:pgSz w:w="11906" w:h="16838"/>
          <w:pgMar w:top="1134" w:right="1134" w:bottom="1134" w:left="1134" w:header="720" w:footer="720" w:gutter="0"/>
          <w:cols w:space="720" w:num="1"/>
          <w:docGrid w:type="lines" w:linePitch="331" w:charSpace="0"/>
        </w:sectPr>
      </w:pPr>
    </w:p>
    <w:p w14:paraId="1D13545E">
      <w:pPr>
        <w:pStyle w:val="12"/>
        <w:spacing w:line="50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一、投标函</w:t>
      </w:r>
    </w:p>
    <w:p w14:paraId="31C2916F">
      <w:pPr>
        <w:pStyle w:val="12"/>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bookmarkStart w:id="310" w:name="PO_3000001866_PM031_4"/>
      <w:r>
        <w:rPr>
          <w:rFonts w:hint="eastAsia" w:ascii="Times New Roman" w:hAnsi="Times New Roman"/>
          <w:color w:val="auto"/>
          <w:highlight w:val="none"/>
          <w:u w:val="single"/>
        </w:rPr>
        <w:t>广西建设工程机电设备招标中心有限公司</w:t>
      </w:r>
      <w:bookmarkEnd w:id="310"/>
    </w:p>
    <w:p w14:paraId="436264C6">
      <w:pPr>
        <w:pStyle w:val="12"/>
        <w:spacing w:line="440" w:lineRule="exact"/>
        <w:ind w:firstLine="420" w:firstLineChars="200"/>
        <w:rPr>
          <w:color w:val="auto"/>
          <w:highlight w:val="none"/>
        </w:rPr>
      </w:pPr>
      <w:r>
        <w:rPr>
          <w:rFonts w:hint="eastAsia"/>
          <w:color w:val="auto"/>
          <w:highlight w:val="none"/>
        </w:rPr>
        <w:t>我方已仔细阅读了贵方组织的</w:t>
      </w:r>
      <w:r>
        <w:rPr>
          <w:rFonts w:hint="eastAsia" w:ascii="Times New Roman" w:hAnsi="Times New Roman"/>
          <w:color w:val="auto"/>
          <w:highlight w:val="none"/>
          <w:u w:val="single"/>
        </w:rPr>
        <w:t>2026-2027年度横州市水库移民项目全过程工程咨询项目</w:t>
      </w:r>
      <w:r>
        <w:rPr>
          <w:rFonts w:ascii="Times New Roman" w:hAnsi="Times New Roman"/>
          <w:color w:val="auto"/>
          <w:highlight w:val="none"/>
          <w:u w:val="single"/>
        </w:rPr>
        <w:t xml:space="preserve"> </w:t>
      </w:r>
      <w:r>
        <w:rPr>
          <w:rFonts w:hint="eastAsia"/>
          <w:color w:val="auto"/>
          <w:highlight w:val="none"/>
        </w:rPr>
        <w:t>（项目编号：NNZC2025-G3-270119-JGJD）的招标文件的全部内容，授权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0FB3A483">
      <w:pPr>
        <w:pStyle w:val="12"/>
        <w:spacing w:line="440" w:lineRule="exact"/>
        <w:ind w:firstLine="420" w:firstLineChars="200"/>
        <w:rPr>
          <w:color w:val="auto"/>
          <w:highlight w:val="none"/>
        </w:rPr>
      </w:pPr>
      <w:r>
        <w:rPr>
          <w:rFonts w:hint="eastAsia"/>
          <w:color w:val="auto"/>
          <w:highlight w:val="none"/>
        </w:rPr>
        <w:t>一、报价文件电子版一份（包含按投标人须知前附表要求提交的全部文件）；</w:t>
      </w:r>
    </w:p>
    <w:p w14:paraId="4BB2C992">
      <w:pPr>
        <w:pStyle w:val="12"/>
        <w:spacing w:line="440" w:lineRule="exact"/>
        <w:ind w:firstLine="482"/>
        <w:rPr>
          <w:color w:val="auto"/>
          <w:highlight w:val="none"/>
        </w:rPr>
      </w:pPr>
      <w:r>
        <w:rPr>
          <w:rFonts w:hint="eastAsia"/>
          <w:color w:val="auto"/>
          <w:highlight w:val="none"/>
        </w:rPr>
        <w:t>二、资格文件电子版一份（包含按投标人须知前附表要求提交的全部文件）；</w:t>
      </w:r>
    </w:p>
    <w:p w14:paraId="106AA627">
      <w:pPr>
        <w:pStyle w:val="12"/>
        <w:spacing w:line="44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5700C8D2">
      <w:pPr>
        <w:pStyle w:val="12"/>
        <w:spacing w:line="440" w:lineRule="exact"/>
        <w:ind w:firstLine="482"/>
        <w:rPr>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4A6692D1">
      <w:pPr>
        <w:pStyle w:val="12"/>
        <w:spacing w:line="440" w:lineRule="exact"/>
        <w:ind w:firstLine="482"/>
        <w:rPr>
          <w:rFonts w:ascii="Times New Roman" w:hAnsi="Times New Roman"/>
          <w:color w:val="auto"/>
          <w:highlight w:val="none"/>
        </w:rPr>
      </w:pPr>
      <w:r>
        <w:rPr>
          <w:rFonts w:hint="eastAsia"/>
          <w:color w:val="auto"/>
          <w:highlight w:val="none"/>
        </w:rPr>
        <w:t>据此函，签字人兹宣布：</w:t>
      </w:r>
    </w:p>
    <w:p w14:paraId="02589D43">
      <w:pPr>
        <w:pStyle w:val="12"/>
        <w:spacing w:line="440" w:lineRule="exact"/>
        <w:ind w:firstLine="420" w:firstLineChars="200"/>
        <w:rPr>
          <w:rFonts w:ascii="Times New Roman" w:hAnsi="Times New Roman"/>
          <w:color w:val="auto"/>
          <w:highlight w:val="none"/>
        </w:rPr>
      </w:pPr>
      <w:r>
        <w:rPr>
          <w:rFonts w:hint="eastAsia"/>
          <w:color w:val="auto"/>
          <w:highlight w:val="none"/>
        </w:rPr>
        <w:t>1、我方愿意以投标下浮系数</w:t>
      </w:r>
      <w:r>
        <w:rPr>
          <w:rFonts w:hint="eastAsia"/>
          <w:color w:val="auto"/>
          <w:highlight w:val="none"/>
          <w:u w:val="single"/>
        </w:rPr>
        <w:t xml:space="preserve">              </w:t>
      </w:r>
      <w:r>
        <w:rPr>
          <w:rFonts w:hint="eastAsia"/>
          <w:color w:val="auto"/>
          <w:highlight w:val="none"/>
        </w:rPr>
        <w:t>%的投标总报价，</w:t>
      </w:r>
      <w:r>
        <w:rPr>
          <w:rFonts w:hint="eastAsia" w:hAnsi="宋体" w:cs="宋体"/>
          <w:bCs/>
          <w:color w:val="auto"/>
          <w:szCs w:val="21"/>
          <w:highlight w:val="none"/>
        </w:rPr>
        <w:t>服务期限</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“服务需求”中的相应的采购内容。</w:t>
      </w:r>
    </w:p>
    <w:p w14:paraId="46B3F158">
      <w:pPr>
        <w:pStyle w:val="12"/>
        <w:spacing w:line="360" w:lineRule="exact"/>
        <w:ind w:firstLine="420" w:firstLineChars="200"/>
        <w:rPr>
          <w:color w:val="auto"/>
          <w:highlight w:val="none"/>
          <w:u w:val="single"/>
        </w:rPr>
      </w:pPr>
      <w:r>
        <w:rPr>
          <w:rFonts w:hint="eastAsia"/>
          <w:color w:val="auto"/>
          <w:highlight w:val="none"/>
        </w:rPr>
        <w:t>2、我方同意自本项目招标文件“第三章 投标人须知”第一节 投标人须知前附表 第21.2项规定的投标截止时间（开标时间）起遵循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2BF31512">
      <w:pPr>
        <w:pStyle w:val="12"/>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14:paraId="45E4D28F">
      <w:pPr>
        <w:pStyle w:val="12"/>
        <w:spacing w:line="440" w:lineRule="exact"/>
        <w:ind w:firstLine="482"/>
        <w:rPr>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14:paraId="5F1A7EFE">
      <w:pPr>
        <w:pStyle w:val="12"/>
        <w:spacing w:line="440" w:lineRule="exact"/>
        <w:ind w:firstLine="420" w:firstLineChars="200"/>
        <w:rPr>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29D179DB">
      <w:pPr>
        <w:pStyle w:val="12"/>
        <w:spacing w:line="440" w:lineRule="exact"/>
        <w:ind w:firstLine="420" w:firstLineChars="200"/>
        <w:rPr>
          <w:color w:val="auto"/>
          <w:highlight w:val="none"/>
        </w:rPr>
      </w:pPr>
      <w:r>
        <w:rPr>
          <w:rFonts w:hint="eastAsia"/>
          <w:color w:val="auto"/>
          <w:highlight w:val="none"/>
        </w:rPr>
        <w:t>6、我方已详细审核招标文件，我方知道必须放弃提出含糊不清或误解问题的权利。</w:t>
      </w:r>
    </w:p>
    <w:p w14:paraId="675F98F7">
      <w:pPr>
        <w:pStyle w:val="12"/>
        <w:spacing w:line="440" w:lineRule="exact"/>
        <w:ind w:firstLine="420" w:firstLineChars="200"/>
        <w:rPr>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14:paraId="365B0C70">
      <w:pPr>
        <w:pStyle w:val="12"/>
        <w:spacing w:line="440" w:lineRule="exact"/>
        <w:ind w:firstLine="420" w:firstLineChars="200"/>
        <w:rPr>
          <w:color w:val="auto"/>
          <w:highlight w:val="none"/>
        </w:rPr>
      </w:pPr>
      <w:r>
        <w:rPr>
          <w:rFonts w:hint="eastAsia"/>
          <w:color w:val="auto"/>
          <w:highlight w:val="none"/>
        </w:rPr>
        <w:t>8、我方完全理解贵方不一定接受投标报价最低的投标人为中标供应商的行为。</w:t>
      </w:r>
    </w:p>
    <w:p w14:paraId="6CF40EF3">
      <w:pPr>
        <w:pStyle w:val="12"/>
        <w:spacing w:line="440" w:lineRule="exact"/>
        <w:ind w:firstLine="420" w:firstLineChars="200"/>
        <w:rPr>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0059A816">
      <w:pPr>
        <w:pStyle w:val="12"/>
        <w:numPr>
          <w:ilvl w:val="0"/>
          <w:numId w:val="4"/>
        </w:numPr>
        <w:spacing w:line="440" w:lineRule="exact"/>
        <w:rPr>
          <w:rFonts w:hint="eastAsia" w:hAnsi="宋体"/>
          <w:color w:val="auto"/>
          <w:highlight w:val="none"/>
        </w:rPr>
      </w:pPr>
      <w:r>
        <w:rPr>
          <w:rFonts w:hint="eastAsia" w:hAnsi="宋体"/>
          <w:color w:val="auto"/>
          <w:highlight w:val="none"/>
        </w:rPr>
        <w:t>提供虚假材料谋取中标、成交的；</w:t>
      </w:r>
    </w:p>
    <w:p w14:paraId="79DDD1A5">
      <w:pPr>
        <w:pStyle w:val="12"/>
        <w:numPr>
          <w:ilvl w:val="0"/>
          <w:numId w:val="4"/>
        </w:numPr>
        <w:spacing w:line="440" w:lineRule="exact"/>
        <w:rPr>
          <w:rFonts w:hint="eastAsia" w:hAnsi="宋体"/>
          <w:color w:val="auto"/>
          <w:highlight w:val="none"/>
        </w:rPr>
      </w:pPr>
      <w:r>
        <w:rPr>
          <w:rFonts w:hint="eastAsia" w:hAnsi="宋体"/>
          <w:color w:val="auto"/>
          <w:highlight w:val="none"/>
        </w:rPr>
        <w:t>采取不正当手段诋毁、排挤其他供应商的；</w:t>
      </w:r>
    </w:p>
    <w:p w14:paraId="1D1FF969">
      <w:pPr>
        <w:pStyle w:val="12"/>
        <w:numPr>
          <w:ilvl w:val="0"/>
          <w:numId w:val="4"/>
        </w:numPr>
        <w:spacing w:line="440" w:lineRule="exact"/>
        <w:rPr>
          <w:color w:val="auto"/>
          <w:highlight w:val="none"/>
        </w:rPr>
      </w:pPr>
      <w:r>
        <w:rPr>
          <w:rFonts w:hint="eastAsia" w:hAnsi="宋体"/>
          <w:color w:val="auto"/>
          <w:highlight w:val="none"/>
        </w:rPr>
        <w:t>与采购人、其他供应商或者采购代理机构恶意串通的；</w:t>
      </w:r>
    </w:p>
    <w:p w14:paraId="244DD9B9">
      <w:pPr>
        <w:pStyle w:val="12"/>
        <w:numPr>
          <w:ilvl w:val="0"/>
          <w:numId w:val="4"/>
        </w:numPr>
        <w:spacing w:line="440" w:lineRule="exact"/>
        <w:rPr>
          <w:color w:val="auto"/>
          <w:highlight w:val="none"/>
        </w:rPr>
      </w:pPr>
      <w:r>
        <w:rPr>
          <w:rFonts w:hint="eastAsia" w:hAnsi="宋体"/>
          <w:color w:val="auto"/>
          <w:highlight w:val="none"/>
        </w:rPr>
        <w:t>向采购人、采购代理机构行贿或者提供其他不正当利益的；</w:t>
      </w:r>
    </w:p>
    <w:p w14:paraId="12D6B4BB">
      <w:pPr>
        <w:pStyle w:val="12"/>
        <w:numPr>
          <w:ilvl w:val="0"/>
          <w:numId w:val="4"/>
        </w:numPr>
        <w:spacing w:line="440" w:lineRule="exact"/>
        <w:rPr>
          <w:color w:val="auto"/>
          <w:highlight w:val="none"/>
        </w:rPr>
      </w:pPr>
      <w:r>
        <w:rPr>
          <w:rFonts w:hint="eastAsia" w:hAnsi="宋体"/>
          <w:color w:val="auto"/>
          <w:highlight w:val="none"/>
        </w:rPr>
        <w:t>在招标采购过程中与采购人进行协商谈判的；</w:t>
      </w:r>
    </w:p>
    <w:p w14:paraId="04C3C0D7">
      <w:pPr>
        <w:pStyle w:val="12"/>
        <w:numPr>
          <w:ilvl w:val="0"/>
          <w:numId w:val="4"/>
        </w:numPr>
        <w:spacing w:line="440" w:lineRule="exact"/>
        <w:rPr>
          <w:color w:val="auto"/>
          <w:highlight w:val="none"/>
        </w:rPr>
      </w:pPr>
      <w:r>
        <w:rPr>
          <w:rFonts w:hint="eastAsia" w:hAnsi="宋体"/>
          <w:color w:val="auto"/>
          <w:highlight w:val="none"/>
        </w:rPr>
        <w:t>拒绝有关部门监督检查或提供虚假情况的。</w:t>
      </w:r>
    </w:p>
    <w:p w14:paraId="29E28141">
      <w:pPr>
        <w:pStyle w:val="12"/>
        <w:spacing w:line="440" w:lineRule="exact"/>
        <w:ind w:left="420"/>
        <w:rPr>
          <w:color w:val="auto"/>
          <w:highlight w:val="none"/>
        </w:rPr>
      </w:pPr>
      <w:r>
        <w:rPr>
          <w:rFonts w:hint="eastAsia"/>
          <w:color w:val="auto"/>
          <w:highlight w:val="none"/>
        </w:rPr>
        <w:t>10、我方及由本人担任法定代表人的其他机构最近三年内被处罚的违法行为有：</w:t>
      </w:r>
      <w:r>
        <w:rPr>
          <w:rFonts w:hint="eastAsia"/>
          <w:color w:val="auto"/>
          <w:highlight w:val="none"/>
          <w:u w:val="single"/>
        </w:rPr>
        <w:t xml:space="preserve">                                        </w:t>
      </w:r>
    </w:p>
    <w:p w14:paraId="44F25A1F">
      <w:pPr>
        <w:pStyle w:val="12"/>
        <w:spacing w:line="440" w:lineRule="exact"/>
        <w:ind w:left="420"/>
        <w:rPr>
          <w:color w:val="auto"/>
          <w:highlight w:val="none"/>
        </w:rPr>
      </w:pPr>
      <w:r>
        <w:rPr>
          <w:rFonts w:hint="eastAsia"/>
          <w:color w:val="auto"/>
          <w:highlight w:val="none"/>
          <w:u w:val="single"/>
        </w:rPr>
        <w:t xml:space="preserve">                                                                                                                        </w:t>
      </w:r>
    </w:p>
    <w:p w14:paraId="66207382">
      <w:pPr>
        <w:pStyle w:val="12"/>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4CBCAB4C">
      <w:pPr>
        <w:pStyle w:val="12"/>
        <w:spacing w:line="360" w:lineRule="auto"/>
        <w:ind w:firstLine="420"/>
        <w:rPr>
          <w:color w:val="auto"/>
          <w:highlight w:val="none"/>
        </w:rPr>
      </w:pPr>
      <w:r>
        <w:rPr>
          <w:rFonts w:hint="eastAsia"/>
          <w:color w:val="auto"/>
          <w:highlight w:val="none"/>
        </w:rPr>
        <w:t>12、与本投标有关的一切正式往来信函请寄：</w:t>
      </w:r>
    </w:p>
    <w:p w14:paraId="52F91886">
      <w:pPr>
        <w:pStyle w:val="12"/>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2C06F694">
      <w:pPr>
        <w:pStyle w:val="12"/>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0A6F4C5C">
      <w:pPr>
        <w:pStyle w:val="12"/>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65478460">
      <w:pPr>
        <w:pStyle w:val="12"/>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532224EA">
      <w:pPr>
        <w:pStyle w:val="12"/>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0C0696BA">
      <w:pPr>
        <w:pStyle w:val="12"/>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38C108DF">
      <w:pPr>
        <w:pStyle w:val="12"/>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31F2D302">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925A938">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D9E46AA">
      <w:pPr>
        <w:widowControl/>
        <w:spacing w:line="360" w:lineRule="auto"/>
        <w:jc w:val="left"/>
        <w:rPr>
          <w:rFonts w:hint="eastAsia" w:asciiTheme="minorEastAsia" w:hAnsiTheme="minorEastAsia" w:eastAsiaTheme="minorEastAsia" w:cstheme="minorEastAsia"/>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2C090B06">
      <w:pPr>
        <w:pStyle w:val="12"/>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0"/>
          <w:highlight w:val="none"/>
        </w:rPr>
        <w:t>二、</w:t>
      </w:r>
      <w:r>
        <w:rPr>
          <w:rFonts w:hint="eastAsia" w:asciiTheme="minorEastAsia" w:hAnsiTheme="minorEastAsia" w:eastAsiaTheme="minorEastAsia" w:cstheme="minorEastAsia"/>
          <w:b/>
          <w:color w:val="auto"/>
          <w:sz w:val="30"/>
          <w:szCs w:val="30"/>
          <w:highlight w:val="none"/>
        </w:rPr>
        <w:t>开标一览表</w:t>
      </w:r>
      <w:r>
        <w:rPr>
          <w:rFonts w:hint="eastAsia" w:asciiTheme="minorEastAsia" w:hAnsiTheme="minorEastAsia" w:eastAsiaTheme="minorEastAsia" w:cstheme="minorEastAsia"/>
          <w:b/>
          <w:color w:val="auto"/>
          <w:kern w:val="0"/>
          <w:sz w:val="24"/>
          <w:highlight w:val="none"/>
          <w:lang w:val="zh-CN"/>
        </w:rPr>
        <w:t>(单位均为人民币元)</w:t>
      </w:r>
    </w:p>
    <w:p w14:paraId="202EFF11">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2026-2027年度横州市水库移民项目全过程工程咨询项目</w:t>
      </w:r>
      <w:r>
        <w:rPr>
          <w:rFonts w:ascii="宋体" w:hAnsi="宋体"/>
          <w:color w:val="auto"/>
          <w:sz w:val="24"/>
          <w:highlight w:val="none"/>
        </w:rPr>
        <w:t xml:space="preserve">  </w:t>
      </w:r>
    </w:p>
    <w:p w14:paraId="5963365A">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NNZC2025-G3-270119-JGJD </w:t>
      </w:r>
      <w:r>
        <w:rPr>
          <w:rFonts w:hint="eastAsia" w:ascii="宋体" w:hAnsi="宋体"/>
          <w:color w:val="auto"/>
          <w:sz w:val="24"/>
          <w:highlight w:val="none"/>
        </w:rPr>
        <w:t xml:space="preserve"> </w:t>
      </w:r>
    </w:p>
    <w:p w14:paraId="72353099">
      <w:pPr>
        <w:snapToGrid w:val="0"/>
        <w:spacing w:before="50" w:after="50" w:line="360" w:lineRule="auto"/>
        <w:rPr>
          <w:b/>
          <w:color w:val="auto"/>
          <w:sz w:val="32"/>
          <w:highlight w:val="none"/>
        </w:rPr>
      </w:pPr>
      <w:r>
        <w:rPr>
          <w:rFonts w:hint="eastAsia" w:hAnsi="宋体"/>
          <w:color w:val="auto"/>
          <w:sz w:val="24"/>
          <w:highlight w:val="none"/>
        </w:rPr>
        <w:t>投标人名称：</w:t>
      </w:r>
      <w:r>
        <w:rPr>
          <w:rFonts w:hint="eastAsia" w:hAnsi="宋体"/>
          <w:color w:val="auto"/>
          <w:sz w:val="24"/>
          <w:highlight w:val="none"/>
          <w:u w:val="single"/>
        </w:rPr>
        <w:t xml:space="preserve">                     </w:t>
      </w:r>
      <w:r>
        <w:rPr>
          <w:rFonts w:hint="eastAsia" w:hAnsi="宋体"/>
          <w:color w:val="auto"/>
          <w:sz w:val="24"/>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53"/>
        <w:gridCol w:w="2053"/>
        <w:gridCol w:w="1073"/>
        <w:gridCol w:w="1253"/>
        <w:gridCol w:w="1507"/>
        <w:gridCol w:w="1903"/>
      </w:tblGrid>
      <w:tr w14:paraId="3B68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15" w:type="dxa"/>
            <w:tcBorders>
              <w:top w:val="single" w:color="auto" w:sz="4" w:space="0"/>
              <w:left w:val="single" w:color="auto" w:sz="4" w:space="0"/>
              <w:bottom w:val="single" w:color="auto" w:sz="4" w:space="0"/>
              <w:right w:val="single" w:color="auto" w:sz="4" w:space="0"/>
            </w:tcBorders>
            <w:vAlign w:val="center"/>
          </w:tcPr>
          <w:p w14:paraId="3BF7DB5A">
            <w:pPr>
              <w:rPr>
                <w:rFonts w:hint="eastAsia" w:ascii="宋体" w:hAnsi="宋体"/>
                <w:color w:val="auto"/>
                <w:szCs w:val="22"/>
                <w:highlight w:val="none"/>
              </w:rPr>
            </w:pPr>
            <w:r>
              <w:rPr>
                <w:rFonts w:hint="eastAsia" w:ascii="宋体" w:hAnsi="宋体"/>
                <w:color w:val="auto"/>
                <w:szCs w:val="22"/>
                <w:highlight w:val="none"/>
              </w:rPr>
              <w:t>序号</w:t>
            </w:r>
          </w:p>
        </w:tc>
        <w:tc>
          <w:tcPr>
            <w:tcW w:w="1253" w:type="dxa"/>
            <w:tcBorders>
              <w:top w:val="single" w:color="auto" w:sz="4" w:space="0"/>
              <w:left w:val="single" w:color="auto" w:sz="4" w:space="0"/>
              <w:bottom w:val="single" w:color="auto" w:sz="4" w:space="0"/>
              <w:right w:val="single" w:color="auto" w:sz="4" w:space="0"/>
            </w:tcBorders>
            <w:vAlign w:val="center"/>
          </w:tcPr>
          <w:p w14:paraId="32B5BE98">
            <w:pPr>
              <w:rPr>
                <w:rFonts w:hint="eastAsia" w:ascii="宋体" w:hAnsi="宋体"/>
                <w:color w:val="auto"/>
                <w:szCs w:val="22"/>
                <w:highlight w:val="none"/>
              </w:rPr>
            </w:pPr>
            <w:r>
              <w:rPr>
                <w:rFonts w:hint="eastAsia" w:ascii="宋体" w:hAnsi="宋体"/>
                <w:color w:val="auto"/>
                <w:szCs w:val="22"/>
                <w:highlight w:val="none"/>
              </w:rPr>
              <w:t>服务名称</w:t>
            </w:r>
          </w:p>
        </w:tc>
        <w:tc>
          <w:tcPr>
            <w:tcW w:w="2053" w:type="dxa"/>
            <w:tcBorders>
              <w:top w:val="single" w:color="auto" w:sz="4" w:space="0"/>
              <w:left w:val="single" w:color="auto" w:sz="4" w:space="0"/>
              <w:bottom w:val="single" w:color="auto" w:sz="4" w:space="0"/>
              <w:right w:val="single" w:color="auto" w:sz="4" w:space="0"/>
            </w:tcBorders>
            <w:vAlign w:val="center"/>
          </w:tcPr>
          <w:p w14:paraId="195027D8">
            <w:pPr>
              <w:jc w:val="center"/>
              <w:rPr>
                <w:rFonts w:hint="eastAsia" w:ascii="宋体" w:hAnsi="宋体"/>
                <w:color w:val="auto"/>
                <w:szCs w:val="22"/>
                <w:highlight w:val="none"/>
              </w:rPr>
            </w:pPr>
            <w:r>
              <w:rPr>
                <w:rFonts w:hint="eastAsia" w:ascii="宋体" w:hAnsi="宋体"/>
                <w:color w:val="auto"/>
                <w:szCs w:val="22"/>
                <w:highlight w:val="none"/>
              </w:rPr>
              <w:t>具体服务内容</w:t>
            </w:r>
          </w:p>
        </w:tc>
        <w:tc>
          <w:tcPr>
            <w:tcW w:w="1073" w:type="dxa"/>
            <w:tcBorders>
              <w:top w:val="single" w:color="auto" w:sz="4" w:space="0"/>
              <w:left w:val="single" w:color="auto" w:sz="4" w:space="0"/>
              <w:bottom w:val="single" w:color="auto" w:sz="4" w:space="0"/>
              <w:right w:val="single" w:color="auto" w:sz="4" w:space="0"/>
            </w:tcBorders>
            <w:vAlign w:val="center"/>
          </w:tcPr>
          <w:p w14:paraId="35B482A8">
            <w:pPr>
              <w:jc w:val="center"/>
              <w:rPr>
                <w:rFonts w:hint="eastAsia" w:ascii="宋体" w:hAnsi="宋体"/>
                <w:color w:val="auto"/>
                <w:szCs w:val="22"/>
                <w:highlight w:val="none"/>
              </w:rPr>
            </w:pPr>
            <w:r>
              <w:rPr>
                <w:rFonts w:hint="eastAsia" w:ascii="宋体" w:hAnsi="宋体"/>
                <w:color w:val="auto"/>
                <w:szCs w:val="22"/>
                <w:highlight w:val="none"/>
              </w:rPr>
              <w:t>数量</w:t>
            </w:r>
          </w:p>
        </w:tc>
        <w:tc>
          <w:tcPr>
            <w:tcW w:w="1253" w:type="dxa"/>
            <w:tcBorders>
              <w:top w:val="single" w:color="auto" w:sz="4" w:space="0"/>
              <w:left w:val="single" w:color="auto" w:sz="4" w:space="0"/>
              <w:bottom w:val="single" w:color="auto" w:sz="4" w:space="0"/>
              <w:right w:val="single" w:color="auto" w:sz="4" w:space="0"/>
            </w:tcBorders>
            <w:vAlign w:val="center"/>
          </w:tcPr>
          <w:p w14:paraId="2B5D47B7">
            <w:pPr>
              <w:rPr>
                <w:rFonts w:hint="eastAsia" w:ascii="宋体" w:hAnsi="宋体"/>
                <w:color w:val="auto"/>
                <w:szCs w:val="22"/>
                <w:highlight w:val="none"/>
              </w:rPr>
            </w:pPr>
            <w:r>
              <w:rPr>
                <w:rFonts w:hint="eastAsia" w:ascii="宋体" w:hAnsi="宋体"/>
                <w:color w:val="auto"/>
                <w:szCs w:val="22"/>
                <w:highlight w:val="none"/>
              </w:rPr>
              <w:t>下浮系数（%）</w:t>
            </w:r>
          </w:p>
        </w:tc>
        <w:tc>
          <w:tcPr>
            <w:tcW w:w="1507" w:type="dxa"/>
            <w:tcBorders>
              <w:top w:val="single" w:color="auto" w:sz="4" w:space="0"/>
              <w:left w:val="single" w:color="auto" w:sz="4" w:space="0"/>
              <w:bottom w:val="single" w:color="auto" w:sz="4" w:space="0"/>
              <w:right w:val="single" w:color="auto" w:sz="4" w:space="0"/>
            </w:tcBorders>
            <w:vAlign w:val="center"/>
          </w:tcPr>
          <w:p w14:paraId="77F34A6D">
            <w:pPr>
              <w:jc w:val="center"/>
              <w:rPr>
                <w:rFonts w:hint="eastAsia" w:ascii="宋体" w:hAnsi="宋体"/>
                <w:color w:val="auto"/>
                <w:szCs w:val="22"/>
                <w:highlight w:val="none"/>
              </w:rPr>
            </w:pPr>
            <w:r>
              <w:rPr>
                <w:rFonts w:hint="eastAsia" w:ascii="宋体" w:hAnsi="宋体"/>
                <w:color w:val="auto"/>
                <w:szCs w:val="22"/>
                <w:highlight w:val="none"/>
              </w:rPr>
              <w:t>服务期限</w:t>
            </w:r>
          </w:p>
        </w:tc>
        <w:tc>
          <w:tcPr>
            <w:tcW w:w="1903" w:type="dxa"/>
            <w:tcBorders>
              <w:top w:val="single" w:color="auto" w:sz="4" w:space="0"/>
              <w:left w:val="single" w:color="auto" w:sz="4" w:space="0"/>
              <w:bottom w:val="single" w:color="auto" w:sz="4" w:space="0"/>
              <w:right w:val="single" w:color="auto" w:sz="4" w:space="0"/>
            </w:tcBorders>
            <w:vAlign w:val="center"/>
          </w:tcPr>
          <w:p w14:paraId="5B6B9998">
            <w:pPr>
              <w:jc w:val="center"/>
              <w:rPr>
                <w:rFonts w:hint="eastAsia" w:ascii="宋体" w:hAnsi="宋体"/>
                <w:color w:val="auto"/>
                <w:szCs w:val="22"/>
                <w:highlight w:val="none"/>
              </w:rPr>
            </w:pPr>
            <w:r>
              <w:rPr>
                <w:rFonts w:hint="eastAsia" w:ascii="宋体" w:hAnsi="宋体"/>
                <w:color w:val="auto"/>
                <w:szCs w:val="22"/>
                <w:highlight w:val="none"/>
              </w:rPr>
              <w:t>备注</w:t>
            </w:r>
          </w:p>
        </w:tc>
      </w:tr>
      <w:tr w14:paraId="7DCF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15" w:type="dxa"/>
            <w:tcBorders>
              <w:top w:val="single" w:color="auto" w:sz="4" w:space="0"/>
              <w:left w:val="single" w:color="auto" w:sz="4" w:space="0"/>
              <w:bottom w:val="single" w:color="auto" w:sz="4" w:space="0"/>
              <w:right w:val="single" w:color="auto" w:sz="4" w:space="0"/>
            </w:tcBorders>
            <w:vAlign w:val="center"/>
          </w:tcPr>
          <w:p w14:paraId="224A1B2B">
            <w:pPr>
              <w:rPr>
                <w:rFonts w:hint="eastAsia" w:ascii="宋体" w:hAnsi="宋体"/>
                <w:color w:val="auto"/>
                <w:szCs w:val="22"/>
                <w:highlight w:val="none"/>
              </w:rPr>
            </w:pPr>
            <w:r>
              <w:rPr>
                <w:rFonts w:ascii="宋体" w:hAnsi="宋体"/>
                <w:color w:val="auto"/>
                <w:szCs w:val="22"/>
                <w:highlight w:val="none"/>
              </w:rPr>
              <w:t>1</w:t>
            </w:r>
          </w:p>
        </w:tc>
        <w:tc>
          <w:tcPr>
            <w:tcW w:w="1253" w:type="dxa"/>
            <w:tcBorders>
              <w:top w:val="single" w:color="auto" w:sz="4" w:space="0"/>
              <w:left w:val="single" w:color="auto" w:sz="4" w:space="0"/>
              <w:bottom w:val="single" w:color="auto" w:sz="4" w:space="0"/>
              <w:right w:val="single" w:color="auto" w:sz="4" w:space="0"/>
            </w:tcBorders>
            <w:vAlign w:val="center"/>
          </w:tcPr>
          <w:p w14:paraId="29BD0CDB">
            <w:pPr>
              <w:rPr>
                <w:rFonts w:hint="eastAsia" w:ascii="宋体" w:hAnsi="宋体"/>
                <w:color w:val="auto"/>
                <w:szCs w:val="22"/>
                <w:highlight w:val="none"/>
              </w:rPr>
            </w:pPr>
          </w:p>
        </w:tc>
        <w:tc>
          <w:tcPr>
            <w:tcW w:w="2053" w:type="dxa"/>
            <w:tcBorders>
              <w:top w:val="single" w:color="auto" w:sz="4" w:space="0"/>
              <w:left w:val="single" w:color="auto" w:sz="4" w:space="0"/>
              <w:bottom w:val="single" w:color="auto" w:sz="4" w:space="0"/>
              <w:right w:val="single" w:color="auto" w:sz="4" w:space="0"/>
            </w:tcBorders>
            <w:vAlign w:val="center"/>
          </w:tcPr>
          <w:p w14:paraId="2F8E857B">
            <w:pPr>
              <w:rPr>
                <w:rFonts w:hint="eastAsia" w:ascii="宋体" w:hAnsi="宋体"/>
                <w:color w:val="auto"/>
                <w:szCs w:val="22"/>
                <w:highlight w:val="none"/>
              </w:rPr>
            </w:pPr>
          </w:p>
        </w:tc>
        <w:tc>
          <w:tcPr>
            <w:tcW w:w="1073" w:type="dxa"/>
            <w:tcBorders>
              <w:top w:val="single" w:color="auto" w:sz="4" w:space="0"/>
              <w:left w:val="single" w:color="auto" w:sz="4" w:space="0"/>
              <w:bottom w:val="single" w:color="auto" w:sz="4" w:space="0"/>
              <w:right w:val="single" w:color="auto" w:sz="4" w:space="0"/>
            </w:tcBorders>
            <w:vAlign w:val="center"/>
          </w:tcPr>
          <w:p w14:paraId="6D147527">
            <w:pPr>
              <w:rPr>
                <w:rFonts w:hint="eastAsia" w:ascii="宋体" w:hAnsi="宋体"/>
                <w:color w:val="auto"/>
                <w:szCs w:val="22"/>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47475D9">
            <w:pPr>
              <w:rPr>
                <w:rFonts w:hint="eastAsia" w:ascii="宋体" w:hAnsi="宋体"/>
                <w:color w:val="auto"/>
                <w:szCs w:val="22"/>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14:paraId="09E6F384">
            <w:pPr>
              <w:rPr>
                <w:rFonts w:hint="eastAsia" w:ascii="宋体" w:hAnsi="宋体"/>
                <w:color w:val="auto"/>
                <w:szCs w:val="22"/>
                <w:highlight w:val="none"/>
              </w:rPr>
            </w:pPr>
          </w:p>
        </w:tc>
        <w:tc>
          <w:tcPr>
            <w:tcW w:w="1903" w:type="dxa"/>
            <w:tcBorders>
              <w:top w:val="single" w:color="auto" w:sz="4" w:space="0"/>
              <w:left w:val="single" w:color="auto" w:sz="4" w:space="0"/>
              <w:bottom w:val="single" w:color="auto" w:sz="4" w:space="0"/>
              <w:right w:val="single" w:color="auto" w:sz="4" w:space="0"/>
            </w:tcBorders>
          </w:tcPr>
          <w:p w14:paraId="55C4D08B">
            <w:pPr>
              <w:rPr>
                <w:rFonts w:hint="eastAsia" w:ascii="宋体" w:hAnsi="宋体"/>
                <w:color w:val="auto"/>
                <w:szCs w:val="22"/>
                <w:highlight w:val="none"/>
              </w:rPr>
            </w:pPr>
          </w:p>
        </w:tc>
      </w:tr>
      <w:tr w14:paraId="367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715" w:type="dxa"/>
            <w:tcBorders>
              <w:top w:val="single" w:color="auto" w:sz="4" w:space="0"/>
              <w:left w:val="single" w:color="auto" w:sz="4" w:space="0"/>
              <w:bottom w:val="single" w:color="auto" w:sz="4" w:space="0"/>
              <w:right w:val="single" w:color="auto" w:sz="4" w:space="0"/>
            </w:tcBorders>
            <w:vAlign w:val="center"/>
          </w:tcPr>
          <w:p w14:paraId="24CCA5BB">
            <w:pPr>
              <w:rPr>
                <w:rFonts w:hint="eastAsia" w:ascii="宋体" w:hAnsi="宋体"/>
                <w:color w:val="auto"/>
                <w:szCs w:val="22"/>
                <w:highlight w:val="none"/>
              </w:rPr>
            </w:pPr>
            <w:r>
              <w:rPr>
                <w:rFonts w:ascii="宋体" w:hAnsi="宋体"/>
                <w:color w:val="auto"/>
                <w:szCs w:val="22"/>
                <w:highlight w:val="none"/>
              </w:rPr>
              <w:t>2</w:t>
            </w:r>
          </w:p>
        </w:tc>
        <w:tc>
          <w:tcPr>
            <w:tcW w:w="1253" w:type="dxa"/>
            <w:tcBorders>
              <w:top w:val="single" w:color="auto" w:sz="4" w:space="0"/>
              <w:left w:val="single" w:color="auto" w:sz="4" w:space="0"/>
              <w:bottom w:val="single" w:color="auto" w:sz="4" w:space="0"/>
              <w:right w:val="single" w:color="auto" w:sz="4" w:space="0"/>
            </w:tcBorders>
            <w:vAlign w:val="center"/>
          </w:tcPr>
          <w:p w14:paraId="1E20FBB3">
            <w:pPr>
              <w:rPr>
                <w:rFonts w:hint="eastAsia" w:ascii="宋体" w:hAnsi="宋体"/>
                <w:color w:val="auto"/>
                <w:szCs w:val="22"/>
                <w:highlight w:val="none"/>
              </w:rPr>
            </w:pPr>
          </w:p>
        </w:tc>
        <w:tc>
          <w:tcPr>
            <w:tcW w:w="2053" w:type="dxa"/>
            <w:tcBorders>
              <w:top w:val="single" w:color="auto" w:sz="4" w:space="0"/>
              <w:left w:val="single" w:color="auto" w:sz="4" w:space="0"/>
              <w:bottom w:val="single" w:color="auto" w:sz="4" w:space="0"/>
              <w:right w:val="single" w:color="auto" w:sz="4" w:space="0"/>
            </w:tcBorders>
            <w:vAlign w:val="center"/>
          </w:tcPr>
          <w:p w14:paraId="27FE35E0">
            <w:pPr>
              <w:rPr>
                <w:rFonts w:hint="eastAsia" w:ascii="宋体" w:hAnsi="宋体"/>
                <w:color w:val="auto"/>
                <w:szCs w:val="22"/>
                <w:highlight w:val="none"/>
              </w:rPr>
            </w:pPr>
          </w:p>
        </w:tc>
        <w:tc>
          <w:tcPr>
            <w:tcW w:w="1073" w:type="dxa"/>
            <w:tcBorders>
              <w:top w:val="single" w:color="auto" w:sz="4" w:space="0"/>
              <w:left w:val="single" w:color="auto" w:sz="4" w:space="0"/>
              <w:bottom w:val="single" w:color="auto" w:sz="4" w:space="0"/>
              <w:right w:val="single" w:color="auto" w:sz="4" w:space="0"/>
            </w:tcBorders>
            <w:vAlign w:val="center"/>
          </w:tcPr>
          <w:p w14:paraId="15D4AF60">
            <w:pPr>
              <w:rPr>
                <w:rFonts w:hint="eastAsia" w:ascii="宋体" w:hAnsi="宋体"/>
                <w:color w:val="auto"/>
                <w:szCs w:val="22"/>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A795FF9">
            <w:pPr>
              <w:rPr>
                <w:rFonts w:hint="eastAsia" w:ascii="宋体" w:hAnsi="宋体"/>
                <w:color w:val="auto"/>
                <w:szCs w:val="22"/>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14:paraId="35C8A850">
            <w:pPr>
              <w:rPr>
                <w:rFonts w:hint="eastAsia" w:ascii="宋体" w:hAnsi="宋体"/>
                <w:color w:val="auto"/>
                <w:szCs w:val="22"/>
                <w:highlight w:val="none"/>
              </w:rPr>
            </w:pPr>
          </w:p>
        </w:tc>
        <w:tc>
          <w:tcPr>
            <w:tcW w:w="1903" w:type="dxa"/>
            <w:tcBorders>
              <w:top w:val="single" w:color="auto" w:sz="4" w:space="0"/>
              <w:left w:val="single" w:color="auto" w:sz="4" w:space="0"/>
              <w:bottom w:val="single" w:color="auto" w:sz="4" w:space="0"/>
              <w:right w:val="single" w:color="auto" w:sz="4" w:space="0"/>
            </w:tcBorders>
          </w:tcPr>
          <w:p w14:paraId="5399E7E7">
            <w:pPr>
              <w:rPr>
                <w:rFonts w:hint="eastAsia" w:ascii="宋体" w:hAnsi="宋体"/>
                <w:color w:val="auto"/>
                <w:szCs w:val="22"/>
                <w:highlight w:val="none"/>
              </w:rPr>
            </w:pPr>
          </w:p>
        </w:tc>
      </w:tr>
      <w:tr w14:paraId="391D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715" w:type="dxa"/>
            <w:tcBorders>
              <w:top w:val="single" w:color="auto" w:sz="4" w:space="0"/>
              <w:left w:val="single" w:color="auto" w:sz="4" w:space="0"/>
              <w:bottom w:val="single" w:color="auto" w:sz="4" w:space="0"/>
              <w:right w:val="single" w:color="auto" w:sz="4" w:space="0"/>
            </w:tcBorders>
            <w:vAlign w:val="center"/>
          </w:tcPr>
          <w:p w14:paraId="71DC82D0">
            <w:pPr>
              <w:rPr>
                <w:rFonts w:hint="eastAsia" w:ascii="宋体" w:hAnsi="宋体"/>
                <w:color w:val="auto"/>
                <w:szCs w:val="22"/>
                <w:highlight w:val="none"/>
              </w:rPr>
            </w:pPr>
            <w:r>
              <w:rPr>
                <w:rFonts w:ascii="宋体" w:hAnsi="宋体"/>
                <w:color w:val="auto"/>
                <w:szCs w:val="22"/>
                <w:highlight w:val="none"/>
              </w:rPr>
              <w:t>...</w:t>
            </w:r>
          </w:p>
        </w:tc>
        <w:tc>
          <w:tcPr>
            <w:tcW w:w="1253" w:type="dxa"/>
            <w:tcBorders>
              <w:top w:val="single" w:color="auto" w:sz="4" w:space="0"/>
              <w:left w:val="single" w:color="auto" w:sz="4" w:space="0"/>
              <w:bottom w:val="single" w:color="auto" w:sz="4" w:space="0"/>
              <w:right w:val="single" w:color="auto" w:sz="4" w:space="0"/>
            </w:tcBorders>
            <w:vAlign w:val="center"/>
          </w:tcPr>
          <w:p w14:paraId="1995C2A9">
            <w:pPr>
              <w:rPr>
                <w:rFonts w:hint="eastAsia" w:ascii="宋体" w:hAnsi="宋体"/>
                <w:color w:val="auto"/>
                <w:szCs w:val="22"/>
                <w:highlight w:val="none"/>
              </w:rPr>
            </w:pPr>
          </w:p>
        </w:tc>
        <w:tc>
          <w:tcPr>
            <w:tcW w:w="2053" w:type="dxa"/>
            <w:tcBorders>
              <w:top w:val="single" w:color="auto" w:sz="4" w:space="0"/>
              <w:left w:val="single" w:color="auto" w:sz="4" w:space="0"/>
              <w:bottom w:val="single" w:color="auto" w:sz="4" w:space="0"/>
              <w:right w:val="single" w:color="auto" w:sz="4" w:space="0"/>
            </w:tcBorders>
            <w:vAlign w:val="center"/>
          </w:tcPr>
          <w:p w14:paraId="4A8D9F08">
            <w:pPr>
              <w:rPr>
                <w:rFonts w:hint="eastAsia" w:ascii="宋体" w:hAnsi="宋体"/>
                <w:color w:val="auto"/>
                <w:szCs w:val="22"/>
                <w:highlight w:val="none"/>
              </w:rPr>
            </w:pPr>
          </w:p>
        </w:tc>
        <w:tc>
          <w:tcPr>
            <w:tcW w:w="1073" w:type="dxa"/>
            <w:tcBorders>
              <w:top w:val="single" w:color="auto" w:sz="4" w:space="0"/>
              <w:left w:val="single" w:color="auto" w:sz="4" w:space="0"/>
              <w:bottom w:val="single" w:color="auto" w:sz="4" w:space="0"/>
              <w:right w:val="single" w:color="auto" w:sz="4" w:space="0"/>
            </w:tcBorders>
            <w:vAlign w:val="center"/>
          </w:tcPr>
          <w:p w14:paraId="255DC58B">
            <w:pPr>
              <w:rPr>
                <w:rFonts w:hint="eastAsia" w:ascii="宋体" w:hAnsi="宋体"/>
                <w:color w:val="auto"/>
                <w:szCs w:val="22"/>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B41E52D">
            <w:pPr>
              <w:rPr>
                <w:rFonts w:hint="eastAsia" w:ascii="宋体" w:hAnsi="宋体"/>
                <w:color w:val="auto"/>
                <w:szCs w:val="22"/>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14:paraId="71227D0C">
            <w:pPr>
              <w:rPr>
                <w:rFonts w:hint="eastAsia" w:ascii="宋体" w:hAnsi="宋体"/>
                <w:color w:val="auto"/>
                <w:szCs w:val="22"/>
                <w:highlight w:val="none"/>
              </w:rPr>
            </w:pPr>
          </w:p>
        </w:tc>
        <w:tc>
          <w:tcPr>
            <w:tcW w:w="1903" w:type="dxa"/>
            <w:tcBorders>
              <w:top w:val="single" w:color="auto" w:sz="4" w:space="0"/>
              <w:left w:val="single" w:color="auto" w:sz="4" w:space="0"/>
              <w:bottom w:val="single" w:color="auto" w:sz="4" w:space="0"/>
              <w:right w:val="single" w:color="auto" w:sz="4" w:space="0"/>
            </w:tcBorders>
          </w:tcPr>
          <w:p w14:paraId="37CBC7A7">
            <w:pPr>
              <w:rPr>
                <w:rFonts w:hint="eastAsia" w:ascii="宋体" w:hAnsi="宋体"/>
                <w:color w:val="auto"/>
                <w:szCs w:val="22"/>
                <w:highlight w:val="none"/>
              </w:rPr>
            </w:pPr>
          </w:p>
        </w:tc>
      </w:tr>
      <w:tr w14:paraId="13D2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9757" w:type="dxa"/>
            <w:gridSpan w:val="7"/>
            <w:tcBorders>
              <w:top w:val="single" w:color="auto" w:sz="4" w:space="0"/>
              <w:left w:val="single" w:color="auto" w:sz="4" w:space="0"/>
              <w:bottom w:val="single" w:color="auto" w:sz="4" w:space="0"/>
              <w:right w:val="single" w:color="auto" w:sz="4" w:space="0"/>
            </w:tcBorders>
          </w:tcPr>
          <w:p w14:paraId="10D84D65">
            <w:pPr>
              <w:rPr>
                <w:rFonts w:hint="eastAsia" w:ascii="宋体" w:hAnsi="宋体"/>
                <w:color w:val="auto"/>
                <w:szCs w:val="22"/>
                <w:highlight w:val="none"/>
              </w:rPr>
            </w:pPr>
            <w:r>
              <w:rPr>
                <w:rFonts w:hint="eastAsia" w:ascii="宋体" w:hAnsi="宋体"/>
                <w:color w:val="auto"/>
                <w:szCs w:val="22"/>
                <w:highlight w:val="none"/>
              </w:rPr>
              <w:t>报价合计（包含税费等所有费用）：下浮系数</w:t>
            </w:r>
            <w:r>
              <w:rPr>
                <w:rFonts w:hint="eastAsia" w:ascii="宋体" w:hAnsi="宋体"/>
                <w:color w:val="auto"/>
                <w:szCs w:val="22"/>
                <w:highlight w:val="none"/>
                <w:u w:val="single"/>
              </w:rPr>
              <w:t xml:space="preserve">      </w:t>
            </w:r>
            <w:r>
              <w:rPr>
                <w:rFonts w:hint="eastAsia" w:ascii="宋体" w:hAnsi="宋体"/>
                <w:color w:val="auto"/>
                <w:szCs w:val="22"/>
                <w:highlight w:val="none"/>
              </w:rPr>
              <w:t>%</w:t>
            </w:r>
          </w:p>
        </w:tc>
      </w:tr>
      <w:tr w14:paraId="4E40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9757" w:type="dxa"/>
            <w:gridSpan w:val="7"/>
            <w:tcBorders>
              <w:top w:val="single" w:color="auto" w:sz="4" w:space="0"/>
              <w:left w:val="single" w:color="auto" w:sz="4" w:space="0"/>
              <w:bottom w:val="single" w:color="auto" w:sz="4" w:space="0"/>
              <w:right w:val="single" w:color="auto" w:sz="4" w:space="0"/>
            </w:tcBorders>
          </w:tcPr>
          <w:p w14:paraId="510A26A4">
            <w:pPr>
              <w:rPr>
                <w:rFonts w:hint="eastAsia" w:ascii="宋体" w:hAnsi="宋体"/>
                <w:color w:val="auto"/>
                <w:szCs w:val="22"/>
                <w:highlight w:val="none"/>
              </w:rPr>
            </w:pPr>
            <w:r>
              <w:rPr>
                <w:rFonts w:hint="eastAsia" w:ascii="宋体" w:hAnsi="宋体"/>
                <w:color w:val="auto"/>
                <w:szCs w:val="22"/>
                <w:highlight w:val="none"/>
              </w:rPr>
              <w:t>验收标准：</w:t>
            </w:r>
          </w:p>
        </w:tc>
      </w:tr>
      <w:tr w14:paraId="4D61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9757" w:type="dxa"/>
            <w:gridSpan w:val="7"/>
            <w:tcBorders>
              <w:top w:val="single" w:color="auto" w:sz="4" w:space="0"/>
              <w:left w:val="single" w:color="auto" w:sz="4" w:space="0"/>
              <w:bottom w:val="single" w:color="auto" w:sz="4" w:space="0"/>
              <w:right w:val="single" w:color="auto" w:sz="4" w:space="0"/>
            </w:tcBorders>
          </w:tcPr>
          <w:p w14:paraId="55AB3707">
            <w:pPr>
              <w:rPr>
                <w:rFonts w:hint="eastAsia" w:ascii="宋体" w:hAnsi="宋体"/>
                <w:color w:val="auto"/>
                <w:szCs w:val="22"/>
                <w:highlight w:val="none"/>
              </w:rPr>
            </w:pPr>
            <w:r>
              <w:rPr>
                <w:rFonts w:hint="eastAsia" w:ascii="宋体" w:hAnsi="宋体"/>
                <w:color w:val="auto"/>
                <w:szCs w:val="22"/>
                <w:highlight w:val="none"/>
              </w:rPr>
              <w:t>优惠及其它：</w:t>
            </w:r>
          </w:p>
        </w:tc>
      </w:tr>
    </w:tbl>
    <w:p w14:paraId="4DCF9811">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2C5C45D3">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10A39A7B">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760DB8B9">
      <w:pPr>
        <w:snapToGrid w:val="0"/>
        <w:spacing w:before="50" w:after="50"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12AD3F75">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4、以上表格要求细分项目及报价，在“具体服务内容”一栏中，填写具体服务，</w:t>
      </w:r>
      <w:r>
        <w:rPr>
          <w:rFonts w:hint="eastAsia" w:ascii="仿宋_GB2312" w:hAnsi="仿宋" w:eastAsia="仿宋_GB2312" w:cs="仿宋_GB2312"/>
          <w:b/>
          <w:color w:val="auto"/>
          <w:kern w:val="0"/>
          <w:sz w:val="24"/>
          <w:highlight w:val="none"/>
          <w:lang w:val="zh-CN"/>
        </w:rPr>
        <w:t>否则其投标作无效标处理。</w:t>
      </w:r>
    </w:p>
    <w:p w14:paraId="3F84D62C">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5、特别提示：采购机构将对项目名称和项目编号，中标供应商名称、地址和中标金额，主要中标标的的名称、规格型号、数量、单价、服务要求等予以公示。</w:t>
      </w:r>
    </w:p>
    <w:p w14:paraId="2D91ABFB">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5684D204">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CD94571">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CAAEC2E">
      <w:pPr>
        <w:pStyle w:val="12"/>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三、中小企业声明函</w:t>
      </w:r>
    </w:p>
    <w:p w14:paraId="23642CA2">
      <w:pPr>
        <w:pStyle w:val="3"/>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726C4FCE">
      <w:pPr>
        <w:pStyle w:val="3"/>
        <w:spacing w:line="240" w:lineRule="auto"/>
        <w:ind w:firstLine="404"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10DC512D">
      <w:pPr>
        <w:pStyle w:val="3"/>
        <w:spacing w:line="240" w:lineRule="auto"/>
        <w:ind w:firstLine="404" w:firstLineChars="200"/>
        <w:rPr>
          <w:rFonts w:hint="eastAsia"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、小型、微型企业提供中型企业提供的服务的，视同为中型企业。</w:t>
      </w:r>
    </w:p>
    <w:p w14:paraId="1EB90B61">
      <w:pPr>
        <w:pStyle w:val="3"/>
        <w:spacing w:line="240" w:lineRule="auto"/>
        <w:ind w:firstLine="404" w:firstLineChars="200"/>
        <w:rPr>
          <w:rFonts w:hint="eastAsia" w:ascii="Times New Roman" w:hAnsi="宋体"/>
          <w:color w:val="auto"/>
          <w:sz w:val="21"/>
          <w:szCs w:val="21"/>
          <w:highlight w:val="none"/>
        </w:rPr>
      </w:pPr>
    </w:p>
    <w:p w14:paraId="6A994EEA">
      <w:pPr>
        <w:pStyle w:val="10"/>
        <w:spacing w:line="500" w:lineRule="exact"/>
        <w:ind w:right="142" w:firstLine="420" w:firstLineChars="200"/>
        <w:rPr>
          <w:rFonts w:hint="eastAsia"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bookmarkStart w:id="311" w:name="PO_3000001866_PM026_8"/>
      <w:r>
        <w:rPr>
          <w:rFonts w:hint="eastAsia" w:ascii="宋体" w:hAnsi="宋体"/>
          <w:color w:val="auto"/>
          <w:highlight w:val="none"/>
          <w:u w:val="single"/>
        </w:rPr>
        <w:t>横州市水库移民安置服务中心</w:t>
      </w:r>
      <w:bookmarkEnd w:id="311"/>
      <w:r>
        <w:rPr>
          <w:rFonts w:ascii="宋体" w:hAnsi="宋体"/>
          <w:color w:val="auto"/>
          <w:highlight w:val="none"/>
        </w:rPr>
        <w:t>的</w:t>
      </w:r>
      <w:r>
        <w:rPr>
          <w:rFonts w:hint="eastAsia" w:ascii="宋体" w:hAnsi="宋体"/>
          <w:color w:val="auto"/>
          <w:highlight w:val="none"/>
          <w:u w:val="single"/>
        </w:rPr>
        <w:t>2026-2027年度横州市水库移民项目全过程工程咨询项目</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3DC13A12">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w:t>
      </w:r>
      <w:r>
        <w:rPr>
          <w:rFonts w:ascii="宋体" w:hAnsi="宋体"/>
          <w:color w:val="auto"/>
          <w:szCs w:val="21"/>
          <w:highlight w:val="none"/>
          <w:u w:val="single"/>
        </w:rPr>
        <w:t>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4F10FAD0">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行业</w:t>
      </w:r>
      <w:r>
        <w:rPr>
          <w:rFonts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78E75E33">
      <w:pPr>
        <w:pStyle w:val="10"/>
        <w:spacing w:before="34" w:line="500" w:lineRule="exact"/>
        <w:ind w:left="765" w:right="142" w:firstLine="480"/>
        <w:rPr>
          <w:rFonts w:hint="eastAsia" w:ascii="宋体" w:hAnsi="宋体"/>
          <w:color w:val="auto"/>
          <w:highlight w:val="none"/>
        </w:rPr>
      </w:pPr>
      <w:r>
        <w:rPr>
          <w:rFonts w:ascii="宋体" w:hAnsi="宋体"/>
          <w:color w:val="auto"/>
          <w:highlight w:val="none"/>
        </w:rPr>
        <w:t xml:space="preserve">…… </w:t>
      </w:r>
    </w:p>
    <w:p w14:paraId="74DEAE31">
      <w:pPr>
        <w:pStyle w:val="10"/>
        <w:spacing w:before="34" w:line="500" w:lineRule="exact"/>
        <w:ind w:right="142" w:firstLine="420" w:firstLineChars="200"/>
        <w:rPr>
          <w:rFonts w:hint="eastAsia"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5AFBE9E7">
      <w:pPr>
        <w:pStyle w:val="10"/>
        <w:spacing w:before="34" w:line="500" w:lineRule="exact"/>
        <w:ind w:right="142" w:firstLine="420" w:firstLineChars="200"/>
        <w:rPr>
          <w:rFonts w:hint="eastAsia" w:ascii="宋体" w:hAnsi="宋体"/>
          <w:color w:val="auto"/>
          <w:highlight w:val="none"/>
        </w:rPr>
      </w:pPr>
      <w:r>
        <w:rPr>
          <w:rFonts w:ascii="宋体" w:hAnsi="宋体"/>
          <w:color w:val="auto"/>
          <w:highlight w:val="none"/>
        </w:rPr>
        <w:t>本企业对上述声明内容的真实性负责。如有虚假，将依法承担相应责任。</w:t>
      </w:r>
    </w:p>
    <w:p w14:paraId="27F77DE3">
      <w:pPr>
        <w:pStyle w:val="12"/>
        <w:spacing w:line="360" w:lineRule="auto"/>
        <w:ind w:firstLine="420" w:firstLineChars="200"/>
        <w:rPr>
          <w:rFonts w:hint="eastAsia" w:hAnsi="宋体"/>
          <w:color w:val="auto"/>
          <w:szCs w:val="21"/>
          <w:highlight w:val="none"/>
        </w:rPr>
      </w:pPr>
    </w:p>
    <w:p w14:paraId="2A4E8803">
      <w:pPr>
        <w:pStyle w:val="12"/>
        <w:spacing w:line="360" w:lineRule="auto"/>
        <w:ind w:firstLine="420" w:firstLineChars="200"/>
        <w:rPr>
          <w:rFonts w:hint="eastAsia" w:hAnsi="宋体"/>
          <w:color w:val="auto"/>
          <w:szCs w:val="21"/>
          <w:highlight w:val="none"/>
        </w:rPr>
      </w:pPr>
    </w:p>
    <w:p w14:paraId="306D735B">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15A90D3">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721CC6D">
      <w:pPr>
        <w:pStyle w:val="12"/>
        <w:spacing w:line="360" w:lineRule="auto"/>
        <w:ind w:firstLine="420" w:firstLineChars="200"/>
        <w:rPr>
          <w:rFonts w:hint="eastAsia" w:hAnsi="宋体"/>
          <w:color w:val="auto"/>
          <w:szCs w:val="21"/>
          <w:highlight w:val="none"/>
        </w:rPr>
      </w:pPr>
    </w:p>
    <w:p w14:paraId="6CF4AAE8">
      <w:pPr>
        <w:snapToGrid w:val="0"/>
        <w:spacing w:before="50" w:after="165" w:afterLines="50" w:line="360" w:lineRule="auto"/>
        <w:jc w:val="left"/>
        <w:rPr>
          <w:rFonts w:hint="eastAsia" w:hAnsi="宋体" w:cs="宋体"/>
          <w:color w:val="auto"/>
          <w:sz w:val="20"/>
          <w:highlight w:val="none"/>
        </w:rPr>
      </w:pPr>
      <w:r>
        <w:rPr>
          <w:rFonts w:hint="eastAsia" w:hAnsi="宋体" w:cs="宋体"/>
          <w:color w:val="auto"/>
          <w:sz w:val="20"/>
          <w:highlight w:val="none"/>
        </w:rPr>
        <w:t>注：</w:t>
      </w:r>
    </w:p>
    <w:p w14:paraId="7F8221D5">
      <w:pPr>
        <w:numPr>
          <w:ilvl w:val="0"/>
          <w:numId w:val="5"/>
        </w:numPr>
        <w:snapToGrid w:val="0"/>
        <w:spacing w:before="50" w:after="165" w:afterLines="50" w:line="360" w:lineRule="auto"/>
        <w:jc w:val="left"/>
        <w:rPr>
          <w:color w:val="auto"/>
          <w:sz w:val="20"/>
          <w:highlight w:val="none"/>
        </w:rPr>
      </w:pPr>
      <w:r>
        <w:rPr>
          <w:rFonts w:hint="eastAsia"/>
          <w:color w:val="auto"/>
          <w:sz w:val="20"/>
          <w:highlight w:val="none"/>
        </w:rPr>
        <w:t>从业人员、营业收入、资产总额填报上一年度数据，无上一年度数据的新成立企业可不填报。</w:t>
      </w:r>
    </w:p>
    <w:p w14:paraId="20C15288">
      <w:pPr>
        <w:rPr>
          <w:color w:val="auto"/>
          <w:highlight w:val="none"/>
        </w:rPr>
        <w:sectPr>
          <w:pgSz w:w="11906" w:h="16838"/>
          <w:pgMar w:top="1134" w:right="1134" w:bottom="1134" w:left="1134" w:header="720" w:footer="720" w:gutter="0"/>
          <w:cols w:space="720" w:num="1"/>
          <w:docGrid w:type="lines" w:linePitch="331" w:charSpace="0"/>
        </w:sectPr>
      </w:pPr>
      <w:r>
        <w:rPr>
          <w:rFonts w:hint="eastAsia"/>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7946D8EB">
      <w:pPr>
        <w:snapToGrid w:val="0"/>
        <w:spacing w:before="165" w:beforeLines="50" w:after="50"/>
        <w:jc w:val="center"/>
        <w:outlineLvl w:val="1"/>
        <w:rPr>
          <w:rFonts w:hint="eastAsia" w:asciiTheme="minorEastAsia" w:hAnsiTheme="minorEastAsia" w:eastAsiaTheme="minorEastAsia" w:cstheme="minorEastAsia"/>
          <w:b/>
          <w:bCs/>
          <w:color w:val="auto"/>
          <w:sz w:val="28"/>
          <w:szCs w:val="28"/>
          <w:highlight w:val="none"/>
        </w:rPr>
      </w:pPr>
      <w:bookmarkStart w:id="312" w:name="_Toc19686840"/>
      <w:bookmarkStart w:id="313" w:name="_Toc15635"/>
      <w:r>
        <w:rPr>
          <w:rFonts w:hint="eastAsia" w:asciiTheme="minorEastAsia" w:hAnsiTheme="minorEastAsia" w:eastAsiaTheme="minorEastAsia" w:cstheme="minorEastAsia"/>
          <w:b/>
          <w:bCs/>
          <w:color w:val="auto"/>
          <w:sz w:val="28"/>
          <w:szCs w:val="28"/>
          <w:highlight w:val="none"/>
        </w:rPr>
        <w:t>第六节 其他文书、文件格式</w:t>
      </w:r>
      <w:bookmarkEnd w:id="312"/>
      <w:bookmarkEnd w:id="313"/>
    </w:p>
    <w:p w14:paraId="68526366">
      <w:pPr>
        <w:jc w:val="center"/>
        <w:rPr>
          <w:rFonts w:hint="eastAsia" w:asciiTheme="minorEastAsia" w:hAnsiTheme="minorEastAsia" w:eastAsiaTheme="minorEastAsia" w:cstheme="minorEastAsia"/>
          <w:b/>
          <w:bCs/>
          <w:color w:val="auto"/>
          <w:sz w:val="32"/>
          <w:szCs w:val="32"/>
          <w:highlight w:val="none"/>
          <w:lang w:val="en"/>
        </w:rPr>
      </w:pPr>
    </w:p>
    <w:p w14:paraId="0593F87E">
      <w:pPr>
        <w:jc w:val="center"/>
        <w:rPr>
          <w:rFonts w:hint="eastAsia" w:asciiTheme="minorEastAsia" w:hAnsiTheme="minorEastAsia" w:eastAsiaTheme="minorEastAsia" w:cstheme="minorEastAsia"/>
          <w:b/>
          <w:bCs/>
          <w:color w:val="auto"/>
          <w:sz w:val="32"/>
          <w:szCs w:val="32"/>
          <w:highlight w:val="none"/>
          <w:lang w:val="en"/>
        </w:rPr>
      </w:pPr>
      <w:r>
        <w:rPr>
          <w:rFonts w:hint="eastAsia" w:asciiTheme="minorEastAsia" w:hAnsiTheme="minorEastAsia" w:eastAsiaTheme="minorEastAsia" w:cstheme="minorEastAsia"/>
          <w:b/>
          <w:bCs/>
          <w:color w:val="auto"/>
          <w:sz w:val="32"/>
          <w:szCs w:val="32"/>
          <w:highlight w:val="none"/>
          <w:lang w:val="en"/>
        </w:rPr>
        <w:t>知识产权合规性声明</w:t>
      </w:r>
    </w:p>
    <w:p w14:paraId="0D92D650">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398CBE5A">
      <w:pPr>
        <w:rPr>
          <w:rFonts w:hint="eastAsia" w:asciiTheme="minorEastAsia" w:hAnsiTheme="minorEastAsia" w:eastAsiaTheme="minorEastAsia" w:cstheme="minorEastAsia"/>
          <w:color w:val="auto"/>
          <w:sz w:val="30"/>
          <w:szCs w:val="30"/>
          <w:highlight w:val="none"/>
          <w:lang w:val="en"/>
        </w:rPr>
      </w:pPr>
      <w:r>
        <w:rPr>
          <w:rFonts w:hint="eastAsia" w:asciiTheme="minorEastAsia" w:hAnsiTheme="minorEastAsia" w:eastAsiaTheme="minorEastAsia" w:cstheme="minorEastAsia"/>
          <w:color w:val="auto"/>
          <w:sz w:val="30"/>
          <w:szCs w:val="30"/>
          <w:highlight w:val="none"/>
        </w:rPr>
        <w:t xml:space="preserve">    本</w:t>
      </w:r>
      <w:r>
        <w:rPr>
          <w:rFonts w:hint="eastAsia" w:asciiTheme="minorEastAsia" w:hAnsiTheme="minorEastAsia" w:eastAsiaTheme="minorEastAsia" w:cstheme="minorEastAsia"/>
          <w:color w:val="auto"/>
          <w:sz w:val="30"/>
          <w:szCs w:val="30"/>
          <w:highlight w:val="none"/>
          <w:lang w:val="en"/>
        </w:rPr>
        <w:t>企业自愿参与政府投资政府采购的</w:t>
      </w:r>
      <w:r>
        <w:rPr>
          <w:rFonts w:hint="eastAsia" w:asciiTheme="minorEastAsia" w:hAnsiTheme="minorEastAsia" w:eastAsiaTheme="minorEastAsia" w:cstheme="minorEastAsia"/>
          <w:color w:val="auto"/>
          <w:sz w:val="30"/>
          <w:szCs w:val="30"/>
          <w:highlight w:val="none"/>
          <w:u w:val="single"/>
        </w:rPr>
        <w:t>2026-2027年度横州市水库移民项目全过程工程咨询项目</w:t>
      </w:r>
      <w:r>
        <w:rPr>
          <w:rFonts w:hint="eastAsia" w:asciiTheme="minorEastAsia" w:hAnsiTheme="minorEastAsia" w:eastAsiaTheme="minorEastAsia" w:cstheme="minorEastAsia"/>
          <w:color w:val="auto"/>
          <w:sz w:val="30"/>
          <w:szCs w:val="30"/>
          <w:highlight w:val="none"/>
          <w:lang w:val="en"/>
        </w:rPr>
        <w:t>，</w:t>
      </w:r>
      <w:r>
        <w:rPr>
          <w:rFonts w:hint="eastAsia" w:asciiTheme="minorEastAsia" w:hAnsiTheme="minorEastAsia" w:eastAsiaTheme="minorEastAsia" w:cstheme="minorEastAsia"/>
          <w:b/>
          <w:bCs/>
          <w:color w:val="auto"/>
          <w:sz w:val="30"/>
          <w:szCs w:val="30"/>
          <w:highlight w:val="none"/>
          <w:lang w:val="en"/>
        </w:rPr>
        <w:t>在此郑重承诺：</w:t>
      </w:r>
      <w:r>
        <w:rPr>
          <w:rFonts w:hint="eastAsia" w:asciiTheme="minorEastAsia" w:hAnsiTheme="minorEastAsia" w:eastAsiaTheme="minorEastAsia" w:cstheme="minorEastAsia"/>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3FA086E6">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 xml:space="preserve">           </w:t>
      </w:r>
    </w:p>
    <w:p w14:paraId="21658BDD">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4FACBE05">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4E3BECC8">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75DFD584">
      <w:pPr>
        <w:snapToGrid w:val="0"/>
        <w:spacing w:line="360" w:lineRule="auto"/>
        <w:ind w:left="5137" w:leftChars="1736" w:hanging="1491" w:hangingChars="82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7570327E">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6ED8811">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0"/>
          <w:szCs w:val="30"/>
          <w:highlight w:val="none"/>
        </w:rPr>
        <w:br w:type="page"/>
      </w:r>
    </w:p>
    <w:p w14:paraId="150FE914">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B6BDCC7">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6C9EC6F3">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5EE1F522">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379959EF">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2F4EF91">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0B3BADAC">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7BA525FE">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47E39517">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32CDD961">
      <w:pPr>
        <w:pStyle w:val="12"/>
        <w:tabs>
          <w:tab w:val="left" w:pos="2472"/>
        </w:tabs>
        <w:spacing w:line="460" w:lineRule="exact"/>
        <w:jc w:val="center"/>
        <w:rPr>
          <w:rFonts w:hint="eastAsia" w:asciiTheme="minorEastAsia" w:hAnsiTheme="minorEastAsia" w:eastAsiaTheme="minorEastAsia" w:cstheme="minorEastAsia"/>
          <w:b/>
          <w:color w:val="auto"/>
          <w:sz w:val="36"/>
          <w:highlight w:val="none"/>
        </w:rPr>
      </w:pPr>
    </w:p>
    <w:p w14:paraId="5CF30243">
      <w:pPr>
        <w:pStyle w:val="12"/>
        <w:tabs>
          <w:tab w:val="left" w:pos="2472"/>
        </w:tabs>
        <w:spacing w:line="460" w:lineRule="exact"/>
        <w:jc w:val="center"/>
        <w:outlineLvl w:val="0"/>
        <w:rPr>
          <w:rFonts w:hint="eastAsia" w:asciiTheme="minorEastAsia" w:hAnsiTheme="minorEastAsia" w:eastAsiaTheme="minorEastAsia" w:cstheme="minorEastAsia"/>
          <w:b/>
          <w:color w:val="auto"/>
          <w:sz w:val="36"/>
          <w:highlight w:val="none"/>
        </w:rPr>
      </w:pPr>
      <w:bookmarkStart w:id="314" w:name="_Toc14561"/>
      <w:r>
        <w:rPr>
          <w:rFonts w:hint="eastAsia" w:asciiTheme="minorEastAsia" w:hAnsiTheme="minorEastAsia" w:eastAsiaTheme="minorEastAsia" w:cstheme="minorEastAsia"/>
          <w:b/>
          <w:color w:val="auto"/>
          <w:sz w:val="36"/>
          <w:highlight w:val="none"/>
        </w:rPr>
        <w:t>第七章 质疑、投诉证明材料格式</w:t>
      </w:r>
      <w:bookmarkEnd w:id="314"/>
    </w:p>
    <w:p w14:paraId="4204975E">
      <w:pPr>
        <w:widowControl/>
        <w:spacing w:line="360" w:lineRule="auto"/>
        <w:jc w:val="left"/>
        <w:rPr>
          <w:rFonts w:hint="eastAsia" w:asciiTheme="minorEastAsia" w:hAnsiTheme="minorEastAsia" w:eastAsiaTheme="minorEastAsia" w:cstheme="minorEastAsia"/>
          <w:color w:val="auto"/>
          <w:sz w:val="20"/>
          <w:highlight w:val="none"/>
        </w:rPr>
        <w:sectPr>
          <w:pgSz w:w="11906" w:h="16838"/>
          <w:pgMar w:top="1134" w:right="1134" w:bottom="1134" w:left="1134" w:header="720" w:footer="720" w:gutter="0"/>
          <w:cols w:space="720" w:num="1"/>
          <w:docGrid w:type="lines" w:linePitch="331" w:charSpace="0"/>
        </w:sectPr>
      </w:pPr>
    </w:p>
    <w:p w14:paraId="53CF7B07">
      <w:pPr>
        <w:widowControl/>
        <w:shd w:val="clear" w:color="auto" w:fill="FFFFFF"/>
        <w:spacing w:line="260" w:lineRule="exact"/>
        <w:jc w:val="left"/>
        <w:rPr>
          <w:rFonts w:hint="eastAsia" w:asciiTheme="minorEastAsia" w:hAnsiTheme="minorEastAsia" w:eastAsiaTheme="minorEastAsia" w:cstheme="minorEastAsia"/>
          <w:b/>
          <w:bCs/>
          <w:color w:val="auto"/>
          <w:sz w:val="28"/>
          <w:szCs w:val="28"/>
          <w:highlight w:val="none"/>
        </w:rPr>
      </w:pPr>
    </w:p>
    <w:p w14:paraId="215F10BE">
      <w:pPr>
        <w:pStyle w:val="4"/>
        <w:jc w:val="center"/>
        <w:rPr>
          <w:rFonts w:hint="eastAsia" w:asciiTheme="minorEastAsia" w:hAnsiTheme="minorEastAsia" w:eastAsiaTheme="minorEastAsia" w:cstheme="minorEastAsia"/>
          <w:b w:val="0"/>
          <w:bCs w:val="0"/>
          <w:color w:val="auto"/>
          <w:highlight w:val="none"/>
        </w:rPr>
      </w:pPr>
      <w:bookmarkStart w:id="315" w:name="_Toc27750"/>
      <w:r>
        <w:rPr>
          <w:rFonts w:hint="eastAsia" w:asciiTheme="minorEastAsia" w:hAnsiTheme="minorEastAsia" w:eastAsiaTheme="minorEastAsia" w:cstheme="minorEastAsia"/>
          <w:b w:val="0"/>
          <w:bCs w:val="0"/>
          <w:color w:val="auto"/>
          <w:highlight w:val="none"/>
        </w:rPr>
        <w:t>第一节 质疑函（格式）</w:t>
      </w:r>
      <w:bookmarkEnd w:id="315"/>
    </w:p>
    <w:p w14:paraId="41232608">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质疑函范本</w:t>
      </w:r>
    </w:p>
    <w:p w14:paraId="43E9A99A">
      <w:pPr>
        <w:adjustRightInd w:val="0"/>
        <w:snapToGrid w:val="0"/>
        <w:spacing w:before="331" w:beforeLines="100"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一、质疑供应商基本信息</w:t>
      </w:r>
    </w:p>
    <w:p w14:paraId="2C434B5F">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质疑供应商：</w:t>
      </w:r>
      <w:r>
        <w:rPr>
          <w:rFonts w:hint="eastAsia" w:asciiTheme="minorEastAsia" w:hAnsiTheme="minorEastAsia" w:eastAsiaTheme="minorEastAsia" w:cstheme="minorEastAsia"/>
          <w:color w:val="auto"/>
          <w:sz w:val="32"/>
          <w:szCs w:val="32"/>
          <w:highlight w:val="none"/>
          <w:u w:val="dotted"/>
        </w:rPr>
        <w:t xml:space="preserve">                                        </w:t>
      </w:r>
    </w:p>
    <w:p w14:paraId="1C4B3465">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地址：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p>
    <w:p w14:paraId="1629450B">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7EAB23A5">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授权代表：</w:t>
      </w:r>
      <w:r>
        <w:rPr>
          <w:rFonts w:hint="eastAsia" w:asciiTheme="minorEastAsia" w:hAnsiTheme="minorEastAsia" w:eastAsiaTheme="minorEastAsia" w:cstheme="minorEastAsia"/>
          <w:color w:val="auto"/>
          <w:sz w:val="32"/>
          <w:szCs w:val="32"/>
          <w:highlight w:val="none"/>
          <w:u w:val="dotted"/>
        </w:rPr>
        <w:t xml:space="preserve">                                          </w:t>
      </w:r>
    </w:p>
    <w:p w14:paraId="257A9D05">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1564D9E8">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地址： </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p>
    <w:p w14:paraId="0923B5B2">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二、质疑项目基本情况</w:t>
      </w:r>
    </w:p>
    <w:p w14:paraId="4A319D84">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质疑项目的名称：</w:t>
      </w:r>
      <w:r>
        <w:rPr>
          <w:rFonts w:hint="eastAsia" w:asciiTheme="minorEastAsia" w:hAnsiTheme="minorEastAsia" w:eastAsiaTheme="minorEastAsia" w:cstheme="minorEastAsia"/>
          <w:color w:val="auto"/>
          <w:sz w:val="32"/>
          <w:szCs w:val="32"/>
          <w:highlight w:val="none"/>
          <w:u w:val="dotted"/>
        </w:rPr>
        <w:t xml:space="preserve">   2026-2027年度横州市水库移民项目全过程工程咨询项目     </w:t>
      </w:r>
    </w:p>
    <w:p w14:paraId="4A592E47">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质疑项目的编号：</w:t>
      </w:r>
      <w:r>
        <w:rPr>
          <w:rFonts w:hint="eastAsia" w:asciiTheme="minorEastAsia" w:hAnsiTheme="minorEastAsia" w:eastAsiaTheme="minorEastAsia" w:cstheme="minorEastAsia"/>
          <w:color w:val="auto"/>
          <w:sz w:val="32"/>
          <w:szCs w:val="32"/>
          <w:highlight w:val="none"/>
          <w:u w:val="dotted"/>
        </w:rPr>
        <w:t xml:space="preserve">NNZC2025-G3-270119-JGJD </w:t>
      </w:r>
      <w:r>
        <w:rPr>
          <w:rFonts w:hint="eastAsia" w:asciiTheme="minorEastAsia" w:hAnsiTheme="minorEastAsia" w:eastAsiaTheme="minorEastAsia" w:cstheme="minorEastAsia"/>
          <w:color w:val="auto"/>
          <w:sz w:val="32"/>
          <w:szCs w:val="32"/>
          <w:highlight w:val="none"/>
        </w:rPr>
        <w:t>包号：</w:t>
      </w:r>
      <w:r>
        <w:rPr>
          <w:rFonts w:hint="eastAsia" w:asciiTheme="minorEastAsia" w:hAnsiTheme="minorEastAsia" w:eastAsiaTheme="minorEastAsia" w:cstheme="minorEastAsia"/>
          <w:color w:val="auto"/>
          <w:sz w:val="32"/>
          <w:szCs w:val="32"/>
          <w:highlight w:val="none"/>
          <w:u w:val="dotted"/>
        </w:rPr>
        <w:t xml:space="preserve">                 </w:t>
      </w:r>
    </w:p>
    <w:p w14:paraId="6926C3BF">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采购人名称：</w:t>
      </w:r>
      <w:r>
        <w:rPr>
          <w:rFonts w:hint="eastAsia" w:asciiTheme="minorEastAsia" w:hAnsiTheme="minorEastAsia" w:eastAsiaTheme="minorEastAsia" w:cstheme="minorEastAsia"/>
          <w:color w:val="auto"/>
          <w:sz w:val="32"/>
          <w:szCs w:val="32"/>
          <w:highlight w:val="none"/>
          <w:u w:val="dotted"/>
        </w:rPr>
        <w:t xml:space="preserve">     横州市水库移民安置服务中心  </w:t>
      </w:r>
    </w:p>
    <w:p w14:paraId="70704655">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采购文件获取日期：</w:t>
      </w:r>
      <w:r>
        <w:rPr>
          <w:rFonts w:hint="eastAsia" w:asciiTheme="minorEastAsia" w:hAnsiTheme="minorEastAsia" w:eastAsiaTheme="minorEastAsia" w:cstheme="minorEastAsia"/>
          <w:color w:val="auto"/>
          <w:sz w:val="32"/>
          <w:szCs w:val="32"/>
          <w:highlight w:val="none"/>
          <w:u w:val="dotted"/>
        </w:rPr>
        <w:t xml:space="preserve">                                           </w:t>
      </w:r>
    </w:p>
    <w:p w14:paraId="1B50EF51">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三、质疑事项具体内容</w:t>
      </w:r>
    </w:p>
    <w:p w14:paraId="3C07A434">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质疑事项1：</w:t>
      </w:r>
      <w:r>
        <w:rPr>
          <w:rFonts w:hint="eastAsia" w:asciiTheme="minorEastAsia" w:hAnsiTheme="minorEastAsia" w:eastAsiaTheme="minorEastAsia" w:cstheme="minorEastAsia"/>
          <w:color w:val="auto"/>
          <w:sz w:val="32"/>
          <w:szCs w:val="32"/>
          <w:highlight w:val="none"/>
          <w:u w:val="dotted"/>
        </w:rPr>
        <w:t xml:space="preserve">                                         </w:t>
      </w:r>
    </w:p>
    <w:p w14:paraId="06FD2E38">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事实依据：</w:t>
      </w:r>
      <w:r>
        <w:rPr>
          <w:rFonts w:hint="eastAsia" w:asciiTheme="minorEastAsia" w:hAnsiTheme="minorEastAsia" w:eastAsiaTheme="minorEastAsia" w:cstheme="minorEastAsia"/>
          <w:color w:val="auto"/>
          <w:sz w:val="32"/>
          <w:szCs w:val="32"/>
          <w:highlight w:val="none"/>
          <w:u w:val="dotted"/>
        </w:rPr>
        <w:t xml:space="preserve">                                          </w:t>
      </w:r>
    </w:p>
    <w:p w14:paraId="6479B235">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dotted"/>
        </w:rPr>
        <w:t xml:space="preserve">                                                       </w:t>
      </w:r>
    </w:p>
    <w:p w14:paraId="312F0BCA">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法律依据：</w:t>
      </w:r>
      <w:r>
        <w:rPr>
          <w:rFonts w:hint="eastAsia" w:asciiTheme="minorEastAsia" w:hAnsiTheme="minorEastAsia" w:eastAsiaTheme="minorEastAsia" w:cstheme="minorEastAsia"/>
          <w:color w:val="auto"/>
          <w:sz w:val="32"/>
          <w:szCs w:val="32"/>
          <w:highlight w:val="none"/>
          <w:u w:val="dotted"/>
        </w:rPr>
        <w:t xml:space="preserve">                                          </w:t>
      </w:r>
    </w:p>
    <w:p w14:paraId="2E1D6360">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578CAC31">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质疑事项2</w:t>
      </w:r>
    </w:p>
    <w:p w14:paraId="3BA7B076">
      <w:pPr>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p>
    <w:p w14:paraId="47B9371D">
      <w:pPr>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四、与质疑事项相关的质疑请求</w:t>
      </w:r>
    </w:p>
    <w:p w14:paraId="2F7D5B7E">
      <w:pPr>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请求：</w:t>
      </w:r>
      <w:r>
        <w:rPr>
          <w:rFonts w:hint="eastAsia" w:asciiTheme="minorEastAsia" w:hAnsiTheme="minorEastAsia" w:eastAsiaTheme="minorEastAsia" w:cstheme="minorEastAsia"/>
          <w:color w:val="auto"/>
          <w:sz w:val="32"/>
          <w:szCs w:val="32"/>
          <w:highlight w:val="none"/>
          <w:u w:val="dotted"/>
        </w:rPr>
        <w:t xml:space="preserve">                                               </w:t>
      </w:r>
    </w:p>
    <w:p w14:paraId="396D013A">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签字(签章)：                   公章：                      </w:t>
      </w:r>
    </w:p>
    <w:p w14:paraId="530D7686">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日期：    </w:t>
      </w:r>
    </w:p>
    <w:p w14:paraId="2BAFC0FE">
      <w:pPr>
        <w:adjustRightInd w:val="0"/>
        <w:snapToGrid w:val="0"/>
        <w:spacing w:line="360" w:lineRule="auto"/>
        <w:rPr>
          <w:rFonts w:hint="eastAsia" w:asciiTheme="minorEastAsia" w:hAnsiTheme="minorEastAsia" w:eastAsiaTheme="minorEastAsia" w:cstheme="minorEastAsia"/>
          <w:color w:val="auto"/>
          <w:sz w:val="32"/>
          <w:szCs w:val="32"/>
          <w:highlight w:val="none"/>
        </w:rPr>
      </w:pPr>
    </w:p>
    <w:p w14:paraId="3F3F2CA3">
      <w:pPr>
        <w:adjustRightInd w:val="0"/>
        <w:snapToGrid w:val="0"/>
        <w:spacing w:line="360" w:lineRule="auto"/>
        <w:rPr>
          <w:rFonts w:hint="eastAsia" w:asciiTheme="minorEastAsia" w:hAnsiTheme="minorEastAsia" w:eastAsiaTheme="minorEastAsia" w:cstheme="minorEastAsia"/>
          <w:color w:val="auto"/>
          <w:sz w:val="32"/>
          <w:szCs w:val="32"/>
          <w:highlight w:val="none"/>
        </w:rPr>
      </w:pPr>
    </w:p>
    <w:p w14:paraId="3DD84B6D">
      <w:pPr>
        <w:jc w:val="center"/>
        <w:rPr>
          <w:rFonts w:hint="eastAsia" w:asciiTheme="minorEastAsia" w:hAnsiTheme="minorEastAsia" w:eastAsiaTheme="minorEastAsia" w:cstheme="minorEastAsia"/>
          <w:b/>
          <w:bCs/>
          <w:color w:val="auto"/>
          <w:sz w:val="32"/>
          <w:szCs w:val="32"/>
          <w:highlight w:val="none"/>
        </w:rPr>
      </w:pPr>
    </w:p>
    <w:p w14:paraId="09D30F2C">
      <w:pPr>
        <w:jc w:val="center"/>
        <w:rPr>
          <w:rFonts w:hint="eastAsia" w:asciiTheme="minorEastAsia" w:hAnsiTheme="minorEastAsia" w:eastAsiaTheme="minorEastAsia" w:cstheme="minorEastAsia"/>
          <w:b/>
          <w:bCs/>
          <w:color w:val="auto"/>
          <w:sz w:val="32"/>
          <w:szCs w:val="32"/>
          <w:highlight w:val="none"/>
        </w:rPr>
      </w:pPr>
    </w:p>
    <w:p w14:paraId="4414F6C6">
      <w:pPr>
        <w:jc w:val="center"/>
        <w:rPr>
          <w:rFonts w:hint="eastAsia" w:asciiTheme="minorEastAsia" w:hAnsiTheme="minorEastAsia" w:eastAsiaTheme="minorEastAsia" w:cstheme="minorEastAsia"/>
          <w:b/>
          <w:bCs/>
          <w:color w:val="auto"/>
          <w:sz w:val="32"/>
          <w:szCs w:val="32"/>
          <w:highlight w:val="none"/>
        </w:rPr>
      </w:pPr>
    </w:p>
    <w:p w14:paraId="0FF7A209">
      <w:pPr>
        <w:jc w:val="center"/>
        <w:rPr>
          <w:rFonts w:hint="eastAsia" w:asciiTheme="minorEastAsia" w:hAnsiTheme="minorEastAsia" w:eastAsiaTheme="minorEastAsia" w:cstheme="minorEastAsia"/>
          <w:b/>
          <w:bCs/>
          <w:color w:val="auto"/>
          <w:sz w:val="32"/>
          <w:szCs w:val="32"/>
          <w:highlight w:val="none"/>
        </w:rPr>
      </w:pPr>
    </w:p>
    <w:p w14:paraId="249D1CC2">
      <w:pPr>
        <w:jc w:val="center"/>
        <w:rPr>
          <w:rFonts w:hint="eastAsia" w:asciiTheme="minorEastAsia" w:hAnsiTheme="minorEastAsia" w:eastAsiaTheme="minorEastAsia" w:cstheme="minorEastAsia"/>
          <w:b/>
          <w:bCs/>
          <w:color w:val="auto"/>
          <w:sz w:val="32"/>
          <w:szCs w:val="32"/>
          <w:highlight w:val="none"/>
        </w:rPr>
      </w:pPr>
    </w:p>
    <w:p w14:paraId="3EBEC48F">
      <w:pPr>
        <w:jc w:val="center"/>
        <w:rPr>
          <w:rFonts w:hint="eastAsia" w:asciiTheme="minorEastAsia" w:hAnsiTheme="minorEastAsia" w:eastAsiaTheme="minorEastAsia" w:cstheme="minorEastAsia"/>
          <w:b/>
          <w:bCs/>
          <w:color w:val="auto"/>
          <w:sz w:val="32"/>
          <w:szCs w:val="32"/>
          <w:highlight w:val="none"/>
        </w:rPr>
      </w:pPr>
    </w:p>
    <w:p w14:paraId="4F320725">
      <w:pPr>
        <w:jc w:val="center"/>
        <w:rPr>
          <w:rFonts w:hint="eastAsia" w:asciiTheme="minorEastAsia" w:hAnsiTheme="minorEastAsia" w:eastAsiaTheme="minorEastAsia" w:cstheme="minorEastAsia"/>
          <w:b/>
          <w:bCs/>
          <w:color w:val="auto"/>
          <w:sz w:val="32"/>
          <w:szCs w:val="32"/>
          <w:highlight w:val="none"/>
        </w:rPr>
      </w:pPr>
    </w:p>
    <w:p w14:paraId="42ECF8CF">
      <w:pPr>
        <w:rPr>
          <w:rFonts w:hint="eastAsia" w:asciiTheme="minorEastAsia" w:hAnsiTheme="minorEastAsia" w:eastAsiaTheme="minorEastAsia" w:cstheme="minorEastAsia"/>
          <w:b/>
          <w:color w:val="auto"/>
          <w:sz w:val="32"/>
          <w:szCs w:val="32"/>
          <w:highlight w:val="none"/>
        </w:rPr>
      </w:pPr>
    </w:p>
    <w:p w14:paraId="01FC0677">
      <w:pPr>
        <w:rPr>
          <w:rFonts w:hint="eastAsia" w:asciiTheme="minorEastAsia" w:hAnsiTheme="minorEastAsia" w:eastAsiaTheme="minorEastAsia" w:cstheme="minorEastAsia"/>
          <w:b/>
          <w:color w:val="auto"/>
          <w:sz w:val="32"/>
          <w:szCs w:val="32"/>
          <w:highlight w:val="none"/>
        </w:rPr>
      </w:pPr>
    </w:p>
    <w:p w14:paraId="79B5F745">
      <w:pPr>
        <w:rPr>
          <w:rFonts w:hint="eastAsia" w:asciiTheme="minorEastAsia" w:hAnsiTheme="minorEastAsia" w:eastAsiaTheme="minorEastAsia" w:cstheme="minorEastAsia"/>
          <w:b/>
          <w:color w:val="auto"/>
          <w:sz w:val="32"/>
          <w:szCs w:val="32"/>
          <w:highlight w:val="none"/>
        </w:rPr>
      </w:pPr>
    </w:p>
    <w:p w14:paraId="20059B10">
      <w:pPr>
        <w:rPr>
          <w:rFonts w:hint="eastAsia" w:asciiTheme="minorEastAsia" w:hAnsiTheme="minorEastAsia" w:eastAsiaTheme="minorEastAsia" w:cstheme="minorEastAsia"/>
          <w:b/>
          <w:color w:val="auto"/>
          <w:sz w:val="32"/>
          <w:szCs w:val="32"/>
          <w:highlight w:val="none"/>
        </w:rPr>
      </w:pPr>
    </w:p>
    <w:p w14:paraId="5BE76C6E">
      <w:pPr>
        <w:rPr>
          <w:rFonts w:hint="eastAsia" w:asciiTheme="minorEastAsia" w:hAnsiTheme="minorEastAsia" w:eastAsiaTheme="minorEastAsia" w:cstheme="minorEastAsia"/>
          <w:b/>
          <w:color w:val="auto"/>
          <w:sz w:val="32"/>
          <w:szCs w:val="32"/>
          <w:highlight w:val="none"/>
        </w:rPr>
      </w:pPr>
    </w:p>
    <w:p w14:paraId="4035549D">
      <w:pPr>
        <w:rPr>
          <w:rFonts w:hint="eastAsia" w:asciiTheme="minorEastAsia" w:hAnsiTheme="minorEastAsia" w:eastAsiaTheme="minorEastAsia" w:cstheme="minorEastAsia"/>
          <w:b/>
          <w:color w:val="auto"/>
          <w:sz w:val="32"/>
          <w:szCs w:val="32"/>
          <w:highlight w:val="none"/>
        </w:rPr>
      </w:pPr>
    </w:p>
    <w:p w14:paraId="6904A2C6">
      <w:pPr>
        <w:rPr>
          <w:rFonts w:hint="eastAsia" w:asciiTheme="minorEastAsia" w:hAnsiTheme="minorEastAsia" w:eastAsiaTheme="minorEastAsia" w:cstheme="minorEastAsia"/>
          <w:b/>
          <w:color w:val="auto"/>
          <w:sz w:val="32"/>
          <w:szCs w:val="32"/>
          <w:highlight w:val="none"/>
        </w:rPr>
      </w:pPr>
    </w:p>
    <w:p w14:paraId="0F381B64">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质疑函制作说明：</w:t>
      </w:r>
    </w:p>
    <w:p w14:paraId="7F018272">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1.供应商提出质疑时，应提交质疑函和必要的证明材料。</w:t>
      </w:r>
    </w:p>
    <w:p w14:paraId="1DA17C29">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32"/>
          <w:szCs w:val="32"/>
          <w:highlight w:val="none"/>
        </w:rPr>
        <w:t>供应商签署的授权委托书。授权委托书应载明代理人的姓名或者名称、代理事项、具体权限、期限和相关事项。</w:t>
      </w:r>
    </w:p>
    <w:p w14:paraId="00650509">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3.质疑供应商若对项目的某一分包进行质疑，质疑函中应列明具体分包号。</w:t>
      </w:r>
    </w:p>
    <w:p w14:paraId="648674B0">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4.质疑函的质疑事项应具体、明确，并有必要的事实依据和法律依据。</w:t>
      </w:r>
    </w:p>
    <w:p w14:paraId="2B020DEA">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5.质疑函的质疑请求应与质疑事项相关。</w:t>
      </w:r>
    </w:p>
    <w:p w14:paraId="298C0E7F">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5CE47D64">
      <w:pPr>
        <w:widowControl/>
        <w:ind w:firstLine="600" w:firstLineChars="200"/>
        <w:jc w:val="left"/>
        <w:rPr>
          <w:rFonts w:hint="eastAsia" w:asciiTheme="minorEastAsia" w:hAnsiTheme="minorEastAsia" w:eastAsiaTheme="minorEastAsia" w:cstheme="minorEastAsia"/>
          <w:color w:val="auto"/>
          <w:sz w:val="30"/>
          <w:szCs w:val="30"/>
          <w:highlight w:val="none"/>
        </w:rPr>
      </w:pPr>
    </w:p>
    <w:p w14:paraId="3C2C425C">
      <w:pPr>
        <w:widowControl/>
        <w:spacing w:line="360" w:lineRule="auto"/>
        <w:jc w:val="left"/>
        <w:rPr>
          <w:rFonts w:hint="eastAsia" w:asciiTheme="minorEastAsia" w:hAnsiTheme="minorEastAsia" w:eastAsiaTheme="minorEastAsia" w:cstheme="minorEastAsia"/>
          <w:color w:val="auto"/>
          <w:kern w:val="0"/>
          <w:sz w:val="24"/>
          <w:highlight w:val="none"/>
        </w:rPr>
        <w:sectPr>
          <w:pgSz w:w="11906" w:h="16838"/>
          <w:pgMar w:top="1134" w:right="1134" w:bottom="1134" w:left="1134" w:header="720" w:footer="720" w:gutter="0"/>
          <w:cols w:space="720" w:num="1"/>
          <w:docGrid w:type="lines" w:linePitch="331" w:charSpace="0"/>
        </w:sectPr>
      </w:pPr>
    </w:p>
    <w:p w14:paraId="19CE2959">
      <w:pPr>
        <w:pStyle w:val="4"/>
        <w:jc w:val="center"/>
        <w:rPr>
          <w:rFonts w:hint="eastAsia" w:asciiTheme="minorEastAsia" w:hAnsiTheme="minorEastAsia" w:eastAsiaTheme="minorEastAsia" w:cstheme="minorEastAsia"/>
          <w:b w:val="0"/>
          <w:bCs w:val="0"/>
          <w:color w:val="auto"/>
          <w:highlight w:val="none"/>
        </w:rPr>
      </w:pPr>
      <w:bookmarkStart w:id="316" w:name="_Toc26110"/>
      <w:r>
        <w:rPr>
          <w:rFonts w:hint="eastAsia" w:asciiTheme="minorEastAsia" w:hAnsiTheme="minorEastAsia" w:eastAsiaTheme="minorEastAsia" w:cstheme="minorEastAsia"/>
          <w:b w:val="0"/>
          <w:bCs w:val="0"/>
          <w:color w:val="auto"/>
          <w:highlight w:val="none"/>
        </w:rPr>
        <w:t>第二节 投诉书（格式）</w:t>
      </w:r>
      <w:bookmarkEnd w:id="316"/>
    </w:p>
    <w:p w14:paraId="0E283BE9">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投诉书范本</w:t>
      </w:r>
    </w:p>
    <w:p w14:paraId="5FB9837D">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一、投诉相关主体基本情况</w:t>
      </w:r>
    </w:p>
    <w:p w14:paraId="31DDA264">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投诉人：</w:t>
      </w:r>
      <w:r>
        <w:rPr>
          <w:rFonts w:hint="eastAsia" w:asciiTheme="minorEastAsia" w:hAnsiTheme="minorEastAsia" w:eastAsiaTheme="minorEastAsia" w:cstheme="minorEastAsia"/>
          <w:color w:val="auto"/>
          <w:sz w:val="32"/>
          <w:szCs w:val="32"/>
          <w:highlight w:val="none"/>
          <w:u w:val="dotted"/>
        </w:rPr>
        <w:t xml:space="preserve">                                               </w:t>
      </w:r>
    </w:p>
    <w:p w14:paraId="66AF51B1">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4A106014">
      <w:pPr>
        <w:tabs>
          <w:tab w:val="left" w:pos="6510"/>
        </w:tabs>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法定代表人/主要负责人：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4BDE5DD7">
      <w:pPr>
        <w:tabs>
          <w:tab w:val="left" w:pos="6510"/>
        </w:tabs>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014E382B">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授权代表：</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3F9E66B4">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dotted"/>
        </w:rPr>
        <w:t xml:space="preserve">                   </w:t>
      </w:r>
    </w:p>
    <w:p w14:paraId="0F209465">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被投诉人1：</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253A197F">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6C3890EB">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2105CD4A">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被投诉人2</w:t>
      </w:r>
    </w:p>
    <w:p w14:paraId="7E5AD6F4">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w:t>
      </w:r>
    </w:p>
    <w:p w14:paraId="16F4ADB7">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相关供应商：</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61A5BC36">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2E543CB4">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7C04FF05">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二、投诉项目基本情况</w:t>
      </w:r>
    </w:p>
    <w:p w14:paraId="6F496D6A">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采购项目名称：</w:t>
      </w:r>
      <w:r>
        <w:rPr>
          <w:rFonts w:hint="eastAsia" w:asciiTheme="minorEastAsia" w:hAnsiTheme="minorEastAsia" w:eastAsiaTheme="minorEastAsia" w:cstheme="minorEastAsia"/>
          <w:color w:val="auto"/>
          <w:sz w:val="32"/>
          <w:szCs w:val="32"/>
          <w:highlight w:val="none"/>
          <w:u w:val="dotted"/>
        </w:rPr>
        <w:t xml:space="preserve"> 2026-2027年度横州市水库移民项目全过程工程咨询项目   </w:t>
      </w:r>
    </w:p>
    <w:p w14:paraId="7940FF2A">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采购项目编号：</w:t>
      </w:r>
      <w:r>
        <w:rPr>
          <w:rFonts w:hint="eastAsia" w:asciiTheme="minorEastAsia" w:hAnsiTheme="minorEastAsia" w:eastAsiaTheme="minorEastAsia" w:cstheme="minorEastAsia"/>
          <w:color w:val="auto"/>
          <w:sz w:val="32"/>
          <w:szCs w:val="32"/>
          <w:highlight w:val="none"/>
          <w:u w:val="dotted"/>
        </w:rPr>
        <w:t xml:space="preserve"> NNZC2025-G3-270119-JGJD  </w:t>
      </w:r>
      <w:r>
        <w:rPr>
          <w:rFonts w:hint="eastAsia" w:asciiTheme="minorEastAsia" w:hAnsiTheme="minorEastAsia" w:eastAsiaTheme="minorEastAsia" w:cstheme="minorEastAsia"/>
          <w:color w:val="auto"/>
          <w:sz w:val="32"/>
          <w:szCs w:val="32"/>
          <w:highlight w:val="none"/>
        </w:rPr>
        <w:t>包号：</w:t>
      </w:r>
      <w:r>
        <w:rPr>
          <w:rFonts w:hint="eastAsia" w:asciiTheme="minorEastAsia" w:hAnsiTheme="minorEastAsia" w:eastAsiaTheme="minorEastAsia" w:cstheme="minorEastAsia"/>
          <w:color w:val="auto"/>
          <w:sz w:val="32"/>
          <w:szCs w:val="32"/>
          <w:highlight w:val="none"/>
          <w:u w:val="dotted"/>
        </w:rPr>
        <w:t xml:space="preserve">              </w:t>
      </w:r>
    </w:p>
    <w:p w14:paraId="13C3D508">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采购人名称：</w:t>
      </w:r>
      <w:r>
        <w:rPr>
          <w:rFonts w:hint="eastAsia" w:asciiTheme="minorEastAsia" w:hAnsiTheme="minorEastAsia" w:eastAsiaTheme="minorEastAsia" w:cstheme="minorEastAsia"/>
          <w:color w:val="auto"/>
          <w:sz w:val="32"/>
          <w:szCs w:val="32"/>
          <w:highlight w:val="none"/>
          <w:u w:val="dotted"/>
        </w:rPr>
        <w:t xml:space="preserve">  横州市水库移民安置服务中心</w:t>
      </w:r>
      <w:r>
        <w:rPr>
          <w:rFonts w:hint="eastAsia" w:asciiTheme="minorEastAsia" w:hAnsiTheme="minorEastAsia" w:eastAsiaTheme="minorEastAsia" w:cstheme="minorEastAsia"/>
          <w:color w:val="auto"/>
          <w:sz w:val="32"/>
          <w:szCs w:val="32"/>
          <w:highlight w:val="none"/>
          <w:u w:val="single"/>
        </w:rPr>
        <w:t xml:space="preserve">  </w:t>
      </w:r>
    </w:p>
    <w:p w14:paraId="5AD853B5">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代理机构名称：</w:t>
      </w:r>
      <w:r>
        <w:rPr>
          <w:rFonts w:hint="eastAsia" w:asciiTheme="minorEastAsia" w:hAnsiTheme="minorEastAsia" w:eastAsiaTheme="minorEastAsia" w:cstheme="minorEastAsia"/>
          <w:color w:val="auto"/>
          <w:sz w:val="32"/>
          <w:szCs w:val="32"/>
          <w:highlight w:val="none"/>
          <w:u w:val="dotted"/>
        </w:rPr>
        <w:t xml:space="preserve">                                         </w:t>
      </w:r>
    </w:p>
    <w:p w14:paraId="221091D2">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采购文件公告:</w:t>
      </w:r>
      <w:r>
        <w:rPr>
          <w:rFonts w:hint="eastAsia" w:asciiTheme="minorEastAsia" w:hAnsiTheme="minorEastAsia" w:eastAsiaTheme="minorEastAsia" w:cstheme="minorEastAsia"/>
          <w:color w:val="auto"/>
          <w:sz w:val="32"/>
          <w:szCs w:val="32"/>
          <w:highlight w:val="none"/>
          <w:u w:val="dotted"/>
        </w:rPr>
        <w:t xml:space="preserve">是/否 </w:t>
      </w:r>
      <w:r>
        <w:rPr>
          <w:rFonts w:hint="eastAsia" w:asciiTheme="minorEastAsia" w:hAnsiTheme="minorEastAsia" w:eastAsiaTheme="minorEastAsia" w:cstheme="minorEastAsia"/>
          <w:color w:val="auto"/>
          <w:sz w:val="32"/>
          <w:szCs w:val="32"/>
          <w:highlight w:val="none"/>
        </w:rPr>
        <w:t>公告期限：</w:t>
      </w:r>
      <w:r>
        <w:rPr>
          <w:rFonts w:hint="eastAsia" w:asciiTheme="minorEastAsia" w:hAnsiTheme="minorEastAsia" w:eastAsiaTheme="minorEastAsia" w:cstheme="minorEastAsia"/>
          <w:color w:val="auto"/>
          <w:sz w:val="32"/>
          <w:szCs w:val="32"/>
          <w:highlight w:val="none"/>
          <w:u w:val="dotted"/>
        </w:rPr>
        <w:t xml:space="preserve">                                 </w:t>
      </w:r>
    </w:p>
    <w:p w14:paraId="359FB481">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采购结果公告:</w:t>
      </w:r>
      <w:r>
        <w:rPr>
          <w:rFonts w:hint="eastAsia" w:asciiTheme="minorEastAsia" w:hAnsiTheme="minorEastAsia" w:eastAsiaTheme="minorEastAsia" w:cstheme="minorEastAsia"/>
          <w:color w:val="auto"/>
          <w:sz w:val="32"/>
          <w:szCs w:val="32"/>
          <w:highlight w:val="none"/>
          <w:u w:val="dotted"/>
        </w:rPr>
        <w:t xml:space="preserve">是/否 </w:t>
      </w:r>
      <w:r>
        <w:rPr>
          <w:rFonts w:hint="eastAsia" w:asciiTheme="minorEastAsia" w:hAnsiTheme="minorEastAsia" w:eastAsiaTheme="minorEastAsia" w:cstheme="minorEastAsia"/>
          <w:color w:val="auto"/>
          <w:sz w:val="32"/>
          <w:szCs w:val="32"/>
          <w:highlight w:val="none"/>
        </w:rPr>
        <w:t>公告期限：</w:t>
      </w:r>
      <w:r>
        <w:rPr>
          <w:rFonts w:hint="eastAsia" w:asciiTheme="minorEastAsia" w:hAnsiTheme="minorEastAsia" w:eastAsiaTheme="minorEastAsia" w:cstheme="minorEastAsia"/>
          <w:color w:val="auto"/>
          <w:sz w:val="32"/>
          <w:szCs w:val="32"/>
          <w:highlight w:val="none"/>
          <w:u w:val="dotted"/>
        </w:rPr>
        <w:t xml:space="preserve">                        </w:t>
      </w:r>
    </w:p>
    <w:p w14:paraId="5381AE3B">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三、质疑基本情况</w:t>
      </w:r>
    </w:p>
    <w:p w14:paraId="6B989E9C">
      <w:pPr>
        <w:ind w:firstLine="640" w:firstLineChars="200"/>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投诉人于</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日,向</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提出质疑，质疑事项为：</w:t>
      </w:r>
      <w:r>
        <w:rPr>
          <w:rFonts w:hint="eastAsia" w:asciiTheme="minorEastAsia" w:hAnsiTheme="minorEastAsia" w:eastAsiaTheme="minorEastAsia" w:cstheme="minorEastAsia"/>
          <w:color w:val="auto"/>
          <w:sz w:val="32"/>
          <w:szCs w:val="32"/>
          <w:highlight w:val="none"/>
          <w:u w:val="dotted"/>
        </w:rPr>
        <w:t xml:space="preserve">                                </w:t>
      </w:r>
    </w:p>
    <w:p w14:paraId="16F76968">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6549FD7F">
      <w:pPr>
        <w:ind w:firstLine="480" w:firstLineChars="15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dotted"/>
        </w:rPr>
        <w:t>采购人/代理机构</w:t>
      </w:r>
      <w:r>
        <w:rPr>
          <w:rFonts w:hint="eastAsia" w:asciiTheme="minorEastAsia" w:hAnsiTheme="minorEastAsia" w:eastAsiaTheme="minorEastAsia" w:cstheme="minorEastAsia"/>
          <w:color w:val="auto"/>
          <w:sz w:val="32"/>
          <w:szCs w:val="32"/>
          <w:highlight w:val="none"/>
        </w:rPr>
        <w:t>于</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日,就质疑事项作出了答复/没有在法定期限内作出答复。</w:t>
      </w:r>
    </w:p>
    <w:p w14:paraId="5E862E34">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四、投诉事项具体内容</w:t>
      </w:r>
    </w:p>
    <w:p w14:paraId="477B660A">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投诉事项 1：</w:t>
      </w:r>
      <w:r>
        <w:rPr>
          <w:rFonts w:hint="eastAsia" w:asciiTheme="minorEastAsia" w:hAnsiTheme="minorEastAsia" w:eastAsiaTheme="minorEastAsia" w:cstheme="minorEastAsia"/>
          <w:color w:val="auto"/>
          <w:sz w:val="32"/>
          <w:szCs w:val="32"/>
          <w:highlight w:val="none"/>
          <w:u w:val="dotted"/>
        </w:rPr>
        <w:t xml:space="preserve">                                       </w:t>
      </w:r>
    </w:p>
    <w:p w14:paraId="5D024160">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事实依据：</w:t>
      </w:r>
      <w:r>
        <w:rPr>
          <w:rFonts w:hint="eastAsia" w:asciiTheme="minorEastAsia" w:hAnsiTheme="minorEastAsia" w:eastAsiaTheme="minorEastAsia" w:cstheme="minorEastAsia"/>
          <w:color w:val="auto"/>
          <w:sz w:val="32"/>
          <w:szCs w:val="32"/>
          <w:highlight w:val="none"/>
          <w:u w:val="dotted"/>
        </w:rPr>
        <w:t xml:space="preserve">                                         </w:t>
      </w:r>
    </w:p>
    <w:p w14:paraId="7FFC0C9B">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54E2272B">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法律依据：</w:t>
      </w:r>
      <w:r>
        <w:rPr>
          <w:rFonts w:hint="eastAsia" w:asciiTheme="minorEastAsia" w:hAnsiTheme="minorEastAsia" w:eastAsiaTheme="minorEastAsia" w:cstheme="minorEastAsia"/>
          <w:color w:val="auto"/>
          <w:sz w:val="32"/>
          <w:szCs w:val="32"/>
          <w:highlight w:val="none"/>
          <w:u w:val="dotted"/>
        </w:rPr>
        <w:t xml:space="preserve">                                          </w:t>
      </w:r>
    </w:p>
    <w:p w14:paraId="45865E56">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41505A1E">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投诉事项2</w:t>
      </w:r>
    </w:p>
    <w:p w14:paraId="20278035">
      <w:pPr>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w:t>
      </w:r>
    </w:p>
    <w:p w14:paraId="6871E45D">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五、与投诉事项相关的投诉请求</w:t>
      </w:r>
    </w:p>
    <w:p w14:paraId="78E01A28">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请求：</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71C7B284">
      <w:pP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 xml:space="preserve">                                                                                                    </w:t>
      </w:r>
    </w:p>
    <w:p w14:paraId="3CEAF8BE">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签字(签章)：                   公章：                      </w:t>
      </w:r>
    </w:p>
    <w:p w14:paraId="45337FCF">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日期：    </w:t>
      </w:r>
    </w:p>
    <w:p w14:paraId="1B99B5FE">
      <w:pPr>
        <w:rPr>
          <w:rFonts w:hint="eastAsia" w:asciiTheme="minorEastAsia" w:hAnsiTheme="minorEastAsia" w:eastAsiaTheme="minorEastAsia" w:cstheme="minorEastAsia"/>
          <w:b/>
          <w:color w:val="auto"/>
          <w:sz w:val="32"/>
          <w:szCs w:val="32"/>
          <w:highlight w:val="none"/>
        </w:rPr>
      </w:pPr>
    </w:p>
    <w:p w14:paraId="6E289BA2">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投诉书制作说明：</w:t>
      </w:r>
    </w:p>
    <w:p w14:paraId="49B16E8A">
      <w:pPr>
        <w:widowControl/>
        <w:ind w:firstLine="640" w:firstLineChars="200"/>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1.投诉人提起投诉时，应当提交投诉书和必要的证明材料，并按照被投诉人和与投诉事项有关的供应商数量提供投诉书副本。</w:t>
      </w:r>
    </w:p>
    <w:p w14:paraId="7BF2AA6D">
      <w:pPr>
        <w:widowControl/>
        <w:ind w:firstLine="640" w:firstLineChars="200"/>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32"/>
          <w:szCs w:val="32"/>
          <w:highlight w:val="none"/>
        </w:rPr>
        <w:t>投诉人签署的授权委托书。授权委托书应当载明代理人的姓名或者名称、代理事项、具体权限、期限和相关事项。</w:t>
      </w:r>
    </w:p>
    <w:p w14:paraId="285CA559">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3.投诉人若对项目的某一分包进行投诉，投诉书应列明具体分包号。</w:t>
      </w:r>
    </w:p>
    <w:p w14:paraId="12146BEC">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4.投诉书应简要列明质疑事项，质疑函、质疑答复等作为附件材料提供。</w:t>
      </w:r>
    </w:p>
    <w:p w14:paraId="7324EBF3">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5.投诉书的投诉事项应具体、明确，并有必要的事实依据和法律依据。</w:t>
      </w:r>
    </w:p>
    <w:p w14:paraId="49A8E497">
      <w:pPr>
        <w:widowControl/>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6.投诉书的投诉请求应与投诉事项相关。</w:t>
      </w:r>
    </w:p>
    <w:p w14:paraId="73125393">
      <w:pPr>
        <w:widowControl/>
        <w:ind w:firstLine="640" w:firstLineChars="200"/>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52CB4A65">
      <w:pPr>
        <w:snapToGrid w:val="0"/>
        <w:spacing w:before="50" w:after="165" w:afterLines="50" w:line="360" w:lineRule="auto"/>
        <w:ind w:firstLine="480" w:firstLineChars="200"/>
        <w:jc w:val="left"/>
        <w:rPr>
          <w:rFonts w:hint="eastAsia" w:asciiTheme="minorEastAsia" w:hAnsiTheme="minorEastAsia" w:eastAsiaTheme="minorEastAsia" w:cstheme="minorEastAsia"/>
          <w:color w:val="auto"/>
          <w:sz w:val="24"/>
          <w:highlight w:val="none"/>
        </w:rPr>
      </w:pPr>
    </w:p>
    <w:p w14:paraId="3A7A34DA">
      <w:pPr>
        <w:rPr>
          <w:rFonts w:hint="eastAsia" w:asciiTheme="minorEastAsia" w:hAnsiTheme="minorEastAsia" w:eastAsiaTheme="minorEastAsia" w:cstheme="minorEastAsia"/>
          <w:color w:val="auto"/>
          <w:highlight w:val="none"/>
        </w:rPr>
      </w:pPr>
    </w:p>
    <w:p w14:paraId="1F9713FB">
      <w:pPr>
        <w:rPr>
          <w:rFonts w:hint="eastAsia" w:asciiTheme="minorEastAsia" w:hAnsiTheme="minorEastAsia" w:eastAsiaTheme="minorEastAsia" w:cstheme="minorEastAsia"/>
          <w:color w:val="auto"/>
          <w:highlight w:val="none"/>
        </w:rPr>
      </w:pPr>
    </w:p>
    <w:bookmarkEnd w:id="317"/>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4ED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35E3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935E3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A4F81">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4C4F2">
                          <w:pPr>
                            <w:pStyle w:val="14"/>
                            <w:jc w:val="center"/>
                          </w:pPr>
                          <w:r>
                            <w:fldChar w:fldCharType="begin"/>
                          </w:r>
                          <w:r>
                            <w:instrText xml:space="preserve"> PAGE   \* MERGEFORMAT </w:instrText>
                          </w:r>
                          <w:r>
                            <w:fldChar w:fldCharType="separate"/>
                          </w:r>
                          <w:r>
                            <w:rPr>
                              <w:lang w:val="zh-CN"/>
                            </w:rP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704C4F2">
                    <w:pPr>
                      <w:pStyle w:val="14"/>
                      <w:jc w:val="center"/>
                    </w:pPr>
                    <w:r>
                      <w:fldChar w:fldCharType="begin"/>
                    </w:r>
                    <w:r>
                      <w:instrText xml:space="preserve"> PAGE   \* MERGEFORMAT </w:instrText>
                    </w:r>
                    <w:r>
                      <w:fldChar w:fldCharType="separate"/>
                    </w:r>
                    <w:r>
                      <w:rPr>
                        <w:lang w:val="zh-CN"/>
                      </w:rPr>
                      <w:t>108</w:t>
                    </w:r>
                    <w:r>
                      <w:fldChar w:fldCharType="end"/>
                    </w:r>
                  </w:p>
                </w:txbxContent>
              </v:textbox>
            </v:shape>
          </w:pict>
        </mc:Fallback>
      </mc:AlternateContent>
    </w:r>
  </w:p>
  <w:p w14:paraId="3480750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A82C">
    <w:pPr>
      <w:pStyle w:val="14"/>
      <w:framePr w:wrap="around" w:vAnchor="text" w:hAnchor="margin" w:xAlign="center" w:y="1"/>
      <w:rPr>
        <w:rStyle w:val="24"/>
      </w:rPr>
    </w:pPr>
    <w:r>
      <w:fldChar w:fldCharType="begin"/>
    </w:r>
    <w:r>
      <w:rPr>
        <w:rStyle w:val="24"/>
      </w:rPr>
      <w:instrText xml:space="preserve">PAGE  </w:instrText>
    </w:r>
    <w:r>
      <w:fldChar w:fldCharType="end"/>
    </w:r>
  </w:p>
  <w:p w14:paraId="6A9D455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E639">
    <w:pPr>
      <w:pStyle w:val="14"/>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54731F6B">
    <w:pPr>
      <w:pStyle w:val="14"/>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B007">
    <w:pPr>
      <w:pStyle w:val="15"/>
    </w:pPr>
    <w:r>
      <w:rPr>
        <w:rFonts w:hint="eastAsia"/>
      </w:rPr>
      <w:t>南宁市政府采购公开招标采购文件（项目编号：NNZC2025-G3-270119-JGJD）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02BB">
    <w:pPr>
      <w:pStyle w:val="15"/>
    </w:pPr>
    <w:r>
      <w:rPr>
        <w:rFonts w:hint="eastAsia"/>
      </w:rPr>
      <w:t>南宁市政府采购公开招标采购文件（项目编号：NNZC2025-G3-270119-JGJD）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3"/>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YTZkYzViNTQ5M2I4MTAzYTk5MTBkMDRlZGQ1MTgifQ=="/>
  </w:docVars>
  <w:rsids>
    <w:rsidRoot w:val="00A031D3"/>
    <w:rsid w:val="001916EC"/>
    <w:rsid w:val="003814F1"/>
    <w:rsid w:val="00601A67"/>
    <w:rsid w:val="006A6EDA"/>
    <w:rsid w:val="009B3CEE"/>
    <w:rsid w:val="009E7283"/>
    <w:rsid w:val="00A031D3"/>
    <w:rsid w:val="00DF2BF1"/>
    <w:rsid w:val="014B7BBE"/>
    <w:rsid w:val="01520363"/>
    <w:rsid w:val="05B213AA"/>
    <w:rsid w:val="087D6CD4"/>
    <w:rsid w:val="09DB4137"/>
    <w:rsid w:val="0CA67794"/>
    <w:rsid w:val="0F2940D9"/>
    <w:rsid w:val="10CB5222"/>
    <w:rsid w:val="11F04BAD"/>
    <w:rsid w:val="13130905"/>
    <w:rsid w:val="13AD4DEB"/>
    <w:rsid w:val="1412483A"/>
    <w:rsid w:val="162F3076"/>
    <w:rsid w:val="175FEF62"/>
    <w:rsid w:val="1763654B"/>
    <w:rsid w:val="17697E5C"/>
    <w:rsid w:val="192F56D0"/>
    <w:rsid w:val="1C8925AF"/>
    <w:rsid w:val="1CDD54D6"/>
    <w:rsid w:val="1DF4681E"/>
    <w:rsid w:val="1ED757AE"/>
    <w:rsid w:val="1F2BC332"/>
    <w:rsid w:val="1FADEC2C"/>
    <w:rsid w:val="1FEA462C"/>
    <w:rsid w:val="21392D52"/>
    <w:rsid w:val="231A11EB"/>
    <w:rsid w:val="2352548B"/>
    <w:rsid w:val="23F3E645"/>
    <w:rsid w:val="2A428374"/>
    <w:rsid w:val="2D235C74"/>
    <w:rsid w:val="2DEE2434"/>
    <w:rsid w:val="2DFE606D"/>
    <w:rsid w:val="2EFF2243"/>
    <w:rsid w:val="2F5F427B"/>
    <w:rsid w:val="2FB412DD"/>
    <w:rsid w:val="3025014F"/>
    <w:rsid w:val="3072DAE0"/>
    <w:rsid w:val="30BC77B5"/>
    <w:rsid w:val="3359EAAE"/>
    <w:rsid w:val="339274BD"/>
    <w:rsid w:val="34DBACD9"/>
    <w:rsid w:val="35ECC83D"/>
    <w:rsid w:val="376E2A64"/>
    <w:rsid w:val="3802708F"/>
    <w:rsid w:val="39E3559D"/>
    <w:rsid w:val="39FB0CA5"/>
    <w:rsid w:val="3ADF44F4"/>
    <w:rsid w:val="3B181276"/>
    <w:rsid w:val="3BD9D2F9"/>
    <w:rsid w:val="3BF750E1"/>
    <w:rsid w:val="3BFF9C3A"/>
    <w:rsid w:val="3DAFA26C"/>
    <w:rsid w:val="3F3A2728"/>
    <w:rsid w:val="3F6DC35C"/>
    <w:rsid w:val="3F6E89F1"/>
    <w:rsid w:val="3FDDA833"/>
    <w:rsid w:val="3FE4156D"/>
    <w:rsid w:val="3FFDDD1F"/>
    <w:rsid w:val="3FFF1901"/>
    <w:rsid w:val="40D87B25"/>
    <w:rsid w:val="42497F67"/>
    <w:rsid w:val="442C18EF"/>
    <w:rsid w:val="446613DF"/>
    <w:rsid w:val="44B244EA"/>
    <w:rsid w:val="46024DAC"/>
    <w:rsid w:val="46ED61EB"/>
    <w:rsid w:val="49A81ABC"/>
    <w:rsid w:val="49B94213"/>
    <w:rsid w:val="49F7474D"/>
    <w:rsid w:val="4A021FF3"/>
    <w:rsid w:val="4CEE5883"/>
    <w:rsid w:val="4F5BE202"/>
    <w:rsid w:val="4FC7AB2B"/>
    <w:rsid w:val="4FD9F8FD"/>
    <w:rsid w:val="50493858"/>
    <w:rsid w:val="504B57F2"/>
    <w:rsid w:val="51F9D297"/>
    <w:rsid w:val="52D7336D"/>
    <w:rsid w:val="5377272B"/>
    <w:rsid w:val="557742CC"/>
    <w:rsid w:val="55CD4C0E"/>
    <w:rsid w:val="570F62D0"/>
    <w:rsid w:val="57CF1346"/>
    <w:rsid w:val="59DE17F1"/>
    <w:rsid w:val="59F0F7DE"/>
    <w:rsid w:val="5A07278A"/>
    <w:rsid w:val="5B8F09B5"/>
    <w:rsid w:val="5BECF23C"/>
    <w:rsid w:val="5CFFBBC0"/>
    <w:rsid w:val="5D3F0663"/>
    <w:rsid w:val="5E510478"/>
    <w:rsid w:val="5EE52114"/>
    <w:rsid w:val="5EFB44F7"/>
    <w:rsid w:val="5F69331F"/>
    <w:rsid w:val="5F9F1A34"/>
    <w:rsid w:val="5FBFF516"/>
    <w:rsid w:val="5FEDC66C"/>
    <w:rsid w:val="5FF36F18"/>
    <w:rsid w:val="5FFB426A"/>
    <w:rsid w:val="5FFF3BE6"/>
    <w:rsid w:val="614147D4"/>
    <w:rsid w:val="61C13145"/>
    <w:rsid w:val="61D5D266"/>
    <w:rsid w:val="6377B2EC"/>
    <w:rsid w:val="6415668A"/>
    <w:rsid w:val="649E0AF9"/>
    <w:rsid w:val="66BE1541"/>
    <w:rsid w:val="67B72ABC"/>
    <w:rsid w:val="67BAEE22"/>
    <w:rsid w:val="67BEB412"/>
    <w:rsid w:val="67F7D249"/>
    <w:rsid w:val="687769E1"/>
    <w:rsid w:val="692FCC80"/>
    <w:rsid w:val="69B9B359"/>
    <w:rsid w:val="6B7DA9FF"/>
    <w:rsid w:val="6BAC3984"/>
    <w:rsid w:val="6BBB7FF5"/>
    <w:rsid w:val="6BDFADBA"/>
    <w:rsid w:val="6BEF0EF7"/>
    <w:rsid w:val="6CAA158D"/>
    <w:rsid w:val="6D542498"/>
    <w:rsid w:val="6DF64E7A"/>
    <w:rsid w:val="6E7EB433"/>
    <w:rsid w:val="6EF721ED"/>
    <w:rsid w:val="6EF8530B"/>
    <w:rsid w:val="6EFC6072"/>
    <w:rsid w:val="6F7D3CD6"/>
    <w:rsid w:val="6FA6D871"/>
    <w:rsid w:val="6FB75003"/>
    <w:rsid w:val="6FCD7E03"/>
    <w:rsid w:val="6FDFE229"/>
    <w:rsid w:val="6FDFF6C2"/>
    <w:rsid w:val="6FFFAD42"/>
    <w:rsid w:val="70A627A9"/>
    <w:rsid w:val="70E50623"/>
    <w:rsid w:val="71E83791"/>
    <w:rsid w:val="71F2043E"/>
    <w:rsid w:val="71FFF52B"/>
    <w:rsid w:val="72D721DC"/>
    <w:rsid w:val="72F33A41"/>
    <w:rsid w:val="74781483"/>
    <w:rsid w:val="74C55B6E"/>
    <w:rsid w:val="7562153B"/>
    <w:rsid w:val="75FD8C5A"/>
    <w:rsid w:val="76757DE8"/>
    <w:rsid w:val="76BFECB7"/>
    <w:rsid w:val="778650A2"/>
    <w:rsid w:val="778A5E63"/>
    <w:rsid w:val="77BB1DE1"/>
    <w:rsid w:val="77D50CBF"/>
    <w:rsid w:val="77EF2889"/>
    <w:rsid w:val="77F50107"/>
    <w:rsid w:val="77FF9E8A"/>
    <w:rsid w:val="77FFF192"/>
    <w:rsid w:val="78CC2A74"/>
    <w:rsid w:val="7935BB99"/>
    <w:rsid w:val="79E54ACF"/>
    <w:rsid w:val="79EF79C6"/>
    <w:rsid w:val="79FB5AF2"/>
    <w:rsid w:val="7A010F59"/>
    <w:rsid w:val="7AA385B8"/>
    <w:rsid w:val="7AF01274"/>
    <w:rsid w:val="7AFE5C54"/>
    <w:rsid w:val="7B7BA8EB"/>
    <w:rsid w:val="7BBEBD4B"/>
    <w:rsid w:val="7BBF933C"/>
    <w:rsid w:val="7BDD3E69"/>
    <w:rsid w:val="7BF32D6A"/>
    <w:rsid w:val="7C791B97"/>
    <w:rsid w:val="7CF7EDC6"/>
    <w:rsid w:val="7D2FC9B0"/>
    <w:rsid w:val="7D7E4F8B"/>
    <w:rsid w:val="7D9D73BC"/>
    <w:rsid w:val="7DBBA9D4"/>
    <w:rsid w:val="7DEDF879"/>
    <w:rsid w:val="7DEF5EA4"/>
    <w:rsid w:val="7DEFC14B"/>
    <w:rsid w:val="7E0E1EFF"/>
    <w:rsid w:val="7E3E1E49"/>
    <w:rsid w:val="7EBD76D2"/>
    <w:rsid w:val="7EBDE941"/>
    <w:rsid w:val="7F038896"/>
    <w:rsid w:val="7F3A171C"/>
    <w:rsid w:val="7F3B8432"/>
    <w:rsid w:val="7F7DDEE9"/>
    <w:rsid w:val="7F7F5520"/>
    <w:rsid w:val="7FDD7C70"/>
    <w:rsid w:val="7FDFDAF6"/>
    <w:rsid w:val="7FEBCBDF"/>
    <w:rsid w:val="7FF5FA6C"/>
    <w:rsid w:val="7FFA9D08"/>
    <w:rsid w:val="7FFE5DF8"/>
    <w:rsid w:val="7FFE71C6"/>
    <w:rsid w:val="83DB1D45"/>
    <w:rsid w:val="98F7F6CE"/>
    <w:rsid w:val="9DFFC609"/>
    <w:rsid w:val="9F6BDB46"/>
    <w:rsid w:val="9FD4F612"/>
    <w:rsid w:val="9FF6C3D5"/>
    <w:rsid w:val="A7D30287"/>
    <w:rsid w:val="AFB1D1AE"/>
    <w:rsid w:val="B7B70F5E"/>
    <w:rsid w:val="B7EDFD16"/>
    <w:rsid w:val="B8F5777A"/>
    <w:rsid w:val="B9BEC972"/>
    <w:rsid w:val="B9F74285"/>
    <w:rsid w:val="BAFF65D3"/>
    <w:rsid w:val="BAFFFA5F"/>
    <w:rsid w:val="BBEBB2A6"/>
    <w:rsid w:val="BCCFCFD2"/>
    <w:rsid w:val="BD370D06"/>
    <w:rsid w:val="BDBAADCF"/>
    <w:rsid w:val="BEB64497"/>
    <w:rsid w:val="BEBBE18E"/>
    <w:rsid w:val="BF5D7D23"/>
    <w:rsid w:val="BF7D25B7"/>
    <w:rsid w:val="BF7E82E0"/>
    <w:rsid w:val="BF7F9695"/>
    <w:rsid w:val="BFEC8D4A"/>
    <w:rsid w:val="BFF67F8A"/>
    <w:rsid w:val="BFF7FB85"/>
    <w:rsid w:val="BFFA41F7"/>
    <w:rsid w:val="BFFA5948"/>
    <w:rsid w:val="C3FF7292"/>
    <w:rsid w:val="C7AB62B2"/>
    <w:rsid w:val="CBFFF79B"/>
    <w:rsid w:val="CCD7E003"/>
    <w:rsid w:val="CFEDD025"/>
    <w:rsid w:val="D1BFE4AC"/>
    <w:rsid w:val="D5FB373E"/>
    <w:rsid w:val="D6FD8C60"/>
    <w:rsid w:val="DB7F42A1"/>
    <w:rsid w:val="DBDD3C40"/>
    <w:rsid w:val="DC8F7DCC"/>
    <w:rsid w:val="DCEFF330"/>
    <w:rsid w:val="DD7B7513"/>
    <w:rsid w:val="DDFE77C6"/>
    <w:rsid w:val="DDFF2A6A"/>
    <w:rsid w:val="DED90015"/>
    <w:rsid w:val="DF7B0FED"/>
    <w:rsid w:val="DFAF4F32"/>
    <w:rsid w:val="DFBD6787"/>
    <w:rsid w:val="DFC14313"/>
    <w:rsid w:val="DFFEE93D"/>
    <w:rsid w:val="DFFFDEDD"/>
    <w:rsid w:val="E5DFAB2E"/>
    <w:rsid w:val="E6DF1DBC"/>
    <w:rsid w:val="E7BEB492"/>
    <w:rsid w:val="E8BD9E91"/>
    <w:rsid w:val="EB5FCB68"/>
    <w:rsid w:val="EB770C58"/>
    <w:rsid w:val="EBF6BCEB"/>
    <w:rsid w:val="EC1BC58A"/>
    <w:rsid w:val="ECECB1C4"/>
    <w:rsid w:val="EEDF29F7"/>
    <w:rsid w:val="EF2F8197"/>
    <w:rsid w:val="EF9F8C53"/>
    <w:rsid w:val="EFAD8BB5"/>
    <w:rsid w:val="EFBF7C5F"/>
    <w:rsid w:val="EFE54E74"/>
    <w:rsid w:val="EFFF19A8"/>
    <w:rsid w:val="F0FAE9E2"/>
    <w:rsid w:val="F33D912D"/>
    <w:rsid w:val="F3BB28E4"/>
    <w:rsid w:val="F42F796B"/>
    <w:rsid w:val="F47769D0"/>
    <w:rsid w:val="F4D3F6A9"/>
    <w:rsid w:val="F5FB393B"/>
    <w:rsid w:val="F73E2F8D"/>
    <w:rsid w:val="F7E753A5"/>
    <w:rsid w:val="F7FE56A7"/>
    <w:rsid w:val="F87E4B0A"/>
    <w:rsid w:val="F9DFEB85"/>
    <w:rsid w:val="F9FB28FD"/>
    <w:rsid w:val="F9FFB243"/>
    <w:rsid w:val="FB3FC475"/>
    <w:rsid w:val="FBA7756B"/>
    <w:rsid w:val="FBEDB5AD"/>
    <w:rsid w:val="FBEF3AAA"/>
    <w:rsid w:val="FBFB1181"/>
    <w:rsid w:val="FCF7C459"/>
    <w:rsid w:val="FD5C55CB"/>
    <w:rsid w:val="FD731026"/>
    <w:rsid w:val="FDCFB5C7"/>
    <w:rsid w:val="FDE73F90"/>
    <w:rsid w:val="FDE9E1B9"/>
    <w:rsid w:val="FE7EBC75"/>
    <w:rsid w:val="FEBA7E28"/>
    <w:rsid w:val="FED53400"/>
    <w:rsid w:val="FEEF34E6"/>
    <w:rsid w:val="FEF6A441"/>
    <w:rsid w:val="FF5BCB4D"/>
    <w:rsid w:val="FF7DE2E0"/>
    <w:rsid w:val="FF7F0EBA"/>
    <w:rsid w:val="FF9F9443"/>
    <w:rsid w:val="FFB964D5"/>
    <w:rsid w:val="FFBB11C5"/>
    <w:rsid w:val="FFDF9E1A"/>
    <w:rsid w:val="FFDFB8DA"/>
    <w:rsid w:val="FFDFF685"/>
    <w:rsid w:val="FFE1819F"/>
    <w:rsid w:val="FFF46914"/>
    <w:rsid w:val="FFFBA109"/>
    <w:rsid w:val="FFFBA416"/>
    <w:rsid w:val="FFFCDCAA"/>
    <w:rsid w:val="FFFD9A44"/>
    <w:rsid w:val="FFFF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37"/>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1"/>
    <w:semiHidden/>
    <w:unhideWhenUsed/>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8">
    <w:name w:val="Normal Indent"/>
    <w:basedOn w:val="1"/>
    <w:qFormat/>
    <w:uiPriority w:val="99"/>
    <w:pPr>
      <w:ind w:firstLine="420"/>
    </w:pPr>
    <w:rPr>
      <w:szCs w:val="20"/>
    </w:rPr>
  </w:style>
  <w:style w:type="paragraph" w:styleId="9">
    <w:name w:val="annotation text"/>
    <w:basedOn w:val="1"/>
    <w:qFormat/>
    <w:uiPriority w:val="0"/>
    <w:pPr>
      <w:jc w:val="left"/>
    </w:pPr>
  </w:style>
  <w:style w:type="paragraph" w:styleId="10">
    <w:name w:val="Body Text"/>
    <w:basedOn w:val="1"/>
    <w:next w:val="1"/>
    <w:unhideWhenUsed/>
    <w:qFormat/>
    <w:uiPriority w:val="0"/>
    <w:pPr>
      <w:spacing w:after="120"/>
    </w:p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next w:val="6"/>
    <w:link w:val="38"/>
    <w:unhideWhenUsed/>
    <w:qFormat/>
    <w:uiPriority w:val="0"/>
    <w:rPr>
      <w:rFonts w:ascii="宋体" w:hAnsi="Courier New"/>
      <w:szCs w:val="20"/>
    </w:rPr>
  </w:style>
  <w:style w:type="paragraph" w:styleId="13">
    <w:name w:val="Date"/>
    <w:basedOn w:val="1"/>
    <w:next w:val="1"/>
    <w:unhideWhenUsed/>
    <w:qFormat/>
    <w:uiPriority w:val="99"/>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360" w:after="360"/>
      <w:jc w:val="left"/>
    </w:pPr>
    <w:rPr>
      <w:rFonts w:ascii="Calibri" w:hAnsi="Calibri"/>
      <w:b/>
      <w:bCs/>
      <w:caps/>
      <w:sz w:val="22"/>
      <w:szCs w:val="22"/>
      <w:u w:val="single"/>
    </w:rPr>
  </w:style>
  <w:style w:type="paragraph" w:styleId="17">
    <w:name w:val="List"/>
    <w:basedOn w:val="1"/>
    <w:qFormat/>
    <w:uiPriority w:val="0"/>
    <w:pPr>
      <w:ind w:left="200" w:hanging="200" w:hangingChars="200"/>
    </w:pPr>
    <w:rPr>
      <w:sz w:val="28"/>
    </w:rPr>
  </w:style>
  <w:style w:type="paragraph" w:styleId="18">
    <w:name w:val="toc 2"/>
    <w:basedOn w:val="1"/>
    <w:next w:val="1"/>
    <w:qFormat/>
    <w:uiPriority w:val="0"/>
    <w:pPr>
      <w:jc w:val="left"/>
    </w:pPr>
    <w:rPr>
      <w:rFonts w:ascii="Calibri" w:hAnsi="Calibri"/>
      <w:b/>
      <w:bCs/>
      <w:smallCaps/>
      <w:sz w:val="22"/>
      <w:szCs w:val="22"/>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semiHidden/>
    <w:unhideWhenUsed/>
    <w:qFormat/>
    <w:uiPriority w:val="99"/>
    <w:rPr>
      <w:sz w:val="21"/>
      <w:szCs w:val="21"/>
    </w:rPr>
  </w:style>
  <w:style w:type="character" w:styleId="27">
    <w:name w:val="HTML Sample"/>
    <w:basedOn w:val="23"/>
    <w:qFormat/>
    <w:uiPriority w:val="0"/>
    <w:rPr>
      <w:rFonts w:ascii="Courier New" w:hAnsi="Courier New"/>
    </w:rPr>
  </w:style>
  <w:style w:type="paragraph" w:styleId="28">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2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basedOn w:val="1"/>
    <w:qFormat/>
    <w:uiPriority w:val="0"/>
    <w:pPr>
      <w:adjustRightInd w:val="0"/>
      <w:spacing w:before="156" w:line="360" w:lineRule="auto"/>
      <w:ind w:firstLine="510" w:firstLineChars="200"/>
    </w:pPr>
    <w:rPr>
      <w:sz w:val="24"/>
      <w:szCs w:val="20"/>
    </w:rPr>
  </w:style>
  <w:style w:type="paragraph" w:customStyle="1" w:styleId="31">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5">
    <w:name w:val="List Paragraph"/>
    <w:basedOn w:val="1"/>
    <w:qFormat/>
    <w:uiPriority w:val="34"/>
    <w:pPr>
      <w:ind w:firstLine="420" w:firstLineChars="200"/>
    </w:pPr>
  </w:style>
  <w:style w:type="paragraph" w:customStyle="1" w:styleId="3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标题 4 字符1"/>
    <w:link w:val="6"/>
    <w:qFormat/>
    <w:uiPriority w:val="0"/>
    <w:rPr>
      <w:rFonts w:ascii="Arial" w:eastAsia="黑体"/>
      <w:sz w:val="28"/>
    </w:rPr>
  </w:style>
  <w:style w:type="character" w:customStyle="1" w:styleId="38">
    <w:name w:val="纯文本 字符3"/>
    <w:link w:val="1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1700</Words>
  <Characters>1993</Characters>
  <Lines>9389</Lines>
  <Paragraphs>11656</Paragraphs>
  <TotalTime>87</TotalTime>
  <ScaleCrop>false</ScaleCrop>
  <LinksUpToDate>false</LinksUpToDate>
  <CharactersWithSpaces>2101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2024-08-22T09:09:00Z</dcterms:created>
  <dc:creator>lenovo</dc:creator>
  <cp:lastModifiedBy>001</cp:lastModifiedBy>
  <dcterms:modified xsi:type="dcterms:W3CDTF">2025-08-14T11:11:42Z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0C32BC4AA5554E299BED6CBEE6FCE2BD_13</vt:lpwstr>
  </property>
  <property fmtid="{D5CDD505-2E9C-101B-9397-08002B2CF9AE}" pid="4" name="KSOTemplateDocerSaveRecord">
    <vt:lpwstr>eyJoZGlkIjoiODYzNzJhZDBmY2E5OWI2NWE4NDRkNzgwNWNiNmY1MTciLCJ1c2VySWQiOiI4MzUwNTgwMjMifQ==</vt:lpwstr>
  </property>
</Properties>
</file>