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C02B6">
      <w:pPr>
        <w:spacing w:line="360" w:lineRule="auto"/>
        <w:jc w:val="center"/>
        <w:rPr>
          <w:rFonts w:ascii="宋体" w:hAnsi="宋体" w:cs="宋体"/>
          <w:color w:val="auto"/>
          <w:sz w:val="52"/>
          <w:szCs w:val="52"/>
          <w:highlight w:val="none"/>
        </w:rPr>
      </w:pPr>
      <w:r>
        <w:rPr>
          <w:rFonts w:hint="eastAsia" w:ascii="宋体" w:hAnsi="宋体" w:cs="宋体"/>
          <w:color w:val="auto"/>
          <w:highlight w:val="none"/>
        </w:rPr>
        <w:drawing>
          <wp:inline distT="0" distB="0" distL="114300" distR="114300">
            <wp:extent cx="932180" cy="900430"/>
            <wp:effectExtent l="0" t="0" r="12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932180" cy="900430"/>
                    </a:xfrm>
                    <a:prstGeom prst="rect">
                      <a:avLst/>
                    </a:prstGeom>
                    <a:noFill/>
                    <a:ln>
                      <a:noFill/>
                    </a:ln>
                  </pic:spPr>
                </pic:pic>
              </a:graphicData>
            </a:graphic>
          </wp:inline>
        </w:drawing>
      </w:r>
    </w:p>
    <w:p w14:paraId="59E652DA">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广西金证招标代理有限公司</w:t>
      </w:r>
    </w:p>
    <w:p w14:paraId="2CAD0FCF">
      <w:pPr>
        <w:spacing w:line="360" w:lineRule="auto"/>
        <w:jc w:val="center"/>
        <w:rPr>
          <w:rFonts w:ascii="宋体" w:hAnsi="宋体" w:cs="宋体"/>
          <w:b/>
          <w:color w:val="auto"/>
          <w:sz w:val="44"/>
          <w:szCs w:val="44"/>
          <w:highlight w:val="none"/>
        </w:rPr>
      </w:pPr>
    </w:p>
    <w:p w14:paraId="15DE0E7F">
      <w:pPr>
        <w:pStyle w:val="14"/>
        <w:rPr>
          <w:rFonts w:ascii="宋体" w:hAnsi="宋体" w:cs="宋体"/>
          <w:color w:val="auto"/>
          <w:highlight w:val="none"/>
        </w:rPr>
      </w:pPr>
    </w:p>
    <w:p w14:paraId="4EBAFD75">
      <w:pPr>
        <w:pStyle w:val="25"/>
        <w:rPr>
          <w:color w:val="auto"/>
          <w:highlight w:val="none"/>
        </w:rPr>
      </w:pPr>
    </w:p>
    <w:p w14:paraId="20DE82C2">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96"/>
          <w:szCs w:val="96"/>
          <w:highlight w:val="none"/>
        </w:rPr>
        <w:t>竞争性磋商文件</w:t>
      </w:r>
    </w:p>
    <w:p w14:paraId="5E6212E3">
      <w:pPr>
        <w:snapToGrid w:val="0"/>
        <w:spacing w:before="156" w:beforeLines="50" w:line="360" w:lineRule="auto"/>
        <w:jc w:val="center"/>
        <w:rPr>
          <w:rFonts w:ascii="宋体" w:hAnsi="宋体" w:cs="宋体"/>
          <w:bCs/>
          <w:color w:val="auto"/>
          <w:sz w:val="30"/>
          <w:szCs w:val="72"/>
          <w:highlight w:val="none"/>
        </w:rPr>
      </w:pPr>
      <w:r>
        <w:rPr>
          <w:rFonts w:hint="eastAsia" w:ascii="宋体" w:hAnsi="宋体" w:cs="宋体"/>
          <w:bCs/>
          <w:color w:val="auto"/>
          <w:sz w:val="48"/>
          <w:szCs w:val="48"/>
          <w:highlight w:val="none"/>
        </w:rPr>
        <w:t>（全流程电子化采购）</w:t>
      </w:r>
    </w:p>
    <w:p w14:paraId="625E23D2">
      <w:pPr>
        <w:pStyle w:val="99"/>
        <w:ind w:firstLine="0" w:firstLineChars="0"/>
        <w:rPr>
          <w:rFonts w:ascii="宋体"/>
          <w:color w:val="auto"/>
          <w:sz w:val="30"/>
          <w:szCs w:val="72"/>
          <w:highlight w:val="none"/>
        </w:rPr>
      </w:pPr>
    </w:p>
    <w:p w14:paraId="1F715E62">
      <w:pPr>
        <w:pStyle w:val="99"/>
        <w:ind w:firstLine="0" w:firstLineChars="0"/>
        <w:rPr>
          <w:rFonts w:ascii="宋体"/>
          <w:color w:val="auto"/>
          <w:sz w:val="30"/>
          <w:szCs w:val="72"/>
          <w:highlight w:val="none"/>
        </w:rPr>
      </w:pPr>
    </w:p>
    <w:p w14:paraId="1469E1D5">
      <w:pPr>
        <w:pStyle w:val="17"/>
        <w:snapToGrid w:val="0"/>
        <w:spacing w:line="480" w:lineRule="auto"/>
        <w:ind w:firstLine="301" w:firstLineChars="100"/>
        <w:rPr>
          <w:rFonts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u w:val="single"/>
        </w:rPr>
        <w:t>2025年“桂字号”农业品牌纪录片（专题片）制作推广</w:t>
      </w:r>
    </w:p>
    <w:p w14:paraId="78BF5DA9">
      <w:pPr>
        <w:snapToGrid w:val="0"/>
        <w:spacing w:line="600" w:lineRule="auto"/>
        <w:ind w:firstLine="301" w:firstLineChars="100"/>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u w:val="single"/>
          <w:lang w:eastAsia="zh-CN"/>
        </w:rPr>
        <w:t>GXZC2025-C3-002282-JZZB</w:t>
      </w:r>
    </w:p>
    <w:p w14:paraId="214CAA7A">
      <w:pPr>
        <w:pStyle w:val="17"/>
        <w:snapToGrid w:val="0"/>
        <w:spacing w:line="600" w:lineRule="auto"/>
        <w:ind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bCs/>
          <w:color w:val="auto"/>
          <w:sz w:val="30"/>
          <w:szCs w:val="30"/>
          <w:highlight w:val="none"/>
          <w:u w:val="single"/>
        </w:rPr>
        <w:t>广西壮族自治区农业农村厅</w:t>
      </w:r>
    </w:p>
    <w:p w14:paraId="5BC893CC">
      <w:pPr>
        <w:pStyle w:val="17"/>
        <w:snapToGrid w:val="0"/>
        <w:spacing w:line="600" w:lineRule="auto"/>
        <w:ind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bCs/>
          <w:color w:val="auto"/>
          <w:w w:val="95"/>
          <w:sz w:val="30"/>
          <w:szCs w:val="30"/>
          <w:highlight w:val="none"/>
          <w:u w:val="single"/>
        </w:rPr>
        <w:t>广西金证招标代理有限公司</w:t>
      </w:r>
    </w:p>
    <w:p w14:paraId="194F6524">
      <w:pPr>
        <w:pStyle w:val="17"/>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p>
    <w:p w14:paraId="3A7F2BB5">
      <w:pPr>
        <w:spacing w:line="360" w:lineRule="auto"/>
        <w:rPr>
          <w:rFonts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304" w:right="1361" w:bottom="1304" w:left="1361" w:header="1020" w:footer="1020" w:gutter="0"/>
          <w:pgNumType w:start="0"/>
          <w:cols w:space="720" w:num="1"/>
          <w:titlePg/>
          <w:docGrid w:type="lines" w:linePitch="312" w:charSpace="0"/>
        </w:sectPr>
      </w:pPr>
    </w:p>
    <w:p w14:paraId="6CA575C8">
      <w:pPr>
        <w:spacing w:line="360" w:lineRule="auto"/>
        <w:jc w:val="center"/>
        <w:rPr>
          <w:rFonts w:ascii="宋体" w:hAnsi="宋体" w:cs="宋体"/>
          <w:b/>
          <w:color w:val="auto"/>
          <w:sz w:val="44"/>
          <w:szCs w:val="44"/>
          <w:highlight w:val="none"/>
        </w:rPr>
      </w:pPr>
    </w:p>
    <w:p w14:paraId="468BEEB7">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36DE4669">
      <w:pPr>
        <w:rPr>
          <w:color w:val="auto"/>
          <w:highlight w:val="none"/>
        </w:rPr>
      </w:pPr>
    </w:p>
    <w:p w14:paraId="503B783A">
      <w:pPr>
        <w:pStyle w:val="23"/>
        <w:tabs>
          <w:tab w:val="right" w:leader="dot" w:pos="9184"/>
        </w:tabs>
        <w:rPr>
          <w:color w:val="auto"/>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"1-3" \h \z \u </w:instrText>
      </w:r>
      <w:r>
        <w:rPr>
          <w:rFonts w:hint="eastAsia" w:ascii="宋体" w:hAnsi="宋体" w:cs="宋体"/>
          <w:b/>
          <w:bCs/>
          <w:color w:val="auto"/>
          <w:sz w:val="24"/>
          <w:highlight w:val="none"/>
        </w:rPr>
        <w:fldChar w:fldCharType="separate"/>
      </w: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_Toc860 </w:instrText>
      </w:r>
      <w:r>
        <w:rPr>
          <w:rFonts w:hint="eastAsia" w:ascii="宋体" w:hAnsi="宋体" w:cs="宋体"/>
          <w:bCs/>
          <w:color w:val="auto"/>
          <w:highlight w:val="none"/>
        </w:rPr>
        <w:fldChar w:fldCharType="separate"/>
      </w:r>
      <w:r>
        <w:rPr>
          <w:rFonts w:hint="eastAsia" w:ascii="宋体" w:hAnsi="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_Toc860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olor w:val="auto"/>
          <w:highlight w:val="none"/>
        </w:rPr>
        <w:fldChar w:fldCharType="end"/>
      </w:r>
    </w:p>
    <w:p w14:paraId="4905ADA0">
      <w:pPr>
        <w:pStyle w:val="23"/>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_Toc1456 </w:instrText>
      </w:r>
      <w:r>
        <w:rPr>
          <w:rFonts w:hint="eastAsia" w:ascii="宋体" w:hAnsi="宋体" w:cs="宋体"/>
          <w:bCs/>
          <w:color w:val="auto"/>
          <w:highlight w:val="none"/>
        </w:rPr>
        <w:fldChar w:fldCharType="separate"/>
      </w:r>
      <w:r>
        <w:rPr>
          <w:rFonts w:hint="eastAsia" w:ascii="宋体" w:hAnsi="宋体" w:cs="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_Toc1456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bCs/>
          <w:color w:val="auto"/>
          <w:highlight w:val="none"/>
        </w:rPr>
        <w:fldChar w:fldCharType="end"/>
      </w:r>
    </w:p>
    <w:p w14:paraId="3DA06B6F">
      <w:pPr>
        <w:pStyle w:val="23"/>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_Toc30250 </w:instrText>
      </w:r>
      <w:r>
        <w:rPr>
          <w:rFonts w:hint="eastAsia" w:ascii="宋体" w:hAnsi="宋体" w:cs="宋体"/>
          <w:bCs/>
          <w:color w:val="auto"/>
          <w:highlight w:val="none"/>
        </w:rPr>
        <w:fldChar w:fldCharType="separate"/>
      </w:r>
      <w:r>
        <w:rPr>
          <w:rFonts w:hint="eastAsia" w:ascii="宋体" w:hAnsi="宋体" w:cs="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_Toc30250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olor w:val="auto"/>
          <w:highlight w:val="none"/>
        </w:rPr>
        <w:fldChar w:fldCharType="end"/>
      </w:r>
    </w:p>
    <w:p w14:paraId="547ABB0E">
      <w:pPr>
        <w:pStyle w:val="23"/>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_Toc19085 </w:instrText>
      </w:r>
      <w:r>
        <w:rPr>
          <w:rFonts w:hint="eastAsia" w:ascii="宋体" w:hAnsi="宋体" w:cs="宋体"/>
          <w:bCs/>
          <w:color w:val="auto"/>
          <w:highlight w:val="none"/>
        </w:rPr>
        <w:fldChar w:fldCharType="separate"/>
      </w:r>
      <w:r>
        <w:rPr>
          <w:rFonts w:hint="eastAsia" w:ascii="宋体" w:hAnsi="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_Toc19085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bCs/>
          <w:color w:val="auto"/>
          <w:highlight w:val="none"/>
        </w:rPr>
        <w:fldChar w:fldCharType="end"/>
      </w:r>
    </w:p>
    <w:p w14:paraId="1B2492A5">
      <w:pPr>
        <w:pStyle w:val="23"/>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_Toc30563 </w:instrText>
      </w:r>
      <w:r>
        <w:rPr>
          <w:rFonts w:hint="eastAsia" w:ascii="宋体" w:hAnsi="宋体" w:cs="宋体"/>
          <w:bCs/>
          <w:color w:val="auto"/>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_Toc30563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bCs/>
          <w:color w:val="auto"/>
          <w:highlight w:val="none"/>
        </w:rPr>
        <w:fldChar w:fldCharType="end"/>
      </w:r>
    </w:p>
    <w:p w14:paraId="08919EF8">
      <w:pPr>
        <w:pStyle w:val="23"/>
        <w:tabs>
          <w:tab w:val="right" w:leader="dot" w:pos="9184"/>
        </w:tabs>
        <w:rPr>
          <w:color w:val="auto"/>
          <w:highlight w:val="none"/>
        </w:rPr>
      </w:pPr>
      <w:r>
        <w:rPr>
          <w:rFonts w:hint="eastAsia" w:ascii="宋体" w:hAnsi="宋体" w:cs="宋体"/>
          <w:bCs/>
          <w:color w:val="auto"/>
          <w:highlight w:val="none"/>
        </w:rPr>
        <w:fldChar w:fldCharType="begin"/>
      </w:r>
      <w:r>
        <w:rPr>
          <w:rFonts w:hint="eastAsia" w:ascii="宋体" w:hAnsi="宋体" w:cs="宋体"/>
          <w:bCs/>
          <w:color w:val="auto"/>
          <w:highlight w:val="none"/>
        </w:rPr>
        <w:instrText xml:space="preserve"> HYPERLINK \l _Toc24722 </w:instrText>
      </w:r>
      <w:r>
        <w:rPr>
          <w:rFonts w:hint="eastAsia" w:ascii="宋体" w:hAnsi="宋体" w:cs="宋体"/>
          <w:bCs/>
          <w:color w:val="auto"/>
          <w:highlight w:val="none"/>
        </w:rPr>
        <w:fldChar w:fldCharType="separate"/>
      </w:r>
      <w:r>
        <w:rPr>
          <w:rFonts w:hint="eastAsia" w:ascii="宋体" w:hAnsi="宋体" w:cs="宋体"/>
          <w:bCs/>
          <w:color w:val="auto"/>
          <w:kern w:val="44"/>
          <w:szCs w:val="44"/>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_Toc24722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bCs/>
          <w:color w:val="auto"/>
          <w:highlight w:val="none"/>
        </w:rPr>
        <w:fldChar w:fldCharType="end"/>
      </w:r>
    </w:p>
    <w:p w14:paraId="301E8DCA">
      <w:pPr>
        <w:pStyle w:val="24"/>
        <w:tabs>
          <w:tab w:val="right" w:leader="dot" w:pos="8931"/>
          <w:tab w:val="clear" w:pos="8296"/>
        </w:tabs>
        <w:snapToGrid w:val="0"/>
        <w:spacing w:line="360" w:lineRule="auto"/>
        <w:ind w:left="0" w:leftChars="0"/>
        <w:rPr>
          <w:rFonts w:ascii="宋体" w:hAnsi="宋体" w:cs="宋体"/>
          <w:b/>
          <w:color w:val="auto"/>
          <w:sz w:val="24"/>
          <w:highlight w:val="none"/>
        </w:rPr>
      </w:pPr>
      <w:r>
        <w:rPr>
          <w:rFonts w:hint="eastAsia" w:ascii="宋体" w:hAnsi="宋体" w:cs="宋体"/>
          <w:bCs/>
          <w:color w:val="auto"/>
          <w:highlight w:val="none"/>
        </w:rPr>
        <w:fldChar w:fldCharType="end"/>
      </w:r>
    </w:p>
    <w:p w14:paraId="2EEB9E26">
      <w:pPr>
        <w:spacing w:line="400" w:lineRule="exact"/>
        <w:jc w:val="left"/>
        <w:rPr>
          <w:rFonts w:ascii="宋体" w:hAnsi="宋体" w:cs="宋体"/>
          <w:b/>
          <w:color w:val="auto"/>
          <w:sz w:val="32"/>
          <w:szCs w:val="32"/>
          <w:highlight w:val="none"/>
        </w:rPr>
      </w:pPr>
    </w:p>
    <w:p w14:paraId="221EEBD8">
      <w:pPr>
        <w:spacing w:line="400" w:lineRule="exact"/>
        <w:jc w:val="center"/>
        <w:rPr>
          <w:rFonts w:ascii="宋体" w:hAnsi="宋体" w:cs="宋体"/>
          <w:b/>
          <w:color w:val="auto"/>
          <w:sz w:val="32"/>
          <w:szCs w:val="32"/>
          <w:highlight w:val="none"/>
        </w:rPr>
      </w:pPr>
    </w:p>
    <w:p w14:paraId="1DC71083">
      <w:pPr>
        <w:spacing w:line="400" w:lineRule="exact"/>
        <w:jc w:val="center"/>
        <w:rPr>
          <w:rFonts w:ascii="宋体" w:hAnsi="宋体" w:cs="宋体"/>
          <w:b/>
          <w:color w:val="auto"/>
          <w:sz w:val="32"/>
          <w:szCs w:val="32"/>
          <w:highlight w:val="none"/>
        </w:rPr>
      </w:pPr>
    </w:p>
    <w:p w14:paraId="01ED8893">
      <w:pPr>
        <w:spacing w:line="400" w:lineRule="exact"/>
        <w:rPr>
          <w:rFonts w:ascii="宋体" w:hAnsi="宋体" w:cs="宋体"/>
          <w:b/>
          <w:color w:val="auto"/>
          <w:sz w:val="32"/>
          <w:szCs w:val="32"/>
          <w:highlight w:val="none"/>
        </w:rPr>
        <w:sectPr>
          <w:footerReference r:id="rId8" w:type="first"/>
          <w:footerReference r:id="rId7" w:type="default"/>
          <w:pgSz w:w="11906" w:h="16838"/>
          <w:pgMar w:top="1304" w:right="1361" w:bottom="1304" w:left="1361" w:header="1020" w:footer="1020" w:gutter="0"/>
          <w:pgNumType w:start="0"/>
          <w:cols w:space="720" w:num="1"/>
          <w:docGrid w:type="lines" w:linePitch="312" w:charSpace="0"/>
        </w:sectPr>
      </w:pPr>
    </w:p>
    <w:p w14:paraId="7B48B256">
      <w:pPr>
        <w:pStyle w:val="3"/>
        <w:spacing w:before="40" w:after="40" w:line="288" w:lineRule="auto"/>
        <w:jc w:val="center"/>
        <w:rPr>
          <w:rFonts w:ascii="宋体" w:hAnsi="宋体" w:cs="宋体"/>
          <w:color w:val="auto"/>
          <w:highlight w:val="none"/>
        </w:rPr>
      </w:pPr>
      <w:bookmarkStart w:id="0" w:name="_Toc860"/>
      <w:r>
        <w:rPr>
          <w:rFonts w:hint="eastAsia" w:ascii="宋体" w:hAnsi="宋体" w:cs="宋体"/>
          <w:color w:val="auto"/>
          <w:highlight w:val="none"/>
        </w:rPr>
        <w:t>第一章 竞争性磋商公告</w:t>
      </w:r>
      <w:bookmarkEnd w:id="0"/>
    </w:p>
    <w:p w14:paraId="0AB68AF7">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广西金证招标代理有限公司关于2025年“桂字号”农业品牌纪录片（专题片）制作推广的竞争性磋商公告</w:t>
      </w:r>
    </w:p>
    <w:p w14:paraId="4A90E174">
      <w:pPr>
        <w:pBdr>
          <w:top w:val="single" w:color="auto" w:sz="4" w:space="1"/>
          <w:left w:val="single" w:color="auto" w:sz="4" w:space="4"/>
          <w:bottom w:val="single" w:color="auto" w:sz="4" w:space="1"/>
          <w:right w:val="single" w:color="auto" w:sz="4" w:space="4"/>
        </w:pBdr>
        <w:spacing w:line="390" w:lineRule="exact"/>
        <w:ind w:firstLine="422" w:firstLineChars="200"/>
        <w:rPr>
          <w:rFonts w:ascii="宋体" w:hAnsi="宋体" w:cs="宋体"/>
          <w:b/>
          <w:bCs/>
          <w:color w:val="auto"/>
          <w:szCs w:val="21"/>
          <w:highlight w:val="none"/>
        </w:rPr>
      </w:pPr>
      <w:bookmarkStart w:id="1" w:name="_Hlk37430271"/>
      <w:r>
        <w:rPr>
          <w:rFonts w:hint="eastAsia" w:ascii="宋体" w:hAnsi="宋体" w:cs="宋体"/>
          <w:b/>
          <w:bCs/>
          <w:color w:val="auto"/>
          <w:szCs w:val="21"/>
          <w:highlight w:val="none"/>
        </w:rPr>
        <w:t>项目概况</w:t>
      </w:r>
    </w:p>
    <w:p w14:paraId="2B2F00C2">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2025年“桂字号”农业品牌纪录片（专题片）制作推广采购项目的潜在供应商应在广西政府采购云平台（https://www.gcy.zfcg.gxzf.gov.cn）获取竞争性磋商文件，并于</w:t>
      </w:r>
      <w:r>
        <w:rPr>
          <w:rFonts w:hint="eastAsia" w:ascii="宋体" w:hAnsi="宋体" w:cs="宋体"/>
          <w:color w:val="auto"/>
          <w:szCs w:val="21"/>
          <w:highlight w:val="none"/>
          <w:lang w:eastAsia="zh-CN"/>
        </w:rPr>
        <w:t>2025年8月19日9时30分</w:t>
      </w:r>
      <w:r>
        <w:rPr>
          <w:rFonts w:hint="eastAsia" w:ascii="宋体" w:hAnsi="宋体" w:cs="宋体"/>
          <w:bCs/>
          <w:color w:val="auto"/>
          <w:szCs w:val="21"/>
          <w:highlight w:val="none"/>
        </w:rPr>
        <w:t>（北京时间）前提交</w:t>
      </w:r>
      <w:r>
        <w:rPr>
          <w:rFonts w:hint="eastAsia" w:ascii="宋体" w:hAnsi="宋体" w:cs="宋体"/>
          <w:color w:val="auto"/>
          <w:szCs w:val="21"/>
          <w:highlight w:val="none"/>
        </w:rPr>
        <w:t>响应</w:t>
      </w:r>
      <w:r>
        <w:rPr>
          <w:rFonts w:hint="eastAsia" w:ascii="宋体" w:hAnsi="宋体" w:cs="宋体"/>
          <w:bCs/>
          <w:color w:val="auto"/>
          <w:szCs w:val="21"/>
          <w:highlight w:val="none"/>
        </w:rPr>
        <w:t>文件</w:t>
      </w:r>
      <w:r>
        <w:rPr>
          <w:rFonts w:hint="eastAsia" w:ascii="宋体" w:hAnsi="宋体" w:cs="宋体"/>
          <w:color w:val="auto"/>
          <w:szCs w:val="21"/>
          <w:highlight w:val="none"/>
        </w:rPr>
        <w:t>。</w:t>
      </w:r>
    </w:p>
    <w:p w14:paraId="2CB6A0C3">
      <w:pPr>
        <w:spacing w:line="360" w:lineRule="auto"/>
        <w:ind w:firstLine="310" w:firstLineChars="147"/>
        <w:rPr>
          <w:rFonts w:ascii="宋体" w:hAnsi="宋体" w:cs="宋体"/>
          <w:b/>
          <w:color w:val="auto"/>
          <w:szCs w:val="21"/>
          <w:highlight w:val="none"/>
        </w:rPr>
      </w:pPr>
      <w:bookmarkStart w:id="2" w:name="_Toc28359012"/>
      <w:bookmarkStart w:id="3" w:name="_Toc35393629"/>
      <w:bookmarkStart w:id="4" w:name="_Toc28359089"/>
      <w:bookmarkStart w:id="5" w:name="_Toc35393798"/>
      <w:bookmarkStart w:id="6" w:name="_Toc71365905"/>
      <w:bookmarkStart w:id="7" w:name="_Toc44229878"/>
      <w:r>
        <w:rPr>
          <w:rFonts w:hint="eastAsia" w:ascii="宋体" w:hAnsi="宋体" w:cs="宋体"/>
          <w:b/>
          <w:color w:val="auto"/>
          <w:szCs w:val="21"/>
          <w:highlight w:val="none"/>
        </w:rPr>
        <w:t>一、项目基本情况</w:t>
      </w:r>
      <w:bookmarkEnd w:id="2"/>
      <w:bookmarkEnd w:id="3"/>
      <w:bookmarkEnd w:id="4"/>
      <w:bookmarkEnd w:id="5"/>
      <w:bookmarkEnd w:id="6"/>
      <w:bookmarkEnd w:id="7"/>
    </w:p>
    <w:p w14:paraId="5A738B6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GXZC2025-C3-002282-JZZB</w:t>
      </w:r>
    </w:p>
    <w:p w14:paraId="00E9AB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项目名称：2025年“桂字号”农业品牌纪录片（专题片）制作推广</w:t>
      </w:r>
    </w:p>
    <w:p w14:paraId="4AD655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497B0CE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olor w:val="auto"/>
          <w:szCs w:val="21"/>
          <w:highlight w:val="none"/>
        </w:rPr>
        <w:t>1000000.00元</w:t>
      </w:r>
    </w:p>
    <w:p w14:paraId="2E0D2D6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采购需求：</w:t>
      </w:r>
    </w:p>
    <w:p w14:paraId="7A7DE1FA">
      <w:pPr>
        <w:spacing w:line="360" w:lineRule="auto"/>
        <w:ind w:firstLine="840" w:firstLineChars="400"/>
        <w:rPr>
          <w:rFonts w:ascii="宋体" w:hAnsi="宋体" w:cs="宋体"/>
          <w:color w:val="auto"/>
          <w:szCs w:val="21"/>
          <w:highlight w:val="none"/>
        </w:rPr>
      </w:pPr>
      <w:bookmarkStart w:id="8" w:name="_Toc71365906"/>
      <w:bookmarkStart w:id="9" w:name="_Toc35393799"/>
      <w:bookmarkStart w:id="10" w:name="_Toc28359013"/>
      <w:bookmarkStart w:id="11" w:name="_Toc44229879"/>
      <w:bookmarkStart w:id="12" w:name="_Toc35393630"/>
      <w:bookmarkStart w:id="13" w:name="_Toc28359090"/>
      <w:r>
        <w:rPr>
          <w:rFonts w:hint="eastAsia" w:ascii="宋体" w:hAnsi="宋体" w:cs="宋体"/>
          <w:color w:val="auto"/>
          <w:szCs w:val="21"/>
          <w:highlight w:val="none"/>
        </w:rPr>
        <w:t>标项名称：2025年“桂字号”农业品牌纪录片（专题片）制作推广</w:t>
      </w:r>
    </w:p>
    <w:p w14:paraId="4E01C3A2">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数量：1</w:t>
      </w:r>
    </w:p>
    <w:p w14:paraId="73510FF1">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olor w:val="auto"/>
          <w:szCs w:val="21"/>
          <w:highlight w:val="none"/>
        </w:rPr>
        <w:t>1000000.00元</w:t>
      </w:r>
    </w:p>
    <w:p w14:paraId="16029208">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简要规格描述或项目基本概况介绍、用途：2025年“桂字号”农业品牌纪录片（专题片）制作推广1项，具体详见竞争性磋商文件。</w:t>
      </w:r>
    </w:p>
    <w:p w14:paraId="21A4F51B">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最高限价（如有）：</w:t>
      </w:r>
      <w:r>
        <w:rPr>
          <w:rFonts w:hint="eastAsia" w:ascii="宋体" w:hAnsi="宋体"/>
          <w:color w:val="auto"/>
          <w:szCs w:val="21"/>
          <w:highlight w:val="none"/>
        </w:rPr>
        <w:t>1000000.00元</w:t>
      </w:r>
    </w:p>
    <w:p w14:paraId="6175F13F">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合同履约期限：自合同生效之日起，2025年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日前提交成果初稿（包括规划文本</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规划布局图</w:t>
      </w:r>
      <w:r>
        <w:rPr>
          <w:rFonts w:hint="eastAsia" w:ascii="宋体" w:hAnsi="宋体" w:cs="宋体"/>
          <w:color w:val="auto"/>
          <w:szCs w:val="21"/>
          <w:highlight w:val="none"/>
          <w:lang w:val="en-US" w:eastAsia="zh-CN"/>
        </w:rPr>
        <w:t>及部分视频</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日提交审核通过的成果终稿。</w:t>
      </w:r>
    </w:p>
    <w:p w14:paraId="03B9A27B">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本项目（否）接受联合体。</w:t>
      </w:r>
    </w:p>
    <w:p w14:paraId="4EB1D6E0">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备注：/</w:t>
      </w:r>
    </w:p>
    <w:p w14:paraId="710D01E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二、申请人的资格条件：</w:t>
      </w:r>
      <w:bookmarkEnd w:id="8"/>
      <w:bookmarkEnd w:id="9"/>
      <w:bookmarkEnd w:id="10"/>
      <w:bookmarkEnd w:id="11"/>
      <w:bookmarkEnd w:id="12"/>
      <w:bookmarkEnd w:id="13"/>
    </w:p>
    <w:p w14:paraId="7027CF48">
      <w:pPr>
        <w:spacing w:line="360" w:lineRule="auto"/>
        <w:ind w:firstLine="420" w:firstLineChars="200"/>
        <w:rPr>
          <w:rFonts w:ascii="宋体" w:hAnsi="宋体" w:cs="宋体"/>
          <w:color w:val="auto"/>
          <w:szCs w:val="21"/>
          <w:highlight w:val="none"/>
        </w:rPr>
      </w:pPr>
      <w:bookmarkStart w:id="14" w:name="_Toc35393800"/>
      <w:bookmarkStart w:id="15" w:name="_Toc35393631"/>
      <w:bookmarkStart w:id="16" w:name="_Toc28359091"/>
      <w:bookmarkStart w:id="17" w:name="_Toc44229880"/>
      <w:bookmarkStart w:id="18" w:name="_Toc28359014"/>
      <w:r>
        <w:rPr>
          <w:rFonts w:hint="eastAsia" w:ascii="宋体" w:hAnsi="宋体" w:cs="宋体"/>
          <w:color w:val="auto"/>
          <w:szCs w:val="21"/>
          <w:highlight w:val="none"/>
        </w:rPr>
        <w:t>1.满足《中华人民共和国政府采购法》第二十二条规定；</w:t>
      </w:r>
    </w:p>
    <w:p w14:paraId="632B3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2.落实政府采购政策需满足的资格要求：非专门面向中小企业采购的项目；</w:t>
      </w:r>
    </w:p>
    <w:p w14:paraId="168657C8">
      <w:pPr>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4AC7E2ED">
      <w:pPr>
        <w:spacing w:line="360" w:lineRule="auto"/>
        <w:ind w:firstLine="310" w:firstLineChars="147"/>
        <w:rPr>
          <w:rFonts w:ascii="宋体" w:hAnsi="宋体" w:cs="宋体"/>
          <w:b/>
          <w:color w:val="auto"/>
          <w:szCs w:val="21"/>
          <w:highlight w:val="none"/>
        </w:rPr>
      </w:pPr>
      <w:bookmarkStart w:id="19" w:name="_Toc71365907"/>
      <w:r>
        <w:rPr>
          <w:rFonts w:hint="eastAsia" w:ascii="宋体" w:hAnsi="宋体" w:cs="宋体"/>
          <w:b/>
          <w:color w:val="auto"/>
          <w:szCs w:val="21"/>
          <w:highlight w:val="none"/>
        </w:rPr>
        <w:t>三、获取竞争性磋商文件</w:t>
      </w:r>
      <w:bookmarkEnd w:id="14"/>
      <w:bookmarkEnd w:id="15"/>
      <w:bookmarkEnd w:id="16"/>
      <w:bookmarkEnd w:id="17"/>
      <w:bookmarkEnd w:id="18"/>
      <w:bookmarkEnd w:id="19"/>
    </w:p>
    <w:p w14:paraId="41638B05">
      <w:pPr>
        <w:spacing w:line="360" w:lineRule="auto"/>
        <w:ind w:firstLine="420" w:firstLineChars="200"/>
        <w:rPr>
          <w:rFonts w:ascii="宋体" w:hAnsi="宋体" w:cs="宋体"/>
          <w:bCs/>
          <w:color w:val="auto"/>
          <w:kern w:val="0"/>
          <w:szCs w:val="21"/>
          <w:highlight w:val="none"/>
        </w:rPr>
      </w:pPr>
      <w:bookmarkStart w:id="20" w:name="_Toc28359092"/>
      <w:bookmarkStart w:id="21" w:name="_Toc35393801"/>
      <w:bookmarkStart w:id="22" w:name="_Toc44229881"/>
      <w:bookmarkStart w:id="23" w:name="_Toc28359015"/>
      <w:bookmarkStart w:id="24" w:name="_Toc35393632"/>
      <w:r>
        <w:rPr>
          <w:rFonts w:hint="eastAsia" w:ascii="宋体" w:hAnsi="宋体" w:cs="宋体"/>
          <w:bCs/>
          <w:color w:val="auto"/>
          <w:kern w:val="0"/>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日至2025年</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日，</w:t>
      </w:r>
      <w:r>
        <w:rPr>
          <w:rFonts w:hint="eastAsia" w:ascii="宋体" w:hAnsi="宋体" w:cs="宋体"/>
          <w:color w:val="auto"/>
          <w:szCs w:val="21"/>
          <w:highlight w:val="none"/>
        </w:rPr>
        <w:t>每天上午00:00至11:59，下午12:00至23:59（北京时间，法定节假日除外）</w:t>
      </w:r>
    </w:p>
    <w:p w14:paraId="1FE6DDA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3378E2A7">
      <w:pPr>
        <w:widowControl/>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szCs w:val="21"/>
          <w:highlight w:val="none"/>
        </w:rPr>
        <w:t>方式：</w:t>
      </w:r>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s="宋体"/>
          <w:color w:val="auto"/>
          <w:szCs w:val="21"/>
          <w:highlight w:val="none"/>
        </w:rPr>
        <w:t>电子响应文件制作需要基于广西政府采购云平台获取的磋商文件编制，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7A7B690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售价：0元 </w:t>
      </w:r>
    </w:p>
    <w:p w14:paraId="75DDA40F">
      <w:pPr>
        <w:spacing w:line="360" w:lineRule="auto"/>
        <w:ind w:firstLine="310" w:firstLineChars="147"/>
        <w:rPr>
          <w:rFonts w:ascii="宋体" w:hAnsi="宋体" w:cs="宋体"/>
          <w:b/>
          <w:color w:val="auto"/>
          <w:szCs w:val="21"/>
          <w:highlight w:val="none"/>
        </w:rPr>
      </w:pPr>
      <w:bookmarkStart w:id="25" w:name="_Toc71365908"/>
      <w:r>
        <w:rPr>
          <w:rFonts w:hint="eastAsia" w:ascii="宋体" w:hAnsi="宋体" w:cs="宋体"/>
          <w:b/>
          <w:color w:val="auto"/>
          <w:szCs w:val="21"/>
          <w:highlight w:val="none"/>
        </w:rPr>
        <w:t>四、响应文件提交</w:t>
      </w:r>
      <w:bookmarkEnd w:id="20"/>
      <w:bookmarkEnd w:id="21"/>
      <w:bookmarkEnd w:id="22"/>
      <w:bookmarkEnd w:id="23"/>
      <w:bookmarkEnd w:id="24"/>
      <w:bookmarkEnd w:id="25"/>
    </w:p>
    <w:p w14:paraId="1AC829AA">
      <w:pPr>
        <w:spacing w:line="360" w:lineRule="auto"/>
        <w:ind w:firstLine="420" w:firstLineChars="200"/>
        <w:rPr>
          <w:rFonts w:ascii="宋体" w:hAnsi="宋体" w:cs="宋体"/>
          <w:color w:val="auto"/>
          <w:szCs w:val="21"/>
          <w:highlight w:val="none"/>
          <w:u w:val="single"/>
        </w:rPr>
      </w:pPr>
      <w:bookmarkStart w:id="26" w:name="_Toc35393802"/>
      <w:bookmarkStart w:id="27" w:name="_Toc35393633"/>
      <w:bookmarkStart w:id="28" w:name="_Toc44229882"/>
      <w:bookmarkStart w:id="29" w:name="_Toc28359016"/>
      <w:bookmarkStart w:id="30" w:name="_Toc28359093"/>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2025年8月19日9时30分</w:t>
      </w:r>
      <w:r>
        <w:rPr>
          <w:rFonts w:hint="eastAsia" w:ascii="宋体" w:hAnsi="宋体" w:cs="宋体"/>
          <w:bCs/>
          <w:color w:val="auto"/>
          <w:szCs w:val="21"/>
          <w:highlight w:val="none"/>
        </w:rPr>
        <w:t>（北京时间）</w:t>
      </w:r>
    </w:p>
    <w:p w14:paraId="1FD96A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4F87B72D">
      <w:pPr>
        <w:spacing w:line="360" w:lineRule="auto"/>
        <w:ind w:firstLine="310" w:firstLineChars="147"/>
        <w:rPr>
          <w:rFonts w:ascii="宋体" w:hAnsi="宋体" w:cs="宋体"/>
          <w:b/>
          <w:color w:val="auto"/>
          <w:szCs w:val="21"/>
          <w:highlight w:val="none"/>
        </w:rPr>
      </w:pPr>
      <w:bookmarkStart w:id="31" w:name="_Toc71365909"/>
      <w:r>
        <w:rPr>
          <w:rFonts w:hint="eastAsia" w:ascii="宋体" w:hAnsi="宋体" w:cs="宋体"/>
          <w:b/>
          <w:color w:val="auto"/>
          <w:szCs w:val="21"/>
          <w:highlight w:val="none"/>
        </w:rPr>
        <w:t>五、开启</w:t>
      </w:r>
      <w:bookmarkEnd w:id="26"/>
      <w:bookmarkEnd w:id="27"/>
      <w:bookmarkEnd w:id="28"/>
      <w:bookmarkEnd w:id="29"/>
      <w:bookmarkEnd w:id="30"/>
      <w:bookmarkEnd w:id="31"/>
    </w:p>
    <w:p w14:paraId="67D6A2A6">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2025年8月19日9时30分</w:t>
      </w:r>
      <w:r>
        <w:rPr>
          <w:rFonts w:hint="eastAsia" w:ascii="宋体" w:hAnsi="宋体" w:cs="宋体"/>
          <w:bCs/>
          <w:color w:val="auto"/>
          <w:szCs w:val="21"/>
          <w:highlight w:val="none"/>
        </w:rPr>
        <w:t>（北京时间）</w:t>
      </w:r>
    </w:p>
    <w:p w14:paraId="225AB46B">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14:paraId="6A5D28FC">
      <w:pPr>
        <w:spacing w:line="360" w:lineRule="auto"/>
        <w:ind w:firstLine="310" w:firstLineChars="147"/>
        <w:rPr>
          <w:rFonts w:ascii="宋体" w:hAnsi="宋体" w:cs="宋体"/>
          <w:b/>
          <w:color w:val="auto"/>
          <w:szCs w:val="21"/>
          <w:highlight w:val="none"/>
        </w:rPr>
      </w:pPr>
      <w:bookmarkStart w:id="32" w:name="_Toc35393803"/>
      <w:bookmarkStart w:id="33" w:name="_Toc35393634"/>
      <w:bookmarkStart w:id="34" w:name="_Toc71365910"/>
      <w:bookmarkStart w:id="35" w:name="_Toc28359017"/>
      <w:bookmarkStart w:id="36" w:name="_Toc28359094"/>
      <w:bookmarkStart w:id="37" w:name="_Toc44229883"/>
      <w:r>
        <w:rPr>
          <w:rFonts w:hint="eastAsia" w:ascii="宋体" w:hAnsi="宋体" w:cs="宋体"/>
          <w:b/>
          <w:color w:val="auto"/>
          <w:szCs w:val="21"/>
          <w:highlight w:val="none"/>
        </w:rPr>
        <w:t>六、公告期限</w:t>
      </w:r>
      <w:bookmarkEnd w:id="32"/>
      <w:bookmarkEnd w:id="33"/>
      <w:bookmarkEnd w:id="34"/>
      <w:bookmarkEnd w:id="35"/>
      <w:bookmarkEnd w:id="36"/>
      <w:bookmarkEnd w:id="37"/>
    </w:p>
    <w:p w14:paraId="0BEF5EB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08D4240">
      <w:pPr>
        <w:spacing w:line="360" w:lineRule="auto"/>
        <w:ind w:firstLine="310" w:firstLineChars="147"/>
        <w:rPr>
          <w:rFonts w:ascii="宋体" w:hAnsi="宋体" w:cs="宋体"/>
          <w:b/>
          <w:color w:val="auto"/>
          <w:szCs w:val="21"/>
          <w:highlight w:val="none"/>
        </w:rPr>
      </w:pPr>
      <w:bookmarkStart w:id="38" w:name="_Toc35393635"/>
      <w:bookmarkStart w:id="39" w:name="_Toc35393804"/>
      <w:bookmarkStart w:id="40" w:name="_Toc71365911"/>
      <w:bookmarkStart w:id="41" w:name="_Toc44229884"/>
      <w:r>
        <w:rPr>
          <w:rFonts w:hint="eastAsia" w:ascii="宋体" w:hAnsi="宋体" w:cs="宋体"/>
          <w:b/>
          <w:color w:val="auto"/>
          <w:szCs w:val="21"/>
          <w:highlight w:val="none"/>
        </w:rPr>
        <w:t>七、其他补充事宜</w:t>
      </w:r>
      <w:bookmarkEnd w:id="38"/>
      <w:bookmarkEnd w:id="39"/>
      <w:bookmarkEnd w:id="40"/>
      <w:bookmarkEnd w:id="41"/>
    </w:p>
    <w:p w14:paraId="1D9D34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1.磋商保证金：10000元。</w:t>
      </w:r>
    </w:p>
    <w:p w14:paraId="77E9890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禁止采用现钞方式。采用银行转账方式的，在首次响应文件提交截止时间前交至采购代理机构指定账户并且到账（开户银行：中国民生银行南宁分行营业部，开户名称：广西金证招标代理有限公司，银行账号：172186123）；采用支票、汇票、本票或者保函等方式的，在首次响应文件提交截止时间前，供应商必须提交单独密封的支票、汇票、本票或者保函原件。否则视为无效磋商保证金。</w:t>
      </w:r>
    </w:p>
    <w:p w14:paraId="22B0D734">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2.网上查询地址</w:t>
      </w:r>
    </w:p>
    <w:p w14:paraId="5C2741A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Cs w:val="21"/>
          <w:highlight w:val="none"/>
        </w:rPr>
        <w:t>http://www.ccgp.gov.cn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ascii="宋体" w:hAnsi="宋体" w:cs="宋体"/>
          <w:color w:val="auto"/>
          <w:kern w:val="0"/>
          <w:szCs w:val="21"/>
          <w:highlight w:val="none"/>
        </w:rPr>
        <w:t>http://zfcg.gxzf.gov.cn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4E9DEF7B">
      <w:pPr>
        <w:spacing w:line="360" w:lineRule="auto"/>
        <w:ind w:firstLine="426" w:firstLineChars="202"/>
        <w:rPr>
          <w:rFonts w:ascii="宋体" w:hAnsi="宋体" w:cs="宋体"/>
          <w:b/>
          <w:bCs/>
          <w:color w:val="auto"/>
          <w:kern w:val="0"/>
          <w:szCs w:val="21"/>
          <w:highlight w:val="none"/>
        </w:rPr>
      </w:pPr>
      <w:bookmarkStart w:id="42" w:name="_Hlk37429674"/>
      <w:bookmarkStart w:id="43" w:name="_Toc28359018"/>
      <w:bookmarkStart w:id="44" w:name="_Toc28359095"/>
      <w:bookmarkStart w:id="45" w:name="_Toc35393805"/>
      <w:bookmarkStart w:id="46" w:name="_Toc35393636"/>
      <w:bookmarkStart w:id="47" w:name="_Toc44229885"/>
      <w:r>
        <w:rPr>
          <w:rFonts w:hint="eastAsia" w:ascii="宋体" w:hAnsi="宋体" w:cs="宋体"/>
          <w:b/>
          <w:bCs/>
          <w:color w:val="auto"/>
          <w:szCs w:val="21"/>
          <w:highlight w:val="none"/>
        </w:rPr>
        <w:t>3.</w:t>
      </w:r>
      <w:r>
        <w:rPr>
          <w:rFonts w:hint="eastAsia" w:ascii="宋体" w:hAnsi="宋体" w:cs="宋体"/>
          <w:b/>
          <w:bCs/>
          <w:color w:val="auto"/>
          <w:kern w:val="0"/>
          <w:szCs w:val="21"/>
          <w:highlight w:val="none"/>
        </w:rPr>
        <w:t>本项目需要落实的政府采购政策</w:t>
      </w:r>
    </w:p>
    <w:p w14:paraId="070647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6DA0D1C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3232AAD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p>
    <w:p w14:paraId="63AB55CF">
      <w:pPr>
        <w:pStyle w:val="12"/>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4</w:t>
      </w:r>
      <w:r>
        <w:rPr>
          <w:rFonts w:hint="eastAsia" w:ascii="宋体" w:hAnsi="宋体" w:cs="宋体"/>
          <w:color w:val="auto"/>
          <w:szCs w:val="21"/>
          <w:highlight w:val="none"/>
        </w:rPr>
        <w:t>）政府采购支持采用本国产品的政策；</w:t>
      </w:r>
    </w:p>
    <w:p w14:paraId="287CFF0A">
      <w:pPr>
        <w:pStyle w:val="12"/>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（5）强制采购节能产品；优先采购节能产品、环境标志产品。</w:t>
      </w:r>
    </w:p>
    <w:bookmarkEnd w:id="42"/>
    <w:p w14:paraId="05D22AAE">
      <w:pPr>
        <w:widowControl/>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kern w:val="0"/>
          <w:szCs w:val="21"/>
          <w:highlight w:val="none"/>
        </w:rPr>
        <w:t>4.供应商</w:t>
      </w:r>
      <w:r>
        <w:rPr>
          <w:rFonts w:hint="eastAsia" w:ascii="宋体" w:hAnsi="宋体" w:cs="宋体"/>
          <w:b/>
          <w:bCs/>
          <w:color w:val="auto"/>
          <w:szCs w:val="21"/>
          <w:highlight w:val="none"/>
        </w:rPr>
        <w:t>竞标注意事项</w:t>
      </w:r>
    </w:p>
    <w:p w14:paraId="6E108B3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t>
      </w:r>
      <w:r>
        <w:rPr>
          <w:rFonts w:hint="eastAsia" w:ascii="宋体" w:hAnsi="宋体" w:cs="宋体"/>
          <w:bCs/>
          <w:color w:val="auto"/>
          <w:kern w:val="0"/>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w:t>
      </w:r>
      <w:r>
        <w:rPr>
          <w:rFonts w:hint="eastAsia" w:ascii="宋体" w:hAnsi="宋体" w:cs="宋体"/>
          <w:b/>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供应商登录广西政府采购云平台，依次进入“服务中心-项目采购-操作流程-电子招投标-政府采购项目电子交易管理操作指南-供应商”查看电子竞标具体操作流程。</w:t>
      </w:r>
    </w:p>
    <w:p w14:paraId="6A7D2D7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如在操作过程中遇到问题或者需要技术支持，请致电广西政府采购云平台客服热线：95763</w:t>
      </w:r>
      <w:r>
        <w:rPr>
          <w:rFonts w:hint="eastAsia" w:ascii="宋体" w:hAnsi="宋体" w:cs="宋体"/>
          <w:color w:val="auto"/>
          <w:szCs w:val="21"/>
          <w:highlight w:val="none"/>
        </w:rPr>
        <w:t>）。</w:t>
      </w:r>
    </w:p>
    <w:p w14:paraId="008227F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438DE8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p>
    <w:p w14:paraId="5577A42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①为确保网上操作合法、有效和安全，请供应商确保在电子竞标过程中能够对相关数据电文进行加密和使用电子签章，妥善保管CA数字证书并使用有效的CA数字证书参与整个采购活动。</w:t>
      </w:r>
    </w:p>
    <w:p w14:paraId="4D8AFA97">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供应</w:t>
      </w:r>
      <w:r>
        <w:rPr>
          <w:rFonts w:hint="eastAsia" w:ascii="宋体" w:hAnsi="宋体" w:cs="宋体"/>
          <w:bCs/>
          <w:color w:val="auto"/>
          <w:szCs w:val="21"/>
          <w:highlight w:val="none"/>
        </w:rPr>
        <w:t>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5C711F0">
      <w:pPr>
        <w:numPr>
          <w:ilvl w:val="0"/>
          <w:numId w:val="1"/>
        </w:num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供应商需要在具备有摄像头及语音功能且互联网网络状况良好的电脑登录广西政府采购云平台远程开标大厅参与本次磋商，否则后果自负。</w:t>
      </w:r>
    </w:p>
    <w:p w14:paraId="7DEEB0A4">
      <w:pPr>
        <w:spacing w:line="360" w:lineRule="auto"/>
        <w:ind w:firstLine="424" w:firstLineChars="202"/>
        <w:rPr>
          <w:rFonts w:ascii="宋体" w:hAnsi="宋体" w:cs="宋体"/>
          <w:color w:val="auto"/>
          <w:szCs w:val="21"/>
          <w:highlight w:val="none"/>
        </w:rPr>
      </w:pPr>
      <w:r>
        <w:rPr>
          <w:rFonts w:hint="eastAsia" w:ascii="宋体" w:hAnsi="宋体" w:cs="宋体"/>
          <w:color w:val="auto"/>
          <w:kern w:val="0"/>
          <w:szCs w:val="21"/>
          <w:highlight w:val="none"/>
        </w:rPr>
        <w:t>（5）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w:t>
      </w:r>
      <w:r>
        <w:rPr>
          <w:rFonts w:hint="eastAsia" w:ascii="宋体" w:hAnsi="宋体" w:cs="宋体"/>
          <w:bCs/>
          <w:color w:val="auto"/>
          <w:kern w:val="0"/>
          <w:szCs w:val="21"/>
          <w:highlight w:val="none"/>
        </w:rPr>
        <w:t>95763</w:t>
      </w:r>
      <w:r>
        <w:rPr>
          <w:rFonts w:hint="eastAsia" w:ascii="宋体" w:hAnsi="宋体" w:cs="宋体"/>
          <w:color w:val="auto"/>
          <w:kern w:val="0"/>
          <w:szCs w:val="21"/>
          <w:highlight w:val="none"/>
        </w:rPr>
        <w:t>。</w:t>
      </w:r>
    </w:p>
    <w:p w14:paraId="3EA9D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177B21D">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9EC4983">
      <w:pPr>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rPr>
        <w:t>八、凡对本次采购提出询问，请按以下方式联系。</w:t>
      </w:r>
      <w:bookmarkEnd w:id="43"/>
      <w:bookmarkEnd w:id="44"/>
      <w:bookmarkEnd w:id="45"/>
      <w:bookmarkEnd w:id="46"/>
      <w:bookmarkEnd w:id="47"/>
    </w:p>
    <w:p w14:paraId="491F5504">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1.采购人信息</w:t>
      </w:r>
    </w:p>
    <w:p w14:paraId="2D0BD95F">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称：广西壮族自治区农业农村厅</w:t>
      </w:r>
    </w:p>
    <w:p w14:paraId="03D2F1B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  址：南宁市青秀区青山路8号</w:t>
      </w:r>
    </w:p>
    <w:p w14:paraId="3F1CCAF9">
      <w:pPr>
        <w:widowControl/>
        <w:spacing w:line="360" w:lineRule="auto"/>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项目联系人：</w:t>
      </w:r>
      <w:r>
        <w:rPr>
          <w:rFonts w:hint="eastAsia" w:ascii="宋体" w:hAnsi="宋体" w:cs="宋体"/>
          <w:bCs/>
          <w:color w:val="auto"/>
          <w:szCs w:val="21"/>
          <w:highlight w:val="none"/>
        </w:rPr>
        <w:t>易</w:t>
      </w:r>
      <w:r>
        <w:rPr>
          <w:rFonts w:hint="eastAsia" w:ascii="宋体" w:hAnsi="宋体" w:cs="宋体"/>
          <w:bCs/>
          <w:color w:val="auto"/>
          <w:szCs w:val="21"/>
          <w:highlight w:val="none"/>
          <w:lang w:val="en-US" w:eastAsia="zh-CN"/>
        </w:rPr>
        <w:t>工</w:t>
      </w:r>
    </w:p>
    <w:p w14:paraId="1569DB7C">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项目</w:t>
      </w:r>
      <w:r>
        <w:rPr>
          <w:rFonts w:hint="eastAsia" w:ascii="宋体" w:hAnsi="宋体" w:cs="宋体"/>
          <w:bCs/>
          <w:color w:val="auto"/>
          <w:szCs w:val="21"/>
          <w:highlight w:val="none"/>
        </w:rPr>
        <w:t xml:space="preserve">联系方式：0771-2182556 　　　　　　 </w:t>
      </w:r>
      <w:bookmarkStart w:id="48" w:name="_Toc28359086"/>
      <w:bookmarkStart w:id="49" w:name="_Toc28359009"/>
    </w:p>
    <w:p w14:paraId="33EDF1AE">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2.采购代理机构信息</w:t>
      </w:r>
      <w:bookmarkEnd w:id="48"/>
      <w:bookmarkEnd w:id="49"/>
    </w:p>
    <w:p w14:paraId="3FC1390C">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称：广西金证招标代理有限公司</w:t>
      </w:r>
    </w:p>
    <w:p w14:paraId="5F78137C">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  址：南宁市青秀区东葛路118号青秀万达广场甲2栋2501室</w:t>
      </w:r>
    </w:p>
    <w:p w14:paraId="6A671F97">
      <w:pPr>
        <w:widowControl/>
        <w:spacing w:line="360" w:lineRule="auto"/>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项目联系人：吕碧影</w:t>
      </w:r>
    </w:p>
    <w:p w14:paraId="3ED38A92">
      <w:pPr>
        <w:widowControl/>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项目</w:t>
      </w:r>
      <w:r>
        <w:rPr>
          <w:rFonts w:hint="eastAsia" w:ascii="宋体" w:hAnsi="宋体" w:cs="宋体"/>
          <w:bCs/>
          <w:color w:val="auto"/>
          <w:szCs w:val="21"/>
          <w:highlight w:val="none"/>
        </w:rPr>
        <w:t>联系方式：0771-5509136</w:t>
      </w:r>
    </w:p>
    <w:p w14:paraId="29318387">
      <w:pPr>
        <w:pStyle w:val="43"/>
        <w:rPr>
          <w:color w:val="auto"/>
          <w:szCs w:val="21"/>
          <w:highlight w:val="none"/>
        </w:rPr>
      </w:pPr>
      <w:bookmarkStart w:id="50" w:name="_Toc28359087"/>
      <w:bookmarkStart w:id="51" w:name="_Toc28359010"/>
    </w:p>
    <w:p w14:paraId="47E7619B">
      <w:pPr>
        <w:pStyle w:val="2"/>
        <w:rPr>
          <w:rFonts w:ascii="宋体" w:hAnsi="宋体" w:cs="宋体"/>
          <w:bCs/>
          <w:color w:val="auto"/>
          <w:szCs w:val="21"/>
          <w:highlight w:val="none"/>
        </w:rPr>
      </w:pPr>
    </w:p>
    <w:p w14:paraId="57914478">
      <w:pPr>
        <w:spacing w:line="360" w:lineRule="auto"/>
        <w:jc w:val="right"/>
        <w:rPr>
          <w:rFonts w:ascii="宋体" w:hAnsi="宋体"/>
          <w:color w:val="auto"/>
          <w:szCs w:val="21"/>
          <w:highlight w:val="none"/>
        </w:rPr>
      </w:pPr>
      <w:r>
        <w:rPr>
          <w:rFonts w:hint="eastAsia" w:ascii="宋体" w:hAnsi="宋体"/>
          <w:color w:val="auto"/>
          <w:szCs w:val="21"/>
          <w:highlight w:val="none"/>
        </w:rPr>
        <w:t>广西金证招标代理有限公司</w:t>
      </w:r>
    </w:p>
    <w:p w14:paraId="11ED0C42">
      <w:pPr>
        <w:pStyle w:val="2"/>
        <w:jc w:val="right"/>
        <w:rPr>
          <w:rFonts w:ascii="宋体" w:hAnsi="宋体" w:cs="宋体"/>
          <w:bCs/>
          <w:color w:val="auto"/>
          <w:szCs w:val="21"/>
          <w:highlight w:val="none"/>
        </w:rPr>
      </w:pPr>
      <w:r>
        <w:rPr>
          <w:rFonts w:hint="eastAsia" w:ascii="宋体" w:hAnsi="宋体"/>
          <w:color w:val="auto"/>
          <w:szCs w:val="21"/>
          <w:highlight w:val="none"/>
        </w:rPr>
        <w:t>2025年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7</w:t>
      </w:r>
      <w:r>
        <w:rPr>
          <w:rFonts w:hint="eastAsia" w:ascii="宋体" w:hAnsi="宋体"/>
          <w:color w:val="auto"/>
          <w:szCs w:val="21"/>
          <w:highlight w:val="none"/>
        </w:rPr>
        <w:t>日</w:t>
      </w:r>
    </w:p>
    <w:bookmarkEnd w:id="50"/>
    <w:bookmarkEnd w:id="51"/>
    <w:p w14:paraId="26166C63">
      <w:pPr>
        <w:spacing w:line="360" w:lineRule="exact"/>
        <w:ind w:firstLine="420" w:firstLineChars="200"/>
        <w:rPr>
          <w:rFonts w:ascii="宋体" w:hAnsi="宋体" w:cs="宋体"/>
          <w:color w:val="auto"/>
          <w:szCs w:val="21"/>
          <w:highlight w:val="none"/>
          <w:u w:val="single"/>
        </w:rPr>
      </w:pPr>
    </w:p>
    <w:bookmarkEnd w:id="1"/>
    <w:p w14:paraId="20F374CD">
      <w:pPr>
        <w:spacing w:line="400" w:lineRule="exact"/>
        <w:jc w:val="center"/>
        <w:rPr>
          <w:rFonts w:ascii="宋体" w:hAnsi="宋体" w:cs="宋体"/>
          <w:color w:val="auto"/>
          <w:szCs w:val="21"/>
          <w:highlight w:val="none"/>
          <w:u w:val="single"/>
        </w:rPr>
      </w:pPr>
    </w:p>
    <w:p w14:paraId="172AE28D">
      <w:pPr>
        <w:rPr>
          <w:rFonts w:ascii="宋体" w:hAnsi="宋体" w:cs="宋体"/>
          <w:color w:val="auto"/>
          <w:highlight w:val="none"/>
        </w:rPr>
      </w:pPr>
      <w:r>
        <w:rPr>
          <w:rFonts w:hint="eastAsia" w:ascii="宋体" w:hAnsi="宋体" w:cs="宋体"/>
          <w:color w:val="auto"/>
          <w:highlight w:val="none"/>
        </w:rPr>
        <w:br w:type="page"/>
      </w:r>
    </w:p>
    <w:p w14:paraId="5C427DC4">
      <w:pPr>
        <w:pStyle w:val="3"/>
        <w:jc w:val="center"/>
        <w:rPr>
          <w:rFonts w:ascii="宋体" w:hAnsi="宋体" w:cs="宋体"/>
          <w:color w:val="auto"/>
          <w:highlight w:val="none"/>
        </w:rPr>
      </w:pPr>
      <w:bookmarkStart w:id="52" w:name="_Toc1456"/>
      <w:r>
        <w:rPr>
          <w:rFonts w:hint="eastAsia" w:ascii="宋体" w:hAnsi="宋体" w:cs="宋体"/>
          <w:color w:val="auto"/>
          <w:highlight w:val="none"/>
        </w:rPr>
        <w:t>第二章 供应商须知</w:t>
      </w:r>
      <w:bookmarkEnd w:id="52"/>
    </w:p>
    <w:p w14:paraId="6C5883C3">
      <w:pPr>
        <w:jc w:val="center"/>
        <w:rPr>
          <w:b/>
          <w:bCs/>
          <w:color w:val="auto"/>
          <w:sz w:val="32"/>
          <w:szCs w:val="32"/>
          <w:highlight w:val="none"/>
        </w:rPr>
      </w:pPr>
      <w:r>
        <w:rPr>
          <w:rFonts w:hint="eastAsia"/>
          <w:b/>
          <w:bCs/>
          <w:color w:val="auto"/>
          <w:sz w:val="32"/>
          <w:szCs w:val="32"/>
          <w:highlight w:val="none"/>
        </w:rPr>
        <w:t>供应商须知前附表</w:t>
      </w:r>
    </w:p>
    <w:tbl>
      <w:tblPr>
        <w:tblStyle w:val="31"/>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149"/>
      </w:tblGrid>
      <w:tr w14:paraId="69E7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992" w:type="dxa"/>
            <w:tcBorders>
              <w:top w:val="single" w:color="000000" w:sz="12" w:space="0"/>
              <w:left w:val="single" w:color="000000" w:sz="12" w:space="0"/>
            </w:tcBorders>
            <w:vAlign w:val="center"/>
          </w:tcPr>
          <w:p w14:paraId="26EE7B61">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49" w:type="dxa"/>
            <w:tcBorders>
              <w:top w:val="single" w:color="000000" w:sz="12" w:space="0"/>
              <w:right w:val="single" w:color="000000" w:sz="12" w:space="0"/>
            </w:tcBorders>
            <w:vAlign w:val="center"/>
          </w:tcPr>
          <w:p w14:paraId="71F33A03">
            <w:pPr>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006A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3" w:hRule="atLeast"/>
          <w:jc w:val="center"/>
        </w:trPr>
        <w:tc>
          <w:tcPr>
            <w:tcW w:w="992" w:type="dxa"/>
            <w:tcBorders>
              <w:left w:val="single" w:color="000000" w:sz="12" w:space="0"/>
            </w:tcBorders>
            <w:vAlign w:val="center"/>
          </w:tcPr>
          <w:p w14:paraId="5F28115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149" w:type="dxa"/>
            <w:tcBorders>
              <w:right w:val="single" w:color="000000" w:sz="12" w:space="0"/>
            </w:tcBorders>
            <w:vAlign w:val="center"/>
          </w:tcPr>
          <w:p w14:paraId="6B6D15B4">
            <w:pPr>
              <w:spacing w:line="360" w:lineRule="exact"/>
              <w:rPr>
                <w:rFonts w:ascii="宋体" w:hAnsi="宋体" w:cs="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1EC4A6EE">
            <w:pPr>
              <w:spacing w:line="360" w:lineRule="exact"/>
              <w:rPr>
                <w:rFonts w:ascii="宋体" w:hAnsi="宋体" w:cs="宋体"/>
                <w:color w:val="auto"/>
                <w:szCs w:val="21"/>
                <w:highlight w:val="none"/>
              </w:rPr>
            </w:pPr>
            <w:r>
              <w:rPr>
                <w:rFonts w:hint="eastAsia" w:ascii="宋体" w:hAnsi="宋体" w:cs="宋体"/>
                <w:bCs/>
                <w:color w:val="auto"/>
                <w:szCs w:val="21"/>
                <w:highlight w:val="none"/>
              </w:rPr>
              <w:t>2.供应商</w:t>
            </w:r>
            <w:r>
              <w:rPr>
                <w:rFonts w:hint="eastAsia" w:ascii="宋体" w:hAnsi="宋体" w:cs="宋体"/>
                <w:color w:val="auto"/>
                <w:szCs w:val="21"/>
                <w:highlight w:val="none"/>
              </w:rPr>
              <w:t>出现下列情形之一的，不得参加政府采购活动：</w:t>
            </w:r>
          </w:p>
          <w:p w14:paraId="404C9E36">
            <w:pPr>
              <w:spacing w:line="360" w:lineRule="exac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2EAF12">
            <w:pPr>
              <w:spacing w:line="360" w:lineRule="exact"/>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297E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92" w:type="dxa"/>
            <w:tcBorders>
              <w:left w:val="single" w:color="000000" w:sz="12" w:space="0"/>
            </w:tcBorders>
            <w:vAlign w:val="center"/>
          </w:tcPr>
          <w:p w14:paraId="16F2AFB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8149" w:type="dxa"/>
            <w:tcBorders>
              <w:right w:val="single" w:color="000000" w:sz="12" w:space="0"/>
            </w:tcBorders>
            <w:vAlign w:val="center"/>
          </w:tcPr>
          <w:p w14:paraId="7E36CA78">
            <w:pPr>
              <w:spacing w:line="360" w:lineRule="exact"/>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1E1C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642FC9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8149" w:type="dxa"/>
            <w:tcBorders>
              <w:right w:val="single" w:color="000000" w:sz="12" w:space="0"/>
            </w:tcBorders>
            <w:vAlign w:val="center"/>
          </w:tcPr>
          <w:p w14:paraId="151A7264">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14:paraId="20D6407B">
            <w:pPr>
              <w:spacing w:line="360" w:lineRule="auto"/>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1.两个以上供应商可以组成一个竞标联合体，以一个供应商的身份共同参加竞标。联合体竞标的，须提供《联合体竞标协议书》（格式后附）；</w:t>
            </w:r>
          </w:p>
          <w:p w14:paraId="33E4A7AD">
            <w:pPr>
              <w:spacing w:line="360" w:lineRule="auto"/>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571D4C1D">
            <w:pPr>
              <w:spacing w:line="360" w:lineRule="auto"/>
              <w:rPr>
                <w:rFonts w:ascii="宋体" w:hAnsi="宋体" w:cs="宋体"/>
                <w:color w:val="auto"/>
                <w:szCs w:val="21"/>
                <w:highlight w:val="none"/>
              </w:rPr>
            </w:pPr>
            <w:r>
              <w:rPr>
                <w:rFonts w:hint="eastAsia" w:ascii="宋体" w:hAnsi="宋体" w:cs="宋体"/>
                <w:color w:val="auto"/>
                <w:szCs w:val="21"/>
                <w:highlight w:val="none"/>
              </w:rPr>
              <w:t>3.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3FA16DCF">
            <w:pPr>
              <w:spacing w:line="360" w:lineRule="auto"/>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w:t>
            </w:r>
          </w:p>
          <w:p w14:paraId="376ED40D">
            <w:pPr>
              <w:spacing w:line="360" w:lineRule="auto"/>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14:paraId="5BDBE484">
            <w:pPr>
              <w:spacing w:line="360" w:lineRule="auto"/>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6.联合体竞标业绩、履约能力按照联合体各方中较高的一方认定并计算（磋商文件另有规定的除外）；</w:t>
            </w:r>
          </w:p>
          <w:p w14:paraId="306D5B71">
            <w:pPr>
              <w:spacing w:line="360" w:lineRule="auto"/>
              <w:rPr>
                <w:rFonts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7.供应商为联合体的，可以由联合体中的一方或者多方共同缴纳保证金，其缴纳的保证金对联合体各方均具有约束力；</w:t>
            </w:r>
          </w:p>
          <w:p w14:paraId="70066D59">
            <w:pPr>
              <w:spacing w:line="360" w:lineRule="exact"/>
              <w:rPr>
                <w:rFonts w:ascii="宋体" w:hAnsi="宋体" w:cs="宋体"/>
                <w:color w:val="auto"/>
                <w:szCs w:val="21"/>
                <w:highlight w:val="none"/>
              </w:rPr>
            </w:pPr>
            <w:r>
              <w:rPr>
                <w:rFonts w:hint="eastAsia" w:ascii="宋体" w:hAnsi="宋体" w:cs="宋体"/>
                <w:color w:val="auto"/>
                <w:szCs w:val="21"/>
                <w:highlight w:val="none"/>
              </w:rPr>
              <w:t>8.联合体各方均应按照磋商文件的规定分别提交资格证明文件。</w:t>
            </w:r>
          </w:p>
        </w:tc>
      </w:tr>
      <w:tr w14:paraId="7B89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E17A8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149" w:type="dxa"/>
            <w:tcBorders>
              <w:right w:val="single" w:color="000000" w:sz="12" w:space="0"/>
            </w:tcBorders>
            <w:vAlign w:val="center"/>
          </w:tcPr>
          <w:p w14:paraId="72500CCE">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70D6A342">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55FB7543">
            <w:pPr>
              <w:pStyle w:val="12"/>
              <w:spacing w:line="3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5774CE4">
            <w:pPr>
              <w:pStyle w:val="12"/>
              <w:spacing w:line="3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7A45C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tcBorders>
              <w:left w:val="single" w:color="000000" w:sz="12" w:space="0"/>
            </w:tcBorders>
            <w:vAlign w:val="center"/>
          </w:tcPr>
          <w:p w14:paraId="30BB6B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149" w:type="dxa"/>
            <w:tcBorders>
              <w:right w:val="single" w:color="000000" w:sz="12" w:space="0"/>
            </w:tcBorders>
            <w:vAlign w:val="center"/>
          </w:tcPr>
          <w:p w14:paraId="0484EDFB">
            <w:pPr>
              <w:snapToGrid w:val="0"/>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AB013A4">
            <w:pPr>
              <w:spacing w:line="312" w:lineRule="auto"/>
              <w:rPr>
                <w:color w:val="auto"/>
                <w:highlight w:val="none"/>
              </w:rPr>
            </w:pPr>
            <w:r>
              <w:rPr>
                <w:rFonts w:hint="eastAsia"/>
                <w:color w:val="auto"/>
                <w:highlight w:val="none"/>
              </w:rPr>
              <w:t>1.供应商为法人或者其他组织的提供其有效营业执照等证明文件（如营业执照或者事业单位法人证书或者执业许可证或者登记证书等），供应商为自然人的提供其身份证复印件；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p>
          <w:p w14:paraId="496454E7">
            <w:pPr>
              <w:spacing w:line="312" w:lineRule="auto"/>
              <w:rPr>
                <w:color w:val="auto"/>
                <w:highlight w:val="none"/>
              </w:rPr>
            </w:pPr>
            <w:r>
              <w:rPr>
                <w:rFonts w:hint="eastAsia"/>
                <w:color w:val="auto"/>
                <w:highlight w:val="none"/>
              </w:rPr>
              <w:t>2.供应商依法缴纳税收的相关材料【供应商提供磋商截止时间前半年内连续3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b/>
                <w:bCs/>
                <w:color w:val="auto"/>
                <w:highlight w:val="none"/>
              </w:rPr>
              <w:t>（必须提供，否则响应文件按无效响应处理）</w:t>
            </w:r>
          </w:p>
          <w:p w14:paraId="6FBC15AB">
            <w:pPr>
              <w:spacing w:line="312" w:lineRule="auto"/>
              <w:rPr>
                <w:b/>
                <w:bCs/>
                <w:color w:val="auto"/>
                <w:highlight w:val="none"/>
              </w:rPr>
            </w:pPr>
            <w:r>
              <w:rPr>
                <w:rFonts w:hint="eastAsia"/>
                <w:color w:val="auto"/>
                <w:highlight w:val="none"/>
              </w:rPr>
              <w:t>3.供应商依法缴纳社会保障资金的相关材料【磋商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依法缴纳社会保障资金的相应证明文件】；</w:t>
            </w:r>
            <w:r>
              <w:rPr>
                <w:rFonts w:hint="eastAsia"/>
                <w:b/>
                <w:bCs/>
                <w:color w:val="auto"/>
                <w:highlight w:val="none"/>
              </w:rPr>
              <w:t xml:space="preserve">（必须提供，否则响应文件按无效响应处理） </w:t>
            </w:r>
            <w:bookmarkStart w:id="172" w:name="_GoBack"/>
            <w:bookmarkEnd w:id="172"/>
          </w:p>
          <w:p w14:paraId="2BD7E73A">
            <w:pPr>
              <w:spacing w:line="312" w:lineRule="auto"/>
              <w:rPr>
                <w:b/>
                <w:bCs/>
                <w:color w:val="auto"/>
                <w:highlight w:val="none"/>
              </w:rPr>
            </w:pPr>
            <w:r>
              <w:rPr>
                <w:rFonts w:hint="eastAsia"/>
                <w:color w:val="auto"/>
                <w:highlight w:val="none"/>
              </w:rPr>
              <w:t>4.供应商财务状况报告【</w:t>
            </w:r>
            <w:r>
              <w:rPr>
                <w:rFonts w:hint="eastAsia"/>
                <w:color w:val="auto"/>
                <w:szCs w:val="21"/>
                <w:highlight w:val="none"/>
                <w:u w:val="single"/>
              </w:rPr>
              <w:t>2024</w:t>
            </w:r>
            <w:r>
              <w:rPr>
                <w:rFonts w:hint="eastAsia"/>
                <w:color w:val="auto"/>
                <w:szCs w:val="21"/>
                <w:highlight w:val="none"/>
              </w:rPr>
              <w:t>年度财务报表复印件，或者银行出具的资信证明，或者中国人民银行征信中心出具的信用报告（企业竞标的提供企业信用报告，自然人竞标的提供个人信用报告）；供应商属于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color w:val="auto"/>
                <w:highlight w:val="none"/>
              </w:rPr>
              <w:t>】；</w:t>
            </w:r>
            <w:r>
              <w:rPr>
                <w:rFonts w:hint="eastAsia"/>
                <w:b/>
                <w:bCs/>
                <w:color w:val="auto"/>
                <w:highlight w:val="none"/>
              </w:rPr>
              <w:t>（必须提供，否则响应文件按无效响应处理）</w:t>
            </w:r>
          </w:p>
          <w:p w14:paraId="26FD9CF9">
            <w:pPr>
              <w:spacing w:line="312" w:lineRule="auto"/>
              <w:rPr>
                <w:b/>
                <w:bCs/>
                <w:color w:val="auto"/>
                <w:highlight w:val="none"/>
              </w:rPr>
            </w:pPr>
            <w:r>
              <w:rPr>
                <w:rFonts w:hint="eastAsia"/>
                <w:color w:val="auto"/>
                <w:szCs w:val="21"/>
                <w:highlight w:val="none"/>
              </w:rPr>
              <w:t>5.供应商直接控股、管理关系</w:t>
            </w:r>
            <w:r>
              <w:rPr>
                <w:rFonts w:hint="eastAsia"/>
                <w:color w:val="auto"/>
                <w:highlight w:val="none"/>
              </w:rPr>
              <w:t>信息表（格式后附）；</w:t>
            </w:r>
            <w:r>
              <w:rPr>
                <w:rFonts w:hint="eastAsia"/>
                <w:b/>
                <w:bCs/>
                <w:color w:val="auto"/>
                <w:highlight w:val="none"/>
              </w:rPr>
              <w:t>（必须提供，否则响应文件按无效响应处理）</w:t>
            </w:r>
          </w:p>
          <w:p w14:paraId="5650D641">
            <w:pPr>
              <w:spacing w:line="312" w:lineRule="auto"/>
              <w:rPr>
                <w:color w:val="auto"/>
                <w:highlight w:val="none"/>
              </w:rPr>
            </w:pPr>
            <w:r>
              <w:rPr>
                <w:rFonts w:hint="eastAsia"/>
                <w:color w:val="auto"/>
                <w:szCs w:val="21"/>
                <w:highlight w:val="none"/>
              </w:rPr>
              <w:t>6.符合特定资格要求的有关证明材料</w:t>
            </w:r>
            <w:r>
              <w:rPr>
                <w:rFonts w:hint="eastAsia"/>
                <w:color w:val="auto"/>
                <w:highlight w:val="none"/>
              </w:rPr>
              <w:t>；</w:t>
            </w:r>
            <w:r>
              <w:rPr>
                <w:rFonts w:hint="eastAsia"/>
                <w:b/>
                <w:bCs/>
                <w:color w:val="auto"/>
                <w:highlight w:val="none"/>
              </w:rPr>
              <w:t>（</w:t>
            </w:r>
            <w:r>
              <w:rPr>
                <w:b/>
                <w:bCs/>
                <w:color w:val="auto"/>
                <w:spacing w:val="10"/>
                <w:highlight w:val="none"/>
              </w:rPr>
              <w:t>如</w:t>
            </w:r>
            <w:r>
              <w:rPr>
                <w:rFonts w:hint="eastAsia"/>
                <w:b/>
                <w:bCs/>
                <w:color w:val="auto"/>
                <w:spacing w:val="10"/>
                <w:highlight w:val="none"/>
              </w:rPr>
              <w:t>磋商</w:t>
            </w:r>
            <w:r>
              <w:rPr>
                <w:b/>
                <w:bCs/>
                <w:color w:val="auto"/>
                <w:spacing w:val="10"/>
                <w:highlight w:val="none"/>
              </w:rPr>
              <w:t>公告有要求，则必须</w:t>
            </w:r>
            <w:r>
              <w:rPr>
                <w:b/>
                <w:bCs/>
                <w:color w:val="auto"/>
                <w:spacing w:val="9"/>
                <w:highlight w:val="none"/>
              </w:rPr>
              <w:t>提供，否</w:t>
            </w:r>
            <w:r>
              <w:rPr>
                <w:b/>
                <w:bCs/>
                <w:color w:val="auto"/>
                <w:spacing w:val="6"/>
                <w:highlight w:val="none"/>
              </w:rPr>
              <w:t>则响应文件按无效响应处理</w:t>
            </w:r>
            <w:r>
              <w:rPr>
                <w:rFonts w:hint="eastAsia"/>
                <w:b/>
                <w:bCs/>
                <w:color w:val="auto"/>
                <w:highlight w:val="none"/>
              </w:rPr>
              <w:t>）</w:t>
            </w:r>
          </w:p>
          <w:p w14:paraId="16C20C2A">
            <w:pPr>
              <w:spacing w:line="312" w:lineRule="auto"/>
              <w:rPr>
                <w:color w:val="auto"/>
                <w:highlight w:val="none"/>
              </w:rPr>
            </w:pPr>
            <w:r>
              <w:rPr>
                <w:rFonts w:hint="eastAsia" w:ascii="宋体" w:hAnsi="宋体" w:cs="宋体"/>
                <w:color w:val="auto"/>
                <w:szCs w:val="21"/>
                <w:highlight w:val="none"/>
              </w:rPr>
              <w:t>7.落实政府采购政策需满足的资格要求</w:t>
            </w:r>
            <w:r>
              <w:rPr>
                <w:rFonts w:hint="eastAsia"/>
                <w:color w:val="auto"/>
                <w:spacing w:val="10"/>
                <w:highlight w:val="none"/>
              </w:rPr>
              <w:t>；</w:t>
            </w:r>
            <w:r>
              <w:rPr>
                <w:rFonts w:hint="eastAsia"/>
                <w:b/>
                <w:bCs/>
                <w:color w:val="auto"/>
                <w:highlight w:val="none"/>
              </w:rPr>
              <w:t>（</w:t>
            </w:r>
            <w:r>
              <w:rPr>
                <w:b/>
                <w:bCs/>
                <w:color w:val="auto"/>
                <w:spacing w:val="10"/>
                <w:highlight w:val="none"/>
              </w:rPr>
              <w:t>如</w:t>
            </w:r>
            <w:r>
              <w:rPr>
                <w:rFonts w:hint="eastAsia"/>
                <w:b/>
                <w:bCs/>
                <w:color w:val="auto"/>
                <w:spacing w:val="10"/>
                <w:highlight w:val="none"/>
              </w:rPr>
              <w:t>磋商</w:t>
            </w:r>
            <w:r>
              <w:rPr>
                <w:b/>
                <w:bCs/>
                <w:color w:val="auto"/>
                <w:spacing w:val="10"/>
                <w:highlight w:val="none"/>
              </w:rPr>
              <w:t>公告有要求，则必须</w:t>
            </w:r>
            <w:r>
              <w:rPr>
                <w:b/>
                <w:bCs/>
                <w:color w:val="auto"/>
                <w:spacing w:val="9"/>
                <w:highlight w:val="none"/>
              </w:rPr>
              <w:t>提供，否</w:t>
            </w:r>
            <w:r>
              <w:rPr>
                <w:b/>
                <w:bCs/>
                <w:color w:val="auto"/>
                <w:spacing w:val="6"/>
                <w:highlight w:val="none"/>
              </w:rPr>
              <w:t>则响应文件按无效响应处理</w:t>
            </w:r>
            <w:r>
              <w:rPr>
                <w:rFonts w:hint="eastAsia"/>
                <w:b/>
                <w:bCs/>
                <w:color w:val="auto"/>
                <w:highlight w:val="none"/>
              </w:rPr>
              <w:t>）</w:t>
            </w:r>
          </w:p>
          <w:p w14:paraId="3BAA7800">
            <w:pPr>
              <w:spacing w:line="312" w:lineRule="auto"/>
              <w:rPr>
                <w:color w:val="auto"/>
                <w:highlight w:val="none"/>
              </w:rPr>
            </w:pPr>
            <w:r>
              <w:rPr>
                <w:rFonts w:hint="eastAsia"/>
                <w:color w:val="auto"/>
                <w:szCs w:val="21"/>
                <w:highlight w:val="none"/>
              </w:rPr>
              <w:t>8.竞标声明（格式后附）</w:t>
            </w:r>
            <w:r>
              <w:rPr>
                <w:rFonts w:hint="eastAsia"/>
                <w:color w:val="auto"/>
                <w:highlight w:val="none"/>
              </w:rPr>
              <w:t>；</w:t>
            </w:r>
            <w:r>
              <w:rPr>
                <w:rFonts w:hint="eastAsia"/>
                <w:b/>
                <w:bCs/>
                <w:color w:val="auto"/>
                <w:highlight w:val="none"/>
              </w:rPr>
              <w:t>（必须提供，否则响应文件按无效响应处理）</w:t>
            </w:r>
          </w:p>
          <w:p w14:paraId="2DA23FC1">
            <w:pPr>
              <w:spacing w:line="312" w:lineRule="auto"/>
              <w:rPr>
                <w:color w:val="auto"/>
                <w:highlight w:val="none"/>
              </w:rPr>
            </w:pPr>
            <w:r>
              <w:rPr>
                <w:rFonts w:hint="eastAsia"/>
                <w:color w:val="auto"/>
                <w:highlight w:val="none"/>
              </w:rPr>
              <w:t>9.</w:t>
            </w:r>
            <w:r>
              <w:rPr>
                <w:color w:val="auto"/>
                <w:spacing w:val="10"/>
                <w:highlight w:val="none"/>
              </w:rPr>
              <w:t>联合体竞标协议书（格式后附</w:t>
            </w:r>
            <w:r>
              <w:rPr>
                <w:color w:val="auto"/>
                <w:spacing w:val="-1"/>
                <w:highlight w:val="none"/>
              </w:rPr>
              <w:t>）</w:t>
            </w:r>
            <w:r>
              <w:rPr>
                <w:rFonts w:hint="eastAsia"/>
                <w:color w:val="auto"/>
                <w:spacing w:val="-1"/>
                <w:highlight w:val="none"/>
              </w:rPr>
              <w:t>；</w:t>
            </w:r>
            <w:r>
              <w:rPr>
                <w:color w:val="auto"/>
                <w:spacing w:val="-1"/>
                <w:highlight w:val="none"/>
              </w:rPr>
              <w:t>（</w:t>
            </w:r>
            <w:r>
              <w:rPr>
                <w:b/>
                <w:bCs/>
                <w:color w:val="auto"/>
                <w:spacing w:val="10"/>
                <w:highlight w:val="none"/>
              </w:rPr>
              <w:t>联合体竞标时</w:t>
            </w:r>
            <w:r>
              <w:rPr>
                <w:b/>
                <w:bCs/>
                <w:color w:val="auto"/>
                <w:spacing w:val="9"/>
                <w:highlight w:val="none"/>
              </w:rPr>
              <w:t>必须提供，否则</w:t>
            </w:r>
            <w:r>
              <w:rPr>
                <w:b/>
                <w:bCs/>
                <w:color w:val="auto"/>
                <w:spacing w:val="6"/>
                <w:highlight w:val="none"/>
              </w:rPr>
              <w:t>响应文件按无效响应处理</w:t>
            </w:r>
            <w:r>
              <w:rPr>
                <w:color w:val="auto"/>
                <w:spacing w:val="6"/>
                <w:highlight w:val="none"/>
              </w:rPr>
              <w:t>）</w:t>
            </w:r>
          </w:p>
          <w:p w14:paraId="7F14E725">
            <w:pPr>
              <w:spacing w:line="312" w:lineRule="auto"/>
              <w:rPr>
                <w:color w:val="auto"/>
                <w:highlight w:val="none"/>
              </w:rPr>
            </w:pPr>
            <w:r>
              <w:rPr>
                <w:rFonts w:hint="eastAsia"/>
                <w:color w:val="auto"/>
                <w:highlight w:val="none"/>
              </w:rPr>
              <w:t>10.除磋商文件规定必须提供以外，供应商认为需要提供的其他证明材料。</w:t>
            </w:r>
          </w:p>
          <w:p w14:paraId="145255D5">
            <w:pPr>
              <w:snapToGrid w:val="0"/>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注：（1）以上标明“必须提供”的材料属于复印件的</w:t>
            </w:r>
            <w:r>
              <w:rPr>
                <w:rFonts w:hint="eastAsia" w:ascii="宋体" w:hAnsi="宋体" w:cs="宋体"/>
                <w:b/>
                <w:color w:val="auto"/>
                <w:szCs w:val="21"/>
                <w:highlight w:val="none"/>
              </w:rPr>
              <w:t>，必须加盖供应商</w:t>
            </w:r>
            <w:r>
              <w:rPr>
                <w:rFonts w:hint="eastAsia" w:ascii="宋体" w:hAnsi="宋体" w:cs="宋体"/>
                <w:b/>
                <w:color w:val="auto"/>
                <w:highlight w:val="none"/>
              </w:rPr>
              <w:t>电子签章</w:t>
            </w:r>
            <w:r>
              <w:rPr>
                <w:rFonts w:hint="eastAsia" w:ascii="宋体" w:hAnsi="宋体" w:cs="宋体"/>
                <w:b/>
                <w:color w:val="auto"/>
                <w:szCs w:val="21"/>
                <w:highlight w:val="none"/>
              </w:rPr>
              <w:t>，否则响应文件按无效响应处理。</w:t>
            </w:r>
          </w:p>
          <w:p w14:paraId="23E5258D">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（2）联合体竞标时，第1-6项资格证明文件联合体各方均必须分别提供，</w:t>
            </w:r>
            <w:r>
              <w:rPr>
                <w:rFonts w:hint="eastAsia" w:ascii="宋体" w:hAnsi="宋体" w:cs="宋体"/>
                <w:b/>
                <w:color w:val="auto"/>
                <w:highlight w:val="none"/>
              </w:rPr>
              <w:t>并由</w:t>
            </w:r>
            <w:r>
              <w:rPr>
                <w:rFonts w:hint="eastAsia" w:ascii="宋体" w:hAnsi="宋体" w:cs="宋体"/>
                <w:b/>
                <w:color w:val="auto"/>
                <w:szCs w:val="21"/>
                <w:highlight w:val="none"/>
              </w:rPr>
              <w:t>联合体</w:t>
            </w:r>
            <w:r>
              <w:rPr>
                <w:rFonts w:hint="eastAsia" w:ascii="宋体" w:hAnsi="宋体" w:cs="宋体"/>
                <w:b/>
                <w:color w:val="auto"/>
                <w:highlight w:val="none"/>
              </w:rPr>
              <w:t>牵头人加盖电子签章</w:t>
            </w:r>
            <w:r>
              <w:rPr>
                <w:rFonts w:hint="eastAsia" w:ascii="宋体" w:hAnsi="宋体" w:cs="宋体"/>
                <w:b/>
                <w:color w:val="auto"/>
                <w:szCs w:val="21"/>
                <w:highlight w:val="none"/>
              </w:rPr>
              <w:t>，</w:t>
            </w:r>
            <w:r>
              <w:rPr>
                <w:rFonts w:hint="eastAsia" w:ascii="宋体" w:hAnsi="宋体" w:cs="宋体"/>
                <w:b/>
                <w:color w:val="auto"/>
                <w:highlight w:val="none"/>
              </w:rPr>
              <w:t>规定签字</w:t>
            </w:r>
            <w:r>
              <w:rPr>
                <w:rFonts w:hint="eastAsia" w:ascii="宋体" w:hAnsi="宋体" w:cs="宋体"/>
                <w:b/>
                <w:color w:val="auto"/>
                <w:szCs w:val="21"/>
                <w:highlight w:val="none"/>
              </w:rPr>
              <w:t>处签字</w:t>
            </w:r>
            <w:r>
              <w:rPr>
                <w:rFonts w:hint="eastAsia" w:ascii="宋体" w:hAnsi="宋体" w:cs="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64F46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tcBorders>
              <w:left w:val="single" w:color="000000" w:sz="12" w:space="0"/>
            </w:tcBorders>
            <w:vAlign w:val="center"/>
          </w:tcPr>
          <w:p w14:paraId="786CC9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149" w:type="dxa"/>
            <w:tcBorders>
              <w:right w:val="single" w:color="000000" w:sz="12" w:space="0"/>
            </w:tcBorders>
            <w:vAlign w:val="center"/>
          </w:tcPr>
          <w:p w14:paraId="5E742D24">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6AAD2AC8">
            <w:pPr>
              <w:spacing w:line="360" w:lineRule="exact"/>
              <w:rPr>
                <w:rFonts w:ascii="宋体" w:hAnsi="宋体" w:cs="宋体"/>
                <w:b/>
                <w:bCs/>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bCs/>
                <w:color w:val="auto"/>
                <w:szCs w:val="21"/>
                <w:highlight w:val="none"/>
              </w:rPr>
              <w:t>（必须提供，否则响应文件按无效处理）</w:t>
            </w:r>
          </w:p>
          <w:p w14:paraId="48BF5161">
            <w:pPr>
              <w:spacing w:line="360" w:lineRule="exact"/>
              <w:rPr>
                <w:rFonts w:ascii="宋体" w:hAnsi="宋体" w:cs="宋体"/>
                <w:color w:val="auto"/>
                <w:szCs w:val="21"/>
                <w:highlight w:val="none"/>
              </w:rPr>
            </w:pPr>
            <w:r>
              <w:rPr>
                <w:rFonts w:hint="eastAsia" w:ascii="宋体" w:hAnsi="宋体" w:cs="宋体"/>
                <w:color w:val="auto"/>
                <w:szCs w:val="21"/>
                <w:highlight w:val="none"/>
              </w:rPr>
              <w:t>2.中小企业声明函或残疾人福利性单位声明函或监狱企业证明材料复印件（格式后附）；</w:t>
            </w:r>
            <w:r>
              <w:rPr>
                <w:b/>
                <w:bCs/>
                <w:color w:val="auto"/>
                <w:spacing w:val="-12"/>
                <w:highlight w:val="none"/>
              </w:rPr>
              <w:t>（</w:t>
            </w:r>
            <w:r>
              <w:rPr>
                <w:b/>
                <w:bCs/>
                <w:color w:val="auto"/>
                <w:spacing w:val="9"/>
                <w:highlight w:val="none"/>
              </w:rPr>
              <w:t>如有</w:t>
            </w:r>
            <w:r>
              <w:rPr>
                <w:rFonts w:hint="eastAsia"/>
                <w:b/>
                <w:bCs/>
                <w:color w:val="auto"/>
                <w:spacing w:val="9"/>
                <w:highlight w:val="none"/>
              </w:rPr>
              <w:t>，</w:t>
            </w:r>
            <w:r>
              <w:rPr>
                <w:b/>
                <w:bCs/>
                <w:color w:val="auto"/>
                <w:spacing w:val="9"/>
                <w:highlight w:val="none"/>
              </w:rPr>
              <w:t>请提供）</w:t>
            </w:r>
          </w:p>
          <w:p w14:paraId="1A1207D8">
            <w:pPr>
              <w:spacing w:line="360" w:lineRule="exact"/>
              <w:rPr>
                <w:rFonts w:ascii="宋体" w:hAnsi="宋体" w:cs="宋体"/>
                <w:color w:val="auto"/>
                <w:szCs w:val="21"/>
                <w:highlight w:val="none"/>
              </w:rPr>
            </w:pPr>
            <w:r>
              <w:rPr>
                <w:rFonts w:hint="eastAsia" w:ascii="宋体" w:hAnsi="宋体" w:cs="宋体"/>
                <w:color w:val="auto"/>
                <w:szCs w:val="21"/>
                <w:highlight w:val="none"/>
              </w:rPr>
              <w:t>3.供应商认为需要提供的其他证明资料。</w:t>
            </w:r>
          </w:p>
          <w:p w14:paraId="061B7596">
            <w:pPr>
              <w:snapToGrid w:val="0"/>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注：以上标明“必须提供”的材料属于复印件的，必须加盖供应商电子签章，否则响应文件按无效响应处理。</w:t>
            </w:r>
          </w:p>
        </w:tc>
      </w:tr>
      <w:tr w14:paraId="264BD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7258E57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8149" w:type="dxa"/>
            <w:tcBorders>
              <w:right w:val="single" w:color="000000" w:sz="12" w:space="0"/>
            </w:tcBorders>
            <w:vAlign w:val="center"/>
          </w:tcPr>
          <w:p w14:paraId="41B49499">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29EA4828">
            <w:pPr>
              <w:spacing w:line="3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46F53E9">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E9AFD5">
            <w:pPr>
              <w:spacing w:line="360" w:lineRule="exact"/>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3CCAEB3C">
            <w:pPr>
              <w:spacing w:line="360" w:lineRule="exact"/>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9A3D41A">
            <w:pPr>
              <w:spacing w:line="360" w:lineRule="exac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B4DE60">
            <w:pPr>
              <w:spacing w:line="360" w:lineRule="exact"/>
              <w:rPr>
                <w:rFonts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16C7B8">
            <w:pPr>
              <w:spacing w:line="360" w:lineRule="exact"/>
              <w:rPr>
                <w:rFonts w:ascii="宋体" w:hAnsi="宋体" w:cs="宋体"/>
                <w:color w:val="auto"/>
                <w:szCs w:val="21"/>
                <w:highlight w:val="none"/>
              </w:rPr>
            </w:pPr>
            <w:r>
              <w:rPr>
                <w:rFonts w:hint="eastAsia" w:ascii="宋体" w:hAnsi="宋体" w:cs="宋体"/>
                <w:color w:val="auto"/>
                <w:szCs w:val="21"/>
                <w:highlight w:val="none"/>
              </w:rPr>
              <w:t>7.服务方案</w:t>
            </w:r>
            <w:r>
              <w:rPr>
                <w:color w:val="auto"/>
                <w:spacing w:val="9"/>
                <w:highlight w:val="none"/>
              </w:rPr>
              <w:t>（根据“第三章 采购需求</w:t>
            </w:r>
            <w:r>
              <w:rPr>
                <w:color w:val="auto"/>
                <w:spacing w:val="-71"/>
                <w:highlight w:val="none"/>
              </w:rPr>
              <w:t xml:space="preserve"> </w:t>
            </w:r>
            <w:r>
              <w:rPr>
                <w:color w:val="auto"/>
                <w:spacing w:val="9"/>
                <w:highlight w:val="none"/>
              </w:rPr>
              <w:t>”及“第四章 评审标准</w:t>
            </w:r>
            <w:r>
              <w:rPr>
                <w:color w:val="auto"/>
                <w:spacing w:val="-70"/>
                <w:highlight w:val="none"/>
              </w:rPr>
              <w:t xml:space="preserve"> </w:t>
            </w:r>
            <w:r>
              <w:rPr>
                <w:color w:val="auto"/>
                <w:spacing w:val="9"/>
                <w:highlight w:val="none"/>
              </w:rPr>
              <w:t>”要求提</w:t>
            </w:r>
            <w:r>
              <w:rPr>
                <w:color w:val="auto"/>
                <w:spacing w:val="8"/>
                <w:highlight w:val="none"/>
              </w:rPr>
              <w:t>供</w:t>
            </w:r>
            <w:r>
              <w:rPr>
                <w:color w:val="auto"/>
                <w:spacing w:val="-14"/>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404AD7">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8.项目实施人员一览表（格式自拟）； </w:t>
            </w:r>
          </w:p>
          <w:p w14:paraId="49C89DA4">
            <w:pPr>
              <w:spacing w:line="360" w:lineRule="exact"/>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7ADF7956">
            <w:pPr>
              <w:spacing w:line="360" w:lineRule="exact"/>
              <w:rPr>
                <w:rFonts w:ascii="宋体" w:hAnsi="宋体" w:cs="宋体"/>
                <w:color w:val="auto"/>
                <w:szCs w:val="21"/>
                <w:highlight w:val="none"/>
              </w:rPr>
            </w:pPr>
            <w:r>
              <w:rPr>
                <w:rFonts w:hint="eastAsia" w:ascii="宋体" w:hAnsi="宋体" w:cs="宋体"/>
                <w:color w:val="auto"/>
                <w:szCs w:val="21"/>
                <w:highlight w:val="none"/>
              </w:rPr>
              <w:t>10.供应商认为需要提供的其他有关资料。</w:t>
            </w:r>
          </w:p>
          <w:p w14:paraId="7452A1C6">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注：（1）以上标明“必须提供”的材料属于复印件的，必须加盖供应商公章，否则响应文件按无效响应处理。</w:t>
            </w:r>
          </w:p>
          <w:p w14:paraId="59E821AE">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2）电子响应文件中所需加盖公章部分均建议采用CA签章。若响应文件中有专门标注的某关联点，并要求供应商在电子投标系统中作出竞标响应的，如供应商未对关联点进行响应或者在响应文件其他内容进行描述，造成电子评审不能查询的责任由供应商自行承担。</w:t>
            </w:r>
          </w:p>
          <w:p w14:paraId="596708DC">
            <w:pPr>
              <w:spacing w:line="360" w:lineRule="exact"/>
              <w:rPr>
                <w:rFonts w:ascii="宋体" w:hAnsi="宋体" w:cs="宋体"/>
                <w:color w:val="auto"/>
                <w:szCs w:val="21"/>
                <w:highlight w:val="none"/>
              </w:rPr>
            </w:pPr>
            <w:r>
              <w:rPr>
                <w:rFonts w:hint="eastAsia" w:ascii="宋体" w:hAnsi="宋体" w:cs="宋体"/>
                <w:b/>
                <w:bCs/>
                <w:color w:val="auto"/>
                <w:szCs w:val="21"/>
                <w:highlight w:val="none"/>
              </w:rPr>
              <w:t>（3）以上材料未附格式的，由供应商自行拟定。</w:t>
            </w:r>
          </w:p>
        </w:tc>
      </w:tr>
      <w:tr w14:paraId="560B5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F0C66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8149" w:type="dxa"/>
            <w:tcBorders>
              <w:right w:val="single" w:color="000000" w:sz="12" w:space="0"/>
            </w:tcBorders>
            <w:vAlign w:val="center"/>
          </w:tcPr>
          <w:p w14:paraId="3A1526E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28C085A">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21A8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992" w:type="dxa"/>
            <w:tcBorders>
              <w:left w:val="single" w:color="000000" w:sz="12" w:space="0"/>
            </w:tcBorders>
            <w:vAlign w:val="center"/>
          </w:tcPr>
          <w:p w14:paraId="58E1DCE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149" w:type="dxa"/>
            <w:tcBorders>
              <w:right w:val="single" w:color="000000" w:sz="12" w:space="0"/>
            </w:tcBorders>
            <w:vAlign w:val="center"/>
          </w:tcPr>
          <w:p w14:paraId="0C664C2B">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报价必须包含满足本次竞标全部采购需求所应提供的服务，以及伴随的货物和工程（如有）的价格；包含竞标服务、货物、工程的成本、运输（含保险）、安装（如有）、工具、劳务、旅差、各种辅材、调试、验收、技术服务、培训、售后服务、税费等所有费用。</w:t>
            </w:r>
            <w:r>
              <w:rPr>
                <w:rFonts w:hint="eastAsia" w:ascii="宋体" w:hAnsi="宋体" w:cs="宋体"/>
                <w:b/>
                <w:bCs/>
                <w:color w:val="auto"/>
                <w:szCs w:val="21"/>
                <w:highlight w:val="none"/>
              </w:rPr>
              <w:t>（采购需求另有约定的，从其约定。）</w:t>
            </w:r>
          </w:p>
        </w:tc>
      </w:tr>
      <w:tr w14:paraId="50FE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6312B0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149" w:type="dxa"/>
            <w:tcBorders>
              <w:right w:val="single" w:color="000000" w:sz="12" w:space="0"/>
            </w:tcBorders>
            <w:vAlign w:val="center"/>
          </w:tcPr>
          <w:p w14:paraId="71E0D6FA">
            <w:pPr>
              <w:pStyle w:val="11"/>
              <w:widowControl w:val="0"/>
              <w:tabs>
                <w:tab w:val="clear" w:pos="454"/>
              </w:tabs>
              <w:snapToGrid w:val="0"/>
              <w:spacing w:afterLines="0" w:line="360"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0809D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34C38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149" w:type="dxa"/>
            <w:tcBorders>
              <w:right w:val="single" w:color="000000" w:sz="12" w:space="0"/>
            </w:tcBorders>
            <w:vAlign w:val="center"/>
          </w:tcPr>
          <w:p w14:paraId="73790FEE">
            <w:pPr>
              <w:spacing w:line="360" w:lineRule="exact"/>
              <w:rPr>
                <w:rFonts w:ascii="Arial" w:hAnsi="Arial" w:cs="Arial"/>
                <w:bCs/>
                <w:color w:val="auto"/>
                <w:szCs w:val="21"/>
                <w:highlight w:val="none"/>
              </w:rPr>
            </w:pPr>
            <w:r>
              <w:rPr>
                <w:rFonts w:ascii="Arial" w:hAnsi="Arial" w:cs="Arial"/>
                <w:bCs/>
                <w:color w:val="auto"/>
                <w:szCs w:val="21"/>
                <w:highlight w:val="none"/>
              </w:rPr>
              <w:t>☑本项目收取磋商保证金，具体规定如下：</w:t>
            </w:r>
          </w:p>
          <w:p w14:paraId="0C39661D">
            <w:pPr>
              <w:spacing w:line="400" w:lineRule="exact"/>
              <w:rPr>
                <w:rFonts w:ascii="Arial" w:hAnsi="Arial" w:cs="Arial"/>
                <w:color w:val="auto"/>
                <w:kern w:val="0"/>
                <w:szCs w:val="21"/>
                <w:highlight w:val="none"/>
              </w:rPr>
            </w:pPr>
            <w:r>
              <w:rPr>
                <w:rFonts w:ascii="Arial" w:hAnsi="Arial" w:cs="Arial"/>
                <w:b/>
                <w:bCs/>
                <w:color w:val="auto"/>
                <w:kern w:val="0"/>
                <w:szCs w:val="21"/>
                <w:highlight w:val="none"/>
              </w:rPr>
              <w:t>磋商保证金</w:t>
            </w:r>
            <w:r>
              <w:rPr>
                <w:rFonts w:hint="eastAsia" w:ascii="Arial" w:hAnsi="Arial" w:cs="Arial"/>
                <w:b/>
                <w:bCs/>
                <w:color w:val="auto"/>
                <w:kern w:val="0"/>
                <w:szCs w:val="21"/>
                <w:highlight w:val="none"/>
              </w:rPr>
              <w:t>（</w:t>
            </w:r>
            <w:r>
              <w:rPr>
                <w:rFonts w:ascii="Arial" w:hAnsi="Arial" w:cs="Arial"/>
                <w:b/>
                <w:bCs/>
                <w:color w:val="auto"/>
                <w:kern w:val="0"/>
                <w:szCs w:val="21"/>
                <w:highlight w:val="none"/>
              </w:rPr>
              <w:t>人民币</w:t>
            </w:r>
            <w:r>
              <w:rPr>
                <w:rFonts w:hint="eastAsia" w:ascii="Arial" w:hAnsi="Arial" w:cs="Arial"/>
                <w:b/>
                <w:bCs/>
                <w:color w:val="auto"/>
                <w:kern w:val="0"/>
                <w:szCs w:val="21"/>
                <w:highlight w:val="none"/>
              </w:rPr>
              <w:t>）：10000元。</w:t>
            </w:r>
          </w:p>
          <w:p w14:paraId="6DF4EBE2">
            <w:pPr>
              <w:snapToGrid w:val="0"/>
              <w:spacing w:line="360" w:lineRule="exact"/>
              <w:rPr>
                <w:rFonts w:ascii="宋体" w:hAnsi="宋体" w:cs="宋体"/>
                <w:color w:val="auto"/>
                <w:kern w:val="0"/>
                <w:szCs w:val="21"/>
                <w:highlight w:val="none"/>
              </w:rPr>
            </w:pPr>
            <w:r>
              <w:rPr>
                <w:rFonts w:ascii="Arial" w:hAnsi="Arial" w:cs="Arial"/>
                <w:color w:val="auto"/>
                <w:kern w:val="0"/>
                <w:szCs w:val="21"/>
                <w:highlight w:val="none"/>
              </w:rPr>
              <w:t>磋商保证金的交纳方式：银行转账、支票、汇票、本票或者银行、保险机构</w:t>
            </w:r>
            <w:r>
              <w:rPr>
                <w:rFonts w:hint="eastAsia" w:ascii="宋体" w:hAnsi="宋体" w:cs="宋体"/>
                <w:color w:val="auto"/>
                <w:kern w:val="0"/>
                <w:szCs w:val="21"/>
                <w:highlight w:val="none"/>
              </w:rPr>
              <w:t>出具的保函，禁止采用现钞方式。采用银行转账方式的，在响应文件提交截止时间前交至指定账户并且到账</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开户名称：广西金证招标代理有限公司；开户银行：中国民生银行南宁分行营业部；银行账号：1721 8612 3</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r>
              <w:rPr>
                <w:rFonts w:hint="eastAsia" w:ascii="宋体" w:hAnsi="宋体" w:cs="宋体"/>
                <w:color w:val="auto"/>
                <w:highlight w:val="none"/>
              </w:rPr>
              <w:t>（</w:t>
            </w:r>
            <w:r>
              <w:rPr>
                <w:rFonts w:hint="eastAsia" w:ascii="宋体" w:hAnsi="宋体" w:cs="宋体"/>
                <w:color w:val="auto"/>
                <w:kern w:val="0"/>
                <w:szCs w:val="21"/>
                <w:highlight w:val="none"/>
              </w:rPr>
              <w:t>财务室电话：0771-5509139</w:t>
            </w:r>
            <w:r>
              <w:rPr>
                <w:rFonts w:hint="eastAsia" w:ascii="宋体" w:hAnsi="宋体" w:cs="宋体"/>
                <w:color w:val="auto"/>
                <w:highlight w:val="none"/>
              </w:rPr>
              <w:t>）</w:t>
            </w:r>
          </w:p>
          <w:p w14:paraId="4B4FD64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14A7420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1.办理磋商保证金手续时，请</w:t>
            </w:r>
            <w:r>
              <w:rPr>
                <w:rFonts w:hint="eastAsia" w:ascii="宋体" w:hAnsi="宋体" w:cs="宋体"/>
                <w:b/>
                <w:bCs/>
                <w:color w:val="auto"/>
                <w:szCs w:val="21"/>
                <w:highlight w:val="none"/>
              </w:rPr>
              <w:t>在银行进账单的用途或空白栏上注明项目名称(或项目编号)</w:t>
            </w:r>
            <w:r>
              <w:rPr>
                <w:rFonts w:hint="eastAsia" w:ascii="宋体" w:hAnsi="宋体" w:cs="宋体"/>
                <w:color w:val="auto"/>
                <w:szCs w:val="21"/>
                <w:highlight w:val="none"/>
              </w:rPr>
              <w:t>。</w:t>
            </w:r>
          </w:p>
          <w:p w14:paraId="63B1B4F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76EFBCA">
            <w:pPr>
              <w:snapToGrid w:val="0"/>
              <w:spacing w:line="360" w:lineRule="exact"/>
              <w:ind w:firstLine="420" w:firstLineChars="200"/>
              <w:rPr>
                <w:rFonts w:ascii="Arial" w:hAnsi="Arial" w:cs="Arial"/>
                <w:color w:val="auto"/>
                <w:szCs w:val="21"/>
                <w:highlight w:val="none"/>
              </w:rPr>
            </w:pPr>
            <w:r>
              <w:rPr>
                <w:rFonts w:hint="eastAsia" w:ascii="宋体" w:hAnsi="宋体" w:cs="宋体"/>
                <w:color w:val="auto"/>
                <w:szCs w:val="21"/>
                <w:highlight w:val="none"/>
              </w:rPr>
              <w:t>3.磋商保证金采用支票、汇票、本票或者银行、保险机构出具的保函交纳方式的，供应商应将支票、汇票、本票或者银行、保险机构出具的保函的复印件作为磋商保证金提交凭证，放置于商务技术文件中，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。供应商必须</w:t>
            </w:r>
            <w:r>
              <w:rPr>
                <w:rFonts w:hint="eastAsia" w:ascii="宋体" w:hAnsi="宋体" w:cs="宋体"/>
                <w:color w:val="auto"/>
                <w:highlight w:val="none"/>
              </w:rPr>
              <w:t>在响应文件提交截止时间前采用现场或邮寄方式（现场提交或邮寄地址：</w:t>
            </w:r>
            <w:r>
              <w:rPr>
                <w:rFonts w:hint="eastAsia" w:ascii="宋体" w:hAnsi="宋体" w:cs="宋体"/>
                <w:color w:val="auto"/>
                <w:highlight w:val="none"/>
                <w:u w:val="single"/>
              </w:rPr>
              <w:t>南宁市青秀区东葛路118号青秀万达广场甲2栋2501室</w:t>
            </w:r>
            <w:r>
              <w:rPr>
                <w:rFonts w:hint="eastAsia" w:ascii="宋体" w:hAnsi="宋体" w:cs="宋体"/>
                <w:color w:val="auto"/>
                <w:highlight w:val="none"/>
              </w:rPr>
              <w:t>，收件人：</w:t>
            </w:r>
            <w:r>
              <w:rPr>
                <w:rFonts w:hint="eastAsia" w:ascii="宋体" w:hAnsi="宋体" w:cs="宋体"/>
                <w:color w:val="auto"/>
                <w:highlight w:val="none"/>
                <w:u w:val="single"/>
              </w:rPr>
              <w:t>雷婷婷</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w:t>
            </w:r>
            <w:r>
              <w:rPr>
                <w:rFonts w:ascii="Arial" w:hAnsi="Arial" w:cs="Arial"/>
                <w:color w:val="auto"/>
                <w:szCs w:val="21"/>
                <w:highlight w:val="none"/>
              </w:rPr>
              <w:t>保险机构出具的保函原件提交给采购人或者采购代理机构，由采购人或者采购代理机构向供应商出具回执（邮寄方式的除外），并妥善保管。</w:t>
            </w:r>
          </w:p>
          <w:p w14:paraId="7A3E725C">
            <w:pPr>
              <w:snapToGrid w:val="0"/>
              <w:spacing w:line="360" w:lineRule="exact"/>
              <w:ind w:firstLine="420" w:firstLineChars="200"/>
              <w:rPr>
                <w:rFonts w:ascii="Arial" w:hAnsi="Arial" w:cs="Arial"/>
                <w:b/>
                <w:color w:val="auto"/>
                <w:szCs w:val="21"/>
                <w:highlight w:val="none"/>
              </w:rPr>
            </w:pPr>
            <w:r>
              <w:rPr>
                <w:rFonts w:hint="eastAsia" w:ascii="宋体" w:hAnsi="宋体" w:cs="宋体"/>
                <w:color w:val="auto"/>
                <w:szCs w:val="21"/>
                <w:highlight w:val="none"/>
              </w:rPr>
              <w:t>4.供应商为</w:t>
            </w:r>
            <w:r>
              <w:rPr>
                <w:rFonts w:ascii="Arial" w:hAnsi="Arial" w:cs="Arial"/>
                <w:color w:val="auto"/>
                <w:szCs w:val="21"/>
                <w:highlight w:val="none"/>
              </w:rPr>
              <w:t>联合体的，可以由联合体中的一方或者多方共同交纳磋商保证金，其交纳的保证金对联合体各方均具有约束力。</w:t>
            </w:r>
          </w:p>
          <w:p w14:paraId="4D04D1CE">
            <w:pPr>
              <w:snapToGrid w:val="0"/>
              <w:spacing w:line="360" w:lineRule="exact"/>
              <w:rPr>
                <w:rFonts w:ascii="Arial" w:hAnsi="Arial" w:cs="Arial"/>
                <w:b/>
                <w:color w:val="auto"/>
                <w:szCs w:val="21"/>
                <w:highlight w:val="none"/>
              </w:rPr>
            </w:pPr>
            <w:r>
              <w:rPr>
                <w:rFonts w:ascii="Arial" w:hAnsi="Arial" w:cs="Arial"/>
                <w:b/>
                <w:color w:val="auto"/>
                <w:szCs w:val="21"/>
                <w:highlight w:val="none"/>
              </w:rPr>
              <w:t xml:space="preserve">备注： </w:t>
            </w:r>
          </w:p>
          <w:p w14:paraId="40879C08">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（1）</w:t>
            </w:r>
            <w:r>
              <w:rPr>
                <w:rFonts w:ascii="Arial" w:hAnsi="Arial" w:cs="Arial"/>
                <w:b/>
                <w:color w:val="auto"/>
                <w:szCs w:val="21"/>
                <w:highlight w:val="none"/>
              </w:rPr>
              <w:t>磋商保证金在响应文件提交截止时间后提交的，或者不按规定交纳方式交纳的，或者未足额交纳的（包含保函额度不足的），视为无效磋商保证金。</w:t>
            </w:r>
          </w:p>
          <w:p w14:paraId="1238C7B4">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（2）</w:t>
            </w:r>
            <w:r>
              <w:rPr>
                <w:rFonts w:ascii="Arial" w:hAnsi="Arial" w:cs="Arial"/>
                <w:b/>
                <w:color w:val="auto"/>
                <w:szCs w:val="21"/>
                <w:highlight w:val="none"/>
              </w:rPr>
              <w:t>供应商采用现钞方式或者从个人账户（自然人竞标除外）转出的磋商保证金，视为无效磋商保证金。</w:t>
            </w:r>
          </w:p>
          <w:p w14:paraId="52B2DE0C">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（3）</w:t>
            </w:r>
            <w:r>
              <w:rPr>
                <w:rFonts w:ascii="Arial" w:hAnsi="Arial" w:cs="Arial"/>
                <w:b/>
                <w:color w:val="auto"/>
                <w:szCs w:val="21"/>
                <w:highlight w:val="none"/>
              </w:rPr>
              <w:t>支票、汇票或者本票出现无效或者背书情形的，视为无效磋商保证金。</w:t>
            </w:r>
          </w:p>
          <w:p w14:paraId="6EFC51BF">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（4）</w:t>
            </w:r>
            <w:r>
              <w:rPr>
                <w:rFonts w:ascii="Arial" w:hAnsi="Arial" w:cs="Arial"/>
                <w:b/>
                <w:color w:val="auto"/>
                <w:szCs w:val="21"/>
                <w:highlight w:val="none"/>
              </w:rPr>
              <w:t>保函有效期低于竞标有效期的，视为无效磋商保证金。</w:t>
            </w:r>
          </w:p>
          <w:p w14:paraId="3D0FDE29">
            <w:pPr>
              <w:autoSpaceDE w:val="0"/>
              <w:autoSpaceDN w:val="0"/>
              <w:snapToGrid w:val="0"/>
              <w:spacing w:line="360" w:lineRule="exact"/>
              <w:ind w:firstLine="422" w:firstLineChars="200"/>
              <w:textAlignment w:val="bottom"/>
              <w:rPr>
                <w:rFonts w:ascii="宋体" w:hAnsi="宋体" w:cs="宋体"/>
                <w:color w:val="auto"/>
                <w:szCs w:val="21"/>
                <w:highlight w:val="none"/>
              </w:rPr>
            </w:pPr>
            <w:r>
              <w:rPr>
                <w:rFonts w:hint="eastAsia" w:ascii="Arial" w:hAnsi="Arial" w:cs="Arial"/>
                <w:b/>
                <w:color w:val="auto"/>
                <w:szCs w:val="21"/>
                <w:highlight w:val="none"/>
              </w:rPr>
              <w:t>（5）</w:t>
            </w:r>
            <w:r>
              <w:rPr>
                <w:rFonts w:ascii="Arial" w:hAnsi="Arial" w:cs="Arial"/>
                <w:b/>
                <w:color w:val="auto"/>
                <w:szCs w:val="21"/>
                <w:highlight w:val="none"/>
              </w:rPr>
              <w:t>采用银行、保险机构出具保函的，必须为无条件保函，否则视为无效磋商保证金。</w:t>
            </w:r>
          </w:p>
        </w:tc>
      </w:tr>
      <w:tr w14:paraId="4D0C7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992" w:type="dxa"/>
            <w:tcBorders>
              <w:left w:val="single" w:color="000000" w:sz="12" w:space="0"/>
            </w:tcBorders>
            <w:vAlign w:val="center"/>
          </w:tcPr>
          <w:p w14:paraId="6A682F5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149" w:type="dxa"/>
            <w:tcBorders>
              <w:right w:val="single" w:color="000000" w:sz="12" w:space="0"/>
            </w:tcBorders>
            <w:vAlign w:val="center"/>
          </w:tcPr>
          <w:p w14:paraId="144E03FD">
            <w:pPr>
              <w:spacing w:line="360" w:lineRule="exact"/>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27701416">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6772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992" w:type="dxa"/>
            <w:tcBorders>
              <w:left w:val="single" w:color="000000" w:sz="12" w:space="0"/>
            </w:tcBorders>
            <w:vAlign w:val="center"/>
          </w:tcPr>
          <w:p w14:paraId="130525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149" w:type="dxa"/>
            <w:tcBorders>
              <w:right w:val="single" w:color="000000" w:sz="12" w:space="0"/>
            </w:tcBorders>
            <w:vAlign w:val="center"/>
          </w:tcPr>
          <w:p w14:paraId="52AB5BA4">
            <w:p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3B70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992" w:type="dxa"/>
            <w:tcBorders>
              <w:left w:val="single" w:color="000000" w:sz="12" w:space="0"/>
            </w:tcBorders>
            <w:vAlign w:val="center"/>
          </w:tcPr>
          <w:p w14:paraId="418481E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149" w:type="dxa"/>
            <w:tcBorders>
              <w:right w:val="single" w:color="000000" w:sz="12" w:space="0"/>
            </w:tcBorders>
            <w:vAlign w:val="center"/>
          </w:tcPr>
          <w:p w14:paraId="0F89308C">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BA63C5E">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首次响应文件解密时间：采购代理机构将依托电子交易平台发起开始解密指令，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46C8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992" w:type="dxa"/>
            <w:tcBorders>
              <w:left w:val="single" w:color="000000" w:sz="12" w:space="0"/>
            </w:tcBorders>
            <w:vAlign w:val="center"/>
          </w:tcPr>
          <w:p w14:paraId="33A1211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26.3</w:t>
            </w:r>
          </w:p>
        </w:tc>
        <w:tc>
          <w:tcPr>
            <w:tcW w:w="8149" w:type="dxa"/>
            <w:tcBorders>
              <w:right w:val="single" w:color="000000" w:sz="12" w:space="0"/>
            </w:tcBorders>
            <w:vAlign w:val="center"/>
          </w:tcPr>
          <w:p w14:paraId="7EC6473E">
            <w:pPr>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商务要求评审中允许负偏离的条款数为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14:paraId="2CF386C5">
            <w:pPr>
              <w:snapToGrid w:val="0"/>
              <w:spacing w:line="360" w:lineRule="exact"/>
              <w:rPr>
                <w:rFonts w:ascii="宋体" w:hAnsi="宋体" w:cs="宋体"/>
                <w:color w:val="auto"/>
                <w:szCs w:val="21"/>
                <w:highlight w:val="none"/>
              </w:rPr>
            </w:pPr>
            <w:r>
              <w:rPr>
                <w:rFonts w:hint="eastAsia" w:ascii="宋体" w:hAnsi="宋体" w:cs="宋体"/>
                <w:b/>
                <w:bCs/>
                <w:color w:val="auto"/>
                <w:szCs w:val="21"/>
                <w:highlight w:val="none"/>
              </w:rPr>
              <w:t>技术要求评审中允许负偏离的条款数为</w:t>
            </w:r>
            <w:r>
              <w:rPr>
                <w:rFonts w:hint="eastAsia" w:ascii="宋体" w:hAnsi="宋体" w:cs="宋体"/>
                <w:b/>
                <w:bCs/>
                <w:color w:val="auto"/>
                <w:szCs w:val="21"/>
                <w:highlight w:val="none"/>
                <w:u w:val="single"/>
              </w:rPr>
              <w:t xml:space="preserve"> 2 </w:t>
            </w:r>
            <w:r>
              <w:rPr>
                <w:rFonts w:hint="eastAsia" w:ascii="宋体" w:hAnsi="宋体" w:cs="宋体"/>
                <w:b/>
                <w:bCs/>
                <w:color w:val="auto"/>
                <w:szCs w:val="21"/>
                <w:highlight w:val="none"/>
              </w:rPr>
              <w:t>项。</w:t>
            </w:r>
          </w:p>
        </w:tc>
      </w:tr>
      <w:tr w14:paraId="724A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22F5007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149" w:type="dxa"/>
            <w:tcBorders>
              <w:right w:val="single" w:color="000000" w:sz="12" w:space="0"/>
            </w:tcBorders>
            <w:vAlign w:val="center"/>
          </w:tcPr>
          <w:p w14:paraId="60B732C6">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本项目不收取履约保证金。</w:t>
            </w:r>
          </w:p>
          <w:p w14:paraId="292A266F">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本项目收取履约保证金，具体规定如下：</w:t>
            </w:r>
          </w:p>
          <w:p w14:paraId="74DF1845">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%，成交单位在收到成交通知书后，须在7个工作日内向采购人提交履约保证金。</w:t>
            </w:r>
          </w:p>
          <w:p w14:paraId="01EB9186">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w:t>
            </w:r>
          </w:p>
          <w:p w14:paraId="15B68595">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履约保证金退付方式、时间及条件：待全部项目验收合格后，由成交单位凭项目验收书向采购单位申请支付 。</w:t>
            </w:r>
          </w:p>
          <w:p w14:paraId="6407CB72">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如：由成交供应商向履约保证金收取单位提供《广西壮族自治区政府采购项目合同验收书》（详见桂财采〔2015〕22号），保证金收取单位在收到合格材料后5个工作日内办理退还手续（不计利息）。</w:t>
            </w:r>
          </w:p>
          <w:p w14:paraId="1F80C8CC">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6BBD02AC">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548BAED7">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28A09092">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银行账号：/ </w:t>
            </w:r>
          </w:p>
          <w:p w14:paraId="783F1F79">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14:paraId="417D5839">
            <w:pPr>
              <w:pStyle w:val="12"/>
              <w:rPr>
                <w:rFonts w:ascii="宋体" w:hAnsi="宋体" w:cs="宋体"/>
                <w:b/>
                <w:color w:val="auto"/>
                <w:szCs w:val="21"/>
                <w:highlight w:val="none"/>
              </w:rPr>
            </w:pPr>
            <w:r>
              <w:rPr>
                <w:rFonts w:hint="eastAsia" w:ascii="宋体" w:hAnsi="宋体" w:cs="宋体"/>
                <w:b/>
                <w:color w:val="auto"/>
                <w:szCs w:val="21"/>
                <w:highlight w:val="none"/>
              </w:rPr>
              <w:t>1.</w:t>
            </w:r>
            <w:bookmarkStart w:id="53" w:name="_Hlk54170335"/>
            <w:r>
              <w:rPr>
                <w:rFonts w:hint="eastAsia" w:ascii="宋体" w:hAnsi="宋体" w:cs="宋体"/>
                <w:b/>
                <w:color w:val="auto"/>
                <w:szCs w:val="21"/>
                <w:highlight w:val="none"/>
              </w:rPr>
              <w:t>根据《广西壮族自治区财政厅关于规范政府采购货物和服务项目保证金管理的通知》（桂财规〔2022〕8号）规定，鼓励采购人在与中标人签订政府采购合同时，免收履约保证金或者降低收取比例，有必要收取履约保证金的，收取的履约保证金不得超过政府采购合同金额的5%，对中小企业收取的履约保证金数额不得超过政府采购合同金额的2%。</w:t>
            </w:r>
            <w:bookmarkEnd w:id="53"/>
          </w:p>
          <w:p w14:paraId="672134AA">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53879DAC">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3.采用银行、保险机构出具的保函的，必须为无条件保函，否则不予签订合同。</w:t>
            </w:r>
          </w:p>
          <w:p w14:paraId="2F89D9A2">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14:paraId="5630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jc w:val="center"/>
        </w:trPr>
        <w:tc>
          <w:tcPr>
            <w:tcW w:w="992" w:type="dxa"/>
            <w:tcBorders>
              <w:left w:val="single" w:color="000000" w:sz="12" w:space="0"/>
            </w:tcBorders>
            <w:vAlign w:val="center"/>
          </w:tcPr>
          <w:p w14:paraId="049BAFC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149" w:type="dxa"/>
            <w:tcBorders>
              <w:right w:val="single" w:color="000000" w:sz="12" w:space="0"/>
            </w:tcBorders>
            <w:vAlign w:val="center"/>
          </w:tcPr>
          <w:p w14:paraId="455C76D3">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42524884">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720961AC">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698BD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76A07F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149" w:type="dxa"/>
            <w:tcBorders>
              <w:right w:val="single" w:color="000000" w:sz="12" w:space="0"/>
            </w:tcBorders>
            <w:vAlign w:val="center"/>
          </w:tcPr>
          <w:p w14:paraId="63CC5B0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5A74D7FC">
            <w:pPr>
              <w:rPr>
                <w:rFonts w:ascii="宋体" w:hAnsi="宋体" w:cs="宋体"/>
                <w:color w:val="auto"/>
                <w:highlight w:val="none"/>
              </w:rPr>
            </w:pPr>
            <w:r>
              <w:rPr>
                <w:rFonts w:hint="eastAsia" w:ascii="宋体" w:hAnsi="宋体" w:cs="宋体"/>
                <w:color w:val="auto"/>
                <w:highlight w:val="none"/>
              </w:rPr>
              <w:t>质疑联系部门及联系方式：广西金证招标代理有限公司招标部</w:t>
            </w:r>
          </w:p>
          <w:p w14:paraId="686F7F8B">
            <w:pPr>
              <w:rPr>
                <w:rFonts w:ascii="宋体" w:hAnsi="宋体" w:cs="宋体"/>
                <w:color w:val="auto"/>
                <w:highlight w:val="none"/>
              </w:rPr>
            </w:pPr>
            <w:r>
              <w:rPr>
                <w:rFonts w:hint="eastAsia" w:ascii="宋体" w:hAnsi="宋体" w:cs="宋体"/>
                <w:color w:val="auto"/>
                <w:highlight w:val="none"/>
              </w:rPr>
              <w:t>联系电话：0771-5509136</w:t>
            </w:r>
          </w:p>
          <w:p w14:paraId="059ECDC7">
            <w:pPr>
              <w:rPr>
                <w:rFonts w:ascii="宋体" w:hAnsi="宋体" w:cs="宋体"/>
                <w:color w:val="auto"/>
                <w:highlight w:val="none"/>
              </w:rPr>
            </w:pPr>
            <w:r>
              <w:rPr>
                <w:rFonts w:hint="eastAsia" w:ascii="宋体" w:hAnsi="宋体" w:cs="宋体"/>
                <w:color w:val="auto"/>
                <w:highlight w:val="none"/>
              </w:rPr>
              <w:t>通讯地址：南宁市青秀区东葛路118号青秀万达广场甲2栋2501室</w:t>
            </w:r>
          </w:p>
          <w:p w14:paraId="27C59A9A">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highlight w:val="none"/>
              </w:rPr>
              <w:t>业务时间：</w:t>
            </w:r>
            <w:r>
              <w:rPr>
                <w:rFonts w:hint="eastAsia" w:ascii="宋体" w:hAnsi="宋体" w:cs="宋体"/>
                <w:color w:val="auto"/>
                <w:highlight w:val="none"/>
                <w:u w:val="single"/>
              </w:rPr>
              <w:t>上午8时30分到12时00分；下午15时00分到17时30分</w:t>
            </w:r>
            <w:r>
              <w:rPr>
                <w:rFonts w:hint="eastAsia" w:ascii="宋体" w:hAnsi="宋体" w:cs="宋体"/>
                <w:color w:val="auto"/>
                <w:highlight w:val="none"/>
              </w:rPr>
              <w:t>，业务时间以外、双休日和法定节假日不办理业务。</w:t>
            </w:r>
          </w:p>
        </w:tc>
      </w:tr>
      <w:tr w14:paraId="4711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1B88CC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149" w:type="dxa"/>
            <w:tcBorders>
              <w:right w:val="single" w:color="000000" w:sz="12" w:space="0"/>
            </w:tcBorders>
            <w:vAlign w:val="center"/>
          </w:tcPr>
          <w:p w14:paraId="13269136">
            <w:pPr>
              <w:pStyle w:val="17"/>
              <w:snapToGrid w:val="0"/>
              <w:spacing w:line="360" w:lineRule="exact"/>
              <w:rPr>
                <w:rFonts w:hAnsi="宋体" w:cs="宋体"/>
                <w:color w:val="auto"/>
                <w:sz w:val="21"/>
                <w:highlight w:val="none"/>
              </w:rPr>
            </w:pPr>
            <w:r>
              <w:rPr>
                <w:rFonts w:hint="eastAsia" w:hAnsi="宋体" w:cs="宋体"/>
                <w:color w:val="auto"/>
                <w:sz w:val="21"/>
                <w:highlight w:val="none"/>
              </w:rPr>
              <w:t>1.代理服务费支付方式：</w:t>
            </w:r>
          </w:p>
          <w:p w14:paraId="4FEDE235">
            <w:pPr>
              <w:pStyle w:val="17"/>
              <w:snapToGrid w:val="0"/>
              <w:spacing w:line="360" w:lineRule="exact"/>
              <w:rPr>
                <w:rFonts w:hAnsi="宋体" w:cs="宋体"/>
                <w:color w:val="auto"/>
                <w:sz w:val="21"/>
                <w:highlight w:val="none"/>
              </w:rPr>
            </w:pPr>
            <w:r>
              <w:rPr>
                <w:rFonts w:hint="eastAsia" w:hAnsi="宋体" w:cs="宋体"/>
                <w:color w:val="auto"/>
                <w:sz w:val="21"/>
                <w:highlight w:val="none"/>
              </w:rPr>
              <w:t>☑本项目代理服务费由成交供应商领取成交通知书前，向采购代理机构支付完成。</w:t>
            </w:r>
          </w:p>
          <w:p w14:paraId="224517B5">
            <w:pPr>
              <w:pStyle w:val="17"/>
              <w:snapToGrid w:val="0"/>
              <w:spacing w:line="360" w:lineRule="exact"/>
              <w:rPr>
                <w:rFonts w:hAnsi="宋体" w:cs="宋体"/>
                <w:color w:val="auto"/>
                <w:sz w:val="21"/>
                <w:highlight w:val="none"/>
              </w:rPr>
            </w:pPr>
            <w:r>
              <w:rPr>
                <w:rFonts w:hint="eastAsia" w:hAnsi="宋体" w:cs="宋体"/>
                <w:color w:val="auto"/>
                <w:sz w:val="21"/>
                <w:highlight w:val="none"/>
              </w:rPr>
              <w:t>□采购人支付。</w:t>
            </w:r>
          </w:p>
          <w:p w14:paraId="6F134B22">
            <w:pPr>
              <w:pStyle w:val="17"/>
              <w:snapToGrid w:val="0"/>
              <w:spacing w:line="360" w:lineRule="exact"/>
              <w:rPr>
                <w:rFonts w:hint="eastAsia" w:hAnsi="宋体"/>
                <w:color w:val="auto"/>
                <w:sz w:val="21"/>
                <w:highlight w:val="none"/>
              </w:rPr>
            </w:pPr>
            <w:r>
              <w:rPr>
                <w:rFonts w:hint="eastAsia" w:hAnsi="宋体" w:cs="宋体"/>
                <w:color w:val="auto"/>
                <w:sz w:val="21"/>
                <w:highlight w:val="none"/>
              </w:rPr>
              <w:t>2.</w:t>
            </w:r>
            <w:r>
              <w:rPr>
                <w:rFonts w:hint="eastAsia" w:hAnsi="宋体"/>
                <w:color w:val="auto"/>
                <w:sz w:val="21"/>
                <w:highlight w:val="none"/>
              </w:rPr>
              <w:t>项目代理服务费按（☑成交金额□采购预算□暂定成交金额□其他）为计费额，费用标准为：</w:t>
            </w:r>
          </w:p>
          <w:tbl>
            <w:tblPr>
              <w:tblStyle w:val="31"/>
              <w:tblW w:w="7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832"/>
              <w:gridCol w:w="1661"/>
              <w:gridCol w:w="1682"/>
            </w:tblGrid>
            <w:tr w14:paraId="47D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tcBorders>
                    <w:tl2br w:val="single" w:color="auto" w:sz="4" w:space="0"/>
                  </w:tcBorders>
                  <w:noWrap w:val="0"/>
                  <w:vAlign w:val="top"/>
                </w:tcPr>
                <w:p w14:paraId="0F18DF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3947B9D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832" w:type="dxa"/>
                  <w:noWrap w:val="0"/>
                  <w:vAlign w:val="center"/>
                </w:tcPr>
                <w:p w14:paraId="59EAF57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661" w:type="dxa"/>
                  <w:noWrap w:val="0"/>
                  <w:vAlign w:val="center"/>
                </w:tcPr>
                <w:p w14:paraId="3FE64E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682" w:type="dxa"/>
                  <w:noWrap w:val="0"/>
                  <w:vAlign w:val="center"/>
                </w:tcPr>
                <w:p w14:paraId="02B290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165B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504" w:type="dxa"/>
                  <w:noWrap w:val="0"/>
                  <w:vAlign w:val="top"/>
                </w:tcPr>
                <w:p w14:paraId="5FDC3B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832" w:type="dxa"/>
                  <w:noWrap w:val="0"/>
                  <w:vAlign w:val="top"/>
                </w:tcPr>
                <w:p w14:paraId="44956EA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61" w:type="dxa"/>
                  <w:noWrap w:val="0"/>
                  <w:vAlign w:val="top"/>
                </w:tcPr>
                <w:p w14:paraId="62099E62">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2" w:type="dxa"/>
                  <w:noWrap w:val="0"/>
                  <w:vAlign w:val="top"/>
                </w:tcPr>
                <w:p w14:paraId="4B5B6BCB">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022E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0B89FA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832" w:type="dxa"/>
                  <w:noWrap w:val="0"/>
                  <w:vAlign w:val="top"/>
                </w:tcPr>
                <w:p w14:paraId="0493873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61" w:type="dxa"/>
                  <w:noWrap w:val="0"/>
                  <w:vAlign w:val="top"/>
                </w:tcPr>
                <w:p w14:paraId="7DB4E8F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2" w:type="dxa"/>
                  <w:noWrap w:val="0"/>
                  <w:vAlign w:val="top"/>
                </w:tcPr>
                <w:p w14:paraId="786349BB">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766A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07D5FA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832" w:type="dxa"/>
                  <w:noWrap w:val="0"/>
                  <w:vAlign w:val="top"/>
                </w:tcPr>
                <w:p w14:paraId="20193F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61" w:type="dxa"/>
                  <w:noWrap w:val="0"/>
                  <w:vAlign w:val="top"/>
                </w:tcPr>
                <w:p w14:paraId="496043C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82" w:type="dxa"/>
                  <w:noWrap w:val="0"/>
                  <w:vAlign w:val="top"/>
                </w:tcPr>
                <w:p w14:paraId="66838FC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DAF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2ED271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832" w:type="dxa"/>
                  <w:noWrap w:val="0"/>
                  <w:vAlign w:val="top"/>
                </w:tcPr>
                <w:p w14:paraId="237E9CED">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61" w:type="dxa"/>
                  <w:noWrap w:val="0"/>
                  <w:vAlign w:val="top"/>
                </w:tcPr>
                <w:p w14:paraId="12D1939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2" w:type="dxa"/>
                  <w:noWrap w:val="0"/>
                  <w:vAlign w:val="top"/>
                </w:tcPr>
                <w:p w14:paraId="40092D52">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2D36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6C81B5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832" w:type="dxa"/>
                  <w:noWrap w:val="0"/>
                  <w:vAlign w:val="top"/>
                </w:tcPr>
                <w:p w14:paraId="079B9B0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61" w:type="dxa"/>
                  <w:noWrap w:val="0"/>
                  <w:vAlign w:val="top"/>
                </w:tcPr>
                <w:p w14:paraId="546FC841">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82" w:type="dxa"/>
                  <w:noWrap w:val="0"/>
                  <w:vAlign w:val="top"/>
                </w:tcPr>
                <w:p w14:paraId="54EAF537">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1831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206C860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832" w:type="dxa"/>
                  <w:noWrap w:val="0"/>
                  <w:vAlign w:val="top"/>
                </w:tcPr>
                <w:p w14:paraId="3240E159">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61" w:type="dxa"/>
                  <w:noWrap w:val="0"/>
                  <w:vAlign w:val="top"/>
                </w:tcPr>
                <w:p w14:paraId="35BE06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2" w:type="dxa"/>
                  <w:noWrap w:val="0"/>
                  <w:vAlign w:val="top"/>
                </w:tcPr>
                <w:p w14:paraId="0DB64C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724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186B92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832" w:type="dxa"/>
                  <w:noWrap w:val="0"/>
                  <w:vAlign w:val="top"/>
                </w:tcPr>
                <w:p w14:paraId="5C7F629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61" w:type="dxa"/>
                  <w:noWrap w:val="0"/>
                  <w:vAlign w:val="top"/>
                </w:tcPr>
                <w:p w14:paraId="02566D2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2" w:type="dxa"/>
                  <w:noWrap w:val="0"/>
                  <w:vAlign w:val="top"/>
                </w:tcPr>
                <w:p w14:paraId="0016AFC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BC9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7ADBB6B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832" w:type="dxa"/>
                  <w:noWrap w:val="0"/>
                  <w:vAlign w:val="top"/>
                </w:tcPr>
                <w:p w14:paraId="5529EA98">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61" w:type="dxa"/>
                  <w:noWrap w:val="0"/>
                  <w:vAlign w:val="top"/>
                </w:tcPr>
                <w:p w14:paraId="3A7BA2D1">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2" w:type="dxa"/>
                  <w:noWrap w:val="0"/>
                  <w:vAlign w:val="top"/>
                </w:tcPr>
                <w:p w14:paraId="15A7ABA5">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5E9B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594557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832" w:type="dxa"/>
                  <w:noWrap w:val="0"/>
                  <w:vAlign w:val="top"/>
                </w:tcPr>
                <w:p w14:paraId="541669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61" w:type="dxa"/>
                  <w:noWrap w:val="0"/>
                  <w:vAlign w:val="top"/>
                </w:tcPr>
                <w:p w14:paraId="2D834E0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82" w:type="dxa"/>
                  <w:noWrap w:val="0"/>
                  <w:vAlign w:val="top"/>
                </w:tcPr>
                <w:p w14:paraId="139511BD">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9D6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4" w:type="dxa"/>
                  <w:noWrap w:val="0"/>
                  <w:vAlign w:val="top"/>
                </w:tcPr>
                <w:p w14:paraId="600AFB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832" w:type="dxa"/>
                  <w:noWrap w:val="0"/>
                  <w:vAlign w:val="top"/>
                </w:tcPr>
                <w:p w14:paraId="4F74F6B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61" w:type="dxa"/>
                  <w:noWrap w:val="0"/>
                  <w:vAlign w:val="top"/>
                </w:tcPr>
                <w:p w14:paraId="41D6FD1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82" w:type="dxa"/>
                  <w:noWrap w:val="0"/>
                  <w:vAlign w:val="top"/>
                </w:tcPr>
                <w:p w14:paraId="0B3BD325">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7EBEC95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06CA096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22719B9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例如：某服务采购代理业务成交金额或者暂定价为150万元，计算采购代理收费额如下：</w:t>
            </w:r>
          </w:p>
          <w:p w14:paraId="196BB4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100万元×l.5％＝1.5 万元</w:t>
            </w:r>
          </w:p>
          <w:p w14:paraId="0DD96B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（150－100）万元×0.8％＝0.4万元</w:t>
            </w:r>
          </w:p>
          <w:p w14:paraId="11F25760">
            <w:pPr>
              <w:spacing w:line="360" w:lineRule="auto"/>
              <w:ind w:firstLine="420" w:firstLineChars="200"/>
              <w:rPr>
                <w:color w:val="auto"/>
                <w:highlight w:val="none"/>
              </w:rPr>
            </w:pPr>
            <w:r>
              <w:rPr>
                <w:rFonts w:hint="eastAsia" w:ascii="宋体" w:hAnsi="宋体" w:eastAsia="宋体" w:cs="宋体"/>
                <w:color w:val="auto"/>
                <w:highlight w:val="none"/>
              </w:rPr>
              <w:t>合计收费＝1.5＋0.4＝1.9万元</w:t>
            </w:r>
          </w:p>
          <w:p w14:paraId="761886D0">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3.</w:t>
            </w:r>
            <w:r>
              <w:rPr>
                <w:rFonts w:hint="eastAsia" w:hAnsi="宋体" w:cs="宋体"/>
                <w:color w:val="auto"/>
                <w:sz w:val="21"/>
                <w:highlight w:val="none"/>
              </w:rPr>
              <w:t>代理服务费</w:t>
            </w:r>
            <w:r>
              <w:rPr>
                <w:rFonts w:hint="eastAsia" w:hAnsi="宋体" w:cs="宋体"/>
                <w:color w:val="auto"/>
                <w:spacing w:val="8"/>
                <w:sz w:val="21"/>
                <w:highlight w:val="none"/>
              </w:rPr>
              <w:t>收取银行账户</w:t>
            </w:r>
          </w:p>
          <w:p w14:paraId="794FC261">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开户名称：广西金证招标代理有限公司</w:t>
            </w:r>
          </w:p>
          <w:p w14:paraId="00A494A2">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开户银行：中国民生银行南宁分行营业部</w:t>
            </w:r>
          </w:p>
          <w:p w14:paraId="539BAC48">
            <w:pPr>
              <w:pStyle w:val="17"/>
              <w:snapToGrid w:val="0"/>
              <w:spacing w:line="360" w:lineRule="exact"/>
              <w:rPr>
                <w:rFonts w:hAnsi="宋体" w:cs="宋体"/>
                <w:color w:val="auto"/>
                <w:highlight w:val="none"/>
              </w:rPr>
            </w:pPr>
            <w:r>
              <w:rPr>
                <w:rFonts w:hint="eastAsia" w:hAnsi="宋体" w:cs="宋体"/>
                <w:color w:val="auto"/>
                <w:spacing w:val="8"/>
                <w:sz w:val="21"/>
                <w:highlight w:val="none"/>
              </w:rPr>
              <w:t>银行账号：172186123</w:t>
            </w:r>
          </w:p>
        </w:tc>
      </w:tr>
      <w:tr w14:paraId="336E0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6BAE5B1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149" w:type="dxa"/>
            <w:tcBorders>
              <w:right w:val="single" w:color="000000" w:sz="12" w:space="0"/>
            </w:tcBorders>
            <w:vAlign w:val="center"/>
          </w:tcPr>
          <w:p w14:paraId="0F29062E">
            <w:pPr>
              <w:pStyle w:val="17"/>
              <w:snapToGrid w:val="0"/>
              <w:spacing w:line="360" w:lineRule="exact"/>
              <w:rPr>
                <w:rFonts w:hAnsi="宋体" w:cs="宋体"/>
                <w:color w:val="auto"/>
                <w:spacing w:val="8"/>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A27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28E8B3C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149" w:type="dxa"/>
            <w:tcBorders>
              <w:right w:val="single" w:color="000000" w:sz="12" w:space="0"/>
            </w:tcBorders>
            <w:vAlign w:val="center"/>
          </w:tcPr>
          <w:p w14:paraId="64FBB28C">
            <w:pPr>
              <w:pStyle w:val="17"/>
              <w:snapToGrid w:val="0"/>
              <w:spacing w:line="3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4761E9E">
            <w:pPr>
              <w:pStyle w:val="17"/>
              <w:snapToGrid w:val="0"/>
              <w:spacing w:line="360" w:lineRule="exact"/>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0B7F07AC">
            <w:pPr>
              <w:pStyle w:val="17"/>
              <w:snapToGrid w:val="0"/>
              <w:spacing w:line="360" w:lineRule="exact"/>
              <w:rPr>
                <w:rFonts w:hAnsi="宋体" w:cs="宋体"/>
                <w:bCs/>
                <w:color w:val="auto"/>
                <w:sz w:val="21"/>
                <w:highlight w:val="none"/>
              </w:rPr>
            </w:pPr>
            <w:r>
              <w:rPr>
                <w:rFonts w:hint="eastAsia" w:hAnsi="宋体" w:cs="宋体"/>
                <w:color w:val="auto"/>
                <w:sz w:val="21"/>
                <w:highlight w:val="none"/>
              </w:rPr>
              <w:t>3.供应商为其他组织或者自然人时，本磋商文件规定的法定代表人指负责人或者自然人。本磋商文件所称负责人是指参加竞标的其他组织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5476C9C4">
            <w:pPr>
              <w:pStyle w:val="17"/>
              <w:snapToGrid w:val="0"/>
              <w:spacing w:line="360" w:lineRule="exact"/>
              <w:rPr>
                <w:rFonts w:hAnsi="宋体" w:cs="宋体"/>
                <w:color w:val="auto"/>
                <w:sz w:val="21"/>
                <w:highlight w:val="none"/>
              </w:rPr>
            </w:pPr>
            <w:r>
              <w:rPr>
                <w:rFonts w:hint="eastAsia" w:hAnsi="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74762DA2">
            <w:pPr>
              <w:pStyle w:val="17"/>
              <w:snapToGrid w:val="0"/>
              <w:spacing w:line="3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3B409BA2">
      <w:pPr>
        <w:rPr>
          <w:color w:val="auto"/>
          <w:highlight w:val="none"/>
        </w:rPr>
      </w:pPr>
      <w:r>
        <w:rPr>
          <w:rFonts w:hint="eastAsia"/>
          <w:color w:val="auto"/>
          <w:highlight w:val="none"/>
        </w:rPr>
        <w:br w:type="page"/>
      </w:r>
    </w:p>
    <w:p w14:paraId="1C0DFC6F">
      <w:pPr>
        <w:jc w:val="center"/>
        <w:rPr>
          <w:rFonts w:ascii="宋体" w:hAnsi="宋体" w:cs="宋体"/>
          <w:b/>
          <w:color w:val="auto"/>
          <w:sz w:val="32"/>
          <w:szCs w:val="32"/>
          <w:highlight w:val="none"/>
        </w:rPr>
      </w:pPr>
      <w:r>
        <w:rPr>
          <w:rFonts w:hint="eastAsia"/>
          <w:b/>
          <w:bCs/>
          <w:color w:val="auto"/>
          <w:sz w:val="32"/>
          <w:szCs w:val="32"/>
          <w:highlight w:val="none"/>
        </w:rPr>
        <w:t>供应商须知正文</w:t>
      </w:r>
    </w:p>
    <w:p w14:paraId="04BE11B8">
      <w:pPr>
        <w:spacing w:line="400" w:lineRule="exact"/>
        <w:jc w:val="center"/>
        <w:rPr>
          <w:rFonts w:ascii="宋体" w:hAnsi="宋体" w:cs="宋体"/>
          <w:color w:val="auto"/>
          <w:szCs w:val="21"/>
          <w:highlight w:val="none"/>
        </w:rPr>
      </w:pPr>
      <w:r>
        <w:rPr>
          <w:rFonts w:hint="eastAsia" w:ascii="宋体" w:hAnsi="宋体" w:cs="宋体"/>
          <w:b/>
          <w:color w:val="auto"/>
          <w:sz w:val="32"/>
          <w:szCs w:val="32"/>
          <w:highlight w:val="none"/>
        </w:rPr>
        <w:t>一、总则</w:t>
      </w:r>
    </w:p>
    <w:p w14:paraId="03FEAE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0494F8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570D3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05DA0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74D47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406C1F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9AAAC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4EEF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7BFE6A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03AA0A8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34009D6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2B9E7B1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6CA5C3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5DEAB3D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138F5FB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86DD93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5C9597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239F57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FA97AB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1E282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488820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6B6402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2CE924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6AEABA4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5.3</w:t>
      </w:r>
      <w:r>
        <w:rPr>
          <w:rFonts w:hint="eastAsia" w:ascii="宋体" w:hAnsi="宋体" w:cs="宋体"/>
          <w:color w:val="auto"/>
          <w:highlight w:val="none"/>
        </w:rPr>
        <w:t>根据《政府采购促进中小企业发展管理办法》</w:t>
      </w:r>
      <w:r>
        <w:rPr>
          <w:rFonts w:hint="eastAsia" w:ascii="宋体" w:hAnsi="宋体" w:cs="宋体"/>
          <w:color w:val="auto"/>
          <w:szCs w:val="21"/>
          <w:highlight w:val="none"/>
        </w:rPr>
        <w:t>（财库〔2020〕46号）</w:t>
      </w:r>
      <w:r>
        <w:rPr>
          <w:rFonts w:hint="eastAsia" w:ascii="宋体" w:hAnsi="宋体" w:cs="宋体"/>
          <w:color w:val="auto"/>
          <w:highlight w:val="none"/>
        </w:rPr>
        <w:t>及《广西壮族自治区财政厅关于持续优化政府采购营商环境推动高质量发展的通知》（桂财采〔2024〕55 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w:t>
      </w:r>
      <w:r>
        <w:rPr>
          <w:rFonts w:hint="eastAsia" w:ascii="宋体" w:hAnsi="宋体" w:cs="宋体"/>
          <w:bCs/>
          <w:color w:val="auto"/>
          <w:szCs w:val="21"/>
          <w:highlight w:val="none"/>
        </w:rPr>
        <w:t>组成联合体的小微企业与联合体内其他企业、分包企业之间存在直接控股、管理关系的，不享受价格扣除优惠政策。</w:t>
      </w:r>
    </w:p>
    <w:p w14:paraId="6AC6B4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7FCB3906">
      <w:pPr>
        <w:spacing w:line="360" w:lineRule="auto"/>
        <w:ind w:left="420" w:leftChars="200"/>
        <w:rPr>
          <w:rFonts w:ascii="宋体" w:hAnsi="宋体" w:cs="宋体"/>
          <w:b/>
          <w:color w:val="auto"/>
          <w:szCs w:val="21"/>
          <w:highlight w:val="none"/>
        </w:rPr>
      </w:pPr>
      <w:bookmarkStart w:id="54" w:name="_Toc254970673"/>
      <w:bookmarkStart w:id="55" w:name="_Toc254970532"/>
      <w:r>
        <w:rPr>
          <w:rFonts w:hint="eastAsia" w:ascii="宋体" w:hAnsi="宋体" w:cs="宋体"/>
          <w:b/>
          <w:color w:val="auto"/>
          <w:szCs w:val="21"/>
          <w:highlight w:val="none"/>
        </w:rPr>
        <w:t>6.1本项目不允许转包。</w:t>
      </w:r>
    </w:p>
    <w:p w14:paraId="142373D6">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E63A9B6">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2DED0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54"/>
      <w:bookmarkEnd w:id="55"/>
    </w:p>
    <w:p w14:paraId="208B98D1">
      <w:pPr>
        <w:spacing w:line="360" w:lineRule="auto"/>
        <w:ind w:firstLine="420" w:firstLineChars="200"/>
        <w:rPr>
          <w:rFonts w:ascii="宋体" w:hAnsi="宋体" w:cs="宋体"/>
          <w:color w:val="auto"/>
          <w:szCs w:val="21"/>
          <w:highlight w:val="none"/>
        </w:rPr>
      </w:pPr>
      <w:bookmarkStart w:id="56" w:name="_8.1提供相同品牌产品且通过资格审查、符合性审查的不同投标人参加同一合"/>
      <w:bookmarkEnd w:id="56"/>
      <w:r>
        <w:rPr>
          <w:rFonts w:hint="eastAsia" w:ascii="宋体" w:hAnsi="宋体" w:cs="宋体"/>
          <w:color w:val="auto"/>
          <w:szCs w:val="21"/>
          <w:highlight w:val="none"/>
        </w:rPr>
        <w:t>7.1</w:t>
      </w:r>
      <w:bookmarkStart w:id="5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7"/>
    <w:p w14:paraId="19271F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2ED4C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7.3供应商在竞标活动中提供任何疑似虚假材料，将报监管部门查处；签订合同后发现的，成交供应商须依照《中华人民共和国民法典》规定赔偿采购人，且民事赔偿并不免除违法供应商的行政与刑事责任。</w:t>
      </w:r>
    </w:p>
    <w:p w14:paraId="7DBC0F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DCDF1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C0EEB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CF1BD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4286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0A8A37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33F9D3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F8E1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AE59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F4232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5E77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C22A4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4126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877C68F">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D095E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367D35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3C0EA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22269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6A1F83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74EEA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7C3EA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D3E7117">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bookmarkStart w:id="58" w:name="_Toc254970675"/>
      <w:bookmarkStart w:id="59" w:name="_Toc254970534"/>
    </w:p>
    <w:p w14:paraId="43CAD765">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二、磋商文件</w:t>
      </w:r>
      <w:bookmarkEnd w:id="58"/>
      <w:bookmarkEnd w:id="59"/>
    </w:p>
    <w:p w14:paraId="5CF37EA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7110CC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336FE61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42C6EF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74E41D7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5582B80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6125E87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4F11DE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1C69A9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BC4CE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38993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0B33B882">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三、响应文件的编制</w:t>
      </w:r>
    </w:p>
    <w:p w14:paraId="797E201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3CF2DE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7FCA0BD">
      <w:pPr>
        <w:pStyle w:val="99"/>
        <w:ind w:firstLine="422"/>
        <w:rPr>
          <w:rFonts w:ascii="宋体"/>
          <w:color w:val="auto"/>
          <w:highlight w:val="none"/>
        </w:rPr>
      </w:pPr>
      <w:r>
        <w:rPr>
          <w:rFonts w:hint="eastAsia" w:ascii="宋体"/>
          <w:b/>
          <w:color w:val="auto"/>
          <w:szCs w:val="21"/>
          <w:highlight w:val="none"/>
        </w:rPr>
        <w:t>注：本项目实行电子响应，供应商应准备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0EA764E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30D74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52088DEA">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97A878E">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6B7C24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7D792059">
      <w:pPr>
        <w:spacing w:line="360" w:lineRule="auto"/>
        <w:ind w:left="840" w:leftChars="200" w:hanging="420" w:hangingChars="200"/>
        <w:rPr>
          <w:rFonts w:ascii="宋体" w:hAnsi="宋体" w:cs="宋体"/>
          <w:color w:val="auto"/>
          <w:highlight w:val="none"/>
        </w:rPr>
      </w:pPr>
      <w:r>
        <w:rPr>
          <w:rFonts w:hint="eastAsia" w:ascii="宋体" w:hAnsi="宋体" w:cs="宋体"/>
          <w:color w:val="auto"/>
          <w:szCs w:val="21"/>
          <w:highlight w:val="none"/>
        </w:rPr>
        <w:t>12.2电子响应文件：详见“供应商须知前附表”</w:t>
      </w:r>
    </w:p>
    <w:p w14:paraId="154AB12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584E16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2481F8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45234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B8FFC8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2CC5FCE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6279DDE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1A5E3B9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240BD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686758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（1）供应商必须就“采购需求”中所竞标项目/分标的全部内容分别作完整唯一总价报价，不得存在漏项报价；</w:t>
      </w:r>
    </w:p>
    <w:p w14:paraId="34D010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（2）供应商必须就所竞标项目/分标的单项内容作唯一报价。</w:t>
      </w:r>
    </w:p>
    <w:p w14:paraId="6C3302B8">
      <w:pPr>
        <w:spacing w:line="360" w:lineRule="auto"/>
        <w:ind w:firstLine="420" w:firstLineChars="200"/>
        <w:rPr>
          <w:rFonts w:ascii="宋体" w:hAnsi="宋体" w:cs="宋体"/>
          <w:color w:val="auto"/>
          <w:szCs w:val="21"/>
          <w:highlight w:val="none"/>
        </w:rPr>
      </w:pPr>
      <w:bookmarkStart w:id="60" w:name="_Hlk42592874"/>
      <w:r>
        <w:rPr>
          <w:rFonts w:hint="eastAsia" w:ascii="宋体" w:hAnsi="宋体" w:cs="宋体"/>
          <w:color w:val="auto"/>
          <w:szCs w:val="21"/>
          <w:highlight w:val="none"/>
        </w:rPr>
        <w:t>15.3.2竞标报价（包含首次报价、最后报价）超过所竞标项目/分标规定的采购预算金额或者最高限价的（如本项目公布了最高限价），其响应文件将作无效处理。</w:t>
      </w:r>
    </w:p>
    <w:p w14:paraId="5525C6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15.3.3竞标报价（包含首次报价、最后报价）超过分项采购预算金额或者最高限价的（如本项目公布了最高限价），其响应文件将作无效处理。</w:t>
      </w:r>
    </w:p>
    <w:bookmarkEnd w:id="60"/>
    <w:p w14:paraId="602B8BC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2AA0E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3801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41B90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供应商的响应文件在竞标有效期内均保持有效。</w:t>
      </w:r>
    </w:p>
    <w:p w14:paraId="219629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03AEE67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FCD92C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0CCE7D62">
      <w:pPr>
        <w:spacing w:line="360" w:lineRule="auto"/>
        <w:ind w:firstLine="420" w:firstLineChars="200"/>
        <w:rPr>
          <w:rFonts w:ascii="宋体" w:hAnsi="宋体" w:cs="宋体"/>
          <w:color w:val="auto"/>
          <w:szCs w:val="21"/>
          <w:highlight w:val="none"/>
        </w:rPr>
      </w:pPr>
      <w:bookmarkStart w:id="61" w:name="_Hlk66782243"/>
      <w:r>
        <w:rPr>
          <w:rFonts w:hint="eastAsia" w:ascii="宋体" w:hAnsi="宋体" w:cs="宋体"/>
          <w:color w:val="auto"/>
          <w:szCs w:val="21"/>
          <w:highlight w:val="none"/>
        </w:rPr>
        <w:t>（1）未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1"/>
      <w:r>
        <w:rPr>
          <w:rFonts w:hint="eastAsia" w:ascii="宋体" w:hAnsi="宋体" w:cs="宋体"/>
          <w:color w:val="auto"/>
          <w:szCs w:val="21"/>
          <w:highlight w:val="none"/>
        </w:rPr>
        <w:t xml:space="preserve"> </w:t>
      </w:r>
    </w:p>
    <w:p w14:paraId="7971939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6A8972F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E07BA7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253F716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0D61E0F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608F21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4F9574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20ADDF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6EDBE0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035E2C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61FB27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5A6F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18.3电子响应文件中须加盖供应商公章部分均采用CA签章，并根据“政府采购项目电子交易管理操作指南-供应商” 及本磋商采购文件规定的格式和顺序编制电子响应文件并进行关联定位，以便磋商小组在评审时，点击即可直接定位到该内容。如对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漏读，或者在按磋商采购文件规定的部位查找不到相关内容的，由供应商自行承担。</w:t>
      </w:r>
    </w:p>
    <w:p w14:paraId="78E38E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PDF的格式上传即可。</w:t>
      </w:r>
    </w:p>
    <w:p w14:paraId="31CD1C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14:paraId="7D0B28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782764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 响应文件的加密、解密</w:t>
      </w:r>
    </w:p>
    <w:p w14:paraId="7638F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3C30BF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0E1BA8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20.1供应商必须在“供应商须知前附表”规定的时间和地点上传提交响应文件。</w:t>
      </w:r>
    </w:p>
    <w:p w14:paraId="480A2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20.2供应商在响应文件递交截止应确保成为广西政府采购云平台正式注册入库供应商，并完成 CA数字证书申领。因未注册入库、未办理CA数字证书等原因造成无法响应或响应失败等后果由供应商自行承担。</w:t>
      </w:r>
    </w:p>
    <w:p w14:paraId="004B0369">
      <w:pPr>
        <w:pStyle w:val="8"/>
        <w:spacing w:line="360" w:lineRule="auto"/>
        <w:rPr>
          <w:rFonts w:ascii="宋体" w:hAnsi="宋体" w:cs="宋体"/>
          <w:color w:val="auto"/>
          <w:szCs w:val="21"/>
          <w:highlight w:val="none"/>
        </w:rPr>
      </w:pPr>
      <w:r>
        <w:rPr>
          <w:rFonts w:hint="eastAsia" w:ascii="宋体" w:hAnsi="宋体" w:cs="宋体"/>
          <w:color w:val="auto"/>
          <w:szCs w:val="21"/>
          <w:highlight w:val="none"/>
        </w:rPr>
        <w:t>20.3供应商将广西政府采购云平台新版客户端下载、安装完成后，可通过账号密码或CA登录客户端进行响应文件制作。客户端请至网站下载专区查看，如有问题可拨打广西政府采购云平台</w:t>
      </w:r>
      <w:r>
        <w:rPr>
          <w:rFonts w:hint="eastAsia" w:ascii="宋体" w:hAnsi="宋体" w:cs="宋体"/>
          <w:color w:val="auto"/>
          <w:kern w:val="0"/>
          <w:szCs w:val="21"/>
          <w:highlight w:val="none"/>
        </w:rPr>
        <w:t>客服热线</w:t>
      </w:r>
      <w:r>
        <w:rPr>
          <w:rFonts w:hint="eastAsia" w:ascii="宋体" w:hAnsi="宋体" w:cs="宋体"/>
          <w:color w:val="auto"/>
          <w:szCs w:val="21"/>
          <w:highlight w:val="none"/>
        </w:rPr>
        <w:t>进行咨询。</w:t>
      </w:r>
    </w:p>
    <w:p w14:paraId="1E2A7B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244BFF5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7445030C">
      <w:pPr>
        <w:snapToGrid w:val="0"/>
        <w:spacing w:line="360" w:lineRule="auto"/>
        <w:ind w:firstLine="420"/>
        <w:jc w:val="left"/>
        <w:rPr>
          <w:rFonts w:ascii="宋体" w:hAnsi="宋体" w:cs="宋体"/>
          <w:color w:val="auto"/>
          <w:szCs w:val="21"/>
          <w:highlight w:val="none"/>
        </w:rPr>
      </w:pPr>
      <w:bookmarkStart w:id="62" w:name="_Toc254970543"/>
      <w:bookmarkStart w:id="63" w:name="_Toc254970684"/>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进入“服务中心”中查看“电子投标文件制作与投送教程”）</w:t>
      </w:r>
    </w:p>
    <w:bookmarkEnd w:id="62"/>
    <w:bookmarkEnd w:id="63"/>
    <w:p w14:paraId="23E5652C">
      <w:pPr>
        <w:pStyle w:val="82"/>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4FA62364">
      <w:pPr>
        <w:spacing w:line="360" w:lineRule="auto"/>
        <w:ind w:firstLine="482" w:firstLineChars="200"/>
        <w:rPr>
          <w:rFonts w:ascii="宋体" w:hAnsi="宋体" w:cs="宋体"/>
          <w:b/>
          <w:bCs/>
          <w:color w:val="auto"/>
          <w:sz w:val="24"/>
          <w:highlight w:val="none"/>
        </w:rPr>
      </w:pPr>
      <w:bookmarkStart w:id="64" w:name="_Hlk45702405"/>
      <w:r>
        <w:rPr>
          <w:rFonts w:hint="eastAsia" w:ascii="宋体" w:hAnsi="宋体" w:cs="宋体"/>
          <w:b/>
          <w:bCs/>
          <w:color w:val="auto"/>
          <w:sz w:val="24"/>
          <w:highlight w:val="none"/>
        </w:rPr>
        <w:t>22.响应文件的退回</w:t>
      </w:r>
    </w:p>
    <w:p w14:paraId="581927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0DC417E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55306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23.1供应商在响应文件提交截止时间后向采购人、采购代理机构书面申请撤回响应文件的，将根据本须知正文17.4的规定不予退还其磋商保证金。</w:t>
      </w:r>
      <w:bookmarkEnd w:id="64"/>
    </w:p>
    <w:p w14:paraId="596FEDF2">
      <w:pPr>
        <w:spacing w:line="360" w:lineRule="auto"/>
        <w:ind w:left="420" w:firstLine="420"/>
        <w:jc w:val="center"/>
        <w:rPr>
          <w:rFonts w:ascii="宋体" w:hAnsi="宋体" w:cs="宋体"/>
          <w:color w:val="auto"/>
          <w:szCs w:val="21"/>
          <w:highlight w:val="none"/>
        </w:rPr>
      </w:pPr>
      <w:r>
        <w:rPr>
          <w:rFonts w:hint="eastAsia" w:ascii="宋体" w:hAnsi="宋体" w:cs="宋体"/>
          <w:b/>
          <w:bCs/>
          <w:color w:val="auto"/>
          <w:sz w:val="32"/>
          <w:szCs w:val="32"/>
          <w:highlight w:val="none"/>
        </w:rPr>
        <w:t>四、评审及磋商</w:t>
      </w:r>
    </w:p>
    <w:p w14:paraId="15EE669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47FEDE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767D1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3FCE1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0246158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25.首次响应文件的开启和解密</w:t>
      </w:r>
    </w:p>
    <w:p w14:paraId="210D91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182FE2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（解密异常情况处理：详见本章26.5电子交易活动的中止。）</w:t>
      </w:r>
    </w:p>
    <w:p w14:paraId="798C50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11F903F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5250B1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3EC97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51FDFA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商务/技术要求允许负偏离的条款数详见“供应商须知前附表”。</w:t>
      </w:r>
    </w:p>
    <w:p w14:paraId="290E3FCB">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03D9B2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26.5电子交易活动的中止。采购过程中出现以下情形，导致电子交易平台无法正常运行，或者无法保证电子交易的公平、公正和安全时，采购机构可中止电子交易活动：</w:t>
      </w:r>
    </w:p>
    <w:p w14:paraId="0FEFC9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15BD55D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557EC0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1F4D0B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2A2D0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2C912249">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685501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1FB2EF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CB52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5" w:name="_Hlk66782294"/>
      <w:r>
        <w:rPr>
          <w:rFonts w:hint="eastAsia" w:ascii="宋体" w:hAnsi="宋体" w:cs="宋体"/>
          <w:color w:val="auto"/>
          <w:szCs w:val="21"/>
          <w:highlight w:val="none"/>
        </w:rPr>
        <w:t>成交供应商享受《政府采购促进中小企业发展管理办法》（财库〔2020〕46号）及《广西壮族自治区财政厅关于持续优化政府采购营商环境推动高质量发展的通知》（桂财采〔2024〕55号）规定的中小企业扶持政策的，采购人、采购代理机构应当随成交结果公开成交供应商的《中小企业声明函》。</w:t>
      </w:r>
      <w:bookmarkEnd w:id="65"/>
      <w:r>
        <w:rPr>
          <w:rFonts w:hint="eastAsia" w:ascii="宋体" w:hAnsi="宋体" w:cs="宋体"/>
          <w:color w:val="auto"/>
          <w:highlight w:val="none"/>
        </w:rPr>
        <w:t>依据《关于进一步提高政府采购透明度和采购效率相关事项的通知》（财库办2023（243号）规定，在成交结果时应当同时公告成交供应商的评审总得分。</w:t>
      </w:r>
    </w:p>
    <w:p w14:paraId="21B42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27.3出现下列情形之一的，采购人或者采购代理机构应当终止竞争性磋商采购活动，发布项目终止公告并说明原因，重新开展采购活动：</w:t>
      </w:r>
    </w:p>
    <w:p w14:paraId="1DCD92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7A940C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2EFC6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（3）除“第四章 评审程序、评审方法和评审标准”第4.3条规定的情形外，在采购过程中符合要求的供应商或者报价未超过采购预算的供应商不足3家的。</w:t>
      </w:r>
    </w:p>
    <w:p w14:paraId="2C55BE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2199623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1F8CD04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7F3164F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64867D2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28.3在履约保证金退还日期前，若成交供应商的开户名称、开户银行、账号有变动的，请以书面形式通知履约保证金收取单位，否则由此产生的后果由成交供应商自行承担。</w:t>
      </w:r>
    </w:p>
    <w:p w14:paraId="61DDA51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2273869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2863B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64FAA81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5FC4B75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7B841C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3D34ED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023D49C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50FAB0D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0CB3F4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47B177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F07709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2E55304D">
      <w:pPr>
        <w:pStyle w:val="8"/>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5CECD8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005A9B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05A1F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A04DF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946718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9B773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0F7761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7C0C69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C16F8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0098E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0ACA4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E3C49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5A2F2F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C0C83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15C09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591B6A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E7B61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01C1301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BC6AA8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0C4C55D">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32.1代理服务费收取标准及缴费账户详见“供应商须知前附表”，供应商为联合体的，可以由联合体中的一方或者多方共同交纳代理服务费。</w:t>
      </w:r>
    </w:p>
    <w:p w14:paraId="77F621E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6241BB2D">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20B88A81">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047805DA">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1E0A88D">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40166B9">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5CB40E63">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1C37699">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F78DD20">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77F99329">
      <w:pPr>
        <w:pStyle w:val="17"/>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33.4.广西线上“政采贷”政策</w:t>
      </w:r>
      <w:r>
        <w:rPr>
          <w:rFonts w:hint="eastAsia" w:hAnsi="宋体" w:cs="宋体"/>
          <w:b/>
          <w:color w:val="auto"/>
          <w:sz w:val="21"/>
          <w:highlight w:val="none"/>
        </w:rPr>
        <w:t>（详见附件1）</w:t>
      </w:r>
    </w:p>
    <w:p w14:paraId="020E341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744032FA">
      <w:pPr>
        <w:rPr>
          <w:rFonts w:hAnsi="宋体" w:cs="宋体"/>
          <w:b/>
          <w:color w:val="auto"/>
          <w:sz w:val="32"/>
          <w:szCs w:val="32"/>
          <w:highlight w:val="none"/>
        </w:rPr>
      </w:pPr>
      <w:r>
        <w:rPr>
          <w:rFonts w:hint="eastAsia" w:hAnsi="宋体" w:cs="宋体"/>
          <w:b/>
          <w:color w:val="auto"/>
          <w:szCs w:val="21"/>
          <w:highlight w:val="none"/>
        </w:rPr>
        <w:t>附件1：</w:t>
      </w:r>
    </w:p>
    <w:p w14:paraId="18DB7617">
      <w:pPr>
        <w:rPr>
          <w:color w:val="auto"/>
          <w:highlight w:val="none"/>
        </w:rPr>
      </w:pPr>
      <w:r>
        <w:rPr>
          <w:rFonts w:hint="eastAsia" w:hAnsi="宋体" w:cs="宋体"/>
          <w:color w:val="auto"/>
          <w:szCs w:val="21"/>
          <w:highlight w:val="none"/>
        </w:rPr>
        <w:drawing>
          <wp:anchor distT="0" distB="0" distL="114300" distR="114300" simplePos="0" relativeHeight="251659264" behindDoc="1" locked="0" layoutInCell="1" allowOverlap="1">
            <wp:simplePos x="0" y="0"/>
            <wp:positionH relativeFrom="column">
              <wp:posOffset>-12700</wp:posOffset>
            </wp:positionH>
            <wp:positionV relativeFrom="paragraph">
              <wp:posOffset>32385</wp:posOffset>
            </wp:positionV>
            <wp:extent cx="6102350" cy="5186680"/>
            <wp:effectExtent l="0" t="0" r="12700" b="13970"/>
            <wp:wrapTight wrapText="bothSides">
              <wp:wrapPolygon>
                <wp:start x="0" y="0"/>
                <wp:lineTo x="0" y="21500"/>
                <wp:lineTo x="21510" y="21500"/>
                <wp:lineTo x="21510" y="0"/>
                <wp:lineTo x="0" y="0"/>
              </wp:wrapPolygon>
            </wp:wrapTight>
            <wp:docPr id="1" name="图片 2" descr="202207132135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20713213524288"/>
                    <pic:cNvPicPr>
                      <a:picLocks noChangeAspect="1"/>
                    </pic:cNvPicPr>
                  </pic:nvPicPr>
                  <pic:blipFill>
                    <a:blip r:embed="rId15"/>
                    <a:srcRect l="1963" t="13975" r="2537" b="28696"/>
                    <a:stretch>
                      <a:fillRect/>
                    </a:stretch>
                  </pic:blipFill>
                  <pic:spPr>
                    <a:xfrm>
                      <a:off x="0" y="0"/>
                      <a:ext cx="6102350" cy="5186680"/>
                    </a:xfrm>
                    <a:prstGeom prst="rect">
                      <a:avLst/>
                    </a:prstGeom>
                    <a:noFill/>
                    <a:ln>
                      <a:noFill/>
                    </a:ln>
                  </pic:spPr>
                </pic:pic>
              </a:graphicData>
            </a:graphic>
          </wp:anchor>
        </w:drawing>
      </w:r>
    </w:p>
    <w:p w14:paraId="6A8FAC18">
      <w:pPr>
        <w:rPr>
          <w:color w:val="auto"/>
          <w:highlight w:val="none"/>
        </w:rPr>
      </w:pPr>
    </w:p>
    <w:p w14:paraId="4A35614F">
      <w:pPr>
        <w:rPr>
          <w:color w:val="auto"/>
          <w:highlight w:val="none"/>
        </w:rPr>
      </w:pPr>
    </w:p>
    <w:p w14:paraId="25380A27">
      <w:pPr>
        <w:rPr>
          <w:color w:val="auto"/>
          <w:highlight w:val="none"/>
        </w:rPr>
      </w:pPr>
    </w:p>
    <w:p w14:paraId="02956494">
      <w:pPr>
        <w:rPr>
          <w:color w:val="auto"/>
          <w:highlight w:val="none"/>
        </w:rPr>
      </w:pPr>
    </w:p>
    <w:p w14:paraId="688208B9">
      <w:pPr>
        <w:rPr>
          <w:color w:val="auto"/>
          <w:highlight w:val="none"/>
        </w:rPr>
      </w:pPr>
    </w:p>
    <w:p w14:paraId="5086C355">
      <w:pPr>
        <w:rPr>
          <w:color w:val="auto"/>
          <w:highlight w:val="none"/>
        </w:rPr>
      </w:pPr>
    </w:p>
    <w:p w14:paraId="0BD99330">
      <w:pPr>
        <w:rPr>
          <w:color w:val="auto"/>
          <w:highlight w:val="none"/>
        </w:rPr>
      </w:pPr>
    </w:p>
    <w:p w14:paraId="14C2A9EF">
      <w:pPr>
        <w:rPr>
          <w:color w:val="auto"/>
          <w:highlight w:val="none"/>
        </w:rPr>
      </w:pPr>
    </w:p>
    <w:p w14:paraId="25F38DD8">
      <w:pPr>
        <w:rPr>
          <w:color w:val="auto"/>
          <w:highlight w:val="none"/>
        </w:rPr>
      </w:pPr>
    </w:p>
    <w:p w14:paraId="1B27BEFC">
      <w:pPr>
        <w:rPr>
          <w:color w:val="auto"/>
          <w:highlight w:val="none"/>
        </w:rPr>
      </w:pPr>
    </w:p>
    <w:p w14:paraId="722E0426">
      <w:pPr>
        <w:rPr>
          <w:color w:val="auto"/>
          <w:highlight w:val="none"/>
        </w:rPr>
      </w:pPr>
    </w:p>
    <w:p w14:paraId="183B94FB">
      <w:pPr>
        <w:rPr>
          <w:color w:val="auto"/>
          <w:highlight w:val="none"/>
        </w:rPr>
      </w:pPr>
    </w:p>
    <w:p w14:paraId="416499BB">
      <w:pPr>
        <w:rPr>
          <w:color w:val="auto"/>
          <w:highlight w:val="none"/>
        </w:rPr>
      </w:pPr>
    </w:p>
    <w:p w14:paraId="1B7FE329">
      <w:pPr>
        <w:rPr>
          <w:color w:val="auto"/>
          <w:highlight w:val="none"/>
        </w:rPr>
      </w:pPr>
    </w:p>
    <w:p w14:paraId="28B57E76">
      <w:pPr>
        <w:rPr>
          <w:color w:val="auto"/>
          <w:highlight w:val="none"/>
        </w:rPr>
      </w:pPr>
    </w:p>
    <w:p w14:paraId="1C6B3B20">
      <w:pPr>
        <w:pStyle w:val="3"/>
        <w:jc w:val="center"/>
        <w:rPr>
          <w:rFonts w:ascii="宋体" w:hAnsi="宋体" w:cs="宋体"/>
          <w:color w:val="auto"/>
          <w:highlight w:val="none"/>
        </w:rPr>
      </w:pPr>
      <w:bookmarkStart w:id="66" w:name="_Toc30250"/>
      <w:r>
        <w:rPr>
          <w:rFonts w:hint="eastAsia" w:ascii="宋体" w:hAnsi="宋体" w:cs="宋体"/>
          <w:color w:val="auto"/>
          <w:highlight w:val="none"/>
        </w:rPr>
        <w:t>第三章 采购需求</w:t>
      </w:r>
      <w:bookmarkEnd w:id="66"/>
    </w:p>
    <w:p w14:paraId="65803ED2">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xml:space="preserve">  说明：</w:t>
      </w:r>
    </w:p>
    <w:p w14:paraId="1F938108">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1.为落实政府采购政策需满足的要求</w:t>
      </w:r>
    </w:p>
    <w:p w14:paraId="6566B8D9">
      <w:pPr>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1A6AE6C2">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（2）服务项目中包含货物的，根据《财政部 发展改革委 生态环境部 市场监管总局关于调整优化节 能产品、环境标志产品政府采购执行机制的通知》（财库〔2019〕9 号）和《关于印发节能产品政府采购 品目清单的通知》（财库〔2019〕19 号）的规定，采购需求中的产品属于节能产品政府采购品目清单内标注“★”的，</w:t>
      </w:r>
      <w:r>
        <w:rPr>
          <w:rFonts w:hint="eastAsia" w:ascii="宋体" w:hAnsi="宋体" w:cs="宋体"/>
          <w:b/>
          <w:bCs/>
          <w:color w:val="auto"/>
          <w:highlight w:val="none"/>
        </w:rPr>
        <w:t>供应商必须在响应文件中提供所竞标产品有效期内的节能产品认证证书复印件（加盖供应商 公章）</w:t>
      </w:r>
      <w:r>
        <w:rPr>
          <w:rFonts w:hint="eastAsia" w:ascii="宋体" w:hAnsi="宋体" w:cs="宋体"/>
          <w:color w:val="auto"/>
          <w:highlight w:val="none"/>
        </w:rPr>
        <w:t>，否则响应文件按无效处理。如本项目包含的配套货物属于品目清单内非标注“★”的产品时，应优先采购，具体详见“第四章 评审程序、评审方法和评审标准 ”。</w:t>
      </w:r>
    </w:p>
    <w:p w14:paraId="2B4B97F2">
      <w:pPr>
        <w:spacing w:line="360" w:lineRule="exact"/>
        <w:ind w:left="-10" w:leftChars="-5" w:right="2" w:rightChars="1"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58D61FC3">
      <w:pPr>
        <w:spacing w:line="360" w:lineRule="exact"/>
        <w:ind w:left="-10" w:leftChars="-5" w:right="2" w:rightChars="1" w:firstLine="420" w:firstLineChars="200"/>
        <w:rPr>
          <w:rFonts w:ascii="宋体" w:hAnsi="宋体" w:cs="宋体"/>
          <w:bCs/>
          <w:color w:val="auto"/>
          <w:szCs w:val="21"/>
          <w:highlight w:val="none"/>
        </w:rPr>
      </w:pPr>
      <w:r>
        <w:rPr>
          <w:rFonts w:hint="eastAsia" w:ascii="宋体" w:hAnsi="宋体" w:cs="宋体"/>
          <w:bCs/>
          <w:color w:val="auto"/>
          <w:szCs w:val="21"/>
          <w:highlight w:val="none"/>
        </w:rPr>
        <w:t>3.“实质性要求”是指竞争性磋商文件中已经指明不满足则响应无效的条款，或者不能负偏离的条款，或者采购需求中带“▲”的条款。</w:t>
      </w:r>
    </w:p>
    <w:p w14:paraId="06DC026E">
      <w:pPr>
        <w:spacing w:line="360" w:lineRule="exact"/>
        <w:ind w:left="-10" w:leftChars="-5" w:right="2" w:rightChars="1" w:firstLine="420" w:firstLineChars="200"/>
        <w:rPr>
          <w:rFonts w:ascii="宋体" w:hAnsi="宋体" w:cs="宋体"/>
          <w:bCs/>
          <w:color w:val="auto"/>
          <w:szCs w:val="21"/>
          <w:highlight w:val="none"/>
        </w:rPr>
      </w:pPr>
      <w:r>
        <w:rPr>
          <w:rFonts w:hint="eastAsia" w:ascii="宋体" w:hAnsi="宋体" w:cs="宋体"/>
          <w:bCs/>
          <w:color w:val="auto"/>
          <w:szCs w:val="21"/>
          <w:highlight w:val="none"/>
        </w:rPr>
        <w:t>4.如供应商竞标产品存在侵犯他人的知识产权或者专利成果行为的，由供应商自行承担相应法律责任。</w:t>
      </w:r>
    </w:p>
    <w:p w14:paraId="7A1AEFF5">
      <w:pPr>
        <w:spacing w:line="360" w:lineRule="exact"/>
        <w:ind w:left="-10" w:leftChars="-5" w:right="2" w:rightChars="1" w:firstLine="420" w:firstLineChars="200"/>
        <w:rPr>
          <w:rFonts w:ascii="宋体" w:hAnsi="宋体" w:cs="宋体"/>
          <w:bCs/>
          <w:color w:val="auto"/>
          <w:szCs w:val="21"/>
          <w:highlight w:val="none"/>
        </w:rPr>
      </w:pPr>
      <w:r>
        <w:rPr>
          <w:rFonts w:hint="eastAsia" w:ascii="宋体" w:hAnsi="宋体" w:cs="宋体"/>
          <w:bCs/>
          <w:color w:val="auto"/>
          <w:szCs w:val="21"/>
          <w:highlight w:val="none"/>
        </w:rPr>
        <w:t>5.所属行业：</w:t>
      </w:r>
      <w:r>
        <w:rPr>
          <w:rFonts w:hint="eastAsia" w:ascii="宋体" w:hAnsi="宋体" w:cs="宋体"/>
          <w:b/>
          <w:color w:val="auto"/>
          <w:szCs w:val="21"/>
          <w:highlight w:val="none"/>
        </w:rPr>
        <w:t>租赁和商务服务业</w:t>
      </w:r>
      <w:r>
        <w:rPr>
          <w:rFonts w:hint="eastAsia" w:ascii="宋体" w:hAnsi="宋体" w:cs="宋体"/>
          <w:bCs/>
          <w:color w:val="auto"/>
          <w:szCs w:val="21"/>
          <w:highlight w:val="none"/>
        </w:rPr>
        <w:t>。</w:t>
      </w:r>
    </w:p>
    <w:p w14:paraId="72FD83F7">
      <w:pPr>
        <w:spacing w:line="360" w:lineRule="exact"/>
        <w:ind w:left="-10" w:leftChars="-5" w:right="2" w:rightChars="1" w:firstLine="420" w:firstLineChars="200"/>
        <w:rPr>
          <w:rFonts w:ascii="宋体" w:hAnsi="宋体" w:cs="宋体"/>
          <w:bCs/>
          <w:color w:val="auto"/>
          <w:szCs w:val="21"/>
          <w:highlight w:val="none"/>
        </w:rPr>
      </w:pPr>
      <w:r>
        <w:rPr>
          <w:rFonts w:hint="eastAsia" w:ascii="宋体" w:hAnsi="宋体" w:cs="宋体"/>
          <w:bCs/>
          <w:color w:val="auto"/>
          <w:szCs w:val="21"/>
          <w:highlight w:val="none"/>
        </w:rPr>
        <w:t>6.采购预算：</w:t>
      </w:r>
      <w:r>
        <w:rPr>
          <w:rFonts w:hint="eastAsia" w:ascii="宋体" w:hAnsi="宋体" w:cs="宋体"/>
          <w:b/>
          <w:color w:val="auto"/>
          <w:szCs w:val="21"/>
          <w:highlight w:val="none"/>
        </w:rPr>
        <w:t>1000000.00元</w:t>
      </w:r>
      <w:r>
        <w:rPr>
          <w:rFonts w:hint="eastAsia" w:ascii="宋体" w:hAnsi="宋体" w:cs="宋体"/>
          <w:bCs/>
          <w:color w:val="auto"/>
          <w:szCs w:val="21"/>
          <w:highlight w:val="none"/>
        </w:rPr>
        <w:t>。</w:t>
      </w:r>
    </w:p>
    <w:tbl>
      <w:tblPr>
        <w:tblStyle w:val="31"/>
        <w:tblW w:w="513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
        <w:gridCol w:w="1612"/>
        <w:gridCol w:w="664"/>
        <w:gridCol w:w="662"/>
        <w:gridCol w:w="6724"/>
      </w:tblGrid>
      <w:tr w14:paraId="4F62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229" w:type="pct"/>
            <w:vAlign w:val="center"/>
          </w:tcPr>
          <w:p w14:paraId="3DCF3112">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96" w:type="pct"/>
            <w:vAlign w:val="center"/>
          </w:tcPr>
          <w:p w14:paraId="2EEA1EE2">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328" w:type="pct"/>
            <w:vAlign w:val="center"/>
          </w:tcPr>
          <w:p w14:paraId="740AA0C3">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327" w:type="pct"/>
            <w:vAlign w:val="center"/>
          </w:tcPr>
          <w:p w14:paraId="74E9C666">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3317" w:type="pct"/>
            <w:vAlign w:val="center"/>
          </w:tcPr>
          <w:p w14:paraId="5ADC84A8">
            <w:pPr>
              <w:tabs>
                <w:tab w:val="left" w:pos="180"/>
                <w:tab w:val="left" w:pos="1620"/>
              </w:tabs>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服务内容及技术要求</w:t>
            </w:r>
          </w:p>
        </w:tc>
      </w:tr>
      <w:tr w14:paraId="60BD2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229" w:type="pct"/>
            <w:vAlign w:val="center"/>
          </w:tcPr>
          <w:p w14:paraId="1C9FCAB3">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96" w:type="pct"/>
            <w:vAlign w:val="center"/>
          </w:tcPr>
          <w:p w14:paraId="6D9F34D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2025年“桂字号”农业品牌纪录片（专题片）制作推广</w:t>
            </w:r>
          </w:p>
        </w:tc>
        <w:tc>
          <w:tcPr>
            <w:tcW w:w="328" w:type="pct"/>
            <w:vAlign w:val="center"/>
          </w:tcPr>
          <w:p w14:paraId="16C8705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27" w:type="pct"/>
            <w:vAlign w:val="center"/>
          </w:tcPr>
          <w:p w14:paraId="1DCBF44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w:t>
            </w:r>
          </w:p>
        </w:tc>
        <w:tc>
          <w:tcPr>
            <w:tcW w:w="3317" w:type="pct"/>
            <w:vAlign w:val="center"/>
          </w:tcPr>
          <w:p w14:paraId="16BBE019">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一、项目目标</w:t>
            </w:r>
          </w:p>
          <w:p w14:paraId="6A99B3D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（一）组织专业团队，利用有影响力的平台资源，宣传2025年“桂字号”农业品牌。</w:t>
            </w:r>
          </w:p>
          <w:p w14:paraId="6EED4242">
            <w:pPr>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二、制作内容</w:t>
            </w:r>
          </w:p>
          <w:p w14:paraId="20875E9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（一）制作2025年“桂字号”农业品牌纪录片（专题片）；</w:t>
            </w:r>
          </w:p>
          <w:p w14:paraId="00A71A8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制作“桂字号”农业品牌纪录片（专题片）50集（每集3～5分钟），内容涵盖蔬菜类（10集）、水果类（10集）、肉类（10集）、水产类（10集）、蛋奶类（5集）及智慧农业（5集），聚焦品牌农产品种植、加工、销售全链条及品牌故事挖掘；</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2.通过省级媒体及新媒体平台进行推广，计划每2～3日更新一集，创新制作形式提升传播效果。</w:t>
            </w:r>
          </w:p>
          <w:p w14:paraId="2C8C71E6">
            <w:pPr>
              <w:spacing w:line="40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3.在广西国际农博会、丰收节、农产品交易会等重要活动中，每个活动制作发布不少于3个视频，每个视频时长大于30秒。</w:t>
            </w:r>
          </w:p>
          <w:p w14:paraId="4EF566BA">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三、时间要求：根据实际要求完成。</w:t>
            </w:r>
          </w:p>
          <w:p w14:paraId="216695F3">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四、报告要求：项目最终完成提交正式纸质版汇总核验报告。</w:t>
            </w:r>
          </w:p>
          <w:p w14:paraId="22760E99">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五、拍摄器材投入及视频参数要求</w:t>
            </w:r>
          </w:p>
          <w:p w14:paraId="6EA4337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影像摄制软硬件上采用高清全流程视频制作，成品媒体产品符合省级媒体传播技术标准：</w:t>
            </w:r>
          </w:p>
          <w:p w14:paraId="284EA4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1.前期录制采用UHDTV标准的3840×2160拍摄，色彩空间采用LOG色彩模式，ProRes 422 10bit格式编码封装，视频帧率25帧/秒。投入航拍飞行器以及持有《无人驾驶航空器系统操作手合格证（航拍专业）》的飞手（响应文件中需提供持证人员的证书复印件），需保证航拍的可靠性、安全性。航拍画面录制标准为3840×2160。灯光采用达到专业影视级，能创造出合适的光影效果，能满足即使在照明条件不佳的环境也可以实现色彩的准确还原；</w:t>
            </w:r>
          </w:p>
          <w:p w14:paraId="068D3F16">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2.后期制作使用达芬奇DaVinci Resolve、A</w:t>
            </w:r>
            <w:r>
              <w:rPr>
                <w:rFonts w:hint="eastAsia" w:ascii="宋体" w:hAnsi="宋体" w:cs="宋体"/>
                <w:color w:val="auto"/>
                <w:szCs w:val="21"/>
                <w:highlight w:val="none"/>
                <w:lang w:eastAsia="zh-Hans"/>
              </w:rPr>
              <w:t>dobe</w:t>
            </w:r>
            <w:r>
              <w:rPr>
                <w:rFonts w:hint="eastAsia" w:ascii="宋体" w:hAnsi="宋体" w:cs="宋体"/>
                <w:color w:val="auto"/>
                <w:szCs w:val="21"/>
                <w:highlight w:val="none"/>
              </w:rPr>
              <w:t>企业版授权软件进行剪辑、特效</w:t>
            </w:r>
            <w:r>
              <w:rPr>
                <w:rFonts w:hint="eastAsia" w:ascii="宋体" w:hAnsi="宋体" w:cs="宋体"/>
                <w:color w:val="auto"/>
                <w:szCs w:val="21"/>
                <w:highlight w:val="none"/>
                <w:lang w:eastAsia="zh-Hans"/>
              </w:rPr>
              <w:t>及</w:t>
            </w:r>
            <w:r>
              <w:rPr>
                <w:rFonts w:hint="eastAsia" w:ascii="宋体" w:hAnsi="宋体" w:cs="宋体"/>
                <w:color w:val="auto"/>
                <w:szCs w:val="21"/>
                <w:highlight w:val="none"/>
              </w:rPr>
              <w:t>调色；</w:t>
            </w:r>
          </w:p>
          <w:p w14:paraId="03C275A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3.数据存储方面采用数字磁盘阵列和高密度光盘，确保珍贵影像资料的安全；</w:t>
            </w:r>
          </w:p>
          <w:p w14:paraId="32D5C6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4.录播要求： </w:t>
            </w:r>
          </w:p>
          <w:p w14:paraId="7329D1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Hans"/>
              </w:rPr>
              <w:t>节目（</w:t>
            </w:r>
            <w:r>
              <w:rPr>
                <w:rFonts w:hint="eastAsia" w:ascii="宋体" w:hAnsi="宋体" w:cs="宋体"/>
                <w:color w:val="auto"/>
                <w:szCs w:val="21"/>
                <w:highlight w:val="none"/>
              </w:rPr>
              <w:t>视频）片尾按要求显示主办单位字幕；</w:t>
            </w:r>
          </w:p>
          <w:p w14:paraId="3CA2988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（2）录制剪辑好的视频要在指定时间内拷贝给采购人；</w:t>
            </w:r>
          </w:p>
          <w:p w14:paraId="71B0AA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（3）版权归采购人所有。</w:t>
            </w:r>
          </w:p>
          <w:p w14:paraId="62BD16D8">
            <w:pPr>
              <w:pStyle w:val="105"/>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六、保障措施</w:t>
            </w:r>
          </w:p>
          <w:p w14:paraId="5852F74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1.采购人安排专人负责项目执行和协调项目有关事宜，监督、保障项目实施质量；</w:t>
            </w:r>
          </w:p>
          <w:p w14:paraId="6F3CDEB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2.成交供应商组建不少于10人的专业团队负责整个项目运营，遇重大活动须调配足够人手保障项目顺利进行，并签订保密协议。驻场人员一般情况下不能随意变更，采购人提出除外；</w:t>
            </w:r>
          </w:p>
          <w:p w14:paraId="24FB06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3.专业团队须按时、按质、按量完成项目合同内容。遇到问题一般情况下项目团队须24小时内及时响应，突发应急情况须2小时内迅速响应；</w:t>
            </w:r>
          </w:p>
          <w:p w14:paraId="24A38F3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4.播出期间如遇不可抗力因素导致无法播出，须与采购人协商并取得采购人同意之后更换播放平台与时间。</w:t>
            </w:r>
          </w:p>
          <w:p w14:paraId="0CF8FE0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5.版权归属：广西壮族自治区农业农村厅。</w:t>
            </w:r>
          </w:p>
        </w:tc>
      </w:tr>
      <w:tr w14:paraId="213C3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11987A4">
            <w:pPr>
              <w:spacing w:line="360" w:lineRule="auto"/>
              <w:rPr>
                <w:rFonts w:ascii="宋体" w:hAnsi="宋体" w:cs="宋体"/>
                <w:color w:val="auto"/>
                <w:szCs w:val="21"/>
                <w:highlight w:val="none"/>
              </w:rPr>
            </w:pPr>
            <w:r>
              <w:rPr>
                <w:rFonts w:hint="eastAsia" w:ascii="宋体" w:hAnsi="宋体" w:cs="宋体"/>
                <w:b/>
                <w:color w:val="auto"/>
                <w:szCs w:val="21"/>
                <w:highlight w:val="none"/>
              </w:rPr>
              <w:t>商务条款</w:t>
            </w:r>
          </w:p>
        </w:tc>
      </w:tr>
      <w:tr w14:paraId="3E6EC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67A67A8">
            <w:pPr>
              <w:widowControl/>
              <w:shd w:val="clear" w:color="auto" w:fill="FFFFFF"/>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一、合同签订期：</w:t>
            </w:r>
            <w:r>
              <w:rPr>
                <w:rFonts w:hint="eastAsia" w:ascii="宋体" w:hAnsi="宋体" w:cs="宋体"/>
                <w:color w:val="auto"/>
                <w:szCs w:val="21"/>
                <w:highlight w:val="none"/>
              </w:rPr>
              <w:t>自成交通知书发出之日起10日内</w:t>
            </w:r>
          </w:p>
          <w:p w14:paraId="6BB46913">
            <w:pPr>
              <w:widowControl/>
              <w:shd w:val="clear" w:color="auto" w:fill="FFFFFF"/>
              <w:spacing w:line="400" w:lineRule="exact"/>
              <w:rPr>
                <w:rFonts w:ascii="宋体" w:hAnsi="宋体" w:cs="宋体"/>
                <w:color w:val="auto"/>
                <w:szCs w:val="21"/>
                <w:highlight w:val="none"/>
              </w:rPr>
            </w:pPr>
            <w:r>
              <w:rPr>
                <w:rFonts w:hint="eastAsia" w:ascii="宋体" w:hAnsi="宋体" w:cs="宋体"/>
                <w:b/>
                <w:bCs/>
                <w:color w:val="auto"/>
                <w:szCs w:val="21"/>
                <w:highlight w:val="none"/>
              </w:rPr>
              <w:t>二、提交服务成果时间：</w:t>
            </w:r>
            <w:r>
              <w:rPr>
                <w:rFonts w:hint="eastAsia" w:ascii="宋体" w:hAnsi="宋体" w:cs="宋体"/>
                <w:color w:val="auto"/>
                <w:szCs w:val="21"/>
                <w:highlight w:val="none"/>
              </w:rPr>
              <w:t>自合同生效之日起，2025年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日前提交成果初稿（包括规划文本</w:t>
            </w:r>
            <w:r>
              <w:rPr>
                <w:rFonts w:hint="eastAsia" w:ascii="宋体" w:hAnsi="宋体" w:cs="宋体"/>
                <w:color w:val="auto"/>
                <w:szCs w:val="21"/>
                <w:highlight w:val="none"/>
                <w:lang w:eastAsia="zh-CN"/>
              </w:rPr>
              <w:t>、</w:t>
            </w:r>
            <w:r>
              <w:rPr>
                <w:rFonts w:hint="eastAsia" w:ascii="宋体" w:hAnsi="宋体" w:cs="宋体"/>
                <w:color w:val="auto"/>
                <w:szCs w:val="21"/>
                <w:highlight w:val="none"/>
              </w:rPr>
              <w:t>规划布局图</w:t>
            </w:r>
            <w:r>
              <w:rPr>
                <w:rFonts w:hint="eastAsia" w:ascii="宋体" w:hAnsi="宋体" w:cs="宋体"/>
                <w:color w:val="auto"/>
                <w:szCs w:val="21"/>
                <w:highlight w:val="none"/>
                <w:lang w:val="en-US" w:eastAsia="zh-CN"/>
              </w:rPr>
              <w:t>及部分视频</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日提交审核通过的成果终稿。</w:t>
            </w:r>
          </w:p>
          <w:p w14:paraId="06826C66">
            <w:pPr>
              <w:widowControl/>
              <w:shd w:val="clear" w:color="auto" w:fill="FFFFFF"/>
              <w:spacing w:line="400" w:lineRule="exact"/>
              <w:jc w:val="left"/>
              <w:rPr>
                <w:rFonts w:ascii="宋体" w:hAnsi="宋体" w:cs="宋体"/>
                <w:color w:val="auto"/>
                <w:szCs w:val="21"/>
                <w:highlight w:val="none"/>
                <w:u w:val="single"/>
              </w:rPr>
            </w:pPr>
            <w:r>
              <w:rPr>
                <w:rFonts w:hint="eastAsia" w:ascii="宋体" w:hAnsi="宋体" w:cs="宋体"/>
                <w:b/>
                <w:bCs/>
                <w:color w:val="auto"/>
                <w:szCs w:val="21"/>
                <w:highlight w:val="none"/>
              </w:rPr>
              <w:t>三、服务地点：</w:t>
            </w:r>
            <w:r>
              <w:rPr>
                <w:rFonts w:hint="eastAsia" w:ascii="宋体" w:hAnsi="宋体" w:cs="宋体"/>
                <w:color w:val="auto"/>
                <w:szCs w:val="21"/>
                <w:highlight w:val="none"/>
              </w:rPr>
              <w:t>采购人指定地点。</w:t>
            </w:r>
          </w:p>
          <w:p w14:paraId="6D4F3F9A">
            <w:pPr>
              <w:widowControl/>
              <w:shd w:val="clear" w:color="auto" w:fill="FFFFFF"/>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四、服务的前期准备工作：</w:t>
            </w:r>
            <w:r>
              <w:rPr>
                <w:rFonts w:hint="eastAsia" w:ascii="宋体" w:hAnsi="宋体" w:cs="宋体"/>
                <w:color w:val="auto"/>
                <w:szCs w:val="21"/>
                <w:highlight w:val="none"/>
              </w:rPr>
              <w:t>包括整合资源、策划、宣传、设计效果、推广方式等，成交供应商制定的相关宣传方案，均需得到采购人的确认后，方可实施。</w:t>
            </w:r>
          </w:p>
          <w:p w14:paraId="0233687B">
            <w:pPr>
              <w:widowControl/>
              <w:shd w:val="clear" w:color="auto" w:fill="FFFFFF"/>
              <w:spacing w:line="400" w:lineRule="exact"/>
              <w:rPr>
                <w:rFonts w:ascii="宋体" w:hAnsi="宋体" w:cs="宋体"/>
                <w:b/>
                <w:color w:val="auto"/>
                <w:szCs w:val="21"/>
                <w:highlight w:val="none"/>
              </w:rPr>
            </w:pPr>
            <w:r>
              <w:rPr>
                <w:rFonts w:hint="eastAsia" w:ascii="宋体" w:hAnsi="宋体" w:cs="宋体"/>
                <w:b/>
                <w:color w:val="auto"/>
                <w:szCs w:val="21"/>
                <w:highlight w:val="none"/>
              </w:rPr>
              <w:t>五、验收标准、规范</w:t>
            </w:r>
          </w:p>
          <w:p w14:paraId="258BF027">
            <w:pPr>
              <w:widowControl/>
              <w:shd w:val="clear" w:color="auto" w:fill="FFFFFF"/>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应负责在各环节验收前将全部有关资料和验收计划、方案（内容包含但不限于宣传视频制作、宣传成效等各个方面，工作总结应当结构清晰、条理通顺、语言精练、数据准确）提交给采购人，验收计划、方案经采购人同意后才能开展验收；</w:t>
            </w:r>
          </w:p>
          <w:p w14:paraId="6E8A6554">
            <w:pPr>
              <w:widowControl/>
              <w:shd w:val="clear" w:color="auto" w:fill="FFFFFF"/>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2.符合有关国家质量标准、技术规范及规程要求，并通过有关行政主管部门审批。</w:t>
            </w:r>
          </w:p>
          <w:p w14:paraId="503DFD77">
            <w:pPr>
              <w:widowControl/>
              <w:shd w:val="clear" w:color="auto" w:fill="FFFFFF"/>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3.根据采购文件上的技术规格要求，成果报告符合采购文件技术要求的，给予签收，初步验收不合格的不予签收。其他验收要求按合同文本执行。</w:t>
            </w:r>
          </w:p>
          <w:p w14:paraId="41C4887F">
            <w:pPr>
              <w:widowControl/>
              <w:shd w:val="clear" w:color="auto" w:fill="FFFFFF"/>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4.验收过程中所产生的一切费用均由成交供应商承担。报价时应考虑相关费用。</w:t>
            </w:r>
          </w:p>
          <w:p w14:paraId="5C6FC70B">
            <w:pPr>
              <w:widowControl/>
              <w:shd w:val="clear" w:color="auto" w:fill="FFFFFF"/>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五、售后服务要求</w:t>
            </w:r>
          </w:p>
          <w:p w14:paraId="7DC426F9">
            <w:pPr>
              <w:widowControl/>
              <w:shd w:val="clear" w:color="auto" w:fill="FFFFFF"/>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▲1.售后服务期12个月；</w:t>
            </w:r>
          </w:p>
          <w:p w14:paraId="05F9745B">
            <w:pPr>
              <w:widowControl/>
              <w:shd w:val="clear" w:color="auto" w:fill="FFFFFF"/>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2.响应时间：接到采购人处理问题通知后2小时内到达采购人指定现场。</w:t>
            </w:r>
          </w:p>
          <w:p w14:paraId="17EAE181">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六、其他要求</w:t>
            </w:r>
          </w:p>
          <w:p w14:paraId="406F884B">
            <w:pPr>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1.供应商的竞标报价应为人民币含税价。报价必须含以下部分，包括但不限于：</w:t>
            </w:r>
          </w:p>
          <w:p w14:paraId="5FAF983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（1）服务费用；</w:t>
            </w:r>
          </w:p>
          <w:p w14:paraId="4A586F7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（2）技术支持、售后服务费等；</w:t>
            </w:r>
          </w:p>
          <w:p w14:paraId="33A9B81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（3）代理服务费、保险费和各项税金；</w:t>
            </w:r>
          </w:p>
          <w:p w14:paraId="2187D88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报价为全包价，以人民币为结算单位，包括本项目服务所涉及的售后服务及各种税费等全部费用。在合同实施时，采购人将不予支付成交供应商没有列入的项目费用，并认为此项目的费用已包括在总报价中。</w:t>
            </w:r>
          </w:p>
          <w:p w14:paraId="7ED21A38">
            <w:pPr>
              <w:spacing w:line="40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color w:val="auto"/>
                <w:szCs w:val="21"/>
                <w:highlight w:val="none"/>
              </w:rPr>
              <w:t>2.付款方式：</w:t>
            </w:r>
            <w:bookmarkStart w:id="67" w:name="OLE_LINK4"/>
            <w:r>
              <w:rPr>
                <w:rFonts w:hint="eastAsia" w:ascii="宋体" w:hAnsi="宋体" w:cs="宋体"/>
                <w:color w:val="auto"/>
                <w:szCs w:val="21"/>
                <w:highlight w:val="none"/>
              </w:rPr>
              <w:t>合同款分3期支付。自合同生效之日起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个工作日内，采购人按合同总金额的30%预付服务费用；成交供应商提交成果初稿起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个工作日内，采购人支付合同服务费的60%；成交供应商提交审核通过的成果终稿后</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个工作日内，采购人支付本合同服务费的10%。成交供应商在每次付款前开具相应发票给采购人</w:t>
            </w:r>
            <w:r>
              <w:rPr>
                <w:rFonts w:hint="eastAsia" w:ascii="宋体" w:hAnsi="宋体" w:cs="宋体"/>
                <w:color w:val="auto"/>
                <w:szCs w:val="21"/>
                <w:highlight w:val="none"/>
                <w:lang w:eastAsia="zh-CN"/>
              </w:rPr>
              <w:t>，</w:t>
            </w:r>
            <w:r>
              <w:rPr>
                <w:color w:val="auto"/>
                <w:spacing w:val="16"/>
                <w:highlight w:val="none"/>
              </w:rPr>
              <w:t>否则</w:t>
            </w:r>
            <w:r>
              <w:rPr>
                <w:rFonts w:hint="eastAsia"/>
                <w:color w:val="auto"/>
                <w:spacing w:val="16"/>
                <w:highlight w:val="none"/>
                <w:lang w:val="en-US" w:eastAsia="zh-CN"/>
              </w:rPr>
              <w:t>采购人</w:t>
            </w:r>
            <w:r>
              <w:rPr>
                <w:color w:val="auto"/>
                <w:spacing w:val="15"/>
                <w:highlight w:val="none"/>
              </w:rPr>
              <w:t>有权</w:t>
            </w:r>
            <w:r>
              <w:rPr>
                <w:color w:val="auto"/>
                <w:spacing w:val="3"/>
                <w:highlight w:val="none"/>
              </w:rPr>
              <w:t>延期付款且不视为违约</w:t>
            </w:r>
            <w:r>
              <w:rPr>
                <w:rFonts w:hint="eastAsia"/>
                <w:color w:val="auto"/>
                <w:spacing w:val="3"/>
                <w:highlight w:val="none"/>
                <w:lang w:eastAsia="zh-CN"/>
              </w:rPr>
              <w:t>。</w:t>
            </w:r>
          </w:p>
          <w:bookmarkEnd w:id="67"/>
          <w:p w14:paraId="15262640">
            <w:pPr>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3.供应商须承诺宣传推广期间，由供应商做好宣传推广的管理和监播工作，确保其完整和效果良好；</w:t>
            </w:r>
          </w:p>
          <w:p w14:paraId="063CF68E">
            <w:pPr>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4.采购人在服务期间将不定期对宣传推广情况进行抽检，供应商须承诺予以全力配合。</w:t>
            </w:r>
          </w:p>
          <w:p w14:paraId="1C4A722E">
            <w:pPr>
              <w:spacing w:line="400" w:lineRule="exact"/>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bidi="ar"/>
              </w:rPr>
              <w:t>违约责任</w:t>
            </w:r>
          </w:p>
          <w:p w14:paraId="1596847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（1）如成交供应商未按合同要求完成宣传投放，采购人有权要求成交供应商退回全部已付款并赔偿全部损失，由此产生的责任由成交供应商负责；</w:t>
            </w:r>
          </w:p>
          <w:p w14:paraId="4B97DA2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（2）成交供应商须遵守《中华人民共和国广告法》，确保广告不出现违法、违禁内容，如出现上述情况，由成交供应商承担全部责任；</w:t>
            </w:r>
          </w:p>
          <w:p w14:paraId="487E2CE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bidi="ar"/>
              </w:rPr>
              <w:t>（3）供应商必须保证采购人在服务过程的任何时候均不侵犯第三方的知识产权（包括但不限于专利权、商标权、著作权和技术秘密等权利）。若任何第三方针对成交供应商根据本项目服务行为提出知识产权侵权指控，成交供应商须与第三方交涉并承担由此而引起的一切法律责任和费用。如果采购人因为第三方的侵权指控遭受了损失（包括但不限于律师费、诉讼费、生效法律文书要求采购人承担法律责任等），采购人有权向成交供应商追偿。</w:t>
            </w:r>
          </w:p>
        </w:tc>
      </w:tr>
    </w:tbl>
    <w:p w14:paraId="4484D45A">
      <w:pPr>
        <w:spacing w:line="312" w:lineRule="auto"/>
        <w:rPr>
          <w:rFonts w:ascii="宋体" w:hAnsi="宋体" w:cs="宋体"/>
          <w:color w:val="auto"/>
          <w:szCs w:val="21"/>
          <w:highlight w:val="none"/>
        </w:rPr>
      </w:pPr>
    </w:p>
    <w:p w14:paraId="25A4DB36">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5CA4627C">
      <w:pPr>
        <w:rPr>
          <w:rFonts w:ascii="宋体" w:hAnsi="宋体" w:cs="宋体"/>
          <w:color w:val="auto"/>
          <w:kern w:val="0"/>
          <w:sz w:val="28"/>
          <w:szCs w:val="28"/>
          <w:highlight w:val="none"/>
        </w:rPr>
      </w:pPr>
      <w:r>
        <w:rPr>
          <w:rFonts w:hint="eastAsia" w:ascii="宋体" w:hAnsi="宋体" w:cs="宋体"/>
          <w:color w:val="auto"/>
          <w:sz w:val="24"/>
          <w:highlight w:val="none"/>
        </w:rPr>
        <w:t>附件：</w:t>
      </w:r>
    </w:p>
    <w:p w14:paraId="02E84A3A">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中小微企业划型标准</w:t>
      </w:r>
    </w:p>
    <w:tbl>
      <w:tblPr>
        <w:tblStyle w:val="31"/>
        <w:tblW w:w="5000" w:type="pct"/>
        <w:tblInd w:w="0" w:type="dxa"/>
        <w:tblLayout w:type="autofit"/>
        <w:tblCellMar>
          <w:top w:w="0" w:type="dxa"/>
          <w:left w:w="108" w:type="dxa"/>
          <w:bottom w:w="0" w:type="dxa"/>
          <w:right w:w="108" w:type="dxa"/>
        </w:tblCellMar>
      </w:tblPr>
      <w:tblGrid>
        <w:gridCol w:w="1926"/>
        <w:gridCol w:w="1785"/>
        <w:gridCol w:w="1327"/>
        <w:gridCol w:w="1897"/>
        <w:gridCol w:w="1779"/>
        <w:gridCol w:w="1140"/>
      </w:tblGrid>
      <w:tr w14:paraId="615774A2">
        <w:tblPrEx>
          <w:tblCellMar>
            <w:top w:w="0" w:type="dxa"/>
            <w:left w:w="108" w:type="dxa"/>
            <w:bottom w:w="0" w:type="dxa"/>
            <w:right w:w="108" w:type="dxa"/>
          </w:tblCellMar>
        </w:tblPrEx>
        <w:trPr>
          <w:trHeight w:val="374" w:hRule="atLeast"/>
        </w:trPr>
        <w:tc>
          <w:tcPr>
            <w:tcW w:w="977" w:type="pct"/>
            <w:tcBorders>
              <w:top w:val="single" w:color="auto" w:sz="12" w:space="0"/>
              <w:left w:val="single" w:color="auto" w:sz="12" w:space="0"/>
              <w:bottom w:val="single" w:color="auto" w:sz="4" w:space="0"/>
              <w:right w:val="single" w:color="auto" w:sz="4" w:space="0"/>
            </w:tcBorders>
            <w:vAlign w:val="center"/>
          </w:tcPr>
          <w:p w14:paraId="4C5B0F15">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905" w:type="pct"/>
            <w:tcBorders>
              <w:top w:val="single" w:color="auto" w:sz="12" w:space="0"/>
              <w:left w:val="single" w:color="auto" w:sz="4" w:space="0"/>
              <w:bottom w:val="single" w:color="auto" w:sz="4" w:space="0"/>
              <w:right w:val="single" w:color="auto" w:sz="4" w:space="0"/>
            </w:tcBorders>
            <w:vAlign w:val="center"/>
          </w:tcPr>
          <w:p w14:paraId="10910CFA">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673" w:type="pct"/>
            <w:tcBorders>
              <w:top w:val="single" w:color="auto" w:sz="12" w:space="0"/>
              <w:left w:val="single" w:color="auto" w:sz="4" w:space="0"/>
              <w:bottom w:val="single" w:color="auto" w:sz="4" w:space="0"/>
              <w:right w:val="single" w:color="auto" w:sz="4" w:space="0"/>
            </w:tcBorders>
            <w:vAlign w:val="center"/>
          </w:tcPr>
          <w:p w14:paraId="52CFFAEE">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962" w:type="pct"/>
            <w:tcBorders>
              <w:top w:val="single" w:color="auto" w:sz="12" w:space="0"/>
              <w:left w:val="single" w:color="auto" w:sz="4" w:space="0"/>
              <w:bottom w:val="single" w:color="auto" w:sz="4" w:space="0"/>
              <w:right w:val="single" w:color="auto" w:sz="4" w:space="0"/>
            </w:tcBorders>
            <w:vAlign w:val="center"/>
          </w:tcPr>
          <w:p w14:paraId="53FD71DD">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902" w:type="pct"/>
            <w:tcBorders>
              <w:top w:val="single" w:color="auto" w:sz="12" w:space="0"/>
              <w:left w:val="single" w:color="auto" w:sz="4" w:space="0"/>
              <w:bottom w:val="single" w:color="auto" w:sz="4" w:space="0"/>
              <w:right w:val="single" w:color="auto" w:sz="4" w:space="0"/>
            </w:tcBorders>
            <w:vAlign w:val="center"/>
          </w:tcPr>
          <w:p w14:paraId="1F2682F9">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578" w:type="pct"/>
            <w:tcBorders>
              <w:top w:val="single" w:color="auto" w:sz="12" w:space="0"/>
              <w:left w:val="single" w:color="auto" w:sz="4" w:space="0"/>
              <w:bottom w:val="single" w:color="auto" w:sz="4" w:space="0"/>
              <w:right w:val="single" w:color="auto" w:sz="12" w:space="0"/>
            </w:tcBorders>
            <w:vAlign w:val="center"/>
          </w:tcPr>
          <w:p w14:paraId="3709F461">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14:paraId="328893F7">
        <w:tblPrEx>
          <w:tblCellMar>
            <w:top w:w="0" w:type="dxa"/>
            <w:left w:w="108" w:type="dxa"/>
            <w:bottom w:w="0" w:type="dxa"/>
            <w:right w:w="108" w:type="dxa"/>
          </w:tblCellMar>
        </w:tblPrEx>
        <w:trPr>
          <w:trHeight w:val="374" w:hRule="atLeast"/>
        </w:trPr>
        <w:tc>
          <w:tcPr>
            <w:tcW w:w="977" w:type="pct"/>
            <w:tcBorders>
              <w:top w:val="single" w:color="auto" w:sz="4" w:space="0"/>
              <w:left w:val="single" w:color="auto" w:sz="12" w:space="0"/>
              <w:bottom w:val="single" w:color="auto" w:sz="4" w:space="0"/>
              <w:right w:val="single" w:color="auto" w:sz="4" w:space="0"/>
            </w:tcBorders>
            <w:vAlign w:val="center"/>
          </w:tcPr>
          <w:p w14:paraId="4EAE280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905" w:type="pct"/>
            <w:tcBorders>
              <w:top w:val="single" w:color="auto" w:sz="4" w:space="0"/>
              <w:left w:val="single" w:color="auto" w:sz="4" w:space="0"/>
              <w:bottom w:val="single" w:color="auto" w:sz="4" w:space="0"/>
              <w:right w:val="single" w:color="auto" w:sz="4" w:space="0"/>
            </w:tcBorders>
            <w:vAlign w:val="center"/>
          </w:tcPr>
          <w:p w14:paraId="299706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6C3E54C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6EAECB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5C7527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578" w:type="pct"/>
            <w:tcBorders>
              <w:top w:val="single" w:color="auto" w:sz="4" w:space="0"/>
              <w:left w:val="single" w:color="auto" w:sz="4" w:space="0"/>
              <w:bottom w:val="single" w:color="auto" w:sz="4" w:space="0"/>
              <w:right w:val="single" w:color="auto" w:sz="12" w:space="0"/>
            </w:tcBorders>
            <w:vAlign w:val="center"/>
          </w:tcPr>
          <w:p w14:paraId="518F146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4206A81F">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BC79C58">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905" w:type="pct"/>
            <w:tcBorders>
              <w:top w:val="single" w:color="auto" w:sz="4" w:space="0"/>
              <w:left w:val="single" w:color="auto" w:sz="4" w:space="0"/>
              <w:bottom w:val="single" w:color="auto" w:sz="4" w:space="0"/>
              <w:right w:val="single" w:color="auto" w:sz="4" w:space="0"/>
            </w:tcBorders>
            <w:vAlign w:val="center"/>
          </w:tcPr>
          <w:p w14:paraId="01EC65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56127D2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6CEC126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38AD1A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7345608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4C9B6F3F">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65D3569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5AF2C1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73FFC3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A1F1B2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902" w:type="pct"/>
            <w:tcBorders>
              <w:top w:val="single" w:color="auto" w:sz="4" w:space="0"/>
              <w:left w:val="single" w:color="auto" w:sz="4" w:space="0"/>
              <w:bottom w:val="single" w:color="auto" w:sz="4" w:space="0"/>
              <w:right w:val="single" w:color="auto" w:sz="4" w:space="0"/>
            </w:tcBorders>
            <w:vAlign w:val="center"/>
          </w:tcPr>
          <w:p w14:paraId="5BEC84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578" w:type="pct"/>
            <w:tcBorders>
              <w:top w:val="single" w:color="auto" w:sz="4" w:space="0"/>
              <w:left w:val="single" w:color="auto" w:sz="4" w:space="0"/>
              <w:bottom w:val="single" w:color="auto" w:sz="4" w:space="0"/>
              <w:right w:val="single" w:color="auto" w:sz="12" w:space="0"/>
            </w:tcBorders>
            <w:vAlign w:val="center"/>
          </w:tcPr>
          <w:p w14:paraId="04663B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3192E2E8">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6CFBEAB6">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905" w:type="pct"/>
            <w:tcBorders>
              <w:top w:val="single" w:color="auto" w:sz="4" w:space="0"/>
              <w:left w:val="single" w:color="auto" w:sz="4" w:space="0"/>
              <w:bottom w:val="single" w:color="auto" w:sz="4" w:space="0"/>
              <w:right w:val="single" w:color="auto" w:sz="4" w:space="0"/>
            </w:tcBorders>
            <w:vAlign w:val="center"/>
          </w:tcPr>
          <w:p w14:paraId="7720E98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315B0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3B397D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902" w:type="pct"/>
            <w:tcBorders>
              <w:top w:val="single" w:color="auto" w:sz="4" w:space="0"/>
              <w:left w:val="single" w:color="auto" w:sz="4" w:space="0"/>
              <w:bottom w:val="single" w:color="auto" w:sz="4" w:space="0"/>
              <w:right w:val="single" w:color="auto" w:sz="4" w:space="0"/>
            </w:tcBorders>
            <w:vAlign w:val="center"/>
          </w:tcPr>
          <w:p w14:paraId="20C2DF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578" w:type="pct"/>
            <w:tcBorders>
              <w:top w:val="single" w:color="auto" w:sz="4" w:space="0"/>
              <w:left w:val="single" w:color="auto" w:sz="4" w:space="0"/>
              <w:bottom w:val="single" w:color="auto" w:sz="4" w:space="0"/>
              <w:right w:val="single" w:color="auto" w:sz="12" w:space="0"/>
            </w:tcBorders>
            <w:vAlign w:val="center"/>
          </w:tcPr>
          <w:p w14:paraId="217AA6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350B3B1F">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47B789A8">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00DE93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08A9B3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E8A6C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902" w:type="pct"/>
            <w:tcBorders>
              <w:top w:val="single" w:color="auto" w:sz="4" w:space="0"/>
              <w:left w:val="single" w:color="auto" w:sz="4" w:space="0"/>
              <w:bottom w:val="single" w:color="auto" w:sz="4" w:space="0"/>
              <w:right w:val="single" w:color="auto" w:sz="4" w:space="0"/>
            </w:tcBorders>
            <w:vAlign w:val="center"/>
          </w:tcPr>
          <w:p w14:paraId="5490AAB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578" w:type="pct"/>
            <w:tcBorders>
              <w:top w:val="single" w:color="auto" w:sz="4" w:space="0"/>
              <w:left w:val="single" w:color="auto" w:sz="4" w:space="0"/>
              <w:bottom w:val="single" w:color="auto" w:sz="4" w:space="0"/>
              <w:right w:val="single" w:color="auto" w:sz="12" w:space="0"/>
            </w:tcBorders>
            <w:vAlign w:val="center"/>
          </w:tcPr>
          <w:p w14:paraId="26D6B2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6F92A0D7">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DB27E2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905" w:type="pct"/>
            <w:tcBorders>
              <w:top w:val="single" w:color="auto" w:sz="4" w:space="0"/>
              <w:left w:val="single" w:color="auto" w:sz="4" w:space="0"/>
              <w:bottom w:val="single" w:color="auto" w:sz="4" w:space="0"/>
              <w:right w:val="single" w:color="auto" w:sz="4" w:space="0"/>
            </w:tcBorders>
            <w:vAlign w:val="center"/>
          </w:tcPr>
          <w:p w14:paraId="0896319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1B44DB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031424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902" w:type="pct"/>
            <w:tcBorders>
              <w:top w:val="single" w:color="auto" w:sz="4" w:space="0"/>
              <w:left w:val="single" w:color="auto" w:sz="4" w:space="0"/>
              <w:bottom w:val="single" w:color="auto" w:sz="4" w:space="0"/>
              <w:right w:val="single" w:color="auto" w:sz="4" w:space="0"/>
            </w:tcBorders>
            <w:vAlign w:val="center"/>
          </w:tcPr>
          <w:p w14:paraId="11A678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578" w:type="pct"/>
            <w:tcBorders>
              <w:top w:val="single" w:color="auto" w:sz="4" w:space="0"/>
              <w:left w:val="single" w:color="auto" w:sz="4" w:space="0"/>
              <w:bottom w:val="single" w:color="auto" w:sz="4" w:space="0"/>
              <w:right w:val="single" w:color="auto" w:sz="12" w:space="0"/>
            </w:tcBorders>
            <w:vAlign w:val="center"/>
          </w:tcPr>
          <w:p w14:paraId="3FDB5F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14:paraId="4CA059E0">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703911D0">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B83C0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96C725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5715E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902" w:type="pct"/>
            <w:tcBorders>
              <w:top w:val="single" w:color="auto" w:sz="4" w:space="0"/>
              <w:left w:val="single" w:color="auto" w:sz="4" w:space="0"/>
              <w:bottom w:val="single" w:color="auto" w:sz="4" w:space="0"/>
              <w:right w:val="single" w:color="auto" w:sz="4" w:space="0"/>
            </w:tcBorders>
            <w:vAlign w:val="center"/>
          </w:tcPr>
          <w:p w14:paraId="5995AA9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578" w:type="pct"/>
            <w:tcBorders>
              <w:top w:val="single" w:color="auto" w:sz="4" w:space="0"/>
              <w:left w:val="single" w:color="auto" w:sz="4" w:space="0"/>
              <w:bottom w:val="single" w:color="auto" w:sz="4" w:space="0"/>
              <w:right w:val="single" w:color="auto" w:sz="12" w:space="0"/>
            </w:tcBorders>
            <w:vAlign w:val="center"/>
          </w:tcPr>
          <w:p w14:paraId="48F64DD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14:paraId="451AB335">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18E7BF9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905" w:type="pct"/>
            <w:tcBorders>
              <w:top w:val="single" w:color="auto" w:sz="4" w:space="0"/>
              <w:left w:val="single" w:color="auto" w:sz="4" w:space="0"/>
              <w:bottom w:val="single" w:color="auto" w:sz="4" w:space="0"/>
              <w:right w:val="single" w:color="auto" w:sz="4" w:space="0"/>
            </w:tcBorders>
            <w:vAlign w:val="center"/>
          </w:tcPr>
          <w:p w14:paraId="7791B6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D87732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B8A83B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902" w:type="pct"/>
            <w:tcBorders>
              <w:top w:val="single" w:color="auto" w:sz="4" w:space="0"/>
              <w:left w:val="single" w:color="auto" w:sz="4" w:space="0"/>
              <w:bottom w:val="single" w:color="auto" w:sz="4" w:space="0"/>
              <w:right w:val="single" w:color="auto" w:sz="4" w:space="0"/>
            </w:tcBorders>
            <w:vAlign w:val="center"/>
          </w:tcPr>
          <w:p w14:paraId="0255791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578" w:type="pct"/>
            <w:tcBorders>
              <w:top w:val="single" w:color="auto" w:sz="4" w:space="0"/>
              <w:left w:val="single" w:color="auto" w:sz="4" w:space="0"/>
              <w:bottom w:val="single" w:color="auto" w:sz="4" w:space="0"/>
              <w:right w:val="single" w:color="auto" w:sz="12" w:space="0"/>
            </w:tcBorders>
            <w:vAlign w:val="center"/>
          </w:tcPr>
          <w:p w14:paraId="331F53F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DCDEA1C">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10FA2734">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5C0F5B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45912A7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3EBDC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086721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578" w:type="pct"/>
            <w:tcBorders>
              <w:top w:val="single" w:color="auto" w:sz="4" w:space="0"/>
              <w:left w:val="single" w:color="auto" w:sz="4" w:space="0"/>
              <w:bottom w:val="single" w:color="auto" w:sz="4" w:space="0"/>
              <w:right w:val="single" w:color="auto" w:sz="12" w:space="0"/>
            </w:tcBorders>
            <w:vAlign w:val="center"/>
          </w:tcPr>
          <w:p w14:paraId="03F3A85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6592CED1">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1D57787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905" w:type="pct"/>
            <w:tcBorders>
              <w:top w:val="single" w:color="auto" w:sz="4" w:space="0"/>
              <w:left w:val="single" w:color="auto" w:sz="4" w:space="0"/>
              <w:bottom w:val="single" w:color="auto" w:sz="4" w:space="0"/>
              <w:right w:val="single" w:color="auto" w:sz="4" w:space="0"/>
            </w:tcBorders>
            <w:vAlign w:val="center"/>
          </w:tcPr>
          <w:p w14:paraId="67E4B09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767BC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3F5E97C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7B804E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4C88970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5B047467">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12B14411">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05CA74E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13586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860F9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902" w:type="pct"/>
            <w:tcBorders>
              <w:top w:val="single" w:color="auto" w:sz="4" w:space="0"/>
              <w:left w:val="single" w:color="auto" w:sz="4" w:space="0"/>
              <w:bottom w:val="single" w:color="auto" w:sz="4" w:space="0"/>
              <w:right w:val="single" w:color="auto" w:sz="4" w:space="0"/>
            </w:tcBorders>
            <w:vAlign w:val="center"/>
          </w:tcPr>
          <w:p w14:paraId="1D6759C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578" w:type="pct"/>
            <w:tcBorders>
              <w:top w:val="single" w:color="auto" w:sz="4" w:space="0"/>
              <w:left w:val="single" w:color="auto" w:sz="4" w:space="0"/>
              <w:bottom w:val="single" w:color="auto" w:sz="4" w:space="0"/>
              <w:right w:val="single" w:color="auto" w:sz="12" w:space="0"/>
            </w:tcBorders>
            <w:vAlign w:val="center"/>
          </w:tcPr>
          <w:p w14:paraId="1D1D430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14:paraId="670355A9">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C72E60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905" w:type="pct"/>
            <w:tcBorders>
              <w:top w:val="single" w:color="auto" w:sz="4" w:space="0"/>
              <w:left w:val="single" w:color="auto" w:sz="4" w:space="0"/>
              <w:bottom w:val="single" w:color="auto" w:sz="4" w:space="0"/>
              <w:right w:val="single" w:color="auto" w:sz="4" w:space="0"/>
            </w:tcBorders>
            <w:vAlign w:val="center"/>
          </w:tcPr>
          <w:p w14:paraId="103BE1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5814A8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B70091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902" w:type="pct"/>
            <w:tcBorders>
              <w:top w:val="single" w:color="auto" w:sz="4" w:space="0"/>
              <w:left w:val="single" w:color="auto" w:sz="4" w:space="0"/>
              <w:bottom w:val="single" w:color="auto" w:sz="4" w:space="0"/>
              <w:right w:val="single" w:color="auto" w:sz="4" w:space="0"/>
            </w:tcBorders>
            <w:vAlign w:val="center"/>
          </w:tcPr>
          <w:p w14:paraId="3997752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578" w:type="pct"/>
            <w:tcBorders>
              <w:top w:val="single" w:color="auto" w:sz="4" w:space="0"/>
              <w:left w:val="single" w:color="auto" w:sz="4" w:space="0"/>
              <w:bottom w:val="single" w:color="auto" w:sz="4" w:space="0"/>
              <w:right w:val="single" w:color="auto" w:sz="12" w:space="0"/>
            </w:tcBorders>
            <w:vAlign w:val="center"/>
          </w:tcPr>
          <w:p w14:paraId="0D1D53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42D11F5B">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D2695EB">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1E3FECC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06759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E3DE2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902" w:type="pct"/>
            <w:tcBorders>
              <w:top w:val="single" w:color="auto" w:sz="4" w:space="0"/>
              <w:left w:val="single" w:color="auto" w:sz="4" w:space="0"/>
              <w:bottom w:val="single" w:color="auto" w:sz="4" w:space="0"/>
              <w:right w:val="single" w:color="auto" w:sz="4" w:space="0"/>
            </w:tcBorders>
            <w:vAlign w:val="center"/>
          </w:tcPr>
          <w:p w14:paraId="1C44D5D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7250898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8DFC2CC">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979B77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905" w:type="pct"/>
            <w:tcBorders>
              <w:top w:val="single" w:color="auto" w:sz="4" w:space="0"/>
              <w:left w:val="single" w:color="auto" w:sz="4" w:space="0"/>
              <w:bottom w:val="single" w:color="auto" w:sz="4" w:space="0"/>
              <w:right w:val="single" w:color="auto" w:sz="4" w:space="0"/>
            </w:tcBorders>
            <w:vAlign w:val="center"/>
          </w:tcPr>
          <w:p w14:paraId="28EFFB8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4E7EB27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555FF3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727AF73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2C751B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004DE438">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1E203170">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6A621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2AEC23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4BE8F4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902" w:type="pct"/>
            <w:tcBorders>
              <w:top w:val="single" w:color="auto" w:sz="4" w:space="0"/>
              <w:left w:val="single" w:color="auto" w:sz="4" w:space="0"/>
              <w:bottom w:val="single" w:color="auto" w:sz="4" w:space="0"/>
              <w:right w:val="single" w:color="auto" w:sz="4" w:space="0"/>
            </w:tcBorders>
            <w:vAlign w:val="center"/>
          </w:tcPr>
          <w:p w14:paraId="4A8EE61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5CAEE6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1A4A042">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6ABB81F">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905" w:type="pct"/>
            <w:tcBorders>
              <w:top w:val="single" w:color="auto" w:sz="4" w:space="0"/>
              <w:left w:val="single" w:color="auto" w:sz="4" w:space="0"/>
              <w:bottom w:val="single" w:color="auto" w:sz="4" w:space="0"/>
              <w:right w:val="single" w:color="auto" w:sz="4" w:space="0"/>
            </w:tcBorders>
            <w:vAlign w:val="center"/>
          </w:tcPr>
          <w:p w14:paraId="58844FE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2486B8D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69FFFF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04D92B7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5619B4F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152B7320">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687AD84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6464A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4EC3322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C0B92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2FE8053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347454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7AB5B73E">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2A8B8FD5">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905" w:type="pct"/>
            <w:tcBorders>
              <w:top w:val="single" w:color="auto" w:sz="4" w:space="0"/>
              <w:left w:val="single" w:color="auto" w:sz="4" w:space="0"/>
              <w:bottom w:val="single" w:color="auto" w:sz="4" w:space="0"/>
              <w:right w:val="single" w:color="auto" w:sz="4" w:space="0"/>
            </w:tcBorders>
            <w:vAlign w:val="center"/>
          </w:tcPr>
          <w:p w14:paraId="78338F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5E4535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3CFDC3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4D0C216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2EA466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4DA461B">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BA3259B">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1DA43CB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427BA8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00224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7687460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47F98E1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769BD363">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C24E2BB">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905" w:type="pct"/>
            <w:tcBorders>
              <w:top w:val="single" w:color="auto" w:sz="4" w:space="0"/>
              <w:left w:val="single" w:color="auto" w:sz="4" w:space="0"/>
              <w:bottom w:val="single" w:color="auto" w:sz="4" w:space="0"/>
              <w:right w:val="single" w:color="auto" w:sz="4" w:space="0"/>
            </w:tcBorders>
            <w:vAlign w:val="center"/>
          </w:tcPr>
          <w:p w14:paraId="57508F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6F47EE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E7D98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902" w:type="pct"/>
            <w:tcBorders>
              <w:top w:val="single" w:color="auto" w:sz="4" w:space="0"/>
              <w:left w:val="single" w:color="auto" w:sz="4" w:space="0"/>
              <w:bottom w:val="single" w:color="auto" w:sz="4" w:space="0"/>
              <w:right w:val="single" w:color="auto" w:sz="4" w:space="0"/>
            </w:tcBorders>
            <w:vAlign w:val="center"/>
          </w:tcPr>
          <w:p w14:paraId="0153EB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47526D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7725341">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3D11E4C">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2D5B319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0D8CA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39FB79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902" w:type="pct"/>
            <w:tcBorders>
              <w:top w:val="single" w:color="auto" w:sz="4" w:space="0"/>
              <w:left w:val="single" w:color="auto" w:sz="4" w:space="0"/>
              <w:bottom w:val="single" w:color="auto" w:sz="4" w:space="0"/>
              <w:right w:val="single" w:color="auto" w:sz="4" w:space="0"/>
            </w:tcBorders>
            <w:vAlign w:val="center"/>
          </w:tcPr>
          <w:p w14:paraId="24891C2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5E42E7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623E1999">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7D297513">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905" w:type="pct"/>
            <w:tcBorders>
              <w:top w:val="single" w:color="auto" w:sz="4" w:space="0"/>
              <w:left w:val="single" w:color="auto" w:sz="4" w:space="0"/>
              <w:bottom w:val="single" w:color="auto" w:sz="4" w:space="0"/>
              <w:right w:val="single" w:color="auto" w:sz="4" w:space="0"/>
            </w:tcBorders>
            <w:vAlign w:val="center"/>
          </w:tcPr>
          <w:p w14:paraId="1613D6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46BF98D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C4B5EA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23D1D29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1DB09F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175D1EB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16556C2">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953EF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566B9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E7BBC9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902" w:type="pct"/>
            <w:tcBorders>
              <w:top w:val="single" w:color="auto" w:sz="4" w:space="0"/>
              <w:left w:val="single" w:color="auto" w:sz="4" w:space="0"/>
              <w:bottom w:val="single" w:color="auto" w:sz="4" w:space="0"/>
              <w:right w:val="single" w:color="auto" w:sz="4" w:space="0"/>
            </w:tcBorders>
            <w:vAlign w:val="center"/>
          </w:tcPr>
          <w:p w14:paraId="26A17E0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578" w:type="pct"/>
            <w:tcBorders>
              <w:top w:val="single" w:color="auto" w:sz="4" w:space="0"/>
              <w:left w:val="single" w:color="auto" w:sz="4" w:space="0"/>
              <w:bottom w:val="single" w:color="auto" w:sz="4" w:space="0"/>
              <w:right w:val="single" w:color="auto" w:sz="12" w:space="0"/>
            </w:tcBorders>
            <w:vAlign w:val="center"/>
          </w:tcPr>
          <w:p w14:paraId="0166297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2878996A">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6E962DA7">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905" w:type="pct"/>
            <w:tcBorders>
              <w:top w:val="single" w:color="auto" w:sz="4" w:space="0"/>
              <w:left w:val="single" w:color="auto" w:sz="4" w:space="0"/>
              <w:bottom w:val="single" w:color="auto" w:sz="4" w:space="0"/>
              <w:right w:val="single" w:color="auto" w:sz="4" w:space="0"/>
            </w:tcBorders>
            <w:vAlign w:val="center"/>
          </w:tcPr>
          <w:p w14:paraId="5815C55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2BB8B8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97467C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902" w:type="pct"/>
            <w:tcBorders>
              <w:top w:val="single" w:color="auto" w:sz="4" w:space="0"/>
              <w:left w:val="single" w:color="auto" w:sz="4" w:space="0"/>
              <w:bottom w:val="single" w:color="auto" w:sz="4" w:space="0"/>
              <w:right w:val="single" w:color="auto" w:sz="4" w:space="0"/>
            </w:tcBorders>
            <w:vAlign w:val="center"/>
          </w:tcPr>
          <w:p w14:paraId="61CFA48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578" w:type="pct"/>
            <w:tcBorders>
              <w:top w:val="single" w:color="auto" w:sz="4" w:space="0"/>
              <w:left w:val="single" w:color="auto" w:sz="4" w:space="0"/>
              <w:bottom w:val="single" w:color="auto" w:sz="4" w:space="0"/>
              <w:right w:val="single" w:color="auto" w:sz="12" w:space="0"/>
            </w:tcBorders>
            <w:vAlign w:val="center"/>
          </w:tcPr>
          <w:p w14:paraId="2AD7AAC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2C0B43B4">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C3F3BA3">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DF5EA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09EDB2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D39AD5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902" w:type="pct"/>
            <w:tcBorders>
              <w:top w:val="single" w:color="auto" w:sz="4" w:space="0"/>
              <w:left w:val="single" w:color="auto" w:sz="4" w:space="0"/>
              <w:bottom w:val="single" w:color="auto" w:sz="4" w:space="0"/>
              <w:right w:val="single" w:color="auto" w:sz="4" w:space="0"/>
            </w:tcBorders>
            <w:vAlign w:val="center"/>
          </w:tcPr>
          <w:p w14:paraId="019B4A0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578" w:type="pct"/>
            <w:tcBorders>
              <w:top w:val="single" w:color="auto" w:sz="4" w:space="0"/>
              <w:left w:val="single" w:color="auto" w:sz="4" w:space="0"/>
              <w:bottom w:val="single" w:color="auto" w:sz="4" w:space="0"/>
              <w:right w:val="single" w:color="auto" w:sz="12" w:space="0"/>
            </w:tcBorders>
            <w:vAlign w:val="center"/>
          </w:tcPr>
          <w:p w14:paraId="53912B8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14:paraId="3E772FD1">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F3D047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905" w:type="pct"/>
            <w:tcBorders>
              <w:top w:val="single" w:color="auto" w:sz="4" w:space="0"/>
              <w:left w:val="single" w:color="auto" w:sz="4" w:space="0"/>
              <w:bottom w:val="single" w:color="auto" w:sz="4" w:space="0"/>
              <w:right w:val="single" w:color="auto" w:sz="4" w:space="0"/>
            </w:tcBorders>
            <w:vAlign w:val="center"/>
          </w:tcPr>
          <w:p w14:paraId="07E8C70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940A2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0AF3A33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1D160AB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578" w:type="pct"/>
            <w:tcBorders>
              <w:top w:val="single" w:color="auto" w:sz="4" w:space="0"/>
              <w:left w:val="single" w:color="auto" w:sz="4" w:space="0"/>
              <w:bottom w:val="single" w:color="auto" w:sz="4" w:space="0"/>
              <w:right w:val="single" w:color="auto" w:sz="12" w:space="0"/>
            </w:tcBorders>
            <w:vAlign w:val="center"/>
          </w:tcPr>
          <w:p w14:paraId="668FDFE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688A6A92">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73E0B6C4">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1BB5F7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70E3CC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670969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902" w:type="pct"/>
            <w:tcBorders>
              <w:top w:val="single" w:color="auto" w:sz="4" w:space="0"/>
              <w:left w:val="single" w:color="auto" w:sz="4" w:space="0"/>
              <w:bottom w:val="single" w:color="auto" w:sz="4" w:space="0"/>
              <w:right w:val="single" w:color="auto" w:sz="4" w:space="0"/>
            </w:tcBorders>
            <w:vAlign w:val="center"/>
          </w:tcPr>
          <w:p w14:paraId="4F7EDC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578" w:type="pct"/>
            <w:tcBorders>
              <w:top w:val="single" w:color="auto" w:sz="4" w:space="0"/>
              <w:left w:val="single" w:color="auto" w:sz="4" w:space="0"/>
              <w:bottom w:val="single" w:color="auto" w:sz="4" w:space="0"/>
              <w:right w:val="single" w:color="auto" w:sz="12" w:space="0"/>
            </w:tcBorders>
            <w:vAlign w:val="center"/>
          </w:tcPr>
          <w:p w14:paraId="1265A14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14:paraId="10A91CD6">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F75CDC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905" w:type="pct"/>
            <w:tcBorders>
              <w:top w:val="single" w:color="auto" w:sz="4" w:space="0"/>
              <w:left w:val="single" w:color="auto" w:sz="4" w:space="0"/>
              <w:bottom w:val="single" w:color="auto" w:sz="4" w:space="0"/>
              <w:right w:val="single" w:color="auto" w:sz="4" w:space="0"/>
            </w:tcBorders>
            <w:vAlign w:val="center"/>
          </w:tcPr>
          <w:p w14:paraId="4D9E07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6F513AA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F52070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5D646D2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51BE238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31CF45DE">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5AF94301">
            <w:pPr>
              <w:widowControl/>
              <w:jc w:val="left"/>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15AF84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03C294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8E0B0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902" w:type="pct"/>
            <w:tcBorders>
              <w:top w:val="single" w:color="auto" w:sz="4" w:space="0"/>
              <w:left w:val="single" w:color="auto" w:sz="4" w:space="0"/>
              <w:bottom w:val="single" w:color="auto" w:sz="4" w:space="0"/>
              <w:right w:val="single" w:color="auto" w:sz="4" w:space="0"/>
            </w:tcBorders>
            <w:vAlign w:val="center"/>
          </w:tcPr>
          <w:p w14:paraId="0213A55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578" w:type="pct"/>
            <w:tcBorders>
              <w:top w:val="single" w:color="auto" w:sz="4" w:space="0"/>
              <w:left w:val="single" w:color="auto" w:sz="4" w:space="0"/>
              <w:bottom w:val="single" w:color="auto" w:sz="4" w:space="0"/>
              <w:right w:val="single" w:color="auto" w:sz="12" w:space="0"/>
            </w:tcBorders>
            <w:vAlign w:val="center"/>
          </w:tcPr>
          <w:p w14:paraId="4D75BDA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34EBD51E">
        <w:tblPrEx>
          <w:tblCellMar>
            <w:top w:w="0" w:type="dxa"/>
            <w:left w:w="108" w:type="dxa"/>
            <w:bottom w:w="0" w:type="dxa"/>
            <w:right w:w="108" w:type="dxa"/>
          </w:tblCellMar>
        </w:tblPrEx>
        <w:trPr>
          <w:trHeight w:val="395" w:hRule="atLeast"/>
        </w:trPr>
        <w:tc>
          <w:tcPr>
            <w:tcW w:w="977" w:type="pct"/>
            <w:tcBorders>
              <w:top w:val="single" w:color="auto" w:sz="4" w:space="0"/>
              <w:left w:val="single" w:color="auto" w:sz="12" w:space="0"/>
              <w:bottom w:val="single" w:color="auto" w:sz="12" w:space="0"/>
              <w:right w:val="single" w:color="auto" w:sz="4" w:space="0"/>
            </w:tcBorders>
            <w:vAlign w:val="bottom"/>
          </w:tcPr>
          <w:p w14:paraId="0DB687E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905" w:type="pct"/>
            <w:tcBorders>
              <w:top w:val="single" w:color="auto" w:sz="4" w:space="0"/>
              <w:left w:val="single" w:color="auto" w:sz="4" w:space="0"/>
              <w:bottom w:val="single" w:color="auto" w:sz="12" w:space="0"/>
              <w:right w:val="single" w:color="auto" w:sz="4" w:space="0"/>
            </w:tcBorders>
            <w:vAlign w:val="center"/>
          </w:tcPr>
          <w:p w14:paraId="531F09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12" w:space="0"/>
              <w:right w:val="single" w:color="auto" w:sz="4" w:space="0"/>
            </w:tcBorders>
            <w:vAlign w:val="center"/>
          </w:tcPr>
          <w:p w14:paraId="4846851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12" w:space="0"/>
              <w:right w:val="single" w:color="auto" w:sz="4" w:space="0"/>
            </w:tcBorders>
            <w:vAlign w:val="center"/>
          </w:tcPr>
          <w:p w14:paraId="5D4F1E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12" w:space="0"/>
              <w:right w:val="single" w:color="auto" w:sz="4" w:space="0"/>
            </w:tcBorders>
            <w:vAlign w:val="center"/>
          </w:tcPr>
          <w:p w14:paraId="50EEA68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12" w:space="0"/>
              <w:right w:val="single" w:color="auto" w:sz="12" w:space="0"/>
            </w:tcBorders>
            <w:vAlign w:val="center"/>
          </w:tcPr>
          <w:p w14:paraId="2F1B89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14:paraId="0DA26BEF">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说明：上述标准参照《关于印发中小企业划型标准规定的通知》（工信部联企业[2011]300号），大型、中型和小型企业须同时满足所列指标的下限，否则下划一档；微型企业只需满足所列指标中的一项即可。</w:t>
      </w:r>
    </w:p>
    <w:p w14:paraId="714B4835">
      <w:pPr>
        <w:rPr>
          <w:color w:val="auto"/>
          <w:highlight w:val="none"/>
        </w:rPr>
      </w:pPr>
    </w:p>
    <w:p w14:paraId="31A0F1B1">
      <w:pPr>
        <w:pStyle w:val="3"/>
        <w:jc w:val="center"/>
        <w:rPr>
          <w:rFonts w:ascii="宋体" w:hAnsi="宋体" w:cs="宋体"/>
          <w:color w:val="auto"/>
          <w:highlight w:val="none"/>
        </w:rPr>
      </w:pPr>
      <w:bookmarkStart w:id="68" w:name="_Toc19085"/>
      <w:r>
        <w:rPr>
          <w:rFonts w:hint="eastAsia" w:ascii="宋体" w:hAnsi="宋体" w:cs="宋体"/>
          <w:color w:val="auto"/>
          <w:highlight w:val="none"/>
        </w:rPr>
        <w:t>第四章 评审程序、评审方法和评审标准</w:t>
      </w:r>
      <w:bookmarkEnd w:id="68"/>
    </w:p>
    <w:p w14:paraId="1DF9B2D0">
      <w:pPr>
        <w:jc w:val="center"/>
        <w:rPr>
          <w:b/>
          <w:bCs/>
          <w:color w:val="auto"/>
          <w:sz w:val="32"/>
          <w:szCs w:val="32"/>
          <w:highlight w:val="none"/>
        </w:rPr>
      </w:pPr>
      <w:r>
        <w:rPr>
          <w:rFonts w:hint="eastAsia"/>
          <w:b/>
          <w:bCs/>
          <w:color w:val="auto"/>
          <w:sz w:val="32"/>
          <w:szCs w:val="32"/>
          <w:highlight w:val="none"/>
        </w:rPr>
        <w:t>一、评审程序和评审方法</w:t>
      </w:r>
    </w:p>
    <w:p w14:paraId="1E5EA2A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127B2C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3956022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磋商小组</w:t>
      </w:r>
      <w:r>
        <w:rPr>
          <w:rFonts w:hint="eastAsia" w:ascii="宋体" w:hAnsi="宋体" w:cs="宋体"/>
          <w:color w:val="auto"/>
          <w:szCs w:val="21"/>
          <w:highlight w:val="none"/>
        </w:rPr>
        <w:t>在资格审查结束前，对供应商进行信用查询。</w:t>
      </w:r>
    </w:p>
    <w:p w14:paraId="527378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EA778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36DBA7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02B293C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00595F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7ACDD6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17F95B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2B3CC9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1B16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65F351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420A64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1DEC41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414745D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381BFB5E">
      <w:pPr>
        <w:spacing w:line="360" w:lineRule="auto"/>
        <w:ind w:firstLine="420" w:firstLineChars="200"/>
        <w:rPr>
          <w:rFonts w:ascii="宋体" w:hAnsi="宋体" w:cs="宋体"/>
          <w:color w:val="auto"/>
          <w:szCs w:val="21"/>
          <w:highlight w:val="none"/>
        </w:rPr>
      </w:pPr>
      <w:bookmarkStart w:id="69"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69"/>
    <w:p w14:paraId="12633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86F1C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59D0028F">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做出必要的澄清、说明或者补正。供应商的澄清、说明或者补正必须采用书面形式，并加盖公章，或者由法定代表人或者其授权的代表签字。</w:t>
      </w:r>
    </w:p>
    <w:p w14:paraId="29AA0E7A">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084BFB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E5F57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1AE1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27162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77FE6F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00803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3150F9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D4880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C959E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050AE9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12A5C9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B1585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03B0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66496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7E32EE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647CCE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4F196C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0F772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10）属于“供应商须知正文”第7.5条情形；</w:t>
      </w:r>
    </w:p>
    <w:p w14:paraId="1EF0E2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11）技术要求允许负偏离的条款数超过“供应商须知前附表”规定项数；</w:t>
      </w:r>
    </w:p>
    <w:p w14:paraId="12933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12）虚假竞标，或者出现其他情形而导致被磋商小组认定无效；</w:t>
      </w:r>
    </w:p>
    <w:p w14:paraId="2E3E68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bookmarkStart w:id="70"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0"/>
    </w:p>
    <w:p w14:paraId="776226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14）响应文件标注的项目名称或者项目编号与磋商文件标注的项目名称或者项目编号不一致的；</w:t>
      </w:r>
    </w:p>
    <w:p w14:paraId="0FBFE1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s="宋体"/>
          <w:b/>
          <w:color w:val="auto"/>
          <w:szCs w:val="21"/>
          <w:highlight w:val="none"/>
        </w:rPr>
        <w:t>竞争性磋商文件明确不允许分包，响应文件拟分包的；</w:t>
      </w:r>
    </w:p>
    <w:p w14:paraId="5735CB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62CE23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1F1E81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125149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报价文件中规定的“竞标报价表”；</w:t>
      </w:r>
    </w:p>
    <w:p w14:paraId="6C0AD2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C5732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457F6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3C4F7C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3FEF30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6F840B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DB77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6551199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01D383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BF964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DC9B4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3.3对磋商文件作出的实质性变动是磋商文件的有效组成部分，由磋商小组及时以电子澄清函形式同时通知所有参加磋商的供应商。</w:t>
      </w:r>
    </w:p>
    <w:p w14:paraId="089B7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0F1D5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60D95BD9">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w:t>
      </w:r>
    </w:p>
    <w:p w14:paraId="6DDB9D2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ED6136B">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w:t>
      </w:r>
      <w:r>
        <w:rPr>
          <w:rFonts w:hint="eastAsia" w:ascii="宋体" w:hAnsi="宋体" w:cs="宋体"/>
          <w:color w:val="auto"/>
          <w:highlight w:val="none"/>
        </w:rPr>
        <w:t>本章第3.7条情形外，</w:t>
      </w:r>
      <w:r>
        <w:rPr>
          <w:rFonts w:hint="eastAsia" w:ascii="宋体" w:hAnsi="宋体" w:cs="宋体"/>
          <w:color w:val="auto"/>
          <w:szCs w:val="21"/>
          <w:highlight w:val="none"/>
        </w:rPr>
        <w:t>对磋商过程提交的响应文件进行有效性、完整性和响应程度审查，通过审查的合格供应商不足3家的，采购人或者采购代理机构应当重新开展采购活动。</w:t>
      </w:r>
    </w:p>
    <w:p w14:paraId="134B635C">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78B3C5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6D630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4BCBCA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本章第3.7条情形的，</w:t>
      </w:r>
      <w:r>
        <w:rPr>
          <w:rFonts w:hint="eastAsia" w:ascii="宋体" w:hAnsi="宋体" w:cs="宋体"/>
          <w:color w:val="auto"/>
          <w:szCs w:val="21"/>
          <w:highlight w:val="none"/>
        </w:rPr>
        <w:t>提交最后报价的供应商可以为2家。</w:t>
      </w:r>
    </w:p>
    <w:p w14:paraId="4EC587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BC915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4.5供应商未在规定时间内提交最后报价的，视同退出磋商，其响应文件按无效处理。</w:t>
      </w:r>
    </w:p>
    <w:p w14:paraId="5101A5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4.6最后报价统一开启后，磋商小组对最后报价进行有效性、完整性和响应程度的审查。</w:t>
      </w:r>
    </w:p>
    <w:p w14:paraId="4DF7E4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4.7最后报价出现前后不一致的，按照本章第2.4条的规定修正。 </w:t>
      </w:r>
    </w:p>
    <w:p w14:paraId="5781A9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1230C0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18B1A017">
      <w:pPr>
        <w:tabs>
          <w:tab w:val="left" w:pos="2835"/>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（2）经供应商确认修正后的响应报价（包含首次报价、最后报价）超过所竞标</w:t>
      </w:r>
      <w:r>
        <w:rPr>
          <w:rFonts w:hint="eastAsia" w:ascii="宋体" w:hAnsi="宋体" w:cs="宋体"/>
          <w:color w:val="auto"/>
          <w:szCs w:val="21"/>
          <w:highlight w:val="none"/>
        </w:rPr>
        <w:t>项目/分标</w:t>
      </w:r>
      <w:r>
        <w:rPr>
          <w:rFonts w:hint="eastAsia" w:ascii="宋体" w:hAnsi="宋体"/>
          <w:color w:val="auto"/>
          <w:szCs w:val="21"/>
          <w:highlight w:val="none"/>
        </w:rPr>
        <w:t>规定的采购预算金额或者最高限价的（如本项目公布了最高限价）；</w:t>
      </w:r>
    </w:p>
    <w:p w14:paraId="6FE2125A">
      <w:pPr>
        <w:tabs>
          <w:tab w:val="left" w:pos="2835"/>
        </w:tabs>
        <w:spacing w:line="500" w:lineRule="exact"/>
        <w:ind w:firstLine="420" w:firstLineChars="200"/>
        <w:rPr>
          <w:rFonts w:ascii="宋体" w:hAnsi="宋体" w:cs="宋体"/>
          <w:color w:val="auto"/>
          <w:szCs w:val="21"/>
          <w:highlight w:val="none"/>
        </w:rPr>
      </w:pPr>
      <w:r>
        <w:rPr>
          <w:rFonts w:hint="eastAsia" w:ascii="宋体" w:hAnsi="宋体"/>
          <w:color w:val="auto"/>
          <w:szCs w:val="21"/>
          <w:highlight w:val="none"/>
        </w:rPr>
        <w:t>（3）经供应商确认修正后的响应报价（包含首次报价、最后报价）超过分项采购预算金额或者最高限价的（如本项目公布了最高限价）。</w:t>
      </w:r>
    </w:p>
    <w:p w14:paraId="449592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3C3452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4.10供应商出现最后报价按无效响应处理或者响应文件按无效处理时，磋商小组应当告知有关供应商。</w:t>
      </w:r>
    </w:p>
    <w:p w14:paraId="5F0A4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4.11最后报价结束后，磋商小组不得再与供应商进行任何形式的商谈。</w:t>
      </w:r>
    </w:p>
    <w:p w14:paraId="6619C0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4F0D36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7C747C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3D41DC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0E8AA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19AAB3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3883D6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2D8E74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E975EFD">
      <w:pPr>
        <w:spacing w:line="360" w:lineRule="auto"/>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7011D39">
      <w:pPr>
        <w:jc w:val="center"/>
        <w:rPr>
          <w:rFonts w:ascii="宋体" w:hAnsi="宋体" w:cs="宋体"/>
          <w:b/>
          <w:color w:val="auto"/>
          <w:szCs w:val="32"/>
          <w:highlight w:val="none"/>
        </w:rPr>
      </w:pPr>
      <w:r>
        <w:rPr>
          <w:rFonts w:hint="eastAsia"/>
          <w:b/>
          <w:bCs/>
          <w:color w:val="auto"/>
          <w:sz w:val="32"/>
          <w:szCs w:val="32"/>
          <w:highlight w:val="none"/>
        </w:rPr>
        <w:t>二、评审标准</w:t>
      </w:r>
    </w:p>
    <w:p w14:paraId="394B121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6.评审依据：磋商小组将以磋商响应文件为评审依据，对供应商的报价、技术、商务等方面内容按百分制打分。（计分方法按四舍五入取至百分位）</w:t>
      </w:r>
    </w:p>
    <w:p w14:paraId="36D7B58E">
      <w:pPr>
        <w:pStyle w:val="2"/>
        <w:ind w:left="0" w:firstLine="402" w:firstLineChars="200"/>
        <w:jc w:val="center"/>
        <w:rPr>
          <w:rFonts w:ascii="宋体" w:hAnsi="宋体" w:cs="宋体"/>
          <w:b/>
          <w:bCs/>
          <w:color w:val="auto"/>
          <w:kern w:val="2"/>
          <w:szCs w:val="21"/>
          <w:highlight w:val="none"/>
        </w:rPr>
      </w:pPr>
      <w:r>
        <w:rPr>
          <w:b/>
          <w:bCs/>
          <w:color w:val="auto"/>
          <w:spacing w:val="-5"/>
          <w:highlight w:val="none"/>
        </w:rPr>
        <w:t>综合评分法</w:t>
      </w:r>
    </w:p>
    <w:tbl>
      <w:tblPr>
        <w:tblStyle w:val="3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648"/>
        <w:gridCol w:w="6616"/>
        <w:gridCol w:w="921"/>
      </w:tblGrid>
      <w:tr w14:paraId="314A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29" w:type="pct"/>
            <w:tcBorders>
              <w:top w:val="single" w:color="auto" w:sz="12" w:space="0"/>
              <w:left w:val="single" w:color="auto" w:sz="12" w:space="0"/>
            </w:tcBorders>
            <w:vAlign w:val="center"/>
          </w:tcPr>
          <w:p w14:paraId="344B3963">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38" w:type="pct"/>
            <w:tcBorders>
              <w:top w:val="single" w:color="auto" w:sz="12" w:space="0"/>
            </w:tcBorders>
            <w:vAlign w:val="center"/>
          </w:tcPr>
          <w:p w14:paraId="640074C9">
            <w:pPr>
              <w:pStyle w:val="8"/>
              <w:ind w:firstLine="0"/>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363" w:type="pct"/>
            <w:tcBorders>
              <w:top w:val="single" w:color="auto" w:sz="12" w:space="0"/>
            </w:tcBorders>
            <w:vAlign w:val="center"/>
          </w:tcPr>
          <w:p w14:paraId="54433E25">
            <w:pPr>
              <w:pStyle w:val="8"/>
              <w:ind w:firstLine="0"/>
              <w:jc w:val="center"/>
              <w:rPr>
                <w:rFonts w:ascii="宋体" w:hAnsi="宋体" w:cs="宋体"/>
                <w:b/>
                <w:color w:val="auto"/>
                <w:szCs w:val="21"/>
                <w:highlight w:val="none"/>
              </w:rPr>
            </w:pPr>
            <w:r>
              <w:rPr>
                <w:rFonts w:hint="eastAsia" w:ascii="宋体" w:hAnsi="宋体" w:cs="宋体"/>
                <w:b/>
                <w:color w:val="auto"/>
                <w:kern w:val="0"/>
                <w:szCs w:val="21"/>
                <w:highlight w:val="none"/>
              </w:rPr>
              <w:t>评审因素具体内容</w:t>
            </w:r>
          </w:p>
        </w:tc>
        <w:tc>
          <w:tcPr>
            <w:tcW w:w="468" w:type="pct"/>
            <w:tcBorders>
              <w:top w:val="single" w:color="auto" w:sz="12" w:space="0"/>
              <w:right w:val="single" w:color="auto" w:sz="12" w:space="0"/>
            </w:tcBorders>
            <w:vAlign w:val="center"/>
          </w:tcPr>
          <w:p w14:paraId="6D516550">
            <w:pPr>
              <w:pStyle w:val="8"/>
              <w:ind w:firstLine="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0EBD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29" w:type="pct"/>
            <w:tcBorders>
              <w:left w:val="single" w:color="auto" w:sz="12" w:space="0"/>
            </w:tcBorders>
            <w:vAlign w:val="center"/>
          </w:tcPr>
          <w:p w14:paraId="7A4959C6">
            <w:pPr>
              <w:spacing w:line="288" w:lineRule="auto"/>
              <w:jc w:val="center"/>
              <w:rPr>
                <w:b/>
                <w:bCs/>
                <w:color w:val="auto"/>
                <w:highlight w:val="none"/>
              </w:rPr>
            </w:pPr>
            <w:r>
              <w:rPr>
                <w:rFonts w:hint="eastAsia"/>
                <w:b/>
                <w:bCs/>
                <w:color w:val="auto"/>
                <w:highlight w:val="none"/>
              </w:rPr>
              <w:t>1</w:t>
            </w:r>
          </w:p>
        </w:tc>
        <w:tc>
          <w:tcPr>
            <w:tcW w:w="838" w:type="pct"/>
            <w:vAlign w:val="center"/>
          </w:tcPr>
          <w:p w14:paraId="6AF1BC16">
            <w:pPr>
              <w:spacing w:line="288" w:lineRule="auto"/>
              <w:jc w:val="center"/>
              <w:rPr>
                <w:b/>
                <w:bCs/>
                <w:color w:val="auto"/>
                <w:highlight w:val="none"/>
              </w:rPr>
            </w:pPr>
            <w:r>
              <w:rPr>
                <w:rFonts w:hint="eastAsia"/>
                <w:b/>
                <w:bCs/>
                <w:color w:val="auto"/>
                <w:highlight w:val="none"/>
              </w:rPr>
              <w:t>价格分（满分10分）</w:t>
            </w:r>
          </w:p>
        </w:tc>
        <w:tc>
          <w:tcPr>
            <w:tcW w:w="3363" w:type="pct"/>
          </w:tcPr>
          <w:p w14:paraId="71257EC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hAnsi="宋体" w:cs="宋体"/>
                <w:color w:val="auto"/>
                <w:szCs w:val="21"/>
                <w:highlight w:val="none"/>
              </w:rPr>
              <w:t>评审价为供应商的最后报价进行政策性扣除后的价格，评审价只是作为评审时使用。最终成交供应商的成交金额＝最后报价。</w:t>
            </w:r>
          </w:p>
          <w:p w14:paraId="7462204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（2）政策性扣除计算方法。</w:t>
            </w:r>
          </w:p>
          <w:p w14:paraId="61065A2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w:t>
            </w:r>
            <w:r>
              <w:rPr>
                <w:rFonts w:hint="eastAsia"/>
                <w:color w:val="auto"/>
                <w:highlight w:val="none"/>
              </w:rPr>
              <w:t>其服务为小微企业承接的</w:t>
            </w:r>
            <w:r>
              <w:rPr>
                <w:rFonts w:hint="eastAsia" w:ascii="宋体" w:hAnsi="宋体" w:cs="宋体"/>
                <w:color w:val="auto"/>
                <w:kern w:val="0"/>
                <w:szCs w:val="21"/>
                <w:highlight w:val="none"/>
              </w:rPr>
              <w:t>，对其最后报价给予20%的扣除，扣除后的价格为</w:t>
            </w:r>
            <w:r>
              <w:rPr>
                <w:rFonts w:hint="eastAsia" w:hAnsi="宋体" w:cs="宋体"/>
                <w:color w:val="auto"/>
                <w:szCs w:val="21"/>
                <w:highlight w:val="none"/>
              </w:rPr>
              <w:t>评审价</w:t>
            </w:r>
            <w:r>
              <w:rPr>
                <w:rFonts w:hint="eastAsia" w:ascii="宋体" w:hAnsi="宋体" w:cs="宋体"/>
                <w:color w:val="auto"/>
                <w:kern w:val="0"/>
                <w:szCs w:val="21"/>
                <w:highlight w:val="none"/>
              </w:rPr>
              <w:t>，即</w:t>
            </w:r>
            <w:r>
              <w:rPr>
                <w:rFonts w:hint="eastAsia" w:hAnsi="宋体" w:cs="宋体"/>
                <w:color w:val="auto"/>
                <w:szCs w:val="21"/>
                <w:highlight w:val="none"/>
              </w:rPr>
              <w:t>评审价</w:t>
            </w:r>
            <w:r>
              <w:rPr>
                <w:rFonts w:hint="eastAsia" w:ascii="宋体" w:hAnsi="宋体" w:cs="宋体"/>
                <w:color w:val="auto"/>
                <w:kern w:val="0"/>
                <w:szCs w:val="21"/>
                <w:highlight w:val="none"/>
              </w:rPr>
              <w:t>=最后报价×（1-20%）。</w:t>
            </w: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w:t>
            </w:r>
            <w:r>
              <w:rPr>
                <w:rFonts w:hint="eastAsia" w:ascii="宋体" w:hAnsi="宋体" w:cs="宋体"/>
                <w:color w:val="auto"/>
                <w:kern w:val="0"/>
                <w:szCs w:val="21"/>
                <w:highlight w:val="none"/>
              </w:rPr>
              <w:t>扣除后的价格为</w:t>
            </w:r>
            <w:r>
              <w:rPr>
                <w:rFonts w:hint="eastAsia" w:hAnsi="宋体" w:cs="宋体"/>
                <w:color w:val="auto"/>
                <w:szCs w:val="21"/>
                <w:highlight w:val="none"/>
              </w:rPr>
              <w:t>评审价</w:t>
            </w:r>
            <w:r>
              <w:rPr>
                <w:rFonts w:hint="eastAsia" w:ascii="宋体" w:hAnsi="宋体" w:cs="宋体"/>
                <w:color w:val="auto"/>
                <w:kern w:val="0"/>
                <w:szCs w:val="21"/>
                <w:highlight w:val="none"/>
              </w:rPr>
              <w:t>，即</w:t>
            </w:r>
            <w:r>
              <w:rPr>
                <w:rFonts w:hint="eastAsia" w:hAnsi="宋体" w:cs="宋体"/>
                <w:color w:val="auto"/>
                <w:szCs w:val="21"/>
                <w:highlight w:val="none"/>
              </w:rPr>
              <w:t>评审价</w:t>
            </w:r>
            <w:r>
              <w:rPr>
                <w:rFonts w:hint="eastAsia" w:ascii="宋体" w:hAnsi="宋体" w:cs="宋体"/>
                <w:color w:val="auto"/>
                <w:kern w:val="0"/>
                <w:szCs w:val="21"/>
                <w:highlight w:val="none"/>
              </w:rPr>
              <w:t>=最后报价×（1-4%）。除上述情况外，</w:t>
            </w:r>
            <w:r>
              <w:rPr>
                <w:rFonts w:hint="eastAsia" w:hAnsi="宋体" w:cs="宋体"/>
                <w:color w:val="auto"/>
                <w:szCs w:val="21"/>
                <w:highlight w:val="none"/>
              </w:rPr>
              <w:t>评审价</w:t>
            </w:r>
            <w:r>
              <w:rPr>
                <w:rFonts w:hint="eastAsia" w:ascii="宋体" w:hAnsi="宋体" w:cs="宋体"/>
                <w:color w:val="auto"/>
                <w:kern w:val="0"/>
                <w:szCs w:val="21"/>
                <w:highlight w:val="none"/>
              </w:rPr>
              <w:t>=最后报价。</w:t>
            </w:r>
          </w:p>
          <w:p w14:paraId="37F708D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D5A83E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125385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（5）满足采购文件要求且</w:t>
            </w:r>
            <w:r>
              <w:rPr>
                <w:rFonts w:hint="eastAsia" w:hAnsi="宋体" w:cs="宋体"/>
                <w:color w:val="auto"/>
                <w:szCs w:val="21"/>
                <w:highlight w:val="none"/>
              </w:rPr>
              <w:t>评审价</w:t>
            </w:r>
            <w:r>
              <w:rPr>
                <w:rFonts w:hint="eastAsia" w:ascii="宋体" w:hAnsi="宋体" w:cs="宋体"/>
                <w:color w:val="auto"/>
                <w:kern w:val="0"/>
                <w:szCs w:val="21"/>
                <w:highlight w:val="none"/>
              </w:rPr>
              <w:t>最低的为评审基准价，其价格分为满分。</w:t>
            </w:r>
          </w:p>
          <w:p w14:paraId="4756191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（6）价格分计算公式：        </w:t>
            </w:r>
          </w:p>
          <w:p w14:paraId="303FF18F">
            <w:pPr>
              <w:spacing w:line="288" w:lineRule="auto"/>
              <w:jc w:val="left"/>
              <w:rPr>
                <w:color w:val="auto"/>
                <w:highlight w:val="none"/>
              </w:rPr>
            </w:pPr>
            <w:r>
              <w:rPr>
                <w:rFonts w:hint="eastAsia" w:hAnsi="宋体" w:cs="宋体"/>
                <w:color w:val="auto"/>
                <w:highlight w:val="none"/>
              </w:rPr>
              <w:t>价格分=（评审基准价/</w:t>
            </w:r>
            <w:r>
              <w:rPr>
                <w:rFonts w:hint="eastAsia" w:hAnsi="宋体" w:cs="宋体"/>
                <w:color w:val="auto"/>
                <w:szCs w:val="21"/>
                <w:highlight w:val="none"/>
              </w:rPr>
              <w:t>评审价</w:t>
            </w:r>
            <w:r>
              <w:rPr>
                <w:rFonts w:hint="eastAsia" w:hAnsi="宋体" w:cs="宋体"/>
                <w:color w:val="auto"/>
                <w:highlight w:val="none"/>
              </w:rPr>
              <w:t>）×10分</w:t>
            </w:r>
          </w:p>
        </w:tc>
        <w:tc>
          <w:tcPr>
            <w:tcW w:w="468" w:type="pct"/>
            <w:tcBorders>
              <w:right w:val="single" w:color="auto" w:sz="12" w:space="0"/>
            </w:tcBorders>
            <w:vAlign w:val="center"/>
          </w:tcPr>
          <w:p w14:paraId="31A2DED9">
            <w:pPr>
              <w:spacing w:line="288" w:lineRule="auto"/>
              <w:jc w:val="center"/>
              <w:rPr>
                <w:color w:val="auto"/>
                <w:highlight w:val="none"/>
              </w:rPr>
            </w:pPr>
            <w:r>
              <w:rPr>
                <w:rFonts w:hint="eastAsia"/>
                <w:color w:val="auto"/>
                <w:highlight w:val="none"/>
              </w:rPr>
              <w:t>10分</w:t>
            </w:r>
          </w:p>
        </w:tc>
      </w:tr>
      <w:tr w14:paraId="1B5E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9" w:type="pct"/>
            <w:tcBorders>
              <w:left w:val="single" w:color="auto" w:sz="12" w:space="0"/>
            </w:tcBorders>
            <w:vAlign w:val="center"/>
          </w:tcPr>
          <w:p w14:paraId="18F958E3">
            <w:pPr>
              <w:spacing w:line="288" w:lineRule="auto"/>
              <w:jc w:val="center"/>
              <w:rPr>
                <w:b/>
                <w:bCs/>
                <w:color w:val="auto"/>
                <w:highlight w:val="none"/>
              </w:rPr>
            </w:pPr>
            <w:r>
              <w:rPr>
                <w:rFonts w:hint="eastAsia"/>
                <w:b/>
                <w:bCs/>
                <w:color w:val="auto"/>
                <w:highlight w:val="none"/>
              </w:rPr>
              <w:t>2</w:t>
            </w:r>
          </w:p>
        </w:tc>
        <w:tc>
          <w:tcPr>
            <w:tcW w:w="838" w:type="pct"/>
            <w:vAlign w:val="center"/>
          </w:tcPr>
          <w:p w14:paraId="3EE9BED6">
            <w:pPr>
              <w:spacing w:line="288" w:lineRule="auto"/>
              <w:jc w:val="center"/>
              <w:rPr>
                <w:b/>
                <w:bCs/>
                <w:color w:val="auto"/>
                <w:highlight w:val="none"/>
              </w:rPr>
            </w:pPr>
            <w:r>
              <w:rPr>
                <w:rFonts w:hint="eastAsia"/>
                <w:b/>
                <w:bCs/>
                <w:color w:val="auto"/>
                <w:highlight w:val="none"/>
              </w:rPr>
              <w:t>技术分</w:t>
            </w:r>
          </w:p>
          <w:p w14:paraId="0B2B63EB">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54</w:t>
            </w:r>
            <w:r>
              <w:rPr>
                <w:rFonts w:hint="eastAsia"/>
                <w:b/>
                <w:bCs/>
                <w:color w:val="auto"/>
                <w:highlight w:val="none"/>
              </w:rPr>
              <w:t>分）</w:t>
            </w:r>
          </w:p>
        </w:tc>
        <w:tc>
          <w:tcPr>
            <w:tcW w:w="3363" w:type="pct"/>
            <w:vAlign w:val="center"/>
          </w:tcPr>
          <w:p w14:paraId="47ACDD9C">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456D6F53">
            <w:pPr>
              <w:spacing w:line="288" w:lineRule="auto"/>
              <w:jc w:val="center"/>
              <w:rPr>
                <w:b/>
                <w:bCs/>
                <w:color w:val="auto"/>
                <w:highlight w:val="none"/>
              </w:rPr>
            </w:pPr>
            <w:r>
              <w:rPr>
                <w:rFonts w:hint="eastAsia"/>
                <w:b/>
                <w:bCs/>
                <w:color w:val="auto"/>
                <w:highlight w:val="none"/>
              </w:rPr>
              <w:t>分值</w:t>
            </w:r>
          </w:p>
        </w:tc>
      </w:tr>
      <w:tr w14:paraId="5441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tcBorders>
              <w:left w:val="single" w:color="auto" w:sz="12" w:space="0"/>
            </w:tcBorders>
            <w:vAlign w:val="center"/>
          </w:tcPr>
          <w:p w14:paraId="055CA815">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838" w:type="pct"/>
            <w:vAlign w:val="center"/>
          </w:tcPr>
          <w:p w14:paraId="7D7A98E0">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服务响应分（满分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3363" w:type="pct"/>
            <w:vAlign w:val="center"/>
          </w:tcPr>
          <w:p w14:paraId="015B63CE">
            <w:pPr>
              <w:spacing w:line="360" w:lineRule="auto"/>
              <w:rPr>
                <w:rFonts w:ascii="宋体" w:hAnsi="宋体" w:cs="宋体"/>
                <w:color w:val="auto"/>
                <w:kern w:val="0"/>
                <w:szCs w:val="21"/>
                <w:highlight w:val="none"/>
              </w:rPr>
            </w:pPr>
            <w:r>
              <w:rPr>
                <w:rFonts w:hint="eastAsia" w:ascii="宋体" w:hAnsi="宋体" w:cs="宋体"/>
                <w:bCs/>
                <w:color w:val="auto"/>
                <w:szCs w:val="21"/>
                <w:highlight w:val="none"/>
              </w:rPr>
              <w:t>响应文件的技术要求偏离表中无负偏离的得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分，满分</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分。非实质性要求</w:t>
            </w:r>
            <w:r>
              <w:rPr>
                <w:rFonts w:hint="eastAsia" w:ascii="宋体" w:hAnsi="宋体" w:cs="宋体"/>
                <w:color w:val="auto"/>
                <w:szCs w:val="21"/>
                <w:highlight w:val="none"/>
              </w:rPr>
              <w:t>的技术要求</w:t>
            </w:r>
            <w:r>
              <w:rPr>
                <w:rFonts w:hint="eastAsia" w:ascii="宋体" w:hAnsi="宋体" w:cs="宋体"/>
                <w:bCs/>
                <w:color w:val="auto"/>
                <w:szCs w:val="21"/>
                <w:highlight w:val="none"/>
              </w:rPr>
              <w:t>负偏离的，得分=该项满分分值－累计扣分分值（有一项非实质性要求</w:t>
            </w:r>
            <w:r>
              <w:rPr>
                <w:rFonts w:hint="eastAsia" w:ascii="宋体" w:hAnsi="宋体" w:cs="宋体"/>
                <w:color w:val="auto"/>
                <w:szCs w:val="21"/>
                <w:highlight w:val="none"/>
              </w:rPr>
              <w:t>的</w:t>
            </w:r>
            <w:r>
              <w:rPr>
                <w:rFonts w:hint="eastAsia" w:ascii="宋体" w:hAnsi="宋体" w:cs="宋体"/>
                <w:bCs/>
                <w:color w:val="auto"/>
                <w:szCs w:val="21"/>
                <w:highlight w:val="none"/>
              </w:rPr>
              <w:t>技术要求负偏离的扣</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分，扣分不能超过满分分值，允许偏离的项目数不超过竞争性磋商文件允许偏离的项目数）。</w:t>
            </w:r>
          </w:p>
        </w:tc>
        <w:tc>
          <w:tcPr>
            <w:tcW w:w="468" w:type="pct"/>
            <w:tcBorders>
              <w:right w:val="single" w:color="auto" w:sz="12" w:space="0"/>
            </w:tcBorders>
            <w:vAlign w:val="center"/>
          </w:tcPr>
          <w:p w14:paraId="23B5516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tc>
      </w:tr>
      <w:tr w14:paraId="5B4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9" w:type="pct"/>
            <w:tcBorders>
              <w:left w:val="single" w:color="auto" w:sz="12" w:space="0"/>
            </w:tcBorders>
            <w:vAlign w:val="center"/>
          </w:tcPr>
          <w:p w14:paraId="454048A8">
            <w:pPr>
              <w:pStyle w:val="8"/>
              <w:ind w:firstLine="0"/>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838" w:type="pct"/>
            <w:vAlign w:val="center"/>
          </w:tcPr>
          <w:p w14:paraId="1CC3DB55">
            <w:pPr>
              <w:snapToGrid w:val="0"/>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项目策划设计实施方案（满分25分）</w:t>
            </w:r>
          </w:p>
        </w:tc>
        <w:tc>
          <w:tcPr>
            <w:tcW w:w="3363" w:type="pct"/>
            <w:vAlign w:val="center"/>
          </w:tcPr>
          <w:p w14:paraId="5DA31A9B">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一档（5分）：策划设计实施方案（含①实施人员安排、②实施进度计划、③实施内容）内容简单，整体构思含糊不明确，展示内容不全，实施内容和实施办法</w:t>
            </w:r>
            <w:r>
              <w:rPr>
                <w:rFonts w:hint="eastAsia" w:ascii="宋体" w:hAnsi="宋体" w:cs="宋体"/>
                <w:bCs/>
                <w:color w:val="auto"/>
                <w:kern w:val="0"/>
                <w:szCs w:val="21"/>
                <w:highlight w:val="none"/>
                <w:lang w:val="en-US" w:eastAsia="zh-CN"/>
              </w:rPr>
              <w:t>仅能</w:t>
            </w:r>
            <w:r>
              <w:rPr>
                <w:rFonts w:hint="eastAsia" w:ascii="宋体" w:hAnsi="宋体" w:cs="宋体"/>
                <w:bCs/>
                <w:color w:val="auto"/>
                <w:kern w:val="0"/>
                <w:szCs w:val="21"/>
                <w:highlight w:val="none"/>
              </w:rPr>
              <w:t>满足采购文件</w:t>
            </w:r>
            <w:r>
              <w:rPr>
                <w:rFonts w:hint="eastAsia" w:ascii="宋体" w:hAnsi="宋体" w:cs="宋体"/>
                <w:bCs/>
                <w:color w:val="auto"/>
                <w:kern w:val="0"/>
                <w:szCs w:val="21"/>
                <w:highlight w:val="none"/>
                <w:lang w:val="en-US" w:eastAsia="zh-CN"/>
              </w:rPr>
              <w:t>基础</w:t>
            </w:r>
            <w:r>
              <w:rPr>
                <w:rFonts w:hint="eastAsia" w:ascii="宋体" w:hAnsi="宋体" w:cs="宋体"/>
                <w:bCs/>
                <w:color w:val="auto"/>
                <w:kern w:val="0"/>
                <w:szCs w:val="21"/>
                <w:highlight w:val="none"/>
              </w:rPr>
              <w:t>要求。</w:t>
            </w:r>
          </w:p>
          <w:p w14:paraId="44FF859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二档（10分）：策划设计实施方案（含①实施人员安排、②实施进度计划、③实施内容）基本完整，整体构思合理，展示形式</w:t>
            </w:r>
            <w:r>
              <w:rPr>
                <w:rFonts w:hint="eastAsia" w:ascii="宋体" w:hAnsi="宋体" w:cs="宋体"/>
                <w:bCs/>
                <w:color w:val="auto"/>
                <w:kern w:val="0"/>
                <w:szCs w:val="21"/>
                <w:highlight w:val="none"/>
                <w:lang w:val="en-US" w:eastAsia="zh-CN"/>
              </w:rPr>
              <w:t>整体符合项目要求</w:t>
            </w:r>
            <w:r>
              <w:rPr>
                <w:rFonts w:hint="eastAsia" w:ascii="宋体" w:hAnsi="宋体" w:cs="宋体"/>
                <w:bCs/>
                <w:color w:val="auto"/>
                <w:kern w:val="0"/>
                <w:szCs w:val="21"/>
                <w:highlight w:val="none"/>
              </w:rPr>
              <w:t>，措施</w:t>
            </w:r>
            <w:r>
              <w:rPr>
                <w:rFonts w:hint="eastAsia" w:ascii="宋体" w:hAnsi="宋体" w:cs="宋体"/>
                <w:bCs/>
                <w:color w:val="auto"/>
                <w:kern w:val="0"/>
                <w:szCs w:val="21"/>
                <w:highlight w:val="none"/>
                <w:lang w:val="en-US" w:eastAsia="zh-CN"/>
              </w:rPr>
              <w:t>具体</w:t>
            </w:r>
            <w:r>
              <w:rPr>
                <w:rFonts w:hint="eastAsia" w:ascii="宋体" w:hAnsi="宋体" w:cs="宋体"/>
                <w:bCs/>
                <w:color w:val="auto"/>
                <w:kern w:val="0"/>
                <w:szCs w:val="21"/>
                <w:highlight w:val="none"/>
              </w:rPr>
              <w:t>，项目实施方案合理、可行，</w:t>
            </w:r>
            <w:r>
              <w:rPr>
                <w:rFonts w:hint="eastAsia" w:ascii="宋体" w:hAnsi="宋体" w:cs="宋体"/>
                <w:bCs/>
                <w:color w:val="auto"/>
                <w:kern w:val="0"/>
                <w:szCs w:val="21"/>
                <w:highlight w:val="none"/>
                <w:lang w:val="en-US" w:eastAsia="zh-CN"/>
              </w:rPr>
              <w:t>实施</w:t>
            </w:r>
            <w:r>
              <w:rPr>
                <w:rFonts w:hint="eastAsia" w:ascii="宋体" w:hAnsi="宋体" w:cs="宋体"/>
                <w:bCs/>
                <w:color w:val="auto"/>
                <w:kern w:val="0"/>
                <w:szCs w:val="21"/>
                <w:highlight w:val="none"/>
              </w:rPr>
              <w:t>内容和实施办法</w:t>
            </w:r>
            <w:r>
              <w:rPr>
                <w:rFonts w:hint="eastAsia" w:ascii="宋体" w:hAnsi="宋体" w:cs="宋体"/>
                <w:bCs/>
                <w:color w:val="auto"/>
                <w:kern w:val="0"/>
                <w:szCs w:val="21"/>
                <w:highlight w:val="none"/>
                <w:lang w:val="en-US" w:eastAsia="zh-CN"/>
              </w:rPr>
              <w:t>完全</w:t>
            </w:r>
            <w:r>
              <w:rPr>
                <w:rFonts w:hint="eastAsia" w:ascii="宋体" w:hAnsi="宋体" w:cs="宋体"/>
                <w:bCs/>
                <w:color w:val="auto"/>
                <w:kern w:val="0"/>
                <w:szCs w:val="21"/>
                <w:highlight w:val="none"/>
              </w:rPr>
              <w:t>满足采购文件要求。</w:t>
            </w:r>
          </w:p>
          <w:p w14:paraId="06D14E10">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三档（17分）：策划设计实施方案（含①实施人员安排、②实施进度计划、③实施内容）比较完整，构思新颖合理、目标明确、详细全面、展示形式灵活多样、有针对性，能充分考虑到本项目的实际情况，对项目特点符合度比较高，有重点内容和具体措施，具体可行性，很好的满足采购文件要求。</w:t>
            </w:r>
          </w:p>
          <w:p w14:paraId="03D9FE84">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四档（25分）：策划设计实施方案（含①实施人员安排、②实施进度计划、③实施内容）清晰完整、构思新颖合理、目标明确、详细全面、展示形式灵活多样、有针对性，能充分考虑到本项目的实际情况，对项目特点符合度高，重点内容突出，措施具体，可执行性强，完全满足采购文件要求，能提供有效且有较高价值的增值服务。</w:t>
            </w:r>
          </w:p>
          <w:p w14:paraId="439E78D3">
            <w:pPr>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注：供应商未提供或</w:t>
            </w:r>
            <w:r>
              <w:rPr>
                <w:rFonts w:hint="eastAsia" w:hAnsi="宋体" w:cs="宋体"/>
                <w:b/>
                <w:bCs/>
                <w:color w:val="auto"/>
                <w:highlight w:val="none"/>
              </w:rPr>
              <w:t>不满足一档要求的</w:t>
            </w:r>
            <w:r>
              <w:rPr>
                <w:rFonts w:hint="eastAsia" w:ascii="宋体" w:hAnsi="宋体" w:cs="宋体"/>
                <w:b/>
                <w:color w:val="auto"/>
                <w:kern w:val="0"/>
                <w:szCs w:val="21"/>
                <w:highlight w:val="none"/>
              </w:rPr>
              <w:t>不得分。</w:t>
            </w:r>
          </w:p>
        </w:tc>
        <w:tc>
          <w:tcPr>
            <w:tcW w:w="468" w:type="pct"/>
            <w:tcBorders>
              <w:right w:val="single" w:color="auto" w:sz="12" w:space="0"/>
            </w:tcBorders>
            <w:vAlign w:val="center"/>
          </w:tcPr>
          <w:p w14:paraId="4CBDEAC6">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25分</w:t>
            </w:r>
          </w:p>
        </w:tc>
      </w:tr>
      <w:tr w14:paraId="7FFA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9" w:type="pct"/>
            <w:tcBorders>
              <w:left w:val="single" w:color="auto" w:sz="12" w:space="0"/>
            </w:tcBorders>
            <w:vAlign w:val="center"/>
          </w:tcPr>
          <w:p w14:paraId="03301FE5">
            <w:pPr>
              <w:pStyle w:val="8"/>
              <w:ind w:firstLine="0"/>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838" w:type="pct"/>
            <w:vAlign w:val="center"/>
          </w:tcPr>
          <w:p w14:paraId="08BDD0CC">
            <w:pPr>
              <w:snapToGrid w:val="0"/>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主要宣传平台分（满分15分）</w:t>
            </w:r>
          </w:p>
        </w:tc>
        <w:tc>
          <w:tcPr>
            <w:tcW w:w="3363" w:type="pct"/>
            <w:vAlign w:val="center"/>
          </w:tcPr>
          <w:p w14:paraId="365191EF">
            <w:pPr>
              <w:pStyle w:val="17"/>
              <w:spacing w:line="440" w:lineRule="exact"/>
              <w:rPr>
                <w:rFonts w:hAnsi="宋体" w:cs="宋体"/>
                <w:bCs/>
                <w:color w:val="auto"/>
                <w:sz w:val="21"/>
                <w:highlight w:val="none"/>
              </w:rPr>
            </w:pPr>
            <w:r>
              <w:rPr>
                <w:rFonts w:hint="eastAsia" w:hAnsi="宋体" w:cs="宋体"/>
                <w:bCs/>
                <w:color w:val="auto"/>
                <w:sz w:val="21"/>
                <w:highlight w:val="none"/>
              </w:rPr>
              <w:t>一档（8分）：能满足采购文件和宣传需求，提供良好的宣传活动及宣传回报方案，省级融媒体电视宣传平台所需内容，宣传方式完整。</w:t>
            </w:r>
          </w:p>
          <w:p w14:paraId="6345DAEA">
            <w:pPr>
              <w:pStyle w:val="17"/>
              <w:spacing w:line="440" w:lineRule="exact"/>
              <w:rPr>
                <w:rFonts w:hAnsi="宋体" w:cs="宋体"/>
                <w:bCs/>
                <w:color w:val="auto"/>
                <w:sz w:val="21"/>
                <w:highlight w:val="none"/>
              </w:rPr>
            </w:pPr>
            <w:r>
              <w:rPr>
                <w:rFonts w:hint="eastAsia" w:hAnsi="宋体" w:cs="宋体"/>
                <w:bCs/>
                <w:color w:val="auto"/>
                <w:sz w:val="21"/>
                <w:highlight w:val="none"/>
              </w:rPr>
              <w:t>二档（15分）：能很好地满足采购文件和宣传需求，提供优秀策划实施方案、完整详尽的宣传回报方案及在省级上星频道全媒体平台宣传所需内容，各种宣传方式（电视端、新媒体端）有机结合、整体性全局性强，形成宣传合力的矩阵推广效果。</w:t>
            </w:r>
          </w:p>
          <w:p w14:paraId="6A2E3702">
            <w:pPr>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注：供应商未提供或</w:t>
            </w:r>
            <w:r>
              <w:rPr>
                <w:rFonts w:hint="eastAsia" w:hAnsi="宋体" w:cs="宋体"/>
                <w:b/>
                <w:bCs/>
                <w:color w:val="auto"/>
                <w:highlight w:val="none"/>
              </w:rPr>
              <w:t>不满足一档要求的</w:t>
            </w:r>
            <w:r>
              <w:rPr>
                <w:rFonts w:hint="eastAsia" w:ascii="宋体" w:hAnsi="宋体" w:cs="宋体"/>
                <w:b/>
                <w:color w:val="auto"/>
                <w:kern w:val="0"/>
                <w:szCs w:val="21"/>
                <w:highlight w:val="none"/>
              </w:rPr>
              <w:t>不得分。</w:t>
            </w:r>
          </w:p>
        </w:tc>
        <w:tc>
          <w:tcPr>
            <w:tcW w:w="468" w:type="pct"/>
            <w:tcBorders>
              <w:right w:val="single" w:color="auto" w:sz="12" w:space="0"/>
            </w:tcBorders>
            <w:vAlign w:val="center"/>
          </w:tcPr>
          <w:p w14:paraId="555856DF">
            <w:pPr>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15分</w:t>
            </w:r>
          </w:p>
        </w:tc>
      </w:tr>
      <w:tr w14:paraId="37B4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 w:type="pct"/>
            <w:tcBorders>
              <w:left w:val="single" w:color="auto" w:sz="12" w:space="0"/>
            </w:tcBorders>
            <w:vAlign w:val="center"/>
          </w:tcPr>
          <w:p w14:paraId="1E128673">
            <w:pPr>
              <w:pStyle w:val="8"/>
              <w:ind w:firstLine="0"/>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838" w:type="pct"/>
            <w:vAlign w:val="center"/>
          </w:tcPr>
          <w:p w14:paraId="73C5B17F">
            <w:pPr>
              <w:snapToGrid w:val="0"/>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售后服务分（满分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3363" w:type="pct"/>
            <w:vAlign w:val="center"/>
          </w:tcPr>
          <w:p w14:paraId="3EC71D80">
            <w:pPr>
              <w:spacing w:line="44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一档（</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分）：售后服务方案（含①售后服务响应情况、②处理问题能力、③售后保障措施），售后服务响应满足采购文件要求的评定为一档。</w:t>
            </w:r>
          </w:p>
          <w:p w14:paraId="6A6BC173">
            <w:pPr>
              <w:spacing w:line="440" w:lineRule="exact"/>
              <w:jc w:val="left"/>
              <w:rPr>
                <w:rFonts w:ascii="宋体" w:hAnsi="宋体" w:cs="宋体"/>
                <w:bCs/>
                <w:color w:val="auto"/>
                <w:kern w:val="0"/>
                <w:szCs w:val="21"/>
                <w:highlight w:val="none"/>
              </w:rPr>
            </w:pPr>
            <w:r>
              <w:rPr>
                <w:rFonts w:hint="eastAsia" w:ascii="宋体" w:hAnsi="宋体" w:cs="宋体"/>
                <w:bCs/>
                <w:color w:val="auto"/>
                <w:kern w:val="0"/>
                <w:szCs w:val="21"/>
                <w:highlight w:val="none"/>
              </w:rPr>
              <w:t>二档（</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分）：售后服务方案（含①售后服务响应情况、②处理问题能力、③售后保障措施）完整，售后服务响应满足采购文件要求的评定为二档。</w:t>
            </w:r>
          </w:p>
          <w:p w14:paraId="0533F4C7">
            <w:pP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三档（</w:t>
            </w: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售后服务方案（含①售后服务响应情况、②处理问题能力、③售后保障措施）完整，售后服务响应有至少1项优于采购文件要求，每个媒体宣传推介平台都有专人负责，并定期向采购人反馈宣传执行情况照片及说明的评定为三档。</w:t>
            </w:r>
          </w:p>
          <w:p w14:paraId="2CDCF5D2">
            <w:pPr>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注：供应商未提供或</w:t>
            </w:r>
            <w:r>
              <w:rPr>
                <w:rFonts w:hint="eastAsia" w:hAnsi="宋体" w:cs="宋体"/>
                <w:b/>
                <w:bCs/>
                <w:color w:val="auto"/>
                <w:highlight w:val="none"/>
              </w:rPr>
              <w:t>不满足一档要求的</w:t>
            </w:r>
            <w:r>
              <w:rPr>
                <w:rFonts w:hint="eastAsia" w:ascii="宋体" w:hAnsi="宋体" w:cs="宋体"/>
                <w:b/>
                <w:color w:val="auto"/>
                <w:kern w:val="0"/>
                <w:szCs w:val="21"/>
                <w:highlight w:val="none"/>
              </w:rPr>
              <w:t>不得分。</w:t>
            </w:r>
          </w:p>
        </w:tc>
        <w:tc>
          <w:tcPr>
            <w:tcW w:w="468" w:type="pct"/>
            <w:tcBorders>
              <w:right w:val="single" w:color="auto" w:sz="12" w:space="0"/>
            </w:tcBorders>
            <w:vAlign w:val="center"/>
          </w:tcPr>
          <w:p w14:paraId="3FD3724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r w14:paraId="7ED4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29" w:type="pct"/>
            <w:tcBorders>
              <w:left w:val="single" w:color="auto" w:sz="12" w:space="0"/>
            </w:tcBorders>
            <w:vAlign w:val="center"/>
          </w:tcPr>
          <w:p w14:paraId="065A1728">
            <w:pPr>
              <w:spacing w:line="288" w:lineRule="auto"/>
              <w:jc w:val="center"/>
              <w:rPr>
                <w:b/>
                <w:bCs/>
                <w:color w:val="auto"/>
                <w:highlight w:val="none"/>
              </w:rPr>
            </w:pPr>
            <w:r>
              <w:rPr>
                <w:rFonts w:hint="eastAsia"/>
                <w:b/>
                <w:bCs/>
                <w:color w:val="auto"/>
                <w:highlight w:val="none"/>
              </w:rPr>
              <w:t>3</w:t>
            </w:r>
          </w:p>
        </w:tc>
        <w:tc>
          <w:tcPr>
            <w:tcW w:w="838" w:type="pct"/>
            <w:vAlign w:val="center"/>
          </w:tcPr>
          <w:p w14:paraId="4B3F0F0A">
            <w:pPr>
              <w:spacing w:line="288" w:lineRule="auto"/>
              <w:jc w:val="center"/>
              <w:rPr>
                <w:b/>
                <w:bCs/>
                <w:color w:val="auto"/>
                <w:highlight w:val="none"/>
              </w:rPr>
            </w:pPr>
            <w:r>
              <w:rPr>
                <w:rFonts w:hint="eastAsia"/>
                <w:b/>
                <w:bCs/>
                <w:color w:val="auto"/>
                <w:highlight w:val="none"/>
              </w:rPr>
              <w:t>商务分</w:t>
            </w:r>
          </w:p>
          <w:p w14:paraId="6ECFAB73">
            <w:pPr>
              <w:spacing w:line="288" w:lineRule="auto"/>
              <w:jc w:val="center"/>
              <w:rPr>
                <w:b/>
                <w:bCs/>
                <w:color w:val="auto"/>
                <w:highlight w:val="none"/>
              </w:rPr>
            </w:pPr>
            <w:r>
              <w:rPr>
                <w:rFonts w:hint="eastAsia"/>
                <w:b/>
                <w:bCs/>
                <w:color w:val="auto"/>
                <w:highlight w:val="none"/>
              </w:rPr>
              <w:t>（满分</w:t>
            </w:r>
            <w:r>
              <w:rPr>
                <w:rFonts w:hint="eastAsia"/>
                <w:b/>
                <w:bCs/>
                <w:color w:val="auto"/>
                <w:highlight w:val="none"/>
                <w:lang w:val="en-US" w:eastAsia="zh-CN"/>
              </w:rPr>
              <w:t>36</w:t>
            </w:r>
            <w:r>
              <w:rPr>
                <w:rFonts w:hint="eastAsia"/>
                <w:b/>
                <w:bCs/>
                <w:color w:val="auto"/>
                <w:highlight w:val="none"/>
              </w:rPr>
              <w:t>分）</w:t>
            </w:r>
          </w:p>
        </w:tc>
        <w:tc>
          <w:tcPr>
            <w:tcW w:w="3363" w:type="pct"/>
            <w:vAlign w:val="center"/>
          </w:tcPr>
          <w:p w14:paraId="44803EFD">
            <w:pPr>
              <w:spacing w:line="288" w:lineRule="auto"/>
              <w:jc w:val="center"/>
              <w:rPr>
                <w:b/>
                <w:bCs/>
                <w:color w:val="auto"/>
                <w:highlight w:val="none"/>
              </w:rPr>
            </w:pPr>
            <w:r>
              <w:rPr>
                <w:rFonts w:hint="eastAsia"/>
                <w:b/>
                <w:bCs/>
                <w:color w:val="auto"/>
                <w:highlight w:val="none"/>
              </w:rPr>
              <w:t>评审因素</w:t>
            </w:r>
          </w:p>
        </w:tc>
        <w:tc>
          <w:tcPr>
            <w:tcW w:w="468" w:type="pct"/>
            <w:tcBorders>
              <w:right w:val="single" w:color="auto" w:sz="12" w:space="0"/>
            </w:tcBorders>
            <w:vAlign w:val="center"/>
          </w:tcPr>
          <w:p w14:paraId="4D0996CF">
            <w:pPr>
              <w:spacing w:line="288" w:lineRule="auto"/>
              <w:jc w:val="center"/>
              <w:rPr>
                <w:b/>
                <w:bCs/>
                <w:color w:val="auto"/>
                <w:highlight w:val="none"/>
              </w:rPr>
            </w:pPr>
            <w:r>
              <w:rPr>
                <w:rFonts w:hint="eastAsia"/>
                <w:b/>
                <w:bCs/>
                <w:color w:val="auto"/>
                <w:highlight w:val="none"/>
              </w:rPr>
              <w:t>分值</w:t>
            </w:r>
          </w:p>
        </w:tc>
      </w:tr>
      <w:tr w14:paraId="4C0B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29" w:type="pct"/>
            <w:tcBorders>
              <w:left w:val="single" w:color="auto" w:sz="12" w:space="0"/>
            </w:tcBorders>
            <w:vAlign w:val="center"/>
          </w:tcPr>
          <w:p w14:paraId="65E80AF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838" w:type="pct"/>
            <w:vAlign w:val="center"/>
          </w:tcPr>
          <w:p w14:paraId="093C4C52">
            <w:pPr>
              <w:snapToGrid w:val="0"/>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拟投入人员分（满分</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分）</w:t>
            </w:r>
          </w:p>
        </w:tc>
        <w:tc>
          <w:tcPr>
            <w:tcW w:w="3363" w:type="pct"/>
          </w:tcPr>
          <w:p w14:paraId="1E626B32">
            <w:pPr>
              <w:widowControl/>
              <w:snapToGrid w:val="0"/>
              <w:spacing w:line="4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由评委根据各供应商响应文件中提供的拟投入本项目的实施团队（含①数量、②组织结构）评分：</w:t>
            </w:r>
          </w:p>
          <w:p w14:paraId="5A753717">
            <w:pPr>
              <w:widowControl/>
              <w:snapToGrid w:val="0"/>
              <w:spacing w:line="4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（1）供应商拟投入本项目的人员需具有导演（编导）专业技术资格，具备导演（编导）相关专业四级技术职称的得3分，三级技术职称的得5分，二级技术职称的得7分，一级技术职称的得10分。</w:t>
            </w:r>
          </w:p>
          <w:p w14:paraId="27536831">
            <w:pPr>
              <w:widowControl/>
              <w:snapToGrid w:val="0"/>
              <w:spacing w:line="4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（2）供应商拟投入本项目的人员需具有编辑专业技术资格，具有助理编辑技术职称的得3分，编辑技术职称的得5分，主任编辑技术职称的得7分，高级编辑技术职称的得10分。</w:t>
            </w:r>
          </w:p>
          <w:p w14:paraId="7B746302">
            <w:pPr>
              <w:widowControl/>
              <w:snapToGrid w:val="0"/>
              <w:spacing w:line="4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（3）供应商拟投入本项目的人员需具有包装设计师技术资格，具有四级技术职称的得1分、三级技术职称的得2分、二级及以上技术职称的得5分。</w:t>
            </w:r>
          </w:p>
          <w:p w14:paraId="0034E93A">
            <w:pPr>
              <w:widowControl/>
              <w:snapToGrid w:val="0"/>
              <w:spacing w:line="44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（4）供应商拟投入本项目的人员在满足采购需求的基础上，每增加一人得0.5分，满分3分。</w:t>
            </w:r>
          </w:p>
          <w:p w14:paraId="5CFC8952">
            <w:pPr>
              <w:snapToGrid w:val="0"/>
              <w:spacing w:line="440" w:lineRule="exact"/>
              <w:rPr>
                <w:rFonts w:ascii="宋体" w:hAnsi="宋体" w:cs="宋体"/>
                <w:color w:val="auto"/>
                <w:kern w:val="0"/>
                <w:szCs w:val="21"/>
                <w:highlight w:val="none"/>
              </w:rPr>
            </w:pPr>
            <w:r>
              <w:rPr>
                <w:rFonts w:hint="eastAsia" w:ascii="宋体" w:hAnsi="宋体" w:cs="宋体"/>
                <w:b/>
                <w:color w:val="auto"/>
                <w:kern w:val="0"/>
                <w:szCs w:val="21"/>
                <w:highlight w:val="none"/>
              </w:rPr>
              <w:t>注：必须提供人员的职称证书复印件并加盖供应商公章，否则不得分。</w:t>
            </w:r>
          </w:p>
        </w:tc>
        <w:tc>
          <w:tcPr>
            <w:tcW w:w="468" w:type="pct"/>
            <w:tcBorders>
              <w:right w:val="single" w:color="auto" w:sz="12" w:space="0"/>
            </w:tcBorders>
            <w:vAlign w:val="center"/>
          </w:tcPr>
          <w:p w14:paraId="6A440D0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分</w:t>
            </w:r>
          </w:p>
        </w:tc>
      </w:tr>
      <w:tr w14:paraId="4F19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9" w:type="pct"/>
            <w:tcBorders>
              <w:left w:val="single" w:color="auto" w:sz="12" w:space="0"/>
            </w:tcBorders>
            <w:vAlign w:val="center"/>
          </w:tcPr>
          <w:p w14:paraId="008815A8">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838" w:type="pct"/>
            <w:vAlign w:val="center"/>
          </w:tcPr>
          <w:p w14:paraId="349AAD9B">
            <w:pPr>
              <w:snapToGrid w:val="0"/>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业绩分（满分8分）</w:t>
            </w:r>
          </w:p>
        </w:tc>
        <w:tc>
          <w:tcPr>
            <w:tcW w:w="3363" w:type="pct"/>
          </w:tcPr>
          <w:p w14:paraId="16F29B04">
            <w:pPr>
              <w:snapToGrid w:val="0"/>
              <w:spacing w:line="440" w:lineRule="exact"/>
              <w:rPr>
                <w:rFonts w:ascii="宋体" w:hAnsi="宋体" w:cs="宋体"/>
                <w:color w:val="auto"/>
                <w:kern w:val="0"/>
                <w:szCs w:val="21"/>
                <w:highlight w:val="none"/>
              </w:rPr>
            </w:pPr>
            <w:r>
              <w:rPr>
                <w:rFonts w:hint="eastAsia" w:ascii="宋体" w:hAnsi="宋体" w:cs="宋体"/>
                <w:bCs/>
                <w:color w:val="auto"/>
                <w:kern w:val="0"/>
                <w:szCs w:val="21"/>
                <w:highlight w:val="none"/>
              </w:rPr>
              <w:t>2022年1月1日以来供应商具有类似宣传项目业绩的，每提供1份项目业绩得2分，满分8分。</w:t>
            </w:r>
            <w:r>
              <w:rPr>
                <w:rFonts w:hint="eastAsia" w:ascii="宋体" w:hAnsi="宋体" w:cs="宋体"/>
                <w:b/>
                <w:color w:val="auto"/>
                <w:kern w:val="0"/>
                <w:szCs w:val="21"/>
                <w:highlight w:val="none"/>
              </w:rPr>
              <w:t>（以供应商在响应文件中提供的业绩合同复印件或中标（成交）通知书为准）</w:t>
            </w:r>
          </w:p>
        </w:tc>
        <w:tc>
          <w:tcPr>
            <w:tcW w:w="468" w:type="pct"/>
            <w:tcBorders>
              <w:right w:val="single" w:color="auto" w:sz="12" w:space="0"/>
            </w:tcBorders>
            <w:vAlign w:val="center"/>
          </w:tcPr>
          <w:p w14:paraId="6B91C8D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8分</w:t>
            </w:r>
          </w:p>
        </w:tc>
      </w:tr>
      <w:tr w14:paraId="2826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31" w:type="pct"/>
            <w:gridSpan w:val="3"/>
            <w:tcBorders>
              <w:left w:val="single" w:color="auto" w:sz="12" w:space="0"/>
              <w:bottom w:val="single" w:color="auto" w:sz="12" w:space="0"/>
            </w:tcBorders>
            <w:vAlign w:val="center"/>
          </w:tcPr>
          <w:p w14:paraId="5283FE86">
            <w:pPr>
              <w:spacing w:line="288" w:lineRule="auto"/>
              <w:jc w:val="left"/>
              <w:rPr>
                <w:b/>
                <w:bCs/>
                <w:color w:val="auto"/>
                <w:highlight w:val="none"/>
              </w:rPr>
            </w:pPr>
            <w:r>
              <w:rPr>
                <w:rFonts w:hint="eastAsia"/>
                <w:b/>
                <w:bCs/>
                <w:color w:val="auto"/>
                <w:highlight w:val="none"/>
              </w:rPr>
              <w:t xml:space="preserve">总得分=1 + 2 + 3 </w:t>
            </w:r>
          </w:p>
        </w:tc>
        <w:tc>
          <w:tcPr>
            <w:tcW w:w="468" w:type="pct"/>
            <w:tcBorders>
              <w:bottom w:val="single" w:color="auto" w:sz="12" w:space="0"/>
              <w:right w:val="single" w:color="auto" w:sz="12" w:space="0"/>
            </w:tcBorders>
            <w:vAlign w:val="center"/>
          </w:tcPr>
          <w:p w14:paraId="53B43CD4">
            <w:pPr>
              <w:spacing w:line="288" w:lineRule="auto"/>
              <w:jc w:val="left"/>
              <w:rPr>
                <w:b/>
                <w:bCs/>
                <w:color w:val="auto"/>
                <w:highlight w:val="none"/>
              </w:rPr>
            </w:pPr>
          </w:p>
        </w:tc>
      </w:tr>
    </w:tbl>
    <w:p w14:paraId="79D1F91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7.成交供应商推荐原则：</w:t>
      </w:r>
    </w:p>
    <w:p w14:paraId="2E7AE1E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由磋商小组根据综合评分情况，按照评审得分由高到低顺序推荐3名以上成交候选供应商，并在线编写电子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40F46A3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Cs/>
          <w:color w:val="auto"/>
          <w:szCs w:val="21"/>
          <w:highlight w:val="none"/>
          <w:lang w:val="en-US" w:eastAsia="zh-CN"/>
        </w:rPr>
        <w:t>磋商小组</w:t>
      </w:r>
      <w:r>
        <w:rPr>
          <w:rFonts w:hint="eastAsia" w:ascii="宋体" w:hAnsi="宋体" w:cs="宋体"/>
          <w:bCs/>
          <w:color w:val="auto"/>
          <w:szCs w:val="21"/>
          <w:highlight w:val="none"/>
        </w:rPr>
        <w:t>认为</w:t>
      </w:r>
      <w:r>
        <w:rPr>
          <w:rFonts w:hint="eastAsia" w:ascii="宋体" w:hAnsi="宋体" w:cs="宋体"/>
          <w:bCs/>
          <w:color w:val="auto"/>
          <w:szCs w:val="21"/>
          <w:highlight w:val="none"/>
          <w:lang w:val="en-US" w:eastAsia="zh-CN"/>
        </w:rPr>
        <w:t>某供应商</w:t>
      </w:r>
      <w:r>
        <w:rPr>
          <w:rFonts w:hint="eastAsia" w:ascii="宋体" w:hAnsi="宋体" w:cs="宋体"/>
          <w:bCs/>
          <w:color w:val="auto"/>
          <w:szCs w:val="21"/>
          <w:highlight w:val="none"/>
        </w:rPr>
        <w:t>的报价明显低于其他通过符合性审查</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的报价，有可能影响产品质量或者不能诚信履约的，应当要求其在合理的时间内提供书面说明，必要时提交相关证明材料；</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不能证明其报价合理性的，</w:t>
      </w:r>
      <w:r>
        <w:rPr>
          <w:rFonts w:hint="eastAsia" w:ascii="宋体" w:hAnsi="宋体" w:cs="宋体"/>
          <w:bCs/>
          <w:color w:val="auto"/>
          <w:szCs w:val="21"/>
          <w:highlight w:val="none"/>
          <w:lang w:val="en-US" w:eastAsia="zh-CN"/>
        </w:rPr>
        <w:t>磋商小组</w:t>
      </w:r>
      <w:r>
        <w:rPr>
          <w:rFonts w:hint="eastAsia" w:ascii="宋体" w:hAnsi="宋体" w:cs="宋体"/>
          <w:bCs/>
          <w:color w:val="auto"/>
          <w:szCs w:val="21"/>
          <w:highlight w:val="none"/>
        </w:rPr>
        <w:t>应当将其作为无效</w:t>
      </w:r>
      <w:r>
        <w:rPr>
          <w:rFonts w:hint="eastAsia" w:ascii="宋体" w:hAnsi="宋体" w:cs="宋体"/>
          <w:bCs/>
          <w:color w:val="auto"/>
          <w:szCs w:val="21"/>
          <w:highlight w:val="none"/>
          <w:lang w:val="en-US" w:eastAsia="zh-CN"/>
        </w:rPr>
        <w:t>响应</w:t>
      </w:r>
      <w:r>
        <w:rPr>
          <w:rFonts w:hint="eastAsia" w:ascii="宋体" w:hAnsi="宋体" w:cs="宋体"/>
          <w:bCs/>
          <w:color w:val="auto"/>
          <w:szCs w:val="21"/>
          <w:highlight w:val="none"/>
        </w:rPr>
        <w:t>处理。</w:t>
      </w:r>
    </w:p>
    <w:p w14:paraId="098693C4">
      <w:pPr>
        <w:rPr>
          <w:color w:val="auto"/>
          <w:highlight w:val="none"/>
        </w:rPr>
      </w:pPr>
      <w:r>
        <w:rPr>
          <w:color w:val="auto"/>
          <w:highlight w:val="none"/>
        </w:rPr>
        <w:br w:type="page"/>
      </w:r>
    </w:p>
    <w:p w14:paraId="12551C86">
      <w:pPr>
        <w:pStyle w:val="43"/>
        <w:rPr>
          <w:color w:val="auto"/>
          <w:highlight w:val="none"/>
        </w:rPr>
      </w:pPr>
    </w:p>
    <w:p w14:paraId="6D5E637C">
      <w:pPr>
        <w:rPr>
          <w:color w:val="auto"/>
          <w:highlight w:val="none"/>
        </w:rPr>
      </w:pPr>
    </w:p>
    <w:p w14:paraId="6FEFF908">
      <w:pPr>
        <w:rPr>
          <w:color w:val="auto"/>
          <w:highlight w:val="none"/>
        </w:rPr>
      </w:pPr>
    </w:p>
    <w:p w14:paraId="3F95A3B9">
      <w:pPr>
        <w:rPr>
          <w:color w:val="auto"/>
          <w:highlight w:val="none"/>
        </w:rPr>
      </w:pPr>
    </w:p>
    <w:p w14:paraId="75FACDCD">
      <w:pPr>
        <w:rPr>
          <w:color w:val="auto"/>
          <w:highlight w:val="none"/>
        </w:rPr>
      </w:pPr>
    </w:p>
    <w:p w14:paraId="0FA8CBE4">
      <w:pPr>
        <w:rPr>
          <w:color w:val="auto"/>
          <w:highlight w:val="none"/>
        </w:rPr>
      </w:pPr>
    </w:p>
    <w:p w14:paraId="7CB77086">
      <w:pPr>
        <w:rPr>
          <w:color w:val="auto"/>
          <w:highlight w:val="none"/>
        </w:rPr>
      </w:pPr>
    </w:p>
    <w:p w14:paraId="7BA1BAF3">
      <w:pPr>
        <w:rPr>
          <w:color w:val="auto"/>
          <w:highlight w:val="none"/>
        </w:rPr>
      </w:pPr>
    </w:p>
    <w:p w14:paraId="53AA448D">
      <w:pPr>
        <w:rPr>
          <w:color w:val="auto"/>
          <w:highlight w:val="none"/>
        </w:rPr>
      </w:pPr>
    </w:p>
    <w:p w14:paraId="5106B34E">
      <w:pPr>
        <w:rPr>
          <w:color w:val="auto"/>
          <w:highlight w:val="none"/>
        </w:rPr>
      </w:pPr>
    </w:p>
    <w:p w14:paraId="0F820B35">
      <w:pPr>
        <w:rPr>
          <w:color w:val="auto"/>
          <w:highlight w:val="none"/>
        </w:rPr>
      </w:pPr>
    </w:p>
    <w:p w14:paraId="48D6C16C">
      <w:pPr>
        <w:rPr>
          <w:color w:val="auto"/>
          <w:highlight w:val="none"/>
        </w:rPr>
      </w:pPr>
    </w:p>
    <w:p w14:paraId="11C0EEDC">
      <w:pPr>
        <w:rPr>
          <w:color w:val="auto"/>
          <w:highlight w:val="none"/>
        </w:rPr>
      </w:pPr>
    </w:p>
    <w:p w14:paraId="0E014856">
      <w:pPr>
        <w:rPr>
          <w:color w:val="auto"/>
          <w:highlight w:val="none"/>
        </w:rPr>
      </w:pPr>
    </w:p>
    <w:p w14:paraId="0437D12A">
      <w:pPr>
        <w:rPr>
          <w:color w:val="auto"/>
          <w:highlight w:val="none"/>
        </w:rPr>
      </w:pPr>
    </w:p>
    <w:p w14:paraId="3503BD93">
      <w:pPr>
        <w:rPr>
          <w:color w:val="auto"/>
          <w:highlight w:val="none"/>
        </w:rPr>
      </w:pPr>
    </w:p>
    <w:p w14:paraId="4B9326A6">
      <w:pPr>
        <w:rPr>
          <w:color w:val="auto"/>
          <w:highlight w:val="none"/>
        </w:rPr>
      </w:pPr>
    </w:p>
    <w:p w14:paraId="64CBE84B">
      <w:pPr>
        <w:rPr>
          <w:color w:val="auto"/>
          <w:highlight w:val="none"/>
        </w:rPr>
      </w:pPr>
    </w:p>
    <w:p w14:paraId="3DC9296F">
      <w:pPr>
        <w:pStyle w:val="3"/>
        <w:jc w:val="center"/>
        <w:rPr>
          <w:rFonts w:ascii="宋体" w:hAnsi="宋体" w:cs="宋体"/>
          <w:color w:val="auto"/>
          <w:highlight w:val="none"/>
        </w:rPr>
      </w:pPr>
      <w:bookmarkStart w:id="71" w:name="_Toc30563"/>
      <w:r>
        <w:rPr>
          <w:rFonts w:hint="eastAsia" w:ascii="宋体" w:hAnsi="宋体" w:cs="宋体"/>
          <w:color w:val="auto"/>
          <w:highlight w:val="none"/>
        </w:rPr>
        <w:t>第五章 响应文件格式</w:t>
      </w:r>
      <w:bookmarkEnd w:id="71"/>
    </w:p>
    <w:p w14:paraId="6B9CD95E">
      <w:pPr>
        <w:spacing w:line="240" w:lineRule="atLeast"/>
        <w:rPr>
          <w:rFonts w:ascii="宋体" w:hAnsi="宋体" w:cs="宋体"/>
          <w:b/>
          <w:color w:val="auto"/>
          <w:sz w:val="32"/>
          <w:szCs w:val="32"/>
          <w:highlight w:val="none"/>
        </w:rPr>
      </w:pPr>
    </w:p>
    <w:p w14:paraId="6FB25505">
      <w:pPr>
        <w:spacing w:line="240" w:lineRule="atLeast"/>
        <w:rPr>
          <w:rFonts w:ascii="宋体" w:hAnsi="宋体" w:cs="宋体"/>
          <w:b/>
          <w:color w:val="auto"/>
          <w:sz w:val="32"/>
          <w:szCs w:val="32"/>
          <w:highlight w:val="none"/>
        </w:rPr>
      </w:pPr>
    </w:p>
    <w:p w14:paraId="23048DF9">
      <w:pPr>
        <w:spacing w:line="240" w:lineRule="atLeast"/>
        <w:rPr>
          <w:rFonts w:ascii="宋体" w:hAnsi="宋体" w:cs="宋体"/>
          <w:b/>
          <w:color w:val="auto"/>
          <w:sz w:val="32"/>
          <w:szCs w:val="32"/>
          <w:highlight w:val="none"/>
        </w:rPr>
      </w:pPr>
    </w:p>
    <w:p w14:paraId="1BE7CA91">
      <w:pPr>
        <w:spacing w:line="240" w:lineRule="atLeast"/>
        <w:rPr>
          <w:rFonts w:ascii="宋体" w:hAnsi="宋体" w:cs="宋体"/>
          <w:b/>
          <w:color w:val="auto"/>
          <w:sz w:val="32"/>
          <w:szCs w:val="32"/>
          <w:highlight w:val="none"/>
        </w:rPr>
      </w:pPr>
    </w:p>
    <w:p w14:paraId="597DB798">
      <w:pPr>
        <w:spacing w:line="240" w:lineRule="atLeast"/>
        <w:rPr>
          <w:rFonts w:ascii="宋体" w:hAnsi="宋体" w:cs="宋体"/>
          <w:b/>
          <w:color w:val="auto"/>
          <w:sz w:val="32"/>
          <w:szCs w:val="32"/>
          <w:highlight w:val="none"/>
        </w:rPr>
      </w:pPr>
    </w:p>
    <w:p w14:paraId="44DEF81C">
      <w:pPr>
        <w:spacing w:line="240" w:lineRule="atLeast"/>
        <w:rPr>
          <w:rFonts w:ascii="宋体" w:hAnsi="宋体" w:cs="宋体"/>
          <w:b/>
          <w:color w:val="auto"/>
          <w:sz w:val="32"/>
          <w:szCs w:val="32"/>
          <w:highlight w:val="none"/>
        </w:rPr>
      </w:pPr>
    </w:p>
    <w:p w14:paraId="767BC076">
      <w:pPr>
        <w:spacing w:line="240" w:lineRule="atLeast"/>
        <w:rPr>
          <w:rFonts w:ascii="宋体" w:hAnsi="宋体" w:cs="宋体"/>
          <w:b/>
          <w:color w:val="auto"/>
          <w:sz w:val="32"/>
          <w:szCs w:val="32"/>
          <w:highlight w:val="none"/>
        </w:rPr>
      </w:pPr>
    </w:p>
    <w:p w14:paraId="1347EB2A">
      <w:pPr>
        <w:spacing w:line="240" w:lineRule="atLeast"/>
        <w:rPr>
          <w:rFonts w:ascii="宋体" w:hAnsi="宋体" w:cs="宋体"/>
          <w:b/>
          <w:color w:val="auto"/>
          <w:sz w:val="32"/>
          <w:szCs w:val="32"/>
          <w:highlight w:val="none"/>
        </w:rPr>
      </w:pPr>
    </w:p>
    <w:p w14:paraId="678CF730">
      <w:pPr>
        <w:spacing w:line="240" w:lineRule="atLeast"/>
        <w:rPr>
          <w:rFonts w:ascii="宋体" w:hAnsi="宋体" w:cs="宋体"/>
          <w:b/>
          <w:color w:val="auto"/>
          <w:sz w:val="32"/>
          <w:szCs w:val="32"/>
          <w:highlight w:val="none"/>
        </w:rPr>
      </w:pPr>
    </w:p>
    <w:p w14:paraId="657132FC">
      <w:pPr>
        <w:spacing w:line="240" w:lineRule="atLeast"/>
        <w:rPr>
          <w:rFonts w:ascii="宋体" w:hAnsi="宋体" w:cs="宋体"/>
          <w:b/>
          <w:color w:val="auto"/>
          <w:sz w:val="32"/>
          <w:szCs w:val="32"/>
          <w:highlight w:val="none"/>
        </w:rPr>
      </w:pPr>
    </w:p>
    <w:p w14:paraId="226F5A09">
      <w:pPr>
        <w:spacing w:line="240" w:lineRule="atLeast"/>
        <w:rPr>
          <w:rFonts w:ascii="宋体" w:hAnsi="宋体" w:cs="宋体"/>
          <w:b/>
          <w:color w:val="auto"/>
          <w:sz w:val="32"/>
          <w:szCs w:val="32"/>
          <w:highlight w:val="none"/>
        </w:rPr>
      </w:pPr>
    </w:p>
    <w:p w14:paraId="784D5918">
      <w:pPr>
        <w:rPr>
          <w:color w:val="auto"/>
          <w:highlight w:val="none"/>
        </w:rPr>
      </w:pPr>
    </w:p>
    <w:p w14:paraId="68232732">
      <w:pPr>
        <w:rPr>
          <w:rFonts w:ascii="宋体" w:hAnsi="宋体" w:cs="宋体"/>
          <w:b/>
          <w:color w:val="auto"/>
          <w:sz w:val="32"/>
          <w:szCs w:val="32"/>
          <w:highlight w:val="none"/>
        </w:rPr>
      </w:pPr>
      <w:bookmarkStart w:id="72" w:name="_Toc31728084"/>
      <w:bookmarkStart w:id="73" w:name="_Toc31723070"/>
      <w:bookmarkStart w:id="74" w:name="_Toc35611516"/>
      <w:bookmarkStart w:id="75" w:name="_Toc35611438"/>
      <w:bookmarkStart w:id="76" w:name="_Toc71366186"/>
      <w:bookmarkStart w:id="77" w:name="_Toc44229899"/>
      <w:r>
        <w:rPr>
          <w:rFonts w:hint="eastAsia" w:ascii="宋体" w:hAnsi="宋体" w:cs="宋体"/>
          <w:b/>
          <w:color w:val="auto"/>
          <w:sz w:val="32"/>
          <w:szCs w:val="32"/>
          <w:highlight w:val="none"/>
        </w:rPr>
        <w:br w:type="page"/>
      </w:r>
    </w:p>
    <w:p w14:paraId="560E7518">
      <w:pPr>
        <w:rPr>
          <w:rFonts w:ascii="宋体" w:hAnsi="宋体" w:cs="宋体"/>
          <w:b/>
          <w:color w:val="auto"/>
          <w:sz w:val="32"/>
          <w:szCs w:val="32"/>
          <w:highlight w:val="none"/>
        </w:rPr>
      </w:pPr>
      <w:r>
        <w:rPr>
          <w:rFonts w:hint="eastAsia" w:ascii="宋体" w:hAnsi="宋体" w:cs="宋体"/>
          <w:b/>
          <w:color w:val="auto"/>
          <w:sz w:val="32"/>
          <w:szCs w:val="32"/>
          <w:highlight w:val="none"/>
        </w:rPr>
        <w:t>一、资格证明文件格式</w:t>
      </w:r>
      <w:bookmarkEnd w:id="72"/>
      <w:bookmarkEnd w:id="73"/>
      <w:bookmarkEnd w:id="74"/>
      <w:bookmarkEnd w:id="75"/>
      <w:bookmarkEnd w:id="76"/>
      <w:bookmarkEnd w:id="77"/>
    </w:p>
    <w:p w14:paraId="68182D8A">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363C852D">
      <w:pPr>
        <w:snapToGrid w:val="0"/>
        <w:spacing w:before="156" w:beforeLines="50" w:after="50"/>
        <w:jc w:val="center"/>
        <w:rPr>
          <w:rFonts w:ascii="宋体" w:hAnsi="宋体" w:cs="宋体"/>
          <w:color w:val="auto"/>
          <w:sz w:val="44"/>
          <w:szCs w:val="44"/>
          <w:highlight w:val="none"/>
        </w:rPr>
      </w:pPr>
    </w:p>
    <w:p w14:paraId="64BD9118">
      <w:pPr>
        <w:snapToGrid w:val="0"/>
        <w:spacing w:before="156"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14:paraId="5A7812D8">
      <w:pPr>
        <w:snapToGrid w:val="0"/>
        <w:spacing w:before="156" w:beforeLines="50" w:after="50"/>
        <w:rPr>
          <w:rFonts w:ascii="宋体" w:hAnsi="宋体" w:cs="宋体"/>
          <w:color w:val="auto"/>
          <w:sz w:val="24"/>
          <w:szCs w:val="20"/>
          <w:highlight w:val="none"/>
        </w:rPr>
      </w:pPr>
    </w:p>
    <w:p w14:paraId="3D49FC3C">
      <w:pPr>
        <w:snapToGrid w:val="0"/>
        <w:spacing w:before="156" w:beforeLines="50" w:after="50"/>
        <w:jc w:val="center"/>
        <w:rPr>
          <w:rFonts w:ascii="宋体" w:hAnsi="宋体" w:cs="宋体"/>
          <w:bCs/>
          <w:color w:val="auto"/>
          <w:sz w:val="72"/>
          <w:szCs w:val="72"/>
          <w:highlight w:val="none"/>
        </w:rPr>
      </w:pPr>
      <w:r>
        <w:rPr>
          <w:rFonts w:hint="eastAsia" w:ascii="宋体" w:hAnsi="宋体" w:cs="宋体"/>
          <w:bCs/>
          <w:color w:val="auto"/>
          <w:sz w:val="72"/>
          <w:szCs w:val="72"/>
          <w:highlight w:val="none"/>
        </w:rPr>
        <w:t>资 格 证 明 文 件</w:t>
      </w:r>
    </w:p>
    <w:p w14:paraId="1419D17D">
      <w:pPr>
        <w:snapToGrid w:val="0"/>
        <w:spacing w:before="156" w:beforeLines="50" w:after="50"/>
        <w:rPr>
          <w:rFonts w:ascii="宋体" w:hAnsi="宋体" w:cs="宋体"/>
          <w:bCs/>
          <w:color w:val="auto"/>
          <w:sz w:val="24"/>
          <w:szCs w:val="20"/>
          <w:highlight w:val="none"/>
        </w:rPr>
      </w:pPr>
    </w:p>
    <w:p w14:paraId="671A284B">
      <w:pPr>
        <w:snapToGrid w:val="0"/>
        <w:spacing w:before="156" w:beforeLines="50" w:after="50"/>
        <w:rPr>
          <w:rFonts w:ascii="宋体" w:hAnsi="宋体" w:cs="宋体"/>
          <w:bCs/>
          <w:color w:val="auto"/>
          <w:sz w:val="24"/>
          <w:szCs w:val="20"/>
          <w:highlight w:val="none"/>
        </w:rPr>
      </w:pPr>
    </w:p>
    <w:p w14:paraId="1384ED4D">
      <w:pPr>
        <w:snapToGrid w:val="0"/>
        <w:spacing w:before="156" w:beforeLines="50" w:after="50"/>
        <w:rPr>
          <w:rFonts w:ascii="宋体" w:hAnsi="宋体" w:cs="宋体"/>
          <w:bCs/>
          <w:color w:val="auto"/>
          <w:sz w:val="24"/>
          <w:szCs w:val="20"/>
          <w:highlight w:val="none"/>
        </w:rPr>
      </w:pPr>
    </w:p>
    <w:p w14:paraId="675E42B7">
      <w:pPr>
        <w:snapToGrid w:val="0"/>
        <w:spacing w:before="156" w:beforeLines="50" w:after="50"/>
        <w:rPr>
          <w:rFonts w:ascii="宋体" w:hAnsi="宋体" w:cs="宋体"/>
          <w:bCs/>
          <w:color w:val="auto"/>
          <w:sz w:val="24"/>
          <w:szCs w:val="20"/>
          <w:highlight w:val="none"/>
        </w:rPr>
      </w:pPr>
    </w:p>
    <w:p w14:paraId="2267D438">
      <w:pPr>
        <w:snapToGrid w:val="0"/>
        <w:spacing w:before="156" w:beforeLines="50" w:after="50"/>
        <w:rPr>
          <w:rFonts w:ascii="宋体" w:hAnsi="宋体" w:cs="宋体"/>
          <w:bCs/>
          <w:color w:val="auto"/>
          <w:sz w:val="24"/>
          <w:szCs w:val="20"/>
          <w:highlight w:val="none"/>
        </w:rPr>
      </w:pPr>
    </w:p>
    <w:p w14:paraId="3732C84C">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892E0A1">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1A802F4">
      <w:pPr>
        <w:pStyle w:val="44"/>
        <w:ind w:firstLine="640"/>
        <w:rPr>
          <w:color w:val="auto"/>
          <w:highlight w:val="none"/>
        </w:rPr>
      </w:pPr>
      <w:r>
        <w:rPr>
          <w:rFonts w:hint="eastAsia" w:ascii="宋体" w:hAnsi="宋体" w:cs="宋体"/>
          <w:bCs/>
          <w:color w:val="auto"/>
          <w:sz w:val="32"/>
          <w:szCs w:val="32"/>
          <w:highlight w:val="none"/>
        </w:rPr>
        <w:t>所竞分标</w:t>
      </w:r>
      <w:r>
        <w:rPr>
          <w:rFonts w:ascii="宋体" w:hAnsi="宋体" w:cs="宋体"/>
          <w:color w:val="auto"/>
          <w:spacing w:val="7"/>
          <w:sz w:val="31"/>
          <w:szCs w:val="31"/>
          <w:highlight w:val="none"/>
        </w:rPr>
        <w:t>（如有则填写，无分标时填写“无</w:t>
      </w:r>
      <w:r>
        <w:rPr>
          <w:rFonts w:ascii="宋体" w:hAnsi="宋体" w:cs="宋体"/>
          <w:color w:val="auto"/>
          <w:spacing w:val="-110"/>
          <w:sz w:val="31"/>
          <w:szCs w:val="31"/>
          <w:highlight w:val="none"/>
        </w:rPr>
        <w:t xml:space="preserve"> </w:t>
      </w:r>
      <w:r>
        <w:rPr>
          <w:rFonts w:ascii="宋体" w:hAnsi="宋体" w:cs="宋体"/>
          <w:color w:val="auto"/>
          <w:spacing w:val="7"/>
          <w:sz w:val="31"/>
          <w:szCs w:val="31"/>
          <w:highlight w:val="none"/>
        </w:rPr>
        <w:t>”或者留空</w:t>
      </w:r>
      <w:r>
        <w:rPr>
          <w:rFonts w:ascii="宋体" w:hAnsi="宋体" w:cs="宋体"/>
          <w:color w:val="auto"/>
          <w:spacing w:val="-22"/>
          <w:sz w:val="31"/>
          <w:szCs w:val="31"/>
          <w:highlight w:val="none"/>
        </w:rPr>
        <w:t>）</w:t>
      </w:r>
      <w:r>
        <w:rPr>
          <w:rFonts w:hint="eastAsia" w:ascii="宋体" w:hAnsi="宋体" w:cs="宋体"/>
          <w:bCs/>
          <w:color w:val="auto"/>
          <w:sz w:val="32"/>
          <w:szCs w:val="32"/>
          <w:highlight w:val="none"/>
        </w:rPr>
        <w:t>：</w:t>
      </w:r>
    </w:p>
    <w:p w14:paraId="36845747">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4F57A6C2">
      <w:pPr>
        <w:snapToGrid w:val="0"/>
        <w:spacing w:before="156" w:beforeLines="50" w:after="50"/>
        <w:ind w:firstLine="640" w:firstLineChars="200"/>
        <w:rPr>
          <w:rFonts w:ascii="宋体" w:hAnsi="宋体" w:cs="宋体"/>
          <w:bCs/>
          <w:color w:val="auto"/>
          <w:sz w:val="32"/>
          <w:szCs w:val="32"/>
          <w:highlight w:val="none"/>
        </w:rPr>
      </w:pPr>
    </w:p>
    <w:p w14:paraId="206B178F">
      <w:pPr>
        <w:pStyle w:val="8"/>
        <w:snapToGrid w:val="0"/>
        <w:spacing w:before="50" w:after="50"/>
        <w:ind w:firstLine="720" w:firstLineChars="225"/>
        <w:rPr>
          <w:rFonts w:ascii="宋体" w:hAnsi="宋体" w:cs="宋体"/>
          <w:bCs/>
          <w:color w:val="auto"/>
          <w:sz w:val="32"/>
          <w:szCs w:val="32"/>
          <w:highlight w:val="none"/>
        </w:rPr>
      </w:pPr>
    </w:p>
    <w:p w14:paraId="688B65D7">
      <w:pPr>
        <w:pStyle w:val="8"/>
        <w:snapToGrid w:val="0"/>
        <w:spacing w:before="50" w:after="50"/>
        <w:ind w:firstLine="1280" w:firstLineChars="400"/>
        <w:rPr>
          <w:rFonts w:ascii="宋体" w:hAnsi="宋体" w:cs="宋体"/>
          <w:bCs/>
          <w:color w:val="auto"/>
          <w:sz w:val="32"/>
          <w:szCs w:val="32"/>
          <w:highlight w:val="none"/>
        </w:rPr>
      </w:pPr>
    </w:p>
    <w:p w14:paraId="5C95D847">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12B87D6">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23DA1FB1">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1614520D">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A7C3E0C">
      <w:pPr>
        <w:spacing w:line="300" w:lineRule="auto"/>
        <w:rPr>
          <w:rFonts w:ascii="宋体" w:hAnsi="宋体" w:cs="宋体"/>
          <w:color w:val="auto"/>
          <w:szCs w:val="21"/>
          <w:highlight w:val="none"/>
        </w:rPr>
      </w:pPr>
    </w:p>
    <w:p w14:paraId="12205F5A">
      <w:pPr>
        <w:spacing w:line="300" w:lineRule="auto"/>
        <w:rPr>
          <w:rFonts w:ascii="宋体" w:hAnsi="宋体" w:cs="宋体"/>
          <w:color w:val="auto"/>
          <w:szCs w:val="21"/>
          <w:highlight w:val="none"/>
        </w:rPr>
      </w:pPr>
    </w:p>
    <w:p w14:paraId="4C00A794">
      <w:pPr>
        <w:spacing w:line="300" w:lineRule="auto"/>
        <w:rPr>
          <w:rFonts w:ascii="宋体" w:hAnsi="宋体" w:cs="宋体"/>
          <w:color w:val="auto"/>
          <w:szCs w:val="21"/>
          <w:highlight w:val="none"/>
        </w:rPr>
      </w:pPr>
    </w:p>
    <w:p w14:paraId="57E627A8">
      <w:pPr>
        <w:spacing w:line="300" w:lineRule="auto"/>
        <w:rPr>
          <w:rFonts w:ascii="宋体" w:hAnsi="宋体" w:cs="宋体"/>
          <w:color w:val="auto"/>
          <w:szCs w:val="21"/>
          <w:highlight w:val="none"/>
        </w:rPr>
      </w:pPr>
    </w:p>
    <w:p w14:paraId="1FE42872">
      <w:pPr>
        <w:spacing w:line="300" w:lineRule="auto"/>
        <w:rPr>
          <w:rFonts w:ascii="宋体" w:hAnsi="宋体" w:cs="宋体"/>
          <w:color w:val="auto"/>
          <w:szCs w:val="21"/>
          <w:highlight w:val="none"/>
        </w:rPr>
      </w:pPr>
    </w:p>
    <w:p w14:paraId="15493DD0">
      <w:pPr>
        <w:spacing w:line="300" w:lineRule="auto"/>
        <w:rPr>
          <w:rFonts w:ascii="宋体" w:hAnsi="宋体" w:cs="宋体"/>
          <w:color w:val="auto"/>
          <w:szCs w:val="21"/>
          <w:highlight w:val="none"/>
        </w:rPr>
      </w:pPr>
    </w:p>
    <w:p w14:paraId="04B15E61">
      <w:pPr>
        <w:spacing w:line="300" w:lineRule="auto"/>
        <w:rPr>
          <w:rFonts w:ascii="宋体" w:hAnsi="宋体" w:cs="宋体"/>
          <w:color w:val="auto"/>
          <w:szCs w:val="21"/>
          <w:highlight w:val="none"/>
        </w:rPr>
      </w:pPr>
    </w:p>
    <w:p w14:paraId="45C4A4C7">
      <w:pPr>
        <w:spacing w:line="300" w:lineRule="auto"/>
        <w:rPr>
          <w:rFonts w:ascii="宋体" w:hAnsi="宋体" w:cs="宋体"/>
          <w:color w:val="auto"/>
          <w:szCs w:val="21"/>
          <w:highlight w:val="none"/>
        </w:rPr>
      </w:pPr>
    </w:p>
    <w:p w14:paraId="260B2E53">
      <w:pPr>
        <w:spacing w:line="300" w:lineRule="auto"/>
        <w:rPr>
          <w:rFonts w:ascii="宋体" w:hAnsi="宋体" w:cs="宋体"/>
          <w:color w:val="auto"/>
          <w:szCs w:val="21"/>
          <w:highlight w:val="none"/>
        </w:rPr>
      </w:pPr>
    </w:p>
    <w:p w14:paraId="31689381">
      <w:pPr>
        <w:spacing w:line="300" w:lineRule="auto"/>
        <w:rPr>
          <w:rFonts w:ascii="宋体" w:hAnsi="宋体" w:cs="宋体"/>
          <w:color w:val="auto"/>
          <w:szCs w:val="21"/>
          <w:highlight w:val="none"/>
        </w:rPr>
      </w:pPr>
    </w:p>
    <w:p w14:paraId="5A51BDFF">
      <w:pPr>
        <w:spacing w:line="300" w:lineRule="auto"/>
        <w:rPr>
          <w:rFonts w:ascii="宋体" w:hAnsi="宋体" w:cs="宋体"/>
          <w:color w:val="auto"/>
          <w:szCs w:val="21"/>
          <w:highlight w:val="none"/>
        </w:rPr>
      </w:pPr>
    </w:p>
    <w:p w14:paraId="1C5EE6EC">
      <w:pPr>
        <w:spacing w:line="300" w:lineRule="auto"/>
        <w:rPr>
          <w:rFonts w:ascii="宋体" w:hAnsi="宋体" w:cs="宋体"/>
          <w:color w:val="auto"/>
          <w:szCs w:val="21"/>
          <w:highlight w:val="none"/>
        </w:rPr>
      </w:pPr>
    </w:p>
    <w:p w14:paraId="059F6FE1">
      <w:pPr>
        <w:spacing w:line="300" w:lineRule="auto"/>
        <w:rPr>
          <w:rFonts w:ascii="宋体" w:hAnsi="宋体" w:cs="宋体"/>
          <w:color w:val="auto"/>
          <w:szCs w:val="21"/>
          <w:highlight w:val="none"/>
        </w:rPr>
      </w:pPr>
    </w:p>
    <w:p w14:paraId="40553787">
      <w:pPr>
        <w:spacing w:line="300" w:lineRule="auto"/>
        <w:rPr>
          <w:rFonts w:ascii="宋体" w:hAnsi="宋体" w:cs="宋体"/>
          <w:color w:val="auto"/>
          <w:szCs w:val="21"/>
          <w:highlight w:val="none"/>
        </w:rPr>
      </w:pPr>
    </w:p>
    <w:p w14:paraId="01056397">
      <w:pPr>
        <w:spacing w:line="300" w:lineRule="auto"/>
        <w:rPr>
          <w:rFonts w:ascii="宋体" w:hAnsi="宋体" w:cs="宋体"/>
          <w:color w:val="auto"/>
          <w:szCs w:val="21"/>
          <w:highlight w:val="none"/>
        </w:rPr>
      </w:pPr>
    </w:p>
    <w:p w14:paraId="1C9CD4B1">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676270CA">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0DDB4052">
      <w:pPr>
        <w:spacing w:line="360" w:lineRule="auto"/>
        <w:contextualSpacing/>
        <w:jc w:val="center"/>
        <w:rPr>
          <w:rFonts w:ascii="宋体" w:hAnsi="宋体" w:cs="宋体"/>
          <w:b/>
          <w:color w:val="auto"/>
          <w:sz w:val="24"/>
          <w:highlight w:val="none"/>
        </w:rPr>
      </w:pPr>
      <w:r>
        <w:rPr>
          <w:rFonts w:hint="eastAsia" w:ascii="宋体" w:hAnsi="宋体" w:cs="宋体"/>
          <w:b/>
          <w:color w:val="auto"/>
          <w:sz w:val="32"/>
          <w:szCs w:val="32"/>
          <w:highlight w:val="none"/>
        </w:rPr>
        <w:t>供应商直接控股股东信息表</w:t>
      </w:r>
    </w:p>
    <w:tbl>
      <w:tblPr>
        <w:tblStyle w:val="31"/>
        <w:tblW w:w="9217" w:type="dxa"/>
        <w:jc w:val="center"/>
        <w:shd w:val="clear" w:color="auto" w:fill="FBFBFB"/>
        <w:tblLayout w:type="fixed"/>
        <w:tblCellMar>
          <w:top w:w="0" w:type="dxa"/>
          <w:left w:w="0" w:type="dxa"/>
          <w:bottom w:w="0" w:type="dxa"/>
          <w:right w:w="0" w:type="dxa"/>
        </w:tblCellMar>
      </w:tblPr>
      <w:tblGrid>
        <w:gridCol w:w="728"/>
        <w:gridCol w:w="2303"/>
        <w:gridCol w:w="1345"/>
        <w:gridCol w:w="3974"/>
        <w:gridCol w:w="867"/>
      </w:tblGrid>
      <w:tr w14:paraId="4510466F">
        <w:tblPrEx>
          <w:tblCellMar>
            <w:top w:w="0" w:type="dxa"/>
            <w:left w:w="0" w:type="dxa"/>
            <w:bottom w:w="0" w:type="dxa"/>
            <w:right w:w="0" w:type="dxa"/>
          </w:tblCellMar>
        </w:tblPrEx>
        <w:trPr>
          <w:trHeight w:val="882" w:hRule="atLeast"/>
          <w:tblHeader/>
          <w:jc w:val="center"/>
        </w:trPr>
        <w:tc>
          <w:tcPr>
            <w:tcW w:w="728"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4EDF1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0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B3299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45"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1830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74"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0A3E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50718D2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75192CE">
        <w:tblPrEx>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890B06">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F99949">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664935">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3288C">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1683DB7A">
            <w:pPr>
              <w:widowControl/>
              <w:spacing w:line="360" w:lineRule="auto"/>
              <w:contextualSpacing/>
              <w:jc w:val="center"/>
              <w:rPr>
                <w:rFonts w:ascii="宋体" w:hAnsi="宋体" w:cs="宋体"/>
                <w:color w:val="auto"/>
                <w:kern w:val="0"/>
                <w:sz w:val="24"/>
                <w:highlight w:val="none"/>
              </w:rPr>
            </w:pPr>
          </w:p>
        </w:tc>
      </w:tr>
      <w:tr w14:paraId="7A6F64DA">
        <w:tblPrEx>
          <w:tblCellMar>
            <w:top w:w="0" w:type="dxa"/>
            <w:left w:w="0" w:type="dxa"/>
            <w:bottom w:w="0" w:type="dxa"/>
            <w:right w:w="0" w:type="dxa"/>
          </w:tblCellMar>
        </w:tblPrEx>
        <w:trPr>
          <w:trHeight w:val="982"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D48A8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A0E21F">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7B99BD">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C1279">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482E2630">
            <w:pPr>
              <w:widowControl/>
              <w:spacing w:line="360" w:lineRule="auto"/>
              <w:contextualSpacing/>
              <w:jc w:val="center"/>
              <w:rPr>
                <w:rFonts w:ascii="宋体" w:hAnsi="宋体" w:cs="宋体"/>
                <w:color w:val="auto"/>
                <w:kern w:val="0"/>
                <w:sz w:val="24"/>
                <w:highlight w:val="none"/>
              </w:rPr>
            </w:pPr>
          </w:p>
        </w:tc>
      </w:tr>
      <w:tr w14:paraId="5F97F459">
        <w:tblPrEx>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E106E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D98FF5">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977F87">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ED3301">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782667AE">
            <w:pPr>
              <w:widowControl/>
              <w:spacing w:line="360" w:lineRule="auto"/>
              <w:contextualSpacing/>
              <w:jc w:val="center"/>
              <w:rPr>
                <w:rFonts w:ascii="宋体" w:hAnsi="宋体" w:cs="宋体"/>
                <w:color w:val="auto"/>
                <w:kern w:val="0"/>
                <w:sz w:val="24"/>
                <w:highlight w:val="none"/>
              </w:rPr>
            </w:pPr>
          </w:p>
        </w:tc>
      </w:tr>
      <w:tr w14:paraId="332CEE82">
        <w:tblPrEx>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43AAB4F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30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6FC7E7FC">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65E636CC">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7C9C7A3B">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72762707">
            <w:pPr>
              <w:widowControl/>
              <w:spacing w:line="360" w:lineRule="auto"/>
              <w:contextualSpacing/>
              <w:jc w:val="center"/>
              <w:rPr>
                <w:rFonts w:ascii="宋体" w:hAnsi="宋体" w:cs="宋体"/>
                <w:color w:val="auto"/>
                <w:kern w:val="0"/>
                <w:sz w:val="24"/>
                <w:highlight w:val="none"/>
              </w:rPr>
            </w:pPr>
          </w:p>
        </w:tc>
      </w:tr>
    </w:tbl>
    <w:p w14:paraId="7A479E8C">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978E51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C480C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0DC886E">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3.供应商不存在直接控股股东的，则在“直接控股股东名称”填“无”。</w:t>
      </w:r>
    </w:p>
    <w:p w14:paraId="12749CC4">
      <w:pPr>
        <w:rPr>
          <w:color w:val="auto"/>
          <w:highlight w:val="none"/>
        </w:rPr>
      </w:pPr>
      <w:r>
        <w:rPr>
          <w:rFonts w:hint="eastAsia"/>
          <w:color w:val="auto"/>
          <w:highlight w:val="none"/>
        </w:rPr>
        <w:t xml:space="preserve">  </w:t>
      </w:r>
    </w:p>
    <w:p w14:paraId="703C519D">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5D64E592">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486F52BB">
      <w:pPr>
        <w:snapToGrid w:val="0"/>
        <w:ind w:firstLine="5520" w:firstLineChars="2300"/>
        <w:jc w:val="left"/>
        <w:rPr>
          <w:rFonts w:ascii="宋体" w:hAnsi="宋体" w:cs="宋体"/>
          <w:b/>
          <w:color w:val="auto"/>
          <w:sz w:val="28"/>
          <w:szCs w:val="28"/>
          <w:highlight w:val="none"/>
        </w:rPr>
      </w:pPr>
      <w:r>
        <w:rPr>
          <w:rFonts w:hint="eastAsia" w:ascii="宋体" w:hAnsi="宋体" w:cs="宋体"/>
          <w:color w:val="auto"/>
          <w:sz w:val="24"/>
          <w:highlight w:val="none"/>
        </w:rPr>
        <w:t>年    月    日</w:t>
      </w:r>
      <w:r>
        <w:rPr>
          <w:rFonts w:hint="eastAsia" w:ascii="宋体" w:hAnsi="宋体" w:cs="宋体"/>
          <w:b/>
          <w:color w:val="auto"/>
          <w:sz w:val="28"/>
          <w:szCs w:val="28"/>
          <w:highlight w:val="none"/>
        </w:rPr>
        <w:br w:type="page"/>
      </w:r>
    </w:p>
    <w:p w14:paraId="44B7906B">
      <w:pPr>
        <w:rPr>
          <w:color w:val="auto"/>
          <w:highlight w:val="none"/>
        </w:rPr>
      </w:pPr>
    </w:p>
    <w:p w14:paraId="0C3E4DA3">
      <w:pPr>
        <w:spacing w:line="320" w:lineRule="exact"/>
        <w:jc w:val="center"/>
        <w:rPr>
          <w:rFonts w:ascii="宋体" w:hAnsi="宋体" w:cs="宋体"/>
          <w:b/>
          <w:color w:val="auto"/>
          <w:sz w:val="32"/>
          <w:szCs w:val="32"/>
          <w:highlight w:val="none"/>
        </w:rPr>
      </w:pPr>
    </w:p>
    <w:p w14:paraId="446B15B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3FB88943">
      <w:pPr>
        <w:snapToGrid w:val="0"/>
        <w:spacing w:line="360" w:lineRule="auto"/>
        <w:jc w:val="center"/>
        <w:rPr>
          <w:rFonts w:ascii="宋体" w:hAnsi="宋体" w:cs="宋体"/>
          <w:b/>
          <w:color w:val="auto"/>
          <w:sz w:val="24"/>
          <w:highlight w:val="none"/>
        </w:rPr>
      </w:pPr>
    </w:p>
    <w:tbl>
      <w:tblPr>
        <w:tblStyle w:val="31"/>
        <w:tblW w:w="9104" w:type="dxa"/>
        <w:jc w:val="center"/>
        <w:shd w:val="clear" w:color="auto" w:fill="FBFBFB"/>
        <w:tblLayout w:type="fixed"/>
        <w:tblCellMar>
          <w:top w:w="0" w:type="dxa"/>
          <w:left w:w="0" w:type="dxa"/>
          <w:bottom w:w="0" w:type="dxa"/>
          <w:right w:w="0" w:type="dxa"/>
        </w:tblCellMar>
      </w:tblPr>
      <w:tblGrid>
        <w:gridCol w:w="795"/>
        <w:gridCol w:w="3543"/>
        <w:gridCol w:w="3499"/>
        <w:gridCol w:w="1267"/>
      </w:tblGrid>
      <w:tr w14:paraId="417064E5">
        <w:tblPrEx>
          <w:shd w:val="clear" w:color="auto" w:fill="FBFBFB"/>
          <w:tblCellMar>
            <w:top w:w="0" w:type="dxa"/>
            <w:left w:w="0" w:type="dxa"/>
            <w:bottom w:w="0" w:type="dxa"/>
            <w:right w:w="0" w:type="dxa"/>
          </w:tblCellMar>
        </w:tblPrEx>
        <w:trPr>
          <w:trHeight w:val="1094" w:hRule="atLeast"/>
          <w:tblHeader/>
          <w:jc w:val="center"/>
        </w:trPr>
        <w:tc>
          <w:tcPr>
            <w:tcW w:w="795"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460F0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54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473906">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499"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B4543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2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06ABF1C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FDAF94C">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11C77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B84959">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B8F712">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3E1B17B6">
            <w:pPr>
              <w:widowControl/>
              <w:spacing w:line="360" w:lineRule="auto"/>
              <w:contextualSpacing/>
              <w:jc w:val="center"/>
              <w:rPr>
                <w:rFonts w:ascii="宋体" w:hAnsi="宋体" w:cs="宋体"/>
                <w:color w:val="auto"/>
                <w:kern w:val="0"/>
                <w:sz w:val="24"/>
                <w:highlight w:val="none"/>
              </w:rPr>
            </w:pPr>
          </w:p>
        </w:tc>
      </w:tr>
      <w:tr w14:paraId="3FD87F47">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60C31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1DD25D">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94BC45">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2135598F">
            <w:pPr>
              <w:widowControl/>
              <w:spacing w:line="360" w:lineRule="auto"/>
              <w:contextualSpacing/>
              <w:jc w:val="center"/>
              <w:rPr>
                <w:rFonts w:ascii="宋体" w:hAnsi="宋体" w:cs="宋体"/>
                <w:color w:val="auto"/>
                <w:kern w:val="0"/>
                <w:sz w:val="24"/>
                <w:highlight w:val="none"/>
              </w:rPr>
            </w:pPr>
          </w:p>
        </w:tc>
      </w:tr>
      <w:tr w14:paraId="44CC5AB2">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D6268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BE4222">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8FA251">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2FB38BD9">
            <w:pPr>
              <w:widowControl/>
              <w:spacing w:line="360" w:lineRule="auto"/>
              <w:contextualSpacing/>
              <w:jc w:val="center"/>
              <w:rPr>
                <w:rFonts w:ascii="宋体" w:hAnsi="宋体" w:cs="宋体"/>
                <w:color w:val="auto"/>
                <w:kern w:val="0"/>
                <w:sz w:val="24"/>
                <w:highlight w:val="none"/>
              </w:rPr>
            </w:pPr>
          </w:p>
        </w:tc>
      </w:tr>
      <w:tr w14:paraId="4F51CB6E">
        <w:tblPrEx>
          <w:shd w:val="clear" w:color="auto" w:fill="FBFBFB"/>
          <w:tblCellMar>
            <w:top w:w="0" w:type="dxa"/>
            <w:left w:w="0" w:type="dxa"/>
            <w:bottom w:w="0" w:type="dxa"/>
            <w:right w:w="0" w:type="dxa"/>
          </w:tblCellMar>
        </w:tblPrEx>
        <w:trPr>
          <w:trHeight w:val="1110" w:hRule="atLeast"/>
          <w:jc w:val="center"/>
        </w:trPr>
        <w:tc>
          <w:tcPr>
            <w:tcW w:w="795"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749B5CB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4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6877C17F">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08A78A0D">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39BBE12C">
            <w:pPr>
              <w:widowControl/>
              <w:spacing w:line="360" w:lineRule="auto"/>
              <w:contextualSpacing/>
              <w:jc w:val="center"/>
              <w:rPr>
                <w:rFonts w:ascii="宋体" w:hAnsi="宋体" w:cs="宋体"/>
                <w:color w:val="auto"/>
                <w:kern w:val="0"/>
                <w:sz w:val="24"/>
                <w:highlight w:val="none"/>
              </w:rPr>
            </w:pPr>
          </w:p>
        </w:tc>
      </w:tr>
    </w:tbl>
    <w:p w14:paraId="2181F447">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3F7EF10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A8CE33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207B46E5">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3.供应商不存在直接管理关系的，则在“直接管理关系单位名称”填“无”。</w:t>
      </w:r>
    </w:p>
    <w:p w14:paraId="161F6E7D">
      <w:pPr>
        <w:spacing w:line="360" w:lineRule="auto"/>
        <w:contextualSpacing/>
        <w:jc w:val="left"/>
        <w:rPr>
          <w:rFonts w:ascii="宋体" w:hAnsi="宋体" w:cs="宋体"/>
          <w:color w:val="auto"/>
          <w:sz w:val="28"/>
          <w:szCs w:val="28"/>
          <w:highlight w:val="none"/>
        </w:rPr>
      </w:pPr>
    </w:p>
    <w:p w14:paraId="609DFC7C">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   </w:t>
      </w:r>
    </w:p>
    <w:p w14:paraId="653F2802">
      <w:pPr>
        <w:spacing w:line="480" w:lineRule="auto"/>
        <w:ind w:right="480" w:firstLine="1920" w:firstLineChars="8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7ED4809F">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36CD3AB7">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1A31706B">
      <w:pPr>
        <w:spacing w:line="320" w:lineRule="exact"/>
        <w:jc w:val="center"/>
        <w:rPr>
          <w:rFonts w:ascii="宋体" w:hAnsi="宋体" w:cs="宋体"/>
          <w:b/>
          <w:color w:val="auto"/>
          <w:sz w:val="32"/>
          <w:szCs w:val="32"/>
          <w:highlight w:val="none"/>
        </w:rPr>
      </w:pPr>
    </w:p>
    <w:p w14:paraId="2F9D7374">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14:paraId="0C7DB28E">
      <w:pPr>
        <w:spacing w:line="320" w:lineRule="exact"/>
        <w:jc w:val="center"/>
        <w:rPr>
          <w:rFonts w:ascii="宋体" w:hAnsi="宋体" w:cs="宋体"/>
          <w:color w:val="auto"/>
          <w:sz w:val="24"/>
          <w:szCs w:val="20"/>
          <w:highlight w:val="none"/>
        </w:rPr>
      </w:pPr>
    </w:p>
    <w:p w14:paraId="3845485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4EF77C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F3CD3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48C477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B8621F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3CFB85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2837FF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176FE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EB568A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1EF6347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27BF120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70EB569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5B3B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C06845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8FEC4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452710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E5F9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FEA104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FE8568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E1493E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C9E1E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4744AD">
      <w:pPr>
        <w:pStyle w:val="17"/>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7326222">
      <w:pPr>
        <w:pStyle w:val="17"/>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8CF9439">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647F8CD7">
      <w:pPr>
        <w:pStyle w:val="16"/>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45D661A">
      <w:pPr>
        <w:pStyle w:val="16"/>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2A5C9B7">
      <w:pPr>
        <w:pStyle w:val="16"/>
        <w:tabs>
          <w:tab w:val="left" w:pos="939"/>
        </w:tabs>
        <w:spacing w:line="360" w:lineRule="auto"/>
        <w:ind w:left="141" w:leftChars="67" w:firstLine="360" w:firstLineChars="150"/>
        <w:rPr>
          <w:rFonts w:ascii="宋体" w:hAnsi="宋体" w:cs="宋体"/>
          <w:color w:val="auto"/>
          <w:sz w:val="24"/>
          <w:highlight w:val="none"/>
        </w:rPr>
      </w:pPr>
    </w:p>
    <w:p w14:paraId="51ED50CA">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注：如为联合体竞标，盖章处须加盖联合体牵头人电子签章并由联合体牵头人法定代表人分别签字或者盖章或者电子签名，否则响应文件按无效处理。</w:t>
      </w:r>
    </w:p>
    <w:p w14:paraId="607F2050">
      <w:pPr>
        <w:spacing w:line="360" w:lineRule="auto"/>
        <w:contextualSpacing/>
        <w:jc w:val="left"/>
        <w:rPr>
          <w:rFonts w:ascii="宋体" w:hAnsi="宋体" w:cs="宋体"/>
          <w:color w:val="auto"/>
          <w:szCs w:val="21"/>
          <w:highlight w:val="none"/>
        </w:rPr>
      </w:pPr>
    </w:p>
    <w:p w14:paraId="35FF7700">
      <w:pPr>
        <w:spacing w:line="360" w:lineRule="auto"/>
        <w:contextualSpacing/>
        <w:jc w:val="left"/>
        <w:rPr>
          <w:rFonts w:ascii="宋体" w:hAnsi="宋体" w:cs="宋体"/>
          <w:color w:val="auto"/>
          <w:szCs w:val="21"/>
          <w:highlight w:val="none"/>
        </w:rPr>
      </w:pPr>
    </w:p>
    <w:p w14:paraId="5419670D">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3694EB84">
      <w:pPr>
        <w:spacing w:line="480" w:lineRule="auto"/>
        <w:ind w:right="480" w:firstLine="1680" w:firstLineChars="7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36FC02CC">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63C33D97">
      <w:pPr>
        <w:rPr>
          <w:rFonts w:ascii="宋体" w:hAnsi="宋体" w:cs="宋体"/>
          <w:color w:val="auto"/>
          <w:sz w:val="24"/>
          <w:highlight w:val="none"/>
        </w:rPr>
      </w:pPr>
      <w:r>
        <w:rPr>
          <w:rFonts w:hint="eastAsia" w:ascii="宋体" w:hAnsi="宋体" w:cs="宋体"/>
          <w:color w:val="auto"/>
          <w:sz w:val="24"/>
          <w:highlight w:val="none"/>
        </w:rPr>
        <w:br w:type="page"/>
      </w:r>
    </w:p>
    <w:p w14:paraId="4000D650">
      <w:pPr>
        <w:pStyle w:val="43"/>
        <w:rPr>
          <w:color w:val="auto"/>
          <w:highlight w:val="none"/>
        </w:rPr>
      </w:pPr>
    </w:p>
    <w:p w14:paraId="7C1862A7">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联合体竞标协议书</w:t>
      </w:r>
    </w:p>
    <w:p w14:paraId="785D5B01">
      <w:pPr>
        <w:pStyle w:val="8"/>
        <w:overflowPunct w:val="0"/>
        <w:spacing w:line="360" w:lineRule="auto"/>
        <w:ind w:firstLine="0"/>
        <w:rPr>
          <w:rFonts w:ascii="宋体" w:hAnsi="宋体"/>
          <w:color w:val="auto"/>
          <w:sz w:val="24"/>
          <w:szCs w:val="24"/>
          <w:highlight w:val="none"/>
        </w:rPr>
      </w:pPr>
    </w:p>
    <w:p w14:paraId="197F9E09">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（所有成员单位名称）自愿组成</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（联合体名称）联合体，共同参加</w:t>
      </w:r>
      <w:r>
        <w:rPr>
          <w:rFonts w:hint="eastAsia" w:ascii="宋体" w:hAnsi="宋体" w:cs="宋体"/>
          <w:color w:val="auto"/>
          <w:sz w:val="24"/>
          <w:highlight w:val="none"/>
          <w:u w:val="single"/>
        </w:rPr>
        <w:t xml:space="preserve">（项目名称）    </w:t>
      </w:r>
      <w:r>
        <w:rPr>
          <w:rFonts w:hint="eastAsia" w:ascii="宋体" w:hAnsi="宋体" w:cs="仿宋_GB2312"/>
          <w:color w:val="auto"/>
          <w:sz w:val="24"/>
          <w:szCs w:val="24"/>
          <w:highlight w:val="none"/>
        </w:rPr>
        <w:t>采购项目竞标。现就联合体竞标事宜订立如下协议。</w:t>
      </w:r>
    </w:p>
    <w:p w14:paraId="5B50C6B5">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（某成员单位名称）为</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（联合体名称）牵头人。</w:t>
      </w:r>
    </w:p>
    <w:p w14:paraId="6EA2F3E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46F4A1CE">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3F612C1">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w:t>
      </w:r>
    </w:p>
    <w:p w14:paraId="71F06236">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5DF3037D">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7F694A5B">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注：本协议书应附法定代表人身份证明书；有委托代理的，应附授权委托书（格式自拟）。</w:t>
      </w:r>
    </w:p>
    <w:p w14:paraId="4141AB06">
      <w:pPr>
        <w:pStyle w:val="8"/>
        <w:overflowPunct w:val="0"/>
        <w:spacing w:line="360" w:lineRule="auto"/>
        <w:ind w:firstLineChars="175"/>
        <w:contextualSpacing/>
        <w:rPr>
          <w:rFonts w:ascii="宋体" w:hAnsi="宋体" w:cs="仿宋_GB2312"/>
          <w:color w:val="auto"/>
          <w:sz w:val="24"/>
          <w:szCs w:val="24"/>
          <w:highlight w:val="none"/>
        </w:rPr>
      </w:pPr>
    </w:p>
    <w:p w14:paraId="14892B12">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7896430D">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465E01E9">
      <w:pPr>
        <w:pStyle w:val="8"/>
        <w:overflowPunct w:val="0"/>
        <w:spacing w:line="360" w:lineRule="auto"/>
        <w:ind w:firstLine="0"/>
        <w:contextualSpacing/>
        <w:rPr>
          <w:rFonts w:ascii="宋体" w:hAnsi="宋体" w:cs="仿宋_GB2312"/>
          <w:color w:val="auto"/>
          <w:sz w:val="24"/>
          <w:szCs w:val="24"/>
          <w:highlight w:val="none"/>
        </w:rPr>
      </w:pPr>
    </w:p>
    <w:p w14:paraId="5F1F1DF8">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3440979B">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0CE7D3CA">
      <w:pPr>
        <w:pStyle w:val="8"/>
        <w:overflowPunct w:val="0"/>
        <w:spacing w:line="360" w:lineRule="auto"/>
        <w:ind w:firstLine="0"/>
        <w:contextualSpacing/>
        <w:rPr>
          <w:rFonts w:ascii="宋体" w:hAnsi="宋体" w:cs="仿宋_GB2312"/>
          <w:color w:val="auto"/>
          <w:sz w:val="24"/>
          <w:szCs w:val="24"/>
          <w:highlight w:val="none"/>
        </w:rPr>
      </w:pPr>
    </w:p>
    <w:p w14:paraId="2A9970BD">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5788D5F">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82ADD7C">
      <w:pPr>
        <w:pStyle w:val="43"/>
        <w:ind w:firstLine="480"/>
        <w:rPr>
          <w:color w:val="auto"/>
          <w:highlight w:val="none"/>
        </w:rPr>
      </w:pPr>
      <w:r>
        <w:rPr>
          <w:rFonts w:hint="eastAsia" w:ascii="宋体" w:hAnsi="宋体" w:cs="仿宋_GB2312"/>
          <w:color w:val="auto"/>
          <w:sz w:val="24"/>
          <w:highlight w:val="none"/>
        </w:rPr>
        <w:t>……</w:t>
      </w:r>
      <w:r>
        <w:rPr>
          <w:rFonts w:ascii="宋体" w:hAnsi="宋体" w:cs="仿宋_GB2312"/>
          <w:color w:val="auto"/>
          <w:sz w:val="24"/>
          <w:highlight w:val="none"/>
        </w:rPr>
        <w:br w:type="page"/>
      </w:r>
    </w:p>
    <w:p w14:paraId="7D51FA69">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报价文件格式</w:t>
      </w:r>
    </w:p>
    <w:p w14:paraId="61AF883E">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50668BE6">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5F74E488">
      <w:pPr>
        <w:pStyle w:val="14"/>
        <w:rPr>
          <w:rFonts w:ascii="宋体" w:hAnsi="宋体" w:cs="宋体"/>
          <w:color w:val="auto"/>
          <w:sz w:val="24"/>
          <w:highlight w:val="none"/>
        </w:rPr>
      </w:pPr>
    </w:p>
    <w:p w14:paraId="1C9F7040">
      <w:pPr>
        <w:pStyle w:val="14"/>
        <w:rPr>
          <w:rFonts w:ascii="宋体" w:hAnsi="宋体" w:cs="宋体"/>
          <w:color w:val="auto"/>
          <w:sz w:val="24"/>
          <w:highlight w:val="none"/>
        </w:rPr>
      </w:pPr>
    </w:p>
    <w:p w14:paraId="5BC2F7D0">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电 子 响 应 文 件</w:t>
      </w:r>
    </w:p>
    <w:p w14:paraId="7A8C05BF">
      <w:pPr>
        <w:snapToGrid w:val="0"/>
        <w:spacing w:before="156" w:beforeLines="50" w:after="50"/>
        <w:rPr>
          <w:rFonts w:ascii="宋体" w:hAnsi="宋体" w:cs="宋体"/>
          <w:color w:val="auto"/>
          <w:sz w:val="24"/>
          <w:szCs w:val="20"/>
          <w:highlight w:val="none"/>
        </w:rPr>
      </w:pPr>
    </w:p>
    <w:p w14:paraId="0974B7C5">
      <w:pPr>
        <w:snapToGrid w:val="0"/>
        <w:spacing w:before="156" w:beforeLines="50" w:after="50"/>
        <w:rPr>
          <w:rFonts w:ascii="宋体" w:hAnsi="宋体" w:cs="宋体"/>
          <w:color w:val="auto"/>
          <w:sz w:val="24"/>
          <w:szCs w:val="20"/>
          <w:highlight w:val="none"/>
        </w:rPr>
      </w:pPr>
    </w:p>
    <w:p w14:paraId="0BACEF00">
      <w:pPr>
        <w:snapToGrid w:val="0"/>
        <w:spacing w:before="156" w:beforeLines="50" w:after="50"/>
        <w:ind w:firstLine="1040" w:firstLineChars="200"/>
        <w:jc w:val="center"/>
        <w:rPr>
          <w:rFonts w:ascii="宋体" w:hAnsi="宋体" w:cs="宋体"/>
          <w:bCs/>
          <w:color w:val="auto"/>
          <w:sz w:val="52"/>
          <w:szCs w:val="52"/>
          <w:highlight w:val="none"/>
        </w:rPr>
      </w:pPr>
      <w:r>
        <w:rPr>
          <w:rFonts w:hint="eastAsia" w:ascii="宋体" w:hAnsi="宋体" w:cs="宋体"/>
          <w:bCs/>
          <w:color w:val="auto"/>
          <w:sz w:val="52"/>
          <w:szCs w:val="52"/>
          <w:highlight w:val="none"/>
        </w:rPr>
        <w:t>报 价 文 件</w:t>
      </w:r>
    </w:p>
    <w:p w14:paraId="32D4B5E3">
      <w:pPr>
        <w:snapToGrid w:val="0"/>
        <w:spacing w:before="156" w:beforeLines="50" w:after="50"/>
        <w:jc w:val="center"/>
        <w:rPr>
          <w:rFonts w:ascii="宋体" w:hAnsi="宋体" w:cs="宋体"/>
          <w:bCs/>
          <w:color w:val="auto"/>
          <w:sz w:val="44"/>
          <w:szCs w:val="44"/>
          <w:highlight w:val="none"/>
        </w:rPr>
      </w:pPr>
    </w:p>
    <w:p w14:paraId="0874468F">
      <w:pPr>
        <w:snapToGrid w:val="0"/>
        <w:spacing w:before="156" w:beforeLines="50" w:after="50"/>
        <w:rPr>
          <w:rFonts w:ascii="宋体" w:hAnsi="宋体" w:cs="宋体"/>
          <w:bCs/>
          <w:color w:val="auto"/>
          <w:sz w:val="24"/>
          <w:szCs w:val="20"/>
          <w:highlight w:val="none"/>
        </w:rPr>
      </w:pPr>
    </w:p>
    <w:p w14:paraId="12B8BC89">
      <w:pPr>
        <w:snapToGrid w:val="0"/>
        <w:spacing w:before="156" w:beforeLines="50" w:after="50"/>
        <w:rPr>
          <w:rFonts w:ascii="宋体" w:hAnsi="宋体" w:cs="宋体"/>
          <w:bCs/>
          <w:color w:val="auto"/>
          <w:sz w:val="24"/>
          <w:szCs w:val="20"/>
          <w:highlight w:val="none"/>
        </w:rPr>
      </w:pPr>
    </w:p>
    <w:p w14:paraId="3BACA9E9">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446E8B9">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707B69D2">
      <w:pPr>
        <w:pStyle w:val="44"/>
        <w:ind w:left="0" w:leftChars="0" w:firstLine="1280" w:firstLineChars="400"/>
        <w:rPr>
          <w:color w:val="auto"/>
          <w:highlight w:val="none"/>
        </w:rPr>
      </w:pPr>
      <w:r>
        <w:rPr>
          <w:rFonts w:hint="eastAsia" w:ascii="宋体" w:hAnsi="宋体" w:cs="宋体"/>
          <w:bCs/>
          <w:color w:val="auto"/>
          <w:sz w:val="32"/>
          <w:szCs w:val="32"/>
          <w:highlight w:val="none"/>
        </w:rPr>
        <w:t>所竞分标</w:t>
      </w:r>
      <w:r>
        <w:rPr>
          <w:rFonts w:ascii="宋体" w:hAnsi="宋体" w:cs="宋体"/>
          <w:color w:val="auto"/>
          <w:spacing w:val="7"/>
          <w:sz w:val="31"/>
          <w:szCs w:val="31"/>
          <w:highlight w:val="none"/>
        </w:rPr>
        <w:t>（如有则填写，无分标时填写“无</w:t>
      </w:r>
      <w:r>
        <w:rPr>
          <w:rFonts w:ascii="宋体" w:hAnsi="宋体" w:cs="宋体"/>
          <w:color w:val="auto"/>
          <w:spacing w:val="-110"/>
          <w:sz w:val="31"/>
          <w:szCs w:val="31"/>
          <w:highlight w:val="none"/>
        </w:rPr>
        <w:t xml:space="preserve"> </w:t>
      </w:r>
      <w:r>
        <w:rPr>
          <w:rFonts w:ascii="宋体" w:hAnsi="宋体" w:cs="宋体"/>
          <w:color w:val="auto"/>
          <w:spacing w:val="7"/>
          <w:sz w:val="31"/>
          <w:szCs w:val="31"/>
          <w:highlight w:val="none"/>
        </w:rPr>
        <w:t>”或者留空</w:t>
      </w:r>
      <w:r>
        <w:rPr>
          <w:rFonts w:ascii="宋体" w:hAnsi="宋体" w:cs="宋体"/>
          <w:color w:val="auto"/>
          <w:spacing w:val="-22"/>
          <w:sz w:val="31"/>
          <w:szCs w:val="31"/>
          <w:highlight w:val="none"/>
        </w:rPr>
        <w:t>）</w:t>
      </w:r>
      <w:r>
        <w:rPr>
          <w:rFonts w:hint="eastAsia" w:ascii="宋体" w:hAnsi="宋体" w:cs="宋体"/>
          <w:bCs/>
          <w:color w:val="auto"/>
          <w:sz w:val="32"/>
          <w:szCs w:val="32"/>
          <w:highlight w:val="none"/>
        </w:rPr>
        <w:t>：</w:t>
      </w:r>
    </w:p>
    <w:p w14:paraId="51289265">
      <w:pPr>
        <w:rPr>
          <w:color w:val="auto"/>
          <w:highlight w:val="none"/>
        </w:rPr>
      </w:pPr>
    </w:p>
    <w:p w14:paraId="40F879B8">
      <w:pPr>
        <w:pStyle w:val="8"/>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C27C5D2">
      <w:pPr>
        <w:pStyle w:val="8"/>
        <w:snapToGrid w:val="0"/>
        <w:spacing w:before="50" w:after="50"/>
        <w:ind w:firstLine="720" w:firstLineChars="225"/>
        <w:rPr>
          <w:rFonts w:ascii="宋体" w:hAnsi="宋体" w:cs="宋体"/>
          <w:bCs/>
          <w:color w:val="auto"/>
          <w:sz w:val="32"/>
          <w:szCs w:val="32"/>
          <w:highlight w:val="none"/>
        </w:rPr>
      </w:pPr>
    </w:p>
    <w:p w14:paraId="6CD928CA">
      <w:pPr>
        <w:pStyle w:val="8"/>
        <w:snapToGrid w:val="0"/>
        <w:spacing w:before="50" w:after="50"/>
        <w:ind w:firstLine="1280" w:firstLineChars="400"/>
        <w:rPr>
          <w:rFonts w:ascii="宋体" w:hAnsi="宋体" w:cs="宋体"/>
          <w:bCs/>
          <w:color w:val="auto"/>
          <w:sz w:val="32"/>
          <w:szCs w:val="32"/>
          <w:highlight w:val="none"/>
        </w:rPr>
      </w:pPr>
    </w:p>
    <w:p w14:paraId="3CB9D840">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607A44A6">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7F122E6">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b/>
          <w:bCs/>
          <w:color w:val="auto"/>
          <w:sz w:val="32"/>
          <w:szCs w:val="32"/>
          <w:highlight w:val="none"/>
        </w:rPr>
        <w:t>2.报价文件目录</w:t>
      </w:r>
    </w:p>
    <w:p w14:paraId="51BD6875">
      <w:pPr>
        <w:rPr>
          <w:color w:val="auto"/>
          <w:highlight w:val="none"/>
        </w:rPr>
      </w:pPr>
      <w:r>
        <w:rPr>
          <w:rFonts w:hint="eastAsia" w:ascii="宋体" w:hAnsi="宋体" w:cs="宋体"/>
          <w:color w:val="auto"/>
          <w:sz w:val="28"/>
          <w:szCs w:val="28"/>
          <w:highlight w:val="none"/>
        </w:rPr>
        <w:t>根据磋商文件规定及供应商提供的材料自行编写目录（部分格式后附）。</w:t>
      </w:r>
    </w:p>
    <w:p w14:paraId="485ED824">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0003B89C">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竞标报价表</w:t>
      </w:r>
    </w:p>
    <w:p w14:paraId="09ACCCE5">
      <w:pPr>
        <w:spacing w:line="440" w:lineRule="exact"/>
        <w:jc w:val="center"/>
        <w:rPr>
          <w:rFonts w:ascii="宋体" w:hAnsi="宋体" w:cs="宋体"/>
          <w:bCs/>
          <w:color w:val="auto"/>
          <w:sz w:val="32"/>
          <w:szCs w:val="32"/>
          <w:highlight w:val="none"/>
        </w:rPr>
      </w:pPr>
    </w:p>
    <w:p w14:paraId="3AB1DC3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9C38B1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B59D9D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1AE238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1"/>
        <w:tblW w:w="498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170"/>
        <w:gridCol w:w="806"/>
        <w:gridCol w:w="873"/>
        <w:gridCol w:w="1441"/>
        <w:gridCol w:w="1260"/>
        <w:gridCol w:w="1360"/>
      </w:tblGrid>
      <w:tr w14:paraId="771B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right"/>
        </w:trPr>
        <w:tc>
          <w:tcPr>
            <w:tcW w:w="469" w:type="pct"/>
            <w:tcBorders>
              <w:top w:val="single" w:color="auto" w:sz="12" w:space="0"/>
              <w:left w:val="single" w:color="auto" w:sz="12" w:space="0"/>
              <w:bottom w:val="single" w:color="auto" w:sz="4" w:space="0"/>
              <w:right w:val="single" w:color="auto" w:sz="4" w:space="0"/>
            </w:tcBorders>
            <w:vAlign w:val="center"/>
          </w:tcPr>
          <w:p w14:paraId="1F7522A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2" w:type="pct"/>
            <w:tcBorders>
              <w:top w:val="single" w:color="auto" w:sz="12" w:space="0"/>
              <w:left w:val="single" w:color="auto" w:sz="4" w:space="0"/>
              <w:bottom w:val="single" w:color="auto" w:sz="4" w:space="0"/>
              <w:right w:val="single" w:color="auto" w:sz="4" w:space="0"/>
            </w:tcBorders>
            <w:vAlign w:val="center"/>
          </w:tcPr>
          <w:p w14:paraId="44ECEF3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标的（服务）名称</w:t>
            </w:r>
          </w:p>
        </w:tc>
        <w:tc>
          <w:tcPr>
            <w:tcW w:w="410" w:type="pct"/>
            <w:tcBorders>
              <w:top w:val="single" w:color="auto" w:sz="12" w:space="0"/>
              <w:left w:val="single" w:color="auto" w:sz="4" w:space="0"/>
              <w:bottom w:val="single" w:color="auto" w:sz="4" w:space="0"/>
              <w:right w:val="single" w:color="auto" w:sz="4" w:space="0"/>
            </w:tcBorders>
            <w:vAlign w:val="center"/>
          </w:tcPr>
          <w:p w14:paraId="4BAF522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444" w:type="pct"/>
            <w:tcBorders>
              <w:top w:val="single" w:color="auto" w:sz="12" w:space="0"/>
              <w:left w:val="single" w:color="auto" w:sz="4" w:space="0"/>
              <w:bottom w:val="single" w:color="auto" w:sz="4" w:space="0"/>
              <w:right w:val="single" w:color="auto" w:sz="4" w:space="0"/>
            </w:tcBorders>
            <w:vAlign w:val="center"/>
          </w:tcPr>
          <w:p w14:paraId="3570C06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733" w:type="pct"/>
            <w:tcBorders>
              <w:top w:val="single" w:color="auto" w:sz="12" w:space="0"/>
              <w:left w:val="single" w:color="auto" w:sz="4" w:space="0"/>
              <w:bottom w:val="single" w:color="auto" w:sz="4" w:space="0"/>
              <w:right w:val="single" w:color="auto" w:sz="4" w:space="0"/>
            </w:tcBorders>
            <w:vAlign w:val="center"/>
          </w:tcPr>
          <w:p w14:paraId="1BEE053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641" w:type="pct"/>
            <w:tcBorders>
              <w:top w:val="single" w:color="auto" w:sz="12" w:space="0"/>
              <w:left w:val="single" w:color="auto" w:sz="4" w:space="0"/>
              <w:bottom w:val="single" w:color="auto" w:sz="4" w:space="0"/>
              <w:right w:val="single" w:color="auto" w:sz="4" w:space="0"/>
            </w:tcBorders>
            <w:vAlign w:val="center"/>
          </w:tcPr>
          <w:p w14:paraId="631791D9">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688" w:type="pct"/>
            <w:tcBorders>
              <w:top w:val="single" w:color="auto" w:sz="12" w:space="0"/>
              <w:left w:val="single" w:color="auto" w:sz="4" w:space="0"/>
              <w:bottom w:val="single" w:color="auto" w:sz="4" w:space="0"/>
              <w:right w:val="single" w:color="auto" w:sz="12" w:space="0"/>
            </w:tcBorders>
            <w:vAlign w:val="center"/>
          </w:tcPr>
          <w:p w14:paraId="75D921E4">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3897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7883454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1612" w:type="pct"/>
            <w:tcBorders>
              <w:top w:val="single" w:color="auto" w:sz="4" w:space="0"/>
              <w:left w:val="single" w:color="auto" w:sz="4" w:space="0"/>
              <w:bottom w:val="single" w:color="auto" w:sz="4" w:space="0"/>
              <w:right w:val="single" w:color="auto" w:sz="4" w:space="0"/>
            </w:tcBorders>
            <w:vAlign w:val="center"/>
          </w:tcPr>
          <w:p w14:paraId="6EB27F6B">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2A720700">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5D2743C7">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2A229155">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6C411B85">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3F68FC51">
            <w:pPr>
              <w:spacing w:line="360" w:lineRule="auto"/>
              <w:contextualSpacing/>
              <w:rPr>
                <w:rFonts w:ascii="宋体" w:hAnsi="宋体" w:cs="宋体"/>
                <w:color w:val="auto"/>
                <w:sz w:val="24"/>
                <w:highlight w:val="none"/>
              </w:rPr>
            </w:pPr>
          </w:p>
        </w:tc>
      </w:tr>
      <w:tr w14:paraId="2075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436D544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2</w:t>
            </w:r>
          </w:p>
        </w:tc>
        <w:tc>
          <w:tcPr>
            <w:tcW w:w="1612" w:type="pct"/>
            <w:tcBorders>
              <w:top w:val="single" w:color="auto" w:sz="4" w:space="0"/>
              <w:left w:val="single" w:color="auto" w:sz="4" w:space="0"/>
              <w:bottom w:val="single" w:color="auto" w:sz="4" w:space="0"/>
              <w:right w:val="single" w:color="auto" w:sz="4" w:space="0"/>
            </w:tcBorders>
            <w:vAlign w:val="center"/>
          </w:tcPr>
          <w:p w14:paraId="289C71B3">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0F36888">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1404F6CA">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7A470337">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4586EE94">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31AC9283">
            <w:pPr>
              <w:spacing w:line="360" w:lineRule="auto"/>
              <w:contextualSpacing/>
              <w:rPr>
                <w:rFonts w:ascii="宋体" w:hAnsi="宋体" w:cs="宋体"/>
                <w:color w:val="auto"/>
                <w:sz w:val="24"/>
                <w:highlight w:val="none"/>
              </w:rPr>
            </w:pPr>
          </w:p>
        </w:tc>
      </w:tr>
      <w:tr w14:paraId="3316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5F1389E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1612" w:type="pct"/>
            <w:tcBorders>
              <w:top w:val="single" w:color="auto" w:sz="4" w:space="0"/>
              <w:left w:val="single" w:color="auto" w:sz="4" w:space="0"/>
              <w:bottom w:val="single" w:color="auto" w:sz="4" w:space="0"/>
              <w:right w:val="single" w:color="auto" w:sz="4" w:space="0"/>
            </w:tcBorders>
            <w:vAlign w:val="center"/>
          </w:tcPr>
          <w:p w14:paraId="0D180C0D">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89D6CBC">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4AAA3ACA">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6285632E">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6F512872">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1372F9CE">
            <w:pPr>
              <w:spacing w:line="360" w:lineRule="auto"/>
              <w:contextualSpacing/>
              <w:rPr>
                <w:rFonts w:ascii="宋体" w:hAnsi="宋体" w:cs="宋体"/>
                <w:color w:val="auto"/>
                <w:sz w:val="24"/>
                <w:highlight w:val="none"/>
              </w:rPr>
            </w:pPr>
          </w:p>
        </w:tc>
      </w:tr>
      <w:tr w14:paraId="3F6D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right"/>
        </w:trPr>
        <w:tc>
          <w:tcPr>
            <w:tcW w:w="5000" w:type="pct"/>
            <w:gridSpan w:val="7"/>
            <w:tcBorders>
              <w:top w:val="single" w:color="auto" w:sz="4" w:space="0"/>
              <w:left w:val="single" w:color="auto" w:sz="12" w:space="0"/>
              <w:bottom w:val="single" w:color="auto" w:sz="12" w:space="0"/>
              <w:right w:val="single" w:color="auto" w:sz="12" w:space="0"/>
            </w:tcBorders>
            <w:vAlign w:val="center"/>
          </w:tcPr>
          <w:p w14:paraId="5090410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元 </w:t>
            </w:r>
            <w:r>
              <w:rPr>
                <w:rFonts w:hint="eastAsia" w:ascii="宋体" w:hAnsi="宋体" w:cs="宋体"/>
                <w:color w:val="auto"/>
                <w:sz w:val="24"/>
                <w:highlight w:val="none"/>
              </w:rPr>
              <w:t>）</w:t>
            </w:r>
          </w:p>
        </w:tc>
      </w:tr>
    </w:tbl>
    <w:p w14:paraId="35AE31D4">
      <w:pPr>
        <w:spacing w:line="42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156693D7">
      <w:pPr>
        <w:spacing w:line="42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1.供应商的报价表必须加盖供应商电子签章并由法定代表人或者委托代理人签字或者盖章或者电子签名，</w:t>
      </w:r>
      <w:r>
        <w:rPr>
          <w:rFonts w:hint="eastAsia" w:ascii="宋体" w:hAnsi="宋体" w:cs="宋体"/>
          <w:b/>
          <w:color w:val="auto"/>
          <w:sz w:val="24"/>
          <w:highlight w:val="none"/>
        </w:rPr>
        <w:t>否则其响应文件按无效处理</w:t>
      </w:r>
      <w:r>
        <w:rPr>
          <w:rFonts w:hint="eastAsia" w:ascii="宋体" w:hAnsi="宋体" w:cs="宋体"/>
          <w:color w:val="auto"/>
          <w:sz w:val="24"/>
          <w:highlight w:val="none"/>
        </w:rPr>
        <w:t>。</w:t>
      </w:r>
    </w:p>
    <w:p w14:paraId="1C3C8A77">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报价一经涂改，应在涂改处加盖供应商公章或者加盖电子签章或者由法定代表人或者授权委托人签字（或者电子签名）</w:t>
      </w:r>
      <w:r>
        <w:rPr>
          <w:rFonts w:hint="eastAsia" w:ascii="宋体" w:hAnsi="宋体" w:cs="宋体"/>
          <w:b/>
          <w:color w:val="auto"/>
          <w:sz w:val="24"/>
          <w:highlight w:val="none"/>
        </w:rPr>
        <w:t>，否则其响应文件按无效处理。</w:t>
      </w:r>
    </w:p>
    <w:p w14:paraId="361FB878">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33FCA3C9">
      <w:pPr>
        <w:spacing w:line="420" w:lineRule="exact"/>
        <w:ind w:firstLine="480" w:firstLineChars="200"/>
        <w:contextualSpacing/>
        <w:jc w:val="left"/>
        <w:rPr>
          <w:rFonts w:ascii="宋体" w:hAnsi="宋体" w:cs="宋体"/>
          <w:b/>
          <w:color w:val="auto"/>
          <w:spacing w:val="-6"/>
          <w:sz w:val="24"/>
          <w:highlight w:val="none"/>
        </w:rPr>
      </w:pPr>
      <w:r>
        <w:rPr>
          <w:rFonts w:hint="eastAsia" w:ascii="宋体" w:hAnsi="宋体" w:cs="宋体"/>
          <w:color w:val="auto"/>
          <w:sz w:val="24"/>
          <w:highlight w:val="none"/>
        </w:rPr>
        <w:t>4.如为联合体竞标，</w:t>
      </w:r>
      <w:r>
        <w:rPr>
          <w:rFonts w:hint="eastAsia" w:ascii="宋体" w:hAnsi="宋体" w:cs="宋体"/>
          <w:color w:val="auto"/>
          <w:spacing w:val="-6"/>
          <w:sz w:val="24"/>
          <w:highlight w:val="none"/>
        </w:rPr>
        <w:t>盖章处须加盖联合体牵头人电子签章</w:t>
      </w:r>
      <w:r>
        <w:rPr>
          <w:rFonts w:hint="eastAsia" w:ascii="宋体" w:hAnsi="宋体" w:cs="宋体"/>
          <w:color w:val="auto"/>
          <w:sz w:val="24"/>
          <w:highlight w:val="none"/>
        </w:rPr>
        <w:t>，</w:t>
      </w:r>
      <w:r>
        <w:rPr>
          <w:rFonts w:hint="eastAsia" w:ascii="宋体" w:hAnsi="宋体" w:cs="宋体"/>
          <w:b/>
          <w:color w:val="auto"/>
          <w:sz w:val="24"/>
          <w:highlight w:val="none"/>
        </w:rPr>
        <w:t>否则其响应文件按无效处理</w:t>
      </w:r>
      <w:r>
        <w:rPr>
          <w:rFonts w:hint="eastAsia" w:ascii="宋体" w:hAnsi="宋体" w:cs="宋体"/>
          <w:b/>
          <w:color w:val="auto"/>
          <w:spacing w:val="-6"/>
          <w:sz w:val="24"/>
          <w:highlight w:val="none"/>
        </w:rPr>
        <w:t>。</w:t>
      </w:r>
    </w:p>
    <w:p w14:paraId="098862C8">
      <w:pPr>
        <w:pStyle w:val="2"/>
        <w:spacing w:line="420" w:lineRule="exact"/>
        <w:ind w:left="0"/>
        <w:rPr>
          <w:rFonts w:ascii="宋体" w:hAnsi="宋体" w:cs="宋体"/>
          <w:color w:val="auto"/>
          <w:sz w:val="24"/>
          <w:highlight w:val="none"/>
        </w:rPr>
      </w:pPr>
    </w:p>
    <w:p w14:paraId="7F1922CE">
      <w:pPr>
        <w:spacing w:line="360" w:lineRule="auto"/>
        <w:ind w:right="-817" w:rightChars="-389" w:firstLine="2880" w:firstLineChars="1200"/>
        <w:contextualSpacing/>
        <w:rPr>
          <w:rFonts w:ascii="宋体" w:hAnsi="宋体" w:cs="宋体"/>
          <w:color w:val="auto"/>
          <w:sz w:val="24"/>
          <w:highlight w:val="none"/>
        </w:rPr>
      </w:pPr>
    </w:p>
    <w:p w14:paraId="59BAD910">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6F659EF8">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33C001F7">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401A937A">
      <w:pPr>
        <w:rPr>
          <w:rFonts w:ascii="宋体" w:hAnsi="宋体" w:cs="宋体"/>
          <w:color w:val="auto"/>
          <w:sz w:val="32"/>
          <w:szCs w:val="32"/>
          <w:highlight w:val="none"/>
        </w:rPr>
      </w:pPr>
      <w:r>
        <w:rPr>
          <w:rFonts w:hint="eastAsia" w:ascii="宋体" w:hAnsi="宋体" w:cs="宋体"/>
          <w:color w:val="auto"/>
          <w:sz w:val="24"/>
          <w:highlight w:val="none"/>
        </w:rPr>
        <w:br w:type="page"/>
      </w:r>
    </w:p>
    <w:p w14:paraId="5F20FD3B">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t>三、</w:t>
      </w:r>
      <w:r>
        <w:rPr>
          <w:rFonts w:hint="eastAsia" w:ascii="宋体" w:hAnsi="宋体" w:cs="宋体"/>
          <w:b/>
          <w:color w:val="auto"/>
          <w:sz w:val="32"/>
          <w:szCs w:val="32"/>
          <w:highlight w:val="none"/>
        </w:rPr>
        <w:t>商务技术文件格式</w:t>
      </w:r>
    </w:p>
    <w:p w14:paraId="7A3C3CEA">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11B591FD">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202332BC">
      <w:pPr>
        <w:pStyle w:val="14"/>
        <w:rPr>
          <w:rFonts w:ascii="宋体" w:hAnsi="宋体" w:cs="宋体"/>
          <w:color w:val="auto"/>
          <w:sz w:val="24"/>
          <w:highlight w:val="none"/>
        </w:rPr>
      </w:pPr>
    </w:p>
    <w:p w14:paraId="6879BA0F">
      <w:pPr>
        <w:pStyle w:val="14"/>
        <w:rPr>
          <w:rFonts w:ascii="宋体" w:hAnsi="宋体" w:cs="宋体"/>
          <w:color w:val="auto"/>
          <w:sz w:val="24"/>
          <w:highlight w:val="none"/>
        </w:rPr>
      </w:pPr>
    </w:p>
    <w:p w14:paraId="6408DCBD">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电 子 响 应 文 件</w:t>
      </w:r>
    </w:p>
    <w:p w14:paraId="1EEB85D2">
      <w:pPr>
        <w:snapToGrid w:val="0"/>
        <w:spacing w:before="156" w:beforeLines="50" w:after="50"/>
        <w:rPr>
          <w:rFonts w:ascii="宋体" w:hAnsi="宋体" w:cs="宋体"/>
          <w:color w:val="auto"/>
          <w:sz w:val="24"/>
          <w:szCs w:val="20"/>
          <w:highlight w:val="none"/>
        </w:rPr>
      </w:pPr>
    </w:p>
    <w:p w14:paraId="423E51D9">
      <w:pPr>
        <w:snapToGrid w:val="0"/>
        <w:spacing w:before="156" w:beforeLines="50" w:after="50"/>
        <w:rPr>
          <w:rFonts w:ascii="宋体" w:hAnsi="宋体" w:cs="宋体"/>
          <w:color w:val="auto"/>
          <w:sz w:val="24"/>
          <w:szCs w:val="20"/>
          <w:highlight w:val="none"/>
        </w:rPr>
      </w:pPr>
    </w:p>
    <w:p w14:paraId="65C6981A">
      <w:pPr>
        <w:snapToGrid w:val="0"/>
        <w:spacing w:before="156" w:beforeLines="50" w:after="50"/>
        <w:ind w:firstLine="2600" w:firstLineChars="500"/>
        <w:rPr>
          <w:rFonts w:ascii="宋体" w:hAnsi="宋体" w:cs="宋体"/>
          <w:bCs/>
          <w:color w:val="auto"/>
          <w:sz w:val="52"/>
          <w:szCs w:val="52"/>
          <w:highlight w:val="none"/>
        </w:rPr>
      </w:pPr>
      <w:r>
        <w:rPr>
          <w:rFonts w:hint="eastAsia" w:ascii="宋体" w:hAnsi="宋体" w:cs="宋体"/>
          <w:bCs/>
          <w:color w:val="auto"/>
          <w:sz w:val="52"/>
          <w:szCs w:val="52"/>
          <w:highlight w:val="none"/>
        </w:rPr>
        <w:t>商 务、技 术 文 件</w:t>
      </w:r>
    </w:p>
    <w:p w14:paraId="31A66930">
      <w:pPr>
        <w:snapToGrid w:val="0"/>
        <w:spacing w:before="156" w:beforeLines="50" w:after="50"/>
        <w:jc w:val="center"/>
        <w:rPr>
          <w:rFonts w:ascii="宋体" w:hAnsi="宋体" w:cs="宋体"/>
          <w:bCs/>
          <w:color w:val="auto"/>
          <w:sz w:val="44"/>
          <w:szCs w:val="44"/>
          <w:highlight w:val="none"/>
        </w:rPr>
      </w:pPr>
    </w:p>
    <w:p w14:paraId="7F6A6B54">
      <w:pPr>
        <w:snapToGrid w:val="0"/>
        <w:spacing w:before="156" w:beforeLines="50" w:after="50"/>
        <w:rPr>
          <w:rFonts w:ascii="宋体" w:hAnsi="宋体" w:cs="宋体"/>
          <w:bCs/>
          <w:color w:val="auto"/>
          <w:sz w:val="24"/>
          <w:szCs w:val="20"/>
          <w:highlight w:val="none"/>
        </w:rPr>
      </w:pPr>
    </w:p>
    <w:p w14:paraId="302C989F">
      <w:pPr>
        <w:snapToGrid w:val="0"/>
        <w:spacing w:before="156" w:beforeLines="50" w:after="50"/>
        <w:rPr>
          <w:rFonts w:ascii="宋体" w:hAnsi="宋体" w:cs="宋体"/>
          <w:bCs/>
          <w:color w:val="auto"/>
          <w:sz w:val="24"/>
          <w:szCs w:val="20"/>
          <w:highlight w:val="none"/>
        </w:rPr>
      </w:pPr>
    </w:p>
    <w:p w14:paraId="7CC464E5">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4D958E3">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45AC94F">
      <w:pPr>
        <w:pStyle w:val="44"/>
        <w:ind w:left="0" w:leftChars="0" w:firstLine="1280" w:firstLineChars="400"/>
        <w:rPr>
          <w:color w:val="auto"/>
          <w:highlight w:val="none"/>
        </w:rPr>
      </w:pPr>
      <w:r>
        <w:rPr>
          <w:rFonts w:hint="eastAsia" w:ascii="宋体" w:hAnsi="宋体" w:cs="宋体"/>
          <w:bCs/>
          <w:color w:val="auto"/>
          <w:sz w:val="32"/>
          <w:szCs w:val="32"/>
          <w:highlight w:val="none"/>
        </w:rPr>
        <w:t>所竞分标</w:t>
      </w:r>
      <w:r>
        <w:rPr>
          <w:rFonts w:ascii="宋体" w:hAnsi="宋体" w:cs="宋体"/>
          <w:color w:val="auto"/>
          <w:spacing w:val="7"/>
          <w:sz w:val="31"/>
          <w:szCs w:val="31"/>
          <w:highlight w:val="none"/>
        </w:rPr>
        <w:t>（如有则填写，无分标时填写“无</w:t>
      </w:r>
      <w:r>
        <w:rPr>
          <w:rFonts w:ascii="宋体" w:hAnsi="宋体" w:cs="宋体"/>
          <w:color w:val="auto"/>
          <w:spacing w:val="-110"/>
          <w:sz w:val="31"/>
          <w:szCs w:val="31"/>
          <w:highlight w:val="none"/>
        </w:rPr>
        <w:t xml:space="preserve"> </w:t>
      </w:r>
      <w:r>
        <w:rPr>
          <w:rFonts w:ascii="宋体" w:hAnsi="宋体" w:cs="宋体"/>
          <w:color w:val="auto"/>
          <w:spacing w:val="7"/>
          <w:sz w:val="31"/>
          <w:szCs w:val="31"/>
          <w:highlight w:val="none"/>
        </w:rPr>
        <w:t>”或者留空</w:t>
      </w:r>
      <w:r>
        <w:rPr>
          <w:rFonts w:ascii="宋体" w:hAnsi="宋体" w:cs="宋体"/>
          <w:color w:val="auto"/>
          <w:spacing w:val="-22"/>
          <w:sz w:val="31"/>
          <w:szCs w:val="31"/>
          <w:highlight w:val="none"/>
        </w:rPr>
        <w:t>）</w:t>
      </w:r>
      <w:r>
        <w:rPr>
          <w:rFonts w:hint="eastAsia" w:ascii="宋体" w:hAnsi="宋体" w:cs="宋体"/>
          <w:bCs/>
          <w:color w:val="auto"/>
          <w:sz w:val="32"/>
          <w:szCs w:val="32"/>
          <w:highlight w:val="none"/>
        </w:rPr>
        <w:t>：</w:t>
      </w:r>
    </w:p>
    <w:p w14:paraId="6E594C2B">
      <w:pPr>
        <w:rPr>
          <w:color w:val="auto"/>
          <w:highlight w:val="none"/>
        </w:rPr>
      </w:pPr>
    </w:p>
    <w:p w14:paraId="147689B8">
      <w:pPr>
        <w:pStyle w:val="8"/>
        <w:snapToGrid w:val="0"/>
        <w:spacing w:line="36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FF23E9B">
      <w:pPr>
        <w:pStyle w:val="8"/>
        <w:snapToGrid w:val="0"/>
        <w:spacing w:before="50" w:after="50"/>
        <w:ind w:firstLine="720" w:firstLineChars="225"/>
        <w:rPr>
          <w:rFonts w:ascii="宋体" w:hAnsi="宋体" w:cs="宋体"/>
          <w:bCs/>
          <w:color w:val="auto"/>
          <w:sz w:val="32"/>
          <w:szCs w:val="32"/>
          <w:highlight w:val="none"/>
        </w:rPr>
      </w:pPr>
    </w:p>
    <w:p w14:paraId="211CBFB7">
      <w:pPr>
        <w:pStyle w:val="8"/>
        <w:snapToGrid w:val="0"/>
        <w:spacing w:before="50" w:after="50"/>
        <w:ind w:firstLine="1280" w:firstLineChars="400"/>
        <w:rPr>
          <w:rFonts w:ascii="宋体" w:hAnsi="宋体" w:cs="宋体"/>
          <w:bCs/>
          <w:color w:val="auto"/>
          <w:sz w:val="32"/>
          <w:szCs w:val="32"/>
          <w:highlight w:val="none"/>
        </w:rPr>
      </w:pPr>
    </w:p>
    <w:p w14:paraId="4A3D1778">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20FD1E01">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2.商务技术文件目录</w:t>
      </w:r>
    </w:p>
    <w:p w14:paraId="752DB6C6">
      <w:pPr>
        <w:spacing w:line="520" w:lineRule="exact"/>
        <w:jc w:val="center"/>
        <w:rPr>
          <w:rFonts w:ascii="宋体" w:hAnsi="宋体" w:cs="宋体"/>
          <w:b/>
          <w:bCs/>
          <w:color w:val="auto"/>
          <w:sz w:val="32"/>
          <w:szCs w:val="32"/>
          <w:highlight w:val="none"/>
        </w:rPr>
      </w:pPr>
      <w:r>
        <w:rPr>
          <w:rFonts w:hint="eastAsia" w:ascii="宋体" w:hAnsi="宋体" w:cs="宋体"/>
          <w:color w:val="auto"/>
          <w:sz w:val="28"/>
          <w:szCs w:val="28"/>
          <w:highlight w:val="none"/>
        </w:rPr>
        <w:t>根据磋商文件规定及供应商提供的材料自行编写目录（部分格式后附）。</w:t>
      </w:r>
      <w:r>
        <w:rPr>
          <w:rFonts w:hint="eastAsia" w:ascii="宋体" w:hAnsi="宋体" w:cs="宋体"/>
          <w:b/>
          <w:bCs/>
          <w:color w:val="auto"/>
          <w:sz w:val="32"/>
          <w:szCs w:val="32"/>
          <w:highlight w:val="none"/>
        </w:rPr>
        <w:br w:type="page"/>
      </w:r>
    </w:p>
    <w:p w14:paraId="470BA4F0">
      <w:pPr>
        <w:rPr>
          <w:color w:val="auto"/>
          <w:highlight w:val="none"/>
        </w:rPr>
      </w:pPr>
    </w:p>
    <w:p w14:paraId="066B3506">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53A3ED2F">
      <w:pPr>
        <w:rPr>
          <w:color w:val="auto"/>
          <w:highlight w:val="none"/>
        </w:rPr>
      </w:pPr>
    </w:p>
    <w:p w14:paraId="0169AD83">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8533B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405996C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716C3F6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63F14F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082E8A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4AC2EA0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3C16C93A">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2F4E31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2F71BF7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407E0F4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8236E6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AFC27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904FE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75CB129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66FE11DD">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328A04E9">
      <w:pPr>
        <w:spacing w:line="360" w:lineRule="auto"/>
        <w:contextualSpacing/>
        <w:rPr>
          <w:rFonts w:ascii="宋体" w:hAnsi="宋体" w:cs="宋体"/>
          <w:color w:val="auto"/>
          <w:sz w:val="24"/>
          <w:highlight w:val="none"/>
        </w:rPr>
      </w:pPr>
    </w:p>
    <w:p w14:paraId="2BCF05D5">
      <w:pPr>
        <w:spacing w:line="360" w:lineRule="auto"/>
        <w:ind w:firstLine="5520" w:firstLineChars="2300"/>
        <w:contextualSpacing/>
        <w:rPr>
          <w:rFonts w:ascii="宋体" w:hAnsi="宋体" w:cs="宋体"/>
          <w:color w:val="auto"/>
          <w:sz w:val="24"/>
          <w:highlight w:val="none"/>
        </w:rPr>
      </w:pPr>
      <w:r>
        <w:rPr>
          <w:rFonts w:hint="eastAsia" w:ascii="宋体" w:hAnsi="宋体" w:cs="宋体"/>
          <w:color w:val="auto"/>
          <w:sz w:val="24"/>
          <w:highlight w:val="none"/>
        </w:rPr>
        <w:t>供应商（电子签章）：</w:t>
      </w:r>
    </w:p>
    <w:p w14:paraId="609DAED8">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5D2924DF">
      <w:pPr>
        <w:spacing w:line="520" w:lineRule="exact"/>
        <w:jc w:val="center"/>
        <w:rPr>
          <w:rFonts w:ascii="宋体" w:hAnsi="宋体" w:cs="宋体"/>
          <w:bCs/>
          <w:color w:val="auto"/>
          <w:sz w:val="44"/>
          <w:szCs w:val="44"/>
          <w:highlight w:val="none"/>
        </w:rPr>
      </w:pPr>
    </w:p>
    <w:p w14:paraId="68CD393A">
      <w:pPr>
        <w:spacing w:line="520" w:lineRule="exact"/>
        <w:jc w:val="center"/>
        <w:rPr>
          <w:rFonts w:ascii="宋体" w:hAnsi="宋体" w:cs="宋体"/>
          <w:bCs/>
          <w:color w:val="auto"/>
          <w:sz w:val="44"/>
          <w:szCs w:val="44"/>
          <w:highlight w:val="none"/>
        </w:rPr>
      </w:pPr>
    </w:p>
    <w:p w14:paraId="08D10E14">
      <w:pPr>
        <w:rPr>
          <w:color w:val="auto"/>
          <w:highlight w:val="none"/>
        </w:rPr>
      </w:pPr>
    </w:p>
    <w:p w14:paraId="596A24A4">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16488738">
      <w:pPr>
        <w:spacing w:line="360" w:lineRule="auto"/>
        <w:ind w:left="540"/>
        <w:contextualSpacing/>
        <w:rPr>
          <w:rFonts w:ascii="宋体" w:hAnsi="宋体" w:cs="宋体"/>
          <w:color w:val="auto"/>
          <w:sz w:val="32"/>
          <w:szCs w:val="32"/>
          <w:highlight w:val="none"/>
        </w:rPr>
      </w:pPr>
    </w:p>
    <w:p w14:paraId="60DB34AA">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57895A67">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1E065EF">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F2BC379">
      <w:pPr>
        <w:spacing w:line="48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DBE3848">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4D9CCF3A">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436E69C1">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AB8D581">
      <w:pPr>
        <w:spacing w:line="360" w:lineRule="auto"/>
        <w:ind w:left="540"/>
        <w:contextualSpacing/>
        <w:rPr>
          <w:rFonts w:ascii="宋体" w:hAnsi="宋体" w:cs="宋体"/>
          <w:color w:val="auto"/>
          <w:sz w:val="24"/>
          <w:highlight w:val="none"/>
        </w:rPr>
      </w:pPr>
    </w:p>
    <w:p w14:paraId="08C35B3C">
      <w:pPr>
        <w:spacing w:line="360" w:lineRule="auto"/>
        <w:contextualSpacing/>
        <w:rPr>
          <w:rFonts w:ascii="宋体" w:hAnsi="宋体" w:cs="宋体"/>
          <w:color w:val="auto"/>
          <w:sz w:val="24"/>
          <w:highlight w:val="none"/>
        </w:rPr>
      </w:pPr>
    </w:p>
    <w:p w14:paraId="5EB2A984">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560A51D">
      <w:pPr>
        <w:spacing w:line="360" w:lineRule="auto"/>
        <w:ind w:left="540"/>
        <w:contextualSpacing/>
        <w:rPr>
          <w:rFonts w:ascii="宋体" w:hAnsi="宋体" w:cs="宋体"/>
          <w:color w:val="auto"/>
          <w:sz w:val="24"/>
          <w:highlight w:val="none"/>
        </w:rPr>
      </w:pPr>
    </w:p>
    <w:p w14:paraId="408A4666">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444F2252">
      <w:pPr>
        <w:spacing w:line="360" w:lineRule="auto"/>
        <w:ind w:firstLine="5520" w:firstLineChars="2300"/>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498DD01">
      <w:pPr>
        <w:spacing w:line="360" w:lineRule="auto"/>
        <w:contextualSpacing/>
        <w:jc w:val="center"/>
        <w:rPr>
          <w:rFonts w:ascii="宋体" w:hAnsi="宋体" w:cs="宋体"/>
          <w:b/>
          <w:color w:val="auto"/>
          <w:sz w:val="24"/>
          <w:highlight w:val="none"/>
        </w:rPr>
      </w:pPr>
    </w:p>
    <w:p w14:paraId="6B62742A">
      <w:pPr>
        <w:spacing w:line="360" w:lineRule="auto"/>
        <w:contextualSpacing/>
        <w:jc w:val="left"/>
        <w:rPr>
          <w:rFonts w:ascii="宋体" w:hAnsi="宋体" w:cs="宋体"/>
          <w:color w:val="auto"/>
          <w:sz w:val="24"/>
          <w:highlight w:val="none"/>
        </w:rPr>
      </w:pPr>
    </w:p>
    <w:p w14:paraId="42F038D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14:paraId="76EC7A18">
      <w:pPr>
        <w:adjustRightInd w:val="0"/>
        <w:snapToGrid w:val="0"/>
        <w:spacing w:line="300" w:lineRule="auto"/>
        <w:jc w:val="left"/>
        <w:rPr>
          <w:rFonts w:ascii="宋体" w:hAnsi="宋体" w:cs="宋体"/>
          <w:b/>
          <w:color w:val="auto"/>
          <w:szCs w:val="21"/>
          <w:highlight w:val="none"/>
        </w:rPr>
      </w:pPr>
    </w:p>
    <w:p w14:paraId="0121226A">
      <w:pPr>
        <w:rPr>
          <w:color w:val="auto"/>
          <w:highlight w:val="none"/>
        </w:rPr>
      </w:pPr>
      <w:r>
        <w:rPr>
          <w:rFonts w:hint="eastAsia" w:ascii="宋体" w:hAnsi="宋体" w:cs="宋体"/>
          <w:color w:val="auto"/>
          <w:szCs w:val="44"/>
          <w:highlight w:val="none"/>
        </w:rPr>
        <w:br w:type="page"/>
      </w:r>
      <w:r>
        <w:rPr>
          <w:rFonts w:hint="eastAsia"/>
          <w:color w:val="auto"/>
          <w:highlight w:val="none"/>
        </w:rPr>
        <w:t xml:space="preserve"> </w:t>
      </w:r>
    </w:p>
    <w:p w14:paraId="4C0B12EB">
      <w:pPr>
        <w:spacing w:line="520" w:lineRule="exact"/>
        <w:jc w:val="center"/>
        <w:rPr>
          <w:rFonts w:ascii="宋体" w:hAnsi="宋体" w:cs="宋体"/>
          <w:b/>
          <w:bCs/>
          <w:color w:val="auto"/>
          <w:sz w:val="32"/>
          <w:szCs w:val="32"/>
          <w:highlight w:val="none"/>
        </w:rPr>
      </w:pPr>
      <w:bookmarkStart w:id="78" w:name="_Hlk65853643"/>
      <w:r>
        <w:rPr>
          <w:rFonts w:hint="eastAsia" w:ascii="宋体" w:hAnsi="宋体" w:cs="宋体"/>
          <w:b/>
          <w:bCs/>
          <w:color w:val="auto"/>
          <w:sz w:val="32"/>
          <w:szCs w:val="32"/>
          <w:highlight w:val="none"/>
        </w:rPr>
        <w:t>授权委托书</w:t>
      </w:r>
    </w:p>
    <w:p w14:paraId="5556B56B">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（非联合体竞标格式）</w:t>
      </w:r>
    </w:p>
    <w:p w14:paraId="2659B0F0">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14:paraId="7460687D">
      <w:pPr>
        <w:spacing w:line="520" w:lineRule="exact"/>
        <w:rPr>
          <w:rFonts w:ascii="宋体" w:hAnsi="宋体" w:cs="宋体"/>
          <w:color w:val="auto"/>
          <w:sz w:val="32"/>
          <w:szCs w:val="32"/>
          <w:highlight w:val="none"/>
        </w:rPr>
      </w:pPr>
    </w:p>
    <w:p w14:paraId="0A55570D">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2A7446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473241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6A1AF7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F7E94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8A6DE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5C23E934">
      <w:pPr>
        <w:spacing w:line="360" w:lineRule="auto"/>
        <w:rPr>
          <w:rFonts w:ascii="宋体" w:hAnsi="宋体" w:cs="宋体"/>
          <w:color w:val="auto"/>
          <w:sz w:val="24"/>
          <w:highlight w:val="none"/>
        </w:rPr>
      </w:pPr>
    </w:p>
    <w:p w14:paraId="645AACA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委托代理人（签字或者电子签名）：     法定代表人（签字或者盖章或者电子签名）：                    </w:t>
      </w:r>
    </w:p>
    <w:p w14:paraId="790CF4D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EFB6A1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20AEF2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供应商（电子签章）：                      </w:t>
      </w:r>
    </w:p>
    <w:p w14:paraId="5162DD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877E03B">
      <w:pPr>
        <w:spacing w:line="360" w:lineRule="auto"/>
        <w:rPr>
          <w:rFonts w:ascii="宋体" w:hAnsi="宋体" w:cs="宋体"/>
          <w:color w:val="auto"/>
          <w:sz w:val="24"/>
          <w:highlight w:val="none"/>
        </w:rPr>
      </w:pPr>
    </w:p>
    <w:p w14:paraId="287A4CAB">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5CCF995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79" w:name="_Hlk65853109"/>
      <w:bookmarkStart w:id="80" w:name="_Hlk65853542"/>
      <w:r>
        <w:rPr>
          <w:rFonts w:hint="eastAsia" w:ascii="宋体" w:hAnsi="宋体" w:cs="宋体"/>
          <w:color w:val="auto"/>
          <w:sz w:val="24"/>
          <w:highlight w:val="none"/>
        </w:rPr>
        <w:t>法人、其他组织竞标时“我方”是指“我单位”，自然人竞标时“我方”是指“本人”。</w:t>
      </w:r>
      <w:bookmarkEnd w:id="79"/>
    </w:p>
    <w:bookmarkEnd w:id="80"/>
    <w:p w14:paraId="445FB62C">
      <w:pPr>
        <w:spacing w:line="360" w:lineRule="auto"/>
        <w:ind w:firstLine="420" w:firstLineChars="200"/>
        <w:jc w:val="left"/>
        <w:rPr>
          <w:rFonts w:ascii="宋体" w:hAnsi="宋体" w:cs="宋体"/>
          <w:color w:val="auto"/>
          <w:szCs w:val="21"/>
          <w:highlight w:val="none"/>
        </w:rPr>
      </w:pPr>
    </w:p>
    <w:p w14:paraId="3E071BC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br w:type="page"/>
      </w:r>
    </w:p>
    <w:p w14:paraId="7845B3A3">
      <w:pPr>
        <w:rPr>
          <w:color w:val="auto"/>
          <w:highlight w:val="none"/>
        </w:rPr>
      </w:pPr>
    </w:p>
    <w:p w14:paraId="658ADB21">
      <w:pPr>
        <w:spacing w:line="500" w:lineRule="exact"/>
        <w:jc w:val="center"/>
        <w:rPr>
          <w:rFonts w:ascii="宋体" w:hAnsi="宋体" w:cs="宋体"/>
          <w:b/>
          <w:bCs/>
          <w:color w:val="auto"/>
          <w:sz w:val="44"/>
          <w:szCs w:val="44"/>
          <w:highlight w:val="none"/>
        </w:rPr>
      </w:pPr>
      <w:r>
        <w:rPr>
          <w:rFonts w:hint="eastAsia" w:ascii="宋体" w:hAnsi="宋体" w:cs="宋体"/>
          <w:b/>
          <w:bCs/>
          <w:color w:val="auto"/>
          <w:sz w:val="32"/>
          <w:szCs w:val="32"/>
          <w:highlight w:val="none"/>
        </w:rPr>
        <w:t>授权委托书</w:t>
      </w:r>
    </w:p>
    <w:p w14:paraId="44A4AB37">
      <w:pPr>
        <w:spacing w:line="500" w:lineRule="exact"/>
        <w:jc w:val="center"/>
        <w:rPr>
          <w:rFonts w:ascii="宋体" w:hAnsi="宋体" w:cs="宋体"/>
          <w:b/>
          <w:bCs/>
          <w:color w:val="auto"/>
          <w:sz w:val="24"/>
          <w:highlight w:val="none"/>
        </w:rPr>
      </w:pPr>
      <w:r>
        <w:rPr>
          <w:rFonts w:hint="eastAsia" w:ascii="宋体" w:hAnsi="宋体" w:cs="宋体"/>
          <w:b/>
          <w:bCs/>
          <w:color w:val="auto"/>
          <w:sz w:val="24"/>
          <w:highlight w:val="none"/>
        </w:rPr>
        <w:t>（联合体竞标格式）</w:t>
      </w:r>
    </w:p>
    <w:p w14:paraId="2C91711B">
      <w:pPr>
        <w:spacing w:line="500" w:lineRule="exact"/>
        <w:jc w:val="center"/>
        <w:rPr>
          <w:rFonts w:ascii="宋体" w:hAnsi="宋体" w:cs="宋体"/>
          <w:b/>
          <w:bCs/>
          <w:color w:val="auto"/>
          <w:sz w:val="24"/>
          <w:highlight w:val="none"/>
        </w:rPr>
      </w:pPr>
      <w:r>
        <w:rPr>
          <w:rFonts w:hint="eastAsia" w:ascii="宋体" w:hAnsi="宋体" w:cs="宋体"/>
          <w:b/>
          <w:bCs/>
          <w:color w:val="auto"/>
          <w:sz w:val="24"/>
          <w:highlight w:val="none"/>
        </w:rPr>
        <w:t>（如有委托时）</w:t>
      </w:r>
    </w:p>
    <w:p w14:paraId="2BC877FE">
      <w:pPr>
        <w:spacing w:line="500" w:lineRule="exact"/>
        <w:jc w:val="center"/>
        <w:rPr>
          <w:rFonts w:ascii="宋体" w:hAnsi="宋体" w:cs="宋体"/>
          <w:color w:val="auto"/>
          <w:sz w:val="44"/>
          <w:szCs w:val="44"/>
          <w:highlight w:val="none"/>
        </w:rPr>
      </w:pPr>
    </w:p>
    <w:p w14:paraId="5F833C65">
      <w:pPr>
        <w:spacing w:line="500" w:lineRule="exact"/>
        <w:jc w:val="center"/>
        <w:rPr>
          <w:rFonts w:ascii="宋体" w:hAnsi="宋体" w:cs="宋体"/>
          <w:color w:val="auto"/>
          <w:sz w:val="32"/>
          <w:szCs w:val="32"/>
          <w:highlight w:val="none"/>
        </w:rPr>
      </w:pPr>
    </w:p>
    <w:p w14:paraId="44D28D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51DA58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27EC4AE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24A15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0B8B8C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附：法定代表人身份证明书及委托代理人有效身份证正反面复印件</w:t>
      </w:r>
    </w:p>
    <w:p w14:paraId="7B557141">
      <w:pPr>
        <w:spacing w:line="360" w:lineRule="auto"/>
        <w:ind w:firstLine="480" w:firstLineChars="200"/>
        <w:contextualSpacing/>
        <w:rPr>
          <w:rFonts w:ascii="宋体" w:hAnsi="宋体" w:cs="宋体"/>
          <w:color w:val="auto"/>
          <w:sz w:val="24"/>
          <w:highlight w:val="none"/>
        </w:rPr>
      </w:pPr>
    </w:p>
    <w:p w14:paraId="0177926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56DBC09E">
      <w:pPr>
        <w:spacing w:line="360" w:lineRule="auto"/>
        <w:ind w:firstLine="3120" w:firstLineChars="1300"/>
        <w:contextualSpacing/>
        <w:rPr>
          <w:rFonts w:ascii="宋体" w:hAnsi="宋体" w:cs="宋体"/>
          <w:color w:val="auto"/>
          <w:sz w:val="24"/>
          <w:highlight w:val="none"/>
        </w:rPr>
      </w:pPr>
    </w:p>
    <w:p w14:paraId="75608831">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70D122D9">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5A259423">
      <w:pPr>
        <w:spacing w:line="360" w:lineRule="auto"/>
        <w:contextualSpacing/>
        <w:rPr>
          <w:rFonts w:ascii="宋体" w:hAnsi="宋体" w:cs="宋体"/>
          <w:color w:val="auto"/>
          <w:sz w:val="24"/>
          <w:highlight w:val="none"/>
        </w:rPr>
      </w:pPr>
    </w:p>
    <w:p w14:paraId="1B215330">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28C85621">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6621BFC8">
      <w:pPr>
        <w:spacing w:line="360" w:lineRule="auto"/>
        <w:contextualSpacing/>
        <w:rPr>
          <w:rFonts w:ascii="宋体" w:hAnsi="宋体" w:cs="宋体"/>
          <w:color w:val="auto"/>
          <w:sz w:val="24"/>
          <w:highlight w:val="none"/>
        </w:rPr>
      </w:pPr>
    </w:p>
    <w:p w14:paraId="3E780EE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1C452917">
      <w:pPr>
        <w:spacing w:line="360" w:lineRule="auto"/>
        <w:ind w:firstLine="480" w:firstLineChars="200"/>
        <w:jc w:val="left"/>
        <w:rPr>
          <w:rFonts w:ascii="宋体" w:hAnsi="宋体" w:cs="宋体"/>
          <w:color w:val="auto"/>
          <w:spacing w:val="-11"/>
          <w:sz w:val="24"/>
          <w:highlight w:val="none"/>
        </w:rPr>
      </w:pPr>
      <w:r>
        <w:rPr>
          <w:rFonts w:hint="eastAsia" w:ascii="宋体" w:hAnsi="宋体" w:cs="宋体"/>
          <w:color w:val="auto"/>
          <w:sz w:val="24"/>
          <w:highlight w:val="none"/>
        </w:rPr>
        <w:t>2.法人、其他组织竞标时“我方”是指“我单位”，自然人竞标时“我方”是指“本人”。</w:t>
      </w:r>
    </w:p>
    <w:bookmarkEnd w:id="78"/>
    <w:p w14:paraId="06DA36DA">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1AF29B78">
      <w:pPr>
        <w:rPr>
          <w:color w:val="auto"/>
          <w:highlight w:val="none"/>
        </w:rPr>
      </w:pPr>
    </w:p>
    <w:p w14:paraId="396E27D1">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商务要求偏离表格式</w:t>
      </w:r>
    </w:p>
    <w:p w14:paraId="067AFA02">
      <w:pPr>
        <w:spacing w:line="500" w:lineRule="exact"/>
        <w:jc w:val="center"/>
        <w:rPr>
          <w:rFonts w:ascii="宋体" w:hAnsi="宋体" w:cs="宋体"/>
          <w:b/>
          <w:i/>
          <w:color w:val="auto"/>
          <w:sz w:val="28"/>
          <w:szCs w:val="28"/>
          <w:highlight w:val="none"/>
        </w:rPr>
      </w:pPr>
      <w:r>
        <w:rPr>
          <w:rFonts w:hint="eastAsia" w:ascii="宋体" w:hAnsi="宋体" w:cs="宋体"/>
          <w:bCs/>
          <w:i/>
          <w:color w:val="auto"/>
          <w:sz w:val="28"/>
          <w:szCs w:val="28"/>
          <w:highlight w:val="none"/>
        </w:rPr>
        <w:t>（注：按采购需求具体条款修改）</w:t>
      </w:r>
    </w:p>
    <w:p w14:paraId="1AA723B7">
      <w:pPr>
        <w:spacing w:line="360" w:lineRule="auto"/>
        <w:contextualSpacing/>
        <w:jc w:val="left"/>
        <w:rPr>
          <w:rFonts w:ascii="宋体" w:hAnsi="宋体" w:cs="宋体"/>
          <w:color w:val="auto"/>
          <w:sz w:val="24"/>
          <w:highlight w:val="none"/>
        </w:rPr>
      </w:pPr>
    </w:p>
    <w:p w14:paraId="3B9620A4">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3CD7BB99">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31"/>
        <w:tblpPr w:leftFromText="180" w:rightFromText="180" w:vertAnchor="text" w:horzAnchor="page" w:tblpX="1184" w:tblpY="179"/>
        <w:tblOverlap w:val="never"/>
        <w:tblW w:w="48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603"/>
        <w:gridCol w:w="2832"/>
        <w:gridCol w:w="2492"/>
        <w:gridCol w:w="2028"/>
      </w:tblGrid>
      <w:tr w14:paraId="4B3FA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58" w:type="pct"/>
            <w:tcBorders>
              <w:top w:val="single" w:color="auto" w:sz="12" w:space="0"/>
              <w:left w:val="single" w:color="auto" w:sz="12" w:space="0"/>
              <w:bottom w:val="single" w:color="auto" w:sz="4" w:space="0"/>
              <w:right w:val="single" w:color="auto" w:sz="4" w:space="0"/>
            </w:tcBorders>
            <w:vAlign w:val="center"/>
          </w:tcPr>
          <w:p w14:paraId="5A77C0B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1" w:type="pct"/>
            <w:tcBorders>
              <w:top w:val="single" w:color="auto" w:sz="12" w:space="0"/>
              <w:left w:val="single" w:color="auto" w:sz="4" w:space="0"/>
              <w:bottom w:val="single" w:color="auto" w:sz="4" w:space="0"/>
              <w:right w:val="single" w:color="auto" w:sz="4" w:space="0"/>
            </w:tcBorders>
            <w:vAlign w:val="center"/>
          </w:tcPr>
          <w:p w14:paraId="0F4CE61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1467" w:type="pct"/>
            <w:tcBorders>
              <w:top w:val="single" w:color="auto" w:sz="12" w:space="0"/>
              <w:left w:val="single" w:color="auto" w:sz="4" w:space="0"/>
              <w:bottom w:val="single" w:color="auto" w:sz="4" w:space="0"/>
              <w:right w:val="single" w:color="auto" w:sz="4" w:space="0"/>
            </w:tcBorders>
            <w:vAlign w:val="center"/>
          </w:tcPr>
          <w:p w14:paraId="18FD86BE">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291" w:type="pct"/>
            <w:tcBorders>
              <w:top w:val="single" w:color="auto" w:sz="12" w:space="0"/>
              <w:left w:val="single" w:color="auto" w:sz="4" w:space="0"/>
              <w:bottom w:val="single" w:color="auto" w:sz="4" w:space="0"/>
              <w:right w:val="single" w:color="auto" w:sz="4" w:space="0"/>
            </w:tcBorders>
            <w:vAlign w:val="center"/>
          </w:tcPr>
          <w:p w14:paraId="4B5A6E87">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1051" w:type="pct"/>
            <w:tcBorders>
              <w:top w:val="single" w:color="auto" w:sz="12" w:space="0"/>
              <w:left w:val="single" w:color="auto" w:sz="4" w:space="0"/>
              <w:bottom w:val="single" w:color="auto" w:sz="4" w:space="0"/>
              <w:right w:val="single" w:color="auto" w:sz="12" w:space="0"/>
            </w:tcBorders>
            <w:vAlign w:val="center"/>
          </w:tcPr>
          <w:p w14:paraId="0DEBBE7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21566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8" w:type="pct"/>
            <w:tcBorders>
              <w:top w:val="single" w:color="auto" w:sz="4" w:space="0"/>
              <w:left w:val="single" w:color="auto" w:sz="12" w:space="0"/>
              <w:bottom w:val="single" w:color="auto" w:sz="4" w:space="0"/>
              <w:right w:val="single" w:color="auto" w:sz="4" w:space="0"/>
            </w:tcBorders>
            <w:vAlign w:val="center"/>
          </w:tcPr>
          <w:p w14:paraId="4227846A">
            <w:pPr>
              <w:jc w:val="center"/>
              <w:rPr>
                <w:rFonts w:ascii="宋体" w:hAnsi="宋体" w:cs="宋体"/>
                <w:color w:val="auto"/>
                <w:sz w:val="24"/>
                <w:highlight w:val="none"/>
              </w:rPr>
            </w:pPr>
            <w:r>
              <w:rPr>
                <w:rFonts w:hint="eastAsia" w:ascii="宋体" w:hAnsi="宋体" w:cs="宋体"/>
                <w:color w:val="auto"/>
                <w:sz w:val="24"/>
                <w:highlight w:val="none"/>
              </w:rPr>
              <w:t>1</w:t>
            </w:r>
          </w:p>
        </w:tc>
        <w:tc>
          <w:tcPr>
            <w:tcW w:w="831" w:type="pct"/>
            <w:tcBorders>
              <w:top w:val="single" w:color="auto" w:sz="4" w:space="0"/>
              <w:left w:val="single" w:color="auto" w:sz="4" w:space="0"/>
              <w:bottom w:val="single" w:color="auto" w:sz="4" w:space="0"/>
              <w:right w:val="single" w:color="auto" w:sz="4" w:space="0"/>
            </w:tcBorders>
            <w:vAlign w:val="center"/>
          </w:tcPr>
          <w:p w14:paraId="56CB33D7">
            <w:pPr>
              <w:jc w:val="center"/>
              <w:rPr>
                <w:rFonts w:ascii="宋体" w:hAnsi="宋体" w:cs="宋体"/>
                <w:color w:val="auto"/>
                <w:sz w:val="24"/>
                <w:highlight w:val="none"/>
              </w:rPr>
            </w:pPr>
            <w:r>
              <w:rPr>
                <w:rFonts w:hint="eastAsia" w:ascii="宋体" w:hAnsi="宋体" w:cs="宋体"/>
                <w:color w:val="auto"/>
                <w:sz w:val="24"/>
                <w:highlight w:val="none"/>
              </w:rPr>
              <w:t>合同签订期</w:t>
            </w:r>
          </w:p>
        </w:tc>
        <w:tc>
          <w:tcPr>
            <w:tcW w:w="1467" w:type="pct"/>
            <w:tcBorders>
              <w:top w:val="single" w:color="auto" w:sz="4" w:space="0"/>
              <w:left w:val="single" w:color="auto" w:sz="4" w:space="0"/>
              <w:bottom w:val="single" w:color="auto" w:sz="4" w:space="0"/>
              <w:right w:val="single" w:color="auto" w:sz="4" w:space="0"/>
            </w:tcBorders>
            <w:vAlign w:val="center"/>
          </w:tcPr>
          <w:p w14:paraId="0155495E">
            <w:pPr>
              <w:spacing w:line="360" w:lineRule="atLeast"/>
              <w:rPr>
                <w:rFonts w:ascii="宋体" w:hAnsi="宋体" w:cs="宋体"/>
                <w:color w:val="auto"/>
                <w:szCs w:val="21"/>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30D7823A">
            <w:pPr>
              <w:spacing w:line="360" w:lineRule="atLeast"/>
              <w:rPr>
                <w:rFonts w:ascii="宋体" w:hAnsi="宋体" w:cs="宋体"/>
                <w:color w:val="auto"/>
                <w:szCs w:val="21"/>
                <w:highlight w:val="none"/>
              </w:rPr>
            </w:pPr>
          </w:p>
        </w:tc>
        <w:tc>
          <w:tcPr>
            <w:tcW w:w="1051" w:type="pct"/>
            <w:tcBorders>
              <w:top w:val="single" w:color="auto" w:sz="4" w:space="0"/>
              <w:left w:val="single" w:color="auto" w:sz="4" w:space="0"/>
              <w:bottom w:val="single" w:color="auto" w:sz="4" w:space="0"/>
              <w:right w:val="single" w:color="auto" w:sz="12" w:space="0"/>
            </w:tcBorders>
            <w:vAlign w:val="center"/>
          </w:tcPr>
          <w:p w14:paraId="65B69072">
            <w:pPr>
              <w:spacing w:line="360" w:lineRule="auto"/>
              <w:contextualSpacing/>
              <w:jc w:val="center"/>
              <w:rPr>
                <w:rFonts w:ascii="宋体" w:hAnsi="宋体" w:cs="宋体"/>
                <w:color w:val="auto"/>
                <w:sz w:val="24"/>
                <w:highlight w:val="none"/>
              </w:rPr>
            </w:pPr>
          </w:p>
        </w:tc>
      </w:tr>
      <w:tr w14:paraId="33021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8" w:type="pct"/>
            <w:tcBorders>
              <w:top w:val="single" w:color="auto" w:sz="4" w:space="0"/>
              <w:left w:val="single" w:color="auto" w:sz="12" w:space="0"/>
              <w:bottom w:val="single" w:color="auto" w:sz="4" w:space="0"/>
              <w:right w:val="single" w:color="auto" w:sz="4" w:space="0"/>
            </w:tcBorders>
            <w:vAlign w:val="center"/>
          </w:tcPr>
          <w:p w14:paraId="2DB0797F">
            <w:pPr>
              <w:jc w:val="center"/>
              <w:rPr>
                <w:rFonts w:ascii="宋体" w:hAnsi="宋体" w:cs="宋体"/>
                <w:color w:val="auto"/>
                <w:sz w:val="24"/>
                <w:highlight w:val="none"/>
              </w:rPr>
            </w:pPr>
            <w:r>
              <w:rPr>
                <w:rFonts w:hint="eastAsia" w:ascii="宋体" w:hAnsi="宋体" w:cs="宋体"/>
                <w:color w:val="auto"/>
                <w:sz w:val="24"/>
                <w:highlight w:val="none"/>
              </w:rPr>
              <w:t>2</w:t>
            </w:r>
          </w:p>
        </w:tc>
        <w:tc>
          <w:tcPr>
            <w:tcW w:w="831" w:type="pct"/>
            <w:tcBorders>
              <w:top w:val="single" w:color="auto" w:sz="4" w:space="0"/>
              <w:left w:val="single" w:color="auto" w:sz="4" w:space="0"/>
              <w:bottom w:val="single" w:color="auto" w:sz="4" w:space="0"/>
              <w:right w:val="single" w:color="auto" w:sz="4" w:space="0"/>
            </w:tcBorders>
            <w:vAlign w:val="center"/>
          </w:tcPr>
          <w:p w14:paraId="1A18E5EF">
            <w:pPr>
              <w:jc w:val="center"/>
              <w:rPr>
                <w:rFonts w:ascii="宋体" w:hAnsi="宋体" w:cs="宋体"/>
                <w:color w:val="auto"/>
                <w:sz w:val="24"/>
                <w:highlight w:val="none"/>
              </w:rPr>
            </w:pPr>
            <w:r>
              <w:rPr>
                <w:rFonts w:hint="eastAsia" w:ascii="宋体" w:hAnsi="宋体" w:cs="宋体"/>
                <w:color w:val="auto"/>
                <w:sz w:val="24"/>
                <w:highlight w:val="none"/>
              </w:rPr>
              <w:t>提交服务成果时间</w:t>
            </w:r>
          </w:p>
        </w:tc>
        <w:tc>
          <w:tcPr>
            <w:tcW w:w="1467" w:type="pct"/>
            <w:tcBorders>
              <w:top w:val="single" w:color="auto" w:sz="4" w:space="0"/>
              <w:left w:val="single" w:color="auto" w:sz="4" w:space="0"/>
              <w:bottom w:val="single" w:color="auto" w:sz="4" w:space="0"/>
              <w:right w:val="single" w:color="auto" w:sz="4" w:space="0"/>
            </w:tcBorders>
            <w:vAlign w:val="center"/>
          </w:tcPr>
          <w:p w14:paraId="44C51018">
            <w:pPr>
              <w:spacing w:line="360" w:lineRule="atLeast"/>
              <w:rPr>
                <w:rFonts w:ascii="宋体" w:hAnsi="宋体" w:cs="宋体"/>
                <w:color w:val="auto"/>
                <w:szCs w:val="21"/>
                <w:highlight w:val="none"/>
              </w:rPr>
            </w:pPr>
          </w:p>
        </w:tc>
        <w:tc>
          <w:tcPr>
            <w:tcW w:w="1291" w:type="pct"/>
            <w:tcBorders>
              <w:top w:val="single" w:color="auto" w:sz="4" w:space="0"/>
              <w:left w:val="single" w:color="auto" w:sz="4" w:space="0"/>
              <w:bottom w:val="single" w:color="auto" w:sz="4" w:space="0"/>
              <w:right w:val="single" w:color="auto" w:sz="4" w:space="0"/>
            </w:tcBorders>
            <w:vAlign w:val="center"/>
          </w:tcPr>
          <w:p w14:paraId="1FDB1FE8">
            <w:pPr>
              <w:spacing w:line="360" w:lineRule="atLeast"/>
              <w:rPr>
                <w:rFonts w:ascii="宋体" w:hAnsi="宋体" w:cs="宋体"/>
                <w:color w:val="auto"/>
                <w:szCs w:val="21"/>
                <w:highlight w:val="none"/>
              </w:rPr>
            </w:pPr>
          </w:p>
        </w:tc>
        <w:tc>
          <w:tcPr>
            <w:tcW w:w="1051" w:type="pct"/>
            <w:tcBorders>
              <w:top w:val="single" w:color="auto" w:sz="4" w:space="0"/>
              <w:left w:val="single" w:color="auto" w:sz="4" w:space="0"/>
              <w:bottom w:val="single" w:color="auto" w:sz="4" w:space="0"/>
              <w:right w:val="single" w:color="auto" w:sz="12" w:space="0"/>
            </w:tcBorders>
            <w:vAlign w:val="center"/>
          </w:tcPr>
          <w:p w14:paraId="549253E5">
            <w:pPr>
              <w:spacing w:line="360" w:lineRule="auto"/>
              <w:ind w:left="43"/>
              <w:contextualSpacing/>
              <w:jc w:val="center"/>
              <w:rPr>
                <w:rFonts w:ascii="宋体" w:hAnsi="宋体" w:cs="宋体"/>
                <w:color w:val="auto"/>
                <w:sz w:val="24"/>
                <w:highlight w:val="none"/>
              </w:rPr>
            </w:pPr>
          </w:p>
        </w:tc>
      </w:tr>
      <w:tr w14:paraId="1E63F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358" w:type="pct"/>
            <w:tcBorders>
              <w:top w:val="single" w:color="auto" w:sz="4" w:space="0"/>
              <w:left w:val="single" w:color="auto" w:sz="12" w:space="0"/>
              <w:bottom w:val="single" w:color="auto" w:sz="12" w:space="0"/>
              <w:right w:val="single" w:color="auto" w:sz="4" w:space="0"/>
            </w:tcBorders>
            <w:vAlign w:val="center"/>
          </w:tcPr>
          <w:p w14:paraId="74FA9F5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831" w:type="pct"/>
            <w:tcBorders>
              <w:top w:val="single" w:color="auto" w:sz="4" w:space="0"/>
              <w:left w:val="single" w:color="auto" w:sz="4" w:space="0"/>
              <w:bottom w:val="single" w:color="auto" w:sz="12" w:space="0"/>
              <w:right w:val="single" w:color="auto" w:sz="4" w:space="0"/>
            </w:tcBorders>
            <w:vAlign w:val="center"/>
          </w:tcPr>
          <w:p w14:paraId="5EE52A2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1467" w:type="pct"/>
            <w:tcBorders>
              <w:top w:val="single" w:color="auto" w:sz="4" w:space="0"/>
              <w:left w:val="single" w:color="auto" w:sz="4" w:space="0"/>
              <w:bottom w:val="single" w:color="auto" w:sz="12" w:space="0"/>
              <w:right w:val="single" w:color="auto" w:sz="4" w:space="0"/>
            </w:tcBorders>
            <w:vAlign w:val="center"/>
          </w:tcPr>
          <w:p w14:paraId="4D58F63F">
            <w:pPr>
              <w:spacing w:line="360" w:lineRule="atLeast"/>
              <w:rPr>
                <w:rFonts w:ascii="宋体" w:hAnsi="宋体" w:cs="宋体"/>
                <w:color w:val="auto"/>
                <w:szCs w:val="21"/>
                <w:highlight w:val="none"/>
              </w:rPr>
            </w:pPr>
          </w:p>
        </w:tc>
        <w:tc>
          <w:tcPr>
            <w:tcW w:w="1291" w:type="pct"/>
            <w:tcBorders>
              <w:top w:val="single" w:color="auto" w:sz="4" w:space="0"/>
              <w:left w:val="single" w:color="auto" w:sz="4" w:space="0"/>
              <w:bottom w:val="single" w:color="auto" w:sz="12" w:space="0"/>
              <w:right w:val="single" w:color="auto" w:sz="4" w:space="0"/>
            </w:tcBorders>
            <w:vAlign w:val="center"/>
          </w:tcPr>
          <w:p w14:paraId="06C0A3A0">
            <w:pPr>
              <w:spacing w:line="360" w:lineRule="atLeast"/>
              <w:rPr>
                <w:rFonts w:ascii="宋体" w:hAnsi="宋体" w:cs="宋体"/>
                <w:color w:val="auto"/>
                <w:szCs w:val="21"/>
                <w:highlight w:val="none"/>
              </w:rPr>
            </w:pPr>
          </w:p>
        </w:tc>
        <w:tc>
          <w:tcPr>
            <w:tcW w:w="1051" w:type="pct"/>
            <w:tcBorders>
              <w:top w:val="single" w:color="auto" w:sz="4" w:space="0"/>
              <w:left w:val="single" w:color="auto" w:sz="4" w:space="0"/>
              <w:bottom w:val="single" w:color="auto" w:sz="12" w:space="0"/>
              <w:right w:val="single" w:color="auto" w:sz="12" w:space="0"/>
            </w:tcBorders>
            <w:vAlign w:val="center"/>
          </w:tcPr>
          <w:p w14:paraId="4A59E699">
            <w:pPr>
              <w:spacing w:line="360" w:lineRule="auto"/>
              <w:contextualSpacing/>
              <w:jc w:val="center"/>
              <w:rPr>
                <w:rFonts w:ascii="宋体" w:hAnsi="宋体" w:cs="宋体"/>
                <w:color w:val="auto"/>
                <w:sz w:val="24"/>
                <w:highlight w:val="none"/>
              </w:rPr>
            </w:pPr>
          </w:p>
        </w:tc>
      </w:tr>
    </w:tbl>
    <w:p w14:paraId="56F2554F">
      <w:pPr>
        <w:pStyle w:val="13"/>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1.说明：应对照磋商文件“第三章 采购需求”中的商务要求逐条作出明确响应，并作出偏离说明。</w:t>
      </w:r>
    </w:p>
    <w:p w14:paraId="5E28F92C">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5C44E368">
      <w:pPr>
        <w:spacing w:line="360" w:lineRule="auto"/>
        <w:ind w:right="-817" w:rightChars="-389"/>
        <w:contextualSpacing/>
        <w:rPr>
          <w:rFonts w:ascii="宋体" w:hAnsi="宋体" w:cs="宋体"/>
          <w:color w:val="auto"/>
          <w:sz w:val="24"/>
          <w:highlight w:val="none"/>
        </w:rPr>
      </w:pPr>
    </w:p>
    <w:p w14:paraId="39118C9A">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0ADCF148">
      <w:pPr>
        <w:spacing w:line="480" w:lineRule="auto"/>
        <w:ind w:right="480" w:firstLine="1440" w:firstLineChars="6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22DC07E4">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3CE0C44D">
      <w:pPr>
        <w:rPr>
          <w:color w:val="auto"/>
          <w:highlight w:val="none"/>
        </w:rPr>
      </w:pPr>
    </w:p>
    <w:p w14:paraId="5ED0518D">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2111E8BA">
      <w:pPr>
        <w:rPr>
          <w:color w:val="auto"/>
          <w:highlight w:val="none"/>
        </w:rPr>
      </w:pPr>
    </w:p>
    <w:p w14:paraId="47C2F0E7">
      <w:pPr>
        <w:adjustRightInd w:val="0"/>
        <w:snapToGrid w:val="0"/>
        <w:spacing w:line="30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p w14:paraId="2C3A31AD">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7ECAAED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9"/>
        <w:gridCol w:w="1189"/>
        <w:gridCol w:w="2926"/>
        <w:gridCol w:w="2730"/>
        <w:gridCol w:w="1489"/>
      </w:tblGrid>
      <w:tr w14:paraId="3D2543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1229" w:type="dxa"/>
            <w:tcBorders>
              <w:top w:val="single" w:color="auto" w:sz="12" w:space="0"/>
              <w:left w:val="single" w:color="auto" w:sz="12" w:space="0"/>
              <w:bottom w:val="single" w:color="auto" w:sz="4" w:space="0"/>
              <w:right w:val="single" w:color="auto" w:sz="4" w:space="0"/>
            </w:tcBorders>
            <w:vAlign w:val="center"/>
          </w:tcPr>
          <w:p w14:paraId="7E31CA8B">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81" w:name="_Toc254970729"/>
            <w:bookmarkStart w:id="82" w:name="_Toc297193185"/>
            <w:bookmarkStart w:id="83" w:name="_Toc295404981"/>
            <w:bookmarkStart w:id="84" w:name="_Toc301781611"/>
            <w:bookmarkStart w:id="85" w:name="_Toc173066401"/>
            <w:bookmarkStart w:id="86" w:name="_Toc254970588"/>
            <w:bookmarkStart w:id="87" w:name="_Toc173211900"/>
            <w:bookmarkStart w:id="88" w:name="_Toc383699906"/>
            <w:bookmarkStart w:id="89" w:name="_Toc373333689"/>
            <w:r>
              <w:rPr>
                <w:rFonts w:hint="eastAsia" w:ascii="宋体" w:hAnsi="宋体" w:eastAsia="宋体" w:cs="宋体"/>
                <w:color w:val="auto"/>
                <w:kern w:val="2"/>
                <w:sz w:val="24"/>
                <w:szCs w:val="24"/>
                <w:highlight w:val="none"/>
              </w:rPr>
              <w:t>序号</w:t>
            </w:r>
            <w:bookmarkEnd w:id="81"/>
            <w:bookmarkEnd w:id="82"/>
            <w:bookmarkEnd w:id="83"/>
            <w:bookmarkEnd w:id="84"/>
            <w:bookmarkEnd w:id="85"/>
            <w:bookmarkEnd w:id="86"/>
            <w:bookmarkEnd w:id="87"/>
            <w:bookmarkEnd w:id="88"/>
            <w:bookmarkEnd w:id="89"/>
          </w:p>
        </w:tc>
        <w:tc>
          <w:tcPr>
            <w:tcW w:w="1189" w:type="dxa"/>
            <w:tcBorders>
              <w:top w:val="single" w:color="auto" w:sz="12" w:space="0"/>
              <w:left w:val="single" w:color="auto" w:sz="4" w:space="0"/>
              <w:bottom w:val="single" w:color="auto" w:sz="4" w:space="0"/>
              <w:right w:val="single" w:color="auto" w:sz="4" w:space="0"/>
            </w:tcBorders>
            <w:vAlign w:val="center"/>
          </w:tcPr>
          <w:p w14:paraId="1B860808">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标的名称</w:t>
            </w:r>
          </w:p>
        </w:tc>
        <w:tc>
          <w:tcPr>
            <w:tcW w:w="2926" w:type="dxa"/>
            <w:tcBorders>
              <w:top w:val="single" w:color="auto" w:sz="12" w:space="0"/>
              <w:left w:val="single" w:color="auto" w:sz="4" w:space="0"/>
              <w:bottom w:val="single" w:color="auto" w:sz="4" w:space="0"/>
              <w:right w:val="single" w:color="auto" w:sz="4" w:space="0"/>
            </w:tcBorders>
            <w:vAlign w:val="center"/>
          </w:tcPr>
          <w:p w14:paraId="32CBD00A">
            <w:pPr>
              <w:pStyle w:val="15"/>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2730" w:type="dxa"/>
            <w:tcBorders>
              <w:top w:val="single" w:color="auto" w:sz="12" w:space="0"/>
              <w:left w:val="single" w:color="auto" w:sz="4" w:space="0"/>
              <w:bottom w:val="single" w:color="auto" w:sz="4" w:space="0"/>
              <w:right w:val="single" w:color="auto" w:sz="4" w:space="0"/>
            </w:tcBorders>
            <w:vAlign w:val="center"/>
          </w:tcPr>
          <w:p w14:paraId="2DD5EAF0">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90" w:name="_Toc297193187"/>
            <w:bookmarkStart w:id="91" w:name="_Toc254970590"/>
            <w:bookmarkStart w:id="92" w:name="_Toc254970731"/>
            <w:bookmarkStart w:id="93" w:name="_Toc173066403"/>
            <w:bookmarkStart w:id="94" w:name="_Toc301781613"/>
            <w:bookmarkStart w:id="95" w:name="_Toc373333691"/>
            <w:bookmarkStart w:id="96" w:name="_Toc295404983"/>
            <w:bookmarkStart w:id="97" w:name="_Toc383699908"/>
            <w:bookmarkStart w:id="98" w:name="_Toc173211902"/>
            <w:r>
              <w:rPr>
                <w:rFonts w:hint="eastAsia" w:ascii="宋体" w:hAnsi="宋体" w:eastAsia="宋体" w:cs="宋体"/>
                <w:color w:val="auto"/>
                <w:kern w:val="2"/>
                <w:sz w:val="24"/>
                <w:szCs w:val="24"/>
                <w:highlight w:val="none"/>
              </w:rPr>
              <w:t>竞标响应</w:t>
            </w:r>
            <w:bookmarkEnd w:id="90"/>
            <w:bookmarkEnd w:id="91"/>
            <w:bookmarkEnd w:id="92"/>
            <w:bookmarkEnd w:id="93"/>
            <w:bookmarkEnd w:id="94"/>
            <w:bookmarkEnd w:id="95"/>
            <w:bookmarkEnd w:id="96"/>
            <w:bookmarkEnd w:id="97"/>
            <w:bookmarkEnd w:id="98"/>
          </w:p>
        </w:tc>
        <w:tc>
          <w:tcPr>
            <w:tcW w:w="1489" w:type="dxa"/>
            <w:tcBorders>
              <w:top w:val="single" w:color="auto" w:sz="12" w:space="0"/>
              <w:left w:val="single" w:color="auto" w:sz="4" w:space="0"/>
              <w:bottom w:val="single" w:color="auto" w:sz="4" w:space="0"/>
              <w:right w:val="single" w:color="auto" w:sz="12" w:space="0"/>
            </w:tcBorders>
            <w:vAlign w:val="center"/>
          </w:tcPr>
          <w:p w14:paraId="0B229C9C">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99" w:name="_Toc173066404"/>
            <w:bookmarkStart w:id="100" w:name="_Toc301781614"/>
            <w:bookmarkStart w:id="101" w:name="_Toc254970732"/>
            <w:bookmarkStart w:id="102" w:name="_Toc173211903"/>
            <w:bookmarkStart w:id="103" w:name="_Toc295404984"/>
            <w:bookmarkStart w:id="104" w:name="_Toc383699909"/>
            <w:bookmarkStart w:id="105" w:name="_Toc297193188"/>
            <w:bookmarkStart w:id="106" w:name="_Toc254970591"/>
            <w:bookmarkStart w:id="107" w:name="_Toc373333692"/>
            <w:r>
              <w:rPr>
                <w:rFonts w:hint="eastAsia" w:ascii="宋体" w:hAnsi="宋体" w:eastAsia="宋体" w:cs="宋体"/>
                <w:color w:val="auto"/>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173066405"/>
            <w:bookmarkStart w:id="109" w:name="_Toc373333693"/>
            <w:bookmarkStart w:id="110" w:name="_Toc254970733"/>
            <w:bookmarkStart w:id="111" w:name="_Toc297193189"/>
            <w:bookmarkStart w:id="112" w:name="_Toc173211904"/>
            <w:bookmarkStart w:id="113" w:name="_Toc295404985"/>
            <w:bookmarkStart w:id="114" w:name="_Toc254970592"/>
            <w:bookmarkStart w:id="115" w:name="_Toc301781615"/>
            <w:bookmarkStart w:id="116" w:name="_Toc383699910"/>
            <w:r>
              <w:rPr>
                <w:rFonts w:hint="eastAsia" w:ascii="宋体" w:hAnsi="宋体" w:eastAsia="宋体" w:cs="宋体"/>
                <w:color w:val="auto"/>
                <w:kern w:val="2"/>
                <w:sz w:val="24"/>
                <w:szCs w:val="24"/>
                <w:highlight w:val="none"/>
              </w:rPr>
              <w:t>说明</w:t>
            </w:r>
            <w:bookmarkEnd w:id="108"/>
            <w:bookmarkEnd w:id="109"/>
            <w:bookmarkEnd w:id="110"/>
            <w:bookmarkEnd w:id="111"/>
            <w:bookmarkEnd w:id="112"/>
            <w:bookmarkEnd w:id="113"/>
            <w:bookmarkEnd w:id="114"/>
            <w:bookmarkEnd w:id="115"/>
            <w:bookmarkEnd w:id="116"/>
          </w:p>
        </w:tc>
      </w:tr>
      <w:tr w14:paraId="10620F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36A77FA1">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17" w:name="_Toc301781616"/>
            <w:bookmarkStart w:id="118" w:name="_Toc173211905"/>
            <w:bookmarkStart w:id="119" w:name="_Toc173066406"/>
            <w:bookmarkStart w:id="120" w:name="_Toc373333694"/>
            <w:bookmarkStart w:id="121" w:name="_Toc295404986"/>
            <w:bookmarkStart w:id="122" w:name="_Toc297193190"/>
            <w:bookmarkStart w:id="123" w:name="_Toc254970734"/>
            <w:bookmarkStart w:id="124" w:name="_Toc383699911"/>
            <w:bookmarkStart w:id="125" w:name="_Toc254970593"/>
            <w:r>
              <w:rPr>
                <w:rFonts w:hint="eastAsia" w:ascii="宋体" w:hAnsi="宋体" w:eastAsia="宋体" w:cs="宋体"/>
                <w:color w:val="auto"/>
                <w:kern w:val="2"/>
                <w:sz w:val="24"/>
                <w:szCs w:val="24"/>
                <w:highlight w:val="none"/>
              </w:rPr>
              <w:t>1</w:t>
            </w:r>
            <w:bookmarkEnd w:id="117"/>
            <w:bookmarkEnd w:id="118"/>
            <w:bookmarkEnd w:id="119"/>
            <w:bookmarkEnd w:id="120"/>
            <w:bookmarkEnd w:id="121"/>
            <w:bookmarkEnd w:id="122"/>
            <w:bookmarkEnd w:id="123"/>
            <w:bookmarkEnd w:id="124"/>
            <w:bookmarkEnd w:id="125"/>
          </w:p>
        </w:tc>
        <w:tc>
          <w:tcPr>
            <w:tcW w:w="1189" w:type="dxa"/>
            <w:tcBorders>
              <w:top w:val="single" w:color="auto" w:sz="4" w:space="0"/>
              <w:left w:val="single" w:color="auto" w:sz="4" w:space="0"/>
              <w:bottom w:val="single" w:color="auto" w:sz="4" w:space="0"/>
              <w:right w:val="single" w:color="auto" w:sz="4" w:space="0"/>
            </w:tcBorders>
            <w:vAlign w:val="center"/>
          </w:tcPr>
          <w:p w14:paraId="6409A485">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57DEA6C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09292529">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3153A3DD">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8A03E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3A55FC77">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26" w:name="_Toc295404987"/>
            <w:bookmarkStart w:id="127" w:name="_Toc173211906"/>
            <w:bookmarkStart w:id="128" w:name="_Toc297193191"/>
            <w:bookmarkStart w:id="129" w:name="_Toc173066407"/>
            <w:bookmarkStart w:id="130" w:name="_Toc301781617"/>
            <w:bookmarkStart w:id="131" w:name="_Toc383699912"/>
            <w:bookmarkStart w:id="132" w:name="_Toc373333695"/>
            <w:bookmarkStart w:id="133" w:name="_Toc254970594"/>
            <w:bookmarkStart w:id="134" w:name="_Toc254970735"/>
            <w:r>
              <w:rPr>
                <w:rFonts w:hint="eastAsia" w:ascii="宋体" w:hAnsi="宋体" w:eastAsia="宋体" w:cs="宋体"/>
                <w:color w:val="auto"/>
                <w:kern w:val="2"/>
                <w:sz w:val="24"/>
                <w:szCs w:val="24"/>
                <w:highlight w:val="none"/>
              </w:rPr>
              <w:t>2</w:t>
            </w:r>
            <w:bookmarkEnd w:id="126"/>
            <w:bookmarkEnd w:id="127"/>
            <w:bookmarkEnd w:id="128"/>
            <w:bookmarkEnd w:id="129"/>
            <w:bookmarkEnd w:id="130"/>
            <w:bookmarkEnd w:id="131"/>
            <w:bookmarkEnd w:id="132"/>
            <w:bookmarkEnd w:id="133"/>
            <w:bookmarkEnd w:id="134"/>
          </w:p>
        </w:tc>
        <w:tc>
          <w:tcPr>
            <w:tcW w:w="1189" w:type="dxa"/>
            <w:tcBorders>
              <w:top w:val="single" w:color="auto" w:sz="4" w:space="0"/>
              <w:left w:val="single" w:color="auto" w:sz="4" w:space="0"/>
              <w:bottom w:val="single" w:color="auto" w:sz="4" w:space="0"/>
              <w:right w:val="single" w:color="auto" w:sz="4" w:space="0"/>
            </w:tcBorders>
            <w:vAlign w:val="center"/>
          </w:tcPr>
          <w:p w14:paraId="23EC261B">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11023125">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2D68F33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019A4F56">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3A7642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5311BDD2">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35" w:name="_Toc254970736"/>
            <w:bookmarkStart w:id="136" w:name="_Toc301781618"/>
            <w:bookmarkStart w:id="137" w:name="_Toc254970595"/>
            <w:bookmarkStart w:id="138" w:name="_Toc295404988"/>
            <w:bookmarkStart w:id="139" w:name="_Toc297193192"/>
            <w:bookmarkStart w:id="140" w:name="_Toc383699913"/>
            <w:bookmarkStart w:id="141" w:name="_Toc173066408"/>
            <w:bookmarkStart w:id="142" w:name="_Toc173211907"/>
            <w:bookmarkStart w:id="143" w:name="_Toc373333696"/>
            <w:r>
              <w:rPr>
                <w:rFonts w:hint="eastAsia" w:ascii="宋体" w:hAnsi="宋体" w:eastAsia="宋体" w:cs="宋体"/>
                <w:color w:val="auto"/>
                <w:kern w:val="2"/>
                <w:sz w:val="24"/>
                <w:szCs w:val="24"/>
                <w:highlight w:val="none"/>
              </w:rPr>
              <w:t>3</w:t>
            </w:r>
            <w:bookmarkEnd w:id="135"/>
            <w:bookmarkEnd w:id="136"/>
            <w:bookmarkEnd w:id="137"/>
            <w:bookmarkEnd w:id="138"/>
            <w:bookmarkEnd w:id="139"/>
            <w:bookmarkEnd w:id="140"/>
            <w:bookmarkEnd w:id="141"/>
            <w:bookmarkEnd w:id="142"/>
            <w:bookmarkEnd w:id="143"/>
          </w:p>
        </w:tc>
        <w:tc>
          <w:tcPr>
            <w:tcW w:w="1189" w:type="dxa"/>
            <w:tcBorders>
              <w:top w:val="single" w:color="auto" w:sz="4" w:space="0"/>
              <w:left w:val="single" w:color="auto" w:sz="4" w:space="0"/>
              <w:bottom w:val="single" w:color="auto" w:sz="4" w:space="0"/>
              <w:right w:val="single" w:color="auto" w:sz="4" w:space="0"/>
            </w:tcBorders>
            <w:vAlign w:val="center"/>
          </w:tcPr>
          <w:p w14:paraId="7C1C88C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21E8D1D6">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58324A41">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7A4E18A5">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0138A7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39340457">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44" w:name="_Toc295404989"/>
            <w:bookmarkStart w:id="145" w:name="_Toc373333697"/>
            <w:bookmarkStart w:id="146" w:name="_Toc254970737"/>
            <w:bookmarkStart w:id="147" w:name="_Toc173211908"/>
            <w:bookmarkStart w:id="148" w:name="_Toc383699914"/>
            <w:bookmarkStart w:id="149" w:name="_Toc297193193"/>
            <w:bookmarkStart w:id="150" w:name="_Toc301781619"/>
            <w:bookmarkStart w:id="151" w:name="_Toc254970596"/>
            <w:bookmarkStart w:id="152" w:name="_Toc173066409"/>
            <w:r>
              <w:rPr>
                <w:rFonts w:hint="eastAsia" w:ascii="宋体" w:hAnsi="宋体" w:eastAsia="宋体" w:cs="宋体"/>
                <w:color w:val="auto"/>
                <w:kern w:val="2"/>
                <w:sz w:val="24"/>
                <w:szCs w:val="24"/>
                <w:highlight w:val="none"/>
              </w:rPr>
              <w:t>4</w:t>
            </w:r>
            <w:bookmarkEnd w:id="144"/>
            <w:bookmarkEnd w:id="145"/>
            <w:bookmarkEnd w:id="146"/>
            <w:bookmarkEnd w:id="147"/>
            <w:bookmarkEnd w:id="148"/>
            <w:bookmarkEnd w:id="149"/>
            <w:bookmarkEnd w:id="150"/>
            <w:bookmarkEnd w:id="151"/>
            <w:bookmarkEnd w:id="152"/>
          </w:p>
        </w:tc>
        <w:tc>
          <w:tcPr>
            <w:tcW w:w="1189" w:type="dxa"/>
            <w:tcBorders>
              <w:top w:val="single" w:color="auto" w:sz="4" w:space="0"/>
              <w:left w:val="single" w:color="auto" w:sz="4" w:space="0"/>
              <w:bottom w:val="single" w:color="auto" w:sz="4" w:space="0"/>
              <w:right w:val="single" w:color="auto" w:sz="4" w:space="0"/>
            </w:tcBorders>
            <w:vAlign w:val="center"/>
          </w:tcPr>
          <w:p w14:paraId="1097E618">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420FC3F4">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74E9206C">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12E6AB2E">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401432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1229" w:type="dxa"/>
            <w:tcBorders>
              <w:top w:val="single" w:color="auto" w:sz="4" w:space="0"/>
              <w:left w:val="single" w:color="auto" w:sz="12" w:space="0"/>
              <w:bottom w:val="single" w:color="auto" w:sz="4" w:space="0"/>
              <w:right w:val="single" w:color="auto" w:sz="4" w:space="0"/>
            </w:tcBorders>
            <w:vAlign w:val="center"/>
          </w:tcPr>
          <w:p w14:paraId="0BC8D1DD">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53" w:name="_Toc295404990"/>
            <w:bookmarkStart w:id="154" w:name="_Toc297193194"/>
            <w:bookmarkStart w:id="155" w:name="_Toc254970597"/>
            <w:bookmarkStart w:id="156" w:name="_Toc173066410"/>
            <w:bookmarkStart w:id="157" w:name="_Toc383699915"/>
            <w:bookmarkStart w:id="158" w:name="_Toc173211909"/>
            <w:bookmarkStart w:id="159" w:name="_Toc301781620"/>
            <w:bookmarkStart w:id="160" w:name="_Toc373333698"/>
            <w:bookmarkStart w:id="161" w:name="_Toc254970738"/>
            <w:r>
              <w:rPr>
                <w:rFonts w:hint="eastAsia" w:ascii="宋体" w:hAnsi="宋体" w:eastAsia="宋体" w:cs="宋体"/>
                <w:color w:val="auto"/>
                <w:kern w:val="2"/>
                <w:sz w:val="24"/>
                <w:szCs w:val="24"/>
                <w:highlight w:val="none"/>
              </w:rPr>
              <w:t>5</w:t>
            </w:r>
            <w:bookmarkEnd w:id="153"/>
            <w:bookmarkEnd w:id="154"/>
            <w:bookmarkEnd w:id="155"/>
            <w:bookmarkEnd w:id="156"/>
            <w:bookmarkEnd w:id="157"/>
            <w:bookmarkEnd w:id="158"/>
            <w:bookmarkEnd w:id="159"/>
            <w:bookmarkEnd w:id="160"/>
            <w:bookmarkEnd w:id="161"/>
          </w:p>
        </w:tc>
        <w:tc>
          <w:tcPr>
            <w:tcW w:w="1189" w:type="dxa"/>
            <w:tcBorders>
              <w:top w:val="single" w:color="auto" w:sz="4" w:space="0"/>
              <w:left w:val="single" w:color="auto" w:sz="4" w:space="0"/>
              <w:bottom w:val="single" w:color="auto" w:sz="4" w:space="0"/>
              <w:right w:val="single" w:color="auto" w:sz="4" w:space="0"/>
            </w:tcBorders>
            <w:vAlign w:val="center"/>
          </w:tcPr>
          <w:p w14:paraId="4976E90A">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7ED58298">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7CC311D7">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12F1D053">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r w14:paraId="1B77E3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29" w:type="dxa"/>
            <w:tcBorders>
              <w:top w:val="single" w:color="auto" w:sz="4" w:space="0"/>
              <w:left w:val="single" w:color="auto" w:sz="12" w:space="0"/>
              <w:bottom w:val="single" w:color="auto" w:sz="12" w:space="0"/>
              <w:right w:val="single" w:color="auto" w:sz="4" w:space="0"/>
            </w:tcBorders>
            <w:vAlign w:val="center"/>
          </w:tcPr>
          <w:p w14:paraId="5F367EDE">
            <w:pPr>
              <w:pStyle w:val="15"/>
              <w:spacing w:line="360" w:lineRule="auto"/>
              <w:ind w:firstLine="0" w:firstLineChars="0"/>
              <w:contextualSpacing/>
              <w:jc w:val="center"/>
              <w:rPr>
                <w:rFonts w:ascii="宋体" w:hAnsi="宋体" w:eastAsia="宋体" w:cs="宋体"/>
                <w:color w:val="auto"/>
                <w:kern w:val="2"/>
                <w:sz w:val="24"/>
                <w:szCs w:val="24"/>
                <w:highlight w:val="none"/>
              </w:rPr>
            </w:pPr>
            <w:bookmarkStart w:id="162" w:name="_Toc301781621"/>
            <w:bookmarkStart w:id="163" w:name="_Toc254970602"/>
            <w:bookmarkStart w:id="164" w:name="_Toc173211914"/>
            <w:bookmarkStart w:id="165" w:name="_Toc297193195"/>
            <w:bookmarkStart w:id="166" w:name="_Toc254970743"/>
            <w:bookmarkStart w:id="167" w:name="_Toc383699916"/>
            <w:bookmarkStart w:id="168" w:name="_Toc173066415"/>
            <w:bookmarkStart w:id="169" w:name="_Toc373333699"/>
            <w:bookmarkStart w:id="170" w:name="_Toc295404991"/>
            <w:r>
              <w:rPr>
                <w:rFonts w:hint="eastAsia" w:ascii="宋体" w:hAnsi="宋体" w:eastAsia="宋体" w:cs="宋体"/>
                <w:color w:val="auto"/>
                <w:kern w:val="2"/>
                <w:sz w:val="24"/>
                <w:szCs w:val="24"/>
                <w:highlight w:val="none"/>
              </w:rPr>
              <w:t>…</w:t>
            </w:r>
            <w:bookmarkEnd w:id="162"/>
            <w:bookmarkEnd w:id="163"/>
            <w:bookmarkEnd w:id="164"/>
            <w:bookmarkEnd w:id="165"/>
            <w:bookmarkEnd w:id="166"/>
            <w:bookmarkEnd w:id="167"/>
            <w:bookmarkEnd w:id="168"/>
            <w:bookmarkEnd w:id="169"/>
            <w:bookmarkEnd w:id="170"/>
          </w:p>
        </w:tc>
        <w:tc>
          <w:tcPr>
            <w:tcW w:w="1189" w:type="dxa"/>
            <w:tcBorders>
              <w:top w:val="single" w:color="auto" w:sz="4" w:space="0"/>
              <w:left w:val="single" w:color="auto" w:sz="4" w:space="0"/>
              <w:bottom w:val="single" w:color="auto" w:sz="12" w:space="0"/>
              <w:right w:val="single" w:color="auto" w:sz="4" w:space="0"/>
            </w:tcBorders>
            <w:vAlign w:val="center"/>
          </w:tcPr>
          <w:p w14:paraId="3F360C0F">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12" w:space="0"/>
              <w:right w:val="single" w:color="auto" w:sz="4" w:space="0"/>
            </w:tcBorders>
            <w:vAlign w:val="center"/>
          </w:tcPr>
          <w:p w14:paraId="2FA186AC">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12" w:space="0"/>
              <w:right w:val="single" w:color="auto" w:sz="4" w:space="0"/>
            </w:tcBorders>
            <w:vAlign w:val="center"/>
          </w:tcPr>
          <w:p w14:paraId="5F973A02">
            <w:pPr>
              <w:pStyle w:val="15"/>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12" w:space="0"/>
              <w:right w:val="single" w:color="auto" w:sz="12" w:space="0"/>
            </w:tcBorders>
            <w:vAlign w:val="center"/>
          </w:tcPr>
          <w:p w14:paraId="147C4D11">
            <w:pPr>
              <w:pStyle w:val="15"/>
              <w:spacing w:line="360" w:lineRule="auto"/>
              <w:ind w:firstLine="0" w:firstLineChars="0"/>
              <w:contextualSpacing/>
              <w:jc w:val="center"/>
              <w:rPr>
                <w:rFonts w:ascii="宋体" w:hAnsi="宋体" w:eastAsia="宋体" w:cs="宋体"/>
                <w:color w:val="auto"/>
                <w:kern w:val="2"/>
                <w:sz w:val="24"/>
                <w:szCs w:val="24"/>
                <w:highlight w:val="none"/>
              </w:rPr>
            </w:pPr>
          </w:p>
        </w:tc>
      </w:tr>
    </w:tbl>
    <w:p w14:paraId="2E43BB97">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B571F32">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770393BA">
      <w:pPr>
        <w:pStyle w:val="15"/>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032D6741">
      <w:pPr>
        <w:spacing w:line="360" w:lineRule="auto"/>
        <w:ind w:right="-817" w:rightChars="-389"/>
        <w:contextualSpacing/>
        <w:rPr>
          <w:rFonts w:ascii="宋体" w:hAnsi="宋体" w:cs="宋体"/>
          <w:color w:val="auto"/>
          <w:sz w:val="24"/>
          <w:highlight w:val="none"/>
        </w:rPr>
      </w:pPr>
    </w:p>
    <w:p w14:paraId="3FB9CF54">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12B2A0BB">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3DED46F5">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553769C6">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p>
    <w:p w14:paraId="574204A8">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项目实施人员一览表（格式）</w:t>
      </w:r>
    </w:p>
    <w:p w14:paraId="02C8EDDA">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233AE0E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3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60"/>
        <w:gridCol w:w="2789"/>
        <w:gridCol w:w="1332"/>
        <w:gridCol w:w="1481"/>
        <w:gridCol w:w="938"/>
      </w:tblGrid>
      <w:tr w14:paraId="0506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538" w:type="dxa"/>
            <w:tcBorders>
              <w:top w:val="single" w:color="auto" w:sz="12" w:space="0"/>
              <w:left w:val="single" w:color="auto" w:sz="12" w:space="0"/>
            </w:tcBorders>
            <w:vAlign w:val="center"/>
          </w:tcPr>
          <w:p w14:paraId="7EF7861F">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1160" w:type="dxa"/>
            <w:tcBorders>
              <w:top w:val="single" w:color="auto" w:sz="12" w:space="0"/>
            </w:tcBorders>
            <w:vAlign w:val="center"/>
          </w:tcPr>
          <w:p w14:paraId="21495AA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789" w:type="dxa"/>
            <w:tcBorders>
              <w:top w:val="single" w:color="auto" w:sz="12" w:space="0"/>
            </w:tcBorders>
            <w:vAlign w:val="center"/>
          </w:tcPr>
          <w:p w14:paraId="0E1FBA4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32" w:type="dxa"/>
            <w:tcBorders>
              <w:top w:val="single" w:color="auto" w:sz="12" w:space="0"/>
            </w:tcBorders>
            <w:vAlign w:val="center"/>
          </w:tcPr>
          <w:p w14:paraId="6B67847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481" w:type="dxa"/>
            <w:tcBorders>
              <w:top w:val="single" w:color="auto" w:sz="12" w:space="0"/>
            </w:tcBorders>
            <w:vAlign w:val="center"/>
          </w:tcPr>
          <w:p w14:paraId="45D21F3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708FC463">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938" w:type="dxa"/>
            <w:tcBorders>
              <w:top w:val="single" w:color="auto" w:sz="12" w:space="0"/>
              <w:right w:val="single" w:color="auto" w:sz="12" w:space="0"/>
            </w:tcBorders>
            <w:vAlign w:val="center"/>
          </w:tcPr>
          <w:p w14:paraId="1D342D12">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备注</w:t>
            </w:r>
          </w:p>
        </w:tc>
      </w:tr>
      <w:tr w14:paraId="45C0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38" w:type="dxa"/>
            <w:tcBorders>
              <w:left w:val="single" w:color="auto" w:sz="12" w:space="0"/>
            </w:tcBorders>
            <w:vAlign w:val="center"/>
          </w:tcPr>
          <w:p w14:paraId="5AF02D1B">
            <w:pPr>
              <w:spacing w:line="360" w:lineRule="auto"/>
              <w:contextualSpacing/>
              <w:jc w:val="center"/>
              <w:rPr>
                <w:rFonts w:ascii="宋体" w:hAnsi="宋体" w:cs="宋体"/>
                <w:color w:val="auto"/>
                <w:sz w:val="24"/>
                <w:szCs w:val="20"/>
                <w:highlight w:val="none"/>
              </w:rPr>
            </w:pPr>
          </w:p>
        </w:tc>
        <w:tc>
          <w:tcPr>
            <w:tcW w:w="1160" w:type="dxa"/>
            <w:vAlign w:val="center"/>
          </w:tcPr>
          <w:p w14:paraId="1BFACA72">
            <w:pPr>
              <w:spacing w:line="360" w:lineRule="auto"/>
              <w:contextualSpacing/>
              <w:jc w:val="center"/>
              <w:rPr>
                <w:rFonts w:ascii="宋体" w:hAnsi="宋体" w:cs="宋体"/>
                <w:color w:val="auto"/>
                <w:sz w:val="24"/>
                <w:szCs w:val="20"/>
                <w:highlight w:val="none"/>
              </w:rPr>
            </w:pPr>
          </w:p>
        </w:tc>
        <w:tc>
          <w:tcPr>
            <w:tcW w:w="2789" w:type="dxa"/>
            <w:vAlign w:val="center"/>
          </w:tcPr>
          <w:p w14:paraId="7C701B72">
            <w:pPr>
              <w:spacing w:line="360" w:lineRule="auto"/>
              <w:contextualSpacing/>
              <w:jc w:val="center"/>
              <w:rPr>
                <w:rFonts w:ascii="宋体" w:hAnsi="宋体" w:cs="宋体"/>
                <w:color w:val="auto"/>
                <w:sz w:val="24"/>
                <w:szCs w:val="20"/>
                <w:highlight w:val="none"/>
              </w:rPr>
            </w:pPr>
          </w:p>
        </w:tc>
        <w:tc>
          <w:tcPr>
            <w:tcW w:w="1332" w:type="dxa"/>
            <w:vAlign w:val="center"/>
          </w:tcPr>
          <w:p w14:paraId="47D1D7FA">
            <w:pPr>
              <w:spacing w:line="360" w:lineRule="auto"/>
              <w:contextualSpacing/>
              <w:jc w:val="center"/>
              <w:rPr>
                <w:rFonts w:ascii="宋体" w:hAnsi="宋体" w:cs="宋体"/>
                <w:color w:val="auto"/>
                <w:sz w:val="24"/>
                <w:szCs w:val="20"/>
                <w:highlight w:val="none"/>
              </w:rPr>
            </w:pPr>
          </w:p>
        </w:tc>
        <w:tc>
          <w:tcPr>
            <w:tcW w:w="1481" w:type="dxa"/>
            <w:vAlign w:val="center"/>
          </w:tcPr>
          <w:p w14:paraId="02143B95">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21EB6F1D">
            <w:pPr>
              <w:spacing w:line="360" w:lineRule="auto"/>
              <w:contextualSpacing/>
              <w:jc w:val="center"/>
              <w:rPr>
                <w:rFonts w:ascii="宋体" w:hAnsi="宋体" w:cs="宋体"/>
                <w:color w:val="auto"/>
                <w:sz w:val="24"/>
                <w:szCs w:val="20"/>
                <w:highlight w:val="none"/>
              </w:rPr>
            </w:pPr>
          </w:p>
        </w:tc>
      </w:tr>
      <w:tr w14:paraId="5157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538" w:type="dxa"/>
            <w:tcBorders>
              <w:left w:val="single" w:color="auto" w:sz="12" w:space="0"/>
            </w:tcBorders>
            <w:vAlign w:val="center"/>
          </w:tcPr>
          <w:p w14:paraId="01C6B132">
            <w:pPr>
              <w:spacing w:line="360" w:lineRule="auto"/>
              <w:contextualSpacing/>
              <w:jc w:val="center"/>
              <w:rPr>
                <w:rFonts w:ascii="宋体" w:hAnsi="宋体" w:cs="宋体"/>
                <w:color w:val="auto"/>
                <w:sz w:val="24"/>
                <w:szCs w:val="20"/>
                <w:highlight w:val="none"/>
              </w:rPr>
            </w:pPr>
          </w:p>
        </w:tc>
        <w:tc>
          <w:tcPr>
            <w:tcW w:w="1160" w:type="dxa"/>
            <w:vAlign w:val="center"/>
          </w:tcPr>
          <w:p w14:paraId="5A7D430B">
            <w:pPr>
              <w:spacing w:line="360" w:lineRule="auto"/>
              <w:contextualSpacing/>
              <w:jc w:val="center"/>
              <w:rPr>
                <w:rFonts w:ascii="宋体" w:hAnsi="宋体" w:cs="宋体"/>
                <w:color w:val="auto"/>
                <w:sz w:val="24"/>
                <w:szCs w:val="20"/>
                <w:highlight w:val="none"/>
              </w:rPr>
            </w:pPr>
          </w:p>
        </w:tc>
        <w:tc>
          <w:tcPr>
            <w:tcW w:w="2789" w:type="dxa"/>
            <w:vAlign w:val="center"/>
          </w:tcPr>
          <w:p w14:paraId="450A6414">
            <w:pPr>
              <w:spacing w:line="360" w:lineRule="auto"/>
              <w:contextualSpacing/>
              <w:jc w:val="center"/>
              <w:rPr>
                <w:rFonts w:ascii="宋体" w:hAnsi="宋体" w:cs="宋体"/>
                <w:color w:val="auto"/>
                <w:sz w:val="24"/>
                <w:szCs w:val="20"/>
                <w:highlight w:val="none"/>
              </w:rPr>
            </w:pPr>
          </w:p>
        </w:tc>
        <w:tc>
          <w:tcPr>
            <w:tcW w:w="1332" w:type="dxa"/>
            <w:vAlign w:val="center"/>
          </w:tcPr>
          <w:p w14:paraId="75E0B77B">
            <w:pPr>
              <w:spacing w:line="360" w:lineRule="auto"/>
              <w:contextualSpacing/>
              <w:jc w:val="center"/>
              <w:rPr>
                <w:rFonts w:ascii="宋体" w:hAnsi="宋体" w:cs="宋体"/>
                <w:color w:val="auto"/>
                <w:sz w:val="24"/>
                <w:szCs w:val="20"/>
                <w:highlight w:val="none"/>
              </w:rPr>
            </w:pPr>
          </w:p>
        </w:tc>
        <w:tc>
          <w:tcPr>
            <w:tcW w:w="1481" w:type="dxa"/>
            <w:vAlign w:val="center"/>
          </w:tcPr>
          <w:p w14:paraId="7D622729">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109896A6">
            <w:pPr>
              <w:spacing w:line="360" w:lineRule="auto"/>
              <w:contextualSpacing/>
              <w:jc w:val="center"/>
              <w:rPr>
                <w:rFonts w:ascii="宋体" w:hAnsi="宋体" w:cs="宋体"/>
                <w:color w:val="auto"/>
                <w:sz w:val="24"/>
                <w:szCs w:val="20"/>
                <w:highlight w:val="none"/>
              </w:rPr>
            </w:pPr>
          </w:p>
        </w:tc>
      </w:tr>
      <w:tr w14:paraId="0584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38" w:type="dxa"/>
            <w:tcBorders>
              <w:left w:val="single" w:color="auto" w:sz="12" w:space="0"/>
              <w:bottom w:val="single" w:color="auto" w:sz="12" w:space="0"/>
            </w:tcBorders>
            <w:vAlign w:val="center"/>
          </w:tcPr>
          <w:p w14:paraId="1676AB1E">
            <w:pPr>
              <w:spacing w:line="360" w:lineRule="auto"/>
              <w:contextualSpacing/>
              <w:jc w:val="center"/>
              <w:rPr>
                <w:rFonts w:ascii="宋体" w:hAnsi="宋体" w:cs="宋体"/>
                <w:color w:val="auto"/>
                <w:sz w:val="24"/>
                <w:szCs w:val="20"/>
                <w:highlight w:val="none"/>
              </w:rPr>
            </w:pPr>
          </w:p>
        </w:tc>
        <w:tc>
          <w:tcPr>
            <w:tcW w:w="1160" w:type="dxa"/>
            <w:tcBorders>
              <w:bottom w:val="single" w:color="auto" w:sz="12" w:space="0"/>
            </w:tcBorders>
            <w:vAlign w:val="center"/>
          </w:tcPr>
          <w:p w14:paraId="3A8819C4">
            <w:pPr>
              <w:spacing w:line="360" w:lineRule="auto"/>
              <w:contextualSpacing/>
              <w:jc w:val="center"/>
              <w:rPr>
                <w:rFonts w:ascii="宋体" w:hAnsi="宋体" w:cs="宋体"/>
                <w:color w:val="auto"/>
                <w:sz w:val="24"/>
                <w:szCs w:val="20"/>
                <w:highlight w:val="none"/>
              </w:rPr>
            </w:pPr>
          </w:p>
        </w:tc>
        <w:tc>
          <w:tcPr>
            <w:tcW w:w="2789" w:type="dxa"/>
            <w:tcBorders>
              <w:bottom w:val="single" w:color="auto" w:sz="12" w:space="0"/>
            </w:tcBorders>
            <w:vAlign w:val="center"/>
          </w:tcPr>
          <w:p w14:paraId="1FA0CDC7">
            <w:pPr>
              <w:spacing w:line="360" w:lineRule="auto"/>
              <w:contextualSpacing/>
              <w:jc w:val="center"/>
              <w:rPr>
                <w:rFonts w:ascii="宋体" w:hAnsi="宋体" w:cs="宋体"/>
                <w:color w:val="auto"/>
                <w:sz w:val="24"/>
                <w:szCs w:val="20"/>
                <w:highlight w:val="none"/>
              </w:rPr>
            </w:pPr>
          </w:p>
        </w:tc>
        <w:tc>
          <w:tcPr>
            <w:tcW w:w="1332" w:type="dxa"/>
            <w:tcBorders>
              <w:bottom w:val="single" w:color="auto" w:sz="12" w:space="0"/>
            </w:tcBorders>
            <w:vAlign w:val="center"/>
          </w:tcPr>
          <w:p w14:paraId="0C11D451">
            <w:pPr>
              <w:spacing w:line="360" w:lineRule="auto"/>
              <w:contextualSpacing/>
              <w:jc w:val="center"/>
              <w:rPr>
                <w:rFonts w:ascii="宋体" w:hAnsi="宋体" w:cs="宋体"/>
                <w:color w:val="auto"/>
                <w:sz w:val="24"/>
                <w:szCs w:val="20"/>
                <w:highlight w:val="none"/>
              </w:rPr>
            </w:pPr>
          </w:p>
        </w:tc>
        <w:tc>
          <w:tcPr>
            <w:tcW w:w="1481" w:type="dxa"/>
            <w:tcBorders>
              <w:bottom w:val="single" w:color="auto" w:sz="12" w:space="0"/>
            </w:tcBorders>
            <w:vAlign w:val="center"/>
          </w:tcPr>
          <w:p w14:paraId="544233FC">
            <w:pPr>
              <w:spacing w:line="360" w:lineRule="auto"/>
              <w:contextualSpacing/>
              <w:jc w:val="center"/>
              <w:rPr>
                <w:rFonts w:ascii="宋体" w:hAnsi="宋体" w:cs="宋体"/>
                <w:color w:val="auto"/>
                <w:sz w:val="24"/>
                <w:szCs w:val="20"/>
                <w:highlight w:val="none"/>
              </w:rPr>
            </w:pPr>
          </w:p>
        </w:tc>
        <w:tc>
          <w:tcPr>
            <w:tcW w:w="938" w:type="dxa"/>
            <w:tcBorders>
              <w:bottom w:val="single" w:color="auto" w:sz="12" w:space="0"/>
              <w:right w:val="single" w:color="auto" w:sz="12" w:space="0"/>
            </w:tcBorders>
            <w:vAlign w:val="center"/>
          </w:tcPr>
          <w:p w14:paraId="0D7E4FA6">
            <w:pPr>
              <w:spacing w:line="360" w:lineRule="auto"/>
              <w:contextualSpacing/>
              <w:jc w:val="center"/>
              <w:rPr>
                <w:rFonts w:ascii="宋体" w:hAnsi="宋体" w:cs="宋体"/>
                <w:color w:val="auto"/>
                <w:sz w:val="24"/>
                <w:szCs w:val="20"/>
                <w:highlight w:val="none"/>
              </w:rPr>
            </w:pPr>
          </w:p>
        </w:tc>
      </w:tr>
    </w:tbl>
    <w:p w14:paraId="10D7F487">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59832482">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1D5B0448">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2.供应商应当附本表所列证书的复印件并加盖供应商电子签章。</w:t>
      </w:r>
    </w:p>
    <w:p w14:paraId="1A34BC26">
      <w:pPr>
        <w:pStyle w:val="21"/>
        <w:rPr>
          <w:rFonts w:ascii="宋体" w:hAnsi="宋体" w:cs="宋体"/>
          <w:color w:val="auto"/>
          <w:sz w:val="24"/>
          <w:szCs w:val="20"/>
          <w:highlight w:val="none"/>
        </w:rPr>
      </w:pPr>
    </w:p>
    <w:p w14:paraId="62ED2B35">
      <w:pPr>
        <w:pStyle w:val="21"/>
        <w:rPr>
          <w:rFonts w:ascii="宋体" w:hAnsi="宋体" w:cs="宋体"/>
          <w:color w:val="auto"/>
          <w:sz w:val="24"/>
          <w:szCs w:val="20"/>
          <w:highlight w:val="none"/>
        </w:rPr>
      </w:pPr>
    </w:p>
    <w:p w14:paraId="6F3FD598">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5C560031">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57DF686C">
      <w:pPr>
        <w:spacing w:line="480" w:lineRule="auto"/>
        <w:ind w:firstLine="480" w:firstLineChars="200"/>
        <w:contextualSpacing/>
        <w:jc w:val="center"/>
        <w:rPr>
          <w:rFonts w:ascii="宋体" w:hAnsi="宋体" w:cs="宋体"/>
          <w:color w:val="auto"/>
          <w:sz w:val="24"/>
          <w:highlight w:val="none"/>
        </w:rPr>
      </w:pPr>
      <w:r>
        <w:rPr>
          <w:rFonts w:hint="eastAsia" w:ascii="宋体" w:hAnsi="宋体" w:cs="宋体"/>
          <w:color w:val="auto"/>
          <w:sz w:val="24"/>
          <w:highlight w:val="none"/>
        </w:rPr>
        <w:t>年    月    日</w:t>
      </w:r>
    </w:p>
    <w:p w14:paraId="6C763B92">
      <w:pPr>
        <w:rPr>
          <w:rFonts w:ascii="宋体" w:hAnsi="宋体" w:cs="宋体"/>
          <w:color w:val="auto"/>
          <w:sz w:val="24"/>
          <w:highlight w:val="none"/>
        </w:rPr>
      </w:pPr>
      <w:r>
        <w:rPr>
          <w:rFonts w:hint="eastAsia" w:ascii="宋体" w:hAnsi="宋体" w:cs="宋体"/>
          <w:color w:val="auto"/>
          <w:sz w:val="24"/>
          <w:highlight w:val="none"/>
        </w:rPr>
        <w:br w:type="page"/>
      </w:r>
    </w:p>
    <w:p w14:paraId="03C10ABE">
      <w:pPr>
        <w:rPr>
          <w:rFonts w:ascii="宋体" w:hAnsi="宋体" w:cs="宋体"/>
          <w:b/>
          <w:color w:val="auto"/>
          <w:sz w:val="32"/>
          <w:szCs w:val="32"/>
          <w:highlight w:val="none"/>
        </w:rPr>
      </w:pPr>
      <w:r>
        <w:rPr>
          <w:rFonts w:hint="eastAsia" w:ascii="宋体" w:hAnsi="宋体" w:cs="宋体"/>
          <w:b/>
          <w:color w:val="auto"/>
          <w:sz w:val="32"/>
          <w:szCs w:val="32"/>
          <w:highlight w:val="none"/>
        </w:rPr>
        <w:t>四、其他文书、文件格式</w:t>
      </w:r>
    </w:p>
    <w:p w14:paraId="7189AD2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中小企业声明函（服务）</w:t>
      </w:r>
    </w:p>
    <w:p w14:paraId="5E97C9B9">
      <w:pPr>
        <w:spacing w:before="2" w:line="500" w:lineRule="exact"/>
        <w:ind w:firstLine="708" w:firstLineChars="294"/>
        <w:rPr>
          <w:rFonts w:ascii="宋体" w:hAnsi="宋体" w:cs="宋体"/>
          <w:b/>
          <w:bCs/>
          <w:color w:val="auto"/>
          <w:sz w:val="24"/>
          <w:highlight w:val="none"/>
        </w:rPr>
      </w:pPr>
    </w:p>
    <w:p w14:paraId="6087B1AD">
      <w:pPr>
        <w:pStyle w:val="14"/>
        <w:spacing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A759CF5">
      <w:pPr>
        <w:tabs>
          <w:tab w:val="left" w:pos="1384"/>
          <w:tab w:val="left" w:pos="4562"/>
          <w:tab w:val="left" w:pos="6803"/>
        </w:tabs>
        <w:spacing w:before="13" w:line="360" w:lineRule="auto"/>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4226F86">
      <w:pPr>
        <w:tabs>
          <w:tab w:val="left" w:pos="1065"/>
          <w:tab w:val="left" w:pos="4262"/>
          <w:tab w:val="left" w:pos="6477"/>
        </w:tabs>
        <w:spacing w:before="20" w:line="360" w:lineRule="auto"/>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F3964EF">
      <w:pPr>
        <w:pStyle w:val="14"/>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14:paraId="360EA6DD">
      <w:pPr>
        <w:pStyle w:val="14"/>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2628C2">
      <w:pPr>
        <w:pStyle w:val="14"/>
        <w:spacing w:before="25"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DF0AE03">
      <w:pPr>
        <w:pStyle w:val="14"/>
        <w:spacing w:before="56" w:line="500" w:lineRule="exact"/>
        <w:ind w:right="1808" w:firstLine="705" w:firstLineChars="294"/>
        <w:rPr>
          <w:rFonts w:ascii="宋体" w:hAnsi="宋体" w:cs="宋体"/>
          <w:color w:val="auto"/>
          <w:sz w:val="24"/>
          <w:highlight w:val="none"/>
        </w:rPr>
      </w:pPr>
    </w:p>
    <w:p w14:paraId="15268298">
      <w:pPr>
        <w:pStyle w:val="14"/>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6D27D318">
      <w:pPr>
        <w:pStyle w:val="14"/>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03991E07">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60CDBF3">
      <w:pPr>
        <w:spacing w:line="52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14:paraId="50F8F64E">
      <w:pPr>
        <w:rPr>
          <w:color w:val="auto"/>
          <w:highlight w:val="none"/>
        </w:rPr>
      </w:pPr>
    </w:p>
    <w:p w14:paraId="4E4CEB6A">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残疾人福利性单位声明函</w:t>
      </w:r>
    </w:p>
    <w:p w14:paraId="4C21EA6F">
      <w:pPr>
        <w:spacing w:line="360" w:lineRule="auto"/>
        <w:contextualSpacing/>
        <w:rPr>
          <w:rFonts w:ascii="宋体" w:hAnsi="宋体" w:cs="宋体"/>
          <w:color w:val="auto"/>
          <w:sz w:val="32"/>
          <w:szCs w:val="32"/>
          <w:highlight w:val="none"/>
        </w:rPr>
      </w:pPr>
    </w:p>
    <w:p w14:paraId="6A8F8C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CAF70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EE99947">
      <w:pPr>
        <w:spacing w:line="360" w:lineRule="auto"/>
        <w:contextualSpacing/>
        <w:rPr>
          <w:rFonts w:ascii="宋体" w:hAnsi="宋体" w:cs="宋体"/>
          <w:color w:val="auto"/>
          <w:sz w:val="24"/>
          <w:highlight w:val="none"/>
        </w:rPr>
      </w:pPr>
    </w:p>
    <w:p w14:paraId="40E89C78">
      <w:pPr>
        <w:spacing w:line="360" w:lineRule="auto"/>
        <w:contextualSpacing/>
        <w:rPr>
          <w:rFonts w:ascii="宋体" w:hAnsi="宋体" w:cs="宋体"/>
          <w:color w:val="auto"/>
          <w:sz w:val="24"/>
          <w:highlight w:val="none"/>
        </w:rPr>
      </w:pPr>
    </w:p>
    <w:p w14:paraId="0785C1AC">
      <w:pPr>
        <w:spacing w:line="360" w:lineRule="auto"/>
        <w:contextualSpacing/>
        <w:rPr>
          <w:rFonts w:ascii="宋体" w:hAnsi="宋体" w:cs="宋体"/>
          <w:color w:val="auto"/>
          <w:sz w:val="24"/>
          <w:highlight w:val="none"/>
        </w:rPr>
      </w:pPr>
    </w:p>
    <w:p w14:paraId="35E8B118">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2E06EB84">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37BF9DB2">
      <w:pPr>
        <w:spacing w:line="360" w:lineRule="auto"/>
        <w:contextualSpacing/>
        <w:rPr>
          <w:rFonts w:ascii="宋体" w:hAnsi="宋体" w:cs="宋体"/>
          <w:color w:val="auto"/>
          <w:sz w:val="24"/>
          <w:highlight w:val="none"/>
        </w:rPr>
      </w:pPr>
    </w:p>
    <w:p w14:paraId="2144FB98">
      <w:pPr>
        <w:spacing w:line="360" w:lineRule="auto"/>
        <w:contextualSpacing/>
        <w:rPr>
          <w:rFonts w:ascii="宋体" w:hAnsi="宋体" w:cs="宋体"/>
          <w:color w:val="auto"/>
          <w:sz w:val="24"/>
          <w:highlight w:val="none"/>
        </w:rPr>
      </w:pPr>
    </w:p>
    <w:p w14:paraId="45C75B14">
      <w:pPr>
        <w:spacing w:line="360" w:lineRule="auto"/>
        <w:contextualSpacing/>
        <w:rPr>
          <w:rFonts w:ascii="宋体" w:hAnsi="宋体" w:cs="宋体"/>
          <w:color w:val="auto"/>
          <w:sz w:val="24"/>
          <w:highlight w:val="none"/>
        </w:rPr>
      </w:pPr>
    </w:p>
    <w:p w14:paraId="143A860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E7CBACF">
      <w:pPr>
        <w:spacing w:line="480" w:lineRule="auto"/>
        <w:contextualSpacing/>
        <w:rPr>
          <w:rFonts w:ascii="宋体" w:hAnsi="宋体" w:cs="宋体"/>
          <w:color w:val="auto"/>
          <w:sz w:val="24"/>
          <w:highlight w:val="none"/>
        </w:rPr>
      </w:pPr>
    </w:p>
    <w:p w14:paraId="7D58180D">
      <w:pPr>
        <w:snapToGrid w:val="0"/>
        <w:spacing w:before="50" w:after="156" w:afterLines="50"/>
        <w:jc w:val="left"/>
        <w:rPr>
          <w:rFonts w:ascii="宋体" w:hAnsi="宋体" w:cs="宋体"/>
          <w:color w:val="auto"/>
          <w:sz w:val="24"/>
          <w:szCs w:val="20"/>
          <w:highlight w:val="none"/>
        </w:rPr>
      </w:pPr>
    </w:p>
    <w:p w14:paraId="10E78E5A">
      <w:pPr>
        <w:snapToGrid w:val="0"/>
        <w:spacing w:before="50" w:after="50" w:line="360" w:lineRule="auto"/>
        <w:ind w:right="-817" w:rightChars="-389" w:firstLine="5461" w:firstLineChars="1700"/>
        <w:rPr>
          <w:rFonts w:ascii="宋体" w:hAnsi="宋体" w:cs="宋体"/>
          <w:b/>
          <w:color w:val="auto"/>
          <w:sz w:val="32"/>
          <w:szCs w:val="32"/>
          <w:highlight w:val="none"/>
        </w:rPr>
      </w:pPr>
    </w:p>
    <w:p w14:paraId="4489D388">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p>
    <w:p w14:paraId="3A2549B9">
      <w:pPr>
        <w:rPr>
          <w:color w:val="auto"/>
          <w:highlight w:val="none"/>
        </w:rPr>
      </w:pPr>
    </w:p>
    <w:p w14:paraId="2E7566A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6F884643">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163D5092">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2D67954">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EF98F47">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44EA589">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1FE2076C">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50C108F">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874C31E">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0248D813">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257EE62B">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50782918">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44BA91A">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237CD68F">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013BD63A">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61F093EA">
      <w:pPr>
        <w:pStyle w:val="17"/>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2528FC79">
      <w:pPr>
        <w:pStyle w:val="17"/>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36A475A3">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3D220762">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E4FD7CE">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3F4F5B3B">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6FED213A">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27FA5C22">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84AD0B4">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4C9289D">
      <w:pPr>
        <w:pStyle w:val="17"/>
        <w:spacing w:line="360" w:lineRule="auto"/>
        <w:ind w:left="25" w:leftChars="12" w:firstLine="352" w:firstLineChars="147"/>
        <w:contextualSpacing/>
        <w:rPr>
          <w:rFonts w:hAnsi="宋体" w:cs="宋体"/>
          <w:color w:val="auto"/>
          <w:sz w:val="24"/>
          <w:szCs w:val="24"/>
          <w:highlight w:val="none"/>
        </w:rPr>
      </w:pPr>
    </w:p>
    <w:p w14:paraId="47407760">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239D8E67">
      <w:pPr>
        <w:pStyle w:val="17"/>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2AE33AF4">
      <w:pPr>
        <w:pStyle w:val="17"/>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305AA0F9">
      <w:pPr>
        <w:pStyle w:val="17"/>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461332E2">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D576F8">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F2361AE">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2E1CE62">
      <w:pPr>
        <w:pStyle w:val="17"/>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100434FD">
      <w:pPr>
        <w:pStyle w:val="17"/>
        <w:snapToGrid w:val="0"/>
        <w:rPr>
          <w:rFonts w:hAnsi="宋体" w:cs="宋体"/>
          <w:b/>
          <w:color w:val="auto"/>
          <w:sz w:val="24"/>
          <w:szCs w:val="24"/>
          <w:highlight w:val="none"/>
        </w:rPr>
      </w:pPr>
    </w:p>
    <w:p w14:paraId="7036D2D4">
      <w:pPr>
        <w:rPr>
          <w:rFonts w:ascii="宋体" w:hAnsi="宋体" w:cs="宋体"/>
          <w:color w:val="auto"/>
          <w:sz w:val="32"/>
          <w:szCs w:val="40"/>
          <w:highlight w:val="none"/>
        </w:rPr>
      </w:pPr>
    </w:p>
    <w:p w14:paraId="26432F14">
      <w:pPr>
        <w:rPr>
          <w:rFonts w:ascii="宋体" w:hAnsi="宋体" w:cs="宋体"/>
          <w:color w:val="auto"/>
          <w:sz w:val="32"/>
          <w:szCs w:val="40"/>
          <w:highlight w:val="none"/>
        </w:rPr>
      </w:pPr>
    </w:p>
    <w:p w14:paraId="2CDE3315">
      <w:pPr>
        <w:rPr>
          <w:rFonts w:ascii="宋体" w:hAnsi="宋体" w:cs="宋体"/>
          <w:color w:val="auto"/>
          <w:sz w:val="32"/>
          <w:szCs w:val="40"/>
          <w:highlight w:val="none"/>
        </w:rPr>
      </w:pPr>
    </w:p>
    <w:p w14:paraId="39F1E044">
      <w:pPr>
        <w:rPr>
          <w:rFonts w:ascii="宋体" w:hAnsi="宋体" w:cs="宋体"/>
          <w:color w:val="auto"/>
          <w:sz w:val="32"/>
          <w:szCs w:val="40"/>
          <w:highlight w:val="none"/>
        </w:rPr>
      </w:pPr>
    </w:p>
    <w:p w14:paraId="70E04F42">
      <w:pPr>
        <w:rPr>
          <w:rFonts w:ascii="宋体" w:hAnsi="宋体" w:cs="宋体"/>
          <w:color w:val="auto"/>
          <w:sz w:val="32"/>
          <w:szCs w:val="40"/>
          <w:highlight w:val="none"/>
        </w:rPr>
      </w:pPr>
    </w:p>
    <w:p w14:paraId="1285B497">
      <w:pPr>
        <w:rPr>
          <w:rFonts w:ascii="宋体" w:hAnsi="宋体" w:cs="宋体"/>
          <w:color w:val="auto"/>
          <w:sz w:val="32"/>
          <w:szCs w:val="40"/>
          <w:highlight w:val="none"/>
        </w:rPr>
      </w:pPr>
    </w:p>
    <w:p w14:paraId="3228FC8E">
      <w:pPr>
        <w:rPr>
          <w:rFonts w:ascii="宋体" w:hAnsi="宋体" w:cs="宋体"/>
          <w:color w:val="auto"/>
          <w:sz w:val="32"/>
          <w:szCs w:val="40"/>
          <w:highlight w:val="none"/>
        </w:rPr>
      </w:pPr>
    </w:p>
    <w:p w14:paraId="26E76330">
      <w:pPr>
        <w:pStyle w:val="2"/>
        <w:rPr>
          <w:rFonts w:ascii="宋体" w:hAnsi="宋体" w:cs="宋体"/>
          <w:color w:val="auto"/>
          <w:sz w:val="32"/>
          <w:szCs w:val="40"/>
          <w:highlight w:val="none"/>
        </w:rPr>
      </w:pPr>
    </w:p>
    <w:p w14:paraId="31D90287">
      <w:pPr>
        <w:pStyle w:val="2"/>
        <w:rPr>
          <w:rFonts w:ascii="宋体" w:hAnsi="宋体" w:cs="宋体"/>
          <w:color w:val="auto"/>
          <w:sz w:val="32"/>
          <w:szCs w:val="40"/>
          <w:highlight w:val="none"/>
        </w:rPr>
      </w:pPr>
    </w:p>
    <w:p w14:paraId="61917F48">
      <w:pPr>
        <w:pStyle w:val="2"/>
        <w:rPr>
          <w:rFonts w:ascii="宋体" w:hAnsi="宋体" w:cs="宋体"/>
          <w:color w:val="auto"/>
          <w:sz w:val="32"/>
          <w:szCs w:val="40"/>
          <w:highlight w:val="none"/>
        </w:rPr>
      </w:pPr>
    </w:p>
    <w:p w14:paraId="2546B9BC">
      <w:pPr>
        <w:rPr>
          <w:rFonts w:ascii="宋体" w:hAnsi="宋体" w:cs="宋体"/>
          <w:color w:val="auto"/>
          <w:sz w:val="32"/>
          <w:szCs w:val="40"/>
          <w:highlight w:val="none"/>
        </w:rPr>
      </w:pPr>
    </w:p>
    <w:p w14:paraId="32E6B198">
      <w:pPr>
        <w:rPr>
          <w:rFonts w:ascii="宋体" w:hAnsi="宋体" w:cs="宋体"/>
          <w:color w:val="auto"/>
          <w:sz w:val="32"/>
          <w:szCs w:val="40"/>
          <w:highlight w:val="none"/>
        </w:rPr>
      </w:pPr>
    </w:p>
    <w:p w14:paraId="285B8611">
      <w:pPr>
        <w:rPr>
          <w:rFonts w:ascii="宋体" w:hAnsi="宋体" w:cs="宋体"/>
          <w:color w:val="auto"/>
          <w:sz w:val="32"/>
          <w:szCs w:val="40"/>
          <w:highlight w:val="none"/>
        </w:rPr>
      </w:pPr>
    </w:p>
    <w:p w14:paraId="7AA0A409">
      <w:pPr>
        <w:rPr>
          <w:rFonts w:ascii="宋体" w:hAnsi="宋体" w:cs="宋体"/>
          <w:color w:val="auto"/>
          <w:sz w:val="32"/>
          <w:szCs w:val="40"/>
          <w:highlight w:val="none"/>
        </w:rPr>
      </w:pPr>
    </w:p>
    <w:p w14:paraId="1C09DE94">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3981EC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54971BEE">
      <w:pPr>
        <w:rPr>
          <w:color w:val="auto"/>
          <w:highlight w:val="none"/>
        </w:rPr>
      </w:pPr>
    </w:p>
    <w:p w14:paraId="2C7CE502">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AB45DD7">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E4D801F">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664EB0D">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11DB699E">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9254DD4">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A4164A6">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68CF3845">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C5C133B">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7D4ADF55">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675EC8A8">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F01771F">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FEEF935">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08BD5660">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41651812">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1BDB8790">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081EC63D">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48AE7D3">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75546A93">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5AEDB378">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93E5589">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C7A1827">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6AD3D867">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8D7C282">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35EC2BD">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21C74F51">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2201A70">
      <w:pPr>
        <w:pStyle w:val="17"/>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340269D1">
      <w:pPr>
        <w:pStyle w:val="17"/>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5A77EEFC">
      <w:pPr>
        <w:pStyle w:val="1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E914620">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5A259B19">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3CFA5105">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5BC3D0B">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6EEB69F4">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85B2077">
      <w:pPr>
        <w:pStyle w:val="17"/>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58EE4A8">
      <w:pPr>
        <w:pStyle w:val="17"/>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09921AFD">
      <w:pPr>
        <w:pStyle w:val="17"/>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0AB13CC">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298202CD">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F55D32A">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2DE9A2B">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9275DD6">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4C40ECDE">
      <w:pPr>
        <w:pStyle w:val="1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57327FE7">
      <w:pPr>
        <w:pStyle w:val="17"/>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4A9D20D9">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EFC5BB2">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1E06B43">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7530016D">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2DD075D">
      <w:pPr>
        <w:pStyle w:val="17"/>
        <w:spacing w:line="360" w:lineRule="auto"/>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5D4697AF">
      <w:pPr>
        <w:jc w:val="center"/>
        <w:rPr>
          <w:rFonts w:ascii="宋体" w:hAnsi="宋体" w:cs="宋体"/>
          <w:color w:val="auto"/>
          <w:highlight w:val="none"/>
        </w:rPr>
      </w:pPr>
    </w:p>
    <w:p w14:paraId="5F70B2D5">
      <w:pPr>
        <w:rPr>
          <w:color w:val="auto"/>
          <w:highlight w:val="none"/>
        </w:rPr>
      </w:pPr>
    </w:p>
    <w:p w14:paraId="2E8F7FAE">
      <w:pPr>
        <w:spacing w:line="600" w:lineRule="auto"/>
        <w:jc w:val="center"/>
        <w:outlineLvl w:val="0"/>
        <w:rPr>
          <w:rFonts w:ascii="宋体" w:hAnsi="宋体" w:cs="宋体"/>
          <w:b/>
          <w:bCs/>
          <w:color w:val="auto"/>
          <w:kern w:val="44"/>
          <w:sz w:val="44"/>
          <w:szCs w:val="44"/>
          <w:highlight w:val="none"/>
        </w:rPr>
      </w:pPr>
      <w:bookmarkStart w:id="171" w:name="_Toc24722"/>
      <w:r>
        <w:rPr>
          <w:rFonts w:hint="eastAsia" w:ascii="宋体" w:hAnsi="宋体" w:cs="宋体"/>
          <w:b/>
          <w:bCs/>
          <w:color w:val="auto"/>
          <w:kern w:val="44"/>
          <w:sz w:val="44"/>
          <w:szCs w:val="44"/>
          <w:highlight w:val="none"/>
        </w:rPr>
        <w:t>第六章 合同文本</w:t>
      </w:r>
      <w:bookmarkEnd w:id="171"/>
    </w:p>
    <w:p w14:paraId="12F5C79D">
      <w:pPr>
        <w:rPr>
          <w:color w:val="auto"/>
          <w:highlight w:val="none"/>
        </w:rPr>
      </w:pPr>
    </w:p>
    <w:p w14:paraId="07A64844">
      <w:pPr>
        <w:pStyle w:val="2"/>
        <w:ind w:left="0"/>
        <w:rPr>
          <w:rFonts w:ascii="宋体" w:hAnsi="宋体" w:cs="宋体"/>
          <w:color w:val="auto"/>
          <w:highlight w:val="none"/>
        </w:rPr>
      </w:pPr>
      <w:r>
        <w:rPr>
          <w:rFonts w:hint="eastAsia" w:ascii="宋体" w:hAnsi="宋体" w:cs="宋体"/>
          <w:b/>
          <w:bCs/>
          <w:color w:val="auto"/>
          <w:sz w:val="22"/>
          <w:szCs w:val="22"/>
          <w:highlight w:val="none"/>
        </w:rPr>
        <w:t>合同编号：</w:t>
      </w:r>
    </w:p>
    <w:p w14:paraId="3C3EDB7C">
      <w:pPr>
        <w:spacing w:line="600" w:lineRule="auto"/>
        <w:jc w:val="center"/>
        <w:rPr>
          <w:rFonts w:ascii="宋体" w:hAnsi="宋体" w:cs="宋体"/>
          <w:color w:val="auto"/>
          <w:sz w:val="40"/>
          <w:szCs w:val="40"/>
          <w:highlight w:val="none"/>
          <w:u w:val="single"/>
        </w:rPr>
      </w:pPr>
    </w:p>
    <w:p w14:paraId="6AE20CE1">
      <w:pPr>
        <w:spacing w:line="600" w:lineRule="auto"/>
        <w:jc w:val="center"/>
        <w:rPr>
          <w:rFonts w:ascii="宋体" w:hAnsi="宋体" w:cs="宋体"/>
          <w:b/>
          <w:bCs/>
          <w:color w:val="auto"/>
          <w:sz w:val="44"/>
          <w:szCs w:val="44"/>
          <w:highlight w:val="none"/>
          <w:u w:val="single"/>
        </w:rPr>
      </w:pPr>
      <w:r>
        <w:rPr>
          <w:rFonts w:hint="eastAsia" w:ascii="宋体" w:hAnsi="宋体" w:cs="宋体"/>
          <w:b/>
          <w:bCs/>
          <w:color w:val="auto"/>
          <w:sz w:val="40"/>
          <w:szCs w:val="40"/>
          <w:highlight w:val="none"/>
          <w:u w:val="single"/>
        </w:rPr>
        <w:t xml:space="preserve">         （项目名称）      </w:t>
      </w:r>
      <w:r>
        <w:rPr>
          <w:rFonts w:hint="eastAsia" w:ascii="宋体" w:hAnsi="宋体" w:cs="宋体"/>
          <w:b/>
          <w:bCs/>
          <w:color w:val="auto"/>
          <w:sz w:val="40"/>
          <w:szCs w:val="40"/>
          <w:highlight w:val="none"/>
        </w:rPr>
        <w:t>合同</w:t>
      </w:r>
    </w:p>
    <w:p w14:paraId="0BCF3243">
      <w:pPr>
        <w:jc w:val="center"/>
        <w:rPr>
          <w:rFonts w:ascii="宋体" w:hAnsi="宋体" w:cs="宋体"/>
          <w:color w:val="auto"/>
          <w:sz w:val="36"/>
          <w:szCs w:val="36"/>
          <w:highlight w:val="none"/>
        </w:rPr>
      </w:pPr>
    </w:p>
    <w:p w14:paraId="01ECD22D">
      <w:pPr>
        <w:jc w:val="center"/>
        <w:rPr>
          <w:rFonts w:ascii="宋体" w:hAnsi="宋体" w:cs="宋体"/>
          <w:color w:val="auto"/>
          <w:sz w:val="36"/>
          <w:szCs w:val="36"/>
          <w:highlight w:val="none"/>
        </w:rPr>
      </w:pPr>
    </w:p>
    <w:p w14:paraId="0580517A">
      <w:pPr>
        <w:rPr>
          <w:rFonts w:ascii="宋体" w:hAnsi="宋体" w:cs="宋体"/>
          <w:color w:val="auto"/>
          <w:sz w:val="36"/>
          <w:szCs w:val="36"/>
          <w:highlight w:val="none"/>
        </w:rPr>
      </w:pPr>
    </w:p>
    <w:p w14:paraId="6D3AF140">
      <w:pPr>
        <w:jc w:val="center"/>
        <w:rPr>
          <w:rFonts w:ascii="宋体" w:hAnsi="宋体" w:cs="宋体"/>
          <w:color w:val="auto"/>
          <w:sz w:val="36"/>
          <w:szCs w:val="36"/>
          <w:highlight w:val="none"/>
        </w:rPr>
      </w:pPr>
    </w:p>
    <w:p w14:paraId="7C81DBE9">
      <w:pPr>
        <w:jc w:val="center"/>
        <w:rPr>
          <w:rFonts w:ascii="宋体" w:hAnsi="宋体" w:cs="宋体"/>
          <w:color w:val="auto"/>
          <w:sz w:val="36"/>
          <w:szCs w:val="36"/>
          <w:highlight w:val="none"/>
        </w:rPr>
      </w:pPr>
    </w:p>
    <w:p w14:paraId="2C6244BB">
      <w:pPr>
        <w:pStyle w:val="14"/>
        <w:rPr>
          <w:rFonts w:ascii="宋体" w:hAnsi="宋体" w:cs="宋体"/>
          <w:color w:val="auto"/>
          <w:sz w:val="36"/>
          <w:szCs w:val="36"/>
          <w:highlight w:val="none"/>
        </w:rPr>
      </w:pPr>
    </w:p>
    <w:p w14:paraId="13E62E02">
      <w:pPr>
        <w:pStyle w:val="25"/>
        <w:rPr>
          <w:rFonts w:ascii="宋体" w:hAnsi="宋体" w:cs="宋体"/>
          <w:color w:val="auto"/>
          <w:highlight w:val="none"/>
        </w:rPr>
      </w:pPr>
    </w:p>
    <w:p w14:paraId="3CE73D52">
      <w:pPr>
        <w:rPr>
          <w:rFonts w:ascii="宋体" w:hAnsi="宋体" w:cs="宋体"/>
          <w:color w:val="auto"/>
          <w:sz w:val="36"/>
          <w:szCs w:val="36"/>
          <w:highlight w:val="none"/>
        </w:rPr>
      </w:pPr>
    </w:p>
    <w:p w14:paraId="3D80A487">
      <w:pPr>
        <w:ind w:firstLine="1800" w:firstLineChars="500"/>
        <w:rPr>
          <w:rFonts w:ascii="宋体" w:hAnsi="宋体" w:cs="宋体"/>
          <w:color w:val="auto"/>
          <w:sz w:val="36"/>
          <w:szCs w:val="36"/>
          <w:highlight w:val="none"/>
        </w:rPr>
      </w:pPr>
      <w:r>
        <w:rPr>
          <w:rFonts w:hint="eastAsia" w:ascii="宋体" w:hAnsi="宋体" w:cs="宋体"/>
          <w:color w:val="auto"/>
          <w:sz w:val="36"/>
          <w:szCs w:val="36"/>
          <w:highlight w:val="none"/>
        </w:rPr>
        <w:t>采购人：</w:t>
      </w:r>
      <w:r>
        <w:rPr>
          <w:rFonts w:hint="eastAsia" w:ascii="宋体" w:hAnsi="宋体" w:cs="宋体"/>
          <w:color w:val="auto"/>
          <w:sz w:val="36"/>
          <w:szCs w:val="36"/>
          <w:highlight w:val="none"/>
          <w:u w:val="single"/>
        </w:rPr>
        <w:t xml:space="preserve">                      </w:t>
      </w:r>
    </w:p>
    <w:p w14:paraId="2297528D">
      <w:pPr>
        <w:jc w:val="center"/>
        <w:rPr>
          <w:rFonts w:ascii="宋体" w:hAnsi="宋体" w:cs="宋体"/>
          <w:color w:val="auto"/>
          <w:sz w:val="36"/>
          <w:szCs w:val="36"/>
          <w:highlight w:val="none"/>
        </w:rPr>
      </w:pPr>
    </w:p>
    <w:p w14:paraId="7C7BF655">
      <w:pPr>
        <w:ind w:firstLine="1800" w:firstLineChars="500"/>
        <w:rPr>
          <w:rFonts w:ascii="宋体" w:hAnsi="宋体" w:cs="宋体"/>
          <w:color w:val="auto"/>
          <w:sz w:val="36"/>
          <w:szCs w:val="36"/>
          <w:highlight w:val="none"/>
          <w:u w:val="single"/>
        </w:rPr>
      </w:pPr>
      <w:r>
        <w:rPr>
          <w:rFonts w:hint="eastAsia" w:ascii="宋体" w:hAnsi="宋体" w:cs="宋体"/>
          <w:color w:val="auto"/>
          <w:sz w:val="36"/>
          <w:szCs w:val="36"/>
          <w:highlight w:val="none"/>
        </w:rPr>
        <w:t>成交供应商：</w:t>
      </w:r>
      <w:r>
        <w:rPr>
          <w:rFonts w:hint="eastAsia" w:ascii="宋体" w:hAnsi="宋体" w:cs="宋体"/>
          <w:color w:val="auto"/>
          <w:sz w:val="36"/>
          <w:szCs w:val="36"/>
          <w:highlight w:val="none"/>
          <w:u w:val="single"/>
        </w:rPr>
        <w:t xml:space="preserve">                    </w:t>
      </w:r>
    </w:p>
    <w:p w14:paraId="120A90A5">
      <w:pPr>
        <w:rPr>
          <w:rFonts w:ascii="宋体" w:hAnsi="宋体" w:cs="宋体"/>
          <w:color w:val="auto"/>
          <w:highlight w:val="none"/>
        </w:rPr>
      </w:pPr>
    </w:p>
    <w:p w14:paraId="59CA33A3">
      <w:pPr>
        <w:rPr>
          <w:rFonts w:ascii="宋体" w:hAnsi="宋体" w:cs="宋体"/>
          <w:color w:val="auto"/>
          <w:highlight w:val="none"/>
        </w:rPr>
      </w:pPr>
    </w:p>
    <w:p w14:paraId="3D92826F">
      <w:pPr>
        <w:rPr>
          <w:rFonts w:ascii="宋体" w:hAnsi="宋体" w:cs="宋体"/>
          <w:color w:val="auto"/>
          <w:sz w:val="24"/>
          <w:highlight w:val="none"/>
        </w:rPr>
        <w:sectPr>
          <w:footerReference r:id="rId9" w:type="default"/>
          <w:pgSz w:w="11906" w:h="16838"/>
          <w:pgMar w:top="1304" w:right="1134" w:bottom="1304" w:left="1134" w:header="1020" w:footer="1701" w:gutter="0"/>
          <w:pgNumType w:start="1"/>
          <w:cols w:space="720" w:num="1"/>
          <w:docGrid w:type="lines" w:linePitch="312" w:charSpace="0"/>
        </w:sectPr>
      </w:pPr>
    </w:p>
    <w:p w14:paraId="34608080">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FDEB66A">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br w:type="textWrapping"/>
      </w: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7E1F34CC">
      <w:pPr>
        <w:spacing w:line="48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2B1B0D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2DC8E1F4">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第一条 合同标的</w:t>
      </w:r>
    </w:p>
    <w:p w14:paraId="7C966245">
      <w:pPr>
        <w:spacing w:line="440" w:lineRule="exact"/>
        <w:ind w:left="42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890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61"/>
        <w:gridCol w:w="1369"/>
        <w:gridCol w:w="1367"/>
        <w:gridCol w:w="1880"/>
        <w:gridCol w:w="1733"/>
      </w:tblGrid>
      <w:tr w14:paraId="2F57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97" w:type="dxa"/>
            <w:tcBorders>
              <w:top w:val="single" w:color="auto" w:sz="12" w:space="0"/>
              <w:left w:val="single" w:color="auto" w:sz="12" w:space="0"/>
            </w:tcBorders>
            <w:vAlign w:val="center"/>
          </w:tcPr>
          <w:p w14:paraId="2455F88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61" w:type="dxa"/>
            <w:tcBorders>
              <w:top w:val="single" w:color="auto" w:sz="12" w:space="0"/>
            </w:tcBorders>
            <w:vAlign w:val="center"/>
          </w:tcPr>
          <w:p w14:paraId="123F528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标的（服务）名称</w:t>
            </w:r>
          </w:p>
        </w:tc>
        <w:tc>
          <w:tcPr>
            <w:tcW w:w="1369" w:type="dxa"/>
            <w:tcBorders>
              <w:top w:val="single" w:color="auto" w:sz="12" w:space="0"/>
            </w:tcBorders>
            <w:vAlign w:val="center"/>
          </w:tcPr>
          <w:p w14:paraId="5D510DB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数量①</w:t>
            </w:r>
          </w:p>
        </w:tc>
        <w:tc>
          <w:tcPr>
            <w:tcW w:w="1367" w:type="dxa"/>
            <w:tcBorders>
              <w:top w:val="single" w:color="auto" w:sz="12" w:space="0"/>
            </w:tcBorders>
            <w:vAlign w:val="center"/>
          </w:tcPr>
          <w:p w14:paraId="1533A63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p w14:paraId="77CD070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880" w:type="dxa"/>
            <w:tcBorders>
              <w:top w:val="single" w:color="auto" w:sz="12" w:space="0"/>
            </w:tcBorders>
            <w:vAlign w:val="center"/>
          </w:tcPr>
          <w:p w14:paraId="70141C0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单项合价（元）</w:t>
            </w:r>
          </w:p>
          <w:p w14:paraId="4B22263E">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③＝①×②</w:t>
            </w:r>
          </w:p>
        </w:tc>
        <w:tc>
          <w:tcPr>
            <w:tcW w:w="1733" w:type="dxa"/>
            <w:tcBorders>
              <w:top w:val="single" w:color="auto" w:sz="12" w:space="0"/>
              <w:right w:val="single" w:color="auto" w:sz="12" w:space="0"/>
            </w:tcBorders>
            <w:vAlign w:val="center"/>
          </w:tcPr>
          <w:p w14:paraId="1E88E8E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8AE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97" w:type="dxa"/>
            <w:tcBorders>
              <w:top w:val="single" w:color="auto" w:sz="12" w:space="0"/>
              <w:left w:val="single" w:color="auto" w:sz="12" w:space="0"/>
            </w:tcBorders>
            <w:vAlign w:val="center"/>
          </w:tcPr>
          <w:p w14:paraId="76DAF8F8">
            <w:pPr>
              <w:spacing w:line="440" w:lineRule="exact"/>
              <w:jc w:val="center"/>
              <w:rPr>
                <w:rFonts w:ascii="宋体" w:hAnsi="宋体" w:cs="宋体"/>
                <w:color w:val="auto"/>
                <w:szCs w:val="21"/>
                <w:highlight w:val="none"/>
              </w:rPr>
            </w:pPr>
          </w:p>
        </w:tc>
        <w:tc>
          <w:tcPr>
            <w:tcW w:w="1961" w:type="dxa"/>
            <w:tcBorders>
              <w:top w:val="single" w:color="auto" w:sz="12" w:space="0"/>
            </w:tcBorders>
            <w:vAlign w:val="center"/>
          </w:tcPr>
          <w:p w14:paraId="3A108208">
            <w:pPr>
              <w:spacing w:line="440" w:lineRule="exact"/>
              <w:jc w:val="center"/>
              <w:rPr>
                <w:rFonts w:ascii="宋体" w:hAnsi="宋体" w:cs="宋体"/>
                <w:color w:val="auto"/>
                <w:szCs w:val="21"/>
                <w:highlight w:val="none"/>
              </w:rPr>
            </w:pPr>
          </w:p>
        </w:tc>
        <w:tc>
          <w:tcPr>
            <w:tcW w:w="1369" w:type="dxa"/>
            <w:tcBorders>
              <w:top w:val="single" w:color="auto" w:sz="12" w:space="0"/>
            </w:tcBorders>
            <w:vAlign w:val="center"/>
          </w:tcPr>
          <w:p w14:paraId="0CF86000">
            <w:pPr>
              <w:spacing w:line="440" w:lineRule="exact"/>
              <w:jc w:val="center"/>
              <w:rPr>
                <w:rFonts w:ascii="宋体" w:hAnsi="宋体" w:cs="宋体"/>
                <w:color w:val="auto"/>
                <w:szCs w:val="21"/>
                <w:highlight w:val="none"/>
              </w:rPr>
            </w:pPr>
          </w:p>
        </w:tc>
        <w:tc>
          <w:tcPr>
            <w:tcW w:w="1367" w:type="dxa"/>
            <w:tcBorders>
              <w:top w:val="single" w:color="auto" w:sz="12" w:space="0"/>
            </w:tcBorders>
            <w:vAlign w:val="center"/>
          </w:tcPr>
          <w:p w14:paraId="7F6059D5">
            <w:pPr>
              <w:spacing w:line="440" w:lineRule="exact"/>
              <w:jc w:val="center"/>
              <w:rPr>
                <w:rFonts w:ascii="宋体" w:hAnsi="宋体" w:cs="宋体"/>
                <w:color w:val="auto"/>
                <w:szCs w:val="21"/>
                <w:highlight w:val="none"/>
              </w:rPr>
            </w:pPr>
          </w:p>
        </w:tc>
        <w:tc>
          <w:tcPr>
            <w:tcW w:w="1880" w:type="dxa"/>
            <w:tcBorders>
              <w:top w:val="single" w:color="auto" w:sz="12" w:space="0"/>
            </w:tcBorders>
            <w:vAlign w:val="center"/>
          </w:tcPr>
          <w:p w14:paraId="2175588E">
            <w:pPr>
              <w:spacing w:line="440" w:lineRule="exact"/>
              <w:ind w:firstLine="210" w:firstLineChars="100"/>
              <w:rPr>
                <w:rFonts w:ascii="宋体" w:hAnsi="宋体" w:cs="宋体"/>
                <w:color w:val="auto"/>
                <w:szCs w:val="21"/>
                <w:highlight w:val="none"/>
              </w:rPr>
            </w:pPr>
          </w:p>
        </w:tc>
        <w:tc>
          <w:tcPr>
            <w:tcW w:w="1733" w:type="dxa"/>
            <w:tcBorders>
              <w:top w:val="single" w:color="auto" w:sz="12" w:space="0"/>
              <w:right w:val="single" w:color="auto" w:sz="12" w:space="0"/>
            </w:tcBorders>
            <w:vAlign w:val="center"/>
          </w:tcPr>
          <w:p w14:paraId="17830605">
            <w:pPr>
              <w:spacing w:line="440" w:lineRule="exact"/>
              <w:jc w:val="center"/>
              <w:rPr>
                <w:rFonts w:ascii="宋体" w:hAnsi="宋体" w:cs="宋体"/>
                <w:color w:val="auto"/>
                <w:szCs w:val="21"/>
                <w:highlight w:val="none"/>
              </w:rPr>
            </w:pPr>
          </w:p>
        </w:tc>
      </w:tr>
      <w:tr w14:paraId="7753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07" w:type="dxa"/>
            <w:gridSpan w:val="6"/>
            <w:tcBorders>
              <w:left w:val="single" w:color="auto" w:sz="12" w:space="0"/>
              <w:right w:val="single" w:color="auto" w:sz="12" w:space="0"/>
            </w:tcBorders>
            <w:vAlign w:val="center"/>
          </w:tcPr>
          <w:p w14:paraId="2031B536">
            <w:pPr>
              <w:spacing w:line="440" w:lineRule="exact"/>
              <w:rPr>
                <w:rFonts w:ascii="宋体" w:hAnsi="宋体" w:cs="宋体"/>
                <w:color w:val="auto"/>
                <w:szCs w:val="21"/>
                <w:highlight w:val="none"/>
              </w:rPr>
            </w:pPr>
            <w:r>
              <w:rPr>
                <w:rFonts w:hint="eastAsia" w:ascii="宋体" w:hAnsi="宋体" w:cs="宋体"/>
                <w:color w:val="auto"/>
                <w:szCs w:val="21"/>
                <w:highlight w:val="none"/>
              </w:rPr>
              <w:t>详见报价表</w:t>
            </w:r>
          </w:p>
        </w:tc>
      </w:tr>
      <w:tr w14:paraId="7EED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7" w:type="dxa"/>
            <w:gridSpan w:val="6"/>
            <w:tcBorders>
              <w:left w:val="single" w:color="auto" w:sz="12" w:space="0"/>
              <w:bottom w:val="single" w:color="auto" w:sz="12" w:space="0"/>
              <w:right w:val="single" w:color="auto" w:sz="12" w:space="0"/>
            </w:tcBorders>
            <w:vAlign w:val="center"/>
          </w:tcPr>
          <w:p w14:paraId="70D9565A">
            <w:pPr>
              <w:spacing w:line="440" w:lineRule="exact"/>
              <w:rPr>
                <w:rFonts w:ascii="宋体" w:hAnsi="宋体" w:cs="宋体"/>
                <w:color w:val="auto"/>
                <w:szCs w:val="21"/>
                <w:highlight w:val="none"/>
              </w:rPr>
            </w:pPr>
            <w:r>
              <w:rPr>
                <w:rFonts w:hint="eastAsia" w:ascii="宋体" w:hAnsi="宋体" w:cs="宋体"/>
                <w:color w:val="auto"/>
                <w:szCs w:val="21"/>
                <w:highlight w:val="none"/>
              </w:rPr>
              <w:t>报价合计：（大写）人民币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bl>
    <w:p w14:paraId="35B5FA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金额包括满足本次竞标全部采购需求所应提供的服务，以及伴随的货物和工程（如有）的价格；包含竞标服务、货物、工程的成本、运输（含保险）、安装（如有）、工具、劳务、旅差、各种辅材、调试、验收、技术服务、培训、售后服务、税费等所有费用。</w:t>
      </w:r>
      <w:r>
        <w:rPr>
          <w:rFonts w:hint="eastAsia" w:ascii="宋体" w:hAnsi="宋体" w:cs="宋体"/>
          <w:b/>
          <w:bCs/>
          <w:color w:val="auto"/>
          <w:szCs w:val="21"/>
          <w:highlight w:val="none"/>
        </w:rPr>
        <w:t>（采购需求另有约定的，从其约定。）</w:t>
      </w:r>
    </w:p>
    <w:p w14:paraId="572C1C16">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质量保证</w:t>
      </w:r>
    </w:p>
    <w:p w14:paraId="10C202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乙方所提供的服务及服务内容必须与响应文件承诺相一致，具有国家强制性标准的，还必须符合国家强制性标准的规定，没有国家强制性标准但有其他强制性标准的，必须符合其他强制性标准的规定。</w:t>
      </w:r>
    </w:p>
    <w:p w14:paraId="7B2B9934">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权利保证</w:t>
      </w:r>
    </w:p>
    <w:p w14:paraId="713FCE41">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乙方应保证所提供服务在使用时不会侵犯任何第三方的专利权、商标权、工业设计权等知识产权及其他合法权利，且所有权、处分权等没有受到任何限制。 </w:t>
      </w:r>
    </w:p>
    <w:p w14:paraId="6E64B76E">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14:paraId="5CB79DA6">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交付和验收</w:t>
      </w:r>
    </w:p>
    <w:p w14:paraId="204F57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1、提交服务成果时间：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2E17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6F64A0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594B75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4、乙方完成服务后应及时书面通知甲方进行验收，甲方应在收到通知后七个工作日内进行验收。验收合格后由甲乙双方签署验收单并加盖采购人公章，甲乙双方各执一份。</w:t>
      </w:r>
    </w:p>
    <w:p w14:paraId="50D0A4A1">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5、甲乙双方应按照《广西壮族自治区政府采购项目履约验收管理办法》、双方合同、响应文件验收。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6、甲方在初步验收或者最终验收过程中如发现乙方提供的服务成果不满足响应文件及本合同规定的，可暂缓向乙方付款，直到乙方及时完善并提交相应的服务成果且经甲方验收合格后，方可办理付款。</w:t>
      </w:r>
    </w:p>
    <w:p w14:paraId="6E37E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B1BF74D">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售后服务及培训</w:t>
      </w:r>
    </w:p>
    <w:p w14:paraId="5A44D9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1、乙方应按照国家有关法律法规和本合同所附的《售后服务承诺》要求为甲方提供相应的服务。</w:t>
      </w:r>
    </w:p>
    <w:p w14:paraId="089570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75B243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按甲方要求</w:t>
      </w:r>
      <w:r>
        <w:rPr>
          <w:rFonts w:hint="eastAsia" w:ascii="宋体" w:hAnsi="宋体" w:cs="宋体"/>
          <w:color w:val="auto"/>
          <w:szCs w:val="21"/>
          <w:highlight w:val="none"/>
        </w:rPr>
        <w:t>。</w:t>
      </w:r>
    </w:p>
    <w:p w14:paraId="59AB0935">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付款方式</w:t>
      </w:r>
    </w:p>
    <w:p w14:paraId="2BC4D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项约定执行：</w:t>
      </w:r>
    </w:p>
    <w:p w14:paraId="2AFA6FC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1、一次性支付：</w:t>
      </w:r>
      <w:r>
        <w:rPr>
          <w:rFonts w:hint="eastAsia" w:ascii="宋体" w:hAnsi="宋体" w:cs="宋体"/>
          <w:color w:val="auto"/>
          <w:szCs w:val="21"/>
          <w:highlight w:val="none"/>
          <w:u w:val="single"/>
        </w:rPr>
        <w:t xml:space="preserve">       /       </w:t>
      </w:r>
    </w:p>
    <w:p w14:paraId="3D42A091">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2、分期支付：</w:t>
      </w:r>
      <w:r>
        <w:rPr>
          <w:rFonts w:hint="eastAsia" w:ascii="宋体" w:hAnsi="宋体" w:cs="宋体"/>
          <w:color w:val="auto"/>
          <w:szCs w:val="21"/>
          <w:highlight w:val="none"/>
          <w:u w:val="single"/>
        </w:rPr>
        <w:t>自合同生效之日起</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个工作日内，甲方按合同总金额的30%预付服务费用；乙方提交成果初稿起</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个工作日内，甲方支付合同服务费的60%；乙方提交审核通过的成果终稿后</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个工作日内，甲方支付本合同服务费的10%。乙方在每次付款前开具相应发票给甲方</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否则甲方有权延期付款且不视为违约</w:t>
      </w:r>
      <w:r>
        <w:rPr>
          <w:rFonts w:hint="eastAsia" w:ascii="宋体" w:hAnsi="宋体" w:cs="宋体"/>
          <w:color w:val="auto"/>
          <w:szCs w:val="21"/>
          <w:highlight w:val="none"/>
          <w:u w:val="single"/>
          <w:lang w:eastAsia="zh-CN"/>
        </w:rPr>
        <w:t>。</w:t>
      </w:r>
    </w:p>
    <w:p w14:paraId="3DE99A13">
      <w:pPr>
        <w:numPr>
          <w:ilvl w:val="0"/>
          <w:numId w:val="2"/>
        </w:numPr>
        <w:spacing w:line="360" w:lineRule="auto"/>
        <w:ind w:firstLine="480"/>
        <w:rPr>
          <w:rFonts w:ascii="宋体" w:hAnsi="宋体" w:cs="宋体"/>
          <w:color w:val="auto"/>
          <w:szCs w:val="21"/>
          <w:highlight w:val="none"/>
          <w:u w:val="single"/>
        </w:rPr>
      </w:pPr>
      <w:r>
        <w:rPr>
          <w:rFonts w:hint="eastAsia" w:ascii="宋体" w:hAnsi="宋体" w:cs="宋体"/>
          <w:b/>
          <w:bCs/>
          <w:color w:val="auto"/>
          <w:szCs w:val="21"/>
          <w:highlight w:val="none"/>
        </w:rPr>
        <w:t>履约保证金：</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无 </w:t>
      </w:r>
    </w:p>
    <w:p w14:paraId="0AD42459">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税费</w:t>
      </w:r>
    </w:p>
    <w:p w14:paraId="4A1EC6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43148527">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违约责任</w:t>
      </w:r>
    </w:p>
    <w:p w14:paraId="274769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1、除不可抗力和甲方原因外，乙方没有按照合同规定的时间提供服务的，甲方可要求乙方支付违约金。每推迟一天按合同金额的0.5‰支付违约金。</w:t>
      </w:r>
    </w:p>
    <w:p w14:paraId="59A53E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62032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3、乙方逾期交付服务成果的，每天向甲方偿付逾期额3‰违约金。逾期超过约定日期</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个工作日不能提供服务的，甲方可解除本合同</w:t>
      </w:r>
      <w:r>
        <w:rPr>
          <w:rFonts w:hint="eastAsia" w:ascii="宋体" w:hAnsi="宋体" w:cs="宋体"/>
          <w:color w:val="auto"/>
          <w:szCs w:val="21"/>
          <w:highlight w:val="none"/>
          <w:lang w:eastAsia="zh-CN"/>
        </w:rPr>
        <w:t>，</w:t>
      </w:r>
      <w:r>
        <w:rPr>
          <w:color w:val="auto"/>
          <w:spacing w:val="4"/>
          <w:highlight w:val="none"/>
        </w:rPr>
        <w:t>并有权要求乙方按合同价款的</w:t>
      </w:r>
      <w:r>
        <w:rPr>
          <w:rFonts w:hint="eastAsia"/>
          <w:color w:val="auto"/>
          <w:spacing w:val="4"/>
          <w:highlight w:val="none"/>
          <w:u w:val="single"/>
          <w:lang w:val="en-US" w:eastAsia="zh-CN"/>
        </w:rPr>
        <w:t xml:space="preserve">10 </w:t>
      </w:r>
      <w:r>
        <w:rPr>
          <w:color w:val="auto"/>
          <w:spacing w:val="4"/>
          <w:highlight w:val="none"/>
        </w:rPr>
        <w:t>%</w:t>
      </w:r>
      <w:r>
        <w:rPr>
          <w:color w:val="auto"/>
          <w:spacing w:val="15"/>
          <w:highlight w:val="none"/>
        </w:rPr>
        <w:t>支付解除合同的违约金</w:t>
      </w:r>
      <w:r>
        <w:rPr>
          <w:rFonts w:hint="eastAsia" w:ascii="宋体" w:hAnsi="宋体" w:cs="宋体"/>
          <w:color w:val="auto"/>
          <w:szCs w:val="21"/>
          <w:highlight w:val="none"/>
        </w:rPr>
        <w:t>。如造成甲方直接经济损失超过违约金的，超出部分由乙方继续承担赔偿责任。甲方延期付款的，每天向乙方偿付延期款额3‰</w:t>
      </w:r>
      <w:r>
        <w:rPr>
          <w:rFonts w:hint="eastAsia" w:ascii="宋体" w:hAnsi="宋体" w:cs="宋体"/>
          <w:color w:val="auto"/>
          <w:szCs w:val="21"/>
          <w:highlight w:val="none"/>
          <w:lang w:val="en-US" w:eastAsia="zh-CN"/>
        </w:rPr>
        <w:t>违约金</w:t>
      </w:r>
      <w:r>
        <w:rPr>
          <w:rFonts w:hint="eastAsia" w:ascii="宋体" w:hAnsi="宋体" w:cs="宋体"/>
          <w:color w:val="auto"/>
          <w:szCs w:val="21"/>
          <w:highlight w:val="none"/>
        </w:rPr>
        <w:t>，但</w:t>
      </w:r>
      <w:r>
        <w:rPr>
          <w:rFonts w:hint="eastAsia" w:ascii="宋体" w:hAnsi="宋体" w:cs="宋体"/>
          <w:color w:val="auto"/>
          <w:szCs w:val="21"/>
          <w:highlight w:val="none"/>
          <w:lang w:val="en-US" w:eastAsia="zh-CN"/>
        </w:rPr>
        <w:t>违约金</w:t>
      </w:r>
      <w:r>
        <w:rPr>
          <w:rFonts w:hint="eastAsia" w:ascii="宋体" w:hAnsi="宋体" w:cs="宋体"/>
          <w:color w:val="auto"/>
          <w:szCs w:val="21"/>
          <w:highlight w:val="none"/>
        </w:rPr>
        <w:t>累计不得超过延期款额5%。若因甲方原因或不可抗力，导致项目不能按计划实施，乙方提交成果的时间相应往后顺延。如因甲方责任造成乙方需返工或新增工作量的，包括但不限于甲方变更委托项目、规模、条件或甲方提供的资料错误、需作较大修改，甲方应按乙方所耗工作量向乙方支付相应技术服务费，因此导致项目不能按计划实施的，乙方不承担责任。</w:t>
      </w:r>
    </w:p>
    <w:p w14:paraId="3E2B78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所提供的服务成果、数量、技术参数要求等不符合甲方要求的，应及时整改；乙方在甲方规定期限内不能完成整改的或无正当理由拒绝整改或经整改后仍不能达到甲方要求的，甲方有权终止合同，追回已付款项，并按本合同总价的10%计算违约金。</w:t>
      </w:r>
    </w:p>
    <w:p w14:paraId="1292E3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5、若乙方将甲方信息泄露给第三方或以上者使用或为甲方创作的产品侵犯其他权利者，由乙方承担一切后果，同时赔偿甲方因使用该作品所产生的设计费用、出版费用、侵权赔偿、行政罚款等所有一切损失。</w:t>
      </w:r>
    </w:p>
    <w:p w14:paraId="72C755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有权依据采购文件、响应文件及乙方的磋商承诺对乙方的服务人员进行管理或要求更换，对于甲方要求更换服务人员的，乙方应无条件及时更换；乙方拒绝更换的，甲方有权终止合同，并按本合同总价的10%计算违约金</w:t>
      </w:r>
    </w:p>
    <w:p w14:paraId="187D8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7、乙方违约的，甲方有权要求乙方承担其为主张权利所支出的一切费用，包括但不限于律师费、诉讼费、保全费、保全保险费、交通费、差旅费等。</w:t>
      </w:r>
    </w:p>
    <w:p w14:paraId="0A03D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8、合同生效后，甲方无正当理由要求终止或解除合同，甲方应按照乙方实际完成的工作量进行结算，还需按合同金额的10%向乙方支付违约金。</w:t>
      </w:r>
    </w:p>
    <w:p w14:paraId="428247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9、其他违约责任，在合同中有所约定的，按照合同约定执行；没有约定的，按照《中华人民共和国民法典》的有关规定执行。</w:t>
      </w:r>
    </w:p>
    <w:p w14:paraId="701F59CC">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知识产权</w:t>
      </w:r>
    </w:p>
    <w:p w14:paraId="24311BB6">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1、协议双方仅可在本协议约定的范围内，本着促进合作目的有效达成使用对方的商标、logo等，不得以任何其他目的或方式使用对方的商标、logo等。</w:t>
      </w:r>
    </w:p>
    <w:p w14:paraId="66AABDCB">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2、甲方对本协议项下提供的资料享有完整的知识产权，乙方不应以任何方式从事危害甲方知识产权的活动。</w:t>
      </w:r>
    </w:p>
    <w:p w14:paraId="22786DB6">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3、本合同项下制作成果（含乙方提交的阶段成果）的知识产权归甲方所有，包括视频源文件及相应的脚本，未经甲方书面许可，乙方不能使用或授权他人使用。</w:t>
      </w:r>
    </w:p>
    <w:p w14:paraId="485EDBDB">
      <w:pPr>
        <w:spacing w:line="5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4、乙方保证作品的原创性并承担版权责任。甲方支付所有款项后享有作品所有知识产权，乙方享有署名权。若乙方因知识产权引发第三方纠纷的，由乙方自行解决并承担责任。</w:t>
      </w:r>
    </w:p>
    <w:p w14:paraId="53C3E346">
      <w:pPr>
        <w:spacing w:line="360" w:lineRule="auto"/>
        <w:ind w:left="420"/>
        <w:rPr>
          <w:rFonts w:ascii="宋体" w:hAnsi="宋体" w:cs="宋体"/>
          <w:b/>
          <w:bCs/>
          <w:color w:val="auto"/>
          <w:szCs w:val="21"/>
          <w:highlight w:val="none"/>
        </w:rPr>
      </w:pPr>
      <w:r>
        <w:rPr>
          <w:rFonts w:hint="eastAsia" w:ascii="宋体" w:hAnsi="宋体" w:cs="宋体"/>
          <w:bCs/>
          <w:color w:val="auto"/>
          <w:szCs w:val="21"/>
          <w:highlight w:val="none"/>
        </w:rPr>
        <w:t>5、由于一方的原因所发生的所有经济损失，责任方有赔偿的义务。</w:t>
      </w:r>
    </w:p>
    <w:p w14:paraId="5FBCD2A9">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不可抗力事件处理</w:t>
      </w:r>
    </w:p>
    <w:p w14:paraId="3AEC7B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42DF39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5766CB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3、不可抗力事件延续一百二十天以上，双方应通过友好协商，确定是否继续履行合同。若双方协商解除合同，则甲方应当按照乙方实际工作量进行结算。</w:t>
      </w:r>
    </w:p>
    <w:p w14:paraId="560054FA">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合同争议解决</w:t>
      </w:r>
    </w:p>
    <w:p w14:paraId="46CF2D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4347A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54C318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4B72F259">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合同生效及其他</w:t>
      </w:r>
    </w:p>
    <w:p w14:paraId="05C7FB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03242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2、合同执行中涉及采购资金和采购内容修改或者补充的，须经财政部门审批，并签订书面补充协议报财政部门备案，方可作为主合同不可分割的一部分。</w:t>
      </w:r>
    </w:p>
    <w:p w14:paraId="462C4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3、本合同未尽事宜，遵照《中华人民共和国民法典》有关条文执行。 </w:t>
      </w:r>
    </w:p>
    <w:p w14:paraId="2BB0DC35">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合同的变更、终止与转让</w:t>
      </w:r>
    </w:p>
    <w:p w14:paraId="26E61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480EB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5C01C577">
      <w:pPr>
        <w:numPr>
          <w:ilvl w:val="0"/>
          <w:numId w:val="2"/>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签订本合同依据</w:t>
      </w:r>
    </w:p>
    <w:p w14:paraId="13E9D7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17AB6431">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2、竞争性磋商文件的澄清和修改（如有请提供）；</w:t>
      </w:r>
    </w:p>
    <w:p w14:paraId="07B1DD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3、竞标报价表（含最后报价）；</w:t>
      </w:r>
    </w:p>
    <w:p w14:paraId="4124C9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4、商务要求偏离表和技术要求偏离表；</w:t>
      </w:r>
    </w:p>
    <w:p w14:paraId="3A37E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5、服务承诺；</w:t>
      </w:r>
    </w:p>
    <w:p w14:paraId="6F832A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6、响应文件中的其他相关文件；</w:t>
      </w:r>
    </w:p>
    <w:p w14:paraId="06D156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7、上述合同文件互相补充和解释。如果合同文件之间存在矛盾或者不一致之处，以上述文件的排列顺序在先者为准。</w:t>
      </w:r>
    </w:p>
    <w:p w14:paraId="66C0ED8E">
      <w:pPr>
        <w:numPr>
          <w:ilvl w:val="0"/>
          <w:numId w:val="2"/>
        </w:numPr>
        <w:spacing w:line="360" w:lineRule="auto"/>
        <w:ind w:firstLine="480"/>
        <w:rPr>
          <w:rFonts w:ascii="宋体" w:hAnsi="宋体" w:cs="宋体"/>
          <w:color w:val="auto"/>
          <w:szCs w:val="21"/>
          <w:highlight w:val="none"/>
        </w:rPr>
      </w:pPr>
    </w:p>
    <w:p w14:paraId="5CDB00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本合同一式五份，具有同等法律效力，采购代理机构一份，甲乙双方各二份，具有同等法律效力。</w:t>
      </w:r>
    </w:p>
    <w:p w14:paraId="751E13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本合同自签订之日起2个工作日内，甲方或采购代理机构应当将采购合同在广西壮族自治区财政厅指定的媒体上公告。</w:t>
      </w:r>
    </w:p>
    <w:tbl>
      <w:tblPr>
        <w:tblStyle w:val="32"/>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453"/>
      </w:tblGrid>
      <w:tr w14:paraId="337B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4792" w:type="dxa"/>
            <w:tcBorders>
              <w:top w:val="single" w:color="auto" w:sz="12" w:space="0"/>
              <w:left w:val="single" w:color="auto" w:sz="12" w:space="0"/>
            </w:tcBorders>
          </w:tcPr>
          <w:p w14:paraId="3784F33D">
            <w:pPr>
              <w:rPr>
                <w:rFonts w:ascii="宋体" w:hAnsi="宋体" w:cs="宋体"/>
                <w:color w:val="auto"/>
                <w:szCs w:val="21"/>
                <w:highlight w:val="none"/>
              </w:rPr>
            </w:pPr>
          </w:p>
          <w:p w14:paraId="0B014B78">
            <w:pPr>
              <w:rPr>
                <w:rFonts w:ascii="宋体" w:hAnsi="宋体" w:cs="宋体"/>
                <w:color w:val="auto"/>
                <w:szCs w:val="21"/>
                <w:highlight w:val="none"/>
              </w:rPr>
            </w:pPr>
            <w:r>
              <w:rPr>
                <w:rFonts w:hint="eastAsia" w:ascii="宋体" w:hAnsi="宋体" w:cs="宋体"/>
                <w:color w:val="auto"/>
                <w:szCs w:val="21"/>
                <w:highlight w:val="none"/>
              </w:rPr>
              <w:t>甲方：（章）</w:t>
            </w:r>
          </w:p>
          <w:p w14:paraId="63AE2D5C">
            <w:pPr>
              <w:rPr>
                <w:rFonts w:ascii="宋体" w:hAnsi="宋体" w:cs="宋体"/>
                <w:color w:val="auto"/>
                <w:szCs w:val="21"/>
                <w:highlight w:val="none"/>
              </w:rPr>
            </w:pPr>
          </w:p>
          <w:p w14:paraId="240ED18C">
            <w:pPr>
              <w:rPr>
                <w:rFonts w:ascii="宋体" w:hAnsi="宋体" w:cs="宋体"/>
                <w:color w:val="auto"/>
                <w:szCs w:val="21"/>
                <w:highlight w:val="none"/>
              </w:rPr>
            </w:pPr>
          </w:p>
          <w:p w14:paraId="58C00B23">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c>
          <w:tcPr>
            <w:tcW w:w="4467" w:type="dxa"/>
            <w:tcBorders>
              <w:top w:val="single" w:color="auto" w:sz="12" w:space="0"/>
              <w:right w:val="single" w:color="auto" w:sz="12" w:space="0"/>
            </w:tcBorders>
          </w:tcPr>
          <w:p w14:paraId="44ED13D6">
            <w:pPr>
              <w:rPr>
                <w:rFonts w:ascii="宋体" w:hAnsi="宋体" w:cs="宋体"/>
                <w:color w:val="auto"/>
                <w:szCs w:val="21"/>
                <w:highlight w:val="none"/>
              </w:rPr>
            </w:pPr>
          </w:p>
          <w:p w14:paraId="2E043827">
            <w:pPr>
              <w:rPr>
                <w:rFonts w:ascii="宋体" w:hAnsi="宋体" w:cs="宋体"/>
                <w:color w:val="auto"/>
                <w:szCs w:val="21"/>
                <w:highlight w:val="none"/>
              </w:rPr>
            </w:pPr>
            <w:r>
              <w:rPr>
                <w:rFonts w:hint="eastAsia" w:ascii="宋体" w:hAnsi="宋体" w:cs="宋体"/>
                <w:color w:val="auto"/>
                <w:szCs w:val="21"/>
                <w:highlight w:val="none"/>
              </w:rPr>
              <w:t>乙方：（章）</w:t>
            </w:r>
          </w:p>
          <w:p w14:paraId="642CE97F">
            <w:pPr>
              <w:rPr>
                <w:rFonts w:ascii="宋体" w:hAnsi="宋体" w:cs="宋体"/>
                <w:color w:val="auto"/>
                <w:szCs w:val="21"/>
                <w:highlight w:val="none"/>
              </w:rPr>
            </w:pPr>
          </w:p>
          <w:p w14:paraId="5719FFA4">
            <w:pPr>
              <w:rPr>
                <w:rFonts w:ascii="宋体" w:hAnsi="宋体" w:cs="宋体"/>
                <w:color w:val="auto"/>
                <w:szCs w:val="21"/>
                <w:highlight w:val="none"/>
              </w:rPr>
            </w:pPr>
          </w:p>
          <w:p w14:paraId="22497234">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0C9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4357C61D">
            <w:pPr>
              <w:rPr>
                <w:rFonts w:ascii="宋体" w:hAnsi="宋体" w:cs="宋体"/>
                <w:color w:val="auto"/>
                <w:szCs w:val="21"/>
                <w:highlight w:val="none"/>
              </w:rPr>
            </w:pPr>
            <w:r>
              <w:rPr>
                <w:rFonts w:hint="eastAsia" w:ascii="宋体" w:hAnsi="宋体" w:cs="宋体"/>
                <w:color w:val="auto"/>
                <w:szCs w:val="21"/>
                <w:highlight w:val="none"/>
              </w:rPr>
              <w:t>单位地址：</w:t>
            </w:r>
          </w:p>
        </w:tc>
        <w:tc>
          <w:tcPr>
            <w:tcW w:w="4467" w:type="dxa"/>
            <w:tcBorders>
              <w:right w:val="single" w:color="auto" w:sz="12" w:space="0"/>
            </w:tcBorders>
            <w:vAlign w:val="center"/>
          </w:tcPr>
          <w:p w14:paraId="077B46BE">
            <w:pPr>
              <w:rPr>
                <w:rFonts w:ascii="宋体" w:hAnsi="宋体" w:cs="宋体"/>
                <w:color w:val="auto"/>
                <w:szCs w:val="21"/>
                <w:highlight w:val="none"/>
              </w:rPr>
            </w:pPr>
            <w:r>
              <w:rPr>
                <w:rFonts w:hint="eastAsia" w:ascii="宋体" w:hAnsi="宋体" w:cs="宋体"/>
                <w:color w:val="auto"/>
                <w:szCs w:val="21"/>
                <w:highlight w:val="none"/>
              </w:rPr>
              <w:t>单位地址：</w:t>
            </w:r>
          </w:p>
        </w:tc>
      </w:tr>
      <w:tr w14:paraId="1CDA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6CE74E64">
            <w:pPr>
              <w:rPr>
                <w:rFonts w:ascii="宋体" w:hAnsi="宋体" w:cs="宋体"/>
                <w:color w:val="auto"/>
                <w:szCs w:val="21"/>
                <w:highlight w:val="none"/>
              </w:rPr>
            </w:pPr>
            <w:r>
              <w:rPr>
                <w:rFonts w:hint="eastAsia" w:ascii="宋体" w:hAnsi="宋体" w:cs="宋体"/>
                <w:color w:val="auto"/>
                <w:szCs w:val="21"/>
                <w:highlight w:val="none"/>
              </w:rPr>
              <w:t>法定代表人：</w:t>
            </w:r>
          </w:p>
        </w:tc>
        <w:tc>
          <w:tcPr>
            <w:tcW w:w="4467" w:type="dxa"/>
            <w:tcBorders>
              <w:right w:val="single" w:color="auto" w:sz="12" w:space="0"/>
            </w:tcBorders>
            <w:vAlign w:val="center"/>
          </w:tcPr>
          <w:p w14:paraId="13B1E54A">
            <w:pPr>
              <w:rPr>
                <w:rFonts w:ascii="宋体" w:hAnsi="宋体" w:cs="宋体"/>
                <w:color w:val="auto"/>
                <w:szCs w:val="21"/>
                <w:highlight w:val="none"/>
              </w:rPr>
            </w:pPr>
            <w:r>
              <w:rPr>
                <w:rFonts w:hint="eastAsia" w:ascii="宋体" w:hAnsi="宋体" w:cs="宋体"/>
                <w:color w:val="auto"/>
                <w:szCs w:val="21"/>
                <w:highlight w:val="none"/>
              </w:rPr>
              <w:t>法定代表人：</w:t>
            </w:r>
          </w:p>
        </w:tc>
      </w:tr>
      <w:tr w14:paraId="3019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1196A833">
            <w:pPr>
              <w:rPr>
                <w:rFonts w:ascii="宋体" w:hAnsi="宋体" w:cs="宋体"/>
                <w:color w:val="auto"/>
                <w:szCs w:val="21"/>
                <w:highlight w:val="none"/>
              </w:rPr>
            </w:pPr>
            <w:r>
              <w:rPr>
                <w:rFonts w:hint="eastAsia" w:ascii="宋体" w:hAnsi="宋体" w:cs="宋体"/>
                <w:color w:val="auto"/>
                <w:szCs w:val="21"/>
                <w:highlight w:val="none"/>
              </w:rPr>
              <w:t>委托代理人：</w:t>
            </w:r>
          </w:p>
        </w:tc>
        <w:tc>
          <w:tcPr>
            <w:tcW w:w="4467" w:type="dxa"/>
            <w:tcBorders>
              <w:right w:val="single" w:color="auto" w:sz="12" w:space="0"/>
            </w:tcBorders>
            <w:vAlign w:val="center"/>
          </w:tcPr>
          <w:p w14:paraId="7013621E">
            <w:pPr>
              <w:rPr>
                <w:rFonts w:ascii="宋体" w:hAnsi="宋体" w:cs="宋体"/>
                <w:color w:val="auto"/>
                <w:szCs w:val="21"/>
                <w:highlight w:val="none"/>
              </w:rPr>
            </w:pPr>
            <w:r>
              <w:rPr>
                <w:rFonts w:hint="eastAsia" w:ascii="宋体" w:hAnsi="宋体" w:cs="宋体"/>
                <w:color w:val="auto"/>
                <w:szCs w:val="21"/>
                <w:highlight w:val="none"/>
              </w:rPr>
              <w:t>委托代理人：</w:t>
            </w:r>
          </w:p>
        </w:tc>
      </w:tr>
      <w:tr w14:paraId="1EC9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689E86AE">
            <w:pPr>
              <w:rPr>
                <w:rFonts w:ascii="宋体" w:hAnsi="宋体" w:cs="宋体"/>
                <w:color w:val="auto"/>
                <w:szCs w:val="21"/>
                <w:highlight w:val="none"/>
              </w:rPr>
            </w:pPr>
            <w:r>
              <w:rPr>
                <w:rFonts w:hint="eastAsia" w:ascii="宋体" w:hAnsi="宋体" w:cs="宋体"/>
                <w:color w:val="auto"/>
                <w:szCs w:val="21"/>
                <w:highlight w:val="none"/>
              </w:rPr>
              <w:t>电话：</w:t>
            </w:r>
          </w:p>
        </w:tc>
        <w:tc>
          <w:tcPr>
            <w:tcW w:w="4467" w:type="dxa"/>
            <w:tcBorders>
              <w:right w:val="single" w:color="auto" w:sz="12" w:space="0"/>
            </w:tcBorders>
            <w:vAlign w:val="center"/>
          </w:tcPr>
          <w:p w14:paraId="6AE45521">
            <w:pPr>
              <w:rPr>
                <w:rFonts w:ascii="宋体" w:hAnsi="宋体" w:cs="宋体"/>
                <w:color w:val="auto"/>
                <w:szCs w:val="21"/>
                <w:highlight w:val="none"/>
              </w:rPr>
            </w:pPr>
            <w:r>
              <w:rPr>
                <w:rFonts w:hint="eastAsia" w:ascii="宋体" w:hAnsi="宋体" w:cs="宋体"/>
                <w:color w:val="auto"/>
                <w:szCs w:val="21"/>
                <w:highlight w:val="none"/>
              </w:rPr>
              <w:t>电话：</w:t>
            </w:r>
          </w:p>
        </w:tc>
      </w:tr>
      <w:tr w14:paraId="5006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2DF56930">
            <w:pPr>
              <w:rPr>
                <w:rFonts w:ascii="宋体" w:hAnsi="宋体" w:cs="宋体"/>
                <w:color w:val="auto"/>
                <w:szCs w:val="21"/>
                <w:highlight w:val="none"/>
              </w:rPr>
            </w:pPr>
            <w:r>
              <w:rPr>
                <w:rFonts w:hint="eastAsia" w:ascii="宋体" w:hAnsi="宋体" w:cs="宋体"/>
                <w:color w:val="auto"/>
                <w:szCs w:val="21"/>
                <w:highlight w:val="none"/>
              </w:rPr>
              <w:t>开户银行：</w:t>
            </w:r>
          </w:p>
        </w:tc>
        <w:tc>
          <w:tcPr>
            <w:tcW w:w="4467" w:type="dxa"/>
            <w:tcBorders>
              <w:right w:val="single" w:color="auto" w:sz="12" w:space="0"/>
            </w:tcBorders>
            <w:vAlign w:val="center"/>
          </w:tcPr>
          <w:p w14:paraId="0788C991">
            <w:pPr>
              <w:rPr>
                <w:rFonts w:ascii="宋体" w:hAnsi="宋体" w:cs="宋体"/>
                <w:color w:val="auto"/>
                <w:szCs w:val="21"/>
                <w:highlight w:val="none"/>
              </w:rPr>
            </w:pPr>
            <w:r>
              <w:rPr>
                <w:rFonts w:hint="eastAsia" w:ascii="宋体" w:hAnsi="宋体" w:cs="宋体"/>
                <w:color w:val="auto"/>
                <w:szCs w:val="21"/>
                <w:highlight w:val="none"/>
              </w:rPr>
              <w:t>开户银行：</w:t>
            </w:r>
          </w:p>
        </w:tc>
      </w:tr>
      <w:tr w14:paraId="04C2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2F9674ED">
            <w:pPr>
              <w:rPr>
                <w:rFonts w:ascii="宋体" w:hAnsi="宋体" w:cs="宋体"/>
                <w:color w:val="auto"/>
                <w:szCs w:val="21"/>
                <w:highlight w:val="none"/>
              </w:rPr>
            </w:pPr>
            <w:r>
              <w:rPr>
                <w:rFonts w:hint="eastAsia" w:ascii="宋体" w:hAnsi="宋体" w:cs="宋体"/>
                <w:color w:val="auto"/>
                <w:szCs w:val="21"/>
                <w:highlight w:val="none"/>
              </w:rPr>
              <w:t>账号：</w:t>
            </w:r>
          </w:p>
        </w:tc>
        <w:tc>
          <w:tcPr>
            <w:tcW w:w="4467" w:type="dxa"/>
            <w:tcBorders>
              <w:right w:val="single" w:color="auto" w:sz="12" w:space="0"/>
            </w:tcBorders>
            <w:vAlign w:val="center"/>
          </w:tcPr>
          <w:p w14:paraId="32FABF33">
            <w:pPr>
              <w:rPr>
                <w:rFonts w:ascii="宋体" w:hAnsi="宋体" w:cs="宋体"/>
                <w:color w:val="auto"/>
                <w:szCs w:val="21"/>
                <w:highlight w:val="none"/>
              </w:rPr>
            </w:pPr>
            <w:r>
              <w:rPr>
                <w:rFonts w:hint="eastAsia" w:ascii="宋体" w:hAnsi="宋体" w:cs="宋体"/>
                <w:color w:val="auto"/>
                <w:szCs w:val="21"/>
                <w:highlight w:val="none"/>
              </w:rPr>
              <w:t>账号：</w:t>
            </w:r>
          </w:p>
        </w:tc>
      </w:tr>
      <w:tr w14:paraId="61A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bottom w:val="single" w:color="auto" w:sz="12" w:space="0"/>
            </w:tcBorders>
            <w:vAlign w:val="center"/>
          </w:tcPr>
          <w:p w14:paraId="7ADD2549">
            <w:pPr>
              <w:rPr>
                <w:rFonts w:ascii="宋体" w:hAnsi="宋体" w:cs="宋体"/>
                <w:color w:val="auto"/>
                <w:szCs w:val="21"/>
                <w:highlight w:val="none"/>
              </w:rPr>
            </w:pPr>
            <w:r>
              <w:rPr>
                <w:rFonts w:hint="eastAsia" w:ascii="宋体" w:hAnsi="宋体" w:cs="宋体"/>
                <w:color w:val="auto"/>
                <w:szCs w:val="21"/>
                <w:highlight w:val="none"/>
              </w:rPr>
              <w:t>邮政编码：</w:t>
            </w:r>
          </w:p>
        </w:tc>
        <w:tc>
          <w:tcPr>
            <w:tcW w:w="4467" w:type="dxa"/>
            <w:tcBorders>
              <w:bottom w:val="single" w:color="auto" w:sz="12" w:space="0"/>
              <w:right w:val="single" w:color="auto" w:sz="12" w:space="0"/>
            </w:tcBorders>
            <w:vAlign w:val="center"/>
          </w:tcPr>
          <w:p w14:paraId="4F05E843">
            <w:pPr>
              <w:rPr>
                <w:rFonts w:ascii="宋体" w:hAnsi="宋体" w:cs="宋体"/>
                <w:color w:val="auto"/>
                <w:szCs w:val="21"/>
                <w:highlight w:val="none"/>
              </w:rPr>
            </w:pPr>
            <w:r>
              <w:rPr>
                <w:rFonts w:hint="eastAsia" w:ascii="宋体" w:hAnsi="宋体" w:cs="宋体"/>
                <w:color w:val="auto"/>
                <w:szCs w:val="21"/>
                <w:highlight w:val="none"/>
              </w:rPr>
              <w:t>邮政编码：</w:t>
            </w:r>
          </w:p>
        </w:tc>
      </w:tr>
    </w:tbl>
    <w:p w14:paraId="11106287">
      <w:pPr>
        <w:spacing w:line="400" w:lineRule="exact"/>
        <w:rPr>
          <w:rFonts w:ascii="宋体" w:hAnsi="宋体" w:cs="宋体"/>
          <w:b/>
          <w:bCs/>
          <w:color w:val="auto"/>
          <w:sz w:val="24"/>
          <w:highlight w:val="none"/>
        </w:rPr>
      </w:pPr>
    </w:p>
    <w:p w14:paraId="0026F045">
      <w:pPr>
        <w:spacing w:line="400" w:lineRule="exact"/>
        <w:rPr>
          <w:rFonts w:ascii="宋体" w:hAnsi="宋体" w:cs="宋体"/>
          <w:b/>
          <w:bCs/>
          <w:color w:val="auto"/>
          <w:sz w:val="24"/>
          <w:highlight w:val="none"/>
        </w:rPr>
      </w:pPr>
    </w:p>
    <w:sectPr>
      <w:footerReference r:id="rId12" w:type="first"/>
      <w:headerReference r:id="rId10" w:type="default"/>
      <w:footerReference r:id="rId11" w:type="default"/>
      <w:pgSz w:w="11906" w:h="16838"/>
      <w:pgMar w:top="1304" w:right="1361" w:bottom="1304" w:left="1361" w:header="102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7B56">
    <w:pPr>
      <w:pStyle w:val="21"/>
      <w:tabs>
        <w:tab w:val="center" w:pos="4439"/>
        <w:tab w:val="clear" w:pos="4153"/>
      </w:tabs>
      <w:jc w:val="both"/>
    </w:pPr>
  </w:p>
  <w:p w14:paraId="40065CC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D3DC">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2AC357"/>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IKacQBAACQAwAADgAAAGRycy9lMm9Eb2MueG1srVPNjtMwEL4j8Q6W&#10;79RppV1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Rm&#10;ubrNCvUBakx8CJiahjd+wL2Z/YDOTHxQ0eYvUiIYR33PV33lkIjIj9ar9brCkMDYfEF89vg8REhv&#10;pbckGw2NOMCiKz+9hzSmzim5mvP32pgyROP+ciBm9rDc+9hjttKwHyZCe9+ekU+Ps2+ow1WnxLxz&#10;KG1ek9mIs7GfjFwDwutjwsKln4w6Qk3FcFCF0bRUeRP+vJesxx9p+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yIKacQBAACQAwAADgAAAAAAAAABACAAAAAeAQAAZHJzL2Uyb0RvYy54bWxQ&#10;SwUGAAAAAAYABgBZAQAAVAUAAAAA&#10;">
              <v:fill on="f" focussize="0,0"/>
              <v:stroke on="f"/>
              <v:imagedata o:title=""/>
              <o:lock v:ext="edit" aspectratio="f"/>
              <v:textbox inset="0mm,0mm,0mm,0mm" style="mso-fit-shape-to-text:t;">
                <w:txbxContent>
                  <w:p w14:paraId="612AC35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6AD4">
    <w:pPr>
      <w:pStyle w:val="21"/>
      <w:tabs>
        <w:tab w:val="center" w:pos="4439"/>
        <w:tab w:val="clear" w:pos="4153"/>
      </w:tabs>
      <w:jc w:val="both"/>
    </w:pPr>
  </w:p>
  <w:p w14:paraId="68A44723">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9A13">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45EC7"/>
                      </w:txbxContent>
                    </wps:txbx>
                    <wps:bodyPr wrap="none" lIns="0" tIns="0" rIns="0" bIns="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JxfcUBAACQ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3lFhucODnH9/PP3+ff30j&#10;N8tVmRTqPVSY+OgxNQ7v3IB7M/sBnYn40AaTvkiJYBz1PV30lUMkIj0qV2VZYEhgbL4gPnt67gPE&#10;99IZkoyaBhxg1pUfP0AcU+eUVM26e6V1HqK2fzkQM3lY6n3sMVlx2A0ToZ1rTsinx9nX1OKqU6If&#10;LEqb1mQ2wmzsJiPVAP/2ELFw7iehjlBTMRxUZjQtVdqE5/ec9fQj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yicX3FAQAAkAMAAA4AAAAAAAAAAQAgAAAAHgEAAGRycy9lMm9Eb2MueG1s&#10;UEsFBgAAAAAGAAYAWQEAAFUFAAAAAA==&#10;">
              <v:fill on="f" focussize="0,0"/>
              <v:stroke on="f"/>
              <v:imagedata o:title=""/>
              <o:lock v:ext="edit" aspectratio="f"/>
              <v:textbox inset="0mm,0mm,0mm,0mm" style="mso-fit-shape-to-text:t;">
                <w:txbxContent>
                  <w:p w14:paraId="76245EC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72C2">
    <w:pPr>
      <w:pStyle w:val="21"/>
      <w:tabs>
        <w:tab w:val="center" w:pos="4439"/>
        <w:tab w:val="clear" w:pos="4153"/>
      </w:tabs>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420D8">
                          <w:pPr>
                            <w:pStyle w:val="2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B1420D8">
                    <w:pPr>
                      <w:pStyle w:val="2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DC10">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5C3A1">
                          <w:pPr>
                            <w:pStyle w:val="2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9A5C3A1">
                    <w:pPr>
                      <w:pStyle w:val="21"/>
                    </w:pPr>
                    <w:r>
                      <w:fldChar w:fldCharType="begin"/>
                    </w:r>
                    <w:r>
                      <w:instrText xml:space="preserve"> PAGE  \* MERGEFORMAT </w:instrText>
                    </w:r>
                    <w:r>
                      <w:fldChar w:fldCharType="separate"/>
                    </w:r>
                    <w:r>
                      <w:t>75</w:t>
                    </w:r>
                    <w:r>
                      <w:fldChar w:fldCharType="end"/>
                    </w:r>
                  </w:p>
                </w:txbxContent>
              </v:textbox>
            </v:shape>
          </w:pict>
        </mc:Fallback>
      </mc:AlternateContent>
    </w:r>
  </w:p>
  <w:p w14:paraId="3A1E0851">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B9B2">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CEB772">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68</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R8M/aAQAAtQMAAA4AAAAAAAAAAQAg&#10;AAAAHgEAAGRycy9lMm9Eb2MueG1sUEsFBgAAAAAGAAYAWQEAAGoFAAAAAA==&#10;">
              <v:fill on="f" focussize="0,0"/>
              <v:stroke on="f"/>
              <v:imagedata o:title=""/>
              <o:lock v:ext="edit" aspectratio="f"/>
              <v:textbox inset="0mm,0mm,0mm,0mm" style="mso-fit-shape-to-text:t;">
                <w:txbxContent>
                  <w:p w14:paraId="39CEB772">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EF33">
    <w:pPr>
      <w:pStyle w:val="22"/>
      <w:pBdr>
        <w:bottom w:val="none" w:color="auto" w:sz="0" w:space="0"/>
      </w:pBdr>
      <w:ind w:firstLine="3420" w:firstLineChars="19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DB59">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76989">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67630A23">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Ly6uKSjAQAAVQMAAA4AAAAAAAAAAQAg&#10;AAAAHAEAAGRycy9lMm9Eb2MueG1sUEsFBgAAAAAGAAYAWQEAADEFAAAAAA==&#10;">
              <v:fill on="f" focussize="0,0"/>
              <v:stroke on="f"/>
              <v:imagedata o:title=""/>
              <o:lock v:ext="edit" aspectratio="f"/>
              <v:textbox>
                <w:txbxContent>
                  <w:p w14:paraId="67630A23">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3CA56"/>
    <w:multiLevelType w:val="singleLevel"/>
    <w:tmpl w:val="1F33CA56"/>
    <w:lvl w:ilvl="0" w:tentative="0">
      <w:start w:val="2"/>
      <w:numFmt w:val="chineseCounting"/>
      <w:suff w:val="space"/>
      <w:lvlText w:val="第%1条"/>
      <w:lvlJc w:val="left"/>
      <w:pPr>
        <w:ind w:left="-60"/>
      </w:pPr>
      <w:rPr>
        <w:rFonts w:hint="eastAsia"/>
        <w:b/>
        <w:bCs/>
      </w:rPr>
    </w:lvl>
  </w:abstractNum>
  <w:abstractNum w:abstractNumId="1">
    <w:nsid w:val="50A215E7"/>
    <w:multiLevelType w:val="singleLevel"/>
    <w:tmpl w:val="50A215E7"/>
    <w:lvl w:ilvl="0" w:tentative="0">
      <w:start w:val="4"/>
      <w:numFmt w:val="decimal"/>
      <w:suff w:val="nothing"/>
      <w:lvlText w:val="（%1）"/>
      <w:lvlJc w:val="left"/>
    </w:lvl>
  </w:abstractNum>
  <w:abstractNum w:abstractNumId="2">
    <w:nsid w:val="672F0D52"/>
    <w:multiLevelType w:val="singleLevel"/>
    <w:tmpl w:val="672F0D5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iYzAyZjkzM2MxMmRkY2FjOWFlYjIxYTdhMWVlNjU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B9E"/>
    <w:rsid w:val="00010D39"/>
    <w:rsid w:val="0001172C"/>
    <w:rsid w:val="00011BC9"/>
    <w:rsid w:val="00012854"/>
    <w:rsid w:val="00012D36"/>
    <w:rsid w:val="00012EA6"/>
    <w:rsid w:val="00013359"/>
    <w:rsid w:val="00013654"/>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037"/>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0E3"/>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55C7"/>
    <w:rsid w:val="0009560F"/>
    <w:rsid w:val="0009588E"/>
    <w:rsid w:val="000959EE"/>
    <w:rsid w:val="00096DB9"/>
    <w:rsid w:val="00096E5E"/>
    <w:rsid w:val="00097183"/>
    <w:rsid w:val="000972CB"/>
    <w:rsid w:val="00097608"/>
    <w:rsid w:val="000A0F35"/>
    <w:rsid w:val="000A1175"/>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2EA9"/>
    <w:rsid w:val="000B37F2"/>
    <w:rsid w:val="000B3815"/>
    <w:rsid w:val="000B3C7B"/>
    <w:rsid w:val="000B3E68"/>
    <w:rsid w:val="000B4321"/>
    <w:rsid w:val="000B6281"/>
    <w:rsid w:val="000B6A6B"/>
    <w:rsid w:val="000B6C95"/>
    <w:rsid w:val="000B79FC"/>
    <w:rsid w:val="000C1679"/>
    <w:rsid w:val="000C1EE3"/>
    <w:rsid w:val="000C3AE7"/>
    <w:rsid w:val="000C3CC9"/>
    <w:rsid w:val="000C59C6"/>
    <w:rsid w:val="000C6DE4"/>
    <w:rsid w:val="000C7202"/>
    <w:rsid w:val="000D0A89"/>
    <w:rsid w:val="000D1389"/>
    <w:rsid w:val="000D14B3"/>
    <w:rsid w:val="000D1798"/>
    <w:rsid w:val="000D262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95E"/>
    <w:rsid w:val="00101668"/>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D15"/>
    <w:rsid w:val="00115E11"/>
    <w:rsid w:val="00115EEE"/>
    <w:rsid w:val="00115F56"/>
    <w:rsid w:val="001169D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2877"/>
    <w:rsid w:val="001434BE"/>
    <w:rsid w:val="00143AAD"/>
    <w:rsid w:val="00144050"/>
    <w:rsid w:val="00144369"/>
    <w:rsid w:val="0014479F"/>
    <w:rsid w:val="00144EC4"/>
    <w:rsid w:val="001452B4"/>
    <w:rsid w:val="00145320"/>
    <w:rsid w:val="001476D3"/>
    <w:rsid w:val="001509CF"/>
    <w:rsid w:val="00150D1D"/>
    <w:rsid w:val="0015167D"/>
    <w:rsid w:val="001525AA"/>
    <w:rsid w:val="001528F9"/>
    <w:rsid w:val="00152A87"/>
    <w:rsid w:val="00152AC1"/>
    <w:rsid w:val="00153BB5"/>
    <w:rsid w:val="00153C0C"/>
    <w:rsid w:val="0015439E"/>
    <w:rsid w:val="00154518"/>
    <w:rsid w:val="00156359"/>
    <w:rsid w:val="00156DD6"/>
    <w:rsid w:val="0016086E"/>
    <w:rsid w:val="001609B9"/>
    <w:rsid w:val="00160D0C"/>
    <w:rsid w:val="00160DD1"/>
    <w:rsid w:val="00161172"/>
    <w:rsid w:val="00161998"/>
    <w:rsid w:val="00161E65"/>
    <w:rsid w:val="00162597"/>
    <w:rsid w:val="001629AF"/>
    <w:rsid w:val="001629FD"/>
    <w:rsid w:val="00162A65"/>
    <w:rsid w:val="0016428A"/>
    <w:rsid w:val="001647C9"/>
    <w:rsid w:val="00165627"/>
    <w:rsid w:val="001661A3"/>
    <w:rsid w:val="00167226"/>
    <w:rsid w:val="0016782B"/>
    <w:rsid w:val="0016784D"/>
    <w:rsid w:val="00167853"/>
    <w:rsid w:val="00167887"/>
    <w:rsid w:val="00170ECF"/>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00E"/>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EAB"/>
    <w:rsid w:val="001C25A7"/>
    <w:rsid w:val="001C2775"/>
    <w:rsid w:val="001C2EFC"/>
    <w:rsid w:val="001C318C"/>
    <w:rsid w:val="001C35C4"/>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D7C7E"/>
    <w:rsid w:val="001E129E"/>
    <w:rsid w:val="001E175C"/>
    <w:rsid w:val="001E1918"/>
    <w:rsid w:val="001E19D4"/>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22ED"/>
    <w:rsid w:val="0021302C"/>
    <w:rsid w:val="00213474"/>
    <w:rsid w:val="00213B1C"/>
    <w:rsid w:val="00213F1E"/>
    <w:rsid w:val="00214202"/>
    <w:rsid w:val="002148E3"/>
    <w:rsid w:val="0021552D"/>
    <w:rsid w:val="00215561"/>
    <w:rsid w:val="002156AE"/>
    <w:rsid w:val="00215E99"/>
    <w:rsid w:val="0022054D"/>
    <w:rsid w:val="0022107B"/>
    <w:rsid w:val="00223DDB"/>
    <w:rsid w:val="00223FA4"/>
    <w:rsid w:val="00223FB0"/>
    <w:rsid w:val="00223FE6"/>
    <w:rsid w:val="0022405A"/>
    <w:rsid w:val="00224067"/>
    <w:rsid w:val="0022421C"/>
    <w:rsid w:val="00224C4A"/>
    <w:rsid w:val="00224E83"/>
    <w:rsid w:val="00225664"/>
    <w:rsid w:val="002260A4"/>
    <w:rsid w:val="0022663D"/>
    <w:rsid w:val="00227C56"/>
    <w:rsid w:val="00227F2D"/>
    <w:rsid w:val="00231851"/>
    <w:rsid w:val="002319FB"/>
    <w:rsid w:val="00231B89"/>
    <w:rsid w:val="00231F11"/>
    <w:rsid w:val="00231F5E"/>
    <w:rsid w:val="00233A5A"/>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675A"/>
    <w:rsid w:val="00247F3A"/>
    <w:rsid w:val="00250122"/>
    <w:rsid w:val="0025024D"/>
    <w:rsid w:val="00250755"/>
    <w:rsid w:val="00251043"/>
    <w:rsid w:val="00251C4A"/>
    <w:rsid w:val="0025271C"/>
    <w:rsid w:val="0025277A"/>
    <w:rsid w:val="002533CD"/>
    <w:rsid w:val="002535EA"/>
    <w:rsid w:val="00254EAB"/>
    <w:rsid w:val="002557AF"/>
    <w:rsid w:val="0025589C"/>
    <w:rsid w:val="00255B62"/>
    <w:rsid w:val="00256319"/>
    <w:rsid w:val="002566B1"/>
    <w:rsid w:val="002575E3"/>
    <w:rsid w:val="00257A74"/>
    <w:rsid w:val="00257C5D"/>
    <w:rsid w:val="002603C1"/>
    <w:rsid w:val="002609A1"/>
    <w:rsid w:val="002612B1"/>
    <w:rsid w:val="00262C42"/>
    <w:rsid w:val="00263BC4"/>
    <w:rsid w:val="00265A12"/>
    <w:rsid w:val="00266165"/>
    <w:rsid w:val="00266A2B"/>
    <w:rsid w:val="00266F2C"/>
    <w:rsid w:val="0027125E"/>
    <w:rsid w:val="00271767"/>
    <w:rsid w:val="00272293"/>
    <w:rsid w:val="002723C8"/>
    <w:rsid w:val="00273C2A"/>
    <w:rsid w:val="00273CBE"/>
    <w:rsid w:val="002746B1"/>
    <w:rsid w:val="00274BAD"/>
    <w:rsid w:val="0027513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A50"/>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379B"/>
    <w:rsid w:val="002B4395"/>
    <w:rsid w:val="002B4532"/>
    <w:rsid w:val="002B4DD9"/>
    <w:rsid w:val="002B5042"/>
    <w:rsid w:val="002B6923"/>
    <w:rsid w:val="002B69CC"/>
    <w:rsid w:val="002B6D71"/>
    <w:rsid w:val="002C03AE"/>
    <w:rsid w:val="002C0C1C"/>
    <w:rsid w:val="002C41BF"/>
    <w:rsid w:val="002C54C2"/>
    <w:rsid w:val="002C5D34"/>
    <w:rsid w:val="002C60BB"/>
    <w:rsid w:val="002C60C6"/>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E3C"/>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5CE7"/>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0650"/>
    <w:rsid w:val="003314D9"/>
    <w:rsid w:val="00331653"/>
    <w:rsid w:val="00331A48"/>
    <w:rsid w:val="00331BCC"/>
    <w:rsid w:val="003330C9"/>
    <w:rsid w:val="0033364C"/>
    <w:rsid w:val="00334415"/>
    <w:rsid w:val="00335EA1"/>
    <w:rsid w:val="0033691E"/>
    <w:rsid w:val="00336A6A"/>
    <w:rsid w:val="00336CCB"/>
    <w:rsid w:val="003407B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03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63D"/>
    <w:rsid w:val="00381D70"/>
    <w:rsid w:val="003821C6"/>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3880"/>
    <w:rsid w:val="003A4211"/>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0DC"/>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50C9"/>
    <w:rsid w:val="003D5561"/>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25F"/>
    <w:rsid w:val="0045444D"/>
    <w:rsid w:val="0045463A"/>
    <w:rsid w:val="00454AC9"/>
    <w:rsid w:val="00455050"/>
    <w:rsid w:val="004554A3"/>
    <w:rsid w:val="00455A6E"/>
    <w:rsid w:val="00455EAD"/>
    <w:rsid w:val="00455F8E"/>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853"/>
    <w:rsid w:val="004938A3"/>
    <w:rsid w:val="00494D8C"/>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25BD"/>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3B3"/>
    <w:rsid w:val="004E25A8"/>
    <w:rsid w:val="004E3930"/>
    <w:rsid w:val="004E3ED9"/>
    <w:rsid w:val="004E4DE3"/>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48AC"/>
    <w:rsid w:val="00504CD4"/>
    <w:rsid w:val="0050524B"/>
    <w:rsid w:val="00505450"/>
    <w:rsid w:val="00505FC6"/>
    <w:rsid w:val="005100B7"/>
    <w:rsid w:val="00510340"/>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1FB"/>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34C"/>
    <w:rsid w:val="00534668"/>
    <w:rsid w:val="00534DDD"/>
    <w:rsid w:val="00535291"/>
    <w:rsid w:val="00535A94"/>
    <w:rsid w:val="0053721D"/>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48E"/>
    <w:rsid w:val="00555DA1"/>
    <w:rsid w:val="0055608A"/>
    <w:rsid w:val="00556BF7"/>
    <w:rsid w:val="00556E53"/>
    <w:rsid w:val="00557F60"/>
    <w:rsid w:val="00561730"/>
    <w:rsid w:val="00561B97"/>
    <w:rsid w:val="00562149"/>
    <w:rsid w:val="00563A18"/>
    <w:rsid w:val="005640EB"/>
    <w:rsid w:val="005666A4"/>
    <w:rsid w:val="00567B5D"/>
    <w:rsid w:val="00570757"/>
    <w:rsid w:val="00570E4D"/>
    <w:rsid w:val="00573733"/>
    <w:rsid w:val="00573F8B"/>
    <w:rsid w:val="00574554"/>
    <w:rsid w:val="00574E06"/>
    <w:rsid w:val="005751BB"/>
    <w:rsid w:val="00576089"/>
    <w:rsid w:val="005764B1"/>
    <w:rsid w:val="00576852"/>
    <w:rsid w:val="00576D06"/>
    <w:rsid w:val="005779E4"/>
    <w:rsid w:val="005805E6"/>
    <w:rsid w:val="00580EC7"/>
    <w:rsid w:val="00581E3D"/>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A7B0C"/>
    <w:rsid w:val="005B0266"/>
    <w:rsid w:val="005B07EC"/>
    <w:rsid w:val="005B18FD"/>
    <w:rsid w:val="005B2B11"/>
    <w:rsid w:val="005B32A4"/>
    <w:rsid w:val="005B3371"/>
    <w:rsid w:val="005B338D"/>
    <w:rsid w:val="005B33A1"/>
    <w:rsid w:val="005B3852"/>
    <w:rsid w:val="005B3BAF"/>
    <w:rsid w:val="005B4DA3"/>
    <w:rsid w:val="005B5BEE"/>
    <w:rsid w:val="005B77D2"/>
    <w:rsid w:val="005B7A8C"/>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42E"/>
    <w:rsid w:val="005E1B9D"/>
    <w:rsid w:val="005E1BDA"/>
    <w:rsid w:val="005E2233"/>
    <w:rsid w:val="005E2442"/>
    <w:rsid w:val="005E3111"/>
    <w:rsid w:val="005E3CA0"/>
    <w:rsid w:val="005E3F85"/>
    <w:rsid w:val="005E4A5F"/>
    <w:rsid w:val="005E516A"/>
    <w:rsid w:val="005E57B0"/>
    <w:rsid w:val="005E5B01"/>
    <w:rsid w:val="005E6D3B"/>
    <w:rsid w:val="005F009E"/>
    <w:rsid w:val="005F0D0D"/>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8E9"/>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5486"/>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3F3"/>
    <w:rsid w:val="0065171A"/>
    <w:rsid w:val="00652680"/>
    <w:rsid w:val="00653CDE"/>
    <w:rsid w:val="00654585"/>
    <w:rsid w:val="0065566E"/>
    <w:rsid w:val="00655AB6"/>
    <w:rsid w:val="00655EFA"/>
    <w:rsid w:val="00656061"/>
    <w:rsid w:val="00656281"/>
    <w:rsid w:val="0065636A"/>
    <w:rsid w:val="00656C66"/>
    <w:rsid w:val="00657003"/>
    <w:rsid w:val="00660238"/>
    <w:rsid w:val="006602EF"/>
    <w:rsid w:val="00661277"/>
    <w:rsid w:val="0066177A"/>
    <w:rsid w:val="006619E0"/>
    <w:rsid w:val="00662395"/>
    <w:rsid w:val="00663FEA"/>
    <w:rsid w:val="00664803"/>
    <w:rsid w:val="006657C5"/>
    <w:rsid w:val="006658F1"/>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6D97"/>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2DFB"/>
    <w:rsid w:val="006B376E"/>
    <w:rsid w:val="006B4589"/>
    <w:rsid w:val="006B5157"/>
    <w:rsid w:val="006B5DA7"/>
    <w:rsid w:val="006B610E"/>
    <w:rsid w:val="006B6805"/>
    <w:rsid w:val="006B6C07"/>
    <w:rsid w:val="006B6DE0"/>
    <w:rsid w:val="006C16C3"/>
    <w:rsid w:val="006C2187"/>
    <w:rsid w:val="006C27D9"/>
    <w:rsid w:val="006C32F4"/>
    <w:rsid w:val="006C3C54"/>
    <w:rsid w:val="006C4B6B"/>
    <w:rsid w:val="006C4CE1"/>
    <w:rsid w:val="006C4F9F"/>
    <w:rsid w:val="006C60D8"/>
    <w:rsid w:val="006C6988"/>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512"/>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6A8D"/>
    <w:rsid w:val="006F70BC"/>
    <w:rsid w:val="006F726C"/>
    <w:rsid w:val="006F7E7C"/>
    <w:rsid w:val="0070174E"/>
    <w:rsid w:val="007018DB"/>
    <w:rsid w:val="00701DE6"/>
    <w:rsid w:val="00702740"/>
    <w:rsid w:val="0070381B"/>
    <w:rsid w:val="0070796C"/>
    <w:rsid w:val="007109BB"/>
    <w:rsid w:val="00710EBF"/>
    <w:rsid w:val="007110B8"/>
    <w:rsid w:val="00711E36"/>
    <w:rsid w:val="0071209F"/>
    <w:rsid w:val="007125A2"/>
    <w:rsid w:val="00713C1B"/>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2B7F"/>
    <w:rsid w:val="0079343F"/>
    <w:rsid w:val="00793696"/>
    <w:rsid w:val="007955DA"/>
    <w:rsid w:val="00796F65"/>
    <w:rsid w:val="007A11C2"/>
    <w:rsid w:val="007A18BB"/>
    <w:rsid w:val="007A27DD"/>
    <w:rsid w:val="007A41BF"/>
    <w:rsid w:val="007A490A"/>
    <w:rsid w:val="007A6E8E"/>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6B8"/>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6E57"/>
    <w:rsid w:val="007E7F78"/>
    <w:rsid w:val="007F0179"/>
    <w:rsid w:val="007F189E"/>
    <w:rsid w:val="007F2C13"/>
    <w:rsid w:val="007F2CEC"/>
    <w:rsid w:val="007F2ED1"/>
    <w:rsid w:val="007F30BE"/>
    <w:rsid w:val="007F334A"/>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E8E"/>
    <w:rsid w:val="00811D1D"/>
    <w:rsid w:val="00812C44"/>
    <w:rsid w:val="00812DF7"/>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0181"/>
    <w:rsid w:val="00831758"/>
    <w:rsid w:val="008317D9"/>
    <w:rsid w:val="00831AEC"/>
    <w:rsid w:val="0083279F"/>
    <w:rsid w:val="00832CE9"/>
    <w:rsid w:val="008334DB"/>
    <w:rsid w:val="00833B7F"/>
    <w:rsid w:val="00833E8E"/>
    <w:rsid w:val="00834906"/>
    <w:rsid w:val="00836075"/>
    <w:rsid w:val="00836417"/>
    <w:rsid w:val="00837526"/>
    <w:rsid w:val="008405D4"/>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4DE8"/>
    <w:rsid w:val="0085572E"/>
    <w:rsid w:val="0085723E"/>
    <w:rsid w:val="00857354"/>
    <w:rsid w:val="0085788B"/>
    <w:rsid w:val="00857A9E"/>
    <w:rsid w:val="00857DE2"/>
    <w:rsid w:val="0086003D"/>
    <w:rsid w:val="0086037C"/>
    <w:rsid w:val="008615AE"/>
    <w:rsid w:val="00862567"/>
    <w:rsid w:val="00863A8E"/>
    <w:rsid w:val="0086407F"/>
    <w:rsid w:val="008645E3"/>
    <w:rsid w:val="00864E79"/>
    <w:rsid w:val="00865540"/>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911"/>
    <w:rsid w:val="00874F0F"/>
    <w:rsid w:val="008754E4"/>
    <w:rsid w:val="00876EAE"/>
    <w:rsid w:val="00880106"/>
    <w:rsid w:val="00880F95"/>
    <w:rsid w:val="00882B44"/>
    <w:rsid w:val="008838AD"/>
    <w:rsid w:val="00885BC9"/>
    <w:rsid w:val="008864B3"/>
    <w:rsid w:val="008865E5"/>
    <w:rsid w:val="008871B0"/>
    <w:rsid w:val="00890B57"/>
    <w:rsid w:val="008916BA"/>
    <w:rsid w:val="0089217C"/>
    <w:rsid w:val="00892790"/>
    <w:rsid w:val="00893671"/>
    <w:rsid w:val="008955C6"/>
    <w:rsid w:val="00895838"/>
    <w:rsid w:val="00895A1E"/>
    <w:rsid w:val="00895A72"/>
    <w:rsid w:val="00895CDF"/>
    <w:rsid w:val="00896679"/>
    <w:rsid w:val="00896D8C"/>
    <w:rsid w:val="00896FF0"/>
    <w:rsid w:val="008A0FC9"/>
    <w:rsid w:val="008A1956"/>
    <w:rsid w:val="008A1A7C"/>
    <w:rsid w:val="008A2CE2"/>
    <w:rsid w:val="008A40D3"/>
    <w:rsid w:val="008A469C"/>
    <w:rsid w:val="008A50FB"/>
    <w:rsid w:val="008A51D1"/>
    <w:rsid w:val="008A5DCE"/>
    <w:rsid w:val="008A75D3"/>
    <w:rsid w:val="008B05DD"/>
    <w:rsid w:val="008B07B8"/>
    <w:rsid w:val="008B0D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581B"/>
    <w:rsid w:val="008E6540"/>
    <w:rsid w:val="008E6A84"/>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5CD"/>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709"/>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2A2A"/>
    <w:rsid w:val="00973772"/>
    <w:rsid w:val="0097560A"/>
    <w:rsid w:val="00975E1E"/>
    <w:rsid w:val="00975E70"/>
    <w:rsid w:val="009761DE"/>
    <w:rsid w:val="009766FA"/>
    <w:rsid w:val="00977CD6"/>
    <w:rsid w:val="0098048B"/>
    <w:rsid w:val="00980908"/>
    <w:rsid w:val="00980DF9"/>
    <w:rsid w:val="00981CD8"/>
    <w:rsid w:val="0098243D"/>
    <w:rsid w:val="00982D26"/>
    <w:rsid w:val="00982F3F"/>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2FD"/>
    <w:rsid w:val="009A550F"/>
    <w:rsid w:val="009A57D0"/>
    <w:rsid w:val="009A6559"/>
    <w:rsid w:val="009A68FC"/>
    <w:rsid w:val="009A6CE4"/>
    <w:rsid w:val="009A7514"/>
    <w:rsid w:val="009A7E7A"/>
    <w:rsid w:val="009B0354"/>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7AC"/>
    <w:rsid w:val="009C079D"/>
    <w:rsid w:val="009C0D70"/>
    <w:rsid w:val="009C13D1"/>
    <w:rsid w:val="009C2913"/>
    <w:rsid w:val="009C2BD4"/>
    <w:rsid w:val="009C3746"/>
    <w:rsid w:val="009C4F1E"/>
    <w:rsid w:val="009C5AFE"/>
    <w:rsid w:val="009C6606"/>
    <w:rsid w:val="009C6CE5"/>
    <w:rsid w:val="009C6D50"/>
    <w:rsid w:val="009C7547"/>
    <w:rsid w:val="009D05EC"/>
    <w:rsid w:val="009D061F"/>
    <w:rsid w:val="009D18D4"/>
    <w:rsid w:val="009D1FCF"/>
    <w:rsid w:val="009D2F60"/>
    <w:rsid w:val="009D3A2E"/>
    <w:rsid w:val="009D5ADE"/>
    <w:rsid w:val="009D5BAC"/>
    <w:rsid w:val="009D5C56"/>
    <w:rsid w:val="009D6265"/>
    <w:rsid w:val="009D64BD"/>
    <w:rsid w:val="009D6CB1"/>
    <w:rsid w:val="009E0223"/>
    <w:rsid w:val="009E0286"/>
    <w:rsid w:val="009E153F"/>
    <w:rsid w:val="009E18C5"/>
    <w:rsid w:val="009E322A"/>
    <w:rsid w:val="009E393E"/>
    <w:rsid w:val="009E444E"/>
    <w:rsid w:val="009E45F3"/>
    <w:rsid w:val="009E4968"/>
    <w:rsid w:val="009E663C"/>
    <w:rsid w:val="009E684A"/>
    <w:rsid w:val="009E6BB1"/>
    <w:rsid w:val="009E6E14"/>
    <w:rsid w:val="009E724E"/>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1DA8"/>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68F8"/>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1CA0"/>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1F95"/>
    <w:rsid w:val="00A52573"/>
    <w:rsid w:val="00A531D4"/>
    <w:rsid w:val="00A54572"/>
    <w:rsid w:val="00A575B8"/>
    <w:rsid w:val="00A619BB"/>
    <w:rsid w:val="00A61C60"/>
    <w:rsid w:val="00A61ECB"/>
    <w:rsid w:val="00A6410C"/>
    <w:rsid w:val="00A647B1"/>
    <w:rsid w:val="00A64AFB"/>
    <w:rsid w:val="00A64DEF"/>
    <w:rsid w:val="00A654D2"/>
    <w:rsid w:val="00A665DF"/>
    <w:rsid w:val="00A67FCC"/>
    <w:rsid w:val="00A70612"/>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1052"/>
    <w:rsid w:val="00A9246D"/>
    <w:rsid w:val="00A92CCA"/>
    <w:rsid w:val="00A93BD0"/>
    <w:rsid w:val="00A93CC2"/>
    <w:rsid w:val="00A94D4B"/>
    <w:rsid w:val="00A974CC"/>
    <w:rsid w:val="00AA2001"/>
    <w:rsid w:val="00AA2B5C"/>
    <w:rsid w:val="00AA32D2"/>
    <w:rsid w:val="00AA3B8B"/>
    <w:rsid w:val="00AA3CEC"/>
    <w:rsid w:val="00AA4016"/>
    <w:rsid w:val="00AA4C1F"/>
    <w:rsid w:val="00AA5328"/>
    <w:rsid w:val="00AA5393"/>
    <w:rsid w:val="00AA63D4"/>
    <w:rsid w:val="00AB03FD"/>
    <w:rsid w:val="00AB07ED"/>
    <w:rsid w:val="00AB09A1"/>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C9C"/>
    <w:rsid w:val="00AD5721"/>
    <w:rsid w:val="00AD69F0"/>
    <w:rsid w:val="00AD7127"/>
    <w:rsid w:val="00AD730C"/>
    <w:rsid w:val="00AE123A"/>
    <w:rsid w:val="00AE1539"/>
    <w:rsid w:val="00AE287B"/>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1C7"/>
    <w:rsid w:val="00AF2910"/>
    <w:rsid w:val="00AF34B8"/>
    <w:rsid w:val="00AF3896"/>
    <w:rsid w:val="00AF39C9"/>
    <w:rsid w:val="00AF3FC2"/>
    <w:rsid w:val="00AF4DEC"/>
    <w:rsid w:val="00AF537D"/>
    <w:rsid w:val="00B003FF"/>
    <w:rsid w:val="00B0098A"/>
    <w:rsid w:val="00B00A5F"/>
    <w:rsid w:val="00B0210E"/>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1AB"/>
    <w:rsid w:val="00B074C9"/>
    <w:rsid w:val="00B07D9D"/>
    <w:rsid w:val="00B11AE5"/>
    <w:rsid w:val="00B12FE6"/>
    <w:rsid w:val="00B1303F"/>
    <w:rsid w:val="00B135F4"/>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12C2"/>
    <w:rsid w:val="00B42264"/>
    <w:rsid w:val="00B434B2"/>
    <w:rsid w:val="00B43D45"/>
    <w:rsid w:val="00B459AF"/>
    <w:rsid w:val="00B468F2"/>
    <w:rsid w:val="00B469DE"/>
    <w:rsid w:val="00B47286"/>
    <w:rsid w:val="00B47EB4"/>
    <w:rsid w:val="00B50234"/>
    <w:rsid w:val="00B51AB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7EE"/>
    <w:rsid w:val="00B74861"/>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BB2"/>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5E52"/>
    <w:rsid w:val="00BD65D9"/>
    <w:rsid w:val="00BD6DF3"/>
    <w:rsid w:val="00BD6E09"/>
    <w:rsid w:val="00BD6EF9"/>
    <w:rsid w:val="00BD7760"/>
    <w:rsid w:val="00BE054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36A5"/>
    <w:rsid w:val="00C047AB"/>
    <w:rsid w:val="00C058AF"/>
    <w:rsid w:val="00C075B6"/>
    <w:rsid w:val="00C124C1"/>
    <w:rsid w:val="00C128AE"/>
    <w:rsid w:val="00C12BA8"/>
    <w:rsid w:val="00C12DAE"/>
    <w:rsid w:val="00C13094"/>
    <w:rsid w:val="00C133E9"/>
    <w:rsid w:val="00C136D6"/>
    <w:rsid w:val="00C13D5B"/>
    <w:rsid w:val="00C141D7"/>
    <w:rsid w:val="00C170B0"/>
    <w:rsid w:val="00C1711B"/>
    <w:rsid w:val="00C17AE2"/>
    <w:rsid w:val="00C20140"/>
    <w:rsid w:val="00C20F27"/>
    <w:rsid w:val="00C215CF"/>
    <w:rsid w:val="00C21EF8"/>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A50"/>
    <w:rsid w:val="00C35D01"/>
    <w:rsid w:val="00C360B3"/>
    <w:rsid w:val="00C37027"/>
    <w:rsid w:val="00C373BF"/>
    <w:rsid w:val="00C37B19"/>
    <w:rsid w:val="00C37D51"/>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57FFC"/>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EEA"/>
    <w:rsid w:val="00C707B8"/>
    <w:rsid w:val="00C712AC"/>
    <w:rsid w:val="00C71C15"/>
    <w:rsid w:val="00C71F3D"/>
    <w:rsid w:val="00C72D14"/>
    <w:rsid w:val="00C72F53"/>
    <w:rsid w:val="00C74035"/>
    <w:rsid w:val="00C748EA"/>
    <w:rsid w:val="00C77818"/>
    <w:rsid w:val="00C8063F"/>
    <w:rsid w:val="00C80BDD"/>
    <w:rsid w:val="00C81282"/>
    <w:rsid w:val="00C827B4"/>
    <w:rsid w:val="00C83214"/>
    <w:rsid w:val="00C8329F"/>
    <w:rsid w:val="00C8342B"/>
    <w:rsid w:val="00C84F8A"/>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080F"/>
    <w:rsid w:val="00CA10A2"/>
    <w:rsid w:val="00CA1D83"/>
    <w:rsid w:val="00CA25C0"/>
    <w:rsid w:val="00CA30B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3B"/>
    <w:rsid w:val="00CB7DDE"/>
    <w:rsid w:val="00CC0A3D"/>
    <w:rsid w:val="00CC2FF0"/>
    <w:rsid w:val="00CC3C53"/>
    <w:rsid w:val="00CC3D24"/>
    <w:rsid w:val="00CC3F91"/>
    <w:rsid w:val="00CC47EE"/>
    <w:rsid w:val="00CC4ACD"/>
    <w:rsid w:val="00CC4B0A"/>
    <w:rsid w:val="00CC544A"/>
    <w:rsid w:val="00CC57EA"/>
    <w:rsid w:val="00CC5954"/>
    <w:rsid w:val="00CC629B"/>
    <w:rsid w:val="00CC6614"/>
    <w:rsid w:val="00CC6684"/>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508"/>
    <w:rsid w:val="00CF2BE2"/>
    <w:rsid w:val="00CF3DEB"/>
    <w:rsid w:val="00CF55F9"/>
    <w:rsid w:val="00CF7074"/>
    <w:rsid w:val="00CF7495"/>
    <w:rsid w:val="00D00181"/>
    <w:rsid w:val="00D01CF9"/>
    <w:rsid w:val="00D0334D"/>
    <w:rsid w:val="00D0374D"/>
    <w:rsid w:val="00D06D7B"/>
    <w:rsid w:val="00D06DA5"/>
    <w:rsid w:val="00D07191"/>
    <w:rsid w:val="00D07F1D"/>
    <w:rsid w:val="00D10558"/>
    <w:rsid w:val="00D1075B"/>
    <w:rsid w:val="00D11D4D"/>
    <w:rsid w:val="00D11DB1"/>
    <w:rsid w:val="00D126DC"/>
    <w:rsid w:val="00D12B03"/>
    <w:rsid w:val="00D13E70"/>
    <w:rsid w:val="00D13EE7"/>
    <w:rsid w:val="00D15FCD"/>
    <w:rsid w:val="00D16C58"/>
    <w:rsid w:val="00D17019"/>
    <w:rsid w:val="00D17FC8"/>
    <w:rsid w:val="00D2015B"/>
    <w:rsid w:val="00D20B44"/>
    <w:rsid w:val="00D21168"/>
    <w:rsid w:val="00D2234D"/>
    <w:rsid w:val="00D2438C"/>
    <w:rsid w:val="00D2585A"/>
    <w:rsid w:val="00D259B0"/>
    <w:rsid w:val="00D259C2"/>
    <w:rsid w:val="00D26C3F"/>
    <w:rsid w:val="00D27185"/>
    <w:rsid w:val="00D3028A"/>
    <w:rsid w:val="00D31F4D"/>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3B"/>
    <w:rsid w:val="00D55848"/>
    <w:rsid w:val="00D55951"/>
    <w:rsid w:val="00D559F0"/>
    <w:rsid w:val="00D5650F"/>
    <w:rsid w:val="00D57EB6"/>
    <w:rsid w:val="00D60158"/>
    <w:rsid w:val="00D608C0"/>
    <w:rsid w:val="00D60D6D"/>
    <w:rsid w:val="00D6128C"/>
    <w:rsid w:val="00D626C5"/>
    <w:rsid w:val="00D63B22"/>
    <w:rsid w:val="00D63E69"/>
    <w:rsid w:val="00D66D8B"/>
    <w:rsid w:val="00D70849"/>
    <w:rsid w:val="00D72297"/>
    <w:rsid w:val="00D72A1C"/>
    <w:rsid w:val="00D7308F"/>
    <w:rsid w:val="00D7313E"/>
    <w:rsid w:val="00D73580"/>
    <w:rsid w:val="00D73802"/>
    <w:rsid w:val="00D73C2C"/>
    <w:rsid w:val="00D73D52"/>
    <w:rsid w:val="00D745E7"/>
    <w:rsid w:val="00D74F65"/>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0C9D"/>
    <w:rsid w:val="00D9193A"/>
    <w:rsid w:val="00D923B2"/>
    <w:rsid w:val="00D92463"/>
    <w:rsid w:val="00D93E64"/>
    <w:rsid w:val="00D93F64"/>
    <w:rsid w:val="00D94CA4"/>
    <w:rsid w:val="00D95E99"/>
    <w:rsid w:val="00D965D5"/>
    <w:rsid w:val="00D97708"/>
    <w:rsid w:val="00D97DA2"/>
    <w:rsid w:val="00DA0485"/>
    <w:rsid w:val="00DA1A3A"/>
    <w:rsid w:val="00DA2351"/>
    <w:rsid w:val="00DA249E"/>
    <w:rsid w:val="00DA2D3D"/>
    <w:rsid w:val="00DA3855"/>
    <w:rsid w:val="00DA39BA"/>
    <w:rsid w:val="00DA4C30"/>
    <w:rsid w:val="00DA6A44"/>
    <w:rsid w:val="00DA6C96"/>
    <w:rsid w:val="00DA7A3C"/>
    <w:rsid w:val="00DB145E"/>
    <w:rsid w:val="00DB1A94"/>
    <w:rsid w:val="00DB1D52"/>
    <w:rsid w:val="00DB1E2B"/>
    <w:rsid w:val="00DB1F62"/>
    <w:rsid w:val="00DB21E7"/>
    <w:rsid w:val="00DB2E03"/>
    <w:rsid w:val="00DB3742"/>
    <w:rsid w:val="00DB3E9B"/>
    <w:rsid w:val="00DB3F4B"/>
    <w:rsid w:val="00DB5375"/>
    <w:rsid w:val="00DB6219"/>
    <w:rsid w:val="00DB67C1"/>
    <w:rsid w:val="00DB6C0B"/>
    <w:rsid w:val="00DB70F4"/>
    <w:rsid w:val="00DB748A"/>
    <w:rsid w:val="00DC1056"/>
    <w:rsid w:val="00DC1442"/>
    <w:rsid w:val="00DC21D8"/>
    <w:rsid w:val="00DC282A"/>
    <w:rsid w:val="00DC2DE8"/>
    <w:rsid w:val="00DC34DC"/>
    <w:rsid w:val="00DC3780"/>
    <w:rsid w:val="00DC39C2"/>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3F"/>
    <w:rsid w:val="00DD61E8"/>
    <w:rsid w:val="00DD62C0"/>
    <w:rsid w:val="00DD64DE"/>
    <w:rsid w:val="00DD66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0877"/>
    <w:rsid w:val="00E219CE"/>
    <w:rsid w:val="00E21D53"/>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5AC9"/>
    <w:rsid w:val="00E3699A"/>
    <w:rsid w:val="00E402C5"/>
    <w:rsid w:val="00E402F4"/>
    <w:rsid w:val="00E405F1"/>
    <w:rsid w:val="00E417DB"/>
    <w:rsid w:val="00E43054"/>
    <w:rsid w:val="00E43655"/>
    <w:rsid w:val="00E44440"/>
    <w:rsid w:val="00E46013"/>
    <w:rsid w:val="00E47099"/>
    <w:rsid w:val="00E47284"/>
    <w:rsid w:val="00E477C3"/>
    <w:rsid w:val="00E50F81"/>
    <w:rsid w:val="00E51A8E"/>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4FDA"/>
    <w:rsid w:val="00E6680A"/>
    <w:rsid w:val="00E66F0D"/>
    <w:rsid w:val="00E70615"/>
    <w:rsid w:val="00E714EC"/>
    <w:rsid w:val="00E7161E"/>
    <w:rsid w:val="00E7207B"/>
    <w:rsid w:val="00E7347A"/>
    <w:rsid w:val="00E75A47"/>
    <w:rsid w:val="00E75BB6"/>
    <w:rsid w:val="00E75D8C"/>
    <w:rsid w:val="00E777F2"/>
    <w:rsid w:val="00E802C9"/>
    <w:rsid w:val="00E80BFB"/>
    <w:rsid w:val="00E80EC2"/>
    <w:rsid w:val="00E80F0A"/>
    <w:rsid w:val="00E815D4"/>
    <w:rsid w:val="00E8291B"/>
    <w:rsid w:val="00E82E70"/>
    <w:rsid w:val="00E82F92"/>
    <w:rsid w:val="00E830AE"/>
    <w:rsid w:val="00E8395F"/>
    <w:rsid w:val="00E8410F"/>
    <w:rsid w:val="00E849D7"/>
    <w:rsid w:val="00E85E41"/>
    <w:rsid w:val="00E85EA1"/>
    <w:rsid w:val="00E86703"/>
    <w:rsid w:val="00E870F1"/>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4A3D"/>
    <w:rsid w:val="00EA60BF"/>
    <w:rsid w:val="00EA7365"/>
    <w:rsid w:val="00EA763F"/>
    <w:rsid w:val="00EA77E9"/>
    <w:rsid w:val="00EB05D0"/>
    <w:rsid w:val="00EB1151"/>
    <w:rsid w:val="00EB1D49"/>
    <w:rsid w:val="00EB23D9"/>
    <w:rsid w:val="00EB39A0"/>
    <w:rsid w:val="00EB430A"/>
    <w:rsid w:val="00EB51DE"/>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0DD4"/>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4A2F"/>
    <w:rsid w:val="00F156A0"/>
    <w:rsid w:val="00F15730"/>
    <w:rsid w:val="00F176A6"/>
    <w:rsid w:val="00F202C2"/>
    <w:rsid w:val="00F212F6"/>
    <w:rsid w:val="00F21945"/>
    <w:rsid w:val="00F22756"/>
    <w:rsid w:val="00F23248"/>
    <w:rsid w:val="00F23890"/>
    <w:rsid w:val="00F2504D"/>
    <w:rsid w:val="00F260B2"/>
    <w:rsid w:val="00F2637F"/>
    <w:rsid w:val="00F268F7"/>
    <w:rsid w:val="00F3083C"/>
    <w:rsid w:val="00F30B83"/>
    <w:rsid w:val="00F30BDB"/>
    <w:rsid w:val="00F30CF8"/>
    <w:rsid w:val="00F31EDF"/>
    <w:rsid w:val="00F32CDE"/>
    <w:rsid w:val="00F32D4C"/>
    <w:rsid w:val="00F3320A"/>
    <w:rsid w:val="00F3327E"/>
    <w:rsid w:val="00F338C3"/>
    <w:rsid w:val="00F34B14"/>
    <w:rsid w:val="00F34F58"/>
    <w:rsid w:val="00F35DA7"/>
    <w:rsid w:val="00F36712"/>
    <w:rsid w:val="00F36A6A"/>
    <w:rsid w:val="00F40101"/>
    <w:rsid w:val="00F404F7"/>
    <w:rsid w:val="00F4082E"/>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CE7"/>
    <w:rsid w:val="00F70799"/>
    <w:rsid w:val="00F70A8B"/>
    <w:rsid w:val="00F70B8D"/>
    <w:rsid w:val="00F71936"/>
    <w:rsid w:val="00F724FB"/>
    <w:rsid w:val="00F726B8"/>
    <w:rsid w:val="00F72A26"/>
    <w:rsid w:val="00F733C3"/>
    <w:rsid w:val="00F746A1"/>
    <w:rsid w:val="00F74820"/>
    <w:rsid w:val="00F756DD"/>
    <w:rsid w:val="00F77C72"/>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4E3"/>
    <w:rsid w:val="00F91A9A"/>
    <w:rsid w:val="00F92634"/>
    <w:rsid w:val="00F933F3"/>
    <w:rsid w:val="00F93ABB"/>
    <w:rsid w:val="00F94D79"/>
    <w:rsid w:val="00F94F6A"/>
    <w:rsid w:val="00F9658C"/>
    <w:rsid w:val="00F96EEB"/>
    <w:rsid w:val="00F97A7F"/>
    <w:rsid w:val="00F97CD0"/>
    <w:rsid w:val="00FA02AD"/>
    <w:rsid w:val="00FA0889"/>
    <w:rsid w:val="00FA16E7"/>
    <w:rsid w:val="00FA31C7"/>
    <w:rsid w:val="00FA472D"/>
    <w:rsid w:val="00FA681F"/>
    <w:rsid w:val="00FB0CBF"/>
    <w:rsid w:val="00FB18F6"/>
    <w:rsid w:val="00FB2A52"/>
    <w:rsid w:val="00FB3F92"/>
    <w:rsid w:val="00FB52C7"/>
    <w:rsid w:val="00FB57DC"/>
    <w:rsid w:val="00FB6979"/>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1891"/>
    <w:rsid w:val="012C5FAF"/>
    <w:rsid w:val="01353714"/>
    <w:rsid w:val="0156352C"/>
    <w:rsid w:val="01586F89"/>
    <w:rsid w:val="015B4FE6"/>
    <w:rsid w:val="01616971"/>
    <w:rsid w:val="01655E68"/>
    <w:rsid w:val="017B5688"/>
    <w:rsid w:val="017F3E01"/>
    <w:rsid w:val="018A6C3C"/>
    <w:rsid w:val="018F22FB"/>
    <w:rsid w:val="018F6A3E"/>
    <w:rsid w:val="0195456A"/>
    <w:rsid w:val="01AF3D99"/>
    <w:rsid w:val="01B82438"/>
    <w:rsid w:val="01C90086"/>
    <w:rsid w:val="01C901A1"/>
    <w:rsid w:val="01EE7C08"/>
    <w:rsid w:val="01F92E49"/>
    <w:rsid w:val="02007ABC"/>
    <w:rsid w:val="02033711"/>
    <w:rsid w:val="021A46A5"/>
    <w:rsid w:val="023557DF"/>
    <w:rsid w:val="02510197"/>
    <w:rsid w:val="02511F9D"/>
    <w:rsid w:val="028265A2"/>
    <w:rsid w:val="028505AB"/>
    <w:rsid w:val="02A62DED"/>
    <w:rsid w:val="02DC0E1D"/>
    <w:rsid w:val="030303EC"/>
    <w:rsid w:val="030D0562"/>
    <w:rsid w:val="030E6646"/>
    <w:rsid w:val="0320364A"/>
    <w:rsid w:val="0343346C"/>
    <w:rsid w:val="034675D0"/>
    <w:rsid w:val="036C7100"/>
    <w:rsid w:val="03A314B8"/>
    <w:rsid w:val="03B44E81"/>
    <w:rsid w:val="03CD109D"/>
    <w:rsid w:val="03D82B98"/>
    <w:rsid w:val="03DD6186"/>
    <w:rsid w:val="03E15B6C"/>
    <w:rsid w:val="03EB1215"/>
    <w:rsid w:val="03F83E8B"/>
    <w:rsid w:val="043302F1"/>
    <w:rsid w:val="043E3147"/>
    <w:rsid w:val="04402271"/>
    <w:rsid w:val="04451541"/>
    <w:rsid w:val="044A30F0"/>
    <w:rsid w:val="045126D0"/>
    <w:rsid w:val="04673CA2"/>
    <w:rsid w:val="04734E4F"/>
    <w:rsid w:val="0490144A"/>
    <w:rsid w:val="04AF6FE7"/>
    <w:rsid w:val="04B64ED6"/>
    <w:rsid w:val="04B80F46"/>
    <w:rsid w:val="04BF54A2"/>
    <w:rsid w:val="04C144E7"/>
    <w:rsid w:val="04DE21B6"/>
    <w:rsid w:val="04E6383E"/>
    <w:rsid w:val="04EB48D3"/>
    <w:rsid w:val="04EE7063"/>
    <w:rsid w:val="050140F6"/>
    <w:rsid w:val="050470A8"/>
    <w:rsid w:val="05063607"/>
    <w:rsid w:val="050D6668"/>
    <w:rsid w:val="05343DDC"/>
    <w:rsid w:val="05557F9E"/>
    <w:rsid w:val="05654685"/>
    <w:rsid w:val="0571500E"/>
    <w:rsid w:val="05790B59"/>
    <w:rsid w:val="057E74F5"/>
    <w:rsid w:val="058663AA"/>
    <w:rsid w:val="05962A91"/>
    <w:rsid w:val="05A7040A"/>
    <w:rsid w:val="05A864A3"/>
    <w:rsid w:val="05AF3BC6"/>
    <w:rsid w:val="05B366E0"/>
    <w:rsid w:val="05C15910"/>
    <w:rsid w:val="05C56868"/>
    <w:rsid w:val="05CA273A"/>
    <w:rsid w:val="05D76C05"/>
    <w:rsid w:val="05E174AE"/>
    <w:rsid w:val="060D2627"/>
    <w:rsid w:val="061E65E2"/>
    <w:rsid w:val="06320490"/>
    <w:rsid w:val="066B5CCB"/>
    <w:rsid w:val="067032E2"/>
    <w:rsid w:val="0671705A"/>
    <w:rsid w:val="067F52D3"/>
    <w:rsid w:val="068F347F"/>
    <w:rsid w:val="06982838"/>
    <w:rsid w:val="06B43B46"/>
    <w:rsid w:val="06C477F9"/>
    <w:rsid w:val="06D46400"/>
    <w:rsid w:val="06E70564"/>
    <w:rsid w:val="06F15E58"/>
    <w:rsid w:val="07283BBC"/>
    <w:rsid w:val="073D792E"/>
    <w:rsid w:val="07524CC5"/>
    <w:rsid w:val="075E138C"/>
    <w:rsid w:val="076B5898"/>
    <w:rsid w:val="07A539BD"/>
    <w:rsid w:val="07A656A9"/>
    <w:rsid w:val="07B72767"/>
    <w:rsid w:val="07BE5E08"/>
    <w:rsid w:val="07C37441"/>
    <w:rsid w:val="07C458B8"/>
    <w:rsid w:val="07C82CA9"/>
    <w:rsid w:val="07CF5DE6"/>
    <w:rsid w:val="07F37741"/>
    <w:rsid w:val="08077E72"/>
    <w:rsid w:val="082C4FE6"/>
    <w:rsid w:val="082E5202"/>
    <w:rsid w:val="08373478"/>
    <w:rsid w:val="083C5675"/>
    <w:rsid w:val="08417091"/>
    <w:rsid w:val="08640C24"/>
    <w:rsid w:val="086A6183"/>
    <w:rsid w:val="08882DD0"/>
    <w:rsid w:val="089B35AD"/>
    <w:rsid w:val="08A41020"/>
    <w:rsid w:val="08B03E69"/>
    <w:rsid w:val="08BB45BC"/>
    <w:rsid w:val="08DD0FFE"/>
    <w:rsid w:val="08E43B13"/>
    <w:rsid w:val="0905084D"/>
    <w:rsid w:val="09104908"/>
    <w:rsid w:val="09265ED9"/>
    <w:rsid w:val="093662C9"/>
    <w:rsid w:val="094658E2"/>
    <w:rsid w:val="09640931"/>
    <w:rsid w:val="09683374"/>
    <w:rsid w:val="096915D0"/>
    <w:rsid w:val="097F013F"/>
    <w:rsid w:val="097F55EA"/>
    <w:rsid w:val="098D5F93"/>
    <w:rsid w:val="09AD2157"/>
    <w:rsid w:val="09CC2AAC"/>
    <w:rsid w:val="09E16072"/>
    <w:rsid w:val="09F00067"/>
    <w:rsid w:val="09FC0C2A"/>
    <w:rsid w:val="0A2A37A7"/>
    <w:rsid w:val="0A2C751F"/>
    <w:rsid w:val="0A4E014A"/>
    <w:rsid w:val="0A5A0455"/>
    <w:rsid w:val="0A652D3E"/>
    <w:rsid w:val="0A814C71"/>
    <w:rsid w:val="0A862807"/>
    <w:rsid w:val="0A870BFA"/>
    <w:rsid w:val="0A9E7D8F"/>
    <w:rsid w:val="0AAC0660"/>
    <w:rsid w:val="0AC91212"/>
    <w:rsid w:val="0AF01C5B"/>
    <w:rsid w:val="0AF410E0"/>
    <w:rsid w:val="0AF448C5"/>
    <w:rsid w:val="0AF70675"/>
    <w:rsid w:val="0AFF4C18"/>
    <w:rsid w:val="0B016BFE"/>
    <w:rsid w:val="0B0C10FF"/>
    <w:rsid w:val="0B30303F"/>
    <w:rsid w:val="0B326F2A"/>
    <w:rsid w:val="0B4F2283"/>
    <w:rsid w:val="0BA96403"/>
    <w:rsid w:val="0BAD4690"/>
    <w:rsid w:val="0BB52F5E"/>
    <w:rsid w:val="0BC639A4"/>
    <w:rsid w:val="0BC65752"/>
    <w:rsid w:val="0BCB73D5"/>
    <w:rsid w:val="0BF95B27"/>
    <w:rsid w:val="0C061FF2"/>
    <w:rsid w:val="0C1E2888"/>
    <w:rsid w:val="0C5B757D"/>
    <w:rsid w:val="0C6236CC"/>
    <w:rsid w:val="0C670CE3"/>
    <w:rsid w:val="0C92213C"/>
    <w:rsid w:val="0CA35A93"/>
    <w:rsid w:val="0CC2027E"/>
    <w:rsid w:val="0CC954FA"/>
    <w:rsid w:val="0CD85286"/>
    <w:rsid w:val="0CF34325"/>
    <w:rsid w:val="0D10137A"/>
    <w:rsid w:val="0D172029"/>
    <w:rsid w:val="0D197DA7"/>
    <w:rsid w:val="0D230698"/>
    <w:rsid w:val="0D2C5A88"/>
    <w:rsid w:val="0D314E4D"/>
    <w:rsid w:val="0D402F77"/>
    <w:rsid w:val="0D463414"/>
    <w:rsid w:val="0D5C45C0"/>
    <w:rsid w:val="0D6C4F89"/>
    <w:rsid w:val="0D7116ED"/>
    <w:rsid w:val="0D7703F8"/>
    <w:rsid w:val="0D786450"/>
    <w:rsid w:val="0D84032B"/>
    <w:rsid w:val="0D8D230D"/>
    <w:rsid w:val="0D9E5A0B"/>
    <w:rsid w:val="0DA675E9"/>
    <w:rsid w:val="0DB029F1"/>
    <w:rsid w:val="0DD203DE"/>
    <w:rsid w:val="0DF12AD3"/>
    <w:rsid w:val="0DFA2535"/>
    <w:rsid w:val="0DFE11D3"/>
    <w:rsid w:val="0E0279EF"/>
    <w:rsid w:val="0E574D87"/>
    <w:rsid w:val="0E681446"/>
    <w:rsid w:val="0E6D6ACF"/>
    <w:rsid w:val="0E7C659C"/>
    <w:rsid w:val="0E8F6661"/>
    <w:rsid w:val="0E90419B"/>
    <w:rsid w:val="0EAB7C71"/>
    <w:rsid w:val="0EC52635"/>
    <w:rsid w:val="0ECF4488"/>
    <w:rsid w:val="0ED5231D"/>
    <w:rsid w:val="0EE16D35"/>
    <w:rsid w:val="0F005092"/>
    <w:rsid w:val="0F017011"/>
    <w:rsid w:val="0F0A1DF9"/>
    <w:rsid w:val="0F0F11BE"/>
    <w:rsid w:val="0F16079E"/>
    <w:rsid w:val="0F184516"/>
    <w:rsid w:val="0F274759"/>
    <w:rsid w:val="0F2A74C4"/>
    <w:rsid w:val="0F30541C"/>
    <w:rsid w:val="0F344429"/>
    <w:rsid w:val="0F457F59"/>
    <w:rsid w:val="0F5D461F"/>
    <w:rsid w:val="0F655282"/>
    <w:rsid w:val="0F762E75"/>
    <w:rsid w:val="0F8751F8"/>
    <w:rsid w:val="0F9C3831"/>
    <w:rsid w:val="0FB55D2C"/>
    <w:rsid w:val="0FBF6009"/>
    <w:rsid w:val="0FC401FA"/>
    <w:rsid w:val="0FDC366F"/>
    <w:rsid w:val="0FE07845"/>
    <w:rsid w:val="0FFA187E"/>
    <w:rsid w:val="0FFA3C1C"/>
    <w:rsid w:val="10005705"/>
    <w:rsid w:val="100131FC"/>
    <w:rsid w:val="100B5262"/>
    <w:rsid w:val="102852E9"/>
    <w:rsid w:val="102962AF"/>
    <w:rsid w:val="10323FEC"/>
    <w:rsid w:val="104238F8"/>
    <w:rsid w:val="105B2CB4"/>
    <w:rsid w:val="105D7981"/>
    <w:rsid w:val="1069219C"/>
    <w:rsid w:val="10831E63"/>
    <w:rsid w:val="108967FA"/>
    <w:rsid w:val="109E6C9D"/>
    <w:rsid w:val="10A27F31"/>
    <w:rsid w:val="10BC5375"/>
    <w:rsid w:val="10CD1330"/>
    <w:rsid w:val="10D30CA5"/>
    <w:rsid w:val="10F265C2"/>
    <w:rsid w:val="10FC4F9D"/>
    <w:rsid w:val="110F1949"/>
    <w:rsid w:val="111F0A1A"/>
    <w:rsid w:val="112E1DCF"/>
    <w:rsid w:val="11391A19"/>
    <w:rsid w:val="11486BC7"/>
    <w:rsid w:val="115C10B1"/>
    <w:rsid w:val="11603F53"/>
    <w:rsid w:val="116274B9"/>
    <w:rsid w:val="116779EF"/>
    <w:rsid w:val="11685F57"/>
    <w:rsid w:val="11691059"/>
    <w:rsid w:val="11927058"/>
    <w:rsid w:val="1199004D"/>
    <w:rsid w:val="11A76A18"/>
    <w:rsid w:val="11AA5D0A"/>
    <w:rsid w:val="120E171E"/>
    <w:rsid w:val="121543C9"/>
    <w:rsid w:val="12241424"/>
    <w:rsid w:val="125E1917"/>
    <w:rsid w:val="12706417"/>
    <w:rsid w:val="127E0B34"/>
    <w:rsid w:val="12AA36D7"/>
    <w:rsid w:val="12B5207C"/>
    <w:rsid w:val="12C7754E"/>
    <w:rsid w:val="12E50BB3"/>
    <w:rsid w:val="12F6691D"/>
    <w:rsid w:val="130059ED"/>
    <w:rsid w:val="133B4C77"/>
    <w:rsid w:val="13497394"/>
    <w:rsid w:val="135B46A9"/>
    <w:rsid w:val="13877EBC"/>
    <w:rsid w:val="13AF4F03"/>
    <w:rsid w:val="13B011C1"/>
    <w:rsid w:val="143264D6"/>
    <w:rsid w:val="14373691"/>
    <w:rsid w:val="14394D22"/>
    <w:rsid w:val="14460456"/>
    <w:rsid w:val="145C7FB0"/>
    <w:rsid w:val="14736E66"/>
    <w:rsid w:val="147F458F"/>
    <w:rsid w:val="14813629"/>
    <w:rsid w:val="149317B6"/>
    <w:rsid w:val="14A90B69"/>
    <w:rsid w:val="14A939B7"/>
    <w:rsid w:val="14B051F1"/>
    <w:rsid w:val="14C12F5A"/>
    <w:rsid w:val="14FE316A"/>
    <w:rsid w:val="15023C9F"/>
    <w:rsid w:val="15080666"/>
    <w:rsid w:val="15122DCD"/>
    <w:rsid w:val="151B08BC"/>
    <w:rsid w:val="15262373"/>
    <w:rsid w:val="1534169A"/>
    <w:rsid w:val="153C0833"/>
    <w:rsid w:val="15406575"/>
    <w:rsid w:val="15470C94"/>
    <w:rsid w:val="15604521"/>
    <w:rsid w:val="156F6E5A"/>
    <w:rsid w:val="157210C4"/>
    <w:rsid w:val="157A2BEB"/>
    <w:rsid w:val="158D55F1"/>
    <w:rsid w:val="159A6FF2"/>
    <w:rsid w:val="15B9135E"/>
    <w:rsid w:val="15C03E03"/>
    <w:rsid w:val="15D415AE"/>
    <w:rsid w:val="15E72E94"/>
    <w:rsid w:val="162A25EB"/>
    <w:rsid w:val="16337E88"/>
    <w:rsid w:val="164C518B"/>
    <w:rsid w:val="16534075"/>
    <w:rsid w:val="166D339A"/>
    <w:rsid w:val="16735895"/>
    <w:rsid w:val="167633A1"/>
    <w:rsid w:val="16937591"/>
    <w:rsid w:val="16A448E1"/>
    <w:rsid w:val="16AF74D3"/>
    <w:rsid w:val="16B0772A"/>
    <w:rsid w:val="16B965DF"/>
    <w:rsid w:val="16BC60CF"/>
    <w:rsid w:val="16F92E7F"/>
    <w:rsid w:val="16FD2A55"/>
    <w:rsid w:val="170159C0"/>
    <w:rsid w:val="17067C1A"/>
    <w:rsid w:val="17167A9F"/>
    <w:rsid w:val="171750B3"/>
    <w:rsid w:val="1721356C"/>
    <w:rsid w:val="172D2B29"/>
    <w:rsid w:val="172F68A1"/>
    <w:rsid w:val="17366761"/>
    <w:rsid w:val="173C5F78"/>
    <w:rsid w:val="17451C21"/>
    <w:rsid w:val="17457E73"/>
    <w:rsid w:val="174D7C33"/>
    <w:rsid w:val="17620A24"/>
    <w:rsid w:val="17654071"/>
    <w:rsid w:val="176A1687"/>
    <w:rsid w:val="177C01F0"/>
    <w:rsid w:val="177D5F83"/>
    <w:rsid w:val="17936E30"/>
    <w:rsid w:val="17946704"/>
    <w:rsid w:val="179E3EFA"/>
    <w:rsid w:val="17B46B8E"/>
    <w:rsid w:val="17C22731"/>
    <w:rsid w:val="17CE6630"/>
    <w:rsid w:val="17CF3494"/>
    <w:rsid w:val="17D3547E"/>
    <w:rsid w:val="17E23913"/>
    <w:rsid w:val="17F83137"/>
    <w:rsid w:val="180C43D8"/>
    <w:rsid w:val="1820443C"/>
    <w:rsid w:val="1821268E"/>
    <w:rsid w:val="183028D1"/>
    <w:rsid w:val="183B1275"/>
    <w:rsid w:val="183B609B"/>
    <w:rsid w:val="18494F2A"/>
    <w:rsid w:val="1863237E"/>
    <w:rsid w:val="18717FA7"/>
    <w:rsid w:val="1890511D"/>
    <w:rsid w:val="18A67EC5"/>
    <w:rsid w:val="18A94677"/>
    <w:rsid w:val="18B0756E"/>
    <w:rsid w:val="18B43EE8"/>
    <w:rsid w:val="18C1391B"/>
    <w:rsid w:val="18CE5C46"/>
    <w:rsid w:val="18D73988"/>
    <w:rsid w:val="18DF7E53"/>
    <w:rsid w:val="18F41B50"/>
    <w:rsid w:val="18FB79BF"/>
    <w:rsid w:val="18FF04F5"/>
    <w:rsid w:val="1902223E"/>
    <w:rsid w:val="19116D08"/>
    <w:rsid w:val="1912647A"/>
    <w:rsid w:val="192C5AB5"/>
    <w:rsid w:val="19434886"/>
    <w:rsid w:val="194E3890"/>
    <w:rsid w:val="19621804"/>
    <w:rsid w:val="19781F04"/>
    <w:rsid w:val="1980089F"/>
    <w:rsid w:val="19911600"/>
    <w:rsid w:val="19A370D2"/>
    <w:rsid w:val="19AE61A3"/>
    <w:rsid w:val="19B968F6"/>
    <w:rsid w:val="19BB266E"/>
    <w:rsid w:val="19E33051"/>
    <w:rsid w:val="19E33973"/>
    <w:rsid w:val="19EA4D01"/>
    <w:rsid w:val="19F31E08"/>
    <w:rsid w:val="1A075D39"/>
    <w:rsid w:val="1A156586"/>
    <w:rsid w:val="1A3366A8"/>
    <w:rsid w:val="1ABF1CEA"/>
    <w:rsid w:val="1AC76B94"/>
    <w:rsid w:val="1AC92E23"/>
    <w:rsid w:val="1AD5150D"/>
    <w:rsid w:val="1AFF0AFE"/>
    <w:rsid w:val="1B0D17E8"/>
    <w:rsid w:val="1B2F1E81"/>
    <w:rsid w:val="1B3F5087"/>
    <w:rsid w:val="1B4F19F8"/>
    <w:rsid w:val="1B571203"/>
    <w:rsid w:val="1B925650"/>
    <w:rsid w:val="1B937A0D"/>
    <w:rsid w:val="1BA10668"/>
    <w:rsid w:val="1BC577D4"/>
    <w:rsid w:val="1BE23625"/>
    <w:rsid w:val="1C0962AC"/>
    <w:rsid w:val="1C0A3439"/>
    <w:rsid w:val="1C2F586E"/>
    <w:rsid w:val="1C550B58"/>
    <w:rsid w:val="1C65711B"/>
    <w:rsid w:val="1CA53161"/>
    <w:rsid w:val="1CAB4C1C"/>
    <w:rsid w:val="1CB02232"/>
    <w:rsid w:val="1CD6156D"/>
    <w:rsid w:val="1CEC0D90"/>
    <w:rsid w:val="1CEF2AF2"/>
    <w:rsid w:val="1CFB5567"/>
    <w:rsid w:val="1D390424"/>
    <w:rsid w:val="1D4247B4"/>
    <w:rsid w:val="1D5030CD"/>
    <w:rsid w:val="1D5254AA"/>
    <w:rsid w:val="1D531D9D"/>
    <w:rsid w:val="1D540E0F"/>
    <w:rsid w:val="1D6628F1"/>
    <w:rsid w:val="1D69418F"/>
    <w:rsid w:val="1D6C3BDE"/>
    <w:rsid w:val="1D7F39B2"/>
    <w:rsid w:val="1D9D5E6A"/>
    <w:rsid w:val="1DA229EC"/>
    <w:rsid w:val="1DA63635"/>
    <w:rsid w:val="1DAD40FD"/>
    <w:rsid w:val="1DC046F7"/>
    <w:rsid w:val="1DCE360E"/>
    <w:rsid w:val="1DD67A76"/>
    <w:rsid w:val="1DD956C2"/>
    <w:rsid w:val="1E040426"/>
    <w:rsid w:val="1E2C3B3A"/>
    <w:rsid w:val="1E6908EA"/>
    <w:rsid w:val="1E780B2E"/>
    <w:rsid w:val="1ECC44FA"/>
    <w:rsid w:val="1ED33FB6"/>
    <w:rsid w:val="1EE21E23"/>
    <w:rsid w:val="1EF17168"/>
    <w:rsid w:val="1EF76886"/>
    <w:rsid w:val="1F063325"/>
    <w:rsid w:val="1F170346"/>
    <w:rsid w:val="1F2214FB"/>
    <w:rsid w:val="1F2D7B6A"/>
    <w:rsid w:val="1F5A46D7"/>
    <w:rsid w:val="1F664E2A"/>
    <w:rsid w:val="1F6E53CE"/>
    <w:rsid w:val="1F745799"/>
    <w:rsid w:val="1F8026FF"/>
    <w:rsid w:val="1F817EB6"/>
    <w:rsid w:val="1FB70254"/>
    <w:rsid w:val="1FBC0EEE"/>
    <w:rsid w:val="1FBC5DF5"/>
    <w:rsid w:val="1FDB75C6"/>
    <w:rsid w:val="1FE03E5A"/>
    <w:rsid w:val="1FE062A5"/>
    <w:rsid w:val="1FEF1B6A"/>
    <w:rsid w:val="1FF90588"/>
    <w:rsid w:val="20230B67"/>
    <w:rsid w:val="20256A93"/>
    <w:rsid w:val="2039253E"/>
    <w:rsid w:val="204A07A7"/>
    <w:rsid w:val="20692E24"/>
    <w:rsid w:val="20746C50"/>
    <w:rsid w:val="20914128"/>
    <w:rsid w:val="209812E5"/>
    <w:rsid w:val="20AF45AF"/>
    <w:rsid w:val="20B76E0E"/>
    <w:rsid w:val="20BD58C2"/>
    <w:rsid w:val="20C3623F"/>
    <w:rsid w:val="20D02EA3"/>
    <w:rsid w:val="20D91DBA"/>
    <w:rsid w:val="20EC6894"/>
    <w:rsid w:val="20F10454"/>
    <w:rsid w:val="20F9026B"/>
    <w:rsid w:val="20FD74DF"/>
    <w:rsid w:val="21156B08"/>
    <w:rsid w:val="213F3B84"/>
    <w:rsid w:val="21556F04"/>
    <w:rsid w:val="21781212"/>
    <w:rsid w:val="217952E8"/>
    <w:rsid w:val="21937A2C"/>
    <w:rsid w:val="219414EF"/>
    <w:rsid w:val="21B511BB"/>
    <w:rsid w:val="21B83F86"/>
    <w:rsid w:val="21C35326"/>
    <w:rsid w:val="21CD73E2"/>
    <w:rsid w:val="21DB7441"/>
    <w:rsid w:val="21E53641"/>
    <w:rsid w:val="21EC6796"/>
    <w:rsid w:val="21ED7C79"/>
    <w:rsid w:val="21F11323"/>
    <w:rsid w:val="21F74633"/>
    <w:rsid w:val="221178A8"/>
    <w:rsid w:val="221213CF"/>
    <w:rsid w:val="22327A92"/>
    <w:rsid w:val="22585F18"/>
    <w:rsid w:val="227026FD"/>
    <w:rsid w:val="22806203"/>
    <w:rsid w:val="228D108E"/>
    <w:rsid w:val="22940903"/>
    <w:rsid w:val="22B24CD8"/>
    <w:rsid w:val="22C73CB9"/>
    <w:rsid w:val="22CE1281"/>
    <w:rsid w:val="22DB168B"/>
    <w:rsid w:val="231D53A2"/>
    <w:rsid w:val="23201794"/>
    <w:rsid w:val="232674C5"/>
    <w:rsid w:val="232A4770"/>
    <w:rsid w:val="232C638A"/>
    <w:rsid w:val="233542AE"/>
    <w:rsid w:val="233D3EC6"/>
    <w:rsid w:val="2355143D"/>
    <w:rsid w:val="23610BBF"/>
    <w:rsid w:val="2369313B"/>
    <w:rsid w:val="23693D95"/>
    <w:rsid w:val="236D5383"/>
    <w:rsid w:val="237C2E6E"/>
    <w:rsid w:val="239B071B"/>
    <w:rsid w:val="23A979DB"/>
    <w:rsid w:val="23B7504C"/>
    <w:rsid w:val="23BA7032"/>
    <w:rsid w:val="23BD1E38"/>
    <w:rsid w:val="23C6233B"/>
    <w:rsid w:val="23C640E9"/>
    <w:rsid w:val="23E2116D"/>
    <w:rsid w:val="24076056"/>
    <w:rsid w:val="24221E6A"/>
    <w:rsid w:val="24240693"/>
    <w:rsid w:val="24242BA7"/>
    <w:rsid w:val="242B5451"/>
    <w:rsid w:val="243F23FA"/>
    <w:rsid w:val="24444377"/>
    <w:rsid w:val="244A0F81"/>
    <w:rsid w:val="245416F5"/>
    <w:rsid w:val="245636BF"/>
    <w:rsid w:val="24571307"/>
    <w:rsid w:val="24575689"/>
    <w:rsid w:val="246833F2"/>
    <w:rsid w:val="248E2746"/>
    <w:rsid w:val="24B52FA9"/>
    <w:rsid w:val="24B86128"/>
    <w:rsid w:val="24C53F42"/>
    <w:rsid w:val="24CD362C"/>
    <w:rsid w:val="24DC16EA"/>
    <w:rsid w:val="24DD54EC"/>
    <w:rsid w:val="24F341BB"/>
    <w:rsid w:val="24F353B2"/>
    <w:rsid w:val="25110A2A"/>
    <w:rsid w:val="251D3F18"/>
    <w:rsid w:val="25315EDA"/>
    <w:rsid w:val="256162F1"/>
    <w:rsid w:val="256C0944"/>
    <w:rsid w:val="25893AAA"/>
    <w:rsid w:val="25900E53"/>
    <w:rsid w:val="259C15A5"/>
    <w:rsid w:val="259E34B5"/>
    <w:rsid w:val="259F45C7"/>
    <w:rsid w:val="25B84492"/>
    <w:rsid w:val="25CB1E8B"/>
    <w:rsid w:val="25D16D75"/>
    <w:rsid w:val="25E036DD"/>
    <w:rsid w:val="25E46AA9"/>
    <w:rsid w:val="25F3318F"/>
    <w:rsid w:val="26027740"/>
    <w:rsid w:val="26106539"/>
    <w:rsid w:val="261F4AA3"/>
    <w:rsid w:val="26247AFA"/>
    <w:rsid w:val="2630659C"/>
    <w:rsid w:val="263A0DBE"/>
    <w:rsid w:val="263E08AF"/>
    <w:rsid w:val="263F10D4"/>
    <w:rsid w:val="26446DE3"/>
    <w:rsid w:val="26552AA8"/>
    <w:rsid w:val="2657371E"/>
    <w:rsid w:val="265771B1"/>
    <w:rsid w:val="26877DFE"/>
    <w:rsid w:val="269669E7"/>
    <w:rsid w:val="26A02953"/>
    <w:rsid w:val="26A270C1"/>
    <w:rsid w:val="26A30712"/>
    <w:rsid w:val="26D7699F"/>
    <w:rsid w:val="26DE1F7E"/>
    <w:rsid w:val="26E03277"/>
    <w:rsid w:val="26E86A6C"/>
    <w:rsid w:val="26ED7BDF"/>
    <w:rsid w:val="26EF01C1"/>
    <w:rsid w:val="26F92A28"/>
    <w:rsid w:val="26FD42C6"/>
    <w:rsid w:val="27075144"/>
    <w:rsid w:val="270C4AA5"/>
    <w:rsid w:val="27174C5C"/>
    <w:rsid w:val="272D447F"/>
    <w:rsid w:val="27316FF2"/>
    <w:rsid w:val="2757651E"/>
    <w:rsid w:val="27735B86"/>
    <w:rsid w:val="27764078"/>
    <w:rsid w:val="278E2A94"/>
    <w:rsid w:val="278E3170"/>
    <w:rsid w:val="27AA33F7"/>
    <w:rsid w:val="27B679A1"/>
    <w:rsid w:val="27CB23A0"/>
    <w:rsid w:val="27CE6E7A"/>
    <w:rsid w:val="27D03788"/>
    <w:rsid w:val="27F21951"/>
    <w:rsid w:val="281F026C"/>
    <w:rsid w:val="282253E5"/>
    <w:rsid w:val="285F4B0C"/>
    <w:rsid w:val="28812CD5"/>
    <w:rsid w:val="28971D25"/>
    <w:rsid w:val="289B3D96"/>
    <w:rsid w:val="28A30E9D"/>
    <w:rsid w:val="28C50E13"/>
    <w:rsid w:val="28C826B1"/>
    <w:rsid w:val="28CA642A"/>
    <w:rsid w:val="28E62172"/>
    <w:rsid w:val="28EA0627"/>
    <w:rsid w:val="28F214DC"/>
    <w:rsid w:val="28F7286F"/>
    <w:rsid w:val="28F954E4"/>
    <w:rsid w:val="2900009D"/>
    <w:rsid w:val="29240B17"/>
    <w:rsid w:val="293F6744"/>
    <w:rsid w:val="294A1318"/>
    <w:rsid w:val="2953641F"/>
    <w:rsid w:val="2959735E"/>
    <w:rsid w:val="296248B4"/>
    <w:rsid w:val="29680470"/>
    <w:rsid w:val="2973086F"/>
    <w:rsid w:val="29745BA7"/>
    <w:rsid w:val="29894B6D"/>
    <w:rsid w:val="29923B03"/>
    <w:rsid w:val="29972948"/>
    <w:rsid w:val="29A51AC7"/>
    <w:rsid w:val="29AC55DD"/>
    <w:rsid w:val="29BA527F"/>
    <w:rsid w:val="29C9048F"/>
    <w:rsid w:val="29C96938"/>
    <w:rsid w:val="29D137E8"/>
    <w:rsid w:val="29D75F7F"/>
    <w:rsid w:val="29DD3332"/>
    <w:rsid w:val="29E16E5C"/>
    <w:rsid w:val="29F84734"/>
    <w:rsid w:val="2A005E7B"/>
    <w:rsid w:val="2A087F95"/>
    <w:rsid w:val="2A314CF9"/>
    <w:rsid w:val="2A331DAD"/>
    <w:rsid w:val="2A4960C6"/>
    <w:rsid w:val="2A4A348B"/>
    <w:rsid w:val="2A614B6C"/>
    <w:rsid w:val="2A7F3244"/>
    <w:rsid w:val="2A814E7D"/>
    <w:rsid w:val="2A8B6F60"/>
    <w:rsid w:val="2AAA6513"/>
    <w:rsid w:val="2AB51AE7"/>
    <w:rsid w:val="2AD24247"/>
    <w:rsid w:val="2AD34292"/>
    <w:rsid w:val="2AD96DF8"/>
    <w:rsid w:val="2B125E66"/>
    <w:rsid w:val="2B1B2F6C"/>
    <w:rsid w:val="2B3C521A"/>
    <w:rsid w:val="2B4C75CA"/>
    <w:rsid w:val="2B774624"/>
    <w:rsid w:val="2B7B1C5D"/>
    <w:rsid w:val="2BA975AB"/>
    <w:rsid w:val="2BB02516"/>
    <w:rsid w:val="2BB50367"/>
    <w:rsid w:val="2BB5167F"/>
    <w:rsid w:val="2BB54CC8"/>
    <w:rsid w:val="2BB5659B"/>
    <w:rsid w:val="2BCE073A"/>
    <w:rsid w:val="2BF44DCD"/>
    <w:rsid w:val="2BFE6AE3"/>
    <w:rsid w:val="2C1B5CED"/>
    <w:rsid w:val="2C22657D"/>
    <w:rsid w:val="2C271DEC"/>
    <w:rsid w:val="2C2916B9"/>
    <w:rsid w:val="2C2B45D6"/>
    <w:rsid w:val="2C442C87"/>
    <w:rsid w:val="2C6208C4"/>
    <w:rsid w:val="2C6C77F8"/>
    <w:rsid w:val="2C7A72BE"/>
    <w:rsid w:val="2C836BD0"/>
    <w:rsid w:val="2C8763E0"/>
    <w:rsid w:val="2C9A7D75"/>
    <w:rsid w:val="2C9C00DD"/>
    <w:rsid w:val="2CB2444D"/>
    <w:rsid w:val="2CC17412"/>
    <w:rsid w:val="2CD80FD7"/>
    <w:rsid w:val="2CD82830"/>
    <w:rsid w:val="2CDA6E57"/>
    <w:rsid w:val="2CEB2E12"/>
    <w:rsid w:val="2CEC4651"/>
    <w:rsid w:val="2CF02482"/>
    <w:rsid w:val="2CF65B93"/>
    <w:rsid w:val="2CFD667A"/>
    <w:rsid w:val="2D0D0FDB"/>
    <w:rsid w:val="2D101B40"/>
    <w:rsid w:val="2D1302BF"/>
    <w:rsid w:val="2D1C121E"/>
    <w:rsid w:val="2D391DD0"/>
    <w:rsid w:val="2D3B78F6"/>
    <w:rsid w:val="2D5F3CAF"/>
    <w:rsid w:val="2D5F7AEE"/>
    <w:rsid w:val="2D7C1E99"/>
    <w:rsid w:val="2D8114FB"/>
    <w:rsid w:val="2D8B3D08"/>
    <w:rsid w:val="2D8C3A3D"/>
    <w:rsid w:val="2DA90AFB"/>
    <w:rsid w:val="2DB57F33"/>
    <w:rsid w:val="2DC21DC5"/>
    <w:rsid w:val="2DD12008"/>
    <w:rsid w:val="2DD85145"/>
    <w:rsid w:val="2DE37CCC"/>
    <w:rsid w:val="2DF33D2D"/>
    <w:rsid w:val="2E332D3A"/>
    <w:rsid w:val="2E3C1E59"/>
    <w:rsid w:val="2E556795"/>
    <w:rsid w:val="2E610457"/>
    <w:rsid w:val="2E692241"/>
    <w:rsid w:val="2E7035CF"/>
    <w:rsid w:val="2E84707B"/>
    <w:rsid w:val="2E8B21B7"/>
    <w:rsid w:val="2E8E614B"/>
    <w:rsid w:val="2E952879"/>
    <w:rsid w:val="2E9976CE"/>
    <w:rsid w:val="2EA63495"/>
    <w:rsid w:val="2EB85D4C"/>
    <w:rsid w:val="2EBC030F"/>
    <w:rsid w:val="2EC103C3"/>
    <w:rsid w:val="2EC61441"/>
    <w:rsid w:val="2ECA229B"/>
    <w:rsid w:val="2ED578D6"/>
    <w:rsid w:val="2EDA6C9B"/>
    <w:rsid w:val="2EDB6DBC"/>
    <w:rsid w:val="2EF01DEE"/>
    <w:rsid w:val="2EF266DA"/>
    <w:rsid w:val="2F053A45"/>
    <w:rsid w:val="2F065CE2"/>
    <w:rsid w:val="2F10348F"/>
    <w:rsid w:val="2F1E74CF"/>
    <w:rsid w:val="2F266384"/>
    <w:rsid w:val="2F2820FC"/>
    <w:rsid w:val="2F2A7C22"/>
    <w:rsid w:val="2F350375"/>
    <w:rsid w:val="2F372803"/>
    <w:rsid w:val="2F3A3BDD"/>
    <w:rsid w:val="2F3C5086"/>
    <w:rsid w:val="2F401D3C"/>
    <w:rsid w:val="2F5B24E1"/>
    <w:rsid w:val="2F5E78CC"/>
    <w:rsid w:val="2F707AA7"/>
    <w:rsid w:val="2F761BF9"/>
    <w:rsid w:val="2F963509"/>
    <w:rsid w:val="2FA95C88"/>
    <w:rsid w:val="2FB41BE1"/>
    <w:rsid w:val="2FED29FE"/>
    <w:rsid w:val="2FF7AF4D"/>
    <w:rsid w:val="2FFF3589"/>
    <w:rsid w:val="300817B1"/>
    <w:rsid w:val="301B768C"/>
    <w:rsid w:val="30200038"/>
    <w:rsid w:val="30274161"/>
    <w:rsid w:val="302C79CA"/>
    <w:rsid w:val="3038011D"/>
    <w:rsid w:val="3041370F"/>
    <w:rsid w:val="30451D6D"/>
    <w:rsid w:val="304D5978"/>
    <w:rsid w:val="30601421"/>
    <w:rsid w:val="306F7A17"/>
    <w:rsid w:val="30877251"/>
    <w:rsid w:val="3098002B"/>
    <w:rsid w:val="309C1849"/>
    <w:rsid w:val="30A42599"/>
    <w:rsid w:val="30AE03DF"/>
    <w:rsid w:val="30B87FED"/>
    <w:rsid w:val="30D550DC"/>
    <w:rsid w:val="30D86127"/>
    <w:rsid w:val="30DA11D4"/>
    <w:rsid w:val="30E3452C"/>
    <w:rsid w:val="30F32296"/>
    <w:rsid w:val="31090BBE"/>
    <w:rsid w:val="31102E48"/>
    <w:rsid w:val="31197F4E"/>
    <w:rsid w:val="312B50A3"/>
    <w:rsid w:val="314C0BF0"/>
    <w:rsid w:val="31526393"/>
    <w:rsid w:val="31552F50"/>
    <w:rsid w:val="31754C00"/>
    <w:rsid w:val="31772CB5"/>
    <w:rsid w:val="31894FD2"/>
    <w:rsid w:val="31B23EFF"/>
    <w:rsid w:val="31D04895"/>
    <w:rsid w:val="31DA7378"/>
    <w:rsid w:val="31F26461"/>
    <w:rsid w:val="31F42F27"/>
    <w:rsid w:val="31FA3731"/>
    <w:rsid w:val="320D162A"/>
    <w:rsid w:val="32130E41"/>
    <w:rsid w:val="32453A27"/>
    <w:rsid w:val="324F382C"/>
    <w:rsid w:val="3263064A"/>
    <w:rsid w:val="32672F3B"/>
    <w:rsid w:val="326F1DF0"/>
    <w:rsid w:val="32717916"/>
    <w:rsid w:val="328B3846"/>
    <w:rsid w:val="328C4750"/>
    <w:rsid w:val="329B25B1"/>
    <w:rsid w:val="32A43132"/>
    <w:rsid w:val="32AC0C06"/>
    <w:rsid w:val="32E620AA"/>
    <w:rsid w:val="32E751E1"/>
    <w:rsid w:val="32F34C0D"/>
    <w:rsid w:val="32FA3D24"/>
    <w:rsid w:val="331A1F09"/>
    <w:rsid w:val="33344EF5"/>
    <w:rsid w:val="33370B5F"/>
    <w:rsid w:val="3341576D"/>
    <w:rsid w:val="3346382A"/>
    <w:rsid w:val="334B460B"/>
    <w:rsid w:val="334E7C57"/>
    <w:rsid w:val="338F274A"/>
    <w:rsid w:val="33900F53"/>
    <w:rsid w:val="339972BC"/>
    <w:rsid w:val="339E473B"/>
    <w:rsid w:val="33AA7583"/>
    <w:rsid w:val="33AD7074"/>
    <w:rsid w:val="33C94AF8"/>
    <w:rsid w:val="33CD5020"/>
    <w:rsid w:val="33DD504C"/>
    <w:rsid w:val="33F8511C"/>
    <w:rsid w:val="33FB2EFA"/>
    <w:rsid w:val="341823ED"/>
    <w:rsid w:val="3421711A"/>
    <w:rsid w:val="34283B84"/>
    <w:rsid w:val="345C4FB9"/>
    <w:rsid w:val="347656B7"/>
    <w:rsid w:val="348C7C8B"/>
    <w:rsid w:val="349F6D1F"/>
    <w:rsid w:val="34A845B2"/>
    <w:rsid w:val="34C10EE9"/>
    <w:rsid w:val="34D74D9B"/>
    <w:rsid w:val="34E619A8"/>
    <w:rsid w:val="34F673A3"/>
    <w:rsid w:val="35022C26"/>
    <w:rsid w:val="3504373E"/>
    <w:rsid w:val="35102E57"/>
    <w:rsid w:val="35142EB6"/>
    <w:rsid w:val="35154ED0"/>
    <w:rsid w:val="352444F1"/>
    <w:rsid w:val="3537750C"/>
    <w:rsid w:val="3537798C"/>
    <w:rsid w:val="354C204F"/>
    <w:rsid w:val="355703E8"/>
    <w:rsid w:val="3566592E"/>
    <w:rsid w:val="35795822"/>
    <w:rsid w:val="357B3059"/>
    <w:rsid w:val="35921367"/>
    <w:rsid w:val="35960FF3"/>
    <w:rsid w:val="35B226EB"/>
    <w:rsid w:val="35BB22C5"/>
    <w:rsid w:val="35BD7FBE"/>
    <w:rsid w:val="35C13FC9"/>
    <w:rsid w:val="35C3492C"/>
    <w:rsid w:val="35CF32D1"/>
    <w:rsid w:val="35EB3743"/>
    <w:rsid w:val="35F03248"/>
    <w:rsid w:val="360F1920"/>
    <w:rsid w:val="362A675A"/>
    <w:rsid w:val="36372B05"/>
    <w:rsid w:val="36415851"/>
    <w:rsid w:val="364257B6"/>
    <w:rsid w:val="366A6525"/>
    <w:rsid w:val="366C0BDF"/>
    <w:rsid w:val="367125DA"/>
    <w:rsid w:val="3673394A"/>
    <w:rsid w:val="36D731B4"/>
    <w:rsid w:val="36DA1DD6"/>
    <w:rsid w:val="36DD65D8"/>
    <w:rsid w:val="36F9612C"/>
    <w:rsid w:val="371A057C"/>
    <w:rsid w:val="37321D6A"/>
    <w:rsid w:val="37367CB7"/>
    <w:rsid w:val="37495673"/>
    <w:rsid w:val="375A75FC"/>
    <w:rsid w:val="377365B8"/>
    <w:rsid w:val="377E0E2E"/>
    <w:rsid w:val="378A2E2C"/>
    <w:rsid w:val="378E0F6A"/>
    <w:rsid w:val="37A13306"/>
    <w:rsid w:val="37A97B52"/>
    <w:rsid w:val="37EA5922"/>
    <w:rsid w:val="37EF1FD3"/>
    <w:rsid w:val="37F012DD"/>
    <w:rsid w:val="37F34464"/>
    <w:rsid w:val="37F708BD"/>
    <w:rsid w:val="381622AB"/>
    <w:rsid w:val="38276B93"/>
    <w:rsid w:val="382E58B8"/>
    <w:rsid w:val="384A034B"/>
    <w:rsid w:val="384C6A06"/>
    <w:rsid w:val="38527D25"/>
    <w:rsid w:val="386E1270"/>
    <w:rsid w:val="387B2BB3"/>
    <w:rsid w:val="388C7258"/>
    <w:rsid w:val="388D2FD0"/>
    <w:rsid w:val="38995E18"/>
    <w:rsid w:val="38A87E0A"/>
    <w:rsid w:val="38AC3431"/>
    <w:rsid w:val="38BB5C89"/>
    <w:rsid w:val="38BD5663"/>
    <w:rsid w:val="38CC3AF8"/>
    <w:rsid w:val="38CE051B"/>
    <w:rsid w:val="38E70932"/>
    <w:rsid w:val="38EC419A"/>
    <w:rsid w:val="38F6638B"/>
    <w:rsid w:val="38FD02DB"/>
    <w:rsid w:val="38FD1F03"/>
    <w:rsid w:val="392F2E16"/>
    <w:rsid w:val="393777E0"/>
    <w:rsid w:val="39423DBA"/>
    <w:rsid w:val="395320CF"/>
    <w:rsid w:val="395802C9"/>
    <w:rsid w:val="395F496C"/>
    <w:rsid w:val="39731517"/>
    <w:rsid w:val="39742645"/>
    <w:rsid w:val="397D3044"/>
    <w:rsid w:val="397E4523"/>
    <w:rsid w:val="398F400C"/>
    <w:rsid w:val="39981C2C"/>
    <w:rsid w:val="39A14F85"/>
    <w:rsid w:val="39B93CB5"/>
    <w:rsid w:val="39CE564E"/>
    <w:rsid w:val="39D3547C"/>
    <w:rsid w:val="39E00529"/>
    <w:rsid w:val="39E144D4"/>
    <w:rsid w:val="39ED35A8"/>
    <w:rsid w:val="39FA4695"/>
    <w:rsid w:val="3A0B64A7"/>
    <w:rsid w:val="3A196427"/>
    <w:rsid w:val="3A347BA7"/>
    <w:rsid w:val="3A371445"/>
    <w:rsid w:val="3A4F2C33"/>
    <w:rsid w:val="3A551420"/>
    <w:rsid w:val="3A574DDA"/>
    <w:rsid w:val="3A655FB2"/>
    <w:rsid w:val="3A6B5F4D"/>
    <w:rsid w:val="3A6F6E31"/>
    <w:rsid w:val="3A92490E"/>
    <w:rsid w:val="3A9E7716"/>
    <w:rsid w:val="3AD3075A"/>
    <w:rsid w:val="3AF74C02"/>
    <w:rsid w:val="3AF92B9E"/>
    <w:rsid w:val="3B105C75"/>
    <w:rsid w:val="3B2D1FB4"/>
    <w:rsid w:val="3B2E03FE"/>
    <w:rsid w:val="3B31058A"/>
    <w:rsid w:val="3B3836C7"/>
    <w:rsid w:val="3B39113B"/>
    <w:rsid w:val="3B554279"/>
    <w:rsid w:val="3B5A714C"/>
    <w:rsid w:val="3B6BDBA2"/>
    <w:rsid w:val="3B730DDD"/>
    <w:rsid w:val="3B8A5BD4"/>
    <w:rsid w:val="3B8D5759"/>
    <w:rsid w:val="3BA0301A"/>
    <w:rsid w:val="3BB70A8F"/>
    <w:rsid w:val="3BC75E7D"/>
    <w:rsid w:val="3BCB572D"/>
    <w:rsid w:val="3BCC7363"/>
    <w:rsid w:val="3BE3142E"/>
    <w:rsid w:val="3BF91CF9"/>
    <w:rsid w:val="3BFF2436"/>
    <w:rsid w:val="3C0059A5"/>
    <w:rsid w:val="3C0D3179"/>
    <w:rsid w:val="3C134E78"/>
    <w:rsid w:val="3C1A2DCC"/>
    <w:rsid w:val="3C291261"/>
    <w:rsid w:val="3C7050E2"/>
    <w:rsid w:val="3C797AF3"/>
    <w:rsid w:val="3C945361"/>
    <w:rsid w:val="3CA37266"/>
    <w:rsid w:val="3CA628B2"/>
    <w:rsid w:val="3CA8487C"/>
    <w:rsid w:val="3CB74ABF"/>
    <w:rsid w:val="3CD25303"/>
    <w:rsid w:val="3CED6733"/>
    <w:rsid w:val="3CFA0510"/>
    <w:rsid w:val="3D1C6419"/>
    <w:rsid w:val="3D1E68EC"/>
    <w:rsid w:val="3D390535"/>
    <w:rsid w:val="3D521C65"/>
    <w:rsid w:val="3D563BC5"/>
    <w:rsid w:val="3D6E1622"/>
    <w:rsid w:val="3D9F561D"/>
    <w:rsid w:val="3DA45043"/>
    <w:rsid w:val="3DC54FBA"/>
    <w:rsid w:val="3DD35929"/>
    <w:rsid w:val="3DDDDD5E"/>
    <w:rsid w:val="3DE0464F"/>
    <w:rsid w:val="3DE13FAF"/>
    <w:rsid w:val="3DE43692"/>
    <w:rsid w:val="3DF02630"/>
    <w:rsid w:val="3DF6345D"/>
    <w:rsid w:val="3DF72340"/>
    <w:rsid w:val="3E0E4BB3"/>
    <w:rsid w:val="3E13220D"/>
    <w:rsid w:val="3E2B5515"/>
    <w:rsid w:val="3E403C43"/>
    <w:rsid w:val="3E42660A"/>
    <w:rsid w:val="3E4D4F28"/>
    <w:rsid w:val="3E7419A8"/>
    <w:rsid w:val="3E7D5CE0"/>
    <w:rsid w:val="3E864749"/>
    <w:rsid w:val="3EBE3EE3"/>
    <w:rsid w:val="3EC67F79"/>
    <w:rsid w:val="3ECF153C"/>
    <w:rsid w:val="3ECF4342"/>
    <w:rsid w:val="3ED25BE0"/>
    <w:rsid w:val="3ED92EC4"/>
    <w:rsid w:val="3EE13701"/>
    <w:rsid w:val="3EE566AC"/>
    <w:rsid w:val="3EF141B2"/>
    <w:rsid w:val="3F11495A"/>
    <w:rsid w:val="3F1955CF"/>
    <w:rsid w:val="3F1A4BB3"/>
    <w:rsid w:val="3F566811"/>
    <w:rsid w:val="3F5C1110"/>
    <w:rsid w:val="3F6251B6"/>
    <w:rsid w:val="3F6D20B1"/>
    <w:rsid w:val="3F6D76B7"/>
    <w:rsid w:val="3F6E1B8A"/>
    <w:rsid w:val="3F850EA5"/>
    <w:rsid w:val="3F8C3FE1"/>
    <w:rsid w:val="3F9D61EE"/>
    <w:rsid w:val="3FABA82E"/>
    <w:rsid w:val="3FAF1A7E"/>
    <w:rsid w:val="3FE36B3D"/>
    <w:rsid w:val="3FE61943"/>
    <w:rsid w:val="3FF73B50"/>
    <w:rsid w:val="40192BA6"/>
    <w:rsid w:val="401A783F"/>
    <w:rsid w:val="40304648"/>
    <w:rsid w:val="403B1563"/>
    <w:rsid w:val="40464190"/>
    <w:rsid w:val="405F5F96"/>
    <w:rsid w:val="40694322"/>
    <w:rsid w:val="406E36E7"/>
    <w:rsid w:val="407A6FBB"/>
    <w:rsid w:val="407F3B46"/>
    <w:rsid w:val="408435C0"/>
    <w:rsid w:val="40932503"/>
    <w:rsid w:val="4095198B"/>
    <w:rsid w:val="40C5117F"/>
    <w:rsid w:val="40E907ED"/>
    <w:rsid w:val="40F24318"/>
    <w:rsid w:val="41281AE7"/>
    <w:rsid w:val="413B4605"/>
    <w:rsid w:val="415A13AB"/>
    <w:rsid w:val="41614FF9"/>
    <w:rsid w:val="416239DC"/>
    <w:rsid w:val="41670862"/>
    <w:rsid w:val="41686388"/>
    <w:rsid w:val="41766EA9"/>
    <w:rsid w:val="418015D5"/>
    <w:rsid w:val="418331C2"/>
    <w:rsid w:val="4186746A"/>
    <w:rsid w:val="41A32FDB"/>
    <w:rsid w:val="41A35612"/>
    <w:rsid w:val="41B4781F"/>
    <w:rsid w:val="41BD44E6"/>
    <w:rsid w:val="41F95258"/>
    <w:rsid w:val="42025DE2"/>
    <w:rsid w:val="422330C1"/>
    <w:rsid w:val="42241D3D"/>
    <w:rsid w:val="42246753"/>
    <w:rsid w:val="423E2453"/>
    <w:rsid w:val="424C5CAA"/>
    <w:rsid w:val="42550A18"/>
    <w:rsid w:val="4277488A"/>
    <w:rsid w:val="427D5548"/>
    <w:rsid w:val="42975177"/>
    <w:rsid w:val="429D496A"/>
    <w:rsid w:val="42A33B1C"/>
    <w:rsid w:val="42A97C5A"/>
    <w:rsid w:val="42B01875"/>
    <w:rsid w:val="42C615B8"/>
    <w:rsid w:val="42DC761B"/>
    <w:rsid w:val="42DD037E"/>
    <w:rsid w:val="42EC3CA8"/>
    <w:rsid w:val="42F36E3D"/>
    <w:rsid w:val="42F473A1"/>
    <w:rsid w:val="43040332"/>
    <w:rsid w:val="430A74A2"/>
    <w:rsid w:val="430E0B5B"/>
    <w:rsid w:val="430F11B1"/>
    <w:rsid w:val="433A3D54"/>
    <w:rsid w:val="434370AD"/>
    <w:rsid w:val="4349610D"/>
    <w:rsid w:val="434A3F97"/>
    <w:rsid w:val="434D5FD8"/>
    <w:rsid w:val="435A1303"/>
    <w:rsid w:val="435C20A1"/>
    <w:rsid w:val="435C3CCA"/>
    <w:rsid w:val="4367175F"/>
    <w:rsid w:val="436919C3"/>
    <w:rsid w:val="437217EA"/>
    <w:rsid w:val="43747266"/>
    <w:rsid w:val="43A53A1F"/>
    <w:rsid w:val="43AB7156"/>
    <w:rsid w:val="43AC4C52"/>
    <w:rsid w:val="43CD4BC8"/>
    <w:rsid w:val="43EE7018"/>
    <w:rsid w:val="44150A49"/>
    <w:rsid w:val="441E62C0"/>
    <w:rsid w:val="44337121"/>
    <w:rsid w:val="44715D6A"/>
    <w:rsid w:val="44781760"/>
    <w:rsid w:val="448332A2"/>
    <w:rsid w:val="448F51CB"/>
    <w:rsid w:val="44986059"/>
    <w:rsid w:val="449D459A"/>
    <w:rsid w:val="44D06997"/>
    <w:rsid w:val="44E44DA0"/>
    <w:rsid w:val="44FF7003"/>
    <w:rsid w:val="45183B01"/>
    <w:rsid w:val="45325D14"/>
    <w:rsid w:val="45351094"/>
    <w:rsid w:val="4556575D"/>
    <w:rsid w:val="45594965"/>
    <w:rsid w:val="45616F96"/>
    <w:rsid w:val="45772895"/>
    <w:rsid w:val="457B03C3"/>
    <w:rsid w:val="45811C7C"/>
    <w:rsid w:val="4587613C"/>
    <w:rsid w:val="45906116"/>
    <w:rsid w:val="45931B8C"/>
    <w:rsid w:val="45943EE9"/>
    <w:rsid w:val="45A26CAD"/>
    <w:rsid w:val="45C145AC"/>
    <w:rsid w:val="45EB2A2A"/>
    <w:rsid w:val="45EF2552"/>
    <w:rsid w:val="45F31C83"/>
    <w:rsid w:val="460C7C2A"/>
    <w:rsid w:val="46113D93"/>
    <w:rsid w:val="46335612"/>
    <w:rsid w:val="4637074F"/>
    <w:rsid w:val="464A71CF"/>
    <w:rsid w:val="46565349"/>
    <w:rsid w:val="465B3245"/>
    <w:rsid w:val="4662784A"/>
    <w:rsid w:val="46657CCF"/>
    <w:rsid w:val="46765596"/>
    <w:rsid w:val="467D0B27"/>
    <w:rsid w:val="46804174"/>
    <w:rsid w:val="468772B0"/>
    <w:rsid w:val="468B3EFB"/>
    <w:rsid w:val="46A52BE4"/>
    <w:rsid w:val="46C878DD"/>
    <w:rsid w:val="46E07E03"/>
    <w:rsid w:val="46E60C47"/>
    <w:rsid w:val="46EC205C"/>
    <w:rsid w:val="46F2090A"/>
    <w:rsid w:val="4707219F"/>
    <w:rsid w:val="470A6193"/>
    <w:rsid w:val="4710374A"/>
    <w:rsid w:val="471274C2"/>
    <w:rsid w:val="472B2331"/>
    <w:rsid w:val="472F1E22"/>
    <w:rsid w:val="47360BFD"/>
    <w:rsid w:val="47385210"/>
    <w:rsid w:val="474E7DCE"/>
    <w:rsid w:val="475510F8"/>
    <w:rsid w:val="476A10AC"/>
    <w:rsid w:val="476E221E"/>
    <w:rsid w:val="477A662A"/>
    <w:rsid w:val="477C0DDF"/>
    <w:rsid w:val="47857C94"/>
    <w:rsid w:val="47902DF2"/>
    <w:rsid w:val="479223B1"/>
    <w:rsid w:val="47961EA1"/>
    <w:rsid w:val="479C6D8B"/>
    <w:rsid w:val="47A53E92"/>
    <w:rsid w:val="47A9425F"/>
    <w:rsid w:val="47B70889"/>
    <w:rsid w:val="47BA10BB"/>
    <w:rsid w:val="47BE1ECD"/>
    <w:rsid w:val="47D429C9"/>
    <w:rsid w:val="47DC4F5C"/>
    <w:rsid w:val="47DE73A4"/>
    <w:rsid w:val="47E50732"/>
    <w:rsid w:val="47F37FD3"/>
    <w:rsid w:val="47F72214"/>
    <w:rsid w:val="48021647"/>
    <w:rsid w:val="480F3A01"/>
    <w:rsid w:val="482267B4"/>
    <w:rsid w:val="484463CF"/>
    <w:rsid w:val="48517B76"/>
    <w:rsid w:val="48547666"/>
    <w:rsid w:val="48677399"/>
    <w:rsid w:val="487675DC"/>
    <w:rsid w:val="487A3570"/>
    <w:rsid w:val="48917998"/>
    <w:rsid w:val="489728C0"/>
    <w:rsid w:val="48A151D9"/>
    <w:rsid w:val="48AC1250"/>
    <w:rsid w:val="48AE0D54"/>
    <w:rsid w:val="48B11D15"/>
    <w:rsid w:val="48B40671"/>
    <w:rsid w:val="48C4659A"/>
    <w:rsid w:val="48C742DC"/>
    <w:rsid w:val="48C75233"/>
    <w:rsid w:val="48D36AED"/>
    <w:rsid w:val="48D43BCE"/>
    <w:rsid w:val="48D779D2"/>
    <w:rsid w:val="48DDE656"/>
    <w:rsid w:val="48E36F8F"/>
    <w:rsid w:val="48F03833"/>
    <w:rsid w:val="48F138B6"/>
    <w:rsid w:val="48F470A3"/>
    <w:rsid w:val="48FA1FBB"/>
    <w:rsid w:val="490948F4"/>
    <w:rsid w:val="490E5A67"/>
    <w:rsid w:val="492B4235"/>
    <w:rsid w:val="492E6109"/>
    <w:rsid w:val="49325BF9"/>
    <w:rsid w:val="49355C90"/>
    <w:rsid w:val="493A685C"/>
    <w:rsid w:val="493C2BF3"/>
    <w:rsid w:val="4955712F"/>
    <w:rsid w:val="496E4757"/>
    <w:rsid w:val="49950CFF"/>
    <w:rsid w:val="49951CE4"/>
    <w:rsid w:val="49990697"/>
    <w:rsid w:val="49995C33"/>
    <w:rsid w:val="499B5738"/>
    <w:rsid w:val="499F244D"/>
    <w:rsid w:val="49A445FA"/>
    <w:rsid w:val="49B02FC2"/>
    <w:rsid w:val="49B21896"/>
    <w:rsid w:val="49BD710E"/>
    <w:rsid w:val="49C1138B"/>
    <w:rsid w:val="49C55F0E"/>
    <w:rsid w:val="49E306C4"/>
    <w:rsid w:val="49E3107C"/>
    <w:rsid w:val="49E669E4"/>
    <w:rsid w:val="4A065DD3"/>
    <w:rsid w:val="4A2467C7"/>
    <w:rsid w:val="4A4554B8"/>
    <w:rsid w:val="4A6022F2"/>
    <w:rsid w:val="4A743FEF"/>
    <w:rsid w:val="4A77763C"/>
    <w:rsid w:val="4A7E303F"/>
    <w:rsid w:val="4A882185"/>
    <w:rsid w:val="4A973F3F"/>
    <w:rsid w:val="4AB90145"/>
    <w:rsid w:val="4AC00FE3"/>
    <w:rsid w:val="4AE271AB"/>
    <w:rsid w:val="4AE27323"/>
    <w:rsid w:val="4AF96BC7"/>
    <w:rsid w:val="4B502367"/>
    <w:rsid w:val="4B5931D4"/>
    <w:rsid w:val="4B5E0F27"/>
    <w:rsid w:val="4B616322"/>
    <w:rsid w:val="4B76388E"/>
    <w:rsid w:val="4B78366B"/>
    <w:rsid w:val="4B862A85"/>
    <w:rsid w:val="4B88164A"/>
    <w:rsid w:val="4BB24960"/>
    <w:rsid w:val="4BB52448"/>
    <w:rsid w:val="4BBE19C6"/>
    <w:rsid w:val="4BD25472"/>
    <w:rsid w:val="4BD72C8D"/>
    <w:rsid w:val="4BD8479F"/>
    <w:rsid w:val="4BE40D01"/>
    <w:rsid w:val="4BF076A6"/>
    <w:rsid w:val="4BF60879"/>
    <w:rsid w:val="4C0B44E0"/>
    <w:rsid w:val="4C0F3FD0"/>
    <w:rsid w:val="4C573F36"/>
    <w:rsid w:val="4C6F310B"/>
    <w:rsid w:val="4C6F72AB"/>
    <w:rsid w:val="4C7B4571"/>
    <w:rsid w:val="4C8675DB"/>
    <w:rsid w:val="4C8A7283"/>
    <w:rsid w:val="4C8B4E9D"/>
    <w:rsid w:val="4CBD44DF"/>
    <w:rsid w:val="4CC14D6A"/>
    <w:rsid w:val="4CC34266"/>
    <w:rsid w:val="4CC85C08"/>
    <w:rsid w:val="4CCB7595"/>
    <w:rsid w:val="4CDE27F3"/>
    <w:rsid w:val="4CEF36E2"/>
    <w:rsid w:val="4CEF4DC5"/>
    <w:rsid w:val="4CF84BDB"/>
    <w:rsid w:val="4CF91DE4"/>
    <w:rsid w:val="4D152EA6"/>
    <w:rsid w:val="4D1B6B47"/>
    <w:rsid w:val="4D1F46E6"/>
    <w:rsid w:val="4D2D3C7C"/>
    <w:rsid w:val="4D317F76"/>
    <w:rsid w:val="4D340066"/>
    <w:rsid w:val="4D3D5A56"/>
    <w:rsid w:val="4D427081"/>
    <w:rsid w:val="4D435026"/>
    <w:rsid w:val="4D453A21"/>
    <w:rsid w:val="4D5344E2"/>
    <w:rsid w:val="4D551EB6"/>
    <w:rsid w:val="4D60140A"/>
    <w:rsid w:val="4D866514"/>
    <w:rsid w:val="4D87403A"/>
    <w:rsid w:val="4DB34E2F"/>
    <w:rsid w:val="4DDC25D7"/>
    <w:rsid w:val="4DE9461C"/>
    <w:rsid w:val="4E013DEC"/>
    <w:rsid w:val="4E191136"/>
    <w:rsid w:val="4E1F7847"/>
    <w:rsid w:val="4E231FB4"/>
    <w:rsid w:val="4E257655"/>
    <w:rsid w:val="4E50518F"/>
    <w:rsid w:val="4E5722CC"/>
    <w:rsid w:val="4E7E71EB"/>
    <w:rsid w:val="4E8552BC"/>
    <w:rsid w:val="4E870795"/>
    <w:rsid w:val="4E906B49"/>
    <w:rsid w:val="4E992106"/>
    <w:rsid w:val="4EB22E8E"/>
    <w:rsid w:val="4EE23C1E"/>
    <w:rsid w:val="4F086930"/>
    <w:rsid w:val="4F0A0A7E"/>
    <w:rsid w:val="4F11005F"/>
    <w:rsid w:val="4F166E11"/>
    <w:rsid w:val="4F372380"/>
    <w:rsid w:val="4F372FFB"/>
    <w:rsid w:val="4F5A7C58"/>
    <w:rsid w:val="4F601D00"/>
    <w:rsid w:val="4F665BD9"/>
    <w:rsid w:val="4F6C3FA5"/>
    <w:rsid w:val="4F744F7F"/>
    <w:rsid w:val="4FAE3B00"/>
    <w:rsid w:val="4FB35587"/>
    <w:rsid w:val="4FB37368"/>
    <w:rsid w:val="4FB629B4"/>
    <w:rsid w:val="4FCB559C"/>
    <w:rsid w:val="4FDD43E5"/>
    <w:rsid w:val="4FDE263F"/>
    <w:rsid w:val="4FF79FC8"/>
    <w:rsid w:val="4FFF6F93"/>
    <w:rsid w:val="50151DD1"/>
    <w:rsid w:val="501F44E6"/>
    <w:rsid w:val="502437DE"/>
    <w:rsid w:val="5025116D"/>
    <w:rsid w:val="50275978"/>
    <w:rsid w:val="50355FCF"/>
    <w:rsid w:val="50492324"/>
    <w:rsid w:val="504D72A9"/>
    <w:rsid w:val="504E670A"/>
    <w:rsid w:val="506568B4"/>
    <w:rsid w:val="506B5FF0"/>
    <w:rsid w:val="50854FFE"/>
    <w:rsid w:val="50901457"/>
    <w:rsid w:val="50924ECA"/>
    <w:rsid w:val="509B22D6"/>
    <w:rsid w:val="509B4084"/>
    <w:rsid w:val="50B9651C"/>
    <w:rsid w:val="50BB00C4"/>
    <w:rsid w:val="50BB2978"/>
    <w:rsid w:val="50D13F4A"/>
    <w:rsid w:val="50E00577"/>
    <w:rsid w:val="50E0418D"/>
    <w:rsid w:val="50E7376D"/>
    <w:rsid w:val="50E81293"/>
    <w:rsid w:val="50E83041"/>
    <w:rsid w:val="50F14B6C"/>
    <w:rsid w:val="513A1AEF"/>
    <w:rsid w:val="51453C9F"/>
    <w:rsid w:val="51516EE5"/>
    <w:rsid w:val="51645D69"/>
    <w:rsid w:val="51764AF1"/>
    <w:rsid w:val="518C4620"/>
    <w:rsid w:val="51C825BF"/>
    <w:rsid w:val="51F31E36"/>
    <w:rsid w:val="51F872B4"/>
    <w:rsid w:val="52040801"/>
    <w:rsid w:val="520C5011"/>
    <w:rsid w:val="52291B63"/>
    <w:rsid w:val="5237039D"/>
    <w:rsid w:val="52395ECD"/>
    <w:rsid w:val="523B502D"/>
    <w:rsid w:val="525B3FFE"/>
    <w:rsid w:val="525F44BB"/>
    <w:rsid w:val="526D31C8"/>
    <w:rsid w:val="52846D9A"/>
    <w:rsid w:val="528648C0"/>
    <w:rsid w:val="52B93420"/>
    <w:rsid w:val="52BB0A89"/>
    <w:rsid w:val="52BF08F6"/>
    <w:rsid w:val="52C10D75"/>
    <w:rsid w:val="52C61B2D"/>
    <w:rsid w:val="52D548A2"/>
    <w:rsid w:val="52E76441"/>
    <w:rsid w:val="52F87798"/>
    <w:rsid w:val="532B3328"/>
    <w:rsid w:val="533755F4"/>
    <w:rsid w:val="533E33EC"/>
    <w:rsid w:val="536C338D"/>
    <w:rsid w:val="538057B3"/>
    <w:rsid w:val="53912714"/>
    <w:rsid w:val="539B581E"/>
    <w:rsid w:val="53A45945"/>
    <w:rsid w:val="53B645B0"/>
    <w:rsid w:val="53C27FF8"/>
    <w:rsid w:val="53D31D87"/>
    <w:rsid w:val="53E06252"/>
    <w:rsid w:val="53E81E61"/>
    <w:rsid w:val="53E82A87"/>
    <w:rsid w:val="53EA66CB"/>
    <w:rsid w:val="54011C4D"/>
    <w:rsid w:val="54047EF9"/>
    <w:rsid w:val="540E1011"/>
    <w:rsid w:val="540F674D"/>
    <w:rsid w:val="543547EF"/>
    <w:rsid w:val="545E2D84"/>
    <w:rsid w:val="547F7727"/>
    <w:rsid w:val="548026BD"/>
    <w:rsid w:val="54806794"/>
    <w:rsid w:val="549359C2"/>
    <w:rsid w:val="5497165C"/>
    <w:rsid w:val="54976AA9"/>
    <w:rsid w:val="54990098"/>
    <w:rsid w:val="549E1A80"/>
    <w:rsid w:val="54A43723"/>
    <w:rsid w:val="54AD25D8"/>
    <w:rsid w:val="54C658F4"/>
    <w:rsid w:val="54D67D81"/>
    <w:rsid w:val="54E87AB4"/>
    <w:rsid w:val="550C4BD7"/>
    <w:rsid w:val="554C1D56"/>
    <w:rsid w:val="554D29FD"/>
    <w:rsid w:val="555667CB"/>
    <w:rsid w:val="55572986"/>
    <w:rsid w:val="555E38D2"/>
    <w:rsid w:val="555E7D76"/>
    <w:rsid w:val="556C6C12"/>
    <w:rsid w:val="55756C7C"/>
    <w:rsid w:val="55AA6BB4"/>
    <w:rsid w:val="55B654BC"/>
    <w:rsid w:val="55CB21FF"/>
    <w:rsid w:val="55CF47D0"/>
    <w:rsid w:val="55D63DB0"/>
    <w:rsid w:val="55DA38A0"/>
    <w:rsid w:val="55DB4F23"/>
    <w:rsid w:val="55E24503"/>
    <w:rsid w:val="55FC09B8"/>
    <w:rsid w:val="562A5269"/>
    <w:rsid w:val="563733B5"/>
    <w:rsid w:val="563805C7"/>
    <w:rsid w:val="56526E48"/>
    <w:rsid w:val="565340FA"/>
    <w:rsid w:val="56554D73"/>
    <w:rsid w:val="56706851"/>
    <w:rsid w:val="5671307A"/>
    <w:rsid w:val="56951575"/>
    <w:rsid w:val="569F23F4"/>
    <w:rsid w:val="56AD5F59"/>
    <w:rsid w:val="56B0015D"/>
    <w:rsid w:val="56B66BD3"/>
    <w:rsid w:val="56B934B6"/>
    <w:rsid w:val="56C60774"/>
    <w:rsid w:val="56C8194B"/>
    <w:rsid w:val="56E12653"/>
    <w:rsid w:val="56EA18C1"/>
    <w:rsid w:val="56FE6056"/>
    <w:rsid w:val="570C203C"/>
    <w:rsid w:val="570F7179"/>
    <w:rsid w:val="57236B81"/>
    <w:rsid w:val="57281580"/>
    <w:rsid w:val="575136EE"/>
    <w:rsid w:val="576A046C"/>
    <w:rsid w:val="576E6E75"/>
    <w:rsid w:val="57776ECD"/>
    <w:rsid w:val="577F138D"/>
    <w:rsid w:val="578F1707"/>
    <w:rsid w:val="57B12A52"/>
    <w:rsid w:val="57D13A15"/>
    <w:rsid w:val="57D909D8"/>
    <w:rsid w:val="57E8072D"/>
    <w:rsid w:val="57F44ABA"/>
    <w:rsid w:val="57FCA5C9"/>
    <w:rsid w:val="5813309A"/>
    <w:rsid w:val="58213C58"/>
    <w:rsid w:val="584E5E80"/>
    <w:rsid w:val="585D299D"/>
    <w:rsid w:val="58810003"/>
    <w:rsid w:val="58871392"/>
    <w:rsid w:val="588D0533"/>
    <w:rsid w:val="58AB6E2E"/>
    <w:rsid w:val="58C63C68"/>
    <w:rsid w:val="58D42829"/>
    <w:rsid w:val="58DE4364"/>
    <w:rsid w:val="58E04ED5"/>
    <w:rsid w:val="58E511CB"/>
    <w:rsid w:val="58E6430A"/>
    <w:rsid w:val="5917019C"/>
    <w:rsid w:val="59170968"/>
    <w:rsid w:val="591A2206"/>
    <w:rsid w:val="591B677F"/>
    <w:rsid w:val="594159E5"/>
    <w:rsid w:val="59626281"/>
    <w:rsid w:val="59701E26"/>
    <w:rsid w:val="597436C4"/>
    <w:rsid w:val="59796F2C"/>
    <w:rsid w:val="59A4601D"/>
    <w:rsid w:val="59A85A64"/>
    <w:rsid w:val="59AC10B0"/>
    <w:rsid w:val="59B92C6F"/>
    <w:rsid w:val="59E3084A"/>
    <w:rsid w:val="59E36424"/>
    <w:rsid w:val="59E972F0"/>
    <w:rsid w:val="5A024B69"/>
    <w:rsid w:val="5A2F2CC8"/>
    <w:rsid w:val="5A386129"/>
    <w:rsid w:val="5A41700C"/>
    <w:rsid w:val="5A467051"/>
    <w:rsid w:val="5A4A2677"/>
    <w:rsid w:val="5A5A0B0C"/>
    <w:rsid w:val="5A5C34F4"/>
    <w:rsid w:val="5A825D14"/>
    <w:rsid w:val="5A9A7A80"/>
    <w:rsid w:val="5AB6087B"/>
    <w:rsid w:val="5AB864BE"/>
    <w:rsid w:val="5ABD5454"/>
    <w:rsid w:val="5AE1122D"/>
    <w:rsid w:val="5AE26D53"/>
    <w:rsid w:val="5AE66844"/>
    <w:rsid w:val="5AFE2CF6"/>
    <w:rsid w:val="5B01367D"/>
    <w:rsid w:val="5B061086"/>
    <w:rsid w:val="5B13515F"/>
    <w:rsid w:val="5B1C7B22"/>
    <w:rsid w:val="5B1F705C"/>
    <w:rsid w:val="5B372BFB"/>
    <w:rsid w:val="5B57504B"/>
    <w:rsid w:val="5B7976B8"/>
    <w:rsid w:val="5B8027F4"/>
    <w:rsid w:val="5BA3015F"/>
    <w:rsid w:val="5BAD0F91"/>
    <w:rsid w:val="5BBB7CD0"/>
    <w:rsid w:val="5BBC1352"/>
    <w:rsid w:val="5BBD57F6"/>
    <w:rsid w:val="5BF3746A"/>
    <w:rsid w:val="5C044B1C"/>
    <w:rsid w:val="5C10702D"/>
    <w:rsid w:val="5C152601"/>
    <w:rsid w:val="5C2C2C43"/>
    <w:rsid w:val="5C2E04A2"/>
    <w:rsid w:val="5C4177F7"/>
    <w:rsid w:val="5C4A2E02"/>
    <w:rsid w:val="5C591F03"/>
    <w:rsid w:val="5C5D0D87"/>
    <w:rsid w:val="5C6E3A41"/>
    <w:rsid w:val="5C82259C"/>
    <w:rsid w:val="5C8A1B2F"/>
    <w:rsid w:val="5C8A3B89"/>
    <w:rsid w:val="5C907043"/>
    <w:rsid w:val="5C992ACA"/>
    <w:rsid w:val="5C9E3AD9"/>
    <w:rsid w:val="5CA40764"/>
    <w:rsid w:val="5D03621E"/>
    <w:rsid w:val="5D04294B"/>
    <w:rsid w:val="5D3769D6"/>
    <w:rsid w:val="5D3C6BEF"/>
    <w:rsid w:val="5D3F46CF"/>
    <w:rsid w:val="5D697AF7"/>
    <w:rsid w:val="5D706898"/>
    <w:rsid w:val="5D7243BE"/>
    <w:rsid w:val="5D7A7717"/>
    <w:rsid w:val="5D9702C9"/>
    <w:rsid w:val="5DC7295C"/>
    <w:rsid w:val="5DCF5083"/>
    <w:rsid w:val="5DDF63AB"/>
    <w:rsid w:val="5DE5287F"/>
    <w:rsid w:val="5DE60909"/>
    <w:rsid w:val="5DFE3EA4"/>
    <w:rsid w:val="5E142BAD"/>
    <w:rsid w:val="5E1E00A2"/>
    <w:rsid w:val="5E285F9C"/>
    <w:rsid w:val="5E2D4789"/>
    <w:rsid w:val="5E3302BC"/>
    <w:rsid w:val="5E7128C8"/>
    <w:rsid w:val="5E9465B6"/>
    <w:rsid w:val="5EA80D79"/>
    <w:rsid w:val="5EB6652D"/>
    <w:rsid w:val="5ECB647C"/>
    <w:rsid w:val="5ED44C3F"/>
    <w:rsid w:val="5EDD0AA7"/>
    <w:rsid w:val="5EF13A09"/>
    <w:rsid w:val="5EFA28BD"/>
    <w:rsid w:val="5F0712C0"/>
    <w:rsid w:val="5F073611"/>
    <w:rsid w:val="5F0B6879"/>
    <w:rsid w:val="5F1C6CD8"/>
    <w:rsid w:val="5F2142EE"/>
    <w:rsid w:val="5F225970"/>
    <w:rsid w:val="5F337B7D"/>
    <w:rsid w:val="5F54617E"/>
    <w:rsid w:val="5F561B72"/>
    <w:rsid w:val="5F5A7800"/>
    <w:rsid w:val="5F700DD2"/>
    <w:rsid w:val="5F8E3006"/>
    <w:rsid w:val="5F9745B0"/>
    <w:rsid w:val="5FA016B7"/>
    <w:rsid w:val="5FB52C88"/>
    <w:rsid w:val="5FBE38EB"/>
    <w:rsid w:val="5FC50757"/>
    <w:rsid w:val="5FD4310E"/>
    <w:rsid w:val="5FDA624B"/>
    <w:rsid w:val="5FFF2FBA"/>
    <w:rsid w:val="60001003"/>
    <w:rsid w:val="600357A2"/>
    <w:rsid w:val="60252F1B"/>
    <w:rsid w:val="60265063"/>
    <w:rsid w:val="604162CA"/>
    <w:rsid w:val="606007BB"/>
    <w:rsid w:val="606C3347"/>
    <w:rsid w:val="607B1FFF"/>
    <w:rsid w:val="60972534"/>
    <w:rsid w:val="60AC7F66"/>
    <w:rsid w:val="60B620AE"/>
    <w:rsid w:val="60C82547"/>
    <w:rsid w:val="60EA0710"/>
    <w:rsid w:val="61045C75"/>
    <w:rsid w:val="61140DCF"/>
    <w:rsid w:val="612A4D6D"/>
    <w:rsid w:val="61446072"/>
    <w:rsid w:val="614620E8"/>
    <w:rsid w:val="61604106"/>
    <w:rsid w:val="61661BB6"/>
    <w:rsid w:val="618172C6"/>
    <w:rsid w:val="618B5A4F"/>
    <w:rsid w:val="619208DB"/>
    <w:rsid w:val="619863BE"/>
    <w:rsid w:val="61A94127"/>
    <w:rsid w:val="61BF10D9"/>
    <w:rsid w:val="61F37E6F"/>
    <w:rsid w:val="61F658B1"/>
    <w:rsid w:val="623205C0"/>
    <w:rsid w:val="623F0EEA"/>
    <w:rsid w:val="62561697"/>
    <w:rsid w:val="62593D9F"/>
    <w:rsid w:val="625D5A54"/>
    <w:rsid w:val="626764BC"/>
    <w:rsid w:val="62742987"/>
    <w:rsid w:val="628D67DA"/>
    <w:rsid w:val="62905878"/>
    <w:rsid w:val="62966DA1"/>
    <w:rsid w:val="62AB5051"/>
    <w:rsid w:val="62AC0373"/>
    <w:rsid w:val="62AC22DC"/>
    <w:rsid w:val="62C840EB"/>
    <w:rsid w:val="62DD677E"/>
    <w:rsid w:val="62EE79FF"/>
    <w:rsid w:val="62FB30A8"/>
    <w:rsid w:val="63070831"/>
    <w:rsid w:val="630A766E"/>
    <w:rsid w:val="63185A08"/>
    <w:rsid w:val="63383EFC"/>
    <w:rsid w:val="63576530"/>
    <w:rsid w:val="638210D3"/>
    <w:rsid w:val="63835311"/>
    <w:rsid w:val="638F1F10"/>
    <w:rsid w:val="63A22BFD"/>
    <w:rsid w:val="63A454EE"/>
    <w:rsid w:val="63AF495F"/>
    <w:rsid w:val="63B74AF8"/>
    <w:rsid w:val="63E1404C"/>
    <w:rsid w:val="63F37BA1"/>
    <w:rsid w:val="63F5294F"/>
    <w:rsid w:val="63F57AF7"/>
    <w:rsid w:val="63FA3360"/>
    <w:rsid w:val="63FD075A"/>
    <w:rsid w:val="63FF94EE"/>
    <w:rsid w:val="64063AB3"/>
    <w:rsid w:val="640D584B"/>
    <w:rsid w:val="6416019A"/>
    <w:rsid w:val="6429154F"/>
    <w:rsid w:val="642A2733"/>
    <w:rsid w:val="642C7C4F"/>
    <w:rsid w:val="64395C36"/>
    <w:rsid w:val="64416899"/>
    <w:rsid w:val="64431AB2"/>
    <w:rsid w:val="644349B2"/>
    <w:rsid w:val="645760BC"/>
    <w:rsid w:val="64813139"/>
    <w:rsid w:val="64970BAF"/>
    <w:rsid w:val="64992B79"/>
    <w:rsid w:val="64B61035"/>
    <w:rsid w:val="64C1226F"/>
    <w:rsid w:val="64CF4A13"/>
    <w:rsid w:val="64DD3878"/>
    <w:rsid w:val="64DD55CE"/>
    <w:rsid w:val="64E45EF7"/>
    <w:rsid w:val="650A312E"/>
    <w:rsid w:val="650C50F9"/>
    <w:rsid w:val="651D2067"/>
    <w:rsid w:val="65273BAA"/>
    <w:rsid w:val="65313307"/>
    <w:rsid w:val="653D1756"/>
    <w:rsid w:val="655F16CC"/>
    <w:rsid w:val="659E443B"/>
    <w:rsid w:val="65B92576"/>
    <w:rsid w:val="65C53356"/>
    <w:rsid w:val="65E86F33"/>
    <w:rsid w:val="65EC1148"/>
    <w:rsid w:val="65EF248D"/>
    <w:rsid w:val="66066051"/>
    <w:rsid w:val="661C136B"/>
    <w:rsid w:val="661C580F"/>
    <w:rsid w:val="661E3335"/>
    <w:rsid w:val="66284FBB"/>
    <w:rsid w:val="662D57F5"/>
    <w:rsid w:val="663756F4"/>
    <w:rsid w:val="6639539F"/>
    <w:rsid w:val="66442670"/>
    <w:rsid w:val="6646047D"/>
    <w:rsid w:val="66501015"/>
    <w:rsid w:val="666B22F3"/>
    <w:rsid w:val="66777934"/>
    <w:rsid w:val="667E5B82"/>
    <w:rsid w:val="6691014E"/>
    <w:rsid w:val="66A5036A"/>
    <w:rsid w:val="66BA782E"/>
    <w:rsid w:val="66C87CCE"/>
    <w:rsid w:val="66CC058C"/>
    <w:rsid w:val="66F50313"/>
    <w:rsid w:val="66FE3167"/>
    <w:rsid w:val="67220C03"/>
    <w:rsid w:val="67313B0C"/>
    <w:rsid w:val="67322330"/>
    <w:rsid w:val="6736645D"/>
    <w:rsid w:val="67371FE2"/>
    <w:rsid w:val="675B7394"/>
    <w:rsid w:val="677435B2"/>
    <w:rsid w:val="67955879"/>
    <w:rsid w:val="67A23AF2"/>
    <w:rsid w:val="67AD2607"/>
    <w:rsid w:val="67AD6DE0"/>
    <w:rsid w:val="67C93158"/>
    <w:rsid w:val="67C95523"/>
    <w:rsid w:val="67CF0C61"/>
    <w:rsid w:val="67DFD7D6"/>
    <w:rsid w:val="67E2197B"/>
    <w:rsid w:val="67EF75F1"/>
    <w:rsid w:val="68016A6B"/>
    <w:rsid w:val="68093B71"/>
    <w:rsid w:val="68356714"/>
    <w:rsid w:val="68381798"/>
    <w:rsid w:val="6840654A"/>
    <w:rsid w:val="684F4F11"/>
    <w:rsid w:val="687F152B"/>
    <w:rsid w:val="68A5387D"/>
    <w:rsid w:val="68B65AA7"/>
    <w:rsid w:val="68B97345"/>
    <w:rsid w:val="68BA0C4C"/>
    <w:rsid w:val="68C1435D"/>
    <w:rsid w:val="68C1734A"/>
    <w:rsid w:val="68C71DD3"/>
    <w:rsid w:val="68C76C42"/>
    <w:rsid w:val="68C913D0"/>
    <w:rsid w:val="68F16ADF"/>
    <w:rsid w:val="690D143F"/>
    <w:rsid w:val="690F6F65"/>
    <w:rsid w:val="69100ED1"/>
    <w:rsid w:val="69124F16"/>
    <w:rsid w:val="691B1DAE"/>
    <w:rsid w:val="691D5B26"/>
    <w:rsid w:val="69224EEB"/>
    <w:rsid w:val="693A3851"/>
    <w:rsid w:val="69472BA3"/>
    <w:rsid w:val="695E7EED"/>
    <w:rsid w:val="698E2580"/>
    <w:rsid w:val="698F00A6"/>
    <w:rsid w:val="69936754"/>
    <w:rsid w:val="699E7743"/>
    <w:rsid w:val="69B11CDD"/>
    <w:rsid w:val="69B813AB"/>
    <w:rsid w:val="69BB6293"/>
    <w:rsid w:val="69CD5C14"/>
    <w:rsid w:val="69CF0D33"/>
    <w:rsid w:val="69EF12C4"/>
    <w:rsid w:val="6A040A94"/>
    <w:rsid w:val="6A0942FC"/>
    <w:rsid w:val="6A0B76AB"/>
    <w:rsid w:val="6A1507F1"/>
    <w:rsid w:val="6A186779"/>
    <w:rsid w:val="6A44016D"/>
    <w:rsid w:val="6A4620F8"/>
    <w:rsid w:val="6A587F2A"/>
    <w:rsid w:val="6A8B4D12"/>
    <w:rsid w:val="6A8D0A8A"/>
    <w:rsid w:val="6A982774"/>
    <w:rsid w:val="6A99017C"/>
    <w:rsid w:val="6AB029CA"/>
    <w:rsid w:val="6AB2229E"/>
    <w:rsid w:val="6AB53B3C"/>
    <w:rsid w:val="6AD2184B"/>
    <w:rsid w:val="6AE15C4A"/>
    <w:rsid w:val="6AE803E5"/>
    <w:rsid w:val="6AFE12CB"/>
    <w:rsid w:val="6B00125C"/>
    <w:rsid w:val="6B056872"/>
    <w:rsid w:val="6B2313EE"/>
    <w:rsid w:val="6B2D3CFD"/>
    <w:rsid w:val="6B347157"/>
    <w:rsid w:val="6B4078AA"/>
    <w:rsid w:val="6B5042B7"/>
    <w:rsid w:val="6B520023"/>
    <w:rsid w:val="6B5D1AC1"/>
    <w:rsid w:val="6B735ED1"/>
    <w:rsid w:val="6B8D6867"/>
    <w:rsid w:val="6B96396E"/>
    <w:rsid w:val="6B9946B3"/>
    <w:rsid w:val="6BAD2A66"/>
    <w:rsid w:val="6BAD67E9"/>
    <w:rsid w:val="6BBE52E8"/>
    <w:rsid w:val="6BCF0C2E"/>
    <w:rsid w:val="6BD10CDE"/>
    <w:rsid w:val="6BE518DA"/>
    <w:rsid w:val="6BFA8410"/>
    <w:rsid w:val="6C105B45"/>
    <w:rsid w:val="6C2418FA"/>
    <w:rsid w:val="6C276F3A"/>
    <w:rsid w:val="6C3E625E"/>
    <w:rsid w:val="6C465D4B"/>
    <w:rsid w:val="6C5D26DE"/>
    <w:rsid w:val="6C7007C7"/>
    <w:rsid w:val="6C822AAB"/>
    <w:rsid w:val="6C823EF2"/>
    <w:rsid w:val="6C97174C"/>
    <w:rsid w:val="6CBF168D"/>
    <w:rsid w:val="6CFA1CDB"/>
    <w:rsid w:val="6D064B23"/>
    <w:rsid w:val="6D0843F7"/>
    <w:rsid w:val="6D1742B3"/>
    <w:rsid w:val="6D1A3CAC"/>
    <w:rsid w:val="6D2D3A36"/>
    <w:rsid w:val="6D2D797C"/>
    <w:rsid w:val="6D617EE0"/>
    <w:rsid w:val="6D6C1076"/>
    <w:rsid w:val="6D8C36B9"/>
    <w:rsid w:val="6D8E3802"/>
    <w:rsid w:val="6D8F4B19"/>
    <w:rsid w:val="6D940A73"/>
    <w:rsid w:val="6DA305C4"/>
    <w:rsid w:val="6DA57E98"/>
    <w:rsid w:val="6DCC18C9"/>
    <w:rsid w:val="6DDC0947"/>
    <w:rsid w:val="6DE2733E"/>
    <w:rsid w:val="6DE76850"/>
    <w:rsid w:val="6DF36E56"/>
    <w:rsid w:val="6E04145B"/>
    <w:rsid w:val="6E155830"/>
    <w:rsid w:val="6E2C680B"/>
    <w:rsid w:val="6E4B4EE4"/>
    <w:rsid w:val="6E5D69C5"/>
    <w:rsid w:val="6E775CD9"/>
    <w:rsid w:val="6E8012D9"/>
    <w:rsid w:val="6E924F45"/>
    <w:rsid w:val="6EA51B79"/>
    <w:rsid w:val="6EBF31DC"/>
    <w:rsid w:val="6ED22050"/>
    <w:rsid w:val="6EFF048C"/>
    <w:rsid w:val="6EFF6962"/>
    <w:rsid w:val="6F183AD6"/>
    <w:rsid w:val="6F493C6C"/>
    <w:rsid w:val="6F857F81"/>
    <w:rsid w:val="6F8E4176"/>
    <w:rsid w:val="6FA67EF8"/>
    <w:rsid w:val="6FAA5C3A"/>
    <w:rsid w:val="6FAC3760"/>
    <w:rsid w:val="6FB20BD4"/>
    <w:rsid w:val="6FB839EA"/>
    <w:rsid w:val="6FBA59BE"/>
    <w:rsid w:val="6FCC5336"/>
    <w:rsid w:val="6FCD36D6"/>
    <w:rsid w:val="6FF869A5"/>
    <w:rsid w:val="6FFB46E7"/>
    <w:rsid w:val="701B2694"/>
    <w:rsid w:val="701C7667"/>
    <w:rsid w:val="70292675"/>
    <w:rsid w:val="70296B3E"/>
    <w:rsid w:val="702E4C81"/>
    <w:rsid w:val="70427B87"/>
    <w:rsid w:val="70572D5C"/>
    <w:rsid w:val="705D4A5A"/>
    <w:rsid w:val="70611204"/>
    <w:rsid w:val="70BB1D85"/>
    <w:rsid w:val="70C1503A"/>
    <w:rsid w:val="70C41CD4"/>
    <w:rsid w:val="70CD6084"/>
    <w:rsid w:val="70D07EC3"/>
    <w:rsid w:val="70D2369A"/>
    <w:rsid w:val="70DE203F"/>
    <w:rsid w:val="70E13C67"/>
    <w:rsid w:val="70F87AA8"/>
    <w:rsid w:val="710650F2"/>
    <w:rsid w:val="71185364"/>
    <w:rsid w:val="713954C7"/>
    <w:rsid w:val="714A76D4"/>
    <w:rsid w:val="71537F87"/>
    <w:rsid w:val="71593474"/>
    <w:rsid w:val="7165620F"/>
    <w:rsid w:val="717039F8"/>
    <w:rsid w:val="717670E7"/>
    <w:rsid w:val="717A57AC"/>
    <w:rsid w:val="717B5AE0"/>
    <w:rsid w:val="71997D14"/>
    <w:rsid w:val="71A61ED2"/>
    <w:rsid w:val="71BB7512"/>
    <w:rsid w:val="71BD6F35"/>
    <w:rsid w:val="71C45D0B"/>
    <w:rsid w:val="71C75632"/>
    <w:rsid w:val="71E44313"/>
    <w:rsid w:val="71E82A49"/>
    <w:rsid w:val="71F370EC"/>
    <w:rsid w:val="723D0FE7"/>
    <w:rsid w:val="725D3437"/>
    <w:rsid w:val="726B0FE8"/>
    <w:rsid w:val="72C442EE"/>
    <w:rsid w:val="72E22405"/>
    <w:rsid w:val="72ED672C"/>
    <w:rsid w:val="731D4D85"/>
    <w:rsid w:val="73303624"/>
    <w:rsid w:val="733B457E"/>
    <w:rsid w:val="73495B3B"/>
    <w:rsid w:val="734C660F"/>
    <w:rsid w:val="735755EA"/>
    <w:rsid w:val="7358775B"/>
    <w:rsid w:val="73652AD4"/>
    <w:rsid w:val="73730BF1"/>
    <w:rsid w:val="73C13552"/>
    <w:rsid w:val="73D03795"/>
    <w:rsid w:val="73D509D0"/>
    <w:rsid w:val="73F71F01"/>
    <w:rsid w:val="73FC27DC"/>
    <w:rsid w:val="74043A9C"/>
    <w:rsid w:val="741B7106"/>
    <w:rsid w:val="741E6BF6"/>
    <w:rsid w:val="74275AAB"/>
    <w:rsid w:val="745443C6"/>
    <w:rsid w:val="74650381"/>
    <w:rsid w:val="746C0790"/>
    <w:rsid w:val="74844CAB"/>
    <w:rsid w:val="749C0A23"/>
    <w:rsid w:val="74B207DC"/>
    <w:rsid w:val="74D13AD5"/>
    <w:rsid w:val="74D976E2"/>
    <w:rsid w:val="74FA2C30"/>
    <w:rsid w:val="750A1AC5"/>
    <w:rsid w:val="75104791"/>
    <w:rsid w:val="7511559E"/>
    <w:rsid w:val="7531081E"/>
    <w:rsid w:val="75383CE8"/>
    <w:rsid w:val="753D4E5A"/>
    <w:rsid w:val="75421080"/>
    <w:rsid w:val="754D5C4B"/>
    <w:rsid w:val="75690ED6"/>
    <w:rsid w:val="757C3BD5"/>
    <w:rsid w:val="75812C05"/>
    <w:rsid w:val="75877F73"/>
    <w:rsid w:val="75947170"/>
    <w:rsid w:val="759C4277"/>
    <w:rsid w:val="75BA018C"/>
    <w:rsid w:val="75BE90FB"/>
    <w:rsid w:val="75C21B99"/>
    <w:rsid w:val="75D67789"/>
    <w:rsid w:val="75F4143F"/>
    <w:rsid w:val="75F67D5C"/>
    <w:rsid w:val="75F6E9C2"/>
    <w:rsid w:val="75F92AF3"/>
    <w:rsid w:val="760032A4"/>
    <w:rsid w:val="762304F4"/>
    <w:rsid w:val="76393874"/>
    <w:rsid w:val="764D505D"/>
    <w:rsid w:val="765869B8"/>
    <w:rsid w:val="767F38B3"/>
    <w:rsid w:val="76A258BD"/>
    <w:rsid w:val="76A519F0"/>
    <w:rsid w:val="76BF021D"/>
    <w:rsid w:val="76C240A7"/>
    <w:rsid w:val="76CB6F68"/>
    <w:rsid w:val="76D63136"/>
    <w:rsid w:val="76D8308D"/>
    <w:rsid w:val="76DA416A"/>
    <w:rsid w:val="76F3D3A8"/>
    <w:rsid w:val="77114BA1"/>
    <w:rsid w:val="771172FD"/>
    <w:rsid w:val="7712703F"/>
    <w:rsid w:val="77372DF0"/>
    <w:rsid w:val="77412409"/>
    <w:rsid w:val="775246B7"/>
    <w:rsid w:val="77603EAD"/>
    <w:rsid w:val="778A1F2E"/>
    <w:rsid w:val="778B00FF"/>
    <w:rsid w:val="778C3E77"/>
    <w:rsid w:val="778E71C9"/>
    <w:rsid w:val="77C0257D"/>
    <w:rsid w:val="77D66A2A"/>
    <w:rsid w:val="77F53A38"/>
    <w:rsid w:val="77FD66CF"/>
    <w:rsid w:val="78191561"/>
    <w:rsid w:val="78194C59"/>
    <w:rsid w:val="781E69D1"/>
    <w:rsid w:val="7824245F"/>
    <w:rsid w:val="78802095"/>
    <w:rsid w:val="78991B88"/>
    <w:rsid w:val="78A64125"/>
    <w:rsid w:val="78A82F32"/>
    <w:rsid w:val="78BE62B2"/>
    <w:rsid w:val="78C67481"/>
    <w:rsid w:val="78C733B9"/>
    <w:rsid w:val="78CA4C57"/>
    <w:rsid w:val="78D67AA0"/>
    <w:rsid w:val="78EB6A81"/>
    <w:rsid w:val="7901747F"/>
    <w:rsid w:val="790E2D96"/>
    <w:rsid w:val="791C753D"/>
    <w:rsid w:val="792B7DEB"/>
    <w:rsid w:val="793622EC"/>
    <w:rsid w:val="793D367B"/>
    <w:rsid w:val="795B7FA5"/>
    <w:rsid w:val="7961380D"/>
    <w:rsid w:val="796450AB"/>
    <w:rsid w:val="796B468C"/>
    <w:rsid w:val="797E31CB"/>
    <w:rsid w:val="79823784"/>
    <w:rsid w:val="79AC25AE"/>
    <w:rsid w:val="79B3128B"/>
    <w:rsid w:val="79D7D698"/>
    <w:rsid w:val="79DA35C0"/>
    <w:rsid w:val="79DF0BD6"/>
    <w:rsid w:val="79E4787A"/>
    <w:rsid w:val="79EA61EA"/>
    <w:rsid w:val="79F5A33C"/>
    <w:rsid w:val="7A0128FA"/>
    <w:rsid w:val="7A1545F8"/>
    <w:rsid w:val="7A263B6B"/>
    <w:rsid w:val="7A28257D"/>
    <w:rsid w:val="7A316DFD"/>
    <w:rsid w:val="7A420B3C"/>
    <w:rsid w:val="7A6A04A0"/>
    <w:rsid w:val="7A6A66F1"/>
    <w:rsid w:val="7A8772A3"/>
    <w:rsid w:val="7A9C0875"/>
    <w:rsid w:val="7AA60ABE"/>
    <w:rsid w:val="7AAF67FA"/>
    <w:rsid w:val="7ACF0183"/>
    <w:rsid w:val="7AD973D3"/>
    <w:rsid w:val="7AF46346"/>
    <w:rsid w:val="7AFF8B48"/>
    <w:rsid w:val="7B0F5EBF"/>
    <w:rsid w:val="7B130FB9"/>
    <w:rsid w:val="7B1706C7"/>
    <w:rsid w:val="7B29035B"/>
    <w:rsid w:val="7B30793B"/>
    <w:rsid w:val="7B3D4807"/>
    <w:rsid w:val="7B486307"/>
    <w:rsid w:val="7B752AA7"/>
    <w:rsid w:val="7B7F9B57"/>
    <w:rsid w:val="7B8A691F"/>
    <w:rsid w:val="7B8F1DB2"/>
    <w:rsid w:val="7BB408EF"/>
    <w:rsid w:val="7BBC0D0C"/>
    <w:rsid w:val="7BBF0CBF"/>
    <w:rsid w:val="7BC2430B"/>
    <w:rsid w:val="7BCD6162"/>
    <w:rsid w:val="7BD71E38"/>
    <w:rsid w:val="7BD8369B"/>
    <w:rsid w:val="7BE41515"/>
    <w:rsid w:val="7BE61DA8"/>
    <w:rsid w:val="7BF64EDE"/>
    <w:rsid w:val="7BFE43AD"/>
    <w:rsid w:val="7C230571"/>
    <w:rsid w:val="7C321491"/>
    <w:rsid w:val="7C400C1E"/>
    <w:rsid w:val="7C444D20"/>
    <w:rsid w:val="7C52777D"/>
    <w:rsid w:val="7C541895"/>
    <w:rsid w:val="7C6559F4"/>
    <w:rsid w:val="7C693FA0"/>
    <w:rsid w:val="7C72188D"/>
    <w:rsid w:val="7C7E46D6"/>
    <w:rsid w:val="7C972F41"/>
    <w:rsid w:val="7CA7205A"/>
    <w:rsid w:val="7CAA1027"/>
    <w:rsid w:val="7CB108B1"/>
    <w:rsid w:val="7CC77E2B"/>
    <w:rsid w:val="7CC85951"/>
    <w:rsid w:val="7CC97586"/>
    <w:rsid w:val="7D0351B8"/>
    <w:rsid w:val="7D1D5C9D"/>
    <w:rsid w:val="7D240ACA"/>
    <w:rsid w:val="7D463234"/>
    <w:rsid w:val="7D547D83"/>
    <w:rsid w:val="7D6531A0"/>
    <w:rsid w:val="7D7D30B2"/>
    <w:rsid w:val="7D8F646F"/>
    <w:rsid w:val="7D972EFD"/>
    <w:rsid w:val="7D976246"/>
    <w:rsid w:val="7DB165DA"/>
    <w:rsid w:val="7DC4563E"/>
    <w:rsid w:val="7DD11708"/>
    <w:rsid w:val="7DD36FE2"/>
    <w:rsid w:val="7DEE4A4F"/>
    <w:rsid w:val="7DEF11E8"/>
    <w:rsid w:val="7DF715D0"/>
    <w:rsid w:val="7DF74740"/>
    <w:rsid w:val="7DF84014"/>
    <w:rsid w:val="7E0335F8"/>
    <w:rsid w:val="7E066731"/>
    <w:rsid w:val="7E1641B0"/>
    <w:rsid w:val="7E186464"/>
    <w:rsid w:val="7E340261"/>
    <w:rsid w:val="7E3C2153"/>
    <w:rsid w:val="7E3E2DA3"/>
    <w:rsid w:val="7E730D4D"/>
    <w:rsid w:val="7E7F0292"/>
    <w:rsid w:val="7EA83C8C"/>
    <w:rsid w:val="7EAE6230"/>
    <w:rsid w:val="7EBD579E"/>
    <w:rsid w:val="7EC167BD"/>
    <w:rsid w:val="7EC16AFC"/>
    <w:rsid w:val="7EF33673"/>
    <w:rsid w:val="7F272D9E"/>
    <w:rsid w:val="7F272E03"/>
    <w:rsid w:val="7F3D1BB8"/>
    <w:rsid w:val="7F482D79"/>
    <w:rsid w:val="7F5A0D58"/>
    <w:rsid w:val="7F631961"/>
    <w:rsid w:val="7F6E41B1"/>
    <w:rsid w:val="7F761695"/>
    <w:rsid w:val="7F7D2A23"/>
    <w:rsid w:val="7F7F98B3"/>
    <w:rsid w:val="7F833DB1"/>
    <w:rsid w:val="7F8C56AF"/>
    <w:rsid w:val="7F9D5773"/>
    <w:rsid w:val="7FAC50B6"/>
    <w:rsid w:val="7FB36445"/>
    <w:rsid w:val="7FB36FE0"/>
    <w:rsid w:val="7FC22B2C"/>
    <w:rsid w:val="7FDB8F6B"/>
    <w:rsid w:val="7FE64DA5"/>
    <w:rsid w:val="7FE7AEE8"/>
    <w:rsid w:val="7FF865EC"/>
    <w:rsid w:val="7FFB5844"/>
    <w:rsid w:val="9F7634ED"/>
    <w:rsid w:val="AEBDC020"/>
    <w:rsid w:val="B2CFCADB"/>
    <w:rsid w:val="B5E7D7AB"/>
    <w:rsid w:val="B97FD18B"/>
    <w:rsid w:val="B9FF0A9C"/>
    <w:rsid w:val="BB99FB9D"/>
    <w:rsid w:val="BFD609A3"/>
    <w:rsid w:val="BFE9BE20"/>
    <w:rsid w:val="C7FE6993"/>
    <w:rsid w:val="D71EAF6F"/>
    <w:rsid w:val="DBB1FF65"/>
    <w:rsid w:val="DCFF0C47"/>
    <w:rsid w:val="DD5F4C6C"/>
    <w:rsid w:val="DFFB32A1"/>
    <w:rsid w:val="DFFF3B75"/>
    <w:rsid w:val="E3AF32CA"/>
    <w:rsid w:val="E7EB0B55"/>
    <w:rsid w:val="EBB056C9"/>
    <w:rsid w:val="ED7FDC7A"/>
    <w:rsid w:val="EDEBB27B"/>
    <w:rsid w:val="EEFF231B"/>
    <w:rsid w:val="EF4FCDE7"/>
    <w:rsid w:val="F1F967B5"/>
    <w:rsid w:val="F2BECCEA"/>
    <w:rsid w:val="F5EF9FE7"/>
    <w:rsid w:val="F67F514C"/>
    <w:rsid w:val="F6CFFBBC"/>
    <w:rsid w:val="F75D31AD"/>
    <w:rsid w:val="F7B731E4"/>
    <w:rsid w:val="F7EF5AD0"/>
    <w:rsid w:val="F7FF51EA"/>
    <w:rsid w:val="F9BFE548"/>
    <w:rsid w:val="FB3EF73C"/>
    <w:rsid w:val="FBFB38D7"/>
    <w:rsid w:val="FD7D4260"/>
    <w:rsid w:val="FED56599"/>
    <w:rsid w:val="FEDF39BE"/>
    <w:rsid w:val="FF367B17"/>
    <w:rsid w:val="FF5F40FA"/>
    <w:rsid w:val="FF5FEA04"/>
    <w:rsid w:val="FFAB3173"/>
    <w:rsid w:val="FFBF5A83"/>
    <w:rsid w:val="FFD918E2"/>
    <w:rsid w:val="FFEF0F76"/>
    <w:rsid w:val="FFF71AFC"/>
    <w:rsid w:val="FFF9C3C2"/>
    <w:rsid w:val="FFFBEEC8"/>
    <w:rsid w:val="FFFF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0" w:after="30" w:line="360"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b/>
      <w:bCs/>
      <w:kern w:val="0"/>
      <w:sz w:val="32"/>
      <w:szCs w:val="32"/>
    </w:rPr>
  </w:style>
  <w:style w:type="paragraph" w:styleId="6">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7">
    <w:name w:val="heading 5"/>
    <w:basedOn w:val="1"/>
    <w:next w:val="8"/>
    <w:link w:val="48"/>
    <w:qFormat/>
    <w:uiPriority w:val="9"/>
    <w:pPr>
      <w:keepNext/>
      <w:keepLines/>
      <w:spacing w:before="280" w:after="290" w:line="376" w:lineRule="auto"/>
      <w:outlineLvl w:val="4"/>
    </w:pPr>
    <w:rPr>
      <w:b/>
      <w:bCs/>
      <w:sz w:val="28"/>
      <w:szCs w:val="28"/>
    </w:rPr>
  </w:style>
  <w:style w:type="paragraph" w:styleId="9">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adjustRightInd w:val="0"/>
      <w:ind w:left="420" w:right="33"/>
      <w:jc w:val="left"/>
      <w:textAlignment w:val="baseline"/>
    </w:pPr>
    <w:rPr>
      <w:kern w:val="0"/>
      <w:szCs w:val="20"/>
    </w:rPr>
  </w:style>
  <w:style w:type="paragraph" w:styleId="8">
    <w:name w:val="Normal Indent"/>
    <w:basedOn w:val="1"/>
    <w:qFormat/>
    <w:uiPriority w:val="0"/>
    <w:pPr>
      <w:ind w:firstLine="420"/>
    </w:pPr>
    <w:rPr>
      <w:szCs w:val="20"/>
    </w:rPr>
  </w:style>
  <w:style w:type="paragraph" w:styleId="10">
    <w:name w:val="index 8"/>
    <w:basedOn w:val="1"/>
    <w:next w:val="1"/>
    <w:unhideWhenUsed/>
    <w:qFormat/>
    <w:uiPriority w:val="99"/>
    <w:pPr>
      <w:ind w:left="1400" w:leftChars="140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annotation text"/>
    <w:basedOn w:val="1"/>
    <w:link w:val="50"/>
    <w:qFormat/>
    <w:uiPriority w:val="0"/>
    <w:pPr>
      <w:jc w:val="left"/>
    </w:pPr>
  </w:style>
  <w:style w:type="paragraph" w:styleId="13">
    <w:name w:val="Body Text 3"/>
    <w:basedOn w:val="1"/>
    <w:link w:val="51"/>
    <w:unhideWhenUsed/>
    <w:qFormat/>
    <w:uiPriority w:val="99"/>
    <w:pPr>
      <w:spacing w:after="120"/>
    </w:pPr>
    <w:rPr>
      <w:sz w:val="16"/>
      <w:szCs w:val="16"/>
    </w:rPr>
  </w:style>
  <w:style w:type="paragraph" w:styleId="14">
    <w:name w:val="Body Text"/>
    <w:basedOn w:val="1"/>
    <w:link w:val="52"/>
    <w:unhideWhenUsed/>
    <w:qFormat/>
    <w:uiPriority w:val="0"/>
    <w:pPr>
      <w:spacing w:after="120"/>
    </w:pPr>
  </w:style>
  <w:style w:type="paragraph" w:styleId="15">
    <w:name w:val="Body Text Indent"/>
    <w:basedOn w:val="1"/>
    <w:link w:val="53"/>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Plain Text"/>
    <w:basedOn w:val="1"/>
    <w:next w:val="1"/>
    <w:link w:val="54"/>
    <w:qFormat/>
    <w:uiPriority w:val="0"/>
    <w:rPr>
      <w:rFonts w:ascii="宋体" w:hAnsi="Courier New"/>
      <w:kern w:val="0"/>
      <w:sz w:val="20"/>
      <w:szCs w:val="21"/>
    </w:rPr>
  </w:style>
  <w:style w:type="paragraph" w:styleId="18">
    <w:name w:val="Date"/>
    <w:basedOn w:val="1"/>
    <w:next w:val="1"/>
    <w:link w:val="55"/>
    <w:unhideWhenUsed/>
    <w:qFormat/>
    <w:uiPriority w:val="99"/>
    <w:pPr>
      <w:ind w:left="100" w:leftChars="2500"/>
    </w:pPr>
  </w:style>
  <w:style w:type="paragraph" w:styleId="19">
    <w:name w:val="Body Text Indent 2"/>
    <w:basedOn w:val="1"/>
    <w:qFormat/>
    <w:uiPriority w:val="0"/>
    <w:pPr>
      <w:ind w:firstLine="630"/>
    </w:pPr>
    <w:rPr>
      <w:rFonts w:ascii="Calibri" w:hAnsi="Calibri"/>
      <w:sz w:val="32"/>
      <w:szCs w:val="20"/>
    </w:rPr>
  </w:style>
  <w:style w:type="paragraph" w:styleId="20">
    <w:name w:val="Balloon Text"/>
    <w:basedOn w:val="1"/>
    <w:semiHidden/>
    <w:qFormat/>
    <w:uiPriority w:val="0"/>
    <w:rPr>
      <w:sz w:val="18"/>
      <w:szCs w:val="18"/>
    </w:rPr>
  </w:style>
  <w:style w:type="paragraph" w:styleId="21">
    <w:name w:val="footer"/>
    <w:basedOn w:val="1"/>
    <w:link w:val="56"/>
    <w:unhideWhenUsed/>
    <w:qFormat/>
    <w:uiPriority w:val="99"/>
    <w:pPr>
      <w:tabs>
        <w:tab w:val="center" w:pos="4153"/>
        <w:tab w:val="right" w:pos="8306"/>
      </w:tabs>
      <w:snapToGrid w:val="0"/>
      <w:jc w:val="left"/>
    </w:pPr>
    <w:rPr>
      <w:kern w:val="0"/>
      <w:sz w:val="18"/>
      <w:szCs w:val="18"/>
    </w:rPr>
  </w:style>
  <w:style w:type="paragraph" w:styleId="22">
    <w:name w:val="header"/>
    <w:basedOn w:val="1"/>
    <w:link w:val="5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next w:val="14"/>
    <w:qFormat/>
    <w:uiPriority w:val="0"/>
    <w:pPr>
      <w:spacing w:after="120" w:line="480" w:lineRule="auto"/>
    </w:pPr>
  </w:style>
  <w:style w:type="paragraph" w:styleId="26">
    <w:name w:val="Normal (Web)"/>
    <w:basedOn w:val="1"/>
    <w:unhideWhenUsed/>
    <w:qFormat/>
    <w:uiPriority w:val="99"/>
    <w:rPr>
      <w:rFonts w:ascii="Calibri" w:hAnsi="Calibri"/>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2"/>
    <w:next w:val="12"/>
    <w:link w:val="58"/>
    <w:qFormat/>
    <w:uiPriority w:val="99"/>
    <w:rPr>
      <w:b/>
      <w:bCs/>
    </w:rPr>
  </w:style>
  <w:style w:type="paragraph" w:styleId="29">
    <w:name w:val="Body Text First Indent"/>
    <w:basedOn w:val="14"/>
    <w:qFormat/>
    <w:uiPriority w:val="0"/>
    <w:pPr>
      <w:ind w:firstLine="420" w:firstLineChars="100"/>
    </w:pPr>
  </w:style>
  <w:style w:type="paragraph" w:styleId="30">
    <w:name w:val="Body Text First Indent 2"/>
    <w:basedOn w:val="15"/>
    <w:next w:val="1"/>
    <w:qFormat/>
    <w:uiPriority w:val="0"/>
    <w:pPr>
      <w:spacing w:line="360" w:lineRule="auto"/>
      <w:ind w:firstLine="0"/>
    </w:pPr>
    <w:rPr>
      <w:sz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qFormat/>
    <w:uiPriority w:val="22"/>
    <w:rPr>
      <w:b/>
      <w:bCs/>
    </w:rPr>
  </w:style>
  <w:style w:type="character" w:styleId="35">
    <w:name w:val="endnote reference"/>
    <w:unhideWhenUsed/>
    <w:qFormat/>
    <w:uiPriority w:val="99"/>
    <w:rPr>
      <w:vertAlign w:val="superscript"/>
    </w:rPr>
  </w:style>
  <w:style w:type="character" w:styleId="36">
    <w:name w:val="FollowedHyperlink"/>
    <w:unhideWhenUsed/>
    <w:qFormat/>
    <w:uiPriority w:val="99"/>
    <w:rPr>
      <w:color w:val="3177FD"/>
      <w:u w:val="none"/>
    </w:rPr>
  </w:style>
  <w:style w:type="character" w:styleId="37">
    <w:name w:val="HTML Definition"/>
    <w:unhideWhenUsed/>
    <w:qFormat/>
    <w:uiPriority w:val="99"/>
    <w:rPr>
      <w:i/>
      <w:iCs/>
    </w:rPr>
  </w:style>
  <w:style w:type="character" w:styleId="38">
    <w:name w:val="Hyperlink"/>
    <w:unhideWhenUsed/>
    <w:qFormat/>
    <w:uiPriority w:val="99"/>
    <w:rPr>
      <w:color w:val="3177FD"/>
      <w:u w:val="none"/>
    </w:rPr>
  </w:style>
  <w:style w:type="character" w:styleId="39">
    <w:name w:val="HTML Code"/>
    <w:unhideWhenUsed/>
    <w:qFormat/>
    <w:uiPriority w:val="99"/>
    <w:rPr>
      <w:rFonts w:hint="default" w:ascii="Consolas" w:hAnsi="Consolas" w:eastAsia="Consolas" w:cs="Consolas"/>
      <w:sz w:val="21"/>
      <w:szCs w:val="21"/>
    </w:rPr>
  </w:style>
  <w:style w:type="character" w:styleId="40">
    <w:name w:val="annotation reference"/>
    <w:qFormat/>
    <w:uiPriority w:val="0"/>
    <w:rPr>
      <w:sz w:val="21"/>
      <w:szCs w:val="21"/>
    </w:rPr>
  </w:style>
  <w:style w:type="character" w:styleId="41">
    <w:name w:val="HTML Keyboard"/>
    <w:unhideWhenUsed/>
    <w:qFormat/>
    <w:uiPriority w:val="99"/>
    <w:rPr>
      <w:rFonts w:ascii="Consolas" w:hAnsi="Consolas" w:eastAsia="Consolas" w:cs="Consolas"/>
      <w:sz w:val="21"/>
      <w:szCs w:val="21"/>
    </w:rPr>
  </w:style>
  <w:style w:type="character" w:styleId="42">
    <w:name w:val="HTML Sample"/>
    <w:unhideWhenUsed/>
    <w:qFormat/>
    <w:uiPriority w:val="99"/>
    <w:rPr>
      <w:rFonts w:hint="default" w:ascii="Consolas" w:hAnsi="Consolas" w:eastAsia="Consolas" w:cs="Consolas"/>
      <w:sz w:val="21"/>
      <w:szCs w:val="21"/>
    </w:rPr>
  </w:style>
  <w:style w:type="paragraph" w:customStyle="1" w:styleId="43">
    <w:name w:val="列出段落1"/>
    <w:basedOn w:val="1"/>
    <w:qFormat/>
    <w:uiPriority w:val="99"/>
    <w:pPr>
      <w:ind w:firstLine="420" w:firstLineChars="200"/>
    </w:pPr>
    <w:rPr>
      <w:rFonts w:ascii="等线" w:hAnsi="等线" w:eastAsia="等线"/>
    </w:rPr>
  </w:style>
  <w:style w:type="paragraph" w:customStyle="1" w:styleId="44">
    <w:name w:val="正文首行缩进 21"/>
    <w:basedOn w:val="45"/>
    <w:qFormat/>
    <w:uiPriority w:val="0"/>
    <w:pPr>
      <w:ind w:firstLine="420" w:firstLineChars="200"/>
    </w:pPr>
    <w:rPr>
      <w:rFonts w:ascii="Calibri" w:hAnsi="Calibri"/>
      <w:szCs w:val="22"/>
    </w:rPr>
  </w:style>
  <w:style w:type="paragraph" w:customStyle="1" w:styleId="45">
    <w:name w:val="Body Text Indent1"/>
    <w:basedOn w:val="1"/>
    <w:qFormat/>
    <w:uiPriority w:val="0"/>
    <w:pPr>
      <w:spacing w:after="120"/>
      <w:ind w:left="420" w:leftChars="200"/>
    </w:pPr>
  </w:style>
  <w:style w:type="character" w:customStyle="1" w:styleId="46">
    <w:name w:val="标题 1 字符"/>
    <w:link w:val="3"/>
    <w:qFormat/>
    <w:uiPriority w:val="9"/>
    <w:rPr>
      <w:rFonts w:ascii="Times New Roman" w:hAnsi="Times New Roman" w:eastAsia="宋体"/>
      <w:b/>
      <w:bCs/>
      <w:kern w:val="44"/>
      <w:sz w:val="44"/>
      <w:szCs w:val="44"/>
    </w:rPr>
  </w:style>
  <w:style w:type="character" w:customStyle="1" w:styleId="47">
    <w:name w:val="标题 2 字符"/>
    <w:link w:val="4"/>
    <w:qFormat/>
    <w:uiPriority w:val="9"/>
    <w:rPr>
      <w:rFonts w:ascii="Cambria" w:hAnsi="Cambria" w:eastAsia="宋体" w:cs="Times New Roman"/>
      <w:b/>
      <w:bCs/>
      <w:kern w:val="2"/>
      <w:sz w:val="32"/>
      <w:szCs w:val="32"/>
    </w:rPr>
  </w:style>
  <w:style w:type="character" w:customStyle="1" w:styleId="48">
    <w:name w:val="标题 5 字符"/>
    <w:link w:val="7"/>
    <w:semiHidden/>
    <w:qFormat/>
    <w:uiPriority w:val="9"/>
    <w:rPr>
      <w:rFonts w:ascii="Times New Roman" w:hAnsi="Times New Roman"/>
      <w:b/>
      <w:bCs/>
      <w:kern w:val="2"/>
      <w:sz w:val="28"/>
      <w:szCs w:val="28"/>
    </w:rPr>
  </w:style>
  <w:style w:type="character" w:customStyle="1" w:styleId="49">
    <w:name w:val="标题 8 字符"/>
    <w:link w:val="9"/>
    <w:semiHidden/>
    <w:qFormat/>
    <w:uiPriority w:val="9"/>
    <w:rPr>
      <w:rFonts w:ascii="等线 Light" w:hAnsi="等线 Light" w:eastAsia="等线 Light" w:cs="Times New Roman"/>
      <w:kern w:val="2"/>
      <w:sz w:val="24"/>
      <w:szCs w:val="24"/>
    </w:rPr>
  </w:style>
  <w:style w:type="character" w:customStyle="1" w:styleId="50">
    <w:name w:val="批注文字 字符2"/>
    <w:link w:val="12"/>
    <w:qFormat/>
    <w:uiPriority w:val="0"/>
    <w:rPr>
      <w:rFonts w:ascii="Times New Roman" w:hAnsi="Times New Roman"/>
      <w:kern w:val="2"/>
      <w:sz w:val="21"/>
      <w:szCs w:val="24"/>
    </w:rPr>
  </w:style>
  <w:style w:type="character" w:customStyle="1" w:styleId="51">
    <w:name w:val="正文文本 3 字符"/>
    <w:link w:val="13"/>
    <w:semiHidden/>
    <w:qFormat/>
    <w:uiPriority w:val="99"/>
    <w:rPr>
      <w:kern w:val="2"/>
      <w:sz w:val="16"/>
      <w:szCs w:val="16"/>
    </w:rPr>
  </w:style>
  <w:style w:type="character" w:customStyle="1" w:styleId="52">
    <w:name w:val="正文文本 字符1"/>
    <w:link w:val="14"/>
    <w:qFormat/>
    <w:uiPriority w:val="0"/>
    <w:rPr>
      <w:rFonts w:ascii="Times New Roman" w:hAnsi="Times New Roman"/>
      <w:kern w:val="2"/>
      <w:sz w:val="21"/>
      <w:szCs w:val="24"/>
    </w:rPr>
  </w:style>
  <w:style w:type="character" w:customStyle="1" w:styleId="53">
    <w:name w:val="正文文本缩进 字符"/>
    <w:link w:val="15"/>
    <w:qFormat/>
    <w:uiPriority w:val="0"/>
    <w:rPr>
      <w:rFonts w:ascii="仿宋_GB2312" w:hAnsi="Times New Roman" w:eastAsia="仿宋_GB2312" w:cs="Times New Roman"/>
      <w:sz w:val="32"/>
      <w:szCs w:val="20"/>
    </w:rPr>
  </w:style>
  <w:style w:type="character" w:customStyle="1" w:styleId="54">
    <w:name w:val="纯文本 字符3"/>
    <w:link w:val="17"/>
    <w:qFormat/>
    <w:uiPriority w:val="0"/>
    <w:rPr>
      <w:rFonts w:ascii="宋体" w:hAnsi="Courier New" w:eastAsia="宋体" w:cs="Courier New"/>
      <w:szCs w:val="21"/>
    </w:rPr>
  </w:style>
  <w:style w:type="character" w:customStyle="1" w:styleId="55">
    <w:name w:val="日期 字符"/>
    <w:link w:val="18"/>
    <w:semiHidden/>
    <w:qFormat/>
    <w:uiPriority w:val="99"/>
    <w:rPr>
      <w:rFonts w:ascii="Times New Roman" w:hAnsi="Times New Roman"/>
      <w:kern w:val="2"/>
      <w:sz w:val="21"/>
      <w:szCs w:val="24"/>
    </w:rPr>
  </w:style>
  <w:style w:type="character" w:customStyle="1" w:styleId="56">
    <w:name w:val="页脚 字符"/>
    <w:link w:val="21"/>
    <w:qFormat/>
    <w:uiPriority w:val="99"/>
    <w:rPr>
      <w:sz w:val="18"/>
      <w:szCs w:val="18"/>
    </w:rPr>
  </w:style>
  <w:style w:type="character" w:customStyle="1" w:styleId="57">
    <w:name w:val="页眉 字符"/>
    <w:link w:val="22"/>
    <w:qFormat/>
    <w:uiPriority w:val="99"/>
    <w:rPr>
      <w:sz w:val="18"/>
      <w:szCs w:val="18"/>
    </w:rPr>
  </w:style>
  <w:style w:type="character" w:customStyle="1" w:styleId="58">
    <w:name w:val="批注主题 字符"/>
    <w:link w:val="28"/>
    <w:qFormat/>
    <w:uiPriority w:val="99"/>
    <w:rPr>
      <w:rFonts w:ascii="Times New Roman" w:hAnsi="Times New Roman"/>
      <w:b/>
      <w:bCs/>
      <w:kern w:val="2"/>
      <w:sz w:val="21"/>
      <w:szCs w:val="24"/>
    </w:rPr>
  </w:style>
  <w:style w:type="character" w:customStyle="1" w:styleId="59">
    <w:name w:val="批注文字 Char2"/>
    <w:qFormat/>
    <w:uiPriority w:val="0"/>
    <w:rPr>
      <w:rFonts w:ascii="Times New Roman" w:hAnsi="Times New Roman"/>
      <w:kern w:val="2"/>
      <w:sz w:val="21"/>
      <w:szCs w:val="24"/>
    </w:rPr>
  </w:style>
  <w:style w:type="character" w:customStyle="1" w:styleId="60">
    <w:name w:val="nc-lang-cnt2"/>
    <w:qFormat/>
    <w:uiPriority w:val="0"/>
  </w:style>
  <w:style w:type="character" w:customStyle="1" w:styleId="61">
    <w:name w:val="ant-radio+*1"/>
    <w:qFormat/>
    <w:uiPriority w:val="0"/>
  </w:style>
  <w:style w:type="character" w:customStyle="1" w:styleId="62">
    <w:name w:val="纯文本 字符1"/>
    <w:qFormat/>
    <w:uiPriority w:val="0"/>
    <w:rPr>
      <w:rFonts w:ascii="宋体" w:hAnsi="Courier New"/>
    </w:rPr>
  </w:style>
  <w:style w:type="character" w:customStyle="1" w:styleId="63">
    <w:name w:val="ant-radio+*"/>
    <w:qFormat/>
    <w:uiPriority w:val="0"/>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8 Char"/>
    <w:qFormat/>
    <w:uiPriority w:val="0"/>
    <w:rPr>
      <w:rFonts w:ascii="Arial" w:hAnsi="Arial" w:eastAsia="黑体"/>
      <w:kern w:val="2"/>
      <w:sz w:val="24"/>
      <w:szCs w:val="24"/>
    </w:rPr>
  </w:style>
  <w:style w:type="character" w:customStyle="1" w:styleId="66">
    <w:name w:val="last-child1"/>
    <w:qFormat/>
    <w:uiPriority w:val="0"/>
  </w:style>
  <w:style w:type="character" w:customStyle="1" w:styleId="67">
    <w:name w:val="nc-lang-cnt"/>
    <w:qFormat/>
    <w:uiPriority w:val="0"/>
    <w:rPr>
      <w:rFonts w:hint="cs"/>
      <w:rtl/>
      <w:cs/>
    </w:rPr>
  </w:style>
  <w:style w:type="character" w:customStyle="1" w:styleId="68">
    <w:name w:val="ant-input28"/>
    <w:qFormat/>
    <w:uiPriority w:val="0"/>
  </w:style>
  <w:style w:type="character" w:customStyle="1" w:styleId="69">
    <w:name w:val="nc-lang-cnt4"/>
    <w:qFormat/>
    <w:uiPriority w:val="0"/>
    <w:rPr>
      <w:rFonts w:hint="cs"/>
      <w:rtl/>
      <w:cs/>
    </w:rPr>
  </w:style>
  <w:style w:type="character" w:customStyle="1" w:styleId="70">
    <w:name w:val="ant-select-tree-checkbox2"/>
    <w:qFormat/>
    <w:uiPriority w:val="0"/>
  </w:style>
  <w:style w:type="character" w:customStyle="1" w:styleId="71">
    <w:name w:val="nc-lang-cnt6"/>
    <w:qFormat/>
    <w:uiPriority w:val="0"/>
  </w:style>
  <w:style w:type="character" w:customStyle="1" w:styleId="72">
    <w:name w:val="批注文字 Char"/>
    <w:qFormat/>
    <w:uiPriority w:val="0"/>
    <w:rPr>
      <w:rFonts w:ascii="Times New Roman" w:hAnsi="Times New Roman"/>
      <w:kern w:val="2"/>
      <w:sz w:val="21"/>
      <w:szCs w:val="24"/>
    </w:rPr>
  </w:style>
  <w:style w:type="character" w:customStyle="1" w:styleId="73">
    <w:name w:val="正文文本 字符"/>
    <w:qFormat/>
    <w:uiPriority w:val="0"/>
    <w:rPr>
      <w:rFonts w:ascii="Times New Roman" w:hAnsi="Times New Roman"/>
      <w:kern w:val="2"/>
      <w:sz w:val="21"/>
      <w:szCs w:val="24"/>
    </w:rPr>
  </w:style>
  <w:style w:type="character" w:customStyle="1" w:styleId="74">
    <w:name w:val="apple-style-span"/>
    <w:qFormat/>
    <w:uiPriority w:val="0"/>
  </w:style>
  <w:style w:type="character" w:customStyle="1" w:styleId="75">
    <w:name w:val="批注文字 字符1"/>
    <w:qFormat/>
    <w:uiPriority w:val="0"/>
    <w:rPr>
      <w:rFonts w:ascii="Times New Roman" w:hAnsi="Times New Roman"/>
      <w:kern w:val="2"/>
      <w:sz w:val="21"/>
      <w:szCs w:val="24"/>
    </w:rPr>
  </w:style>
  <w:style w:type="character" w:customStyle="1" w:styleId="76">
    <w:name w:val="标题 1 字符1"/>
    <w:qFormat/>
    <w:uiPriority w:val="0"/>
    <w:rPr>
      <w:b/>
      <w:bCs/>
      <w:kern w:val="44"/>
      <w:sz w:val="44"/>
      <w:szCs w:val="44"/>
    </w:rPr>
  </w:style>
  <w:style w:type="character" w:customStyle="1" w:styleId="77">
    <w:name w:val="正文文本 Char"/>
    <w:qFormat/>
    <w:uiPriority w:val="0"/>
    <w:rPr>
      <w:rFonts w:ascii="Times New Roman" w:hAnsi="Times New Roman"/>
      <w:kern w:val="2"/>
      <w:sz w:val="21"/>
      <w:szCs w:val="24"/>
    </w:rPr>
  </w:style>
  <w:style w:type="character" w:customStyle="1" w:styleId="78">
    <w:name w:val="纯文本 Char"/>
    <w:qFormat/>
    <w:uiPriority w:val="0"/>
    <w:rPr>
      <w:rFonts w:ascii="宋体" w:hAnsi="Courier New" w:eastAsia="宋体" w:cs="Courier New"/>
      <w:szCs w:val="21"/>
    </w:rPr>
  </w:style>
  <w:style w:type="character" w:customStyle="1" w:styleId="79">
    <w:name w:val="textcontents"/>
    <w:qFormat/>
    <w:uiPriority w:val="0"/>
  </w:style>
  <w:style w:type="character" w:customStyle="1" w:styleId="80">
    <w:name w:val="纯文本 字符"/>
    <w:qFormat/>
    <w:uiPriority w:val="0"/>
    <w:rPr>
      <w:rFonts w:ascii="宋体" w:hAnsi="Courier New" w:eastAsia="宋体" w:cs="Courier New"/>
      <w:szCs w:val="21"/>
    </w:rPr>
  </w:style>
  <w:style w:type="character" w:customStyle="1" w:styleId="81">
    <w:name w:val="正文2 Char Char"/>
    <w:link w:val="82"/>
    <w:qFormat/>
    <w:uiPriority w:val="0"/>
    <w:rPr>
      <w:kern w:val="2"/>
      <w:sz w:val="24"/>
    </w:rPr>
  </w:style>
  <w:style w:type="paragraph" w:customStyle="1" w:styleId="82">
    <w:name w:val="正文2"/>
    <w:basedOn w:val="1"/>
    <w:link w:val="81"/>
    <w:qFormat/>
    <w:uiPriority w:val="0"/>
    <w:pPr>
      <w:adjustRightInd w:val="0"/>
      <w:spacing w:before="156" w:line="360" w:lineRule="auto"/>
      <w:ind w:firstLine="510" w:firstLineChars="200"/>
    </w:pPr>
    <w:rPr>
      <w:sz w:val="24"/>
      <w:szCs w:val="20"/>
    </w:rPr>
  </w:style>
  <w:style w:type="character" w:customStyle="1" w:styleId="83">
    <w:name w:val="批注文字 字符"/>
    <w:qFormat/>
    <w:uiPriority w:val="0"/>
    <w:rPr>
      <w:rFonts w:ascii="Times New Roman" w:hAnsi="Times New Roman"/>
      <w:kern w:val="2"/>
      <w:sz w:val="21"/>
      <w:szCs w:val="24"/>
    </w:rPr>
  </w:style>
  <w:style w:type="character" w:customStyle="1" w:styleId="84">
    <w:name w:val="纯文本 字符2"/>
    <w:qFormat/>
    <w:uiPriority w:val="0"/>
    <w:rPr>
      <w:rFonts w:ascii="宋体" w:hAnsi="Courier New" w:eastAsia="宋体" w:cs="Courier New"/>
      <w:szCs w:val="21"/>
    </w:rPr>
  </w:style>
  <w:style w:type="character" w:customStyle="1" w:styleId="85">
    <w:name w:val="标题 2 Char"/>
    <w:qFormat/>
    <w:uiPriority w:val="9"/>
    <w:rPr>
      <w:rFonts w:ascii="Cambria" w:hAnsi="Cambria" w:eastAsia="宋体" w:cs="Times New Roman"/>
      <w:b/>
      <w:bCs/>
      <w:kern w:val="2"/>
      <w:sz w:val="32"/>
      <w:szCs w:val="32"/>
    </w:rPr>
  </w:style>
  <w:style w:type="character" w:customStyle="1" w:styleId="86">
    <w:name w:val="first-child"/>
    <w:qFormat/>
    <w:uiPriority w:val="0"/>
  </w:style>
  <w:style w:type="character" w:customStyle="1" w:styleId="87">
    <w:name w:val="nc-lang-cnt1"/>
    <w:qFormat/>
    <w:uiPriority w:val="0"/>
    <w:rPr>
      <w:rFonts w:hint="cs"/>
      <w:rtl/>
      <w:cs/>
    </w:rPr>
  </w:style>
  <w:style w:type="character" w:customStyle="1" w:styleId="88">
    <w:name w:val="nc-lang-cnt3"/>
    <w:qFormat/>
    <w:uiPriority w:val="0"/>
  </w:style>
  <w:style w:type="character" w:customStyle="1" w:styleId="89">
    <w:name w:val="nc-lang-cnt5"/>
    <w:qFormat/>
    <w:uiPriority w:val="0"/>
    <w:rPr>
      <w:rFonts w:hint="cs"/>
      <w:rtl/>
      <w:cs/>
    </w:rPr>
  </w:style>
  <w:style w:type="character" w:customStyle="1" w:styleId="90">
    <w:name w:val="last-child2"/>
    <w:qFormat/>
    <w:uiPriority w:val="0"/>
  </w:style>
  <w:style w:type="character" w:customStyle="1" w:styleId="91">
    <w:name w:val="ant-select-tree-checkbox"/>
    <w:qFormat/>
    <w:uiPriority w:val="0"/>
  </w:style>
  <w:style w:type="character" w:customStyle="1" w:styleId="92">
    <w:name w:val="ant-select-tree-iconele"/>
    <w:qFormat/>
    <w:uiPriority w:val="0"/>
  </w:style>
  <w:style w:type="character" w:customStyle="1" w:styleId="93">
    <w:name w:val="ant-select-tree-switcher"/>
    <w:qFormat/>
    <w:uiPriority w:val="0"/>
  </w:style>
  <w:style w:type="character" w:customStyle="1" w:styleId="94">
    <w:name w:val="title1"/>
    <w:qFormat/>
    <w:uiPriority w:val="0"/>
    <w:rPr>
      <w:rFonts w:ascii="Calibri" w:hAnsi="Calibri" w:eastAsia="宋体" w:cs="Times New Roman"/>
      <w:color w:val="000000"/>
      <w:sz w:val="27"/>
      <w:szCs w:val="27"/>
    </w:rPr>
  </w:style>
  <w:style w:type="paragraph" w:customStyle="1" w:styleId="95">
    <w:name w:val="TOC 标题1"/>
    <w:basedOn w:val="3"/>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96">
    <w:name w:val="正文-建设方案"/>
    <w:basedOn w:val="1"/>
    <w:qFormat/>
    <w:uiPriority w:val="0"/>
    <w:pPr>
      <w:spacing w:line="360" w:lineRule="auto"/>
      <w:ind w:firstLine="640" w:firstLineChars="200"/>
    </w:pPr>
    <w:rPr>
      <w:rFonts w:ascii="仿宋_GB2312" w:eastAsia="仿宋_GB2312"/>
      <w:sz w:val="32"/>
      <w:szCs w:val="32"/>
    </w:rPr>
  </w:style>
  <w:style w:type="paragraph" w:customStyle="1" w:styleId="97">
    <w:name w:val="正文-公1"/>
    <w:basedOn w:val="1"/>
    <w:qFormat/>
    <w:uiPriority w:val="0"/>
    <w:pPr>
      <w:ind w:firstLine="200" w:firstLineChars="200"/>
      <w:jc w:val="left"/>
    </w:pPr>
    <w:rPr>
      <w:rFonts w:eastAsia="仿宋_GB2312"/>
    </w:rPr>
  </w:style>
  <w:style w:type="paragraph" w:customStyle="1" w:styleId="98">
    <w:name w:val="标题2"/>
    <w:basedOn w:val="4"/>
    <w:next w:val="1"/>
    <w:qFormat/>
    <w:uiPriority w:val="0"/>
    <w:pPr>
      <w:jc w:val="center"/>
    </w:pPr>
    <w:rPr>
      <w:rFonts w:ascii="宋体" w:hAnsi="宋体"/>
      <w:sz w:val="36"/>
      <w:szCs w:val="44"/>
    </w:rPr>
  </w:style>
  <w:style w:type="paragraph" w:customStyle="1" w:styleId="99">
    <w:name w:val="样式 (符号) 宋体 四号"/>
    <w:basedOn w:val="1"/>
    <w:qFormat/>
    <w:uiPriority w:val="0"/>
    <w:pPr>
      <w:spacing w:line="360" w:lineRule="auto"/>
      <w:ind w:firstLine="200" w:firstLineChars="200"/>
    </w:pPr>
    <w:rPr>
      <w:rFonts w:hAnsi="宋体" w:cs="宋体"/>
      <w:szCs w:val="20"/>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Body text|1"/>
    <w:basedOn w:val="1"/>
    <w:qFormat/>
    <w:uiPriority w:val="0"/>
    <w:pPr>
      <w:spacing w:line="353" w:lineRule="auto"/>
      <w:ind w:firstLine="400"/>
    </w:pPr>
    <w:rPr>
      <w:rFonts w:ascii="宋体" w:hAnsi="宋体" w:cs="宋体"/>
      <w:sz w:val="22"/>
      <w:szCs w:val="22"/>
      <w:lang w:val="zh-TW" w:eastAsia="zh-TW" w:bidi="zh-TW"/>
    </w:rPr>
  </w:style>
  <w:style w:type="paragraph" w:customStyle="1" w:styleId="1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标题 3-Symantec"/>
    <w:basedOn w:val="5"/>
    <w:next w:val="1"/>
    <w:qFormat/>
    <w:uiPriority w:val="0"/>
    <w:pPr>
      <w:tabs>
        <w:tab w:val="left" w:pos="960"/>
      </w:tabs>
      <w:spacing w:line="412" w:lineRule="auto"/>
      <w:jc w:val="left"/>
    </w:pPr>
    <w:rPr>
      <w:rFonts w:ascii="Arial" w:hAnsi="Arial" w:eastAsia="黑体"/>
      <w:bCs w:val="0"/>
      <w:sz w:val="30"/>
      <w:szCs w:val="30"/>
    </w:rPr>
  </w:style>
  <w:style w:type="paragraph" w:styleId="105">
    <w:name w:val="List Paragraph"/>
    <w:basedOn w:val="1"/>
    <w:qFormat/>
    <w:uiPriority w:val="34"/>
    <w:pPr>
      <w:ind w:firstLine="420" w:firstLineChars="200"/>
    </w:pPr>
  </w:style>
  <w:style w:type="paragraph" w:customStyle="1" w:styleId="106">
    <w:name w:val="Table Paragraph"/>
    <w:basedOn w:val="1"/>
    <w:qFormat/>
    <w:uiPriority w:val="1"/>
    <w:pPr>
      <w:jc w:val="left"/>
    </w:pPr>
    <w:rPr>
      <w:rFonts w:ascii="Calibri" w:hAnsi="Calibri"/>
      <w:kern w:val="0"/>
      <w:sz w:val="22"/>
      <w:szCs w:val="22"/>
      <w:lang w:eastAsia="en-US"/>
    </w:rPr>
  </w:style>
  <w:style w:type="paragraph" w:customStyle="1" w:styleId="107">
    <w:name w:val="p0"/>
    <w:basedOn w:val="1"/>
    <w:qFormat/>
    <w:uiPriority w:val="0"/>
    <w:pPr>
      <w:widowControl/>
    </w:pPr>
    <w:rPr>
      <w:kern w:val="0"/>
      <w:szCs w:val="21"/>
    </w:rPr>
  </w:style>
  <w:style w:type="paragraph" w:customStyle="1" w:styleId="108">
    <w:name w:val="正文1"/>
    <w:basedOn w:val="1"/>
    <w:qFormat/>
    <w:uiPriority w:val="0"/>
    <w:pPr>
      <w:spacing w:line="360" w:lineRule="auto"/>
    </w:pPr>
    <w:rPr>
      <w:rFonts w:eastAsia="仿宋_GB2312"/>
      <w:sz w:val="24"/>
      <w:szCs w:val="20"/>
    </w:rPr>
  </w:style>
  <w:style w:type="paragraph" w:customStyle="1" w:styleId="109">
    <w:name w:val="WPSOffice手动目录 1"/>
    <w:qFormat/>
    <w:uiPriority w:val="0"/>
    <w:rPr>
      <w:rFonts w:ascii="Times New Roman" w:hAnsi="Times New Roman" w:eastAsia="宋体" w:cs="Times New Roman"/>
      <w:lang w:val="en-US" w:eastAsia="zh-CN" w:bidi="ar-SA"/>
    </w:rPr>
  </w:style>
  <w:style w:type="paragraph" w:customStyle="1" w:styleId="11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2">
    <w:name w:val="Table Text"/>
    <w:basedOn w:val="1"/>
    <w:semiHidden/>
    <w:qFormat/>
    <w:uiPriority w:val="0"/>
    <w:rPr>
      <w:rFonts w:ascii="宋体" w:hAnsi="宋体" w:cs="宋体"/>
      <w:sz w:val="20"/>
      <w:szCs w:val="20"/>
      <w:lang w:eastAsia="en-US"/>
    </w:rPr>
  </w:style>
  <w:style w:type="table" w:customStyle="1" w:styleId="113">
    <w:name w:val="Table Normal"/>
    <w:semiHidden/>
    <w:unhideWhenUsed/>
    <w:qFormat/>
    <w:uiPriority w:val="0"/>
    <w:tblPr>
      <w:tblCellMar>
        <w:top w:w="0" w:type="dxa"/>
        <w:left w:w="0" w:type="dxa"/>
        <w:bottom w:w="0" w:type="dxa"/>
        <w:right w:w="0" w:type="dxa"/>
      </w:tblCellMar>
    </w:tblPr>
  </w:style>
  <w:style w:type="character" w:customStyle="1" w:styleId="114">
    <w:name w:val="NormalCharacter"/>
    <w:qFormat/>
    <w:uiPriority w:val="99"/>
  </w:style>
  <w:style w:type="paragraph" w:customStyle="1" w:styleId="115">
    <w:name w:val="正文文本首行缩进 21"/>
    <w:basedOn w:val="116"/>
    <w:qFormat/>
    <w:uiPriority w:val="0"/>
    <w:pPr>
      <w:ind w:firstLine="420" w:firstLineChars="200"/>
    </w:pPr>
  </w:style>
  <w:style w:type="paragraph" w:customStyle="1" w:styleId="116">
    <w:name w:val="正文文本缩进1"/>
    <w:basedOn w:val="1"/>
    <w:next w:val="115"/>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B5C8D-6080-4738-818A-8E80FA64E30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73</Pages>
  <Words>21058</Words>
  <Characters>22474</Characters>
  <Lines>362</Lines>
  <Paragraphs>101</Paragraphs>
  <TotalTime>2</TotalTime>
  <ScaleCrop>false</ScaleCrop>
  <LinksUpToDate>false</LinksUpToDate>
  <CharactersWithSpaces>22683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2025-07-02T02:24:00Z</dcterms:created>
  <dc:creator>唐冰</dc:creator>
  <cp:lastModifiedBy>吕小忙</cp:lastModifiedBy>
  <cp:lastPrinted>2022-06-09T08:29:00Z</cp:lastPrinted>
  <dcterms:modified xsi:type="dcterms:W3CDTF">2025-08-07T03:13:28Z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9BF413D8F992429193652AC16EE7EE16_13</vt:lpwstr>
  </property>
  <property fmtid="{D5CDD505-2E9C-101B-9397-08002B2CF9AE}" pid="4" name="KSOTemplateDocerSaveRecord">
    <vt:lpwstr>eyJoZGlkIjoiOTQxMzQ5MTJhMjVlMjg5OTdlMGMwMGE4MDJmODM5ZWUiLCJ1c2VySWQiOiIxNTY2NzM1MDQxIn0=</vt:lpwstr>
  </property>
</Properties>
</file>