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36EC6">
      <w:pPr>
        <w:spacing w:line="360" w:lineRule="auto"/>
        <w:jc w:val="center"/>
        <w:rPr>
          <w:rFonts w:ascii="宋体" w:hAnsi="宋体" w:cs="宋体"/>
          <w:color w:val="auto"/>
          <w:sz w:val="52"/>
          <w:szCs w:val="52"/>
          <w:highlight w:val="none"/>
        </w:rPr>
      </w:pPr>
      <w:r>
        <w:rPr>
          <w:rFonts w:hint="eastAsia" w:ascii="宋体" w:hAnsi="宋体" w:cs="宋体"/>
          <w:color w:val="auto"/>
          <w:highlight w:val="none"/>
        </w:rPr>
        <w:drawing>
          <wp:inline distT="0" distB="0" distL="114300" distR="114300">
            <wp:extent cx="932180" cy="900430"/>
            <wp:effectExtent l="0" t="0" r="1270"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932180" cy="900430"/>
                    </a:xfrm>
                    <a:prstGeom prst="rect">
                      <a:avLst/>
                    </a:prstGeom>
                    <a:noFill/>
                    <a:ln>
                      <a:noFill/>
                    </a:ln>
                  </pic:spPr>
                </pic:pic>
              </a:graphicData>
            </a:graphic>
          </wp:inline>
        </w:drawing>
      </w:r>
    </w:p>
    <w:p w14:paraId="7D2D4E5C">
      <w:pPr>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广西金证招标代理有限公司</w:t>
      </w:r>
    </w:p>
    <w:p w14:paraId="4E2422FA">
      <w:pPr>
        <w:spacing w:line="360" w:lineRule="auto"/>
        <w:jc w:val="center"/>
        <w:rPr>
          <w:rFonts w:ascii="宋体" w:hAnsi="宋体" w:cs="宋体"/>
          <w:b/>
          <w:color w:val="auto"/>
          <w:sz w:val="44"/>
          <w:szCs w:val="44"/>
          <w:highlight w:val="none"/>
        </w:rPr>
      </w:pPr>
    </w:p>
    <w:p w14:paraId="5B5EB11A">
      <w:pPr>
        <w:pStyle w:val="14"/>
        <w:rPr>
          <w:rFonts w:ascii="宋体" w:hAnsi="宋体" w:cs="宋体"/>
          <w:color w:val="auto"/>
          <w:highlight w:val="none"/>
        </w:rPr>
      </w:pPr>
    </w:p>
    <w:p w14:paraId="5ABD1BF1">
      <w:pPr>
        <w:pStyle w:val="26"/>
        <w:rPr>
          <w:color w:val="auto"/>
          <w:highlight w:val="none"/>
        </w:rPr>
      </w:pPr>
    </w:p>
    <w:p w14:paraId="23E5E32A">
      <w:pPr>
        <w:snapToGrid w:val="0"/>
        <w:spacing w:before="156" w:beforeLines="50" w:line="360" w:lineRule="auto"/>
        <w:jc w:val="center"/>
        <w:rPr>
          <w:rFonts w:ascii="宋体" w:hAnsi="宋体" w:cs="宋体"/>
          <w:color w:val="auto"/>
          <w:sz w:val="120"/>
          <w:szCs w:val="120"/>
          <w:highlight w:val="none"/>
        </w:rPr>
      </w:pPr>
      <w:r>
        <w:rPr>
          <w:rFonts w:hint="eastAsia" w:ascii="宋体" w:hAnsi="宋体" w:cs="宋体"/>
          <w:color w:val="auto"/>
          <w:sz w:val="96"/>
          <w:szCs w:val="96"/>
          <w:highlight w:val="none"/>
        </w:rPr>
        <w:t>竞争性磋商文件</w:t>
      </w:r>
    </w:p>
    <w:p w14:paraId="45488A57">
      <w:pPr>
        <w:snapToGrid w:val="0"/>
        <w:spacing w:before="156" w:beforeLines="50" w:line="360" w:lineRule="auto"/>
        <w:jc w:val="center"/>
        <w:rPr>
          <w:rFonts w:ascii="宋体" w:hAnsi="宋体" w:cs="宋体"/>
          <w:bCs/>
          <w:color w:val="auto"/>
          <w:sz w:val="30"/>
          <w:szCs w:val="72"/>
          <w:highlight w:val="none"/>
        </w:rPr>
      </w:pPr>
      <w:r>
        <w:rPr>
          <w:rFonts w:hint="eastAsia" w:ascii="宋体" w:hAnsi="宋体" w:cs="宋体"/>
          <w:bCs/>
          <w:color w:val="auto"/>
          <w:sz w:val="48"/>
          <w:szCs w:val="48"/>
          <w:highlight w:val="none"/>
        </w:rPr>
        <w:t>（全流程电子化采购）</w:t>
      </w:r>
    </w:p>
    <w:p w14:paraId="0AEFFB68">
      <w:pPr>
        <w:pStyle w:val="99"/>
        <w:ind w:firstLine="0" w:firstLineChars="0"/>
        <w:rPr>
          <w:rFonts w:ascii="宋体"/>
          <w:color w:val="auto"/>
          <w:sz w:val="30"/>
          <w:szCs w:val="72"/>
          <w:highlight w:val="none"/>
        </w:rPr>
      </w:pPr>
    </w:p>
    <w:p w14:paraId="338C896B">
      <w:pPr>
        <w:pStyle w:val="99"/>
        <w:ind w:firstLine="0" w:firstLineChars="0"/>
        <w:rPr>
          <w:rFonts w:ascii="宋体"/>
          <w:color w:val="auto"/>
          <w:sz w:val="30"/>
          <w:szCs w:val="72"/>
          <w:highlight w:val="none"/>
        </w:rPr>
      </w:pPr>
    </w:p>
    <w:p w14:paraId="31809009">
      <w:pPr>
        <w:pStyle w:val="18"/>
        <w:snapToGrid w:val="0"/>
        <w:spacing w:line="480" w:lineRule="auto"/>
        <w:ind w:left="2107" w:leftChars="286" w:hanging="1506" w:hangingChars="500"/>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项目</w:t>
      </w:r>
      <w:r>
        <w:rPr>
          <w:rFonts w:hint="eastAsia" w:hAnsi="宋体" w:cs="宋体"/>
          <w:b/>
          <w:bCs/>
          <w:color w:val="auto"/>
          <w:w w:val="95"/>
          <w:sz w:val="30"/>
          <w:szCs w:val="30"/>
          <w:highlight w:val="none"/>
        </w:rPr>
        <w:t>名称</w:t>
      </w:r>
      <w:r>
        <w:rPr>
          <w:rFonts w:hint="eastAsia" w:hAnsi="宋体" w:cs="宋体"/>
          <w:b/>
          <w:bCs/>
          <w:color w:val="auto"/>
          <w:sz w:val="30"/>
          <w:szCs w:val="30"/>
          <w:highlight w:val="none"/>
        </w:rPr>
        <w:t>：</w:t>
      </w:r>
      <w:r>
        <w:rPr>
          <w:rFonts w:hint="eastAsia" w:hAnsi="宋体" w:cs="宋体"/>
          <w:b/>
          <w:bCs/>
          <w:color w:val="auto"/>
          <w:sz w:val="30"/>
          <w:szCs w:val="30"/>
          <w:highlight w:val="none"/>
          <w:u w:val="single"/>
          <w:lang w:eastAsia="zh-CN"/>
        </w:rPr>
        <w:t>自治区农科院2025年度职工健康体检项目</w:t>
      </w:r>
    </w:p>
    <w:p w14:paraId="2C226BA8">
      <w:pPr>
        <w:snapToGrid w:val="0"/>
        <w:spacing w:line="600" w:lineRule="auto"/>
        <w:ind w:firstLine="602" w:firstLineChars="200"/>
        <w:rPr>
          <w:rFonts w:hint="eastAsia" w:ascii="宋体" w:hAnsi="宋体" w:eastAsia="宋体" w:cs="宋体"/>
          <w:b/>
          <w:bCs/>
          <w:color w:val="auto"/>
          <w:kern w:val="0"/>
          <w:sz w:val="30"/>
          <w:szCs w:val="30"/>
          <w:highlight w:val="none"/>
          <w:lang w:eastAsia="zh-CN"/>
        </w:rPr>
      </w:pPr>
      <w:r>
        <w:rPr>
          <w:rFonts w:hint="eastAsia" w:ascii="宋体" w:hAnsi="宋体" w:cs="宋体"/>
          <w:b/>
          <w:bCs/>
          <w:color w:val="auto"/>
          <w:kern w:val="0"/>
          <w:sz w:val="30"/>
          <w:szCs w:val="30"/>
          <w:highlight w:val="none"/>
        </w:rPr>
        <w:t>项目编号：</w:t>
      </w:r>
      <w:r>
        <w:rPr>
          <w:rFonts w:hint="eastAsia" w:ascii="宋体" w:hAnsi="宋体" w:cs="宋体"/>
          <w:b/>
          <w:bCs/>
          <w:color w:val="auto"/>
          <w:kern w:val="0"/>
          <w:sz w:val="30"/>
          <w:szCs w:val="30"/>
          <w:highlight w:val="none"/>
          <w:u w:val="single"/>
          <w:lang w:eastAsia="zh-CN"/>
        </w:rPr>
        <w:t>GXZC2025-C3-002236-JZZB</w:t>
      </w:r>
    </w:p>
    <w:p w14:paraId="3F88E353">
      <w:pPr>
        <w:pStyle w:val="18"/>
        <w:snapToGrid w:val="0"/>
        <w:spacing w:line="600" w:lineRule="auto"/>
        <w:ind w:firstLine="572" w:firstLineChars="200"/>
        <w:rPr>
          <w:rFonts w:hAnsi="宋体" w:cs="宋体"/>
          <w:b/>
          <w:bCs/>
          <w:color w:val="auto"/>
          <w:w w:val="95"/>
          <w:sz w:val="30"/>
          <w:szCs w:val="30"/>
          <w:highlight w:val="none"/>
        </w:rPr>
      </w:pPr>
      <w:r>
        <w:rPr>
          <w:rFonts w:hint="eastAsia" w:hAnsi="宋体" w:cs="宋体"/>
          <w:b/>
          <w:bCs/>
          <w:color w:val="auto"/>
          <w:w w:val="95"/>
          <w:sz w:val="30"/>
          <w:szCs w:val="30"/>
          <w:highlight w:val="none"/>
        </w:rPr>
        <w:t>采 购 人：</w:t>
      </w:r>
      <w:r>
        <w:rPr>
          <w:rFonts w:hint="eastAsia" w:hAnsi="宋体" w:cs="宋体"/>
          <w:b/>
          <w:bCs/>
          <w:color w:val="auto"/>
          <w:sz w:val="30"/>
          <w:szCs w:val="30"/>
          <w:highlight w:val="none"/>
          <w:u w:val="single"/>
        </w:rPr>
        <w:t>广西壮族自治区农业科学院</w:t>
      </w:r>
    </w:p>
    <w:p w14:paraId="0185B216">
      <w:pPr>
        <w:pStyle w:val="18"/>
        <w:snapToGrid w:val="0"/>
        <w:spacing w:line="600" w:lineRule="auto"/>
        <w:ind w:firstLine="572" w:firstLineChars="200"/>
        <w:rPr>
          <w:rFonts w:hAnsi="宋体" w:cs="宋体"/>
          <w:b/>
          <w:bCs/>
          <w:color w:val="auto"/>
          <w:w w:val="95"/>
          <w:sz w:val="30"/>
          <w:szCs w:val="30"/>
          <w:highlight w:val="none"/>
        </w:rPr>
      </w:pPr>
      <w:r>
        <w:rPr>
          <w:rFonts w:hint="eastAsia" w:hAnsi="宋体" w:cs="宋体"/>
          <w:b/>
          <w:bCs/>
          <w:color w:val="auto"/>
          <w:w w:val="95"/>
          <w:sz w:val="30"/>
          <w:szCs w:val="30"/>
          <w:highlight w:val="none"/>
        </w:rPr>
        <w:t>采购代理机构：</w:t>
      </w:r>
      <w:r>
        <w:rPr>
          <w:rFonts w:hint="eastAsia" w:hAnsi="宋体" w:cs="宋体"/>
          <w:b/>
          <w:bCs/>
          <w:color w:val="auto"/>
          <w:w w:val="95"/>
          <w:sz w:val="30"/>
          <w:szCs w:val="30"/>
          <w:highlight w:val="none"/>
          <w:u w:val="single"/>
        </w:rPr>
        <w:t>广西金证招标代理有限公司</w:t>
      </w:r>
    </w:p>
    <w:p w14:paraId="010D9BAF">
      <w:pPr>
        <w:pStyle w:val="18"/>
        <w:snapToGrid w:val="0"/>
        <w:spacing w:line="360" w:lineRule="auto"/>
        <w:jc w:val="center"/>
        <w:rPr>
          <w:rFonts w:hAnsi="宋体" w:cs="宋体"/>
          <w:color w:val="auto"/>
          <w:szCs w:val="20"/>
          <w:highlight w:val="none"/>
        </w:rPr>
      </w:pPr>
      <w:r>
        <w:rPr>
          <w:rFonts w:hint="eastAsia" w:hAnsi="宋体" w:cs="宋体"/>
          <w:b/>
          <w:bCs/>
          <w:color w:val="auto"/>
          <w:w w:val="95"/>
          <w:sz w:val="30"/>
          <w:szCs w:val="30"/>
          <w:highlight w:val="none"/>
        </w:rPr>
        <w:t>2025年</w:t>
      </w:r>
      <w:r>
        <w:rPr>
          <w:rFonts w:hint="eastAsia" w:hAnsi="宋体" w:cs="宋体"/>
          <w:b/>
          <w:bCs/>
          <w:color w:val="auto"/>
          <w:w w:val="95"/>
          <w:sz w:val="30"/>
          <w:szCs w:val="30"/>
          <w:highlight w:val="none"/>
          <w:lang w:val="en-US" w:eastAsia="zh-CN"/>
        </w:rPr>
        <w:t>8</w:t>
      </w:r>
      <w:r>
        <w:rPr>
          <w:rFonts w:hint="eastAsia" w:hAnsi="宋体" w:cs="宋体"/>
          <w:b/>
          <w:bCs/>
          <w:color w:val="auto"/>
          <w:w w:val="95"/>
          <w:sz w:val="30"/>
          <w:szCs w:val="30"/>
          <w:highlight w:val="none"/>
        </w:rPr>
        <w:t>月</w:t>
      </w:r>
    </w:p>
    <w:p w14:paraId="021A4A11">
      <w:pPr>
        <w:spacing w:line="360" w:lineRule="auto"/>
        <w:rPr>
          <w:rFonts w:ascii="宋体" w:hAnsi="宋体" w:cs="宋体"/>
          <w:b/>
          <w:color w:val="auto"/>
          <w:sz w:val="44"/>
          <w:szCs w:val="44"/>
          <w:highlight w:val="none"/>
        </w:rPr>
        <w:sectPr>
          <w:headerReference r:id="rId4" w:type="first"/>
          <w:footerReference r:id="rId6" w:type="first"/>
          <w:headerReference r:id="rId3" w:type="default"/>
          <w:footerReference r:id="rId5" w:type="default"/>
          <w:pgSz w:w="11906" w:h="16838"/>
          <w:pgMar w:top="1304" w:right="1361" w:bottom="1304" w:left="1361" w:header="1020" w:footer="1020" w:gutter="0"/>
          <w:pgNumType w:start="0"/>
          <w:cols w:space="720" w:num="1"/>
          <w:titlePg/>
          <w:docGrid w:type="lines" w:linePitch="312" w:charSpace="0"/>
        </w:sectPr>
      </w:pPr>
    </w:p>
    <w:p w14:paraId="459823B6">
      <w:pPr>
        <w:spacing w:line="360" w:lineRule="auto"/>
        <w:jc w:val="center"/>
        <w:rPr>
          <w:rFonts w:ascii="宋体" w:hAnsi="宋体" w:cs="宋体"/>
          <w:b/>
          <w:color w:val="auto"/>
          <w:sz w:val="44"/>
          <w:szCs w:val="44"/>
          <w:highlight w:val="none"/>
        </w:rPr>
      </w:pPr>
    </w:p>
    <w:p w14:paraId="789ECAC9">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目  录</w:t>
      </w:r>
    </w:p>
    <w:p w14:paraId="7ED687AA">
      <w:pPr>
        <w:rPr>
          <w:color w:val="auto"/>
          <w:highlight w:val="none"/>
        </w:rPr>
      </w:pPr>
    </w:p>
    <w:p w14:paraId="019D9AB6">
      <w:pPr>
        <w:pStyle w:val="24"/>
        <w:tabs>
          <w:tab w:val="right" w:leader="dot" w:pos="9184"/>
        </w:tabs>
        <w:rPr>
          <w:color w:val="auto"/>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TOC \o "1-3" \h \z \u </w:instrText>
      </w:r>
      <w:r>
        <w:rPr>
          <w:rFonts w:hint="eastAsia" w:ascii="宋体" w:hAnsi="宋体" w:cs="宋体"/>
          <w:b/>
          <w:bCs/>
          <w:color w:val="auto"/>
          <w:sz w:val="24"/>
          <w:highlight w:val="none"/>
        </w:rPr>
        <w:fldChar w:fldCharType="separate"/>
      </w: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_Toc21194 </w:instrText>
      </w:r>
      <w:r>
        <w:rPr>
          <w:rFonts w:hint="eastAsia" w:ascii="宋体" w:hAnsi="宋体" w:cs="宋体"/>
          <w:bCs/>
          <w:color w:val="auto"/>
          <w:highlight w:val="none"/>
        </w:rPr>
        <w:fldChar w:fldCharType="separate"/>
      </w:r>
      <w:r>
        <w:rPr>
          <w:rFonts w:hint="eastAsia" w:ascii="宋体" w:hAnsi="宋体" w:cs="宋体"/>
          <w:color w:val="auto"/>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_Toc21194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olor w:val="auto"/>
          <w:highlight w:val="none"/>
        </w:rPr>
        <w:fldChar w:fldCharType="end"/>
      </w:r>
    </w:p>
    <w:p w14:paraId="2D859A24">
      <w:pPr>
        <w:pStyle w:val="24"/>
        <w:tabs>
          <w:tab w:val="right" w:leader="dot" w:pos="9184"/>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_Toc1433 </w:instrText>
      </w:r>
      <w:r>
        <w:rPr>
          <w:rFonts w:hint="eastAsia" w:ascii="宋体" w:hAnsi="宋体" w:cs="宋体"/>
          <w:bCs/>
          <w:color w:val="auto"/>
          <w:highlight w:val="none"/>
        </w:rPr>
        <w:fldChar w:fldCharType="separate"/>
      </w:r>
      <w:r>
        <w:rPr>
          <w:rFonts w:hint="eastAsia" w:ascii="宋体" w:hAnsi="宋体" w:cs="宋体"/>
          <w:color w:val="auto"/>
          <w:highlight w:val="none"/>
        </w:rPr>
        <w:t>第二章 供应商须知</w:t>
      </w:r>
      <w:r>
        <w:rPr>
          <w:color w:val="auto"/>
          <w:highlight w:val="none"/>
        </w:rPr>
        <w:tab/>
      </w:r>
      <w:r>
        <w:rPr>
          <w:color w:val="auto"/>
          <w:highlight w:val="none"/>
        </w:rPr>
        <w:fldChar w:fldCharType="begin"/>
      </w:r>
      <w:r>
        <w:rPr>
          <w:color w:val="auto"/>
          <w:highlight w:val="none"/>
        </w:rPr>
        <w:instrText xml:space="preserve"> PAGEREF _Toc1433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cs="宋体"/>
          <w:bCs/>
          <w:color w:val="auto"/>
          <w:highlight w:val="none"/>
        </w:rPr>
        <w:fldChar w:fldCharType="end"/>
      </w:r>
    </w:p>
    <w:p w14:paraId="4C18E717">
      <w:pPr>
        <w:pStyle w:val="24"/>
        <w:tabs>
          <w:tab w:val="right" w:leader="dot" w:pos="9184"/>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_Toc20322 </w:instrText>
      </w:r>
      <w:r>
        <w:rPr>
          <w:rFonts w:hint="eastAsia" w:ascii="宋体" w:hAnsi="宋体" w:cs="宋体"/>
          <w:bCs/>
          <w:color w:val="auto"/>
          <w:highlight w:val="none"/>
        </w:rPr>
        <w:fldChar w:fldCharType="separate"/>
      </w:r>
      <w:r>
        <w:rPr>
          <w:rFonts w:hint="eastAsia" w:ascii="宋体" w:hAnsi="宋体" w:cs="宋体"/>
          <w:color w:val="auto"/>
          <w:highlight w:val="none"/>
        </w:rPr>
        <w:t>第三章 采购需求</w:t>
      </w:r>
      <w:r>
        <w:rPr>
          <w:color w:val="auto"/>
          <w:highlight w:val="none"/>
        </w:rPr>
        <w:tab/>
      </w:r>
      <w:r>
        <w:rPr>
          <w:color w:val="auto"/>
          <w:highlight w:val="none"/>
        </w:rPr>
        <w:fldChar w:fldCharType="begin"/>
      </w:r>
      <w:r>
        <w:rPr>
          <w:color w:val="auto"/>
          <w:highlight w:val="none"/>
        </w:rPr>
        <w:instrText xml:space="preserve"> PAGEREF _Toc20322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cs="宋体"/>
          <w:bCs/>
          <w:color w:val="auto"/>
          <w:highlight w:val="none"/>
        </w:rPr>
        <w:fldChar w:fldCharType="end"/>
      </w:r>
    </w:p>
    <w:p w14:paraId="42F7D1C1">
      <w:pPr>
        <w:pStyle w:val="24"/>
        <w:tabs>
          <w:tab w:val="right" w:leader="dot" w:pos="9184"/>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_Toc2387 </w:instrText>
      </w:r>
      <w:r>
        <w:rPr>
          <w:rFonts w:hint="eastAsia" w:ascii="宋体" w:hAnsi="宋体" w:cs="宋体"/>
          <w:bCs/>
          <w:color w:val="auto"/>
          <w:highlight w:val="none"/>
        </w:rPr>
        <w:fldChar w:fldCharType="separate"/>
      </w:r>
      <w:r>
        <w:rPr>
          <w:rFonts w:hint="eastAsia" w:ascii="宋体" w:hAnsi="宋体" w:cs="宋体"/>
          <w:color w:val="auto"/>
          <w:highlight w:val="none"/>
        </w:rPr>
        <w:t>第四章 评审程序、评审方法和评审标准</w:t>
      </w:r>
      <w:r>
        <w:rPr>
          <w:color w:val="auto"/>
          <w:highlight w:val="none"/>
        </w:rPr>
        <w:tab/>
      </w:r>
      <w:r>
        <w:rPr>
          <w:color w:val="auto"/>
          <w:highlight w:val="none"/>
        </w:rPr>
        <w:fldChar w:fldCharType="begin"/>
      </w:r>
      <w:r>
        <w:rPr>
          <w:color w:val="auto"/>
          <w:highlight w:val="none"/>
        </w:rPr>
        <w:instrText xml:space="preserve"> PAGEREF _Toc2387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cs="宋体"/>
          <w:bCs/>
          <w:color w:val="auto"/>
          <w:highlight w:val="none"/>
        </w:rPr>
        <w:fldChar w:fldCharType="end"/>
      </w:r>
    </w:p>
    <w:p w14:paraId="02D0077C">
      <w:pPr>
        <w:pStyle w:val="24"/>
        <w:tabs>
          <w:tab w:val="right" w:leader="dot" w:pos="9184"/>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_Toc7117 </w:instrText>
      </w:r>
      <w:r>
        <w:rPr>
          <w:rFonts w:hint="eastAsia" w:ascii="宋体" w:hAnsi="宋体" w:cs="宋体"/>
          <w:bCs/>
          <w:color w:val="auto"/>
          <w:highlight w:val="none"/>
        </w:rPr>
        <w:fldChar w:fldCharType="separate"/>
      </w:r>
      <w:r>
        <w:rPr>
          <w:rFonts w:hint="eastAsia" w:ascii="宋体" w:hAnsi="宋体" w:cs="宋体"/>
          <w:color w:val="auto"/>
          <w:highlight w:val="none"/>
        </w:rPr>
        <w:t>第五章 响应文件格式</w:t>
      </w:r>
      <w:r>
        <w:rPr>
          <w:color w:val="auto"/>
          <w:highlight w:val="none"/>
        </w:rPr>
        <w:tab/>
      </w:r>
      <w:r>
        <w:rPr>
          <w:color w:val="auto"/>
          <w:highlight w:val="none"/>
        </w:rPr>
        <w:fldChar w:fldCharType="begin"/>
      </w:r>
      <w:r>
        <w:rPr>
          <w:color w:val="auto"/>
          <w:highlight w:val="none"/>
        </w:rPr>
        <w:instrText xml:space="preserve"> PAGEREF _Toc7117 \h </w:instrText>
      </w:r>
      <w:r>
        <w:rPr>
          <w:color w:val="auto"/>
          <w:highlight w:val="none"/>
        </w:rPr>
        <w:fldChar w:fldCharType="separate"/>
      </w:r>
      <w:r>
        <w:rPr>
          <w:color w:val="auto"/>
          <w:highlight w:val="none"/>
        </w:rPr>
        <w:t>51</w:t>
      </w:r>
      <w:r>
        <w:rPr>
          <w:color w:val="auto"/>
          <w:highlight w:val="none"/>
        </w:rPr>
        <w:fldChar w:fldCharType="end"/>
      </w:r>
      <w:r>
        <w:rPr>
          <w:rFonts w:hint="eastAsia" w:ascii="宋体" w:hAnsi="宋体" w:cs="宋体"/>
          <w:bCs/>
          <w:color w:val="auto"/>
          <w:highlight w:val="none"/>
        </w:rPr>
        <w:fldChar w:fldCharType="end"/>
      </w:r>
    </w:p>
    <w:p w14:paraId="1C22881E">
      <w:pPr>
        <w:pStyle w:val="24"/>
        <w:tabs>
          <w:tab w:val="right" w:leader="dot" w:pos="9184"/>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_Toc20715 </w:instrText>
      </w:r>
      <w:r>
        <w:rPr>
          <w:rFonts w:hint="eastAsia" w:ascii="宋体" w:hAnsi="宋体" w:cs="宋体"/>
          <w:bCs/>
          <w:color w:val="auto"/>
          <w:highlight w:val="none"/>
        </w:rPr>
        <w:fldChar w:fldCharType="separate"/>
      </w:r>
      <w:r>
        <w:rPr>
          <w:rFonts w:hint="eastAsia" w:ascii="宋体" w:hAnsi="宋体" w:cs="宋体"/>
          <w:bCs/>
          <w:color w:val="auto"/>
          <w:kern w:val="44"/>
          <w:szCs w:val="44"/>
          <w:highlight w:val="none"/>
        </w:rPr>
        <w:t>第六章 合同文本</w:t>
      </w:r>
      <w:r>
        <w:rPr>
          <w:color w:val="auto"/>
          <w:highlight w:val="none"/>
        </w:rPr>
        <w:tab/>
      </w:r>
      <w:r>
        <w:rPr>
          <w:color w:val="auto"/>
          <w:highlight w:val="none"/>
        </w:rPr>
        <w:fldChar w:fldCharType="begin"/>
      </w:r>
      <w:r>
        <w:rPr>
          <w:color w:val="auto"/>
          <w:highlight w:val="none"/>
        </w:rPr>
        <w:instrText xml:space="preserve"> PAGEREF _Toc20715 \h </w:instrText>
      </w:r>
      <w:r>
        <w:rPr>
          <w:color w:val="auto"/>
          <w:highlight w:val="none"/>
        </w:rPr>
        <w:fldChar w:fldCharType="separate"/>
      </w:r>
      <w:r>
        <w:rPr>
          <w:color w:val="auto"/>
          <w:highlight w:val="none"/>
        </w:rPr>
        <w:t>77</w:t>
      </w:r>
      <w:r>
        <w:rPr>
          <w:color w:val="auto"/>
          <w:highlight w:val="none"/>
        </w:rPr>
        <w:fldChar w:fldCharType="end"/>
      </w:r>
      <w:r>
        <w:rPr>
          <w:rFonts w:hint="eastAsia" w:ascii="宋体" w:hAnsi="宋体" w:cs="宋体"/>
          <w:bCs/>
          <w:color w:val="auto"/>
          <w:highlight w:val="none"/>
        </w:rPr>
        <w:fldChar w:fldCharType="end"/>
      </w:r>
    </w:p>
    <w:p w14:paraId="2BA8789B">
      <w:pPr>
        <w:pStyle w:val="25"/>
        <w:tabs>
          <w:tab w:val="right" w:leader="dot" w:pos="8931"/>
          <w:tab w:val="clear" w:pos="8296"/>
        </w:tabs>
        <w:snapToGrid w:val="0"/>
        <w:spacing w:line="360" w:lineRule="auto"/>
        <w:ind w:left="0" w:leftChars="0"/>
        <w:rPr>
          <w:rFonts w:ascii="宋体" w:hAnsi="宋体" w:cs="宋体"/>
          <w:b/>
          <w:color w:val="auto"/>
          <w:sz w:val="24"/>
          <w:highlight w:val="none"/>
        </w:rPr>
      </w:pPr>
      <w:r>
        <w:rPr>
          <w:rFonts w:hint="eastAsia" w:ascii="宋体" w:hAnsi="宋体" w:cs="宋体"/>
          <w:bCs/>
          <w:color w:val="auto"/>
          <w:highlight w:val="none"/>
        </w:rPr>
        <w:fldChar w:fldCharType="end"/>
      </w:r>
    </w:p>
    <w:p w14:paraId="7927A0D5">
      <w:pPr>
        <w:spacing w:line="400" w:lineRule="exact"/>
        <w:jc w:val="left"/>
        <w:rPr>
          <w:rFonts w:ascii="宋体" w:hAnsi="宋体" w:cs="宋体"/>
          <w:b/>
          <w:color w:val="auto"/>
          <w:sz w:val="32"/>
          <w:szCs w:val="32"/>
          <w:highlight w:val="none"/>
        </w:rPr>
      </w:pPr>
    </w:p>
    <w:p w14:paraId="0051F302">
      <w:pPr>
        <w:spacing w:line="400" w:lineRule="exact"/>
        <w:jc w:val="center"/>
        <w:rPr>
          <w:rFonts w:ascii="宋体" w:hAnsi="宋体" w:cs="宋体"/>
          <w:b/>
          <w:color w:val="auto"/>
          <w:sz w:val="32"/>
          <w:szCs w:val="32"/>
          <w:highlight w:val="none"/>
        </w:rPr>
      </w:pPr>
    </w:p>
    <w:p w14:paraId="62E44F4B">
      <w:pPr>
        <w:spacing w:line="400" w:lineRule="exact"/>
        <w:jc w:val="center"/>
        <w:rPr>
          <w:rFonts w:ascii="宋体" w:hAnsi="宋体" w:cs="宋体"/>
          <w:b/>
          <w:color w:val="auto"/>
          <w:sz w:val="32"/>
          <w:szCs w:val="32"/>
          <w:highlight w:val="none"/>
        </w:rPr>
      </w:pPr>
    </w:p>
    <w:p w14:paraId="6BC2D998">
      <w:pPr>
        <w:spacing w:line="400" w:lineRule="exact"/>
        <w:rPr>
          <w:rFonts w:ascii="宋体" w:hAnsi="宋体" w:cs="宋体"/>
          <w:b/>
          <w:color w:val="auto"/>
          <w:sz w:val="32"/>
          <w:szCs w:val="32"/>
          <w:highlight w:val="none"/>
        </w:rPr>
        <w:sectPr>
          <w:footerReference r:id="rId8" w:type="first"/>
          <w:footerReference r:id="rId7" w:type="default"/>
          <w:pgSz w:w="11906" w:h="16838"/>
          <w:pgMar w:top="1304" w:right="1361" w:bottom="1304" w:left="1361" w:header="1020" w:footer="1020" w:gutter="0"/>
          <w:pgNumType w:start="0"/>
          <w:cols w:space="720" w:num="1"/>
          <w:docGrid w:type="lines" w:linePitch="312" w:charSpace="0"/>
        </w:sectPr>
      </w:pPr>
    </w:p>
    <w:p w14:paraId="2D229348">
      <w:pPr>
        <w:pStyle w:val="3"/>
        <w:spacing w:before="40" w:after="40" w:line="288" w:lineRule="auto"/>
        <w:jc w:val="center"/>
        <w:rPr>
          <w:rFonts w:ascii="宋体" w:hAnsi="宋体" w:cs="宋体"/>
          <w:color w:val="auto"/>
          <w:highlight w:val="none"/>
        </w:rPr>
      </w:pPr>
      <w:bookmarkStart w:id="0" w:name="_Toc21194"/>
      <w:r>
        <w:rPr>
          <w:rFonts w:hint="eastAsia" w:ascii="宋体" w:hAnsi="宋体" w:cs="宋体"/>
          <w:color w:val="auto"/>
          <w:highlight w:val="none"/>
        </w:rPr>
        <w:t>第一章 竞争性磋商公告</w:t>
      </w:r>
      <w:bookmarkEnd w:id="0"/>
    </w:p>
    <w:p w14:paraId="2278FCC3">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广西金证招标代理有限公司关于</w:t>
      </w:r>
      <w:r>
        <w:rPr>
          <w:rFonts w:hint="eastAsia" w:ascii="宋体" w:hAnsi="宋体" w:cs="宋体"/>
          <w:b/>
          <w:bCs/>
          <w:color w:val="auto"/>
          <w:sz w:val="32"/>
          <w:szCs w:val="32"/>
          <w:highlight w:val="none"/>
          <w:lang w:eastAsia="zh-CN"/>
        </w:rPr>
        <w:t>自治区农科院2025年度职工健康体检项目</w:t>
      </w:r>
      <w:r>
        <w:rPr>
          <w:rFonts w:hint="eastAsia" w:ascii="宋体" w:hAnsi="宋体" w:cs="宋体"/>
          <w:b/>
          <w:bCs/>
          <w:color w:val="auto"/>
          <w:sz w:val="32"/>
          <w:szCs w:val="32"/>
          <w:highlight w:val="none"/>
        </w:rPr>
        <w:t>的竞争性磋商公告</w:t>
      </w:r>
    </w:p>
    <w:p w14:paraId="168582E2">
      <w:pPr>
        <w:pBdr>
          <w:top w:val="single" w:color="auto" w:sz="4" w:space="1"/>
          <w:left w:val="single" w:color="auto" w:sz="4" w:space="4"/>
          <w:bottom w:val="single" w:color="auto" w:sz="4" w:space="1"/>
          <w:right w:val="single" w:color="auto" w:sz="4" w:space="4"/>
        </w:pBdr>
        <w:spacing w:line="390" w:lineRule="exact"/>
        <w:ind w:firstLine="422" w:firstLineChars="200"/>
        <w:rPr>
          <w:rFonts w:ascii="宋体" w:hAnsi="宋体" w:cs="宋体"/>
          <w:b/>
          <w:bCs/>
          <w:color w:val="auto"/>
          <w:szCs w:val="21"/>
          <w:highlight w:val="none"/>
        </w:rPr>
      </w:pPr>
      <w:bookmarkStart w:id="1" w:name="_Hlk37430271"/>
      <w:r>
        <w:rPr>
          <w:rFonts w:hint="eastAsia" w:ascii="宋体" w:hAnsi="宋体" w:cs="宋体"/>
          <w:b/>
          <w:bCs/>
          <w:color w:val="auto"/>
          <w:szCs w:val="21"/>
          <w:highlight w:val="none"/>
        </w:rPr>
        <w:t>项目概况</w:t>
      </w:r>
    </w:p>
    <w:p w14:paraId="1AFADADE">
      <w:pPr>
        <w:pBdr>
          <w:top w:val="single" w:color="auto" w:sz="4" w:space="1"/>
          <w:left w:val="single" w:color="auto" w:sz="4" w:space="4"/>
          <w:bottom w:val="single" w:color="auto" w:sz="4" w:space="1"/>
          <w:right w:val="single" w:color="auto" w:sz="4" w:space="4"/>
        </w:pBdr>
        <w:spacing w:line="390" w:lineRule="exact"/>
        <w:ind w:firstLine="420" w:firstLineChars="200"/>
        <w:rPr>
          <w:rFonts w:ascii="宋体" w:hAnsi="宋体" w:cs="宋体"/>
          <w:color w:val="auto"/>
          <w:highlight w:val="none"/>
        </w:rPr>
      </w:pPr>
      <w:r>
        <w:rPr>
          <w:rFonts w:hint="eastAsia" w:ascii="宋体" w:hAnsi="宋体" w:cs="宋体"/>
          <w:color w:val="auto"/>
          <w:szCs w:val="21"/>
          <w:highlight w:val="none"/>
          <w:lang w:eastAsia="zh-CN"/>
        </w:rPr>
        <w:t>自治区农科院2025年度职工健康体检项目</w:t>
      </w:r>
      <w:r>
        <w:rPr>
          <w:rFonts w:hint="eastAsia" w:ascii="宋体" w:hAnsi="宋体" w:cs="宋体"/>
          <w:color w:val="auto"/>
          <w:szCs w:val="21"/>
          <w:highlight w:val="none"/>
        </w:rPr>
        <w:t>的潜在供应商应在广西政府采购云平台（https://www.gcy.zfcg.gxzf.gov.cn）获取竞争性磋商文件，并于2025</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15</w:t>
      </w:r>
      <w:r>
        <w:rPr>
          <w:rFonts w:hint="eastAsia" w:ascii="宋体" w:hAnsi="宋体" w:cs="宋体"/>
          <w:bCs/>
          <w:color w:val="auto"/>
          <w:szCs w:val="21"/>
          <w:highlight w:val="none"/>
        </w:rPr>
        <w:t>日</w:t>
      </w: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时</w:t>
      </w:r>
      <w:r>
        <w:rPr>
          <w:rFonts w:hint="eastAsia" w:ascii="宋体" w:hAnsi="宋体" w:cs="宋体"/>
          <w:bCs/>
          <w:color w:val="auto"/>
          <w:szCs w:val="21"/>
          <w:highlight w:val="none"/>
          <w:lang w:val="en-US" w:eastAsia="zh-CN"/>
        </w:rPr>
        <w:t>30</w:t>
      </w:r>
      <w:r>
        <w:rPr>
          <w:rFonts w:hint="eastAsia" w:ascii="宋体" w:hAnsi="宋体" w:cs="宋体"/>
          <w:bCs/>
          <w:color w:val="auto"/>
          <w:szCs w:val="21"/>
          <w:highlight w:val="none"/>
        </w:rPr>
        <w:t>分（北京时间）前提交</w:t>
      </w:r>
      <w:r>
        <w:rPr>
          <w:rFonts w:hint="eastAsia" w:ascii="宋体" w:hAnsi="宋体" w:cs="宋体"/>
          <w:color w:val="auto"/>
          <w:szCs w:val="21"/>
          <w:highlight w:val="none"/>
        </w:rPr>
        <w:t>响应</w:t>
      </w:r>
      <w:r>
        <w:rPr>
          <w:rFonts w:hint="eastAsia" w:ascii="宋体" w:hAnsi="宋体" w:cs="宋体"/>
          <w:bCs/>
          <w:color w:val="auto"/>
          <w:szCs w:val="21"/>
          <w:highlight w:val="none"/>
        </w:rPr>
        <w:t>文件</w:t>
      </w:r>
      <w:r>
        <w:rPr>
          <w:rFonts w:hint="eastAsia" w:ascii="宋体" w:hAnsi="宋体" w:cs="宋体"/>
          <w:color w:val="auto"/>
          <w:szCs w:val="21"/>
          <w:highlight w:val="none"/>
        </w:rPr>
        <w:t>。</w:t>
      </w:r>
    </w:p>
    <w:p w14:paraId="24AB240F">
      <w:pPr>
        <w:spacing w:line="360" w:lineRule="auto"/>
        <w:ind w:firstLine="354" w:firstLineChars="147"/>
        <w:rPr>
          <w:rFonts w:ascii="宋体" w:hAnsi="宋体" w:cs="宋体"/>
          <w:b/>
          <w:color w:val="auto"/>
          <w:sz w:val="24"/>
          <w:highlight w:val="none"/>
        </w:rPr>
      </w:pPr>
      <w:bookmarkStart w:id="2" w:name="_Toc44229878"/>
      <w:bookmarkStart w:id="3" w:name="_Toc35393798"/>
      <w:bookmarkStart w:id="4" w:name="_Toc35393629"/>
      <w:bookmarkStart w:id="5" w:name="_Toc71365905"/>
      <w:bookmarkStart w:id="6" w:name="_Toc28359012"/>
      <w:bookmarkStart w:id="7" w:name="_Toc28359089"/>
      <w:r>
        <w:rPr>
          <w:rFonts w:hint="eastAsia" w:ascii="宋体" w:hAnsi="宋体" w:cs="宋体"/>
          <w:b/>
          <w:color w:val="auto"/>
          <w:sz w:val="24"/>
          <w:highlight w:val="none"/>
        </w:rPr>
        <w:t>一、项目基本情况</w:t>
      </w:r>
      <w:bookmarkEnd w:id="2"/>
      <w:bookmarkEnd w:id="3"/>
      <w:bookmarkEnd w:id="4"/>
      <w:bookmarkEnd w:id="5"/>
      <w:bookmarkEnd w:id="6"/>
      <w:bookmarkEnd w:id="7"/>
    </w:p>
    <w:p w14:paraId="549309C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GXZC2025-C3-002236-JZZB</w:t>
      </w:r>
    </w:p>
    <w:p w14:paraId="27EABEDB">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自治区农科院2025年度职工健康体检项目</w:t>
      </w:r>
    </w:p>
    <w:p w14:paraId="73A8AD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采购方式：竞争性磋商</w:t>
      </w:r>
    </w:p>
    <w:p w14:paraId="29206DF0">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预算总金额（元）：1658000.00元（分标1：992000.00元；分标2：666000.00元）。</w:t>
      </w:r>
    </w:p>
    <w:p w14:paraId="5C26495B">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采购需求：</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2025"/>
        <w:gridCol w:w="512"/>
        <w:gridCol w:w="513"/>
        <w:gridCol w:w="1437"/>
        <w:gridCol w:w="2483"/>
        <w:gridCol w:w="1416"/>
        <w:gridCol w:w="588"/>
      </w:tblGrid>
      <w:tr w14:paraId="00EAE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dxa"/>
            <w:vAlign w:val="center"/>
          </w:tcPr>
          <w:p w14:paraId="43D9189A">
            <w:pPr>
              <w:spacing w:line="360" w:lineRule="auto"/>
              <w:jc w:val="center"/>
              <w:rPr>
                <w:rFonts w:ascii="宋体" w:hAnsi="宋体"/>
                <w:color w:val="auto"/>
                <w:szCs w:val="21"/>
                <w:highlight w:val="none"/>
              </w:rPr>
            </w:pPr>
            <w:r>
              <w:rPr>
                <w:rFonts w:hint="eastAsia" w:ascii="宋体" w:hAnsi="宋体"/>
                <w:color w:val="auto"/>
                <w:szCs w:val="21"/>
                <w:highlight w:val="none"/>
              </w:rPr>
              <w:t>分标号</w:t>
            </w:r>
          </w:p>
        </w:tc>
        <w:tc>
          <w:tcPr>
            <w:tcW w:w="2025" w:type="dxa"/>
            <w:vAlign w:val="center"/>
          </w:tcPr>
          <w:p w14:paraId="7A919F0A">
            <w:pPr>
              <w:spacing w:line="360" w:lineRule="auto"/>
              <w:jc w:val="center"/>
              <w:rPr>
                <w:rFonts w:ascii="宋体" w:hAnsi="宋体"/>
                <w:color w:val="auto"/>
                <w:szCs w:val="21"/>
                <w:highlight w:val="none"/>
              </w:rPr>
            </w:pPr>
            <w:r>
              <w:rPr>
                <w:rFonts w:hint="eastAsia" w:ascii="宋体" w:hAnsi="宋体"/>
                <w:color w:val="auto"/>
                <w:szCs w:val="21"/>
                <w:highlight w:val="none"/>
              </w:rPr>
              <w:t>标的（服务）名称</w:t>
            </w:r>
          </w:p>
        </w:tc>
        <w:tc>
          <w:tcPr>
            <w:tcW w:w="512" w:type="dxa"/>
            <w:vAlign w:val="center"/>
          </w:tcPr>
          <w:p w14:paraId="3F8F2D55">
            <w:pPr>
              <w:spacing w:line="360" w:lineRule="auto"/>
              <w:jc w:val="center"/>
              <w:rPr>
                <w:rFonts w:ascii="宋体" w:hAnsi="宋体"/>
                <w:color w:val="auto"/>
                <w:szCs w:val="21"/>
                <w:highlight w:val="none"/>
              </w:rPr>
            </w:pPr>
            <w:r>
              <w:rPr>
                <w:rFonts w:hint="eastAsia" w:ascii="宋体" w:hAnsi="宋体"/>
                <w:color w:val="auto"/>
                <w:szCs w:val="21"/>
                <w:highlight w:val="none"/>
              </w:rPr>
              <w:t>数量</w:t>
            </w:r>
          </w:p>
        </w:tc>
        <w:tc>
          <w:tcPr>
            <w:tcW w:w="513" w:type="dxa"/>
            <w:vAlign w:val="center"/>
          </w:tcPr>
          <w:p w14:paraId="72CAE287">
            <w:pPr>
              <w:spacing w:line="360" w:lineRule="auto"/>
              <w:jc w:val="center"/>
              <w:rPr>
                <w:rFonts w:ascii="宋体" w:hAnsi="宋体"/>
                <w:color w:val="auto"/>
                <w:szCs w:val="21"/>
                <w:highlight w:val="none"/>
              </w:rPr>
            </w:pPr>
            <w:r>
              <w:rPr>
                <w:rFonts w:hint="eastAsia" w:ascii="宋体" w:hAnsi="宋体"/>
                <w:color w:val="auto"/>
                <w:szCs w:val="21"/>
                <w:highlight w:val="none"/>
              </w:rPr>
              <w:t>单位</w:t>
            </w:r>
          </w:p>
        </w:tc>
        <w:tc>
          <w:tcPr>
            <w:tcW w:w="1437" w:type="dxa"/>
            <w:vAlign w:val="center"/>
          </w:tcPr>
          <w:p w14:paraId="6C614E46">
            <w:pPr>
              <w:spacing w:line="360" w:lineRule="auto"/>
              <w:jc w:val="center"/>
              <w:rPr>
                <w:rFonts w:ascii="宋体" w:hAnsi="宋体"/>
                <w:color w:val="auto"/>
                <w:szCs w:val="21"/>
                <w:highlight w:val="none"/>
              </w:rPr>
            </w:pPr>
            <w:r>
              <w:rPr>
                <w:rFonts w:hint="eastAsia" w:ascii="宋体" w:hAnsi="宋体"/>
                <w:color w:val="auto"/>
                <w:szCs w:val="21"/>
                <w:highlight w:val="none"/>
              </w:rPr>
              <w:t>预算金额</w:t>
            </w:r>
          </w:p>
        </w:tc>
        <w:tc>
          <w:tcPr>
            <w:tcW w:w="2483" w:type="dxa"/>
            <w:vAlign w:val="center"/>
          </w:tcPr>
          <w:p w14:paraId="6C04CFBC">
            <w:pPr>
              <w:spacing w:line="360" w:lineRule="auto"/>
              <w:jc w:val="center"/>
              <w:rPr>
                <w:rFonts w:ascii="宋体" w:hAnsi="宋体"/>
                <w:color w:val="auto"/>
                <w:szCs w:val="21"/>
                <w:highlight w:val="none"/>
              </w:rPr>
            </w:pPr>
            <w:r>
              <w:rPr>
                <w:rFonts w:hint="eastAsia" w:ascii="宋体" w:hAnsi="宋体"/>
                <w:color w:val="auto"/>
                <w:szCs w:val="21"/>
                <w:highlight w:val="none"/>
              </w:rPr>
              <w:t>简要规格描述或基本概况介绍</w:t>
            </w:r>
          </w:p>
        </w:tc>
        <w:tc>
          <w:tcPr>
            <w:tcW w:w="1416" w:type="dxa"/>
            <w:vAlign w:val="center"/>
          </w:tcPr>
          <w:p w14:paraId="0FA24654">
            <w:pPr>
              <w:spacing w:line="360" w:lineRule="auto"/>
              <w:jc w:val="center"/>
              <w:rPr>
                <w:rFonts w:ascii="宋体" w:hAnsi="宋体"/>
                <w:color w:val="auto"/>
                <w:szCs w:val="21"/>
                <w:highlight w:val="none"/>
              </w:rPr>
            </w:pPr>
            <w:r>
              <w:rPr>
                <w:rFonts w:hint="eastAsia" w:ascii="宋体" w:hAnsi="宋体"/>
                <w:color w:val="auto"/>
                <w:szCs w:val="21"/>
                <w:highlight w:val="none"/>
              </w:rPr>
              <w:t>最高限价</w:t>
            </w:r>
          </w:p>
        </w:tc>
        <w:tc>
          <w:tcPr>
            <w:tcW w:w="588" w:type="dxa"/>
            <w:vAlign w:val="center"/>
          </w:tcPr>
          <w:p w14:paraId="5F70AEB3">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14:paraId="6DC9B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dxa"/>
            <w:vAlign w:val="center"/>
          </w:tcPr>
          <w:p w14:paraId="4F923EDC">
            <w:pPr>
              <w:spacing w:line="360" w:lineRule="auto"/>
              <w:jc w:val="center"/>
              <w:rPr>
                <w:rFonts w:ascii="宋体" w:hAnsi="宋体"/>
                <w:color w:val="auto"/>
                <w:szCs w:val="21"/>
                <w:highlight w:val="none"/>
              </w:rPr>
            </w:pPr>
            <w:r>
              <w:rPr>
                <w:rFonts w:hint="eastAsia" w:ascii="宋体" w:hAnsi="宋体"/>
                <w:color w:val="auto"/>
                <w:szCs w:val="21"/>
                <w:highlight w:val="none"/>
              </w:rPr>
              <w:t>分标1</w:t>
            </w:r>
          </w:p>
        </w:tc>
        <w:tc>
          <w:tcPr>
            <w:tcW w:w="2025" w:type="dxa"/>
            <w:vAlign w:val="center"/>
          </w:tcPr>
          <w:p w14:paraId="38826A6C">
            <w:pPr>
              <w:spacing w:line="360" w:lineRule="auto"/>
              <w:jc w:val="center"/>
              <w:rPr>
                <w:rFonts w:ascii="宋体" w:hAnsi="宋体"/>
                <w:color w:val="auto"/>
                <w:szCs w:val="21"/>
                <w:highlight w:val="none"/>
              </w:rPr>
            </w:pPr>
            <w:r>
              <w:rPr>
                <w:rFonts w:hint="eastAsia" w:ascii="宋体" w:hAnsi="宋体" w:cs="宋体"/>
                <w:color w:val="auto"/>
                <w:szCs w:val="21"/>
                <w:highlight w:val="none"/>
                <w:lang w:eastAsia="zh-CN"/>
              </w:rPr>
              <w:t>自治区农科院2025年度</w:t>
            </w:r>
            <w:r>
              <w:rPr>
                <w:rFonts w:hint="eastAsia" w:ascii="宋体" w:hAnsi="宋体" w:cs="宋体"/>
                <w:color w:val="auto"/>
                <w:szCs w:val="21"/>
                <w:highlight w:val="none"/>
                <w:lang w:val="en-US" w:eastAsia="zh-CN"/>
              </w:rPr>
              <w:t>在职</w:t>
            </w:r>
            <w:r>
              <w:rPr>
                <w:rFonts w:hint="eastAsia" w:ascii="宋体" w:hAnsi="宋体" w:cs="宋体"/>
                <w:color w:val="auto"/>
                <w:szCs w:val="21"/>
                <w:highlight w:val="none"/>
                <w:lang w:eastAsia="zh-CN"/>
              </w:rPr>
              <w:t>职工健康体检项目</w:t>
            </w:r>
          </w:p>
        </w:tc>
        <w:tc>
          <w:tcPr>
            <w:tcW w:w="512" w:type="dxa"/>
            <w:vAlign w:val="center"/>
          </w:tcPr>
          <w:p w14:paraId="7E3970C5">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513" w:type="dxa"/>
            <w:vAlign w:val="center"/>
          </w:tcPr>
          <w:p w14:paraId="7CA836F7">
            <w:pPr>
              <w:spacing w:line="360" w:lineRule="auto"/>
              <w:jc w:val="center"/>
              <w:rPr>
                <w:rFonts w:ascii="宋体" w:hAnsi="宋体"/>
                <w:color w:val="auto"/>
                <w:szCs w:val="21"/>
                <w:highlight w:val="none"/>
              </w:rPr>
            </w:pPr>
            <w:r>
              <w:rPr>
                <w:rFonts w:hint="eastAsia" w:ascii="宋体" w:hAnsi="宋体"/>
                <w:color w:val="auto"/>
                <w:szCs w:val="21"/>
                <w:highlight w:val="none"/>
              </w:rPr>
              <w:t>项</w:t>
            </w:r>
          </w:p>
        </w:tc>
        <w:tc>
          <w:tcPr>
            <w:tcW w:w="1437" w:type="dxa"/>
            <w:vAlign w:val="center"/>
          </w:tcPr>
          <w:p w14:paraId="5C51963E">
            <w:pPr>
              <w:spacing w:line="360" w:lineRule="auto"/>
              <w:jc w:val="center"/>
              <w:rPr>
                <w:rFonts w:ascii="宋体" w:hAnsi="宋体"/>
                <w:color w:val="auto"/>
                <w:szCs w:val="21"/>
                <w:highlight w:val="none"/>
              </w:rPr>
            </w:pPr>
            <w:r>
              <w:rPr>
                <w:rFonts w:hint="eastAsia" w:ascii="宋体" w:hAnsi="宋体" w:cs="宋体"/>
                <w:color w:val="auto"/>
                <w:szCs w:val="21"/>
                <w:highlight w:val="none"/>
              </w:rPr>
              <w:t>992000.00元</w:t>
            </w:r>
          </w:p>
        </w:tc>
        <w:tc>
          <w:tcPr>
            <w:tcW w:w="2483" w:type="dxa"/>
            <w:vAlign w:val="center"/>
          </w:tcPr>
          <w:p w14:paraId="40FDB3BF">
            <w:pPr>
              <w:spacing w:line="360" w:lineRule="auto"/>
              <w:jc w:val="center"/>
              <w:rPr>
                <w:rFonts w:ascii="宋体" w:hAnsi="宋体"/>
                <w:color w:val="auto"/>
                <w:szCs w:val="21"/>
                <w:highlight w:val="none"/>
              </w:rPr>
            </w:pPr>
            <w:r>
              <w:rPr>
                <w:rFonts w:hint="eastAsia" w:ascii="宋体" w:hAnsi="宋体" w:cs="宋体"/>
                <w:color w:val="auto"/>
                <w:szCs w:val="21"/>
                <w:highlight w:val="none"/>
                <w:lang w:eastAsia="zh-CN"/>
              </w:rPr>
              <w:t>自治区农科院2025年度</w:t>
            </w:r>
            <w:r>
              <w:rPr>
                <w:rFonts w:hint="eastAsia" w:ascii="宋体" w:hAnsi="宋体" w:cs="宋体"/>
                <w:color w:val="auto"/>
                <w:szCs w:val="21"/>
                <w:highlight w:val="none"/>
                <w:lang w:val="en-US" w:eastAsia="zh-CN"/>
              </w:rPr>
              <w:t>在职</w:t>
            </w:r>
            <w:r>
              <w:rPr>
                <w:rFonts w:hint="eastAsia" w:ascii="宋体" w:hAnsi="宋体" w:cs="宋体"/>
                <w:color w:val="auto"/>
                <w:szCs w:val="21"/>
                <w:highlight w:val="none"/>
                <w:lang w:eastAsia="zh-CN"/>
              </w:rPr>
              <w:t>职工健康体检项目</w:t>
            </w:r>
            <w:r>
              <w:rPr>
                <w:rFonts w:hint="eastAsia" w:ascii="宋体" w:hAnsi="宋体" w:cs="宋体"/>
                <w:color w:val="auto"/>
                <w:szCs w:val="21"/>
                <w:highlight w:val="none"/>
              </w:rPr>
              <w:t>1项，具体详见竞争性磋商文件。</w:t>
            </w:r>
          </w:p>
        </w:tc>
        <w:tc>
          <w:tcPr>
            <w:tcW w:w="1416" w:type="dxa"/>
            <w:vAlign w:val="center"/>
          </w:tcPr>
          <w:p w14:paraId="5FE57D74">
            <w:pPr>
              <w:spacing w:line="360" w:lineRule="auto"/>
              <w:jc w:val="center"/>
              <w:rPr>
                <w:rFonts w:ascii="宋体" w:hAnsi="宋体"/>
                <w:color w:val="auto"/>
                <w:szCs w:val="21"/>
                <w:highlight w:val="none"/>
              </w:rPr>
            </w:pPr>
            <w:r>
              <w:rPr>
                <w:rFonts w:hint="eastAsia" w:ascii="宋体" w:hAnsi="宋体" w:cs="宋体"/>
                <w:color w:val="auto"/>
                <w:szCs w:val="21"/>
                <w:highlight w:val="none"/>
              </w:rPr>
              <w:t>992000.00元</w:t>
            </w:r>
          </w:p>
        </w:tc>
        <w:tc>
          <w:tcPr>
            <w:tcW w:w="588" w:type="dxa"/>
            <w:vAlign w:val="center"/>
          </w:tcPr>
          <w:p w14:paraId="020AA788">
            <w:pPr>
              <w:spacing w:line="360" w:lineRule="auto"/>
              <w:jc w:val="center"/>
              <w:rPr>
                <w:rFonts w:ascii="宋体" w:hAnsi="宋体"/>
                <w:color w:val="auto"/>
                <w:szCs w:val="21"/>
                <w:highlight w:val="none"/>
              </w:rPr>
            </w:pPr>
          </w:p>
        </w:tc>
      </w:tr>
      <w:tr w14:paraId="3FE5D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dxa"/>
            <w:vAlign w:val="center"/>
          </w:tcPr>
          <w:p w14:paraId="6F9C753B">
            <w:pPr>
              <w:spacing w:line="360" w:lineRule="auto"/>
              <w:jc w:val="center"/>
              <w:rPr>
                <w:rFonts w:ascii="宋体" w:hAnsi="宋体"/>
                <w:color w:val="auto"/>
                <w:szCs w:val="21"/>
                <w:highlight w:val="none"/>
              </w:rPr>
            </w:pPr>
            <w:r>
              <w:rPr>
                <w:rFonts w:hint="eastAsia" w:ascii="宋体" w:hAnsi="宋体"/>
                <w:color w:val="auto"/>
                <w:szCs w:val="21"/>
                <w:highlight w:val="none"/>
              </w:rPr>
              <w:t>分标2</w:t>
            </w:r>
          </w:p>
        </w:tc>
        <w:tc>
          <w:tcPr>
            <w:tcW w:w="2025" w:type="dxa"/>
            <w:vAlign w:val="center"/>
          </w:tcPr>
          <w:p w14:paraId="604A4A66">
            <w:pPr>
              <w:spacing w:line="360" w:lineRule="auto"/>
              <w:jc w:val="center"/>
              <w:rPr>
                <w:rFonts w:ascii="宋体" w:hAnsi="宋体"/>
                <w:color w:val="auto"/>
                <w:szCs w:val="21"/>
                <w:highlight w:val="none"/>
              </w:rPr>
            </w:pPr>
            <w:r>
              <w:rPr>
                <w:rFonts w:hint="eastAsia" w:ascii="宋体" w:hAnsi="宋体" w:cs="宋体"/>
                <w:color w:val="auto"/>
                <w:szCs w:val="21"/>
                <w:highlight w:val="none"/>
                <w:lang w:eastAsia="zh-CN"/>
              </w:rPr>
              <w:t>自治区农科院2025年度</w:t>
            </w:r>
            <w:r>
              <w:rPr>
                <w:rFonts w:hint="eastAsia" w:ascii="宋体" w:hAnsi="宋体" w:cs="宋体"/>
                <w:color w:val="auto"/>
                <w:szCs w:val="21"/>
                <w:highlight w:val="none"/>
              </w:rPr>
              <w:t>离退休</w:t>
            </w:r>
            <w:r>
              <w:rPr>
                <w:rFonts w:hint="eastAsia" w:ascii="宋体" w:hAnsi="宋体" w:cs="宋体"/>
                <w:color w:val="auto"/>
                <w:szCs w:val="21"/>
                <w:highlight w:val="none"/>
                <w:lang w:eastAsia="zh-CN"/>
              </w:rPr>
              <w:t>职工健康体检项目</w:t>
            </w:r>
          </w:p>
        </w:tc>
        <w:tc>
          <w:tcPr>
            <w:tcW w:w="512" w:type="dxa"/>
            <w:vAlign w:val="center"/>
          </w:tcPr>
          <w:p w14:paraId="1D150F89">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513" w:type="dxa"/>
            <w:vAlign w:val="center"/>
          </w:tcPr>
          <w:p w14:paraId="4C01C480">
            <w:pPr>
              <w:spacing w:line="360" w:lineRule="auto"/>
              <w:jc w:val="center"/>
              <w:rPr>
                <w:rFonts w:ascii="宋体" w:hAnsi="宋体"/>
                <w:color w:val="auto"/>
                <w:szCs w:val="21"/>
                <w:highlight w:val="none"/>
              </w:rPr>
            </w:pPr>
            <w:r>
              <w:rPr>
                <w:rFonts w:hint="eastAsia" w:ascii="宋体" w:hAnsi="宋体"/>
                <w:color w:val="auto"/>
                <w:szCs w:val="21"/>
                <w:highlight w:val="none"/>
              </w:rPr>
              <w:t>项</w:t>
            </w:r>
          </w:p>
        </w:tc>
        <w:tc>
          <w:tcPr>
            <w:tcW w:w="1437" w:type="dxa"/>
            <w:vAlign w:val="center"/>
          </w:tcPr>
          <w:p w14:paraId="7ADC3225">
            <w:pPr>
              <w:spacing w:line="360" w:lineRule="auto"/>
              <w:jc w:val="center"/>
              <w:rPr>
                <w:rFonts w:ascii="宋体" w:hAnsi="宋体"/>
                <w:color w:val="auto"/>
                <w:szCs w:val="21"/>
                <w:highlight w:val="none"/>
              </w:rPr>
            </w:pPr>
            <w:r>
              <w:rPr>
                <w:rFonts w:hint="eastAsia" w:ascii="宋体" w:hAnsi="宋体" w:cs="宋体"/>
                <w:color w:val="auto"/>
                <w:szCs w:val="21"/>
                <w:highlight w:val="none"/>
              </w:rPr>
              <w:t>666000.00元</w:t>
            </w:r>
          </w:p>
        </w:tc>
        <w:tc>
          <w:tcPr>
            <w:tcW w:w="2483" w:type="dxa"/>
            <w:vAlign w:val="center"/>
          </w:tcPr>
          <w:p w14:paraId="6C7CB8DD">
            <w:pPr>
              <w:spacing w:line="360" w:lineRule="auto"/>
              <w:jc w:val="center"/>
              <w:rPr>
                <w:rFonts w:ascii="宋体" w:hAnsi="宋体"/>
                <w:color w:val="auto"/>
                <w:szCs w:val="21"/>
                <w:highlight w:val="none"/>
              </w:rPr>
            </w:pPr>
            <w:r>
              <w:rPr>
                <w:rFonts w:hint="eastAsia" w:ascii="宋体" w:hAnsi="宋体" w:cs="宋体"/>
                <w:color w:val="auto"/>
                <w:szCs w:val="21"/>
                <w:highlight w:val="none"/>
                <w:lang w:eastAsia="zh-CN"/>
              </w:rPr>
              <w:t>自治区农科院2025年度</w:t>
            </w:r>
            <w:r>
              <w:rPr>
                <w:rFonts w:hint="eastAsia" w:ascii="宋体" w:hAnsi="宋体" w:cs="宋体"/>
                <w:color w:val="auto"/>
                <w:szCs w:val="21"/>
                <w:highlight w:val="none"/>
              </w:rPr>
              <w:t>离退休</w:t>
            </w:r>
            <w:r>
              <w:rPr>
                <w:rFonts w:hint="eastAsia" w:ascii="宋体" w:hAnsi="宋体" w:cs="宋体"/>
                <w:color w:val="auto"/>
                <w:szCs w:val="21"/>
                <w:highlight w:val="none"/>
                <w:lang w:eastAsia="zh-CN"/>
              </w:rPr>
              <w:t>职工健康体检项目</w:t>
            </w:r>
            <w:r>
              <w:rPr>
                <w:rFonts w:hint="eastAsia" w:ascii="宋体" w:hAnsi="宋体" w:cs="宋体"/>
                <w:color w:val="auto"/>
                <w:szCs w:val="21"/>
                <w:highlight w:val="none"/>
              </w:rPr>
              <w:t>1项，具体详见竞争性磋商文件。</w:t>
            </w:r>
          </w:p>
        </w:tc>
        <w:tc>
          <w:tcPr>
            <w:tcW w:w="1416" w:type="dxa"/>
            <w:vAlign w:val="center"/>
          </w:tcPr>
          <w:p w14:paraId="07CCE735">
            <w:pPr>
              <w:spacing w:line="360" w:lineRule="auto"/>
              <w:jc w:val="center"/>
              <w:rPr>
                <w:rFonts w:ascii="宋体" w:hAnsi="宋体"/>
                <w:color w:val="auto"/>
                <w:szCs w:val="21"/>
                <w:highlight w:val="none"/>
              </w:rPr>
            </w:pPr>
            <w:r>
              <w:rPr>
                <w:rFonts w:hint="eastAsia" w:ascii="宋体" w:hAnsi="宋体" w:cs="宋体"/>
                <w:color w:val="auto"/>
                <w:szCs w:val="21"/>
                <w:highlight w:val="none"/>
              </w:rPr>
              <w:t>666000.00元</w:t>
            </w:r>
          </w:p>
        </w:tc>
        <w:tc>
          <w:tcPr>
            <w:tcW w:w="588" w:type="dxa"/>
            <w:vAlign w:val="center"/>
          </w:tcPr>
          <w:p w14:paraId="5ACE858A">
            <w:pPr>
              <w:spacing w:line="360" w:lineRule="auto"/>
              <w:jc w:val="center"/>
              <w:rPr>
                <w:rFonts w:ascii="宋体" w:hAnsi="宋体"/>
                <w:color w:val="auto"/>
                <w:szCs w:val="21"/>
                <w:highlight w:val="none"/>
              </w:rPr>
            </w:pPr>
          </w:p>
        </w:tc>
      </w:tr>
    </w:tbl>
    <w:p w14:paraId="703D349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合同履行期限：分标1、2：体检初步安排在2025年9月，具体体检时间由采购人决定，并提前10天通知。</w:t>
      </w:r>
    </w:p>
    <w:p w14:paraId="771686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b/>
          <w:bCs/>
          <w:color w:val="auto"/>
          <w:szCs w:val="21"/>
          <w:highlight w:val="none"/>
          <w:u w:val="single"/>
        </w:rPr>
        <w:t>（否）</w:t>
      </w:r>
      <w:r>
        <w:rPr>
          <w:rFonts w:hint="eastAsia" w:ascii="宋体" w:hAnsi="宋体" w:cs="宋体"/>
          <w:color w:val="auto"/>
          <w:szCs w:val="21"/>
          <w:highlight w:val="none"/>
        </w:rPr>
        <w:t>接受联合体竞标。</w:t>
      </w:r>
    </w:p>
    <w:p w14:paraId="3639792F">
      <w:pPr>
        <w:spacing w:line="360" w:lineRule="auto"/>
        <w:ind w:firstLine="482" w:firstLineChars="200"/>
        <w:rPr>
          <w:rFonts w:ascii="宋体" w:hAnsi="宋体" w:cs="宋体"/>
          <w:b/>
          <w:color w:val="auto"/>
          <w:sz w:val="24"/>
          <w:highlight w:val="none"/>
        </w:rPr>
      </w:pPr>
      <w:bookmarkStart w:id="8" w:name="_Toc35393799"/>
      <w:bookmarkStart w:id="9" w:name="_Toc44229879"/>
      <w:bookmarkStart w:id="10" w:name="_Toc71365906"/>
      <w:bookmarkStart w:id="11" w:name="_Toc28359090"/>
      <w:bookmarkStart w:id="12" w:name="_Toc35393630"/>
      <w:bookmarkStart w:id="13" w:name="_Toc28359013"/>
      <w:r>
        <w:rPr>
          <w:rFonts w:hint="eastAsia" w:ascii="宋体" w:hAnsi="宋体" w:cs="宋体"/>
          <w:b/>
          <w:color w:val="auto"/>
          <w:sz w:val="24"/>
          <w:highlight w:val="none"/>
        </w:rPr>
        <w:t>二、申请人的资格条件：</w:t>
      </w:r>
      <w:bookmarkEnd w:id="8"/>
      <w:bookmarkEnd w:id="9"/>
      <w:bookmarkEnd w:id="10"/>
      <w:bookmarkEnd w:id="11"/>
      <w:bookmarkEnd w:id="12"/>
      <w:bookmarkEnd w:id="13"/>
    </w:p>
    <w:p w14:paraId="55EACDEC">
      <w:pPr>
        <w:spacing w:line="360" w:lineRule="auto"/>
        <w:ind w:firstLine="420" w:firstLineChars="200"/>
        <w:rPr>
          <w:rFonts w:ascii="宋体" w:hAnsi="宋体" w:cs="宋体"/>
          <w:color w:val="auto"/>
          <w:szCs w:val="21"/>
          <w:highlight w:val="none"/>
        </w:rPr>
      </w:pPr>
      <w:bookmarkStart w:id="14" w:name="_Toc28359014"/>
      <w:bookmarkStart w:id="15" w:name="_Toc44229880"/>
      <w:bookmarkStart w:id="16" w:name="_Toc28359091"/>
      <w:bookmarkStart w:id="17" w:name="_Toc35393631"/>
      <w:bookmarkStart w:id="18" w:name="_Toc35393800"/>
      <w:r>
        <w:rPr>
          <w:rFonts w:hint="eastAsia" w:ascii="宋体" w:hAnsi="宋体" w:cs="宋体"/>
          <w:color w:val="auto"/>
          <w:szCs w:val="21"/>
          <w:highlight w:val="none"/>
        </w:rPr>
        <w:t>1.满足《中华人民共和国政府采购法》第二十二条规定；</w:t>
      </w:r>
    </w:p>
    <w:p w14:paraId="2BEACC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2.落实政府采购政策需满足的资格要求：分标1、2：非专门面向中小企业采购的项目；</w:t>
      </w:r>
    </w:p>
    <w:p w14:paraId="69AF3918">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3.本项目的特定资格要求：分标1、分标2：</w:t>
      </w:r>
      <w:r>
        <w:rPr>
          <w:rFonts w:hint="eastAsia"/>
          <w:color w:val="auto"/>
          <w:kern w:val="0"/>
          <w:szCs w:val="21"/>
          <w:highlight w:val="none"/>
        </w:rPr>
        <w:t>具有国家卫生行政部门批准备案的《医疗机构执业许可证》，符合相关卫生行政部门规定条件，能够开展健康体检服务的医疗机构，具备满足本次体检项目的场所、设备及人员要求。</w:t>
      </w:r>
    </w:p>
    <w:p w14:paraId="022E2CBB">
      <w:pPr>
        <w:spacing w:line="360" w:lineRule="auto"/>
        <w:ind w:firstLine="354" w:firstLineChars="147"/>
        <w:rPr>
          <w:rFonts w:ascii="宋体" w:hAnsi="宋体" w:cs="宋体"/>
          <w:b/>
          <w:color w:val="auto"/>
          <w:sz w:val="24"/>
          <w:highlight w:val="none"/>
        </w:rPr>
      </w:pPr>
      <w:bookmarkStart w:id="19" w:name="_Toc71365907"/>
      <w:r>
        <w:rPr>
          <w:rFonts w:hint="eastAsia" w:ascii="宋体" w:hAnsi="宋体" w:cs="宋体"/>
          <w:b/>
          <w:color w:val="auto"/>
          <w:sz w:val="24"/>
          <w:highlight w:val="none"/>
        </w:rPr>
        <w:t>三、获取竞争性磋商文件</w:t>
      </w:r>
      <w:bookmarkEnd w:id="14"/>
      <w:bookmarkEnd w:id="15"/>
      <w:bookmarkEnd w:id="16"/>
      <w:bookmarkEnd w:id="17"/>
      <w:bookmarkEnd w:id="18"/>
      <w:bookmarkEnd w:id="19"/>
    </w:p>
    <w:p w14:paraId="4076C1B3">
      <w:pPr>
        <w:spacing w:line="360" w:lineRule="auto"/>
        <w:ind w:firstLine="420" w:firstLineChars="200"/>
        <w:rPr>
          <w:rFonts w:ascii="宋体" w:hAnsi="宋体" w:cs="宋体"/>
          <w:bCs/>
          <w:color w:val="auto"/>
          <w:kern w:val="0"/>
          <w:szCs w:val="21"/>
          <w:highlight w:val="none"/>
        </w:rPr>
      </w:pPr>
      <w:bookmarkStart w:id="20" w:name="_Toc28359015"/>
      <w:bookmarkStart w:id="21" w:name="_Toc35393801"/>
      <w:bookmarkStart w:id="22" w:name="_Toc35393632"/>
      <w:bookmarkStart w:id="23" w:name="_Toc44229881"/>
      <w:bookmarkStart w:id="24" w:name="_Toc28359092"/>
      <w:r>
        <w:rPr>
          <w:rFonts w:hint="eastAsia" w:ascii="宋体" w:hAnsi="宋体" w:cs="宋体"/>
          <w:bCs/>
          <w:color w:val="auto"/>
          <w:kern w:val="0"/>
          <w:szCs w:val="21"/>
          <w:highlight w:val="none"/>
        </w:rPr>
        <w:t>时间：</w:t>
      </w:r>
      <w:r>
        <w:rPr>
          <w:rFonts w:hint="eastAsia" w:ascii="宋体" w:hAnsi="宋体" w:cs="宋体"/>
          <w:bCs/>
          <w:color w:val="auto"/>
          <w:szCs w:val="21"/>
          <w:highlight w:val="none"/>
        </w:rPr>
        <w:t>2025年</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日至2025年</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11</w:t>
      </w:r>
      <w:r>
        <w:rPr>
          <w:rFonts w:hint="eastAsia" w:ascii="宋体" w:hAnsi="宋体" w:cs="宋体"/>
          <w:bCs/>
          <w:color w:val="auto"/>
          <w:szCs w:val="21"/>
          <w:highlight w:val="none"/>
        </w:rPr>
        <w:t>日，</w:t>
      </w:r>
      <w:r>
        <w:rPr>
          <w:rFonts w:hint="eastAsia" w:ascii="宋体" w:hAnsi="宋体" w:cs="宋体"/>
          <w:color w:val="auto"/>
          <w:szCs w:val="21"/>
          <w:highlight w:val="none"/>
        </w:rPr>
        <w:t>每天上午00:00至11:59，下午12:00至23:59（北京时间，法定节假日除外）</w:t>
      </w:r>
    </w:p>
    <w:p w14:paraId="26F1B99C">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地点：广西政府采购云平台（https://www.gcy.zfcg.gxzf.gov.cn）</w:t>
      </w:r>
    </w:p>
    <w:p w14:paraId="226A6E64">
      <w:pPr>
        <w:widowControl/>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szCs w:val="21"/>
          <w:highlight w:val="none"/>
        </w:rPr>
        <w:t>方式：</w:t>
      </w:r>
      <w:r>
        <w:rPr>
          <w:rFonts w:hint="eastAsia" w:ascii="宋体" w:hAnsi="宋体" w:cs="宋体"/>
          <w:bCs/>
          <w:color w:val="auto"/>
          <w:kern w:val="0"/>
          <w:szCs w:val="21"/>
          <w:highlight w:val="none"/>
        </w:rPr>
        <w:t>网上下载。本项目不提供纸质文件，潜在供应商需使用账号登录或者使用CA登录广西政府采购云平台（https://www.gcy.zfcg.gxzf.gov.cn）-进入“项目采购”应用，在获取采购文件菜单中选择项目，获取竞争性磋商文件。</w:t>
      </w:r>
      <w:r>
        <w:rPr>
          <w:rFonts w:hint="eastAsia" w:ascii="宋体" w:hAnsi="宋体" w:cs="宋体"/>
          <w:color w:val="auto"/>
          <w:szCs w:val="21"/>
          <w:highlight w:val="none"/>
        </w:rPr>
        <w:t>电子</w:t>
      </w:r>
      <w:r>
        <w:rPr>
          <w:rFonts w:hint="eastAsia" w:ascii="宋体" w:hAnsi="宋体" w:cs="宋体"/>
          <w:color w:val="auto"/>
          <w:highlight w:val="none"/>
        </w:rPr>
        <w:t>响应文件</w:t>
      </w:r>
      <w:r>
        <w:rPr>
          <w:rFonts w:hint="eastAsia" w:ascii="宋体" w:hAnsi="宋体" w:cs="宋体"/>
          <w:color w:val="auto"/>
          <w:szCs w:val="21"/>
          <w:highlight w:val="none"/>
        </w:rPr>
        <w:t>制作需要基于广西政府采购云平台获取的磋商文件编制，</w:t>
      </w:r>
      <w:r>
        <w:rPr>
          <w:rFonts w:hint="eastAsia" w:ascii="宋体" w:hAnsi="宋体" w:cs="宋体"/>
          <w:bCs/>
          <w:color w:val="auto"/>
          <w:kern w:val="0"/>
          <w:szCs w:val="21"/>
          <w:highlight w:val="none"/>
        </w:rPr>
        <w:t>通过其他方式获取磋商文件的，将有可能导致供应商无法在广西政府采购云平台编制及上传响应文件。</w:t>
      </w:r>
    </w:p>
    <w:p w14:paraId="6819A833">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售价：0元 </w:t>
      </w:r>
    </w:p>
    <w:p w14:paraId="3B569D5F">
      <w:pPr>
        <w:spacing w:line="360" w:lineRule="auto"/>
        <w:ind w:firstLine="354" w:firstLineChars="147"/>
        <w:rPr>
          <w:rFonts w:ascii="宋体" w:hAnsi="宋体" w:cs="宋体"/>
          <w:b/>
          <w:color w:val="auto"/>
          <w:sz w:val="24"/>
          <w:highlight w:val="none"/>
        </w:rPr>
      </w:pPr>
      <w:bookmarkStart w:id="25" w:name="_Toc71365908"/>
      <w:r>
        <w:rPr>
          <w:rFonts w:hint="eastAsia" w:ascii="宋体" w:hAnsi="宋体" w:cs="宋体"/>
          <w:b/>
          <w:color w:val="auto"/>
          <w:sz w:val="24"/>
          <w:highlight w:val="none"/>
        </w:rPr>
        <w:t>四、响应文件提交</w:t>
      </w:r>
      <w:bookmarkEnd w:id="20"/>
      <w:bookmarkEnd w:id="21"/>
      <w:bookmarkEnd w:id="22"/>
      <w:bookmarkEnd w:id="23"/>
      <w:bookmarkEnd w:id="24"/>
      <w:bookmarkEnd w:id="25"/>
    </w:p>
    <w:p w14:paraId="04E00E1F">
      <w:pPr>
        <w:spacing w:line="360" w:lineRule="auto"/>
        <w:ind w:firstLine="420" w:firstLineChars="200"/>
        <w:rPr>
          <w:rFonts w:ascii="宋体" w:hAnsi="宋体" w:cs="宋体"/>
          <w:color w:val="auto"/>
          <w:szCs w:val="21"/>
          <w:highlight w:val="none"/>
          <w:u w:val="single"/>
        </w:rPr>
      </w:pPr>
      <w:bookmarkStart w:id="26" w:name="_Toc35393802"/>
      <w:bookmarkStart w:id="27" w:name="_Toc35393633"/>
      <w:bookmarkStart w:id="28" w:name="_Toc44229882"/>
      <w:bookmarkStart w:id="29" w:name="_Toc28359016"/>
      <w:bookmarkStart w:id="30" w:name="_Toc28359093"/>
      <w:r>
        <w:rPr>
          <w:rFonts w:hint="eastAsia" w:ascii="宋体" w:hAnsi="宋体" w:cs="宋体"/>
          <w:color w:val="auto"/>
          <w:szCs w:val="21"/>
          <w:highlight w:val="none"/>
        </w:rPr>
        <w:t>截止时间：2025</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15</w:t>
      </w:r>
      <w:r>
        <w:rPr>
          <w:rFonts w:hint="eastAsia" w:ascii="宋体" w:hAnsi="宋体" w:cs="宋体"/>
          <w:bCs/>
          <w:color w:val="auto"/>
          <w:szCs w:val="21"/>
          <w:highlight w:val="none"/>
        </w:rPr>
        <w:t>日</w:t>
      </w: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时</w:t>
      </w:r>
      <w:r>
        <w:rPr>
          <w:rFonts w:hint="eastAsia" w:ascii="宋体" w:hAnsi="宋体" w:cs="宋体"/>
          <w:bCs/>
          <w:color w:val="auto"/>
          <w:szCs w:val="21"/>
          <w:highlight w:val="none"/>
          <w:lang w:val="en-US" w:eastAsia="zh-CN"/>
        </w:rPr>
        <w:t>30</w:t>
      </w:r>
      <w:r>
        <w:rPr>
          <w:rFonts w:hint="eastAsia" w:ascii="宋体" w:hAnsi="宋体" w:cs="宋体"/>
          <w:bCs/>
          <w:color w:val="auto"/>
          <w:szCs w:val="21"/>
          <w:highlight w:val="none"/>
        </w:rPr>
        <w:t>分（北京时间）</w:t>
      </w:r>
    </w:p>
    <w:p w14:paraId="228A6F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地点：广西政府采购云平台</w:t>
      </w:r>
      <w:r>
        <w:rPr>
          <w:rFonts w:hint="eastAsia" w:ascii="宋体" w:hAnsi="宋体" w:cs="宋体"/>
          <w:bCs/>
          <w:color w:val="auto"/>
          <w:kern w:val="0"/>
          <w:szCs w:val="21"/>
          <w:highlight w:val="none"/>
        </w:rPr>
        <w:t>（https://www.gcy.zfcg.gxzf.gov.cn）</w:t>
      </w:r>
    </w:p>
    <w:p w14:paraId="33D579B0">
      <w:pPr>
        <w:spacing w:line="360" w:lineRule="auto"/>
        <w:ind w:firstLine="354" w:firstLineChars="147"/>
        <w:rPr>
          <w:rFonts w:ascii="宋体" w:hAnsi="宋体" w:cs="宋体"/>
          <w:b/>
          <w:color w:val="auto"/>
          <w:sz w:val="24"/>
          <w:highlight w:val="none"/>
        </w:rPr>
      </w:pPr>
      <w:bookmarkStart w:id="31" w:name="_Toc71365909"/>
      <w:r>
        <w:rPr>
          <w:rFonts w:hint="eastAsia" w:ascii="宋体" w:hAnsi="宋体" w:cs="宋体"/>
          <w:b/>
          <w:color w:val="auto"/>
          <w:sz w:val="24"/>
          <w:highlight w:val="none"/>
        </w:rPr>
        <w:t>五、开启</w:t>
      </w:r>
      <w:bookmarkEnd w:id="26"/>
      <w:bookmarkEnd w:id="27"/>
      <w:bookmarkEnd w:id="28"/>
      <w:bookmarkEnd w:id="29"/>
      <w:bookmarkEnd w:id="30"/>
      <w:bookmarkEnd w:id="31"/>
    </w:p>
    <w:p w14:paraId="1FAA19B9">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时间：2025</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15</w:t>
      </w:r>
      <w:r>
        <w:rPr>
          <w:rFonts w:hint="eastAsia" w:ascii="宋体" w:hAnsi="宋体" w:cs="宋体"/>
          <w:bCs/>
          <w:color w:val="auto"/>
          <w:szCs w:val="21"/>
          <w:highlight w:val="none"/>
        </w:rPr>
        <w:t>日</w:t>
      </w: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时</w:t>
      </w:r>
      <w:r>
        <w:rPr>
          <w:rFonts w:hint="eastAsia" w:ascii="宋体" w:hAnsi="宋体" w:cs="宋体"/>
          <w:bCs/>
          <w:color w:val="auto"/>
          <w:szCs w:val="21"/>
          <w:highlight w:val="none"/>
          <w:lang w:val="en-US" w:eastAsia="zh-CN"/>
        </w:rPr>
        <w:t>30</w:t>
      </w:r>
      <w:r>
        <w:rPr>
          <w:rFonts w:hint="eastAsia" w:ascii="宋体" w:hAnsi="宋体" w:cs="宋体"/>
          <w:bCs/>
          <w:color w:val="auto"/>
          <w:szCs w:val="21"/>
          <w:highlight w:val="none"/>
        </w:rPr>
        <w:t>分（北京时间）</w:t>
      </w:r>
    </w:p>
    <w:p w14:paraId="5BA99E4E">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地点：广西政府采购云平台电子开标大厅</w:t>
      </w:r>
    </w:p>
    <w:p w14:paraId="152AF6D9">
      <w:pPr>
        <w:spacing w:line="360" w:lineRule="auto"/>
        <w:ind w:firstLine="354" w:firstLineChars="147"/>
        <w:rPr>
          <w:rFonts w:ascii="宋体" w:hAnsi="宋体" w:cs="宋体"/>
          <w:b/>
          <w:color w:val="auto"/>
          <w:sz w:val="24"/>
          <w:highlight w:val="none"/>
        </w:rPr>
      </w:pPr>
      <w:bookmarkStart w:id="32" w:name="_Toc35393803"/>
      <w:bookmarkStart w:id="33" w:name="_Toc35393634"/>
      <w:bookmarkStart w:id="34" w:name="_Toc28359017"/>
      <w:bookmarkStart w:id="35" w:name="_Toc28359094"/>
      <w:bookmarkStart w:id="36" w:name="_Toc71365910"/>
      <w:bookmarkStart w:id="37" w:name="_Toc44229883"/>
      <w:r>
        <w:rPr>
          <w:rFonts w:hint="eastAsia" w:ascii="宋体" w:hAnsi="宋体" w:cs="宋体"/>
          <w:b/>
          <w:color w:val="auto"/>
          <w:sz w:val="24"/>
          <w:highlight w:val="none"/>
        </w:rPr>
        <w:t>六、公告期限</w:t>
      </w:r>
      <w:bookmarkEnd w:id="32"/>
      <w:bookmarkEnd w:id="33"/>
      <w:bookmarkEnd w:id="34"/>
      <w:bookmarkEnd w:id="35"/>
      <w:bookmarkEnd w:id="36"/>
      <w:bookmarkEnd w:id="37"/>
    </w:p>
    <w:p w14:paraId="2C4C948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10EA297A">
      <w:pPr>
        <w:spacing w:line="360" w:lineRule="auto"/>
        <w:ind w:firstLine="354" w:firstLineChars="147"/>
        <w:rPr>
          <w:rFonts w:ascii="宋体" w:hAnsi="宋体" w:cs="宋体"/>
          <w:b/>
          <w:color w:val="auto"/>
          <w:sz w:val="24"/>
          <w:highlight w:val="none"/>
        </w:rPr>
      </w:pPr>
      <w:bookmarkStart w:id="38" w:name="_Toc71365911"/>
      <w:bookmarkStart w:id="39" w:name="_Toc35393804"/>
      <w:bookmarkStart w:id="40" w:name="_Toc44229884"/>
      <w:bookmarkStart w:id="41" w:name="_Toc35393635"/>
      <w:r>
        <w:rPr>
          <w:rFonts w:hint="eastAsia" w:ascii="宋体" w:hAnsi="宋体" w:cs="宋体"/>
          <w:b/>
          <w:color w:val="auto"/>
          <w:sz w:val="24"/>
          <w:highlight w:val="none"/>
        </w:rPr>
        <w:t>七、其他补充事宜</w:t>
      </w:r>
      <w:bookmarkEnd w:id="38"/>
      <w:bookmarkEnd w:id="39"/>
      <w:bookmarkEnd w:id="40"/>
      <w:bookmarkEnd w:id="41"/>
    </w:p>
    <w:p w14:paraId="0245F68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1.磋商保证金：分标1：9000元；分标2：6000元。</w:t>
      </w:r>
    </w:p>
    <w:p w14:paraId="510F5E4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磋商保证金的交纳方式：银行转账、支票、汇票、本票或者金融、担保机构出具的保函，禁止采用现钞方式。采用银行转账方式的，在首次响应文件提交截止时间前交至采购代理机构指定账户并且到账（开户银行：中国民生银行南宁分行营业部，开户名称：广西金证招标代理有限公司，银行账号：172186123）；采用支票、汇票、本票或者保函等方式的，在首次响应文件提交截止时间前，供应商必须提交单独密封的支票、汇票、本票或者保函原件。否则视为无效磋商保证金。</w:t>
      </w:r>
    </w:p>
    <w:p w14:paraId="55A09D57">
      <w:pPr>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2.网上查询地址</w:t>
      </w:r>
    </w:p>
    <w:p w14:paraId="0DC0F16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kern w:val="0"/>
          <w:szCs w:val="21"/>
          <w:highlight w:val="none"/>
        </w:rPr>
        <w:t>http://www.ccgp.gov.cn</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）、广西政府采购网（</w:t>
      </w:r>
      <w:r>
        <w:rPr>
          <w:color w:val="auto"/>
          <w:highlight w:val="none"/>
        </w:rPr>
        <w:fldChar w:fldCharType="begin"/>
      </w:r>
      <w:r>
        <w:rPr>
          <w:color w:val="auto"/>
          <w:highlight w:val="none"/>
        </w:rPr>
        <w:instrText xml:space="preserve"> HYPERLINK "http://zfcg.gxzf.gov.cn" </w:instrText>
      </w:r>
      <w:r>
        <w:rPr>
          <w:color w:val="auto"/>
          <w:highlight w:val="none"/>
        </w:rPr>
        <w:fldChar w:fldCharType="separate"/>
      </w:r>
      <w:r>
        <w:rPr>
          <w:rFonts w:hint="eastAsia" w:ascii="宋体" w:hAnsi="宋体" w:cs="宋体"/>
          <w:color w:val="auto"/>
          <w:kern w:val="0"/>
          <w:szCs w:val="21"/>
          <w:highlight w:val="none"/>
        </w:rPr>
        <w:t>http://zfcg.gxzf.gov.cn</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w:t>
      </w:r>
    </w:p>
    <w:p w14:paraId="3DF95A8D">
      <w:pPr>
        <w:spacing w:line="360" w:lineRule="auto"/>
        <w:ind w:firstLine="426" w:firstLineChars="202"/>
        <w:rPr>
          <w:rFonts w:ascii="宋体" w:hAnsi="宋体" w:cs="宋体"/>
          <w:b/>
          <w:bCs/>
          <w:color w:val="auto"/>
          <w:kern w:val="0"/>
          <w:szCs w:val="21"/>
          <w:highlight w:val="none"/>
        </w:rPr>
      </w:pPr>
      <w:bookmarkStart w:id="42" w:name="_Hlk37429674"/>
      <w:bookmarkStart w:id="43" w:name="_Toc35393805"/>
      <w:bookmarkStart w:id="44" w:name="_Toc44229885"/>
      <w:bookmarkStart w:id="45" w:name="_Toc28359018"/>
      <w:bookmarkStart w:id="46" w:name="_Toc35393636"/>
      <w:bookmarkStart w:id="47" w:name="_Toc28359095"/>
      <w:r>
        <w:rPr>
          <w:rFonts w:hint="eastAsia" w:ascii="宋体" w:hAnsi="宋体" w:cs="宋体"/>
          <w:b/>
          <w:bCs/>
          <w:color w:val="auto"/>
          <w:szCs w:val="21"/>
          <w:highlight w:val="none"/>
        </w:rPr>
        <w:t>3.</w:t>
      </w:r>
      <w:r>
        <w:rPr>
          <w:rFonts w:hint="eastAsia" w:ascii="宋体" w:hAnsi="宋体" w:cs="宋体"/>
          <w:b/>
          <w:bCs/>
          <w:color w:val="auto"/>
          <w:kern w:val="0"/>
          <w:szCs w:val="21"/>
          <w:highlight w:val="none"/>
        </w:rPr>
        <w:t>本项目需要落实的政府采购政策</w:t>
      </w:r>
    </w:p>
    <w:p w14:paraId="2213A92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674D973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（2）政府采购促进残疾人就业政策；</w:t>
      </w:r>
    </w:p>
    <w:p w14:paraId="26AEBC2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（3）政府采购支持监狱企业发展；</w:t>
      </w:r>
    </w:p>
    <w:p w14:paraId="1873D25F">
      <w:pPr>
        <w:pStyle w:val="12"/>
        <w:spacing w:line="360" w:lineRule="auto"/>
        <w:ind w:left="420" w:leftChars="200"/>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kern w:val="0"/>
          <w:szCs w:val="21"/>
          <w:highlight w:val="none"/>
        </w:rPr>
        <w:t>4</w:t>
      </w:r>
      <w:r>
        <w:rPr>
          <w:rFonts w:hint="eastAsia" w:ascii="宋体" w:hAnsi="宋体" w:cs="宋体"/>
          <w:color w:val="auto"/>
          <w:highlight w:val="none"/>
        </w:rPr>
        <w:t>）政府采购支持采用本国产品的政策；</w:t>
      </w:r>
    </w:p>
    <w:p w14:paraId="2E5A4993">
      <w:pPr>
        <w:pStyle w:val="12"/>
        <w:spacing w:line="360" w:lineRule="auto"/>
        <w:ind w:left="420" w:leftChars="200"/>
        <w:rPr>
          <w:rFonts w:ascii="宋体" w:hAnsi="宋体" w:cs="宋体"/>
          <w:color w:val="auto"/>
          <w:highlight w:val="none"/>
        </w:rPr>
      </w:pPr>
      <w:r>
        <w:rPr>
          <w:rFonts w:hint="eastAsia" w:ascii="宋体" w:hAnsi="宋体" w:cs="宋体"/>
          <w:color w:val="auto"/>
          <w:highlight w:val="none"/>
        </w:rPr>
        <w:t>（5）强制采购节能产品；优先采购节能产品、环境标志产品。</w:t>
      </w:r>
    </w:p>
    <w:bookmarkEnd w:id="42"/>
    <w:p w14:paraId="58C555AE">
      <w:pPr>
        <w:widowControl/>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kern w:val="0"/>
          <w:szCs w:val="21"/>
          <w:highlight w:val="none"/>
        </w:rPr>
        <w:t>4.供应商</w:t>
      </w:r>
      <w:r>
        <w:rPr>
          <w:rFonts w:hint="eastAsia" w:ascii="宋体" w:hAnsi="宋体" w:cs="宋体"/>
          <w:b/>
          <w:bCs/>
          <w:color w:val="auto"/>
          <w:szCs w:val="21"/>
          <w:highlight w:val="none"/>
        </w:rPr>
        <w:t>竞标注意事项</w:t>
      </w:r>
    </w:p>
    <w:p w14:paraId="2574E6C7">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（1）本项目为全流程电子化采购项目，通过广西政府采购云平台（</w:t>
      </w:r>
      <w:r>
        <w:rPr>
          <w:rFonts w:hint="eastAsia" w:ascii="宋体" w:hAnsi="宋体" w:cs="宋体"/>
          <w:bCs/>
          <w:color w:val="auto"/>
          <w:kern w:val="0"/>
          <w:szCs w:val="21"/>
          <w:highlight w:val="none"/>
        </w:rPr>
        <w:t>https://www.gcy.zfcg.gxzf.gov.cn</w:t>
      </w:r>
      <w:r>
        <w:rPr>
          <w:rFonts w:hint="eastAsia" w:ascii="宋体" w:hAnsi="宋体" w:cs="宋体"/>
          <w:color w:val="auto"/>
          <w:szCs w:val="21"/>
          <w:highlight w:val="none"/>
        </w:rPr>
        <w:t>）实行在线电子竞标，供应商应先安装“广西政府采购云平台新版客户端”（请自行前往广西政府采购云平台进行下载），并按照本项目竞争性磋商文件和广西政府采购云平台的要求编制、加密后在提交响应文件截止时间前通过网络上传至广西政府采购云平台（加密的电子响应文件是指</w:t>
      </w:r>
      <w:r>
        <w:rPr>
          <w:rFonts w:hint="eastAsia" w:ascii="宋体" w:hAnsi="宋体" w:cs="宋体"/>
          <w:color w:val="auto"/>
          <w:highlight w:val="none"/>
        </w:rPr>
        <w:t>后缀名为“jmbs”的文件</w:t>
      </w:r>
      <w:r>
        <w:rPr>
          <w:rFonts w:hint="eastAsia" w:ascii="宋体" w:hAnsi="宋体" w:cs="宋体"/>
          <w:color w:val="auto"/>
          <w:szCs w:val="21"/>
          <w:highlight w:val="none"/>
        </w:rPr>
        <w:t>），</w:t>
      </w:r>
      <w:r>
        <w:rPr>
          <w:rFonts w:hint="eastAsia" w:ascii="宋体" w:hAnsi="宋体" w:cs="宋体"/>
          <w:b/>
          <w:color w:val="auto"/>
          <w:szCs w:val="21"/>
          <w:highlight w:val="none"/>
        </w:rPr>
        <w:t>供应商在广西政府采购云平台提交电子响应文件时，请填写参加远程采购活动经办人联系方式。</w:t>
      </w:r>
      <w:r>
        <w:rPr>
          <w:rFonts w:hint="eastAsia" w:ascii="宋体" w:hAnsi="宋体" w:cs="宋体"/>
          <w:color w:val="auto"/>
          <w:szCs w:val="21"/>
          <w:highlight w:val="none"/>
        </w:rPr>
        <w:t>供应商登录广西政府采购云平台，依次进入“服务中心-项目采购-操作流程-电子招投标-</w:t>
      </w:r>
      <w:r>
        <w:rPr>
          <w:rFonts w:hint="eastAsia" w:ascii="宋体" w:hAnsi="宋体" w:cs="宋体"/>
          <w:color w:val="auto"/>
          <w:highlight w:val="none"/>
        </w:rPr>
        <w:t>政府采购项目电子交易管理操作指南-供应商</w:t>
      </w:r>
      <w:r>
        <w:rPr>
          <w:rFonts w:hint="eastAsia" w:ascii="宋体" w:hAnsi="宋体" w:cs="宋体"/>
          <w:color w:val="auto"/>
          <w:szCs w:val="21"/>
          <w:highlight w:val="none"/>
        </w:rPr>
        <w:t>”查看电子竞标具体操作流程。</w:t>
      </w:r>
    </w:p>
    <w:p w14:paraId="10C62FB8">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color w:val="auto"/>
          <w:kern w:val="0"/>
          <w:szCs w:val="21"/>
          <w:highlight w:val="none"/>
        </w:rPr>
        <w:t>广西政府采购云平台，</w:t>
      </w:r>
      <w:r>
        <w:rPr>
          <w:rFonts w:hint="eastAsia" w:ascii="宋体" w:hAnsi="宋体" w:cs="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如在操作过程中遇到问题或者需要技术支持，请致电广西政府采购云平台客服热线：95763</w:t>
      </w:r>
      <w:r>
        <w:rPr>
          <w:rFonts w:hint="eastAsia" w:ascii="宋体" w:hAnsi="宋体" w:cs="宋体"/>
          <w:color w:val="auto"/>
          <w:szCs w:val="21"/>
          <w:highlight w:val="none"/>
        </w:rPr>
        <w:t>）。</w:t>
      </w:r>
    </w:p>
    <w:p w14:paraId="1E216E0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0385CCC5">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注：</w:t>
      </w:r>
    </w:p>
    <w:p w14:paraId="3F0D6214">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①为确保网上操作合法、有效和安全，请供应商确保在电子竞标过程中能够对相关数据电文进行加密和使用电子签章，妥善保管CA数字证书并使用有效的CA数字证书参与整个采购活动。</w:t>
      </w:r>
    </w:p>
    <w:p w14:paraId="7F788229">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2 \* GB3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供应</w:t>
      </w:r>
      <w:r>
        <w:rPr>
          <w:rFonts w:hint="eastAsia" w:ascii="宋体" w:hAnsi="宋体" w:cs="宋体"/>
          <w:bCs/>
          <w:color w:val="auto"/>
          <w:szCs w:val="21"/>
          <w:highlight w:val="none"/>
        </w:rPr>
        <w:t>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4D266A7C">
      <w:pPr>
        <w:numPr>
          <w:ilvl w:val="0"/>
          <w:numId w:val="1"/>
        </w:numPr>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供应商需要在具备有摄像头及语音功能且互联网网络状况良好的电脑登录广西政府采购云平台远程开标大厅参与本次磋商，否则后果自负。</w:t>
      </w:r>
    </w:p>
    <w:p w14:paraId="55D0002C">
      <w:pPr>
        <w:spacing w:line="360" w:lineRule="auto"/>
        <w:ind w:firstLine="424" w:firstLineChars="202"/>
        <w:rPr>
          <w:rFonts w:ascii="宋体" w:hAnsi="宋体" w:cs="宋体"/>
          <w:color w:val="auto"/>
          <w:highlight w:val="none"/>
        </w:rPr>
      </w:pPr>
      <w:r>
        <w:rPr>
          <w:rFonts w:hint="eastAsia" w:ascii="宋体" w:hAnsi="宋体" w:cs="宋体"/>
          <w:color w:val="auto"/>
          <w:kern w:val="0"/>
          <w:szCs w:val="21"/>
          <w:highlight w:val="none"/>
        </w:rPr>
        <w:t>（5）为配合采购人进行政府采购项目执行和备案，未在广西政府采购云平台注册的供应商可在获取采购文件后登录广西政府采购云平台进行注册，如在操作过程中遇到问题或者需要技术支持，请致电广西政府采购云平台客服热线：</w:t>
      </w:r>
      <w:r>
        <w:rPr>
          <w:rFonts w:hint="eastAsia" w:ascii="宋体" w:hAnsi="宋体" w:cs="宋体"/>
          <w:bCs/>
          <w:color w:val="auto"/>
          <w:kern w:val="0"/>
          <w:szCs w:val="21"/>
          <w:highlight w:val="none"/>
        </w:rPr>
        <w:t>95763</w:t>
      </w:r>
      <w:r>
        <w:rPr>
          <w:rFonts w:hint="eastAsia" w:ascii="宋体" w:hAnsi="宋体" w:cs="宋体"/>
          <w:color w:val="auto"/>
          <w:kern w:val="0"/>
          <w:szCs w:val="21"/>
          <w:highlight w:val="none"/>
        </w:rPr>
        <w:t>。</w:t>
      </w:r>
    </w:p>
    <w:p w14:paraId="27A36B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369A7CD">
      <w:pPr>
        <w:spacing w:line="360" w:lineRule="auto"/>
        <w:ind w:firstLine="420" w:firstLineChars="200"/>
        <w:rPr>
          <w:rFonts w:ascii="宋体" w:hAnsi="宋体" w:cs="宋体"/>
          <w:b/>
          <w:color w:val="auto"/>
          <w:sz w:val="24"/>
          <w:highlight w:val="none"/>
        </w:rPr>
      </w:pPr>
      <w:r>
        <w:rPr>
          <w:rFonts w:hint="eastAsia" w:ascii="宋体" w:hAnsi="宋体" w:cs="宋体"/>
          <w:color w:val="auto"/>
          <w:szCs w:val="21"/>
          <w:highlight w:val="none"/>
        </w:rPr>
        <w:t>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47573166">
      <w:pPr>
        <w:spacing w:line="360" w:lineRule="auto"/>
        <w:ind w:firstLine="354" w:firstLineChars="147"/>
        <w:rPr>
          <w:rFonts w:ascii="宋体" w:hAnsi="宋体" w:cs="宋体"/>
          <w:b/>
          <w:color w:val="auto"/>
          <w:sz w:val="24"/>
          <w:highlight w:val="none"/>
        </w:rPr>
      </w:pPr>
      <w:r>
        <w:rPr>
          <w:rFonts w:hint="eastAsia" w:ascii="宋体" w:hAnsi="宋体" w:cs="宋体"/>
          <w:b/>
          <w:color w:val="auto"/>
          <w:sz w:val="24"/>
          <w:highlight w:val="none"/>
        </w:rPr>
        <w:t>八、凡对本次采购提出询问，请按以下方式联系。</w:t>
      </w:r>
      <w:bookmarkEnd w:id="43"/>
      <w:bookmarkEnd w:id="44"/>
      <w:bookmarkEnd w:id="45"/>
      <w:bookmarkEnd w:id="46"/>
      <w:bookmarkEnd w:id="47"/>
    </w:p>
    <w:p w14:paraId="770EEC4B">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1.采购人信息</w:t>
      </w:r>
    </w:p>
    <w:p w14:paraId="128BFC13">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名  称：广西壮族自治区农业科学院</w:t>
      </w:r>
    </w:p>
    <w:p w14:paraId="1F521E13">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地  址：</w:t>
      </w:r>
      <w:r>
        <w:rPr>
          <w:rFonts w:hint="eastAsia" w:ascii="宋体" w:hAnsi="宋体" w:cs="宋体"/>
          <w:color w:val="auto"/>
          <w:szCs w:val="21"/>
          <w:highlight w:val="none"/>
        </w:rPr>
        <w:t>南宁市大学东路174号</w:t>
      </w:r>
    </w:p>
    <w:p w14:paraId="2C588915">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联系方式：郭</w:t>
      </w:r>
      <w:r>
        <w:rPr>
          <w:rFonts w:hint="eastAsia" w:ascii="宋体" w:hAnsi="宋体" w:cs="宋体"/>
          <w:bCs/>
          <w:color w:val="auto"/>
          <w:szCs w:val="21"/>
          <w:highlight w:val="none"/>
          <w:lang w:val="en-US" w:eastAsia="zh-CN"/>
        </w:rPr>
        <w:t>工</w:t>
      </w:r>
      <w:r>
        <w:rPr>
          <w:rFonts w:hint="eastAsia" w:ascii="宋体" w:hAnsi="宋体" w:cs="宋体"/>
          <w:bCs/>
          <w:color w:val="auto"/>
          <w:szCs w:val="21"/>
          <w:highlight w:val="none"/>
        </w:rPr>
        <w:t xml:space="preserve"> 0771-3393848 　　　　　　 </w:t>
      </w:r>
      <w:bookmarkStart w:id="48" w:name="_Toc28359086"/>
      <w:bookmarkStart w:id="49" w:name="_Toc28359009"/>
    </w:p>
    <w:p w14:paraId="5B8FBDB9">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2.采购代理机构信息</w:t>
      </w:r>
      <w:bookmarkEnd w:id="48"/>
      <w:bookmarkEnd w:id="49"/>
    </w:p>
    <w:p w14:paraId="346E4CE8">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名  称：广西金证招标代理有限公司</w:t>
      </w:r>
    </w:p>
    <w:p w14:paraId="06892CF0">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地  址：南宁市青秀区东葛路118号青秀万达广场甲2栋2501室</w:t>
      </w:r>
    </w:p>
    <w:p w14:paraId="578D9FB2">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联系方式：</w:t>
      </w:r>
      <w:bookmarkStart w:id="50" w:name="_Toc28359087"/>
      <w:bookmarkStart w:id="51" w:name="_Toc28359010"/>
      <w:r>
        <w:rPr>
          <w:rFonts w:hint="eastAsia" w:ascii="宋体" w:hAnsi="宋体" w:cs="宋体"/>
          <w:bCs/>
          <w:color w:val="auto"/>
          <w:szCs w:val="21"/>
          <w:highlight w:val="none"/>
          <w:lang w:val="en-US" w:eastAsia="zh-CN"/>
        </w:rPr>
        <w:t>吕碧影</w:t>
      </w:r>
      <w:r>
        <w:rPr>
          <w:rFonts w:hint="eastAsia" w:ascii="宋体" w:hAnsi="宋体" w:cs="宋体"/>
          <w:bCs/>
          <w:color w:val="auto"/>
          <w:szCs w:val="21"/>
          <w:highlight w:val="none"/>
        </w:rPr>
        <w:t xml:space="preserve"> 0771-5509136</w:t>
      </w:r>
    </w:p>
    <w:p w14:paraId="6F344574">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3.项目联系方式</w:t>
      </w:r>
    </w:p>
    <w:p w14:paraId="43597285">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项目联系人：</w:t>
      </w:r>
      <w:r>
        <w:rPr>
          <w:rFonts w:hint="eastAsia" w:ascii="宋体" w:hAnsi="宋体" w:cs="宋体"/>
          <w:bCs/>
          <w:color w:val="auto"/>
          <w:szCs w:val="21"/>
          <w:highlight w:val="none"/>
          <w:lang w:val="en-US" w:eastAsia="zh-CN"/>
        </w:rPr>
        <w:t>吕碧影</w:t>
      </w:r>
    </w:p>
    <w:p w14:paraId="598B2A10">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电 话：0771-5509136</w:t>
      </w:r>
    </w:p>
    <w:p w14:paraId="4AD9882C">
      <w:pPr>
        <w:pStyle w:val="2"/>
        <w:rPr>
          <w:color w:val="auto"/>
          <w:highlight w:val="none"/>
        </w:rPr>
      </w:pPr>
    </w:p>
    <w:p w14:paraId="1649CA17">
      <w:pPr>
        <w:pStyle w:val="17"/>
        <w:rPr>
          <w:rFonts w:ascii="宋体" w:hAnsi="宋体" w:cs="宋体"/>
          <w:bCs/>
          <w:color w:val="auto"/>
          <w:szCs w:val="21"/>
          <w:highlight w:val="none"/>
        </w:rPr>
      </w:pPr>
    </w:p>
    <w:p w14:paraId="27DAA07C">
      <w:pPr>
        <w:spacing w:line="360" w:lineRule="auto"/>
        <w:jc w:val="right"/>
        <w:rPr>
          <w:rFonts w:ascii="宋体" w:hAnsi="宋体"/>
          <w:color w:val="auto"/>
          <w:szCs w:val="21"/>
          <w:highlight w:val="none"/>
        </w:rPr>
      </w:pPr>
      <w:r>
        <w:rPr>
          <w:rFonts w:hint="eastAsia" w:ascii="宋体" w:hAnsi="宋体"/>
          <w:color w:val="auto"/>
          <w:szCs w:val="21"/>
          <w:highlight w:val="none"/>
        </w:rPr>
        <w:t>广西金证招标代理有限公司</w:t>
      </w:r>
    </w:p>
    <w:p w14:paraId="094B7D82">
      <w:pPr>
        <w:pStyle w:val="17"/>
        <w:jc w:val="right"/>
        <w:rPr>
          <w:rFonts w:ascii="宋体" w:hAnsi="宋体" w:cs="宋体"/>
          <w:bCs/>
          <w:color w:val="auto"/>
          <w:szCs w:val="21"/>
          <w:highlight w:val="none"/>
        </w:rPr>
      </w:pPr>
      <w:r>
        <w:rPr>
          <w:rFonts w:hint="eastAsia" w:ascii="宋体" w:hAnsi="宋体"/>
          <w:color w:val="auto"/>
          <w:szCs w:val="21"/>
          <w:highlight w:val="none"/>
        </w:rPr>
        <w:t>2025年</w:t>
      </w:r>
      <w:r>
        <w:rPr>
          <w:rFonts w:hint="eastAsia" w:ascii="宋体" w:hAnsi="宋体"/>
          <w:color w:val="auto"/>
          <w:szCs w:val="21"/>
          <w:highlight w:val="none"/>
          <w:lang w:val="en-US" w:eastAsia="zh-CN"/>
        </w:rPr>
        <w:t>8</w:t>
      </w:r>
      <w:r>
        <w:rPr>
          <w:rFonts w:hint="eastAsia" w:ascii="宋体" w:hAnsi="宋体"/>
          <w:color w:val="auto"/>
          <w:szCs w:val="21"/>
          <w:highlight w:val="none"/>
        </w:rPr>
        <w:t>月</w:t>
      </w:r>
      <w:r>
        <w:rPr>
          <w:rFonts w:hint="eastAsia" w:ascii="宋体" w:hAnsi="宋体"/>
          <w:color w:val="auto"/>
          <w:szCs w:val="21"/>
          <w:highlight w:val="none"/>
          <w:lang w:val="en-US" w:eastAsia="zh-CN"/>
        </w:rPr>
        <w:t>4</w:t>
      </w:r>
      <w:r>
        <w:rPr>
          <w:rFonts w:hint="eastAsia" w:ascii="宋体" w:hAnsi="宋体"/>
          <w:color w:val="auto"/>
          <w:szCs w:val="21"/>
          <w:highlight w:val="none"/>
        </w:rPr>
        <w:t>日</w:t>
      </w:r>
    </w:p>
    <w:bookmarkEnd w:id="50"/>
    <w:bookmarkEnd w:id="51"/>
    <w:p w14:paraId="301A8A24">
      <w:pPr>
        <w:spacing w:line="360" w:lineRule="exact"/>
        <w:ind w:firstLine="420" w:firstLineChars="200"/>
        <w:rPr>
          <w:rFonts w:ascii="宋体" w:hAnsi="宋体" w:cs="宋体"/>
          <w:color w:val="auto"/>
          <w:szCs w:val="21"/>
          <w:highlight w:val="none"/>
          <w:u w:val="single"/>
        </w:rPr>
      </w:pPr>
    </w:p>
    <w:bookmarkEnd w:id="1"/>
    <w:p w14:paraId="05325D79">
      <w:pPr>
        <w:spacing w:line="400" w:lineRule="exact"/>
        <w:jc w:val="center"/>
        <w:rPr>
          <w:rFonts w:ascii="宋体" w:hAnsi="宋体" w:cs="宋体"/>
          <w:color w:val="auto"/>
          <w:szCs w:val="21"/>
          <w:highlight w:val="none"/>
          <w:u w:val="single"/>
        </w:rPr>
      </w:pPr>
    </w:p>
    <w:p w14:paraId="7838AEFD">
      <w:pPr>
        <w:pStyle w:val="3"/>
        <w:jc w:val="center"/>
        <w:rPr>
          <w:rFonts w:ascii="宋体" w:hAnsi="宋体" w:cs="宋体"/>
          <w:color w:val="auto"/>
          <w:highlight w:val="none"/>
        </w:rPr>
      </w:pPr>
      <w:bookmarkStart w:id="52" w:name="_Toc1433"/>
      <w:r>
        <w:rPr>
          <w:rFonts w:hint="eastAsia" w:ascii="宋体" w:hAnsi="宋体" w:cs="宋体"/>
          <w:color w:val="auto"/>
          <w:highlight w:val="none"/>
        </w:rPr>
        <w:t>第二章 供应商须知</w:t>
      </w:r>
      <w:bookmarkEnd w:id="52"/>
    </w:p>
    <w:p w14:paraId="319E1D6B">
      <w:pPr>
        <w:jc w:val="center"/>
        <w:rPr>
          <w:b/>
          <w:bCs/>
          <w:color w:val="auto"/>
          <w:sz w:val="32"/>
          <w:szCs w:val="32"/>
          <w:highlight w:val="none"/>
        </w:rPr>
      </w:pPr>
      <w:r>
        <w:rPr>
          <w:rFonts w:hint="eastAsia"/>
          <w:b/>
          <w:bCs/>
          <w:color w:val="auto"/>
          <w:sz w:val="32"/>
          <w:szCs w:val="32"/>
          <w:highlight w:val="none"/>
        </w:rPr>
        <w:t>供应商须知前附表</w:t>
      </w:r>
    </w:p>
    <w:tbl>
      <w:tblPr>
        <w:tblStyle w:val="32"/>
        <w:tblW w:w="91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149"/>
      </w:tblGrid>
      <w:tr w14:paraId="22CCA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jc w:val="center"/>
        </w:trPr>
        <w:tc>
          <w:tcPr>
            <w:tcW w:w="992" w:type="dxa"/>
            <w:tcBorders>
              <w:top w:val="single" w:color="000000" w:sz="12" w:space="0"/>
              <w:left w:val="single" w:color="000000" w:sz="12" w:space="0"/>
            </w:tcBorders>
            <w:vAlign w:val="center"/>
          </w:tcPr>
          <w:p w14:paraId="19DB4EF1">
            <w:pPr>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8149" w:type="dxa"/>
            <w:tcBorders>
              <w:top w:val="single" w:color="000000" w:sz="12" w:space="0"/>
              <w:right w:val="single" w:color="000000" w:sz="12" w:space="0"/>
            </w:tcBorders>
            <w:vAlign w:val="center"/>
          </w:tcPr>
          <w:p w14:paraId="0D702874">
            <w:pPr>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14:paraId="21653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3" w:hRule="atLeast"/>
          <w:jc w:val="center"/>
        </w:trPr>
        <w:tc>
          <w:tcPr>
            <w:tcW w:w="992" w:type="dxa"/>
            <w:tcBorders>
              <w:left w:val="single" w:color="000000" w:sz="12" w:space="0"/>
            </w:tcBorders>
            <w:vAlign w:val="center"/>
          </w:tcPr>
          <w:p w14:paraId="2026384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8149" w:type="dxa"/>
            <w:tcBorders>
              <w:right w:val="single" w:color="000000" w:sz="12" w:space="0"/>
            </w:tcBorders>
            <w:vAlign w:val="center"/>
          </w:tcPr>
          <w:p w14:paraId="754A6A96">
            <w:pPr>
              <w:spacing w:line="360" w:lineRule="exact"/>
              <w:rPr>
                <w:rFonts w:ascii="宋体" w:hAnsi="宋体" w:cs="宋体"/>
                <w:color w:val="auto"/>
                <w:szCs w:val="21"/>
                <w:highlight w:val="none"/>
              </w:rPr>
            </w:pPr>
            <w:r>
              <w:rPr>
                <w:rFonts w:hint="eastAsia" w:ascii="宋体" w:hAnsi="宋体" w:cs="宋体"/>
                <w:bCs/>
                <w:color w:val="auto"/>
                <w:szCs w:val="21"/>
                <w:highlight w:val="none"/>
              </w:rPr>
              <w:t>1.供应商的资格条件</w:t>
            </w:r>
            <w:r>
              <w:rPr>
                <w:rFonts w:hint="eastAsia" w:ascii="宋体" w:hAnsi="宋体" w:cs="宋体"/>
                <w:color w:val="auto"/>
                <w:szCs w:val="21"/>
                <w:highlight w:val="none"/>
              </w:rPr>
              <w:t>：详见竞争性磋商公告</w:t>
            </w:r>
          </w:p>
          <w:p w14:paraId="42E7F86C">
            <w:pPr>
              <w:spacing w:line="360" w:lineRule="exact"/>
              <w:rPr>
                <w:rFonts w:ascii="宋体" w:hAnsi="宋体" w:cs="宋体"/>
                <w:color w:val="auto"/>
                <w:szCs w:val="21"/>
                <w:highlight w:val="none"/>
              </w:rPr>
            </w:pPr>
            <w:r>
              <w:rPr>
                <w:rFonts w:hint="eastAsia" w:ascii="宋体" w:hAnsi="宋体" w:cs="宋体"/>
                <w:bCs/>
                <w:color w:val="auto"/>
                <w:szCs w:val="21"/>
                <w:highlight w:val="none"/>
              </w:rPr>
              <w:t>2.供应商</w:t>
            </w:r>
            <w:r>
              <w:rPr>
                <w:rFonts w:hint="eastAsia" w:ascii="宋体" w:hAnsi="宋体" w:cs="宋体"/>
                <w:color w:val="auto"/>
                <w:szCs w:val="21"/>
                <w:highlight w:val="none"/>
              </w:rPr>
              <w:t>出现下列情形之一的，不得参加政府采购活动：</w:t>
            </w:r>
          </w:p>
          <w:p w14:paraId="583231DB">
            <w:pPr>
              <w:spacing w:line="360" w:lineRule="exact"/>
              <w:rPr>
                <w:rFonts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8AF8A9C">
            <w:pPr>
              <w:spacing w:line="360" w:lineRule="exact"/>
              <w:rPr>
                <w:rFonts w:ascii="宋体" w:hAnsi="宋体" w:cs="宋体"/>
                <w:color w:val="auto"/>
                <w:szCs w:val="21"/>
                <w:highlight w:val="none"/>
              </w:rPr>
            </w:pPr>
            <w:r>
              <w:rPr>
                <w:rFonts w:hint="eastAsia" w:ascii="宋体" w:hAnsi="宋体" w:cs="宋体"/>
                <w:color w:val="auto"/>
                <w:szCs w:val="21"/>
                <w:highlight w:val="none"/>
              </w:rPr>
              <w:t>2.2对在“信用中国”网站（www.creditchina.gov.cn）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7B731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992" w:type="dxa"/>
            <w:tcBorders>
              <w:left w:val="single" w:color="000000" w:sz="12" w:space="0"/>
            </w:tcBorders>
            <w:vAlign w:val="center"/>
          </w:tcPr>
          <w:p w14:paraId="426DE66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5.1</w:t>
            </w:r>
          </w:p>
        </w:tc>
        <w:tc>
          <w:tcPr>
            <w:tcW w:w="8149" w:type="dxa"/>
            <w:tcBorders>
              <w:right w:val="single" w:color="000000" w:sz="12" w:space="0"/>
            </w:tcBorders>
            <w:vAlign w:val="center"/>
          </w:tcPr>
          <w:p w14:paraId="0D2C66DE">
            <w:pPr>
              <w:spacing w:line="360" w:lineRule="exact"/>
              <w:rPr>
                <w:rFonts w:ascii="宋体" w:hAnsi="宋体" w:cs="宋体"/>
                <w:color w:val="auto"/>
                <w:szCs w:val="21"/>
                <w:highlight w:val="none"/>
              </w:rPr>
            </w:pPr>
            <w:r>
              <w:rPr>
                <w:rFonts w:hint="eastAsia" w:ascii="宋体" w:hAnsi="宋体" w:cs="宋体"/>
                <w:color w:val="auto"/>
                <w:szCs w:val="21"/>
                <w:highlight w:val="none"/>
              </w:rPr>
              <w:t>是否接受联合体竞标: 详见竞争性磋商公告</w:t>
            </w:r>
          </w:p>
        </w:tc>
      </w:tr>
      <w:tr w14:paraId="6AD86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left w:val="single" w:color="000000" w:sz="12" w:space="0"/>
            </w:tcBorders>
            <w:vAlign w:val="center"/>
          </w:tcPr>
          <w:p w14:paraId="089ED5B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5.2</w:t>
            </w:r>
          </w:p>
        </w:tc>
        <w:tc>
          <w:tcPr>
            <w:tcW w:w="8149" w:type="dxa"/>
            <w:tcBorders>
              <w:right w:val="single" w:color="000000" w:sz="12" w:space="0"/>
            </w:tcBorders>
            <w:vAlign w:val="center"/>
          </w:tcPr>
          <w:p w14:paraId="50790FD0">
            <w:pPr>
              <w:spacing w:line="360" w:lineRule="auto"/>
              <w:rPr>
                <w:rFonts w:ascii="宋体" w:hAnsi="宋体" w:cs="宋体"/>
                <w:color w:val="auto"/>
                <w:szCs w:val="21"/>
                <w:highlight w:val="none"/>
              </w:rPr>
            </w:pPr>
            <w:r>
              <w:rPr>
                <w:rFonts w:hint="eastAsia" w:ascii="宋体" w:hAnsi="宋体" w:cs="宋体"/>
                <w:color w:val="auto"/>
                <w:szCs w:val="21"/>
                <w:highlight w:val="none"/>
              </w:rPr>
              <w:t>如接受联合体竞标，联合体竞标要求如下：</w:t>
            </w:r>
          </w:p>
          <w:p w14:paraId="4F608BF5">
            <w:pPr>
              <w:spacing w:line="360" w:lineRule="auto"/>
              <w:rPr>
                <w:rFonts w:ascii="宋体" w:hAnsi="宋体" w:cs="宋体"/>
                <w:color w:val="auto"/>
                <w:szCs w:val="21"/>
                <w:highlight w:val="none"/>
              </w:rPr>
            </w:pPr>
            <w:r>
              <w:rPr>
                <w:rFonts w:hint="eastAsia" w:ascii="宋体" w:hAnsi="宋体" w:cs="宋体"/>
                <w:color w:val="auto"/>
                <w:szCs w:val="21"/>
                <w:highlight w:val="none"/>
              </w:rPr>
              <w:t>1.两个以上供应商可以组成一个竞标联合体，以一个供应商的身份共同参加竞标。联合体竞标的，须提供《联合体竞标协议书》（格式后附）；</w:t>
            </w:r>
          </w:p>
          <w:p w14:paraId="45E61756">
            <w:pPr>
              <w:spacing w:line="360" w:lineRule="auto"/>
              <w:rPr>
                <w:rFonts w:ascii="宋体" w:hAnsi="宋体" w:cs="宋体"/>
                <w:color w:val="auto"/>
                <w:szCs w:val="21"/>
                <w:highlight w:val="none"/>
              </w:rPr>
            </w:pPr>
            <w:r>
              <w:rPr>
                <w:rFonts w:hint="eastAsia" w:ascii="宋体" w:hAnsi="宋体" w:cs="宋体"/>
                <w:color w:val="auto"/>
                <w:szCs w:val="21"/>
                <w:highlight w:val="none"/>
              </w:rPr>
              <w:t>2.以联合体形式参加竞标的，联合体各方均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14:paraId="271A1636">
            <w:pPr>
              <w:spacing w:line="360" w:lineRule="auto"/>
              <w:rPr>
                <w:rFonts w:ascii="宋体" w:hAnsi="宋体" w:cs="宋体"/>
                <w:color w:val="auto"/>
                <w:szCs w:val="21"/>
                <w:highlight w:val="none"/>
              </w:rPr>
            </w:pPr>
            <w:r>
              <w:rPr>
                <w:rFonts w:hint="eastAsia" w:ascii="宋体" w:hAnsi="宋体" w:cs="宋体"/>
                <w:color w:val="auto"/>
                <w:szCs w:val="21"/>
                <w:highlight w:val="none"/>
              </w:rPr>
              <w:t>3.联合体各方之间必须签订联合竞标协议，协议书必须明确主体方（或者牵头方）并明确约定联合体各方承担的工作和相应的责任（各方承担责任与义务的分工必须符合采购需求，否则，联合体竞标无效），并将联合竞标协议放入响应文件。联合体各方必须共同与采购人签订采购合同，就采购合同约定的事项对采购人承担连带责任；</w:t>
            </w:r>
          </w:p>
          <w:p w14:paraId="2ED2D289">
            <w:pPr>
              <w:spacing w:line="360" w:lineRule="auto"/>
              <w:rPr>
                <w:rFonts w:ascii="宋体" w:hAnsi="宋体" w:cs="宋体"/>
                <w:color w:val="auto"/>
                <w:szCs w:val="21"/>
                <w:highlight w:val="none"/>
              </w:rPr>
            </w:pPr>
            <w:r>
              <w:rPr>
                <w:rFonts w:hint="eastAsia" w:ascii="宋体" w:hAnsi="宋体" w:cs="宋体"/>
                <w:color w:val="auto"/>
                <w:szCs w:val="21"/>
                <w:highlight w:val="none"/>
              </w:rPr>
              <w:t>4.以联合体形式参加政府采购活动的，联合体各方不得再单独参加或者与其他供应商另外组成联合体参加同一合同项下的政府采购活动；</w:t>
            </w:r>
          </w:p>
          <w:p w14:paraId="68E39F18">
            <w:pPr>
              <w:spacing w:line="360" w:lineRule="auto"/>
              <w:rPr>
                <w:rFonts w:ascii="宋体" w:hAnsi="宋体" w:cs="宋体"/>
                <w:color w:val="auto"/>
                <w:szCs w:val="21"/>
                <w:highlight w:val="none"/>
              </w:rPr>
            </w:pPr>
            <w:r>
              <w:rPr>
                <w:rFonts w:hint="eastAsia" w:ascii="宋体" w:hAnsi="宋体" w:cs="宋体"/>
                <w:color w:val="auto"/>
                <w:szCs w:val="21"/>
                <w:highlight w:val="none"/>
              </w:rPr>
              <w:t>5.联合体中有同类资质的供应商按照联合体分工承担相同工作的，应当按照资质等级较低的供应商确定资质等级；</w:t>
            </w:r>
          </w:p>
          <w:p w14:paraId="7F5B46F0">
            <w:pPr>
              <w:spacing w:line="360" w:lineRule="auto"/>
              <w:rPr>
                <w:rFonts w:ascii="宋体" w:hAnsi="宋体" w:cs="宋体"/>
                <w:color w:val="auto"/>
                <w:szCs w:val="21"/>
                <w:highlight w:val="none"/>
              </w:rPr>
            </w:pPr>
            <w:r>
              <w:rPr>
                <w:rFonts w:hint="eastAsia" w:ascii="宋体" w:hAnsi="宋体" w:cs="宋体"/>
                <w:color w:val="auto"/>
                <w:szCs w:val="21"/>
                <w:highlight w:val="none"/>
              </w:rPr>
              <w:t>6.联合体竞标业绩、履约能力按照联合体各方中较高的一方认定并计算（磋商文件另有规定的除外）；</w:t>
            </w:r>
          </w:p>
          <w:p w14:paraId="6BBD629D">
            <w:pPr>
              <w:spacing w:line="360" w:lineRule="auto"/>
              <w:rPr>
                <w:rFonts w:ascii="宋体" w:hAnsi="宋体" w:cs="宋体"/>
                <w:color w:val="auto"/>
                <w:szCs w:val="21"/>
                <w:highlight w:val="none"/>
              </w:rPr>
            </w:pPr>
            <w:r>
              <w:rPr>
                <w:rFonts w:hint="eastAsia" w:ascii="宋体" w:hAnsi="宋体" w:cs="宋体"/>
                <w:color w:val="auto"/>
                <w:szCs w:val="21"/>
                <w:highlight w:val="none"/>
              </w:rPr>
              <w:t>7.供应商为联合体的，可以由联合体中的一方或者多方共同缴纳保证金，其缴纳的保证金对联合体各方均具有约束力；</w:t>
            </w:r>
          </w:p>
          <w:p w14:paraId="5B7D23EF">
            <w:pPr>
              <w:spacing w:line="360" w:lineRule="exact"/>
              <w:rPr>
                <w:rFonts w:ascii="宋体" w:hAnsi="宋体" w:cs="宋体"/>
                <w:color w:val="auto"/>
                <w:szCs w:val="21"/>
                <w:highlight w:val="none"/>
              </w:rPr>
            </w:pPr>
            <w:r>
              <w:rPr>
                <w:rFonts w:hint="eastAsia" w:ascii="宋体" w:hAnsi="宋体" w:cs="宋体"/>
                <w:color w:val="auto"/>
                <w:szCs w:val="21"/>
                <w:highlight w:val="none"/>
              </w:rPr>
              <w:t>8.联合体各方均应按照磋商文件的规定分别提交资格证明文件。</w:t>
            </w:r>
          </w:p>
        </w:tc>
      </w:tr>
      <w:tr w14:paraId="72807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left w:val="single" w:color="000000" w:sz="12" w:space="0"/>
            </w:tcBorders>
            <w:vAlign w:val="center"/>
          </w:tcPr>
          <w:p w14:paraId="0C0A72B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6.2</w:t>
            </w:r>
          </w:p>
        </w:tc>
        <w:tc>
          <w:tcPr>
            <w:tcW w:w="8149" w:type="dxa"/>
            <w:tcBorders>
              <w:right w:val="single" w:color="000000" w:sz="12" w:space="0"/>
            </w:tcBorders>
            <w:vAlign w:val="center"/>
          </w:tcPr>
          <w:p w14:paraId="07DF3B23">
            <w:pPr>
              <w:pStyle w:val="12"/>
              <w:spacing w:line="360" w:lineRule="exact"/>
              <w:rPr>
                <w:rFonts w:ascii="宋体" w:hAnsi="宋体" w:cs="宋体"/>
                <w:color w:val="auto"/>
                <w:szCs w:val="21"/>
                <w:highlight w:val="none"/>
              </w:rPr>
            </w:pPr>
            <w:r>
              <w:rPr>
                <w:rFonts w:hint="eastAsia" w:ascii="宋体" w:hAnsi="宋体" w:cs="宋体"/>
                <w:color w:val="auto"/>
                <w:szCs w:val="21"/>
                <w:highlight w:val="none"/>
              </w:rPr>
              <w:t>☑不允许分包</w:t>
            </w:r>
          </w:p>
          <w:p w14:paraId="19EC55BB">
            <w:pPr>
              <w:pStyle w:val="12"/>
              <w:spacing w:line="360" w:lineRule="exact"/>
              <w:rPr>
                <w:rFonts w:ascii="宋体" w:hAnsi="宋体" w:cs="宋体"/>
                <w:color w:val="auto"/>
                <w:szCs w:val="21"/>
                <w:highlight w:val="none"/>
              </w:rPr>
            </w:pPr>
            <w:r>
              <w:rPr>
                <w:rFonts w:hint="eastAsia" w:ascii="宋体" w:hAnsi="宋体" w:cs="宋体"/>
                <w:color w:val="auto"/>
                <w:szCs w:val="21"/>
                <w:highlight w:val="none"/>
              </w:rPr>
              <w:t>□允许分包</w:t>
            </w:r>
          </w:p>
          <w:p w14:paraId="1AA19A43">
            <w:pPr>
              <w:pStyle w:val="12"/>
              <w:spacing w:line="360" w:lineRule="exact"/>
              <w:rPr>
                <w:rFonts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w:t>
            </w:r>
          </w:p>
          <w:p w14:paraId="44A7C013">
            <w:pPr>
              <w:pStyle w:val="12"/>
              <w:spacing w:line="360" w:lineRule="exact"/>
              <w:rPr>
                <w:rFonts w:ascii="宋体" w:hAnsi="宋体" w:cs="宋体"/>
                <w:color w:val="auto"/>
                <w:szCs w:val="21"/>
                <w:highlight w:val="non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w:t>
            </w:r>
          </w:p>
        </w:tc>
      </w:tr>
      <w:tr w14:paraId="342C9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992" w:type="dxa"/>
            <w:tcBorders>
              <w:left w:val="single" w:color="000000" w:sz="12" w:space="0"/>
            </w:tcBorders>
            <w:vAlign w:val="center"/>
          </w:tcPr>
          <w:p w14:paraId="45E9A73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12.1.1</w:t>
            </w:r>
          </w:p>
        </w:tc>
        <w:tc>
          <w:tcPr>
            <w:tcW w:w="8149" w:type="dxa"/>
            <w:tcBorders>
              <w:right w:val="single" w:color="000000" w:sz="12" w:space="0"/>
            </w:tcBorders>
            <w:vAlign w:val="center"/>
          </w:tcPr>
          <w:p w14:paraId="2FC1EED5">
            <w:pPr>
              <w:snapToGrid w:val="0"/>
              <w:spacing w:line="288" w:lineRule="auto"/>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14:paraId="3DF43E24">
            <w:pPr>
              <w:spacing w:line="312" w:lineRule="auto"/>
              <w:rPr>
                <w:color w:val="auto"/>
                <w:highlight w:val="none"/>
              </w:rPr>
            </w:pPr>
            <w:r>
              <w:rPr>
                <w:rFonts w:hint="eastAsia"/>
                <w:color w:val="auto"/>
                <w:highlight w:val="none"/>
              </w:rPr>
              <w:t>1.供应商为法人或者其他组织的提供其有效营业执照等证明文件（如营业执照或者事业单位法人证书或者执业许可证或者登记证书等），供应商为自然人的提供其身份证复印件；</w:t>
            </w:r>
            <w:r>
              <w:rPr>
                <w:rFonts w:hint="eastAsia" w:ascii="Times New Roman" w:hAnsi="Times New Roman" w:eastAsia="宋体" w:cs="Times New Roman"/>
                <w:color w:val="auto"/>
                <w:highlight w:val="none"/>
                <w:lang w:val="en-US" w:eastAsia="zh-CN"/>
              </w:rPr>
              <w:t>供应商</w:t>
            </w:r>
            <w:r>
              <w:rPr>
                <w:rFonts w:hint="eastAsia" w:ascii="Times New Roman" w:hAnsi="Times New Roman" w:eastAsia="宋体" w:cs="Times New Roman"/>
                <w:color w:val="auto"/>
                <w:highlight w:val="none"/>
              </w:rPr>
              <w:t>为授权的分支机构（含下属分公司），提供分支机构营业执照及总公司授权书原件扫描件。</w:t>
            </w:r>
            <w:r>
              <w:rPr>
                <w:rFonts w:hint="eastAsia"/>
                <w:b/>
                <w:bCs/>
                <w:color w:val="auto"/>
                <w:highlight w:val="none"/>
              </w:rPr>
              <w:t>（必须提供，否则响应文件按无效响应处理）</w:t>
            </w:r>
          </w:p>
          <w:p w14:paraId="5E00BFF8">
            <w:pPr>
              <w:spacing w:line="312" w:lineRule="auto"/>
              <w:rPr>
                <w:color w:val="auto"/>
                <w:highlight w:val="none"/>
              </w:rPr>
            </w:pPr>
            <w:r>
              <w:rPr>
                <w:rFonts w:hint="eastAsia"/>
                <w:color w:val="auto"/>
                <w:highlight w:val="none"/>
              </w:rPr>
              <w:t>2.供应商依法缴纳税收的相关材料【供应商提供磋商截止时间前半年内连续3个月的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Pr>
                <w:rFonts w:hint="eastAsia"/>
                <w:b/>
                <w:bCs/>
                <w:color w:val="auto"/>
                <w:highlight w:val="none"/>
              </w:rPr>
              <w:t>（必须提供，否则响应文件按无效响应处理）</w:t>
            </w:r>
          </w:p>
          <w:p w14:paraId="5DD18594">
            <w:pPr>
              <w:spacing w:line="312" w:lineRule="auto"/>
              <w:rPr>
                <w:b/>
                <w:bCs/>
                <w:color w:val="auto"/>
                <w:highlight w:val="none"/>
              </w:rPr>
            </w:pPr>
            <w:r>
              <w:rPr>
                <w:rFonts w:hint="eastAsia"/>
                <w:color w:val="auto"/>
                <w:highlight w:val="none"/>
              </w:rPr>
              <w:t>3.供应商依法缴纳社会保障资金的相关材料【磋商截止时间前半年内连续3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依法缴纳社会保障资金的相应证明文件】；</w:t>
            </w:r>
            <w:r>
              <w:rPr>
                <w:rFonts w:hint="eastAsia"/>
                <w:b/>
                <w:bCs/>
                <w:color w:val="auto"/>
                <w:highlight w:val="none"/>
              </w:rPr>
              <w:t xml:space="preserve">（必须提供，否则响应文件按无效响应处理） </w:t>
            </w:r>
          </w:p>
          <w:p w14:paraId="49FE5B9A">
            <w:pPr>
              <w:spacing w:line="312" w:lineRule="auto"/>
              <w:rPr>
                <w:b/>
                <w:bCs/>
                <w:color w:val="auto"/>
                <w:highlight w:val="none"/>
              </w:rPr>
            </w:pPr>
            <w:r>
              <w:rPr>
                <w:rFonts w:hint="eastAsia"/>
                <w:color w:val="auto"/>
                <w:highlight w:val="none"/>
              </w:rPr>
              <w:t>4.供应商财务状况报告【</w:t>
            </w:r>
            <w:r>
              <w:rPr>
                <w:rFonts w:hint="eastAsia"/>
                <w:color w:val="auto"/>
                <w:szCs w:val="21"/>
                <w:highlight w:val="none"/>
                <w:u w:val="single"/>
              </w:rPr>
              <w:t>2024</w:t>
            </w:r>
            <w:r>
              <w:rPr>
                <w:rFonts w:hint="eastAsia"/>
                <w:color w:val="auto"/>
                <w:szCs w:val="21"/>
                <w:highlight w:val="none"/>
              </w:rPr>
              <w:t>年度财务报表复印件，或者银行出具的资信证明，或者中国人民银行征信中心出具的信用报告（企业竞标的提供企业信用报告，自然人竞标的提供个人信用报告）；供应商属于</w:t>
            </w:r>
            <w:r>
              <w:rPr>
                <w:rFonts w:hint="eastAsia"/>
                <w:color w:val="auto"/>
                <w:highlight w:val="none"/>
              </w:rPr>
              <w:t>成立时间</w:t>
            </w:r>
            <w:r>
              <w:rPr>
                <w:rFonts w:hint="eastAsia"/>
                <w:color w:val="auto"/>
                <w:kern w:val="0"/>
                <w:highlight w:val="none"/>
              </w:rPr>
              <w:t>在规定年度之后</w:t>
            </w:r>
            <w:r>
              <w:rPr>
                <w:rFonts w:hint="eastAsia"/>
                <w:color w:val="auto"/>
                <w:highlight w:val="none"/>
              </w:rPr>
              <w:t>的</w:t>
            </w:r>
            <w:r>
              <w:rPr>
                <w:rFonts w:hint="eastAsia"/>
                <w:color w:val="auto"/>
                <w:szCs w:val="21"/>
                <w:highlight w:val="none"/>
              </w:rPr>
              <w:t>法人或其他组织</w:t>
            </w:r>
            <w:r>
              <w:rPr>
                <w:rFonts w:hint="eastAsia"/>
                <w:color w:val="auto"/>
                <w:highlight w:val="none"/>
              </w:rPr>
              <w:t>，需提供成立之日起至响应文件提交截止时间前的月报表</w:t>
            </w:r>
            <w:r>
              <w:rPr>
                <w:rFonts w:hint="eastAsia"/>
                <w:color w:val="auto"/>
                <w:szCs w:val="21"/>
                <w:highlight w:val="none"/>
              </w:rPr>
              <w:t>或银行出具的资信证明或者中国人民银行征信中心出具的企业信用报告；资信证明应在有效期内，未注明有效期的，银行出具时间至响应文件提交截止时间不超过一年</w:t>
            </w:r>
            <w:r>
              <w:rPr>
                <w:rFonts w:hint="eastAsia"/>
                <w:color w:val="auto"/>
                <w:highlight w:val="none"/>
              </w:rPr>
              <w:t>】；</w:t>
            </w:r>
            <w:r>
              <w:rPr>
                <w:rFonts w:hint="eastAsia"/>
                <w:b/>
                <w:bCs/>
                <w:color w:val="auto"/>
                <w:highlight w:val="none"/>
              </w:rPr>
              <w:t>（必须提供，否则响应文件按无效响应处理）</w:t>
            </w:r>
            <w:bookmarkStart w:id="171" w:name="_GoBack"/>
            <w:bookmarkEnd w:id="171"/>
          </w:p>
          <w:p w14:paraId="3E0CFECF">
            <w:pPr>
              <w:spacing w:line="312" w:lineRule="auto"/>
              <w:rPr>
                <w:b/>
                <w:bCs/>
                <w:color w:val="auto"/>
                <w:highlight w:val="none"/>
              </w:rPr>
            </w:pPr>
            <w:r>
              <w:rPr>
                <w:rFonts w:hint="eastAsia"/>
                <w:color w:val="auto"/>
                <w:highlight w:val="none"/>
              </w:rPr>
              <w:t>5.供应商直接控股、管理关系信息表（格式后附）；</w:t>
            </w:r>
            <w:r>
              <w:rPr>
                <w:rFonts w:hint="eastAsia"/>
                <w:b/>
                <w:bCs/>
                <w:color w:val="auto"/>
                <w:highlight w:val="none"/>
              </w:rPr>
              <w:t>（必须提供，否则响应文件按无效响应处理）</w:t>
            </w:r>
          </w:p>
          <w:p w14:paraId="13981934">
            <w:pPr>
              <w:spacing w:line="312" w:lineRule="auto"/>
              <w:rPr>
                <w:color w:val="auto"/>
                <w:highlight w:val="none"/>
              </w:rPr>
            </w:pPr>
            <w:r>
              <w:rPr>
                <w:rFonts w:hint="eastAsia"/>
                <w:color w:val="auto"/>
                <w:highlight w:val="none"/>
              </w:rPr>
              <w:t>6.</w:t>
            </w:r>
            <w:r>
              <w:rPr>
                <w:rFonts w:hint="eastAsia" w:ascii="宋体" w:hAnsi="宋体" w:cs="宋体"/>
                <w:color w:val="auto"/>
                <w:szCs w:val="21"/>
                <w:highlight w:val="none"/>
              </w:rPr>
              <w:t>符合特定资格要求的有关证明材料</w:t>
            </w:r>
            <w:r>
              <w:rPr>
                <w:rFonts w:hint="eastAsia"/>
                <w:color w:val="auto"/>
                <w:highlight w:val="none"/>
              </w:rPr>
              <w:t>；</w:t>
            </w:r>
            <w:r>
              <w:rPr>
                <w:rFonts w:hint="eastAsia"/>
                <w:b/>
                <w:bCs/>
                <w:color w:val="auto"/>
                <w:highlight w:val="none"/>
              </w:rPr>
              <w:t>（</w:t>
            </w:r>
            <w:r>
              <w:rPr>
                <w:b/>
                <w:bCs/>
                <w:color w:val="auto"/>
                <w:spacing w:val="10"/>
                <w:highlight w:val="none"/>
              </w:rPr>
              <w:t>如</w:t>
            </w:r>
            <w:r>
              <w:rPr>
                <w:rFonts w:hint="eastAsia"/>
                <w:b/>
                <w:bCs/>
                <w:color w:val="auto"/>
                <w:spacing w:val="10"/>
                <w:highlight w:val="none"/>
              </w:rPr>
              <w:t>磋商</w:t>
            </w:r>
            <w:r>
              <w:rPr>
                <w:b/>
                <w:bCs/>
                <w:color w:val="auto"/>
                <w:spacing w:val="10"/>
                <w:highlight w:val="none"/>
              </w:rPr>
              <w:t>公告有要求，则必须</w:t>
            </w:r>
            <w:r>
              <w:rPr>
                <w:b/>
                <w:bCs/>
                <w:color w:val="auto"/>
                <w:spacing w:val="9"/>
                <w:highlight w:val="none"/>
              </w:rPr>
              <w:t>提供，否</w:t>
            </w:r>
            <w:r>
              <w:rPr>
                <w:b/>
                <w:bCs/>
                <w:color w:val="auto"/>
                <w:spacing w:val="6"/>
                <w:highlight w:val="none"/>
              </w:rPr>
              <w:t>则响应文件按无效响应处理</w:t>
            </w:r>
            <w:r>
              <w:rPr>
                <w:rFonts w:hint="eastAsia"/>
                <w:b/>
                <w:bCs/>
                <w:color w:val="auto"/>
                <w:highlight w:val="none"/>
              </w:rPr>
              <w:t>）</w:t>
            </w:r>
          </w:p>
          <w:p w14:paraId="4D0B96BD">
            <w:pPr>
              <w:spacing w:line="312" w:lineRule="auto"/>
              <w:rPr>
                <w:color w:val="auto"/>
                <w:highlight w:val="none"/>
              </w:rPr>
            </w:pPr>
            <w:r>
              <w:rPr>
                <w:rFonts w:hint="eastAsia"/>
                <w:color w:val="auto"/>
                <w:highlight w:val="none"/>
              </w:rPr>
              <w:t>7.</w:t>
            </w:r>
            <w:r>
              <w:rPr>
                <w:color w:val="auto"/>
                <w:spacing w:val="10"/>
                <w:highlight w:val="none"/>
              </w:rPr>
              <w:t>落实政府采购政策需满足的资格要求</w:t>
            </w:r>
            <w:r>
              <w:rPr>
                <w:rFonts w:hint="eastAsia"/>
                <w:color w:val="auto"/>
                <w:spacing w:val="10"/>
                <w:highlight w:val="none"/>
              </w:rPr>
              <w:t>；</w:t>
            </w:r>
            <w:r>
              <w:rPr>
                <w:rFonts w:hint="eastAsia"/>
                <w:b/>
                <w:bCs/>
                <w:color w:val="auto"/>
                <w:highlight w:val="none"/>
              </w:rPr>
              <w:t>（</w:t>
            </w:r>
            <w:r>
              <w:rPr>
                <w:b/>
                <w:bCs/>
                <w:color w:val="auto"/>
                <w:spacing w:val="10"/>
                <w:highlight w:val="none"/>
              </w:rPr>
              <w:t>如</w:t>
            </w:r>
            <w:r>
              <w:rPr>
                <w:rFonts w:hint="eastAsia"/>
                <w:b/>
                <w:bCs/>
                <w:color w:val="auto"/>
                <w:spacing w:val="10"/>
                <w:highlight w:val="none"/>
              </w:rPr>
              <w:t>磋商</w:t>
            </w:r>
            <w:r>
              <w:rPr>
                <w:b/>
                <w:bCs/>
                <w:color w:val="auto"/>
                <w:spacing w:val="10"/>
                <w:highlight w:val="none"/>
              </w:rPr>
              <w:t>公告有要求，则必须</w:t>
            </w:r>
            <w:r>
              <w:rPr>
                <w:b/>
                <w:bCs/>
                <w:color w:val="auto"/>
                <w:spacing w:val="9"/>
                <w:highlight w:val="none"/>
              </w:rPr>
              <w:t>提供，否</w:t>
            </w:r>
            <w:r>
              <w:rPr>
                <w:b/>
                <w:bCs/>
                <w:color w:val="auto"/>
                <w:spacing w:val="6"/>
                <w:highlight w:val="none"/>
              </w:rPr>
              <w:t>则响应文件按无效响应处理</w:t>
            </w:r>
            <w:r>
              <w:rPr>
                <w:rFonts w:hint="eastAsia"/>
                <w:b/>
                <w:bCs/>
                <w:color w:val="auto"/>
                <w:highlight w:val="none"/>
              </w:rPr>
              <w:t>）</w:t>
            </w:r>
          </w:p>
          <w:p w14:paraId="50A2A900">
            <w:pPr>
              <w:spacing w:line="312" w:lineRule="auto"/>
              <w:rPr>
                <w:color w:val="auto"/>
                <w:highlight w:val="none"/>
              </w:rPr>
            </w:pPr>
            <w:r>
              <w:rPr>
                <w:rFonts w:hint="eastAsia"/>
                <w:color w:val="auto"/>
                <w:highlight w:val="none"/>
              </w:rPr>
              <w:t>8.竞标声明（格式后附）；</w:t>
            </w:r>
            <w:r>
              <w:rPr>
                <w:rFonts w:hint="eastAsia"/>
                <w:b/>
                <w:bCs/>
                <w:color w:val="auto"/>
                <w:highlight w:val="none"/>
              </w:rPr>
              <w:t>（必须提供，否则响应文件按无效响应处理）</w:t>
            </w:r>
          </w:p>
          <w:p w14:paraId="0B3A44C3">
            <w:pPr>
              <w:spacing w:line="312" w:lineRule="auto"/>
              <w:rPr>
                <w:color w:val="auto"/>
                <w:highlight w:val="none"/>
              </w:rPr>
            </w:pPr>
            <w:r>
              <w:rPr>
                <w:rFonts w:hint="eastAsia"/>
                <w:color w:val="auto"/>
                <w:highlight w:val="none"/>
              </w:rPr>
              <w:t>9.</w:t>
            </w:r>
            <w:r>
              <w:rPr>
                <w:color w:val="auto"/>
                <w:spacing w:val="10"/>
                <w:highlight w:val="none"/>
              </w:rPr>
              <w:t>联合体竞标协议书（格式后附</w:t>
            </w:r>
            <w:r>
              <w:rPr>
                <w:color w:val="auto"/>
                <w:spacing w:val="-1"/>
                <w:highlight w:val="none"/>
              </w:rPr>
              <w:t>）</w:t>
            </w:r>
            <w:r>
              <w:rPr>
                <w:rFonts w:hint="eastAsia"/>
                <w:color w:val="auto"/>
                <w:spacing w:val="-1"/>
                <w:highlight w:val="none"/>
              </w:rPr>
              <w:t>；</w:t>
            </w:r>
            <w:r>
              <w:rPr>
                <w:color w:val="auto"/>
                <w:spacing w:val="-1"/>
                <w:highlight w:val="none"/>
              </w:rPr>
              <w:t>（</w:t>
            </w:r>
            <w:r>
              <w:rPr>
                <w:b/>
                <w:bCs/>
                <w:color w:val="auto"/>
                <w:spacing w:val="10"/>
                <w:highlight w:val="none"/>
              </w:rPr>
              <w:t>联合体竞标时</w:t>
            </w:r>
            <w:r>
              <w:rPr>
                <w:b/>
                <w:bCs/>
                <w:color w:val="auto"/>
                <w:spacing w:val="9"/>
                <w:highlight w:val="none"/>
              </w:rPr>
              <w:t>必须提供，否则</w:t>
            </w:r>
            <w:r>
              <w:rPr>
                <w:b/>
                <w:bCs/>
                <w:color w:val="auto"/>
                <w:spacing w:val="6"/>
                <w:highlight w:val="none"/>
              </w:rPr>
              <w:t>响应文件按无效响应处理</w:t>
            </w:r>
            <w:r>
              <w:rPr>
                <w:color w:val="auto"/>
                <w:spacing w:val="6"/>
                <w:highlight w:val="none"/>
              </w:rPr>
              <w:t>）</w:t>
            </w:r>
          </w:p>
          <w:p w14:paraId="556CA58F">
            <w:pPr>
              <w:spacing w:line="312" w:lineRule="auto"/>
              <w:rPr>
                <w:color w:val="auto"/>
                <w:highlight w:val="none"/>
              </w:rPr>
            </w:pPr>
            <w:r>
              <w:rPr>
                <w:rFonts w:hint="eastAsia"/>
                <w:color w:val="auto"/>
                <w:highlight w:val="none"/>
              </w:rPr>
              <w:t>10.除磋商文件规定必须提供以外，供应商认为需要提供的其他证明材料。</w:t>
            </w:r>
          </w:p>
          <w:p w14:paraId="44184C0B">
            <w:pPr>
              <w:snapToGrid w:val="0"/>
              <w:spacing w:line="360" w:lineRule="exact"/>
              <w:jc w:val="left"/>
              <w:rPr>
                <w:rFonts w:ascii="宋体" w:hAnsi="宋体" w:cs="宋体"/>
                <w:b/>
                <w:color w:val="auto"/>
                <w:szCs w:val="21"/>
                <w:highlight w:val="none"/>
              </w:rPr>
            </w:pPr>
            <w:r>
              <w:rPr>
                <w:rFonts w:hint="eastAsia" w:ascii="宋体" w:hAnsi="宋体" w:cs="宋体"/>
                <w:b/>
                <w:bCs/>
                <w:color w:val="auto"/>
                <w:szCs w:val="21"/>
                <w:highlight w:val="none"/>
              </w:rPr>
              <w:t>注：（1）以上标明“必须提供”的材料属于复印件的</w:t>
            </w:r>
            <w:r>
              <w:rPr>
                <w:rFonts w:hint="eastAsia" w:ascii="宋体" w:hAnsi="宋体" w:cs="宋体"/>
                <w:b/>
                <w:color w:val="auto"/>
                <w:szCs w:val="21"/>
                <w:highlight w:val="none"/>
              </w:rPr>
              <w:t>，必须加盖供应商</w:t>
            </w:r>
            <w:r>
              <w:rPr>
                <w:rFonts w:hint="eastAsia" w:ascii="宋体" w:hAnsi="宋体" w:cs="宋体"/>
                <w:b/>
                <w:color w:val="auto"/>
                <w:highlight w:val="none"/>
              </w:rPr>
              <w:t>电子签章</w:t>
            </w:r>
            <w:r>
              <w:rPr>
                <w:rFonts w:hint="eastAsia" w:ascii="宋体" w:hAnsi="宋体" w:cs="宋体"/>
                <w:b/>
                <w:color w:val="auto"/>
                <w:szCs w:val="21"/>
                <w:highlight w:val="none"/>
              </w:rPr>
              <w:t>，否则响应文件按无效响应处理。</w:t>
            </w:r>
          </w:p>
          <w:p w14:paraId="732A2DD1">
            <w:pPr>
              <w:snapToGrid w:val="0"/>
              <w:spacing w:line="36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（2）联合体竞标时，第1-6项资格证明文件联合体各方均必须分别提供，</w:t>
            </w:r>
            <w:r>
              <w:rPr>
                <w:rFonts w:hint="eastAsia" w:ascii="宋体" w:hAnsi="宋体" w:cs="宋体"/>
                <w:b/>
                <w:color w:val="auto"/>
                <w:highlight w:val="none"/>
              </w:rPr>
              <w:t>并由</w:t>
            </w:r>
            <w:r>
              <w:rPr>
                <w:rFonts w:hint="eastAsia" w:ascii="宋体" w:hAnsi="宋体" w:cs="宋体"/>
                <w:b/>
                <w:color w:val="auto"/>
                <w:szCs w:val="21"/>
                <w:highlight w:val="none"/>
              </w:rPr>
              <w:t>联合体</w:t>
            </w:r>
            <w:r>
              <w:rPr>
                <w:rFonts w:hint="eastAsia" w:ascii="宋体" w:hAnsi="宋体" w:cs="宋体"/>
                <w:b/>
                <w:color w:val="auto"/>
                <w:highlight w:val="none"/>
              </w:rPr>
              <w:t>牵头人加盖电子签章</w:t>
            </w:r>
            <w:r>
              <w:rPr>
                <w:rFonts w:hint="eastAsia" w:ascii="宋体" w:hAnsi="宋体" w:cs="宋体"/>
                <w:b/>
                <w:color w:val="auto"/>
                <w:szCs w:val="21"/>
                <w:highlight w:val="none"/>
              </w:rPr>
              <w:t>，</w:t>
            </w:r>
            <w:r>
              <w:rPr>
                <w:rFonts w:hint="eastAsia" w:ascii="宋体" w:hAnsi="宋体" w:cs="宋体"/>
                <w:b/>
                <w:color w:val="auto"/>
                <w:highlight w:val="none"/>
              </w:rPr>
              <w:t>规定签字</w:t>
            </w:r>
            <w:r>
              <w:rPr>
                <w:rFonts w:hint="eastAsia" w:ascii="宋体" w:hAnsi="宋体" w:cs="宋体"/>
                <w:b/>
                <w:color w:val="auto"/>
                <w:szCs w:val="21"/>
                <w:highlight w:val="none"/>
              </w:rPr>
              <w:t>处签字</w:t>
            </w:r>
            <w:r>
              <w:rPr>
                <w:rFonts w:hint="eastAsia" w:ascii="宋体" w:hAnsi="宋体" w:cs="宋体"/>
                <w:b/>
                <w:bCs/>
                <w:color w:val="auto"/>
                <w:szCs w:val="21"/>
                <w:highlight w:val="none"/>
              </w:rPr>
              <w:t>（或者电子签名）</w:t>
            </w:r>
            <w:r>
              <w:rPr>
                <w:rFonts w:hint="eastAsia" w:ascii="宋体" w:hAnsi="宋体" w:cs="宋体"/>
                <w:b/>
                <w:color w:val="auto"/>
                <w:szCs w:val="21"/>
                <w:highlight w:val="none"/>
              </w:rPr>
              <w:t>，否则响应文件按无效处理。</w:t>
            </w:r>
          </w:p>
        </w:tc>
      </w:tr>
      <w:tr w14:paraId="47A9C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992" w:type="dxa"/>
            <w:tcBorders>
              <w:left w:val="single" w:color="000000" w:sz="12" w:space="0"/>
            </w:tcBorders>
            <w:vAlign w:val="center"/>
          </w:tcPr>
          <w:p w14:paraId="2D1EABC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8149" w:type="dxa"/>
            <w:tcBorders>
              <w:right w:val="single" w:color="000000" w:sz="12" w:space="0"/>
            </w:tcBorders>
            <w:vAlign w:val="center"/>
          </w:tcPr>
          <w:p w14:paraId="0CB1E730">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报价文件</w:t>
            </w:r>
          </w:p>
          <w:p w14:paraId="1FFEDEC0">
            <w:pPr>
              <w:spacing w:line="360" w:lineRule="exact"/>
              <w:rPr>
                <w:rFonts w:ascii="宋体" w:hAnsi="宋体" w:cs="宋体"/>
                <w:color w:val="auto"/>
                <w:szCs w:val="21"/>
                <w:highlight w:val="none"/>
              </w:rPr>
            </w:pPr>
            <w:r>
              <w:rPr>
                <w:rFonts w:hint="eastAsia" w:ascii="宋体" w:hAnsi="宋体" w:cs="宋体"/>
                <w:color w:val="auto"/>
                <w:szCs w:val="21"/>
                <w:highlight w:val="none"/>
              </w:rPr>
              <w:t>1.竞标报价表（格式后附）；（必须提供，否则响应文件按无效处理）</w:t>
            </w:r>
          </w:p>
          <w:p w14:paraId="0FB43C14">
            <w:pPr>
              <w:spacing w:line="360" w:lineRule="exact"/>
              <w:rPr>
                <w:rFonts w:ascii="宋体" w:hAnsi="宋体" w:cs="宋体"/>
                <w:color w:val="auto"/>
                <w:szCs w:val="21"/>
                <w:highlight w:val="none"/>
              </w:rPr>
            </w:pPr>
            <w:r>
              <w:rPr>
                <w:rFonts w:hint="eastAsia" w:ascii="宋体" w:hAnsi="宋体" w:cs="宋体"/>
                <w:color w:val="auto"/>
                <w:szCs w:val="21"/>
                <w:highlight w:val="none"/>
              </w:rPr>
              <w:t>2.中小企业声明函或残疾人福利性单位声明函或监狱企业证明材料复印件（格式后附）；</w:t>
            </w:r>
            <w:r>
              <w:rPr>
                <w:b/>
                <w:bCs/>
                <w:color w:val="auto"/>
                <w:spacing w:val="-12"/>
                <w:highlight w:val="none"/>
              </w:rPr>
              <w:t>（</w:t>
            </w:r>
            <w:r>
              <w:rPr>
                <w:b/>
                <w:bCs/>
                <w:color w:val="auto"/>
                <w:spacing w:val="9"/>
                <w:highlight w:val="none"/>
              </w:rPr>
              <w:t>如有</w:t>
            </w:r>
            <w:r>
              <w:rPr>
                <w:rFonts w:hint="eastAsia"/>
                <w:b/>
                <w:bCs/>
                <w:color w:val="auto"/>
                <w:spacing w:val="9"/>
                <w:highlight w:val="none"/>
              </w:rPr>
              <w:t>，</w:t>
            </w:r>
            <w:r>
              <w:rPr>
                <w:b/>
                <w:bCs/>
                <w:color w:val="auto"/>
                <w:spacing w:val="9"/>
                <w:highlight w:val="none"/>
              </w:rPr>
              <w:t>请提供）</w:t>
            </w:r>
          </w:p>
          <w:p w14:paraId="107173F4">
            <w:pPr>
              <w:spacing w:line="360" w:lineRule="exact"/>
              <w:rPr>
                <w:rFonts w:ascii="宋体" w:hAnsi="宋体" w:cs="宋体"/>
                <w:color w:val="auto"/>
                <w:szCs w:val="21"/>
                <w:highlight w:val="none"/>
              </w:rPr>
            </w:pPr>
            <w:r>
              <w:rPr>
                <w:rFonts w:hint="eastAsia" w:ascii="宋体" w:hAnsi="宋体" w:cs="宋体"/>
                <w:color w:val="auto"/>
                <w:szCs w:val="21"/>
                <w:highlight w:val="none"/>
              </w:rPr>
              <w:t>3.供应商认为需要提供的其他证明资料。</w:t>
            </w:r>
          </w:p>
          <w:p w14:paraId="6B7A2351">
            <w:pPr>
              <w:snapToGrid w:val="0"/>
              <w:spacing w:line="360" w:lineRule="exact"/>
              <w:jc w:val="left"/>
              <w:rPr>
                <w:rFonts w:ascii="宋体" w:hAnsi="宋体" w:cs="宋体"/>
                <w:b/>
                <w:color w:val="auto"/>
                <w:szCs w:val="21"/>
                <w:highlight w:val="none"/>
              </w:rPr>
            </w:pPr>
            <w:r>
              <w:rPr>
                <w:rFonts w:hint="eastAsia" w:ascii="宋体" w:hAnsi="宋体" w:cs="宋体"/>
                <w:b/>
                <w:bCs/>
                <w:color w:val="auto"/>
                <w:szCs w:val="21"/>
                <w:highlight w:val="none"/>
              </w:rPr>
              <w:t>注：以上标明“必须提供”的材料属于复印件的，必须加盖供应商电子签章，否则响应文件按无效响应处理。</w:t>
            </w:r>
          </w:p>
        </w:tc>
      </w:tr>
      <w:tr w14:paraId="2E1DE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left w:val="single" w:color="000000" w:sz="12" w:space="0"/>
            </w:tcBorders>
            <w:vAlign w:val="center"/>
          </w:tcPr>
          <w:p w14:paraId="5716083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12.1.3</w:t>
            </w:r>
          </w:p>
        </w:tc>
        <w:tc>
          <w:tcPr>
            <w:tcW w:w="8149" w:type="dxa"/>
            <w:tcBorders>
              <w:right w:val="single" w:color="000000" w:sz="12" w:space="0"/>
            </w:tcBorders>
            <w:vAlign w:val="center"/>
          </w:tcPr>
          <w:p w14:paraId="0344F48E">
            <w:pPr>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商务技术文件</w:t>
            </w:r>
          </w:p>
          <w:p w14:paraId="07669A45">
            <w:pPr>
              <w:spacing w:line="360" w:lineRule="exact"/>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63902C4">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42BDE6D">
            <w:pPr>
              <w:spacing w:line="360" w:lineRule="exact"/>
              <w:rPr>
                <w:rFonts w:ascii="宋体" w:hAnsi="宋体" w:cs="宋体"/>
                <w:b/>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3200E640">
            <w:pPr>
              <w:spacing w:line="360" w:lineRule="exact"/>
              <w:rPr>
                <w:rFonts w:ascii="宋体" w:hAnsi="宋体" w:cs="宋体"/>
                <w:color w:val="auto"/>
                <w:szCs w:val="21"/>
                <w:highlight w:val="none"/>
              </w:rPr>
            </w:pPr>
            <w:r>
              <w:rPr>
                <w:rFonts w:hint="eastAsia" w:ascii="宋体" w:hAnsi="宋体" w:cs="宋体"/>
                <w:color w:val="auto"/>
                <w:szCs w:val="21"/>
                <w:highlight w:val="none"/>
              </w:rPr>
              <w:t>4.磋商保证金提交凭证；（</w:t>
            </w:r>
            <w:r>
              <w:rPr>
                <w:rFonts w:hint="eastAsia" w:ascii="宋体" w:hAnsi="宋体" w:cs="宋体"/>
                <w:b/>
                <w:bCs/>
                <w:color w:val="auto"/>
                <w:highlight w:val="none"/>
              </w:rPr>
              <w:t>如要求提交磋商保证金的则必须提供</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678DF259">
            <w:pPr>
              <w:spacing w:line="360" w:lineRule="exact"/>
              <w:rPr>
                <w:rFonts w:ascii="宋体" w:hAnsi="宋体" w:cs="宋体"/>
                <w:color w:val="auto"/>
                <w:szCs w:val="21"/>
                <w:highlight w:val="none"/>
              </w:rPr>
            </w:pPr>
            <w:r>
              <w:rPr>
                <w:rFonts w:hint="eastAsia" w:ascii="宋体" w:hAnsi="宋体" w:cs="宋体"/>
                <w:color w:val="auto"/>
                <w:szCs w:val="21"/>
                <w:highlight w:val="none"/>
              </w:rPr>
              <w:t>5.商务要求偏离表（格式后附）；（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B973D03">
            <w:pPr>
              <w:spacing w:line="360" w:lineRule="exact"/>
              <w:rPr>
                <w:rFonts w:ascii="宋体" w:hAnsi="宋体" w:cs="宋体"/>
                <w:color w:val="auto"/>
                <w:szCs w:val="21"/>
                <w:highlight w:val="none"/>
              </w:rPr>
            </w:pPr>
            <w:r>
              <w:rPr>
                <w:rFonts w:hint="eastAsia" w:ascii="宋体" w:hAnsi="宋体" w:cs="宋体"/>
                <w:color w:val="auto"/>
                <w:szCs w:val="21"/>
                <w:highlight w:val="none"/>
              </w:rPr>
              <w:t>6.技术方案</w:t>
            </w:r>
            <w:r>
              <w:rPr>
                <w:color w:val="auto"/>
                <w:spacing w:val="9"/>
                <w:highlight w:val="none"/>
              </w:rPr>
              <w:t>（根据“第三章 采购需求</w:t>
            </w:r>
            <w:r>
              <w:rPr>
                <w:color w:val="auto"/>
                <w:spacing w:val="-71"/>
                <w:highlight w:val="none"/>
              </w:rPr>
              <w:t xml:space="preserve"> </w:t>
            </w:r>
            <w:r>
              <w:rPr>
                <w:color w:val="auto"/>
                <w:spacing w:val="9"/>
                <w:highlight w:val="none"/>
              </w:rPr>
              <w:t>”及“第四章 评审标准</w:t>
            </w:r>
            <w:r>
              <w:rPr>
                <w:color w:val="auto"/>
                <w:spacing w:val="-70"/>
                <w:highlight w:val="none"/>
              </w:rPr>
              <w:t xml:space="preserve"> </w:t>
            </w:r>
            <w:r>
              <w:rPr>
                <w:color w:val="auto"/>
                <w:spacing w:val="9"/>
                <w:highlight w:val="none"/>
              </w:rPr>
              <w:t>”要求提</w:t>
            </w:r>
            <w:r>
              <w:rPr>
                <w:color w:val="auto"/>
                <w:spacing w:val="8"/>
                <w:highlight w:val="none"/>
              </w:rPr>
              <w:t>供</w:t>
            </w:r>
            <w:r>
              <w:rPr>
                <w:color w:val="auto"/>
                <w:spacing w:val="-14"/>
                <w:highlight w:val="none"/>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40C7F86">
            <w:pPr>
              <w:spacing w:line="360" w:lineRule="exact"/>
              <w:rPr>
                <w:rFonts w:ascii="宋体" w:hAnsi="宋体" w:cs="宋体"/>
                <w:color w:val="auto"/>
                <w:szCs w:val="21"/>
                <w:highlight w:val="none"/>
              </w:rPr>
            </w:pPr>
            <w:r>
              <w:rPr>
                <w:rFonts w:hint="eastAsia" w:ascii="宋体" w:hAnsi="宋体" w:cs="宋体"/>
                <w:color w:val="auto"/>
                <w:szCs w:val="21"/>
                <w:highlight w:val="none"/>
              </w:rPr>
              <w:t>7.技术要求偏离表（格式后附）；（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E84EC94">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8.项目实施人员一览表（格式自拟）； </w:t>
            </w:r>
          </w:p>
          <w:p w14:paraId="7C74CCBE">
            <w:pPr>
              <w:spacing w:line="360" w:lineRule="exact"/>
              <w:rPr>
                <w:rFonts w:ascii="宋体" w:hAnsi="宋体" w:cs="宋体"/>
                <w:color w:val="auto"/>
                <w:szCs w:val="21"/>
                <w:highlight w:val="none"/>
              </w:rPr>
            </w:pPr>
            <w:r>
              <w:rPr>
                <w:rFonts w:hint="eastAsia" w:ascii="宋体" w:hAnsi="宋体" w:cs="宋体"/>
                <w:color w:val="auto"/>
                <w:szCs w:val="21"/>
                <w:highlight w:val="none"/>
              </w:rPr>
              <w:t>9.对应采购需求的技术要求、商务要求提供的其他文件资料（格式自拟）；</w:t>
            </w:r>
          </w:p>
          <w:p w14:paraId="27DF9348">
            <w:pPr>
              <w:spacing w:line="360" w:lineRule="exact"/>
              <w:rPr>
                <w:rFonts w:ascii="宋体" w:hAnsi="宋体" w:cs="宋体"/>
                <w:color w:val="auto"/>
                <w:szCs w:val="21"/>
                <w:highlight w:val="none"/>
              </w:rPr>
            </w:pPr>
            <w:r>
              <w:rPr>
                <w:rFonts w:hint="eastAsia" w:ascii="宋体" w:hAnsi="宋体" w:cs="宋体"/>
                <w:color w:val="auto"/>
                <w:szCs w:val="21"/>
                <w:highlight w:val="none"/>
              </w:rPr>
              <w:t>10.供应商认为需要提供的其他有关资料。</w:t>
            </w:r>
          </w:p>
          <w:p w14:paraId="4721E72E">
            <w:pPr>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注：（1）以上标明“必须提供”的材料属于复印件的，必须加盖供应商公章，否则响应文件按无效响应处理。</w:t>
            </w:r>
          </w:p>
          <w:p w14:paraId="7AAEA820">
            <w:pPr>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2）电子响应文件中所需加盖公章部分均建议采用CA签章。若响应文件中有专门标注的某关联点，并要求供应商在电子投标系统中作出竞标响应的，如供应商未对关联点进行响应或者在响应文件其他内容进行描述，造成电子评审不能查询的责任由供应商自行承担。</w:t>
            </w:r>
          </w:p>
          <w:p w14:paraId="1974BA5B">
            <w:pPr>
              <w:spacing w:line="360" w:lineRule="exact"/>
              <w:rPr>
                <w:rFonts w:ascii="宋体" w:hAnsi="宋体" w:cs="宋体"/>
                <w:color w:val="auto"/>
                <w:szCs w:val="21"/>
                <w:highlight w:val="none"/>
              </w:rPr>
            </w:pPr>
            <w:r>
              <w:rPr>
                <w:rFonts w:hint="eastAsia" w:ascii="宋体" w:hAnsi="宋体" w:cs="宋体"/>
                <w:b/>
                <w:bCs/>
                <w:color w:val="auto"/>
                <w:szCs w:val="21"/>
                <w:highlight w:val="none"/>
              </w:rPr>
              <w:t>（3）以上材料未附格式的，由供应商自行拟定。</w:t>
            </w:r>
          </w:p>
        </w:tc>
      </w:tr>
      <w:tr w14:paraId="66FBB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left w:val="single" w:color="000000" w:sz="12" w:space="0"/>
            </w:tcBorders>
            <w:vAlign w:val="center"/>
          </w:tcPr>
          <w:p w14:paraId="4C9C9F5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12.2</w:t>
            </w:r>
          </w:p>
        </w:tc>
        <w:tc>
          <w:tcPr>
            <w:tcW w:w="8149" w:type="dxa"/>
            <w:tcBorders>
              <w:right w:val="single" w:color="000000" w:sz="12" w:space="0"/>
            </w:tcBorders>
            <w:vAlign w:val="center"/>
          </w:tcPr>
          <w:p w14:paraId="2F9AE3B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1.响应文件电子版要求：按照采购文件“第五章 响应文件格式”编写（第五章未附格式的，由供应商自行拟定），不可涂改并在规定加盖公章处加盖电子公章，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641DD185">
            <w:pPr>
              <w:spacing w:line="360" w:lineRule="exact"/>
              <w:contextualSpacing/>
              <w:jc w:val="left"/>
              <w:rPr>
                <w:rFonts w:ascii="宋体" w:hAnsi="宋体" w:cs="宋体"/>
                <w:color w:val="auto"/>
                <w:szCs w:val="21"/>
                <w:highlight w:val="none"/>
              </w:rPr>
            </w:pPr>
            <w:r>
              <w:rPr>
                <w:rFonts w:hint="eastAsia" w:ascii="宋体" w:hAnsi="宋体" w:cs="宋体"/>
                <w:color w:val="auto"/>
                <w:szCs w:val="21"/>
                <w:highlight w:val="none"/>
              </w:rPr>
              <w:t>2.响应文件电子版密封方式：电子响应文件通过平台有效CA加密后在广西政府采购云平台投送。</w:t>
            </w:r>
          </w:p>
        </w:tc>
      </w:tr>
      <w:tr w14:paraId="43A15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jc w:val="center"/>
        </w:trPr>
        <w:tc>
          <w:tcPr>
            <w:tcW w:w="992" w:type="dxa"/>
            <w:tcBorders>
              <w:left w:val="single" w:color="000000" w:sz="12" w:space="0"/>
            </w:tcBorders>
            <w:vAlign w:val="center"/>
          </w:tcPr>
          <w:p w14:paraId="6253065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15.2</w:t>
            </w:r>
          </w:p>
        </w:tc>
        <w:tc>
          <w:tcPr>
            <w:tcW w:w="8149" w:type="dxa"/>
            <w:tcBorders>
              <w:right w:val="single" w:color="000000" w:sz="12" w:space="0"/>
            </w:tcBorders>
            <w:vAlign w:val="center"/>
          </w:tcPr>
          <w:p w14:paraId="26271019">
            <w:pPr>
              <w:spacing w:line="360" w:lineRule="exact"/>
              <w:contextualSpacing/>
              <w:jc w:val="left"/>
              <w:rPr>
                <w:rFonts w:ascii="宋体" w:hAnsi="宋体" w:cs="宋体"/>
                <w:color w:val="auto"/>
                <w:szCs w:val="21"/>
                <w:highlight w:val="none"/>
              </w:rPr>
            </w:pPr>
            <w:r>
              <w:rPr>
                <w:rFonts w:hint="eastAsia" w:ascii="宋体" w:hAnsi="宋体" w:cs="宋体"/>
                <w:color w:val="auto"/>
                <w:szCs w:val="21"/>
                <w:highlight w:val="none"/>
              </w:rPr>
              <w:t>竞标报价是履行合同的最终价格，即满足全部采购需求所应提供的服务的价格；包括竞标服务的成本、运输（含保险）（如有）、技术服务、培训、验收、税费等所有费用。</w:t>
            </w:r>
            <w:r>
              <w:rPr>
                <w:rFonts w:hint="eastAsia" w:ascii="宋体" w:hAnsi="宋体" w:cs="宋体"/>
                <w:b/>
                <w:bCs/>
                <w:color w:val="auto"/>
                <w:szCs w:val="21"/>
                <w:highlight w:val="none"/>
              </w:rPr>
              <w:t>（采购需求另有约定的，从其约定。）</w:t>
            </w:r>
          </w:p>
        </w:tc>
      </w:tr>
      <w:tr w14:paraId="1E2F4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left w:val="single" w:color="000000" w:sz="12" w:space="0"/>
            </w:tcBorders>
            <w:vAlign w:val="center"/>
          </w:tcPr>
          <w:p w14:paraId="1F7CF75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16.2</w:t>
            </w:r>
          </w:p>
        </w:tc>
        <w:tc>
          <w:tcPr>
            <w:tcW w:w="8149" w:type="dxa"/>
            <w:tcBorders>
              <w:right w:val="single" w:color="000000" w:sz="12" w:space="0"/>
            </w:tcBorders>
            <w:vAlign w:val="center"/>
          </w:tcPr>
          <w:p w14:paraId="1829FF2E">
            <w:pPr>
              <w:pStyle w:val="11"/>
              <w:widowControl w:val="0"/>
              <w:tabs>
                <w:tab w:val="clear" w:pos="454"/>
              </w:tabs>
              <w:snapToGrid w:val="0"/>
              <w:spacing w:afterLines="0" w:line="360" w:lineRule="exact"/>
              <w:ind w:left="283" w:hanging="283" w:hangingChars="135"/>
              <w:rPr>
                <w:rFonts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rPr>
              <w:t>60</w:t>
            </w:r>
            <w:r>
              <w:rPr>
                <w:rFonts w:hint="eastAsia" w:ascii="宋体" w:hAnsi="宋体" w:cs="宋体"/>
                <w:color w:val="auto"/>
                <w:kern w:val="2"/>
                <w:sz w:val="21"/>
                <w:szCs w:val="21"/>
                <w:highlight w:val="none"/>
              </w:rPr>
              <w:t>日。</w:t>
            </w:r>
          </w:p>
        </w:tc>
      </w:tr>
      <w:tr w14:paraId="756A4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left w:val="single" w:color="000000" w:sz="12" w:space="0"/>
            </w:tcBorders>
            <w:vAlign w:val="center"/>
          </w:tcPr>
          <w:p w14:paraId="16A21F3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17.1</w:t>
            </w:r>
          </w:p>
        </w:tc>
        <w:tc>
          <w:tcPr>
            <w:tcW w:w="8149" w:type="dxa"/>
            <w:tcBorders>
              <w:right w:val="single" w:color="000000" w:sz="12" w:space="0"/>
            </w:tcBorders>
            <w:vAlign w:val="center"/>
          </w:tcPr>
          <w:p w14:paraId="6494D999">
            <w:pPr>
              <w:spacing w:line="360" w:lineRule="exact"/>
              <w:rPr>
                <w:rFonts w:ascii="Arial" w:hAnsi="Arial" w:cs="Arial"/>
                <w:bCs/>
                <w:color w:val="auto"/>
                <w:szCs w:val="21"/>
                <w:highlight w:val="none"/>
              </w:rPr>
            </w:pPr>
            <w:r>
              <w:rPr>
                <w:rFonts w:ascii="Arial" w:hAnsi="Arial" w:cs="Arial"/>
                <w:bCs/>
                <w:color w:val="auto"/>
                <w:szCs w:val="21"/>
                <w:highlight w:val="none"/>
              </w:rPr>
              <w:t>☑本项目收取磋商保证金，具体规定如下：</w:t>
            </w:r>
          </w:p>
          <w:p w14:paraId="3D6CA124">
            <w:pPr>
              <w:spacing w:line="400" w:lineRule="exact"/>
              <w:rPr>
                <w:rFonts w:ascii="Arial" w:hAnsi="Arial" w:cs="Arial"/>
                <w:color w:val="auto"/>
                <w:kern w:val="0"/>
                <w:szCs w:val="21"/>
                <w:highlight w:val="none"/>
              </w:rPr>
            </w:pPr>
            <w:r>
              <w:rPr>
                <w:rFonts w:ascii="Arial" w:hAnsi="Arial" w:cs="Arial"/>
                <w:b/>
                <w:bCs/>
                <w:color w:val="auto"/>
                <w:kern w:val="0"/>
                <w:szCs w:val="21"/>
                <w:highlight w:val="none"/>
              </w:rPr>
              <w:t>磋商保证金</w:t>
            </w:r>
            <w:r>
              <w:rPr>
                <w:rFonts w:hint="eastAsia" w:ascii="Arial" w:hAnsi="Arial" w:cs="Arial"/>
                <w:b/>
                <w:bCs/>
                <w:color w:val="auto"/>
                <w:kern w:val="0"/>
                <w:szCs w:val="21"/>
                <w:highlight w:val="none"/>
              </w:rPr>
              <w:t>（</w:t>
            </w:r>
            <w:r>
              <w:rPr>
                <w:rFonts w:ascii="Arial" w:hAnsi="Arial" w:cs="Arial"/>
                <w:b/>
                <w:bCs/>
                <w:color w:val="auto"/>
                <w:kern w:val="0"/>
                <w:szCs w:val="21"/>
                <w:highlight w:val="none"/>
              </w:rPr>
              <w:t>人民币</w:t>
            </w:r>
            <w:r>
              <w:rPr>
                <w:rFonts w:hint="eastAsia" w:ascii="Arial" w:hAnsi="Arial" w:cs="Arial"/>
                <w:b/>
                <w:bCs/>
                <w:color w:val="auto"/>
                <w:kern w:val="0"/>
                <w:szCs w:val="21"/>
                <w:highlight w:val="none"/>
              </w:rPr>
              <w:t>）：</w:t>
            </w:r>
            <w:r>
              <w:rPr>
                <w:rFonts w:hint="eastAsia" w:ascii="Arial" w:hAnsi="Arial" w:cs="Arial"/>
                <w:color w:val="auto"/>
                <w:kern w:val="0"/>
                <w:szCs w:val="21"/>
                <w:highlight w:val="none"/>
              </w:rPr>
              <w:t>分标1：9000元；分标2：6000元。</w:t>
            </w:r>
          </w:p>
          <w:p w14:paraId="0B6EC4C3">
            <w:pPr>
              <w:snapToGrid w:val="0"/>
              <w:spacing w:line="360" w:lineRule="exact"/>
              <w:rPr>
                <w:rFonts w:ascii="宋体" w:hAnsi="宋体" w:cs="宋体"/>
                <w:color w:val="auto"/>
                <w:kern w:val="0"/>
                <w:szCs w:val="21"/>
                <w:highlight w:val="none"/>
              </w:rPr>
            </w:pPr>
            <w:r>
              <w:rPr>
                <w:rFonts w:ascii="Arial" w:hAnsi="Arial" w:cs="Arial"/>
                <w:color w:val="auto"/>
                <w:kern w:val="0"/>
                <w:szCs w:val="21"/>
                <w:highlight w:val="none"/>
              </w:rPr>
              <w:t>磋商保证金的交纳方式：银行转账、支票、汇票、本票或者银行、保险机构</w:t>
            </w:r>
            <w:r>
              <w:rPr>
                <w:rFonts w:hint="eastAsia" w:ascii="宋体" w:hAnsi="宋体" w:cs="宋体"/>
                <w:color w:val="auto"/>
                <w:kern w:val="0"/>
                <w:szCs w:val="21"/>
                <w:highlight w:val="none"/>
              </w:rPr>
              <w:t>出具的保函，禁止采用现钞方式。采用银行转账方式的，在响应文件提交截止时间前交至指定账户并且到账</w:t>
            </w:r>
            <w:r>
              <w:rPr>
                <w:rFonts w:hint="eastAsia" w:ascii="宋体" w:hAnsi="宋体" w:cs="宋体"/>
                <w:color w:val="auto"/>
                <w:kern w:val="0"/>
                <w:szCs w:val="21"/>
                <w:highlight w:val="none"/>
                <w:u w:val="single"/>
              </w:rPr>
              <w:t>【</w:t>
            </w:r>
            <w:r>
              <w:rPr>
                <w:rFonts w:hint="eastAsia" w:ascii="宋体" w:hAnsi="宋体" w:cs="宋体"/>
                <w:color w:val="auto"/>
                <w:szCs w:val="21"/>
                <w:highlight w:val="none"/>
                <w:u w:val="single"/>
              </w:rPr>
              <w:t>开户名称：广西金证招标代理有限公司；开户银行：中国民生银行南宁分行营业部；银行账号：1721 8612 3</w:t>
            </w:r>
            <w:r>
              <w:rPr>
                <w:rFonts w:hint="eastAsia" w:ascii="宋体" w:hAnsi="宋体" w:cs="宋体"/>
                <w:b/>
                <w:bCs/>
                <w:color w:val="auto"/>
                <w:kern w:val="0"/>
                <w:szCs w:val="21"/>
                <w:highlight w:val="none"/>
                <w:u w:val="single"/>
              </w:rPr>
              <w:t>】</w:t>
            </w:r>
            <w:r>
              <w:rPr>
                <w:rFonts w:hint="eastAsia" w:ascii="宋体" w:hAnsi="宋体" w:cs="宋体"/>
                <w:color w:val="auto"/>
                <w:kern w:val="0"/>
                <w:szCs w:val="21"/>
                <w:highlight w:val="none"/>
              </w:rPr>
              <w:t>；采用支票、汇票、本票或者保函等方式的，在响应文件提交截止时间前，供应商必须提交单独密封的支票、汇票、本票或者保函原件。否则视为无效磋商保证金。</w:t>
            </w:r>
            <w:r>
              <w:rPr>
                <w:rFonts w:hint="eastAsia" w:ascii="宋体" w:hAnsi="宋体" w:cs="宋体"/>
                <w:color w:val="auto"/>
                <w:highlight w:val="none"/>
              </w:rPr>
              <w:t>（</w:t>
            </w:r>
            <w:r>
              <w:rPr>
                <w:rFonts w:hint="eastAsia" w:ascii="宋体" w:hAnsi="宋体" w:cs="宋体"/>
                <w:color w:val="auto"/>
                <w:kern w:val="0"/>
                <w:szCs w:val="21"/>
                <w:highlight w:val="none"/>
              </w:rPr>
              <w:t>财务室电话：0771-5509139</w:t>
            </w:r>
            <w:r>
              <w:rPr>
                <w:rFonts w:hint="eastAsia" w:ascii="宋体" w:hAnsi="宋体" w:cs="宋体"/>
                <w:color w:val="auto"/>
                <w:highlight w:val="none"/>
              </w:rPr>
              <w:t>）</w:t>
            </w:r>
          </w:p>
          <w:p w14:paraId="337F28C9">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相关要求：</w:t>
            </w:r>
          </w:p>
          <w:p w14:paraId="304C667C">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1.办理磋商保证金手续时，请在银行进账单的用途或空白栏上注明项目名称(或项目编号)+分标。</w:t>
            </w:r>
          </w:p>
          <w:p w14:paraId="7E04771D">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2.磋商保证金采用银行转账交纳方式的，在响应文件提交截止时间前交至指定账户并且到账，供应商应将银行转账底单的复印件作为磋商保证金提交凭证，放置于商务技术文件中，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0C5A8C19">
            <w:pPr>
              <w:snapToGrid w:val="0"/>
              <w:spacing w:line="360" w:lineRule="exact"/>
              <w:ind w:firstLine="420" w:firstLineChars="200"/>
              <w:rPr>
                <w:rFonts w:ascii="Arial" w:hAnsi="Arial" w:cs="Arial"/>
                <w:color w:val="auto"/>
                <w:szCs w:val="21"/>
                <w:highlight w:val="none"/>
              </w:rPr>
            </w:pPr>
            <w:r>
              <w:rPr>
                <w:rFonts w:hint="eastAsia" w:ascii="宋体" w:hAnsi="宋体" w:cs="宋体"/>
                <w:color w:val="auto"/>
                <w:szCs w:val="21"/>
                <w:highlight w:val="none"/>
              </w:rPr>
              <w:t>3.磋商保证金采用支票、汇票、本票或者银行、保险机构出具的保函交纳方式的，供应商应将支票、汇票、本票或者银行、保险机构出具的保函的复印件作为磋商保证金提交凭证，放置于商务技术文件中，</w:t>
            </w:r>
            <w:r>
              <w:rPr>
                <w:rFonts w:hint="eastAsia" w:ascii="宋体" w:hAnsi="宋体" w:cs="宋体"/>
                <w:b/>
                <w:color w:val="auto"/>
                <w:szCs w:val="21"/>
                <w:highlight w:val="none"/>
              </w:rPr>
              <w:t>否则响应文件按无效处理</w:t>
            </w:r>
            <w:r>
              <w:rPr>
                <w:rFonts w:hint="eastAsia" w:ascii="宋体" w:hAnsi="宋体" w:cs="宋体"/>
                <w:color w:val="auto"/>
                <w:szCs w:val="21"/>
                <w:highlight w:val="none"/>
              </w:rPr>
              <w:t>。供应商必须</w:t>
            </w:r>
            <w:r>
              <w:rPr>
                <w:rFonts w:hint="eastAsia" w:ascii="宋体" w:hAnsi="宋体" w:cs="宋体"/>
                <w:color w:val="auto"/>
                <w:highlight w:val="none"/>
              </w:rPr>
              <w:t>在响应文件提交截止时间前采用现场或邮寄方式（现场提交或邮寄地址：</w:t>
            </w:r>
            <w:r>
              <w:rPr>
                <w:rFonts w:hint="eastAsia" w:ascii="宋体" w:hAnsi="宋体" w:cs="宋体"/>
                <w:color w:val="auto"/>
                <w:highlight w:val="none"/>
                <w:u w:val="single"/>
              </w:rPr>
              <w:t>广西南宁市青秀区东葛路118号青秀万达广场甲2栋2501室</w:t>
            </w:r>
            <w:r>
              <w:rPr>
                <w:rFonts w:hint="eastAsia" w:ascii="宋体" w:hAnsi="宋体" w:cs="宋体"/>
                <w:color w:val="auto"/>
                <w:highlight w:val="none"/>
              </w:rPr>
              <w:t>，收件人：</w:t>
            </w:r>
            <w:r>
              <w:rPr>
                <w:rFonts w:hint="eastAsia" w:ascii="宋体" w:hAnsi="宋体" w:cs="宋体"/>
                <w:color w:val="auto"/>
                <w:highlight w:val="none"/>
                <w:u w:val="single"/>
              </w:rPr>
              <w:t>雷婷婷</w:t>
            </w:r>
            <w:r>
              <w:rPr>
                <w:rFonts w:hint="eastAsia" w:ascii="宋体" w:hAnsi="宋体" w:cs="宋体"/>
                <w:color w:val="auto"/>
                <w:highlight w:val="none"/>
              </w:rPr>
              <w:t>）</w:t>
            </w:r>
            <w:r>
              <w:rPr>
                <w:rFonts w:hint="eastAsia" w:ascii="宋体" w:hAnsi="宋体" w:cs="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s="宋体"/>
                <w:color w:val="auto"/>
                <w:szCs w:val="21"/>
                <w:highlight w:val="none"/>
              </w:rPr>
              <w:t>支票、汇票、本票或者银行、</w:t>
            </w:r>
            <w:r>
              <w:rPr>
                <w:rFonts w:ascii="Arial" w:hAnsi="Arial" w:cs="Arial"/>
                <w:color w:val="auto"/>
                <w:szCs w:val="21"/>
                <w:highlight w:val="none"/>
              </w:rPr>
              <w:t>保险机构出具的保函原件提交给采购人或者采购代理机构，由采购人或者采购代理机构向供应商出具回执（邮寄方式的除外），并妥善保管。</w:t>
            </w:r>
          </w:p>
          <w:p w14:paraId="08BD589A">
            <w:pPr>
              <w:snapToGrid w:val="0"/>
              <w:spacing w:line="360" w:lineRule="exact"/>
              <w:ind w:firstLine="420" w:firstLineChars="200"/>
              <w:rPr>
                <w:rFonts w:ascii="Arial" w:hAnsi="Arial" w:cs="Arial"/>
                <w:b/>
                <w:color w:val="auto"/>
                <w:szCs w:val="21"/>
                <w:highlight w:val="none"/>
              </w:rPr>
            </w:pPr>
            <w:r>
              <w:rPr>
                <w:rFonts w:hint="eastAsia" w:ascii="Arial" w:hAnsi="Arial" w:cs="Arial"/>
                <w:color w:val="auto"/>
                <w:szCs w:val="21"/>
                <w:highlight w:val="none"/>
              </w:rPr>
              <w:t>4.</w:t>
            </w:r>
            <w:r>
              <w:rPr>
                <w:rFonts w:ascii="Arial" w:hAnsi="Arial" w:cs="Arial"/>
                <w:color w:val="auto"/>
                <w:szCs w:val="21"/>
                <w:highlight w:val="none"/>
              </w:rPr>
              <w:t>供应商为联合体的，可以由联合体中的一方或者多方共同交纳磋商保证金，其交纳的保证金对联合体各方均具有约束力。</w:t>
            </w:r>
          </w:p>
          <w:p w14:paraId="62FCC44A">
            <w:pPr>
              <w:snapToGrid w:val="0"/>
              <w:spacing w:line="360" w:lineRule="exact"/>
              <w:rPr>
                <w:rFonts w:ascii="Arial" w:hAnsi="Arial" w:cs="Arial"/>
                <w:b/>
                <w:color w:val="auto"/>
                <w:szCs w:val="21"/>
                <w:highlight w:val="none"/>
              </w:rPr>
            </w:pPr>
            <w:r>
              <w:rPr>
                <w:rFonts w:ascii="Arial" w:hAnsi="Arial" w:cs="Arial"/>
                <w:b/>
                <w:color w:val="auto"/>
                <w:szCs w:val="21"/>
                <w:highlight w:val="none"/>
              </w:rPr>
              <w:t xml:space="preserve">备注： </w:t>
            </w:r>
          </w:p>
          <w:p w14:paraId="16033B81">
            <w:pPr>
              <w:snapToGrid w:val="0"/>
              <w:spacing w:line="360" w:lineRule="exact"/>
              <w:ind w:firstLine="422" w:firstLineChars="200"/>
              <w:rPr>
                <w:rFonts w:ascii="Arial" w:hAnsi="Arial" w:cs="Arial"/>
                <w:b/>
                <w:color w:val="auto"/>
                <w:szCs w:val="21"/>
                <w:highlight w:val="none"/>
              </w:rPr>
            </w:pPr>
            <w:r>
              <w:rPr>
                <w:rFonts w:hint="eastAsia" w:ascii="Arial" w:hAnsi="Arial" w:cs="Arial"/>
                <w:b/>
                <w:color w:val="auto"/>
                <w:szCs w:val="21"/>
                <w:highlight w:val="none"/>
              </w:rPr>
              <w:t>（1）</w:t>
            </w:r>
            <w:r>
              <w:rPr>
                <w:rFonts w:ascii="Arial" w:hAnsi="Arial" w:cs="Arial"/>
                <w:b/>
                <w:color w:val="auto"/>
                <w:szCs w:val="21"/>
                <w:highlight w:val="none"/>
              </w:rPr>
              <w:t>磋商保证金在响应文件提交截止时间后提交的，或者不按规定交纳方式交纳的，或者未足额交纳的（包含保函额度不足的），视为无效磋商保证金。</w:t>
            </w:r>
          </w:p>
          <w:p w14:paraId="150E7791">
            <w:pPr>
              <w:snapToGrid w:val="0"/>
              <w:spacing w:line="360" w:lineRule="exact"/>
              <w:ind w:firstLine="422" w:firstLineChars="200"/>
              <w:rPr>
                <w:rFonts w:ascii="Arial" w:hAnsi="Arial" w:cs="Arial"/>
                <w:b/>
                <w:color w:val="auto"/>
                <w:szCs w:val="21"/>
                <w:highlight w:val="none"/>
              </w:rPr>
            </w:pPr>
            <w:r>
              <w:rPr>
                <w:rFonts w:hint="eastAsia" w:ascii="Arial" w:hAnsi="Arial" w:cs="Arial"/>
                <w:b/>
                <w:color w:val="auto"/>
                <w:szCs w:val="21"/>
                <w:highlight w:val="none"/>
              </w:rPr>
              <w:t>（2）</w:t>
            </w:r>
            <w:r>
              <w:rPr>
                <w:rFonts w:ascii="Arial" w:hAnsi="Arial" w:cs="Arial"/>
                <w:b/>
                <w:color w:val="auto"/>
                <w:szCs w:val="21"/>
                <w:highlight w:val="none"/>
              </w:rPr>
              <w:t>供应商采用现钞方式或者从个人账户（自然人竞标除外）转出的磋商保证金，视为无效磋商保证金。</w:t>
            </w:r>
          </w:p>
          <w:p w14:paraId="670DB5E3">
            <w:pPr>
              <w:snapToGrid w:val="0"/>
              <w:spacing w:line="360" w:lineRule="exact"/>
              <w:ind w:firstLine="422" w:firstLineChars="200"/>
              <w:rPr>
                <w:rFonts w:ascii="Arial" w:hAnsi="Arial" w:cs="Arial"/>
                <w:b/>
                <w:color w:val="auto"/>
                <w:szCs w:val="21"/>
                <w:highlight w:val="none"/>
              </w:rPr>
            </w:pPr>
            <w:r>
              <w:rPr>
                <w:rFonts w:hint="eastAsia" w:ascii="Arial" w:hAnsi="Arial" w:cs="Arial"/>
                <w:b/>
                <w:color w:val="auto"/>
                <w:szCs w:val="21"/>
                <w:highlight w:val="none"/>
              </w:rPr>
              <w:t>（3）</w:t>
            </w:r>
            <w:r>
              <w:rPr>
                <w:rFonts w:ascii="Arial" w:hAnsi="Arial" w:cs="Arial"/>
                <w:b/>
                <w:color w:val="auto"/>
                <w:szCs w:val="21"/>
                <w:highlight w:val="none"/>
              </w:rPr>
              <w:t>支票、汇票或者本票出现无效或者背书情形的，视为无效磋商保证金。</w:t>
            </w:r>
          </w:p>
          <w:p w14:paraId="1407B8DB">
            <w:pPr>
              <w:snapToGrid w:val="0"/>
              <w:spacing w:line="360" w:lineRule="exact"/>
              <w:ind w:firstLine="422" w:firstLineChars="200"/>
              <w:rPr>
                <w:rFonts w:ascii="Arial" w:hAnsi="Arial" w:cs="Arial"/>
                <w:b/>
                <w:color w:val="auto"/>
                <w:szCs w:val="21"/>
                <w:highlight w:val="none"/>
              </w:rPr>
            </w:pPr>
            <w:r>
              <w:rPr>
                <w:rFonts w:hint="eastAsia" w:ascii="Arial" w:hAnsi="Arial" w:cs="Arial"/>
                <w:b/>
                <w:color w:val="auto"/>
                <w:szCs w:val="21"/>
                <w:highlight w:val="none"/>
              </w:rPr>
              <w:t>（4）</w:t>
            </w:r>
            <w:r>
              <w:rPr>
                <w:rFonts w:ascii="Arial" w:hAnsi="Arial" w:cs="Arial"/>
                <w:b/>
                <w:color w:val="auto"/>
                <w:szCs w:val="21"/>
                <w:highlight w:val="none"/>
              </w:rPr>
              <w:t>保函有效期低于竞标有效期的，视为无效磋商保证金。</w:t>
            </w:r>
          </w:p>
          <w:p w14:paraId="074B78E9">
            <w:pPr>
              <w:autoSpaceDE w:val="0"/>
              <w:autoSpaceDN w:val="0"/>
              <w:snapToGrid w:val="0"/>
              <w:spacing w:line="360" w:lineRule="exact"/>
              <w:ind w:firstLine="422" w:firstLineChars="200"/>
              <w:textAlignment w:val="bottom"/>
              <w:rPr>
                <w:rFonts w:ascii="宋体" w:hAnsi="宋体" w:cs="宋体"/>
                <w:color w:val="auto"/>
                <w:szCs w:val="21"/>
                <w:highlight w:val="none"/>
              </w:rPr>
            </w:pPr>
            <w:r>
              <w:rPr>
                <w:rFonts w:hint="eastAsia" w:ascii="Arial" w:hAnsi="Arial" w:cs="Arial"/>
                <w:b/>
                <w:color w:val="auto"/>
                <w:szCs w:val="21"/>
                <w:highlight w:val="none"/>
              </w:rPr>
              <w:t>（5）</w:t>
            </w:r>
            <w:r>
              <w:rPr>
                <w:rFonts w:ascii="Arial" w:hAnsi="Arial" w:cs="Arial"/>
                <w:b/>
                <w:color w:val="auto"/>
                <w:szCs w:val="21"/>
                <w:highlight w:val="none"/>
              </w:rPr>
              <w:t>采用银行、保险机构出具保函的，必须为无条件保函，否则视为无效磋商保证金。</w:t>
            </w:r>
          </w:p>
        </w:tc>
      </w:tr>
      <w:tr w14:paraId="1E715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992" w:type="dxa"/>
            <w:tcBorders>
              <w:left w:val="single" w:color="000000" w:sz="12" w:space="0"/>
            </w:tcBorders>
            <w:vAlign w:val="center"/>
          </w:tcPr>
          <w:p w14:paraId="08B91D4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20.1</w:t>
            </w:r>
          </w:p>
        </w:tc>
        <w:tc>
          <w:tcPr>
            <w:tcW w:w="8149" w:type="dxa"/>
            <w:tcBorders>
              <w:right w:val="single" w:color="000000" w:sz="12" w:space="0"/>
            </w:tcBorders>
            <w:vAlign w:val="center"/>
          </w:tcPr>
          <w:p w14:paraId="40A4A048">
            <w:pPr>
              <w:spacing w:line="360" w:lineRule="exact"/>
              <w:contextualSpacing/>
              <w:jc w:val="left"/>
              <w:rPr>
                <w:rFonts w:ascii="宋体" w:hAnsi="宋体" w:cs="宋体"/>
                <w:color w:val="auto"/>
                <w:szCs w:val="21"/>
                <w:highlight w:val="none"/>
                <w:u w:val="single"/>
              </w:rPr>
            </w:pPr>
            <w:r>
              <w:rPr>
                <w:rFonts w:hint="eastAsia" w:ascii="宋体" w:hAnsi="宋体" w:cs="宋体"/>
                <w:color w:val="auto"/>
                <w:szCs w:val="21"/>
                <w:highlight w:val="none"/>
              </w:rPr>
              <w:t>响应文件提交截止时间：详见竞争性磋商公告。</w:t>
            </w:r>
          </w:p>
          <w:p w14:paraId="06A5B730">
            <w:pPr>
              <w:spacing w:line="360" w:lineRule="exact"/>
              <w:contextualSpacing/>
              <w:jc w:val="left"/>
              <w:rPr>
                <w:rFonts w:ascii="宋体" w:hAnsi="宋体" w:cs="宋体"/>
                <w:color w:val="auto"/>
                <w:szCs w:val="21"/>
                <w:highlight w:val="none"/>
              </w:rPr>
            </w:pPr>
            <w:r>
              <w:rPr>
                <w:rFonts w:hint="eastAsia" w:ascii="宋体" w:hAnsi="宋体" w:cs="宋体"/>
                <w:color w:val="auto"/>
                <w:szCs w:val="21"/>
                <w:highlight w:val="none"/>
              </w:rPr>
              <w:t>响应文件提交地点：详见竞争性磋商公告。</w:t>
            </w:r>
          </w:p>
        </w:tc>
      </w:tr>
      <w:tr w14:paraId="39750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992" w:type="dxa"/>
            <w:tcBorders>
              <w:left w:val="single" w:color="000000" w:sz="12" w:space="0"/>
            </w:tcBorders>
            <w:vAlign w:val="center"/>
          </w:tcPr>
          <w:p w14:paraId="7CE6F7C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24.1</w:t>
            </w:r>
          </w:p>
        </w:tc>
        <w:tc>
          <w:tcPr>
            <w:tcW w:w="8149" w:type="dxa"/>
            <w:tcBorders>
              <w:right w:val="single" w:color="000000" w:sz="12" w:space="0"/>
            </w:tcBorders>
            <w:vAlign w:val="center"/>
          </w:tcPr>
          <w:p w14:paraId="43BCB4E8">
            <w:pPr>
              <w:snapToGrid w:val="0"/>
              <w:spacing w:line="360" w:lineRule="exact"/>
              <w:jc w:val="left"/>
              <w:rPr>
                <w:rFonts w:ascii="宋体" w:hAnsi="宋体" w:cs="宋体"/>
                <w:color w:val="auto"/>
                <w:szCs w:val="21"/>
                <w:highlight w:val="none"/>
                <w:u w:val="singl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人。</w:t>
            </w:r>
          </w:p>
        </w:tc>
      </w:tr>
      <w:tr w14:paraId="3EE48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7" w:hRule="atLeast"/>
          <w:jc w:val="center"/>
        </w:trPr>
        <w:tc>
          <w:tcPr>
            <w:tcW w:w="992" w:type="dxa"/>
            <w:tcBorders>
              <w:left w:val="single" w:color="000000" w:sz="12" w:space="0"/>
            </w:tcBorders>
            <w:vAlign w:val="center"/>
          </w:tcPr>
          <w:p w14:paraId="5AC7DAF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25</w:t>
            </w:r>
          </w:p>
        </w:tc>
        <w:tc>
          <w:tcPr>
            <w:tcW w:w="8149" w:type="dxa"/>
            <w:tcBorders>
              <w:right w:val="single" w:color="000000" w:sz="12" w:space="0"/>
            </w:tcBorders>
            <w:vAlign w:val="center"/>
          </w:tcPr>
          <w:p w14:paraId="40276BA0">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首次响应文件开启时间详见“竞争性磋商公告”</w:t>
            </w:r>
          </w:p>
          <w:p w14:paraId="4358C0AD">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首次响应文件解密时间：采购代理机构将依托电子交易平台发起开始解密指令，</w:t>
            </w:r>
            <w:r>
              <w:rPr>
                <w:rFonts w:hint="eastAsia" w:ascii="宋体" w:hAnsi="宋体" w:cs="宋体"/>
                <w:b/>
                <w:color w:val="auto"/>
                <w:szCs w:val="21"/>
                <w:highlight w:val="none"/>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cs="宋体"/>
                <w:b/>
                <w:bCs/>
                <w:color w:val="auto"/>
                <w:szCs w:val="21"/>
                <w:highlight w:val="none"/>
              </w:rPr>
              <w:t>响应文件未按时解密的，</w:t>
            </w:r>
            <w:r>
              <w:rPr>
                <w:rFonts w:hint="eastAsia" w:ascii="宋体" w:hAnsi="宋体" w:cs="宋体"/>
                <w:b/>
                <w:color w:val="auto"/>
                <w:szCs w:val="21"/>
                <w:highlight w:val="none"/>
              </w:rPr>
              <w:t>视为响应</w:t>
            </w:r>
            <w:r>
              <w:rPr>
                <w:rFonts w:hint="eastAsia" w:ascii="宋体" w:hAnsi="宋体" w:cs="宋体"/>
                <w:b/>
                <w:bCs/>
                <w:color w:val="auto"/>
                <w:szCs w:val="21"/>
                <w:highlight w:val="none"/>
              </w:rPr>
              <w:t>文件无效。</w:t>
            </w:r>
          </w:p>
        </w:tc>
      </w:tr>
      <w:tr w14:paraId="75E2D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jc w:val="center"/>
        </w:trPr>
        <w:tc>
          <w:tcPr>
            <w:tcW w:w="992" w:type="dxa"/>
            <w:tcBorders>
              <w:left w:val="single" w:color="000000" w:sz="12" w:space="0"/>
            </w:tcBorders>
            <w:vAlign w:val="center"/>
          </w:tcPr>
          <w:p w14:paraId="60381DC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26.3</w:t>
            </w:r>
          </w:p>
        </w:tc>
        <w:tc>
          <w:tcPr>
            <w:tcW w:w="8149" w:type="dxa"/>
            <w:tcBorders>
              <w:right w:val="single" w:color="000000" w:sz="12" w:space="0"/>
            </w:tcBorders>
            <w:vAlign w:val="center"/>
          </w:tcPr>
          <w:p w14:paraId="63DC0787">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p w14:paraId="0B19BFE1">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技术要求评审中允许负偏离的条款数为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tc>
      </w:tr>
      <w:tr w14:paraId="2B318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left w:val="single" w:color="000000" w:sz="12" w:space="0"/>
            </w:tcBorders>
            <w:vAlign w:val="center"/>
          </w:tcPr>
          <w:p w14:paraId="1B0D8EA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28.1</w:t>
            </w:r>
          </w:p>
        </w:tc>
        <w:tc>
          <w:tcPr>
            <w:tcW w:w="8149" w:type="dxa"/>
            <w:tcBorders>
              <w:right w:val="single" w:color="000000" w:sz="12" w:space="0"/>
            </w:tcBorders>
            <w:vAlign w:val="center"/>
          </w:tcPr>
          <w:p w14:paraId="7225B198">
            <w:pPr>
              <w:autoSpaceDE w:val="0"/>
              <w:autoSpaceDN w:val="0"/>
              <w:snapToGrid w:val="0"/>
              <w:spacing w:line="360" w:lineRule="exact"/>
              <w:textAlignment w:val="bottom"/>
              <w:rPr>
                <w:rFonts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本项目不收取履约保证金。</w:t>
            </w:r>
          </w:p>
          <w:p w14:paraId="2B1AFEC5">
            <w:pPr>
              <w:autoSpaceDE w:val="0"/>
              <w:autoSpaceDN w:val="0"/>
              <w:snapToGrid w:val="0"/>
              <w:spacing w:line="360" w:lineRule="exact"/>
              <w:textAlignment w:val="bottom"/>
              <w:rPr>
                <w:rFonts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本项目收取履约保证金，具体规定如下：</w:t>
            </w:r>
          </w:p>
          <w:p w14:paraId="45AC8A6E">
            <w:pPr>
              <w:spacing w:line="360" w:lineRule="exact"/>
              <w:contextualSpacing/>
              <w:rPr>
                <w:rFonts w:ascii="宋体" w:hAnsi="宋体" w:cs="宋体"/>
                <w:color w:val="auto"/>
                <w:szCs w:val="21"/>
                <w:highlight w:val="none"/>
              </w:rPr>
            </w:pPr>
            <w:r>
              <w:rPr>
                <w:rFonts w:hint="eastAsia" w:ascii="宋体" w:hAnsi="宋体" w:cs="宋体"/>
                <w:color w:val="auto"/>
                <w:szCs w:val="21"/>
                <w:highlight w:val="none"/>
              </w:rPr>
              <w:t>履约保证金金额：按成交金额的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%，成交单位在收到成交通知书后，须在7个工作日内向采购人提交履约保证金。</w:t>
            </w:r>
          </w:p>
          <w:p w14:paraId="07478704">
            <w:pPr>
              <w:spacing w:line="360" w:lineRule="exact"/>
              <w:contextualSpacing/>
              <w:rPr>
                <w:rFonts w:ascii="宋体" w:hAnsi="宋体" w:cs="宋体"/>
                <w:color w:val="auto"/>
                <w:szCs w:val="21"/>
                <w:highlight w:val="none"/>
              </w:rPr>
            </w:pPr>
            <w:r>
              <w:rPr>
                <w:rFonts w:hint="eastAsia" w:ascii="宋体" w:hAnsi="宋体" w:cs="宋体"/>
                <w:color w:val="auto"/>
                <w:szCs w:val="21"/>
                <w:highlight w:val="none"/>
              </w:rPr>
              <w:t>履约保证金提交方式：银行转账、支票、汇票、本票或者金融、担保机构出具的保函等非现金方式。</w:t>
            </w:r>
          </w:p>
          <w:p w14:paraId="5E134AE4">
            <w:pPr>
              <w:spacing w:line="360" w:lineRule="exact"/>
              <w:contextualSpacing/>
              <w:rPr>
                <w:rFonts w:ascii="宋体" w:hAnsi="宋体" w:cs="宋体"/>
                <w:color w:val="auto"/>
                <w:szCs w:val="21"/>
                <w:highlight w:val="none"/>
              </w:rPr>
            </w:pPr>
            <w:r>
              <w:rPr>
                <w:rFonts w:hint="eastAsia" w:ascii="宋体" w:hAnsi="宋体" w:cs="宋体"/>
                <w:color w:val="auto"/>
                <w:szCs w:val="21"/>
                <w:highlight w:val="none"/>
              </w:rPr>
              <w:t>履约保证金退付方式、时间及条件：待全部项目验收合格后，由成交单位凭项目验收书向采购单位申请支付 。</w:t>
            </w:r>
          </w:p>
          <w:p w14:paraId="252CEDA3">
            <w:pPr>
              <w:spacing w:line="360" w:lineRule="exact"/>
              <w:contextualSpacing/>
              <w:rPr>
                <w:rFonts w:ascii="宋体" w:hAnsi="宋体" w:cs="宋体"/>
                <w:color w:val="auto"/>
                <w:szCs w:val="21"/>
                <w:highlight w:val="none"/>
              </w:rPr>
            </w:pPr>
            <w:r>
              <w:rPr>
                <w:rFonts w:hint="eastAsia" w:ascii="宋体" w:hAnsi="宋体" w:cs="宋体"/>
                <w:color w:val="auto"/>
                <w:szCs w:val="21"/>
                <w:highlight w:val="none"/>
              </w:rPr>
              <w:t>如：由成交供应商向履约保证金收取单位提供《广西壮族自治区政府采购项目合同验收书》（详见桂财采〔2015〕22号），保证金收取单位在收到合格材料后5个工作日内办理退还手续（不计利息）。</w:t>
            </w:r>
          </w:p>
          <w:p w14:paraId="47A553C4">
            <w:pPr>
              <w:spacing w:line="360" w:lineRule="exact"/>
              <w:contextualSpacing/>
              <w:rPr>
                <w:rFonts w:ascii="宋体" w:hAnsi="宋体" w:cs="宋体"/>
                <w:color w:val="auto"/>
                <w:szCs w:val="21"/>
                <w:highlight w:val="none"/>
              </w:rPr>
            </w:pPr>
            <w:r>
              <w:rPr>
                <w:rFonts w:hint="eastAsia" w:ascii="宋体" w:hAnsi="宋体" w:cs="宋体"/>
                <w:color w:val="auto"/>
                <w:szCs w:val="21"/>
                <w:highlight w:val="none"/>
              </w:rPr>
              <w:t>履约保证金指定账户：</w:t>
            </w:r>
          </w:p>
          <w:p w14:paraId="2C8B5FF8">
            <w:pPr>
              <w:spacing w:line="360" w:lineRule="exact"/>
              <w:contextualSpacing/>
              <w:rPr>
                <w:rFonts w:ascii="宋体" w:hAnsi="宋体" w:cs="宋体"/>
                <w:color w:val="auto"/>
                <w:szCs w:val="21"/>
                <w:highlight w:val="none"/>
              </w:rPr>
            </w:pPr>
            <w:r>
              <w:rPr>
                <w:rFonts w:hint="eastAsia" w:ascii="宋体" w:hAnsi="宋体" w:cs="宋体"/>
                <w:color w:val="auto"/>
                <w:szCs w:val="21"/>
                <w:highlight w:val="none"/>
              </w:rPr>
              <w:t xml:space="preserve">开户名称：/ </w:t>
            </w:r>
          </w:p>
          <w:p w14:paraId="79ED77CB">
            <w:pPr>
              <w:spacing w:line="360" w:lineRule="exact"/>
              <w:contextualSpacing/>
              <w:rPr>
                <w:rFonts w:ascii="宋体" w:hAnsi="宋体" w:cs="宋体"/>
                <w:color w:val="auto"/>
                <w:szCs w:val="21"/>
                <w:highlight w:val="none"/>
              </w:rPr>
            </w:pPr>
            <w:r>
              <w:rPr>
                <w:rFonts w:hint="eastAsia" w:ascii="宋体" w:hAnsi="宋体" w:cs="宋体"/>
                <w:color w:val="auto"/>
                <w:szCs w:val="21"/>
                <w:highlight w:val="none"/>
              </w:rPr>
              <w:t xml:space="preserve">开户银行：/ </w:t>
            </w:r>
          </w:p>
          <w:p w14:paraId="2619AA9F">
            <w:pPr>
              <w:spacing w:line="360" w:lineRule="exact"/>
              <w:contextualSpacing/>
              <w:rPr>
                <w:rFonts w:ascii="宋体" w:hAnsi="宋体" w:cs="宋体"/>
                <w:color w:val="auto"/>
                <w:szCs w:val="21"/>
                <w:highlight w:val="none"/>
              </w:rPr>
            </w:pPr>
            <w:r>
              <w:rPr>
                <w:rFonts w:hint="eastAsia" w:ascii="宋体" w:hAnsi="宋体" w:cs="宋体"/>
                <w:color w:val="auto"/>
                <w:szCs w:val="21"/>
                <w:highlight w:val="none"/>
              </w:rPr>
              <w:t xml:space="preserve">银行账号：/ </w:t>
            </w:r>
          </w:p>
          <w:p w14:paraId="41B3639D">
            <w:pPr>
              <w:spacing w:line="360" w:lineRule="exact"/>
              <w:contextualSpacing/>
              <w:rPr>
                <w:rFonts w:ascii="宋体" w:hAnsi="宋体" w:cs="宋体"/>
                <w:color w:val="auto"/>
                <w:szCs w:val="21"/>
                <w:highlight w:val="none"/>
              </w:rPr>
            </w:pPr>
            <w:r>
              <w:rPr>
                <w:rFonts w:hint="eastAsia" w:ascii="宋体" w:hAnsi="宋体" w:cs="宋体"/>
                <w:color w:val="auto"/>
                <w:szCs w:val="21"/>
                <w:highlight w:val="none"/>
              </w:rPr>
              <w:t>备注：</w:t>
            </w:r>
          </w:p>
          <w:p w14:paraId="1A014D50">
            <w:pPr>
              <w:pStyle w:val="12"/>
              <w:rPr>
                <w:rFonts w:ascii="宋体" w:hAnsi="宋体" w:cs="宋体"/>
                <w:b/>
                <w:color w:val="auto"/>
                <w:szCs w:val="21"/>
                <w:highlight w:val="none"/>
              </w:rPr>
            </w:pPr>
            <w:r>
              <w:rPr>
                <w:rFonts w:hint="eastAsia" w:ascii="宋体" w:hAnsi="宋体" w:cs="宋体"/>
                <w:b/>
                <w:color w:val="auto"/>
                <w:szCs w:val="21"/>
                <w:highlight w:val="none"/>
              </w:rPr>
              <w:t>1.</w:t>
            </w:r>
            <w:bookmarkStart w:id="53" w:name="_Hlk54170335"/>
            <w:r>
              <w:rPr>
                <w:rFonts w:hint="eastAsia" w:ascii="宋体" w:hAnsi="宋体" w:cs="宋体"/>
                <w:b/>
                <w:color w:val="auto"/>
                <w:szCs w:val="21"/>
                <w:highlight w:val="none"/>
              </w:rPr>
              <w:t>根据《广西壮族自治区财政厅关于规范政府采购货物和服务项目保证金管理的通知》（桂财规〔2022〕8号）规定，鼓励采购人在与中标人签订政府采购合同时，免收履约保证金或者降低收取比例，有必要收取履约保证金的，收取的履约保证金不得超过政府采购合同金额的5%，对中小企业收取的履约保证金数额不得超过政府采购合同金额的2%。</w:t>
            </w:r>
            <w:bookmarkEnd w:id="53"/>
          </w:p>
          <w:p w14:paraId="3EFFB048">
            <w:pPr>
              <w:spacing w:line="360" w:lineRule="exact"/>
              <w:contextualSpacing/>
              <w:rPr>
                <w:rFonts w:ascii="宋体" w:hAnsi="宋体" w:cs="宋体"/>
                <w:b/>
                <w:color w:val="auto"/>
                <w:szCs w:val="21"/>
                <w:highlight w:val="none"/>
              </w:rPr>
            </w:pPr>
            <w:r>
              <w:rPr>
                <w:rFonts w:hint="eastAsia" w:ascii="宋体" w:hAnsi="宋体" w:cs="宋体"/>
                <w:b/>
                <w:color w:val="auto"/>
                <w:szCs w:val="21"/>
                <w:highlight w:val="none"/>
              </w:rPr>
              <w:t>2.履约保证金不足额缴纳的，或者银行、保险机构出具的保函额度不足的或者保函有效期低于合同履行期限（即签订采购合同之日起至履行完合同约定的权利及义务之日止）的，不予签订合同。</w:t>
            </w:r>
          </w:p>
          <w:p w14:paraId="721A992A">
            <w:pPr>
              <w:spacing w:line="360" w:lineRule="exact"/>
              <w:contextualSpacing/>
              <w:rPr>
                <w:rFonts w:ascii="宋体" w:hAnsi="宋体" w:cs="宋体"/>
                <w:b/>
                <w:color w:val="auto"/>
                <w:szCs w:val="21"/>
                <w:highlight w:val="none"/>
              </w:rPr>
            </w:pPr>
            <w:r>
              <w:rPr>
                <w:rFonts w:hint="eastAsia" w:ascii="宋体" w:hAnsi="宋体" w:cs="宋体"/>
                <w:b/>
                <w:color w:val="auto"/>
                <w:szCs w:val="21"/>
                <w:highlight w:val="none"/>
              </w:rPr>
              <w:t>3.采用银行、保险机构出具的保函的，必须为无条件保函，否则不予签订合同。</w:t>
            </w:r>
          </w:p>
          <w:p w14:paraId="0172C664">
            <w:pPr>
              <w:snapToGrid w:val="0"/>
              <w:spacing w:line="360" w:lineRule="exact"/>
              <w:rPr>
                <w:rFonts w:ascii="宋体" w:hAnsi="宋体" w:cs="宋体"/>
                <w:color w:val="auto"/>
                <w:szCs w:val="21"/>
                <w:highlight w:val="none"/>
              </w:rPr>
            </w:pPr>
            <w:r>
              <w:rPr>
                <w:rFonts w:hint="eastAsia" w:ascii="宋体" w:hAnsi="宋体" w:cs="宋体"/>
                <w:b/>
                <w:color w:val="auto"/>
                <w:szCs w:val="21"/>
                <w:highlight w:val="none"/>
              </w:rPr>
              <w:t>4.供应商为联合体的，由联合体任意一方按规定提交的履约保证金，视为有效履约保证金。</w:t>
            </w:r>
          </w:p>
        </w:tc>
      </w:tr>
      <w:tr w14:paraId="7E2BF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left w:val="single" w:color="000000" w:sz="12" w:space="0"/>
            </w:tcBorders>
            <w:vAlign w:val="center"/>
          </w:tcPr>
          <w:p w14:paraId="2712D57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29.1</w:t>
            </w:r>
          </w:p>
        </w:tc>
        <w:tc>
          <w:tcPr>
            <w:tcW w:w="8149" w:type="dxa"/>
            <w:tcBorders>
              <w:right w:val="single" w:color="000000" w:sz="12" w:space="0"/>
            </w:tcBorders>
            <w:vAlign w:val="center"/>
          </w:tcPr>
          <w:p w14:paraId="18933CBD">
            <w:pPr>
              <w:autoSpaceDE w:val="0"/>
              <w:autoSpaceDN w:val="0"/>
              <w:snapToGrid w:val="0"/>
              <w:spacing w:line="360" w:lineRule="exact"/>
              <w:textAlignment w:val="bottom"/>
              <w:rPr>
                <w:rFonts w:ascii="宋体" w:hAnsi="宋体" w:cs="宋体"/>
                <w:color w:val="auto"/>
                <w:szCs w:val="21"/>
                <w:highlight w:val="none"/>
              </w:rPr>
            </w:pPr>
            <w:r>
              <w:rPr>
                <w:rFonts w:hint="eastAsia" w:ascii="宋体" w:hAnsi="宋体" w:cs="宋体"/>
                <w:color w:val="auto"/>
                <w:szCs w:val="21"/>
                <w:highlight w:val="none"/>
              </w:rPr>
              <w:t xml:space="preserve">签订合同携带的证明材料： </w:t>
            </w:r>
          </w:p>
          <w:p w14:paraId="638DD0F9">
            <w:pPr>
              <w:autoSpaceDE w:val="0"/>
              <w:autoSpaceDN w:val="0"/>
              <w:snapToGrid w:val="0"/>
              <w:spacing w:line="360" w:lineRule="exact"/>
              <w:textAlignment w:val="bottom"/>
              <w:rPr>
                <w:rFonts w:ascii="宋体" w:hAnsi="宋体" w:cs="宋体"/>
                <w:color w:val="auto"/>
                <w:szCs w:val="21"/>
                <w:highlight w:val="none"/>
              </w:rPr>
            </w:pPr>
            <w:r>
              <w:rPr>
                <w:rFonts w:hint="eastAsia" w:ascii="宋体" w:hAnsi="宋体" w:cs="宋体"/>
                <w:color w:val="auto"/>
                <w:szCs w:val="21"/>
                <w:highlight w:val="none"/>
              </w:rPr>
              <w:t>委托代理人负责签订合同的，须携带授权委托书及委托代理人身份证原件等其他资格证件。</w:t>
            </w:r>
          </w:p>
          <w:p w14:paraId="5296CC64">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14:paraId="34A3C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left w:val="single" w:color="000000" w:sz="12" w:space="0"/>
            </w:tcBorders>
            <w:vAlign w:val="center"/>
          </w:tcPr>
          <w:p w14:paraId="77D9431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31.2</w:t>
            </w:r>
          </w:p>
        </w:tc>
        <w:tc>
          <w:tcPr>
            <w:tcW w:w="8149" w:type="dxa"/>
            <w:tcBorders>
              <w:right w:val="single" w:color="000000" w:sz="12" w:space="0"/>
            </w:tcBorders>
            <w:vAlign w:val="center"/>
          </w:tcPr>
          <w:p w14:paraId="64EF1D12">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14:paraId="443B2E67">
            <w:pPr>
              <w:rPr>
                <w:rFonts w:ascii="宋体" w:hAnsi="宋体" w:cs="宋体"/>
                <w:color w:val="auto"/>
                <w:highlight w:val="none"/>
              </w:rPr>
            </w:pPr>
            <w:r>
              <w:rPr>
                <w:rFonts w:hint="eastAsia" w:ascii="宋体" w:hAnsi="宋体" w:cs="宋体"/>
                <w:color w:val="auto"/>
                <w:highlight w:val="none"/>
              </w:rPr>
              <w:t>质疑联系部门及联系方式：广西金证招标代理有限公司招标部</w:t>
            </w:r>
          </w:p>
          <w:p w14:paraId="2D7010B7">
            <w:pPr>
              <w:rPr>
                <w:rFonts w:ascii="宋体" w:hAnsi="宋体" w:cs="宋体"/>
                <w:color w:val="auto"/>
                <w:highlight w:val="none"/>
              </w:rPr>
            </w:pPr>
            <w:r>
              <w:rPr>
                <w:rFonts w:hint="eastAsia" w:ascii="宋体" w:hAnsi="宋体" w:cs="宋体"/>
                <w:color w:val="auto"/>
                <w:highlight w:val="none"/>
              </w:rPr>
              <w:t>联系电话：0771-5509136</w:t>
            </w:r>
          </w:p>
          <w:p w14:paraId="3F3E1A84">
            <w:pPr>
              <w:rPr>
                <w:rFonts w:ascii="宋体" w:hAnsi="宋体" w:cs="宋体"/>
                <w:color w:val="auto"/>
                <w:highlight w:val="none"/>
              </w:rPr>
            </w:pPr>
            <w:r>
              <w:rPr>
                <w:rFonts w:hint="eastAsia" w:ascii="宋体" w:hAnsi="宋体" w:cs="宋体"/>
                <w:color w:val="auto"/>
                <w:highlight w:val="none"/>
              </w:rPr>
              <w:t>通讯地址：广西南宁市青秀区东葛路118号青秀万达广场甲2栋2501室</w:t>
            </w:r>
          </w:p>
          <w:p w14:paraId="4C8C1238">
            <w:pPr>
              <w:autoSpaceDE w:val="0"/>
              <w:autoSpaceDN w:val="0"/>
              <w:snapToGrid w:val="0"/>
              <w:spacing w:line="360" w:lineRule="exact"/>
              <w:textAlignment w:val="bottom"/>
              <w:rPr>
                <w:rFonts w:ascii="宋体" w:hAnsi="宋体" w:cs="宋体"/>
                <w:color w:val="auto"/>
                <w:szCs w:val="21"/>
                <w:highlight w:val="none"/>
              </w:rPr>
            </w:pPr>
            <w:r>
              <w:rPr>
                <w:rFonts w:hint="eastAsia" w:ascii="宋体" w:hAnsi="宋体" w:cs="宋体"/>
                <w:color w:val="auto"/>
                <w:highlight w:val="none"/>
              </w:rPr>
              <w:t>业务时间：</w:t>
            </w:r>
            <w:r>
              <w:rPr>
                <w:rFonts w:hint="eastAsia" w:ascii="宋体" w:hAnsi="宋体" w:cs="宋体"/>
                <w:color w:val="auto"/>
                <w:highlight w:val="none"/>
                <w:u w:val="single"/>
              </w:rPr>
              <w:t>上午8时30分到12时00分；下午15时00分到17时30分</w:t>
            </w:r>
            <w:r>
              <w:rPr>
                <w:rFonts w:hint="eastAsia" w:ascii="宋体" w:hAnsi="宋体" w:cs="宋体"/>
                <w:color w:val="auto"/>
                <w:highlight w:val="none"/>
              </w:rPr>
              <w:t>，业务时间以外、双休日和法定节假日不办理业务。</w:t>
            </w:r>
          </w:p>
        </w:tc>
      </w:tr>
      <w:tr w14:paraId="3AEE2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left w:val="single" w:color="000000" w:sz="12" w:space="0"/>
            </w:tcBorders>
            <w:vAlign w:val="center"/>
          </w:tcPr>
          <w:p w14:paraId="0A1B468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32.1</w:t>
            </w:r>
          </w:p>
        </w:tc>
        <w:tc>
          <w:tcPr>
            <w:tcW w:w="8149" w:type="dxa"/>
            <w:tcBorders>
              <w:right w:val="single" w:color="000000" w:sz="12" w:space="0"/>
            </w:tcBorders>
            <w:vAlign w:val="center"/>
          </w:tcPr>
          <w:p w14:paraId="536EA24E">
            <w:pPr>
              <w:pStyle w:val="18"/>
              <w:snapToGrid w:val="0"/>
              <w:spacing w:line="360" w:lineRule="exact"/>
              <w:rPr>
                <w:rFonts w:hAnsi="宋体" w:cs="宋体"/>
                <w:color w:val="auto"/>
                <w:sz w:val="21"/>
                <w:highlight w:val="none"/>
              </w:rPr>
            </w:pPr>
            <w:r>
              <w:rPr>
                <w:rFonts w:hint="eastAsia" w:hAnsi="宋体" w:cs="宋体"/>
                <w:color w:val="auto"/>
                <w:sz w:val="21"/>
                <w:highlight w:val="none"/>
              </w:rPr>
              <w:t>1.代理服务费支付方式：</w:t>
            </w:r>
          </w:p>
          <w:p w14:paraId="565579AE">
            <w:pPr>
              <w:pStyle w:val="18"/>
              <w:snapToGrid w:val="0"/>
              <w:spacing w:line="360" w:lineRule="exact"/>
              <w:rPr>
                <w:rFonts w:hAnsi="宋体" w:cs="宋体"/>
                <w:color w:val="auto"/>
                <w:sz w:val="21"/>
                <w:highlight w:val="none"/>
              </w:rPr>
            </w:pPr>
            <w:r>
              <w:rPr>
                <w:rFonts w:hint="eastAsia" w:hAnsi="宋体" w:cs="宋体"/>
                <w:color w:val="auto"/>
                <w:sz w:val="21"/>
                <w:highlight w:val="none"/>
              </w:rPr>
              <w:t>☑本项目代理服务费由成交供应商领取成交通知书前，向采购代理机构支付完成。</w:t>
            </w:r>
          </w:p>
          <w:p w14:paraId="2829DEE8">
            <w:pPr>
              <w:pStyle w:val="18"/>
              <w:snapToGrid w:val="0"/>
              <w:spacing w:line="360" w:lineRule="exact"/>
              <w:rPr>
                <w:rFonts w:hAnsi="宋体" w:cs="宋体"/>
                <w:color w:val="auto"/>
                <w:sz w:val="21"/>
                <w:highlight w:val="none"/>
              </w:rPr>
            </w:pPr>
            <w:r>
              <w:rPr>
                <w:rFonts w:hint="eastAsia" w:hAnsi="宋体" w:cs="宋体"/>
                <w:color w:val="auto"/>
                <w:sz w:val="21"/>
                <w:highlight w:val="none"/>
              </w:rPr>
              <w:t>□采购人支付。</w:t>
            </w:r>
          </w:p>
          <w:p w14:paraId="695923D3">
            <w:pPr>
              <w:pStyle w:val="18"/>
              <w:snapToGrid w:val="0"/>
              <w:spacing w:line="360" w:lineRule="exact"/>
              <w:rPr>
                <w:rFonts w:hAnsi="宋体" w:cs="宋体"/>
                <w:color w:val="auto"/>
                <w:sz w:val="21"/>
                <w:highlight w:val="none"/>
              </w:rPr>
            </w:pPr>
            <w:r>
              <w:rPr>
                <w:rFonts w:hint="eastAsia" w:hAnsi="宋体" w:cs="宋体"/>
                <w:color w:val="auto"/>
                <w:sz w:val="21"/>
                <w:highlight w:val="none"/>
              </w:rPr>
              <w:t>2.代理服务费收取标准：以成</w:t>
            </w:r>
            <w:r>
              <w:rPr>
                <w:rFonts w:hint="eastAsia"/>
                <w:color w:val="auto"/>
                <w:highlight w:val="none"/>
              </w:rPr>
              <w:t>交</w:t>
            </w:r>
            <w:r>
              <w:rPr>
                <w:rFonts w:hint="eastAsia" w:hAnsi="宋体" w:cs="宋体"/>
                <w:color w:val="auto"/>
                <w:highlight w:val="none"/>
              </w:rPr>
              <w:t>金额为计费额，</w:t>
            </w:r>
            <w:r>
              <w:rPr>
                <w:rFonts w:hint="eastAsia" w:hAnsi="宋体" w:cs="宋体"/>
                <w:color w:val="auto"/>
                <w:sz w:val="21"/>
                <w:highlight w:val="none"/>
              </w:rPr>
              <w:t>参照《招标代理服务费管理暂行办法》 (计价格﹝2002﹞1980号)及《国家发展改革委关于降低部分建设项目收费标准规范收费行为等有关问题的通知》(发改价格﹝2011﹞534号)的规定采用差额定率累进法计算。单个标项不足捌仟元按捌仟元计取。</w:t>
            </w:r>
          </w:p>
          <w:p w14:paraId="1BC042AD">
            <w:pPr>
              <w:pStyle w:val="18"/>
              <w:snapToGrid w:val="0"/>
              <w:spacing w:line="360" w:lineRule="exact"/>
              <w:rPr>
                <w:rFonts w:hAnsi="宋体" w:cs="宋体"/>
                <w:color w:val="auto"/>
                <w:spacing w:val="8"/>
                <w:sz w:val="21"/>
                <w:highlight w:val="none"/>
              </w:rPr>
            </w:pPr>
            <w:r>
              <w:rPr>
                <w:rFonts w:hint="eastAsia" w:hAnsi="宋体" w:cs="宋体"/>
                <w:color w:val="auto"/>
                <w:spacing w:val="8"/>
                <w:sz w:val="21"/>
                <w:highlight w:val="none"/>
              </w:rPr>
              <w:t>3.</w:t>
            </w:r>
            <w:r>
              <w:rPr>
                <w:rFonts w:hint="eastAsia" w:hAnsi="宋体" w:cs="宋体"/>
                <w:color w:val="auto"/>
                <w:sz w:val="21"/>
                <w:highlight w:val="none"/>
              </w:rPr>
              <w:t>代理服务费</w:t>
            </w:r>
            <w:r>
              <w:rPr>
                <w:rFonts w:hint="eastAsia" w:hAnsi="宋体" w:cs="宋体"/>
                <w:color w:val="auto"/>
                <w:spacing w:val="8"/>
                <w:sz w:val="21"/>
                <w:highlight w:val="none"/>
              </w:rPr>
              <w:t>收取银行账户</w:t>
            </w:r>
          </w:p>
          <w:p w14:paraId="39CAA557">
            <w:pPr>
              <w:pStyle w:val="18"/>
              <w:snapToGrid w:val="0"/>
              <w:spacing w:line="360" w:lineRule="exact"/>
              <w:rPr>
                <w:rFonts w:hAnsi="宋体" w:cs="宋体"/>
                <w:color w:val="auto"/>
                <w:spacing w:val="8"/>
                <w:sz w:val="21"/>
                <w:highlight w:val="none"/>
              </w:rPr>
            </w:pPr>
            <w:r>
              <w:rPr>
                <w:rFonts w:hint="eastAsia" w:hAnsi="宋体" w:cs="宋体"/>
                <w:color w:val="auto"/>
                <w:spacing w:val="8"/>
                <w:sz w:val="21"/>
                <w:highlight w:val="none"/>
              </w:rPr>
              <w:t>开户名称：广西金证招标代理有限公司</w:t>
            </w:r>
          </w:p>
          <w:p w14:paraId="2E35C0D1">
            <w:pPr>
              <w:pStyle w:val="18"/>
              <w:snapToGrid w:val="0"/>
              <w:spacing w:line="360" w:lineRule="exact"/>
              <w:rPr>
                <w:rFonts w:hAnsi="宋体" w:cs="宋体"/>
                <w:color w:val="auto"/>
                <w:spacing w:val="8"/>
                <w:sz w:val="21"/>
                <w:highlight w:val="none"/>
              </w:rPr>
            </w:pPr>
            <w:r>
              <w:rPr>
                <w:rFonts w:hint="eastAsia" w:hAnsi="宋体" w:cs="宋体"/>
                <w:color w:val="auto"/>
                <w:spacing w:val="8"/>
                <w:sz w:val="21"/>
                <w:highlight w:val="none"/>
              </w:rPr>
              <w:t>开户银行：中国民生银行南宁分行营业部</w:t>
            </w:r>
          </w:p>
          <w:p w14:paraId="5F32CCF8">
            <w:pPr>
              <w:pStyle w:val="18"/>
              <w:snapToGrid w:val="0"/>
              <w:spacing w:line="360" w:lineRule="exact"/>
              <w:rPr>
                <w:rFonts w:hAnsi="宋体" w:cs="宋体"/>
                <w:color w:val="auto"/>
                <w:highlight w:val="none"/>
              </w:rPr>
            </w:pPr>
            <w:r>
              <w:rPr>
                <w:rFonts w:hint="eastAsia" w:hAnsi="宋体" w:cs="宋体"/>
                <w:color w:val="auto"/>
                <w:spacing w:val="8"/>
                <w:sz w:val="21"/>
                <w:highlight w:val="none"/>
              </w:rPr>
              <w:t>银行账号：172186123</w:t>
            </w:r>
          </w:p>
        </w:tc>
      </w:tr>
      <w:tr w14:paraId="6C08E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0" w:hRule="atLeast"/>
          <w:jc w:val="center"/>
        </w:trPr>
        <w:tc>
          <w:tcPr>
            <w:tcW w:w="992" w:type="dxa"/>
            <w:tcBorders>
              <w:left w:val="single" w:color="000000" w:sz="12" w:space="0"/>
            </w:tcBorders>
            <w:vAlign w:val="center"/>
          </w:tcPr>
          <w:p w14:paraId="5D0F5CB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33.1</w:t>
            </w:r>
          </w:p>
        </w:tc>
        <w:tc>
          <w:tcPr>
            <w:tcW w:w="8149" w:type="dxa"/>
            <w:tcBorders>
              <w:right w:val="single" w:color="000000" w:sz="12" w:space="0"/>
            </w:tcBorders>
            <w:vAlign w:val="center"/>
          </w:tcPr>
          <w:p w14:paraId="31643318">
            <w:pPr>
              <w:pStyle w:val="18"/>
              <w:snapToGrid w:val="0"/>
              <w:spacing w:line="360" w:lineRule="exact"/>
              <w:rPr>
                <w:rFonts w:hAnsi="宋体" w:cs="宋体"/>
                <w:color w:val="auto"/>
                <w:kern w:val="2"/>
                <w:sz w:val="21"/>
                <w:highlight w:val="none"/>
              </w:rPr>
            </w:pPr>
            <w:r>
              <w:rPr>
                <w:rFonts w:hint="eastAsia" w:hAnsi="宋体" w:cs="宋体"/>
                <w:color w:val="auto"/>
                <w:sz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11902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0" w:hRule="atLeast"/>
          <w:jc w:val="center"/>
        </w:trPr>
        <w:tc>
          <w:tcPr>
            <w:tcW w:w="992" w:type="dxa"/>
            <w:tcBorders>
              <w:left w:val="single" w:color="000000" w:sz="12" w:space="0"/>
            </w:tcBorders>
            <w:vAlign w:val="center"/>
          </w:tcPr>
          <w:p w14:paraId="2BAEBEE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33.2</w:t>
            </w:r>
          </w:p>
        </w:tc>
        <w:tc>
          <w:tcPr>
            <w:tcW w:w="8149" w:type="dxa"/>
            <w:tcBorders>
              <w:right w:val="single" w:color="000000" w:sz="12" w:space="0"/>
            </w:tcBorders>
            <w:vAlign w:val="center"/>
          </w:tcPr>
          <w:p w14:paraId="69DECEFA">
            <w:pPr>
              <w:pStyle w:val="18"/>
              <w:snapToGrid w:val="0"/>
              <w:spacing w:line="360" w:lineRule="exact"/>
              <w:rPr>
                <w:rFonts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23B740F6">
            <w:pPr>
              <w:pStyle w:val="18"/>
              <w:snapToGrid w:val="0"/>
              <w:spacing w:line="360" w:lineRule="exact"/>
              <w:rPr>
                <w:rFonts w:hAnsi="宋体" w:cs="宋体"/>
                <w:color w:val="auto"/>
                <w:sz w:val="21"/>
                <w:highlight w:val="none"/>
              </w:rPr>
            </w:pPr>
            <w:r>
              <w:rPr>
                <w:rFonts w:hint="eastAsia" w:hAnsi="宋体" w:cs="宋体"/>
                <w:bCs/>
                <w:color w:val="auto"/>
                <w:sz w:val="21"/>
                <w:highlight w:val="none"/>
              </w:rPr>
              <w:t>2.本磋商文件所称的“</w:t>
            </w:r>
            <w:r>
              <w:rPr>
                <w:rFonts w:hint="eastAsia" w:hAnsi="宋体" w:cs="宋体"/>
                <w:color w:val="auto"/>
                <w:sz w:val="21"/>
                <w:highlight w:val="none"/>
              </w:rPr>
              <w:t>电子签章</w:t>
            </w:r>
            <w:r>
              <w:rPr>
                <w:rFonts w:hint="eastAsia" w:hAnsi="宋体" w:cs="宋体"/>
                <w:bCs/>
                <w:color w:val="auto"/>
                <w:sz w:val="21"/>
                <w:highlight w:val="none"/>
              </w:rPr>
              <w:t>”、“电子签名”</w:t>
            </w:r>
            <w:r>
              <w:rPr>
                <w:rFonts w:hint="eastAsia" w:hAnsi="宋体" w:cs="宋体"/>
                <w:color w:val="auto"/>
                <w:sz w:val="21"/>
                <w:highlight w:val="none"/>
              </w:rPr>
              <w:t>，是指经广西政府采购云平台认可的CA认证的电子签名数据为表现形式的印章，可用于签署电子响应文件，电子印章与实物印章具有同等法律效力，不因其采用电子化表现形式而否定其法律效力。</w:t>
            </w:r>
          </w:p>
          <w:p w14:paraId="4843E5AC">
            <w:pPr>
              <w:pStyle w:val="18"/>
              <w:snapToGrid w:val="0"/>
              <w:spacing w:line="360" w:lineRule="exact"/>
              <w:rPr>
                <w:rFonts w:hAnsi="宋体" w:cs="宋体"/>
                <w:bCs/>
                <w:color w:val="auto"/>
                <w:sz w:val="21"/>
                <w:highlight w:val="none"/>
              </w:rPr>
            </w:pPr>
            <w:r>
              <w:rPr>
                <w:rFonts w:hint="eastAsia" w:hAnsi="宋体" w:cs="宋体"/>
                <w:color w:val="auto"/>
                <w:sz w:val="21"/>
                <w:highlight w:val="none"/>
              </w:rPr>
              <w:t>3.供应商为其他组织或者自然人时，本磋商文件规定的法定代表人指负责人或者自然人。本磋商文件所称负责人是指参加竞标的其他组织</w:t>
            </w:r>
            <w:r>
              <w:rPr>
                <w:rFonts w:hint="eastAsia" w:hAnsi="宋体" w:cs="宋体"/>
                <w:bCs/>
                <w:color w:val="auto"/>
                <w:sz w:val="21"/>
                <w:highlight w:val="none"/>
              </w:rPr>
              <w:t>营业执照或者执业许可证等证照上的</w:t>
            </w:r>
            <w:r>
              <w:rPr>
                <w:rFonts w:hint="eastAsia" w:hAnsi="宋体" w:cs="宋体"/>
                <w:color w:val="auto"/>
                <w:sz w:val="21"/>
                <w:highlight w:val="none"/>
              </w:rPr>
              <w:t>负责人，本磋商文件所称自然人指参与竞标的自然人本人，</w:t>
            </w:r>
            <w:r>
              <w:rPr>
                <w:rFonts w:hint="eastAsia" w:hAnsi="宋体" w:cs="宋体"/>
                <w:bCs/>
                <w:color w:val="auto"/>
                <w:sz w:val="21"/>
                <w:highlight w:val="none"/>
              </w:rPr>
              <w:t>且应具备独立承担民事责任能力，自然人应当为年满18岁以上成年人（十六周岁以上的未成年人，以自己的劳动收入为主要生活来源的，视为完全民事行为能力人）。</w:t>
            </w:r>
          </w:p>
          <w:p w14:paraId="6FCEDC2F">
            <w:pPr>
              <w:pStyle w:val="18"/>
              <w:snapToGrid w:val="0"/>
              <w:spacing w:line="360" w:lineRule="exact"/>
              <w:rPr>
                <w:rFonts w:hAnsi="宋体" w:cs="宋体"/>
                <w:color w:val="auto"/>
                <w:sz w:val="21"/>
                <w:highlight w:val="none"/>
              </w:rPr>
            </w:pPr>
            <w:r>
              <w:rPr>
                <w:rFonts w:hint="eastAsia" w:hAnsi="宋体" w:cs="宋体"/>
                <w:color w:val="auto"/>
                <w:sz w:val="21"/>
                <w:highlight w:val="none"/>
              </w:rPr>
              <w:t>4.本磋商文件中描述供应商的“签字”是指供应商的法定代表人或者委托代理人亲自在文件规定签署处亲笔写上个人的名字的行为，私章、签字章、印鉴、影印等其他形式均不能代替亲笔签字。</w:t>
            </w:r>
          </w:p>
          <w:p w14:paraId="6DE1FC12">
            <w:pPr>
              <w:pStyle w:val="18"/>
              <w:snapToGrid w:val="0"/>
              <w:spacing w:line="360" w:lineRule="exact"/>
              <w:rPr>
                <w:rFonts w:hAnsi="宋体" w:cs="宋体"/>
                <w:color w:val="auto"/>
                <w:sz w:val="21"/>
                <w:highlight w:val="none"/>
              </w:rPr>
            </w:pPr>
            <w:r>
              <w:rPr>
                <w:rFonts w:hint="eastAsia" w:hAnsi="宋体" w:cs="宋体"/>
                <w:color w:val="auto"/>
                <w:sz w:val="21"/>
                <w:highlight w:val="none"/>
              </w:rPr>
              <w:t>5.本磋商文件所称的“以上”、“以下”、“以内”、“届满”，包括本数；所称的“不满”、“超过”、“以外”，不包括本数。</w:t>
            </w:r>
          </w:p>
        </w:tc>
      </w:tr>
    </w:tbl>
    <w:p w14:paraId="62657791">
      <w:pPr>
        <w:rPr>
          <w:color w:val="auto"/>
          <w:highlight w:val="none"/>
        </w:rPr>
      </w:pPr>
      <w:r>
        <w:rPr>
          <w:rFonts w:hint="eastAsia"/>
          <w:color w:val="auto"/>
          <w:highlight w:val="none"/>
        </w:rPr>
        <w:br w:type="page"/>
      </w:r>
    </w:p>
    <w:p w14:paraId="69A8DEB9">
      <w:pPr>
        <w:jc w:val="center"/>
        <w:rPr>
          <w:rFonts w:ascii="宋体" w:hAnsi="宋体" w:cs="宋体"/>
          <w:b/>
          <w:color w:val="auto"/>
          <w:sz w:val="32"/>
          <w:szCs w:val="32"/>
          <w:highlight w:val="none"/>
        </w:rPr>
      </w:pPr>
      <w:r>
        <w:rPr>
          <w:rFonts w:hint="eastAsia"/>
          <w:b/>
          <w:bCs/>
          <w:color w:val="auto"/>
          <w:sz w:val="32"/>
          <w:szCs w:val="32"/>
          <w:highlight w:val="none"/>
        </w:rPr>
        <w:t>供应商须知正文</w:t>
      </w:r>
    </w:p>
    <w:p w14:paraId="0E755260">
      <w:pPr>
        <w:spacing w:line="400" w:lineRule="exact"/>
        <w:jc w:val="center"/>
        <w:rPr>
          <w:rFonts w:ascii="宋体" w:hAnsi="宋体" w:cs="宋体"/>
          <w:color w:val="auto"/>
          <w:szCs w:val="21"/>
          <w:highlight w:val="none"/>
        </w:rPr>
      </w:pPr>
      <w:r>
        <w:rPr>
          <w:rFonts w:hint="eastAsia" w:ascii="宋体" w:hAnsi="宋体" w:cs="宋体"/>
          <w:b/>
          <w:color w:val="auto"/>
          <w:sz w:val="32"/>
          <w:szCs w:val="32"/>
          <w:highlight w:val="none"/>
        </w:rPr>
        <w:t>一、总则</w:t>
      </w:r>
    </w:p>
    <w:p w14:paraId="45E5E75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1.适用范围</w:t>
      </w:r>
    </w:p>
    <w:p w14:paraId="1FE802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22AE9D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1FD8103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2.定义</w:t>
      </w:r>
    </w:p>
    <w:p w14:paraId="3EF2EB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08410EA1">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42DADF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61B92C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14:paraId="17F248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2.5“竞标”是指供应商按照本项目竞争性磋商公告或者邀请函规定的方式获取磋商文件、提交响应文件并希望获得标的的行为。</w:t>
      </w:r>
    </w:p>
    <w:p w14:paraId="44C998D6">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04F91353">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2.7“响应文件”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626718DD">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2.8“实质性要求”是指磋商文件中已经指明不满足则响应文件按无效响应处理的条款，或者不能负偏离的条款，或者采购需求中带“▲”的条款。</w:t>
      </w:r>
    </w:p>
    <w:p w14:paraId="2831BB97">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14:paraId="16F65983">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2.10“负偏离”是指响应文件对磋商文件“采购需求”中有关条款作出的响应不满足条款要求，导致采购人要求不能得到满足的情形。</w:t>
      </w:r>
    </w:p>
    <w:p w14:paraId="03D4BF46">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13BA9B40">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78E2B04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3.供应商的资格条件</w:t>
      </w:r>
    </w:p>
    <w:p w14:paraId="2B917F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07CE131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4.竞标费用</w:t>
      </w:r>
    </w:p>
    <w:p w14:paraId="07BEB9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3AD1498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5.联合体竞标</w:t>
      </w:r>
    </w:p>
    <w:p w14:paraId="09FDD9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6A83F14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highlight w:val="none"/>
        </w:rPr>
        <w:t>如接受联合体竞标，</w:t>
      </w:r>
      <w:r>
        <w:rPr>
          <w:rFonts w:hint="eastAsia" w:ascii="宋体" w:hAnsi="宋体" w:cs="宋体"/>
          <w:color w:val="auto"/>
          <w:szCs w:val="21"/>
          <w:highlight w:val="none"/>
        </w:rPr>
        <w:t>联合体竞标要求详见“供应商须知前附表”。</w:t>
      </w:r>
    </w:p>
    <w:p w14:paraId="62CBC46C">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5.3</w:t>
      </w:r>
      <w:r>
        <w:rPr>
          <w:rFonts w:hint="eastAsia" w:ascii="宋体" w:hAnsi="宋体" w:cs="宋体"/>
          <w:color w:val="auto"/>
          <w:highlight w:val="none"/>
        </w:rPr>
        <w:t>根据《政府采购促进中小企业发展管理办法》及《广西壮族自治区财政厅关于持续优化政府采购营商环境推动高质量发展的通知》（桂财采〔2024〕55 号）的规定，接受大中型企业与小微企业组成联合体或者允许大中型企业向一家或者多家小微企业分包的采购项目，对于联合协议或者分包意向协议约定小微企业的合同份额占到合同总金额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30%以上的，采购人、采购代理机构应当对联合体或者大中型企业的报价给予6%（工程项目为 2%）的扣除，用扣除后的价格参加评审。</w:t>
      </w:r>
      <w:r>
        <w:rPr>
          <w:rFonts w:hint="eastAsia" w:ascii="宋体" w:hAnsi="宋体" w:cs="宋体"/>
          <w:bCs/>
          <w:color w:val="auto"/>
          <w:szCs w:val="21"/>
          <w:highlight w:val="none"/>
        </w:rPr>
        <w:t>组成联合体的小微企业与联合体内其他企业、分包企业之间存在直接控股、管理关系的，不享受价格扣除优惠政策。</w:t>
      </w:r>
    </w:p>
    <w:p w14:paraId="3E3B53B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6.转包与分包             </w:t>
      </w:r>
    </w:p>
    <w:p w14:paraId="0506EC86">
      <w:pPr>
        <w:spacing w:line="360" w:lineRule="auto"/>
        <w:ind w:left="420" w:leftChars="200"/>
        <w:rPr>
          <w:rFonts w:ascii="宋体" w:hAnsi="宋体" w:cs="宋体"/>
          <w:b/>
          <w:color w:val="auto"/>
          <w:szCs w:val="21"/>
          <w:highlight w:val="none"/>
        </w:rPr>
      </w:pPr>
      <w:bookmarkStart w:id="54" w:name="_Toc254970673"/>
      <w:bookmarkStart w:id="55" w:name="_Toc254970532"/>
      <w:r>
        <w:rPr>
          <w:rFonts w:hint="eastAsia" w:ascii="宋体" w:hAnsi="宋体" w:cs="宋体"/>
          <w:b/>
          <w:color w:val="auto"/>
          <w:szCs w:val="21"/>
          <w:highlight w:val="none"/>
        </w:rPr>
        <w:t>6.1本项目不允许转包。</w:t>
      </w:r>
    </w:p>
    <w:p w14:paraId="75AC72C5">
      <w:pPr>
        <w:spacing w:line="360" w:lineRule="auto"/>
        <w:ind w:firstLine="316" w:firstLineChars="150"/>
        <w:rPr>
          <w:rFonts w:ascii="宋体" w:hAnsi="宋体" w:cs="宋体"/>
          <w:b/>
          <w:color w:val="auto"/>
          <w:szCs w:val="21"/>
          <w:highlight w:val="none"/>
        </w:rPr>
      </w:pPr>
      <w:r>
        <w:rPr>
          <w:rFonts w:hint="eastAsia" w:ascii="宋体" w:hAnsi="宋体" w:cs="宋体"/>
          <w:b/>
          <w:color w:val="auto"/>
          <w:szCs w:val="21"/>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73BBE234">
      <w:pPr>
        <w:spacing w:line="360" w:lineRule="auto"/>
        <w:ind w:firstLine="316" w:firstLineChars="150"/>
        <w:rPr>
          <w:rFonts w:ascii="宋体" w:hAnsi="宋体" w:cs="宋体"/>
          <w:b/>
          <w:color w:val="auto"/>
          <w:szCs w:val="21"/>
          <w:highlight w:val="none"/>
        </w:rPr>
      </w:pPr>
      <w:r>
        <w:rPr>
          <w:rFonts w:hint="eastAsia" w:ascii="宋体" w:hAnsi="宋体" w:cs="宋体"/>
          <w:b/>
          <w:color w:val="auto"/>
          <w:szCs w:val="21"/>
          <w:highlight w:val="none"/>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09E1E1C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7.特别说明</w:t>
      </w:r>
      <w:bookmarkEnd w:id="54"/>
      <w:bookmarkEnd w:id="55"/>
    </w:p>
    <w:p w14:paraId="39A02128">
      <w:pPr>
        <w:spacing w:line="360" w:lineRule="auto"/>
        <w:ind w:firstLine="420" w:firstLineChars="200"/>
        <w:rPr>
          <w:rFonts w:ascii="宋体" w:hAnsi="宋体" w:cs="宋体"/>
          <w:color w:val="auto"/>
          <w:szCs w:val="21"/>
          <w:highlight w:val="none"/>
        </w:rPr>
      </w:pPr>
      <w:bookmarkStart w:id="56" w:name="_8.1提供相同品牌产品且通过资格审查、符合性审查的不同投标人参加同一合"/>
      <w:bookmarkEnd w:id="56"/>
      <w:r>
        <w:rPr>
          <w:rFonts w:hint="eastAsia" w:ascii="宋体" w:hAnsi="宋体" w:cs="宋体"/>
          <w:color w:val="auto"/>
          <w:szCs w:val="21"/>
          <w:highlight w:val="none"/>
        </w:rPr>
        <w:t>7.1</w:t>
      </w:r>
      <w:bookmarkStart w:id="57"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57"/>
    <w:p w14:paraId="4F24D1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14:paraId="528216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7.3供应商在竞标活动中提供任何疑似虚假材料，将报监管部门查处；签订合同后发现的，成交供应商须依照《中华人民共和国民法典》规定赔偿采购人，且民事赔偿并不免除违法供应商的行政与刑事责任。</w:t>
      </w:r>
    </w:p>
    <w:p w14:paraId="63944B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4B1803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735323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578D67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66D846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121212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5A4EF3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1EAE7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14:paraId="4BAF65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22E2F4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77BE1A9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5310090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2937EF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61F34D70">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14:paraId="4DEEB0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7.6供应商有下列情形之一的，属于恶意串通行为，将报同级监督管理部门：</w:t>
      </w:r>
    </w:p>
    <w:p w14:paraId="58F077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1C2F52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5E7BD5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4FBE79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5947BC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302993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4607611A">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bookmarkStart w:id="58" w:name="_Toc254970675"/>
      <w:bookmarkStart w:id="59" w:name="_Toc254970534"/>
    </w:p>
    <w:p w14:paraId="24250820">
      <w:pPr>
        <w:spacing w:line="360" w:lineRule="auto"/>
        <w:jc w:val="center"/>
        <w:rPr>
          <w:rFonts w:ascii="宋体" w:hAnsi="宋体" w:cs="宋体"/>
          <w:color w:val="auto"/>
          <w:szCs w:val="21"/>
          <w:highlight w:val="none"/>
        </w:rPr>
      </w:pPr>
      <w:r>
        <w:rPr>
          <w:rFonts w:hint="eastAsia" w:ascii="宋体" w:hAnsi="宋体" w:cs="宋体"/>
          <w:b/>
          <w:bCs/>
          <w:color w:val="auto"/>
          <w:sz w:val="32"/>
          <w:szCs w:val="32"/>
          <w:highlight w:val="none"/>
        </w:rPr>
        <w:t>二、磋商文件</w:t>
      </w:r>
      <w:bookmarkEnd w:id="58"/>
      <w:bookmarkEnd w:id="59"/>
    </w:p>
    <w:p w14:paraId="3BB579C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8.磋商文件的构成</w:t>
      </w:r>
    </w:p>
    <w:p w14:paraId="3C0CE1E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（1）竞争性磋商公告；</w:t>
      </w:r>
    </w:p>
    <w:p w14:paraId="5543B11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（2）供应商须知； </w:t>
      </w:r>
    </w:p>
    <w:p w14:paraId="20EC919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（3）采购需求；</w:t>
      </w:r>
    </w:p>
    <w:p w14:paraId="2E9A6BC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（4）评审程序、评审方法和评审标准；</w:t>
      </w:r>
    </w:p>
    <w:p w14:paraId="752693C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（5）响应文件格式；</w:t>
      </w:r>
    </w:p>
    <w:p w14:paraId="6400203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（6）合同文本。</w:t>
      </w:r>
    </w:p>
    <w:p w14:paraId="73E1DA8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9.供应商的询问</w:t>
      </w:r>
    </w:p>
    <w:p w14:paraId="3A89CF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14:paraId="53DDD2A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10.磋商文件的澄清和修改</w:t>
      </w:r>
    </w:p>
    <w:p w14:paraId="7FE835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通知所有获取磋商文件的供应商，不足5日的，应当顺延提交首次响应文件截止之日。</w:t>
      </w:r>
    </w:p>
    <w:p w14:paraId="0A4CE2A2">
      <w:pPr>
        <w:spacing w:line="360" w:lineRule="auto"/>
        <w:jc w:val="center"/>
        <w:rPr>
          <w:rFonts w:ascii="宋体" w:hAnsi="宋体" w:cs="宋体"/>
          <w:color w:val="auto"/>
          <w:szCs w:val="21"/>
          <w:highlight w:val="none"/>
        </w:rPr>
      </w:pPr>
      <w:r>
        <w:rPr>
          <w:rFonts w:hint="eastAsia" w:ascii="宋体" w:hAnsi="宋体" w:cs="宋体"/>
          <w:b/>
          <w:bCs/>
          <w:color w:val="auto"/>
          <w:sz w:val="32"/>
          <w:szCs w:val="32"/>
          <w:highlight w:val="none"/>
        </w:rPr>
        <w:t>三、响应文件的编制</w:t>
      </w:r>
    </w:p>
    <w:p w14:paraId="429F07E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11.响应文件的编制原则</w:t>
      </w:r>
    </w:p>
    <w:p w14:paraId="69FE81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63C0DCFA">
      <w:pPr>
        <w:pStyle w:val="99"/>
        <w:ind w:firstLine="422"/>
        <w:rPr>
          <w:rFonts w:ascii="宋体"/>
          <w:color w:val="auto"/>
          <w:highlight w:val="none"/>
        </w:rPr>
      </w:pPr>
      <w:r>
        <w:rPr>
          <w:rFonts w:hint="eastAsia" w:ascii="宋体"/>
          <w:b/>
          <w:color w:val="auto"/>
          <w:szCs w:val="21"/>
          <w:highlight w:val="none"/>
        </w:rPr>
        <w:t>注：本项目实行电子响应，供应商应准备电子响应文件按广西政府采购云平台要求及本磋商文件要求制作、加密并递交。具体操作流程可参考《政府采购项目电子交易管理操作指南-供应商》，指南可在“http://www.ccgp-guangxi.gov.cn/PurchaseAdvisory/ImportantNotice/2866753.html”下载。</w:t>
      </w:r>
    </w:p>
    <w:p w14:paraId="78EA3F9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12.响应文件的组成</w:t>
      </w:r>
    </w:p>
    <w:p w14:paraId="4D960C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12.1响应文件由资格证明文件、报价文件、商务技术文件三部分组成。</w:t>
      </w:r>
    </w:p>
    <w:p w14:paraId="10581461">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14:paraId="1E128AAF">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12.1.2报价文件：详见“供应商须知前附表”</w:t>
      </w:r>
    </w:p>
    <w:p w14:paraId="485F0CF4">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0180BB05">
      <w:pPr>
        <w:spacing w:line="360" w:lineRule="auto"/>
        <w:ind w:left="840" w:leftChars="200" w:hanging="420" w:hangingChars="200"/>
        <w:rPr>
          <w:rFonts w:ascii="宋体" w:hAnsi="宋体" w:cs="宋体"/>
          <w:color w:val="auto"/>
          <w:highlight w:val="none"/>
        </w:rPr>
      </w:pPr>
      <w:r>
        <w:rPr>
          <w:rFonts w:hint="eastAsia" w:ascii="宋体" w:hAnsi="宋体" w:cs="宋体"/>
          <w:color w:val="auto"/>
          <w:szCs w:val="21"/>
          <w:highlight w:val="none"/>
        </w:rPr>
        <w:t>12.2电子响应文件：详见“供应商须知前附表”</w:t>
      </w:r>
    </w:p>
    <w:p w14:paraId="4293622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13.计量单位</w:t>
      </w:r>
    </w:p>
    <w:p w14:paraId="2B28E9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5B86507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14.竞标的风险</w:t>
      </w:r>
    </w:p>
    <w:p w14:paraId="4AC8EA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18E7557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15.竞标报价</w:t>
      </w:r>
    </w:p>
    <w:p w14:paraId="7DC671A5">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15.1竞标报价应按磋商文件中“竞标报价表”格式填写。</w:t>
      </w:r>
    </w:p>
    <w:p w14:paraId="4102C8B8">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15.2竞标报价的内容见“供应商须知前附表”。</w:t>
      </w:r>
    </w:p>
    <w:p w14:paraId="22DB0566">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15.3竞标报价要求</w:t>
      </w:r>
    </w:p>
    <w:p w14:paraId="476AE9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15.3.1供应商的竞标报价应符合以下要求，否则响应文件按无效响应处理：</w:t>
      </w:r>
    </w:p>
    <w:p w14:paraId="6B919B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（1）供应商必须就“采购需求”中所竞标项目/分标的全部内容分别作完整唯一总价报价，不得存在漏项报价；</w:t>
      </w:r>
    </w:p>
    <w:p w14:paraId="4C0A71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（2）供应商必须就所竞标项目/分标的单项内容作唯一报价。</w:t>
      </w:r>
    </w:p>
    <w:p w14:paraId="47B6FB4B">
      <w:pPr>
        <w:spacing w:line="360" w:lineRule="auto"/>
        <w:ind w:firstLine="420" w:firstLineChars="200"/>
        <w:rPr>
          <w:rFonts w:ascii="宋体" w:hAnsi="宋体" w:cs="宋体"/>
          <w:color w:val="auto"/>
          <w:szCs w:val="21"/>
          <w:highlight w:val="none"/>
        </w:rPr>
      </w:pPr>
      <w:bookmarkStart w:id="60" w:name="_Hlk42592874"/>
      <w:r>
        <w:rPr>
          <w:rFonts w:hint="eastAsia" w:ascii="宋体" w:hAnsi="宋体" w:cs="宋体"/>
          <w:color w:val="auto"/>
          <w:szCs w:val="21"/>
          <w:highlight w:val="none"/>
        </w:rPr>
        <w:t>15.3.2竞标报价（包含首次报价、最后报价）超过所竞标项目/分标规定的采购预算金额或者最高限价的（如本项目公布了最高限价），其响应文件将作无效处理。</w:t>
      </w:r>
    </w:p>
    <w:p w14:paraId="51D34E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15.3.3竞标报价（包含首次报价、最后报价）超过分项采购预算金额或者最高限价的（如本项目公布了最高限价），其响应文件将作无效处理。</w:t>
      </w:r>
    </w:p>
    <w:bookmarkEnd w:id="60"/>
    <w:p w14:paraId="32681DD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16.竞标有效期</w:t>
      </w:r>
    </w:p>
    <w:p w14:paraId="5F4D14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2B164F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11FD65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 供应商的响应文件在竞标有效期内均保持有效。</w:t>
      </w:r>
    </w:p>
    <w:p w14:paraId="411DF65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17.磋商保证金</w:t>
      </w:r>
    </w:p>
    <w:p w14:paraId="358110EC">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3372FDFC">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14:paraId="5D8674A0">
      <w:pPr>
        <w:spacing w:line="360" w:lineRule="auto"/>
        <w:ind w:firstLine="420" w:firstLineChars="200"/>
        <w:rPr>
          <w:rFonts w:ascii="宋体" w:hAnsi="宋体" w:cs="宋体"/>
          <w:color w:val="auto"/>
          <w:szCs w:val="21"/>
          <w:highlight w:val="none"/>
        </w:rPr>
      </w:pPr>
      <w:bookmarkStart w:id="61" w:name="_Hlk66782243"/>
      <w:r>
        <w:rPr>
          <w:rFonts w:hint="eastAsia" w:ascii="宋体" w:hAnsi="宋体" w:cs="宋体"/>
          <w:color w:val="auto"/>
          <w:szCs w:val="21"/>
          <w:highlight w:val="none"/>
        </w:rPr>
        <w:t>（1）未</w:t>
      </w:r>
      <w:r>
        <w:rPr>
          <w:rFonts w:hint="eastAsia" w:ascii="宋体" w:hAnsi="宋体" w:cs="宋体"/>
          <w:color w:val="auto"/>
          <w:spacing w:val="-6"/>
          <w:szCs w:val="21"/>
          <w:highlight w:val="none"/>
        </w:rPr>
        <w:t>成交供应商的磋商保证金自成交通知书发出之日起5个工作日内退还；</w:t>
      </w:r>
      <w:r>
        <w:rPr>
          <w:rFonts w:hint="eastAsia" w:ascii="宋体" w:hAnsi="宋体" w:cs="宋体"/>
          <w:color w:val="auto"/>
          <w:szCs w:val="21"/>
          <w:highlight w:val="none"/>
        </w:rPr>
        <w:t>成交供应商的磋商保证金自签订合同之日起5个工作日内退还。</w:t>
      </w:r>
      <w:bookmarkEnd w:id="61"/>
      <w:r>
        <w:rPr>
          <w:rFonts w:hint="eastAsia" w:ascii="宋体" w:hAnsi="宋体" w:cs="宋体"/>
          <w:color w:val="auto"/>
          <w:szCs w:val="21"/>
          <w:highlight w:val="none"/>
        </w:rPr>
        <w:t xml:space="preserve"> </w:t>
      </w:r>
    </w:p>
    <w:p w14:paraId="0A35144A">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17.3磋商保证金不计息。</w:t>
      </w:r>
    </w:p>
    <w:p w14:paraId="31581F85">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1CBDF37B">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3E327812">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14:paraId="313521D5">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5E5FB3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14:paraId="186EA9C1">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68731299">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14:paraId="219D6E5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18.响应文件编制的要求</w:t>
      </w:r>
    </w:p>
    <w:p w14:paraId="2F9EFB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供应商应先安装“广西政府采购云平台新版客户端”（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14:paraId="0135E0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0AF120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18.3电子响应文件中须加盖供应商公章部分均采用CA签章，并根据“政府采购项目电子交易管理操作指南-供应商” 及本磋商采购文件规定的格式和顺序编制电子响应文件并进行关联定位，以便磋商小组在评审时，点击即可直接定位到该内容。如对磋商采购文件的某项要求，供应商的电子响应文件未能关联定位提供相应的内容与其对应，则磋商小组在评审时如做出对供应商不利的评审由供应商自行承担。电子响应文件如内容不完整、编排混乱导致响应文件被误读、 漏读，或者在按磋商采购文件规定的部位查找不到相关内容的，由供应商自行承担。</w:t>
      </w:r>
    </w:p>
    <w:p w14:paraId="5F8AF8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供应商法人（负责人）或授权代表持有广西政府采购云平台个人CA签章的，应在响应文件中涉及到签字的位置使用个人CA签章，没有办理广西政府采购云平台个人CA签章的可在响应文件中涉及到签字的位置手写签字后扫描或者拍照做成PDF的格式上传即可。</w:t>
      </w:r>
    </w:p>
    <w:p w14:paraId="716493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18.5响应文件中标注的供应商名称应与营业执照（事业单位法人证书、执业许可证、自然人身份证）及公章一致，否则其响应文件按无效响应处理。</w:t>
      </w:r>
    </w:p>
    <w:p w14:paraId="3A76B3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18.6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76D1FA0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19. 响应文件的加密、解密</w:t>
      </w:r>
    </w:p>
    <w:p w14:paraId="707139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19.1电子响应文件编制完成后，供应商应按广西政府采购云平台的要求进行加密，并在规定时间内解密，否则，由此产生的后果由供应商自行负责。</w:t>
      </w:r>
    </w:p>
    <w:p w14:paraId="42AD54E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20.响应文件的提交</w:t>
      </w:r>
    </w:p>
    <w:p w14:paraId="0E9E7B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20.1供应商必须在“供应商须知前附表”规定的时间和地点上传提交响应文件。</w:t>
      </w:r>
    </w:p>
    <w:p w14:paraId="70E871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20.2供应商在响应文件递交截止应确保成为广西政府采购云平台正式注册入库供应商，并完成 CA数字证书申领。因未注册入库、未办理CA数字证书等原因造成无法响应或响应失败等后果由供应商自行承担。</w:t>
      </w:r>
    </w:p>
    <w:p w14:paraId="2046A5D2">
      <w:pPr>
        <w:pStyle w:val="8"/>
        <w:spacing w:line="360" w:lineRule="auto"/>
        <w:rPr>
          <w:rFonts w:ascii="宋体" w:hAnsi="宋体" w:cs="宋体"/>
          <w:color w:val="auto"/>
          <w:szCs w:val="21"/>
          <w:highlight w:val="none"/>
        </w:rPr>
      </w:pPr>
      <w:r>
        <w:rPr>
          <w:rFonts w:hint="eastAsia" w:ascii="宋体" w:hAnsi="宋体" w:cs="宋体"/>
          <w:color w:val="auto"/>
          <w:szCs w:val="21"/>
          <w:highlight w:val="none"/>
        </w:rPr>
        <w:t>20.3供应商将广西政府采购云平台新版客户端下载、安装完成后，可通过账号密码或CA登录客户端进行响应文件制作。客户端请至网站下载专区查看，如有问题可拨打广西政府采购云平台</w:t>
      </w:r>
      <w:r>
        <w:rPr>
          <w:rFonts w:hint="eastAsia" w:ascii="宋体" w:hAnsi="宋体" w:cs="宋体"/>
          <w:color w:val="auto"/>
          <w:kern w:val="0"/>
          <w:szCs w:val="21"/>
          <w:highlight w:val="none"/>
        </w:rPr>
        <w:t>客服热线</w:t>
      </w:r>
      <w:r>
        <w:rPr>
          <w:rFonts w:hint="eastAsia" w:ascii="宋体" w:hAnsi="宋体" w:cs="宋体"/>
          <w:color w:val="auto"/>
          <w:szCs w:val="21"/>
          <w:highlight w:val="none"/>
        </w:rPr>
        <w:t>进行咨询。</w:t>
      </w:r>
    </w:p>
    <w:p w14:paraId="51541A8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20.4电子交易平台收到响应文件，将妥善保存并即时向供应商发出确认回执通知。在响应文件提交截止时间前，除供应商补充、修改或者撤回响应文件外，任何单位和个人不得解密或提取响应文件。</w:t>
      </w:r>
    </w:p>
    <w:p w14:paraId="228A20C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14:paraId="28176E0C">
      <w:pPr>
        <w:snapToGrid w:val="0"/>
        <w:spacing w:line="360" w:lineRule="auto"/>
        <w:ind w:firstLine="420"/>
        <w:jc w:val="left"/>
        <w:rPr>
          <w:rFonts w:ascii="宋体" w:hAnsi="宋体" w:cs="宋体"/>
          <w:color w:val="auto"/>
          <w:szCs w:val="21"/>
          <w:highlight w:val="none"/>
        </w:rPr>
      </w:pPr>
      <w:bookmarkStart w:id="62" w:name="_Toc254970543"/>
      <w:bookmarkStart w:id="63" w:name="_Toc254970684"/>
      <w:r>
        <w:rPr>
          <w:rFonts w:hint="eastAsia" w:ascii="宋体" w:hAnsi="宋体" w:cs="宋体"/>
          <w:color w:val="auto"/>
          <w:szCs w:val="21"/>
          <w:highlight w:val="none"/>
        </w:rPr>
        <w:t>21.1</w:t>
      </w:r>
      <w:r>
        <w:rPr>
          <w:rFonts w:hint="eastAsia" w:ascii="宋体" w:hAnsi="宋体" w:cs="宋体"/>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r>
        <w:rPr>
          <w:rFonts w:hint="eastAsia" w:ascii="宋体" w:hAnsi="宋体" w:cs="宋体"/>
          <w:color w:val="auto"/>
          <w:szCs w:val="21"/>
          <w:highlight w:val="none"/>
        </w:rPr>
        <w:t>（补充、修改或者撤回方式可登录</w:t>
      </w:r>
      <w:r>
        <w:rPr>
          <w:rFonts w:hint="eastAsia" w:ascii="宋体" w:hAnsi="宋体" w:cs="宋体"/>
          <w:color w:val="auto"/>
          <w:kern w:val="0"/>
          <w:szCs w:val="21"/>
          <w:highlight w:val="none"/>
        </w:rPr>
        <w:t>广西政府采购云平台，</w:t>
      </w:r>
      <w:r>
        <w:rPr>
          <w:rFonts w:hint="eastAsia" w:ascii="宋体" w:hAnsi="宋体" w:cs="宋体"/>
          <w:color w:val="auto"/>
          <w:szCs w:val="21"/>
          <w:highlight w:val="none"/>
        </w:rPr>
        <w:t>进入“服务中心”中查看“电子投标文件制作与投送教程”）</w:t>
      </w:r>
    </w:p>
    <w:bookmarkEnd w:id="62"/>
    <w:bookmarkEnd w:id="63"/>
    <w:p w14:paraId="25E58559">
      <w:pPr>
        <w:pStyle w:val="82"/>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21.2在提交响应文件截止时间前，除供应商补充、修改或者撤回响应文件外，任何单位和个人不得解密或提取响应文件。</w:t>
      </w:r>
    </w:p>
    <w:p w14:paraId="713969A4">
      <w:pPr>
        <w:spacing w:line="360" w:lineRule="auto"/>
        <w:ind w:firstLine="482" w:firstLineChars="200"/>
        <w:rPr>
          <w:rFonts w:ascii="宋体" w:hAnsi="宋体" w:cs="宋体"/>
          <w:b/>
          <w:bCs/>
          <w:color w:val="auto"/>
          <w:sz w:val="24"/>
          <w:highlight w:val="none"/>
        </w:rPr>
      </w:pPr>
      <w:bookmarkStart w:id="64" w:name="_Hlk45702405"/>
      <w:r>
        <w:rPr>
          <w:rFonts w:hint="eastAsia" w:ascii="宋体" w:hAnsi="宋体" w:cs="宋体"/>
          <w:b/>
          <w:bCs/>
          <w:color w:val="auto"/>
          <w:sz w:val="24"/>
          <w:highlight w:val="none"/>
        </w:rPr>
        <w:t>22.响应文件的退回</w:t>
      </w:r>
    </w:p>
    <w:p w14:paraId="4296AF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22.1在首次响应文件提交截止时间止提交响应文件的供应商不足3家时，采购代理机构将根据广西政府采购云平台的操作将电子版响应文件退回，除此之外采购人和采购代理机构对已提交的电子响应文件概不退回。</w:t>
      </w:r>
    </w:p>
    <w:p w14:paraId="29CE92C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23.截止时间后的撤回</w:t>
      </w:r>
    </w:p>
    <w:p w14:paraId="74E0C1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23.1供应商在响应文件提交截止时间后向采购人、采购代理机构书面申请撤回响应文件的，将根据本须知正文17.4的规定不予退还其磋商保证金。</w:t>
      </w:r>
      <w:bookmarkEnd w:id="64"/>
    </w:p>
    <w:p w14:paraId="6D774DC1">
      <w:pPr>
        <w:spacing w:line="360" w:lineRule="auto"/>
        <w:ind w:left="420" w:firstLine="420"/>
        <w:jc w:val="center"/>
        <w:rPr>
          <w:rFonts w:ascii="宋体" w:hAnsi="宋体" w:cs="宋体"/>
          <w:color w:val="auto"/>
          <w:szCs w:val="21"/>
          <w:highlight w:val="none"/>
        </w:rPr>
      </w:pPr>
      <w:r>
        <w:rPr>
          <w:rFonts w:hint="eastAsia" w:ascii="宋体" w:hAnsi="宋体" w:cs="宋体"/>
          <w:b/>
          <w:bCs/>
          <w:color w:val="auto"/>
          <w:sz w:val="32"/>
          <w:szCs w:val="32"/>
          <w:highlight w:val="none"/>
        </w:rPr>
        <w:t>四、评审及磋商</w:t>
      </w:r>
    </w:p>
    <w:p w14:paraId="14EECA3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24.磋商小组成立</w:t>
      </w:r>
    </w:p>
    <w:p w14:paraId="27CF94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19389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741EFEA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24.3</w:t>
      </w:r>
      <w:r>
        <w:rPr>
          <w:rFonts w:hint="eastAsia" w:ascii="宋体" w:hAnsi="宋体" w:cs="宋体"/>
          <w:bCs/>
          <w:color w:val="auto"/>
          <w:szCs w:val="21"/>
          <w:highlight w:val="none"/>
        </w:rPr>
        <w:t>采购代理机构</w:t>
      </w:r>
      <w:r>
        <w:rPr>
          <w:rFonts w:hint="eastAsia" w:ascii="宋体" w:hAnsi="宋体" w:cs="宋体"/>
          <w:bCs/>
          <w:color w:val="auto"/>
          <w:highlight w:val="none"/>
        </w:rPr>
        <w:t>应当</w:t>
      </w:r>
      <w:r>
        <w:rPr>
          <w:rFonts w:hint="eastAsia" w:ascii="宋体" w:hAnsi="宋体" w:cs="宋体"/>
          <w:bCs/>
          <w:color w:val="auto"/>
          <w:szCs w:val="21"/>
          <w:highlight w:val="none"/>
        </w:rPr>
        <w:t>基于广西政府采购云平台</w:t>
      </w:r>
      <w:r>
        <w:rPr>
          <w:rFonts w:hint="eastAsia" w:ascii="宋体" w:hAnsi="宋体" w:cs="宋体"/>
          <w:bCs/>
          <w:color w:val="auto"/>
          <w:highlight w:val="none"/>
        </w:rPr>
        <w:t>抽（选）取</w:t>
      </w:r>
      <w:r>
        <w:rPr>
          <w:rFonts w:hint="eastAsia" w:ascii="宋体" w:hAnsi="宋体" w:cs="宋体"/>
          <w:bCs/>
          <w:color w:val="auto"/>
          <w:szCs w:val="21"/>
          <w:highlight w:val="none"/>
        </w:rPr>
        <w:t>评审专家。</w:t>
      </w:r>
    </w:p>
    <w:p w14:paraId="641CE17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25.首次响应文件的开启和解密</w:t>
      </w:r>
    </w:p>
    <w:p w14:paraId="4301F8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25.1首次响应文件由磋商小组或者采购代理机构在“供应商须知前附表”规定的时间开启。</w:t>
      </w:r>
    </w:p>
    <w:p w14:paraId="3DA287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25.2 响应文件解密：采购代理机构将在“供应商须知前附表”规定的时间通过电子交易平台组织响应文件开启，采购代理机构将依托电子交易平台发起开始解密指令，</w:t>
      </w:r>
      <w:r>
        <w:rPr>
          <w:rFonts w:hint="eastAsia" w:ascii="宋体" w:hAnsi="宋体" w:cs="宋体"/>
          <w:b/>
          <w:color w:val="auto"/>
          <w:szCs w:val="21"/>
          <w:highlight w:val="none"/>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cs="宋体"/>
          <w:b/>
          <w:bCs/>
          <w:color w:val="auto"/>
          <w:szCs w:val="21"/>
          <w:highlight w:val="none"/>
        </w:rPr>
        <w:t>响应文件未按时解密的，</w:t>
      </w:r>
      <w:r>
        <w:rPr>
          <w:rFonts w:hint="eastAsia" w:ascii="宋体" w:hAnsi="宋体" w:cs="宋体"/>
          <w:b/>
          <w:color w:val="auto"/>
          <w:szCs w:val="21"/>
          <w:highlight w:val="none"/>
        </w:rPr>
        <w:t>视为响应</w:t>
      </w:r>
      <w:r>
        <w:rPr>
          <w:rFonts w:hint="eastAsia" w:ascii="宋体" w:hAnsi="宋体" w:cs="宋体"/>
          <w:b/>
          <w:bCs/>
          <w:color w:val="auto"/>
          <w:szCs w:val="21"/>
          <w:highlight w:val="none"/>
        </w:rPr>
        <w:t>文件无效。</w:t>
      </w:r>
      <w:r>
        <w:rPr>
          <w:rFonts w:hint="eastAsia" w:ascii="宋体" w:hAnsi="宋体" w:cs="宋体"/>
          <w:color w:val="auto"/>
          <w:szCs w:val="21"/>
          <w:highlight w:val="none"/>
        </w:rPr>
        <w:t>（解密异常情况处理：详见本章26.5电子交易活动的中止。）</w:t>
      </w:r>
    </w:p>
    <w:p w14:paraId="1F4409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25.3成功解密响应文件的供应商不足3家的，不得磋商。</w:t>
      </w:r>
    </w:p>
    <w:p w14:paraId="1039AEE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26.评审程序、评审方法和评审标准</w:t>
      </w:r>
    </w:p>
    <w:p w14:paraId="0FF6D5A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26.1本项目的评审方法为综合评分法。</w:t>
      </w:r>
    </w:p>
    <w:p w14:paraId="0B6FB2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26.2磋商小组按照“第四章 评审程序、评审方法和评审标准”规定的方法、评审因素、标准和程序对响应文件进行评审。</w:t>
      </w:r>
    </w:p>
    <w:p w14:paraId="571147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26.3 商务/技术要求允许负偏离的条款数详见“供应商须知前附表”。</w:t>
      </w:r>
    </w:p>
    <w:p w14:paraId="4CF1A79C">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26.4磋商小组成员要依法独立评审，并对评审意见承担个人责任。磋商小组成员对需要共同认定的事项存在争议的，按照少数服从多数的原则作出结论。持不同意见的磋商小组成员应当在评审报告上签署不同意见并说明理由，否则视为同意。</w:t>
      </w:r>
    </w:p>
    <w:p w14:paraId="6DB7F3E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26.5电子交易活动的中止。采购过程中出现以下情形，导致电子交易平台无法正常运行，或者无法保证电子交易的公平、公正和安全时，采购机构可中止电子交易活动：</w:t>
      </w:r>
    </w:p>
    <w:p w14:paraId="45148B6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4035E2E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6E4DF5D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3FDCBE4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127C71C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14:paraId="4B268E4D">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26.6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做出妥善保密处理，并报财政部门备案。</w:t>
      </w:r>
    </w:p>
    <w:p w14:paraId="212E0F1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14:paraId="7F05CD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CA9BA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65" w:name="_Hlk66782294"/>
      <w:r>
        <w:rPr>
          <w:rFonts w:hint="eastAsia" w:ascii="宋体" w:hAnsi="宋体" w:cs="宋体"/>
          <w:color w:val="auto"/>
          <w:szCs w:val="21"/>
          <w:highlight w:val="none"/>
        </w:rPr>
        <w:t>成交供应商享受《政府采购促进中小企业发展管理办法》（财库〔2020〕46号）及《广西壮族自治区财政厅关于持续优化政府采购营商环境推动高质量发展的通知》（桂财采〔2024〕55 号）规定的中小企业扶持政策的，采购人、采购代理机构应当随成交结果公开成交供应商的《中小企业声明函》。</w:t>
      </w:r>
      <w:bookmarkEnd w:id="65"/>
      <w:r>
        <w:rPr>
          <w:rFonts w:hint="eastAsia" w:ascii="宋体" w:hAnsi="宋体" w:cs="宋体"/>
          <w:color w:val="auto"/>
          <w:highlight w:val="none"/>
        </w:rPr>
        <w:t>依据《关于进一步提高政府采购透明度和采购效率相关事项的通知》（财库办2023（243号）规定，在成交结果时应当同时公告成交供应商的评审总得分。</w:t>
      </w:r>
    </w:p>
    <w:p w14:paraId="365696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27.3出现下列情形之一的，采购人或者采购代理机构应当终止竞争性磋商采购活动，发布项目终止公告并说明原因，重新开展采购活动：</w:t>
      </w:r>
    </w:p>
    <w:p w14:paraId="32D1BE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（1）因情况变化，不再符合规定的竞争性磋商采购方式适用情形的；</w:t>
      </w:r>
    </w:p>
    <w:p w14:paraId="33799D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14:paraId="5BAAE9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（3）除“第四章 评审程序、评审方法和评审标准”第4.3条规定的情形外，在采购过程中符合要求的供应商或者报价未超过采购预算的供应商不足3家的。</w:t>
      </w:r>
    </w:p>
    <w:p w14:paraId="46D189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6F8191B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28.履约保证金</w:t>
      </w:r>
    </w:p>
    <w:p w14:paraId="58C06668">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28.1履约保证金的金额、提交方式、退付的时间和条件详见 “供应商须知前附表”。成交供应商未按规定提交履约保证金的，视为拒绝</w:t>
      </w:r>
      <w:r>
        <w:rPr>
          <w:rFonts w:hint="eastAsia" w:ascii="宋体" w:hAnsi="宋体" w:cs="宋体"/>
          <w:color w:val="auto"/>
          <w:highlight w:val="none"/>
        </w:rPr>
        <w:t>与采购人</w:t>
      </w:r>
      <w:r>
        <w:rPr>
          <w:rFonts w:hint="eastAsia" w:ascii="宋体" w:hAnsi="宋体" w:cs="宋体"/>
          <w:color w:val="auto"/>
          <w:szCs w:val="21"/>
          <w:highlight w:val="none"/>
        </w:rPr>
        <w:t>签订合同，采购人可以按照评审报告推荐的成交候选人名单排序，依法确定下一候选人为成交供应商，也可以重新开展政府采购活动。</w:t>
      </w:r>
    </w:p>
    <w:p w14:paraId="68259BE4">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28.2签订合同后，如成交供应商不按双方签订的合同规定履约，则没收其全部履约保证金，履约保证金不足以赔偿损失的，按实际损失赔偿。</w:t>
      </w:r>
    </w:p>
    <w:p w14:paraId="05DA5A31">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28.3在履约保证金退还日期前，若成交供应商的开户名称、开户银行、账号有变动的，请以书面形式通知履约保证金收取单位，否则由此产生的后果由成交供应商自行承担。</w:t>
      </w:r>
    </w:p>
    <w:p w14:paraId="24C2AD8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29.签订合同</w:t>
      </w:r>
    </w:p>
    <w:p w14:paraId="5B88799F">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1DAEB795">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52C59B68">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01E7BB2D">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29.3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32047162">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F7E93BE">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65F6DA61">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4A24ACE7">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7C0A08C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30.政府采购合同公告</w:t>
      </w:r>
    </w:p>
    <w:p w14:paraId="2800E6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45A3658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31. 询问、质疑和投诉</w:t>
      </w:r>
    </w:p>
    <w:p w14:paraId="287B773D">
      <w:pPr>
        <w:pStyle w:val="8"/>
        <w:spacing w:line="360" w:lineRule="auto"/>
        <w:rPr>
          <w:rFonts w:ascii="宋体" w:hAnsi="宋体" w:cs="宋体"/>
          <w:color w:val="auto"/>
          <w:szCs w:val="21"/>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r>
        <w:rPr>
          <w:rFonts w:hint="eastAsia" w:ascii="宋体" w:hAnsi="宋体" w:cs="宋体"/>
          <w:color w:val="auto"/>
          <w:szCs w:val="21"/>
          <w:highlight w:val="none"/>
        </w:rPr>
        <w:t>但答复的内容不得涉及商业秘密</w:t>
      </w:r>
      <w:r>
        <w:rPr>
          <w:rFonts w:hint="eastAsia" w:ascii="宋体" w:hAnsi="宋体" w:cs="宋体"/>
          <w:color w:val="auto"/>
          <w:highlight w:val="none"/>
        </w:rPr>
        <w:t>。</w:t>
      </w:r>
    </w:p>
    <w:p w14:paraId="239A2EA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6CFCD88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（1）对可以质疑的磋商文件提出质疑的，为收到磋商文件之日或者竞争性磋商公告期限届满之日；</w:t>
      </w:r>
    </w:p>
    <w:p w14:paraId="3B0B38F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38951CB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4B7A9EA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3A2512C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14:paraId="3B4F542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6D5B7A6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6973003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7BDCB05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5C671DA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7AE9744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691F5F4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7396EE5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0042B81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1A9CB8E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096E1D0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605C9D11">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C028D6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32.其他内容</w:t>
      </w:r>
    </w:p>
    <w:p w14:paraId="68F811AB">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32.1代理服务费收取标准及缴费账户详见“供应商须知前附表”，供应商为联合体的，可以由联合体中的一方或者多方共同交纳代理服务费。</w:t>
      </w:r>
    </w:p>
    <w:p w14:paraId="0FCAB81F">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32.2代理服务费收费计算标准：</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7"/>
        <w:gridCol w:w="1837"/>
        <w:gridCol w:w="1697"/>
        <w:gridCol w:w="1714"/>
      </w:tblGrid>
      <w:tr w14:paraId="443B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7" w:type="dxa"/>
            <w:tcBorders>
              <w:top w:val="single" w:color="auto" w:sz="12" w:space="0"/>
              <w:left w:val="single" w:color="auto" w:sz="12" w:space="0"/>
              <w:tl2br w:val="single" w:color="auto" w:sz="12" w:space="0"/>
            </w:tcBorders>
          </w:tcPr>
          <w:p w14:paraId="6F063F6C">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5DBBFAFC">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837" w:type="dxa"/>
            <w:tcBorders>
              <w:top w:val="single" w:color="auto" w:sz="12" w:space="0"/>
            </w:tcBorders>
            <w:vAlign w:val="center"/>
          </w:tcPr>
          <w:p w14:paraId="0F986CFE">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697" w:type="dxa"/>
            <w:tcBorders>
              <w:top w:val="single" w:color="auto" w:sz="12" w:space="0"/>
            </w:tcBorders>
            <w:vAlign w:val="center"/>
          </w:tcPr>
          <w:p w14:paraId="6599FEC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714" w:type="dxa"/>
            <w:tcBorders>
              <w:top w:val="single" w:color="auto" w:sz="12" w:space="0"/>
              <w:right w:val="single" w:color="auto" w:sz="12" w:space="0"/>
            </w:tcBorders>
            <w:vAlign w:val="center"/>
          </w:tcPr>
          <w:p w14:paraId="5FCFDC1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05B2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7" w:type="dxa"/>
            <w:tcBorders>
              <w:left w:val="single" w:color="auto" w:sz="12" w:space="0"/>
            </w:tcBorders>
          </w:tcPr>
          <w:p w14:paraId="425D27B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100万元以下</w:t>
            </w:r>
          </w:p>
        </w:tc>
        <w:tc>
          <w:tcPr>
            <w:tcW w:w="1837" w:type="dxa"/>
          </w:tcPr>
          <w:p w14:paraId="0AC96AA8">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1.5%</w:t>
            </w:r>
          </w:p>
        </w:tc>
        <w:tc>
          <w:tcPr>
            <w:tcW w:w="1697" w:type="dxa"/>
          </w:tcPr>
          <w:p w14:paraId="6C0D53F8">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1.5%</w:t>
            </w:r>
          </w:p>
        </w:tc>
        <w:tc>
          <w:tcPr>
            <w:tcW w:w="1714" w:type="dxa"/>
            <w:tcBorders>
              <w:right w:val="single" w:color="auto" w:sz="12" w:space="0"/>
            </w:tcBorders>
          </w:tcPr>
          <w:p w14:paraId="565B3FFD">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1.0%</w:t>
            </w:r>
          </w:p>
        </w:tc>
      </w:tr>
      <w:tr w14:paraId="098E5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7" w:type="dxa"/>
            <w:tcBorders>
              <w:left w:val="single" w:color="auto" w:sz="12" w:space="0"/>
            </w:tcBorders>
          </w:tcPr>
          <w:p w14:paraId="30B6F0C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100～500万元</w:t>
            </w:r>
          </w:p>
        </w:tc>
        <w:tc>
          <w:tcPr>
            <w:tcW w:w="1837" w:type="dxa"/>
          </w:tcPr>
          <w:p w14:paraId="7540D33E">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1.1%</w:t>
            </w:r>
          </w:p>
        </w:tc>
        <w:tc>
          <w:tcPr>
            <w:tcW w:w="1697" w:type="dxa"/>
          </w:tcPr>
          <w:p w14:paraId="52F4EB82">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0.8%</w:t>
            </w:r>
          </w:p>
        </w:tc>
        <w:tc>
          <w:tcPr>
            <w:tcW w:w="1714" w:type="dxa"/>
            <w:tcBorders>
              <w:right w:val="single" w:color="auto" w:sz="12" w:space="0"/>
            </w:tcBorders>
          </w:tcPr>
          <w:p w14:paraId="18FBA8FB">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0.7%</w:t>
            </w:r>
          </w:p>
        </w:tc>
      </w:tr>
      <w:tr w14:paraId="0F8B5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7" w:type="dxa"/>
            <w:tcBorders>
              <w:left w:val="single" w:color="auto" w:sz="12" w:space="0"/>
            </w:tcBorders>
          </w:tcPr>
          <w:p w14:paraId="345F436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500～1000万元</w:t>
            </w:r>
          </w:p>
        </w:tc>
        <w:tc>
          <w:tcPr>
            <w:tcW w:w="1837" w:type="dxa"/>
          </w:tcPr>
          <w:p w14:paraId="45A9A9EC">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0.8%</w:t>
            </w:r>
          </w:p>
        </w:tc>
        <w:tc>
          <w:tcPr>
            <w:tcW w:w="1697" w:type="dxa"/>
          </w:tcPr>
          <w:p w14:paraId="18E8A4F8">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0.45%</w:t>
            </w:r>
          </w:p>
        </w:tc>
        <w:tc>
          <w:tcPr>
            <w:tcW w:w="1714" w:type="dxa"/>
            <w:tcBorders>
              <w:right w:val="single" w:color="auto" w:sz="12" w:space="0"/>
            </w:tcBorders>
          </w:tcPr>
          <w:p w14:paraId="300D7697">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0.55%</w:t>
            </w:r>
          </w:p>
        </w:tc>
      </w:tr>
      <w:tr w14:paraId="46F8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7" w:type="dxa"/>
            <w:tcBorders>
              <w:left w:val="single" w:color="auto" w:sz="12" w:space="0"/>
            </w:tcBorders>
          </w:tcPr>
          <w:p w14:paraId="6F97392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1000～5000万元</w:t>
            </w:r>
          </w:p>
        </w:tc>
        <w:tc>
          <w:tcPr>
            <w:tcW w:w="1837" w:type="dxa"/>
          </w:tcPr>
          <w:p w14:paraId="1779810A">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0.5%</w:t>
            </w:r>
          </w:p>
        </w:tc>
        <w:tc>
          <w:tcPr>
            <w:tcW w:w="1697" w:type="dxa"/>
          </w:tcPr>
          <w:p w14:paraId="2B5822B1">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0.25%</w:t>
            </w:r>
          </w:p>
        </w:tc>
        <w:tc>
          <w:tcPr>
            <w:tcW w:w="1714" w:type="dxa"/>
            <w:tcBorders>
              <w:right w:val="single" w:color="auto" w:sz="12" w:space="0"/>
            </w:tcBorders>
          </w:tcPr>
          <w:p w14:paraId="6F37B3C5">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0.35%</w:t>
            </w:r>
          </w:p>
        </w:tc>
      </w:tr>
      <w:tr w14:paraId="5CF2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7" w:type="dxa"/>
            <w:tcBorders>
              <w:left w:val="single" w:color="auto" w:sz="12" w:space="0"/>
            </w:tcBorders>
          </w:tcPr>
          <w:p w14:paraId="447D1E8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5000万元～1亿元</w:t>
            </w:r>
          </w:p>
        </w:tc>
        <w:tc>
          <w:tcPr>
            <w:tcW w:w="1837" w:type="dxa"/>
          </w:tcPr>
          <w:p w14:paraId="0F083CF1">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0.25%</w:t>
            </w:r>
          </w:p>
        </w:tc>
        <w:tc>
          <w:tcPr>
            <w:tcW w:w="1697" w:type="dxa"/>
          </w:tcPr>
          <w:p w14:paraId="4A16A99D">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0.1%</w:t>
            </w:r>
          </w:p>
        </w:tc>
        <w:tc>
          <w:tcPr>
            <w:tcW w:w="1714" w:type="dxa"/>
            <w:tcBorders>
              <w:right w:val="single" w:color="auto" w:sz="12" w:space="0"/>
            </w:tcBorders>
          </w:tcPr>
          <w:p w14:paraId="6275D17C">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0.2%</w:t>
            </w:r>
          </w:p>
        </w:tc>
      </w:tr>
      <w:tr w14:paraId="4D09B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7" w:type="dxa"/>
            <w:tcBorders>
              <w:left w:val="single" w:color="auto" w:sz="12" w:space="0"/>
            </w:tcBorders>
          </w:tcPr>
          <w:p w14:paraId="5E2566C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1～5亿元</w:t>
            </w:r>
          </w:p>
        </w:tc>
        <w:tc>
          <w:tcPr>
            <w:tcW w:w="1837" w:type="dxa"/>
          </w:tcPr>
          <w:p w14:paraId="5BE5A86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0.05%</w:t>
            </w:r>
          </w:p>
        </w:tc>
        <w:tc>
          <w:tcPr>
            <w:tcW w:w="1697" w:type="dxa"/>
          </w:tcPr>
          <w:p w14:paraId="147A60C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0.05%</w:t>
            </w:r>
          </w:p>
        </w:tc>
        <w:tc>
          <w:tcPr>
            <w:tcW w:w="1714" w:type="dxa"/>
            <w:tcBorders>
              <w:right w:val="single" w:color="auto" w:sz="12" w:space="0"/>
            </w:tcBorders>
          </w:tcPr>
          <w:p w14:paraId="35DF27E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0.05%</w:t>
            </w:r>
          </w:p>
        </w:tc>
      </w:tr>
      <w:tr w14:paraId="2BB9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7" w:type="dxa"/>
            <w:tcBorders>
              <w:left w:val="single" w:color="auto" w:sz="12" w:space="0"/>
            </w:tcBorders>
          </w:tcPr>
          <w:p w14:paraId="08273BD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5～10亿元</w:t>
            </w:r>
          </w:p>
        </w:tc>
        <w:tc>
          <w:tcPr>
            <w:tcW w:w="1837" w:type="dxa"/>
          </w:tcPr>
          <w:p w14:paraId="643058F6">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0.035%</w:t>
            </w:r>
          </w:p>
        </w:tc>
        <w:tc>
          <w:tcPr>
            <w:tcW w:w="1697" w:type="dxa"/>
          </w:tcPr>
          <w:p w14:paraId="2DD1C0B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0.035%</w:t>
            </w:r>
          </w:p>
        </w:tc>
        <w:tc>
          <w:tcPr>
            <w:tcW w:w="1714" w:type="dxa"/>
            <w:tcBorders>
              <w:right w:val="single" w:color="auto" w:sz="12" w:space="0"/>
            </w:tcBorders>
          </w:tcPr>
          <w:p w14:paraId="62DBF7A9">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0.035%</w:t>
            </w:r>
          </w:p>
        </w:tc>
      </w:tr>
      <w:tr w14:paraId="73524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7" w:type="dxa"/>
            <w:tcBorders>
              <w:left w:val="single" w:color="auto" w:sz="12" w:space="0"/>
            </w:tcBorders>
          </w:tcPr>
          <w:p w14:paraId="74975F1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10～50亿元</w:t>
            </w:r>
          </w:p>
        </w:tc>
        <w:tc>
          <w:tcPr>
            <w:tcW w:w="1837" w:type="dxa"/>
          </w:tcPr>
          <w:p w14:paraId="6E27884F">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0.008%</w:t>
            </w:r>
          </w:p>
        </w:tc>
        <w:tc>
          <w:tcPr>
            <w:tcW w:w="1697" w:type="dxa"/>
          </w:tcPr>
          <w:p w14:paraId="7DA53D4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0.008%</w:t>
            </w:r>
          </w:p>
        </w:tc>
        <w:tc>
          <w:tcPr>
            <w:tcW w:w="1714" w:type="dxa"/>
            <w:tcBorders>
              <w:right w:val="single" w:color="auto" w:sz="12" w:space="0"/>
            </w:tcBorders>
          </w:tcPr>
          <w:p w14:paraId="472BB883">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0.008%</w:t>
            </w:r>
          </w:p>
        </w:tc>
      </w:tr>
      <w:tr w14:paraId="6989C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7" w:type="dxa"/>
            <w:tcBorders>
              <w:left w:val="single" w:color="auto" w:sz="12" w:space="0"/>
            </w:tcBorders>
          </w:tcPr>
          <w:p w14:paraId="35AB536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50～100亿元</w:t>
            </w:r>
          </w:p>
        </w:tc>
        <w:tc>
          <w:tcPr>
            <w:tcW w:w="1837" w:type="dxa"/>
          </w:tcPr>
          <w:p w14:paraId="08ABD24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0.006%</w:t>
            </w:r>
          </w:p>
        </w:tc>
        <w:tc>
          <w:tcPr>
            <w:tcW w:w="1697" w:type="dxa"/>
          </w:tcPr>
          <w:p w14:paraId="42AE3C7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0.006%</w:t>
            </w:r>
          </w:p>
        </w:tc>
        <w:tc>
          <w:tcPr>
            <w:tcW w:w="1714" w:type="dxa"/>
            <w:tcBorders>
              <w:right w:val="single" w:color="auto" w:sz="12" w:space="0"/>
            </w:tcBorders>
          </w:tcPr>
          <w:p w14:paraId="315373AF">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0.006%</w:t>
            </w:r>
          </w:p>
        </w:tc>
      </w:tr>
      <w:tr w14:paraId="082C2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7" w:type="dxa"/>
            <w:tcBorders>
              <w:left w:val="single" w:color="auto" w:sz="12" w:space="0"/>
              <w:bottom w:val="single" w:color="auto" w:sz="12" w:space="0"/>
            </w:tcBorders>
          </w:tcPr>
          <w:p w14:paraId="6581E93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100亿以上</w:t>
            </w:r>
          </w:p>
        </w:tc>
        <w:tc>
          <w:tcPr>
            <w:tcW w:w="1837" w:type="dxa"/>
            <w:tcBorders>
              <w:bottom w:val="single" w:color="auto" w:sz="12" w:space="0"/>
            </w:tcBorders>
          </w:tcPr>
          <w:p w14:paraId="43DD33B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0.004%</w:t>
            </w:r>
          </w:p>
        </w:tc>
        <w:tc>
          <w:tcPr>
            <w:tcW w:w="1697" w:type="dxa"/>
            <w:tcBorders>
              <w:bottom w:val="single" w:color="auto" w:sz="12" w:space="0"/>
            </w:tcBorders>
          </w:tcPr>
          <w:p w14:paraId="181668B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0.004%</w:t>
            </w:r>
          </w:p>
        </w:tc>
        <w:tc>
          <w:tcPr>
            <w:tcW w:w="1714" w:type="dxa"/>
            <w:tcBorders>
              <w:bottom w:val="single" w:color="auto" w:sz="12" w:space="0"/>
              <w:right w:val="single" w:color="auto" w:sz="12" w:space="0"/>
            </w:tcBorders>
          </w:tcPr>
          <w:p w14:paraId="2EBC483E">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0.004%</w:t>
            </w:r>
          </w:p>
        </w:tc>
      </w:tr>
    </w:tbl>
    <w:p w14:paraId="21DA12B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注：</w:t>
      </w:r>
    </w:p>
    <w:p w14:paraId="460DBFF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（1）按本表费率计算的收费为采购代理的收费基准价格；</w:t>
      </w:r>
    </w:p>
    <w:p w14:paraId="18894DE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szCs w:val="21"/>
          <w:highlight w:val="none"/>
        </w:rPr>
        <w:t>采购代理</w:t>
      </w:r>
      <w:r>
        <w:rPr>
          <w:rFonts w:hint="eastAsia" w:ascii="宋体" w:hAnsi="宋体" w:cs="宋体"/>
          <w:color w:val="auto"/>
          <w:highlight w:val="none"/>
        </w:rPr>
        <w:t>收费按差额定率累进法计算。</w:t>
      </w:r>
    </w:p>
    <w:p w14:paraId="667D759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例如：某服务采购代理业务成交金额或者暂定价为150万元，计算采购代理收费额如下：</w:t>
      </w:r>
    </w:p>
    <w:p w14:paraId="761545A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100万元×l.5 %＝1.5万元</w:t>
      </w:r>
    </w:p>
    <w:p w14:paraId="291DCDB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（150－100）万元×0.8%＝0.4万元</w:t>
      </w:r>
    </w:p>
    <w:p w14:paraId="7768D7C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合计收费＝1.5＋0.4＝1.9万元</w:t>
      </w:r>
    </w:p>
    <w:p w14:paraId="0C2B4E1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33.需要补充的其他内容</w:t>
      </w:r>
    </w:p>
    <w:p w14:paraId="745F2C1B">
      <w:pPr>
        <w:pStyle w:val="18"/>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33.1本磋商文件解释规则详见“供应商须知前附表”。</w:t>
      </w:r>
    </w:p>
    <w:p w14:paraId="022BF5A8">
      <w:pPr>
        <w:pStyle w:val="18"/>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33.2 其他事项详见“供应商须知前附表”。</w:t>
      </w:r>
    </w:p>
    <w:p w14:paraId="6B7BEC98">
      <w:pPr>
        <w:pStyle w:val="18"/>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33.3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0C3076C4">
      <w:pPr>
        <w:pStyle w:val="18"/>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3A48E4D7">
      <w:pPr>
        <w:pStyle w:val="18"/>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197FE952">
      <w:pPr>
        <w:pStyle w:val="18"/>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5B26A0C4">
      <w:pPr>
        <w:pStyle w:val="18"/>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73F25EF5">
      <w:pPr>
        <w:pStyle w:val="18"/>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依据本磋商文件规定享受扶持政策获得政府采购合同的，小微企业不得将合同分包给大中型企业，中型企业不得将合同分包给大型企业。</w:t>
      </w:r>
    </w:p>
    <w:p w14:paraId="3431E274">
      <w:pPr>
        <w:pStyle w:val="18"/>
        <w:spacing w:line="400" w:lineRule="exact"/>
        <w:ind w:firstLine="420" w:firstLineChars="200"/>
        <w:contextualSpacing/>
        <w:rPr>
          <w:rFonts w:hAnsi="宋体" w:cs="宋体"/>
          <w:color w:val="auto"/>
          <w:sz w:val="21"/>
          <w:highlight w:val="none"/>
        </w:rPr>
      </w:pPr>
      <w:r>
        <w:rPr>
          <w:rFonts w:hint="eastAsia" w:hAnsi="宋体" w:cs="宋体"/>
          <w:color w:val="auto"/>
          <w:sz w:val="21"/>
          <w:highlight w:val="none"/>
        </w:rPr>
        <w:t>33.4.广西线上“政采贷”政策</w:t>
      </w:r>
      <w:r>
        <w:rPr>
          <w:rFonts w:hint="eastAsia" w:hAnsi="宋体" w:cs="宋体"/>
          <w:b/>
          <w:color w:val="auto"/>
          <w:sz w:val="21"/>
          <w:highlight w:val="none"/>
        </w:rPr>
        <w:t>（详见附件1）</w:t>
      </w:r>
    </w:p>
    <w:p w14:paraId="78C942F2">
      <w:pP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5C1A30B4">
      <w:pPr>
        <w:rPr>
          <w:rFonts w:hAnsi="宋体" w:cs="宋体"/>
          <w:b/>
          <w:color w:val="auto"/>
          <w:sz w:val="32"/>
          <w:szCs w:val="32"/>
          <w:highlight w:val="none"/>
        </w:rPr>
      </w:pPr>
      <w:r>
        <w:rPr>
          <w:rFonts w:hint="eastAsia" w:hAnsi="宋体" w:cs="宋体"/>
          <w:b/>
          <w:color w:val="auto"/>
          <w:szCs w:val="21"/>
          <w:highlight w:val="none"/>
        </w:rPr>
        <w:t>附件1：</w:t>
      </w:r>
    </w:p>
    <w:p w14:paraId="73CB4DB7">
      <w:pPr>
        <w:rPr>
          <w:color w:val="auto"/>
          <w:highlight w:val="none"/>
        </w:rPr>
      </w:pPr>
      <w:r>
        <w:rPr>
          <w:rFonts w:hint="eastAsia" w:hAnsi="宋体" w:cs="宋体"/>
          <w:color w:val="auto"/>
          <w:szCs w:val="21"/>
          <w:highlight w:val="none"/>
        </w:rPr>
        <w:drawing>
          <wp:anchor distT="0" distB="0" distL="114300" distR="114300" simplePos="0" relativeHeight="251659264" behindDoc="1" locked="0" layoutInCell="1" allowOverlap="1">
            <wp:simplePos x="0" y="0"/>
            <wp:positionH relativeFrom="column">
              <wp:posOffset>-12700</wp:posOffset>
            </wp:positionH>
            <wp:positionV relativeFrom="paragraph">
              <wp:posOffset>32385</wp:posOffset>
            </wp:positionV>
            <wp:extent cx="6102350" cy="5186680"/>
            <wp:effectExtent l="0" t="0" r="12700" b="13970"/>
            <wp:wrapTight wrapText="bothSides">
              <wp:wrapPolygon>
                <wp:start x="0" y="0"/>
                <wp:lineTo x="0" y="21500"/>
                <wp:lineTo x="21510" y="21500"/>
                <wp:lineTo x="21510" y="0"/>
                <wp:lineTo x="0" y="0"/>
              </wp:wrapPolygon>
            </wp:wrapTight>
            <wp:docPr id="1" name="图片 2" descr="2022071321352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220713213524288"/>
                    <pic:cNvPicPr>
                      <a:picLocks noChangeAspect="1"/>
                    </pic:cNvPicPr>
                  </pic:nvPicPr>
                  <pic:blipFill>
                    <a:blip r:embed="rId14"/>
                    <a:srcRect l="1963" t="13975" r="2537" b="28696"/>
                    <a:stretch>
                      <a:fillRect/>
                    </a:stretch>
                  </pic:blipFill>
                  <pic:spPr>
                    <a:xfrm>
                      <a:off x="0" y="0"/>
                      <a:ext cx="6102350" cy="5186680"/>
                    </a:xfrm>
                    <a:prstGeom prst="rect">
                      <a:avLst/>
                    </a:prstGeom>
                    <a:noFill/>
                    <a:ln>
                      <a:noFill/>
                    </a:ln>
                  </pic:spPr>
                </pic:pic>
              </a:graphicData>
            </a:graphic>
          </wp:anchor>
        </w:drawing>
      </w:r>
    </w:p>
    <w:p w14:paraId="59716E00">
      <w:pPr>
        <w:rPr>
          <w:color w:val="auto"/>
          <w:highlight w:val="none"/>
        </w:rPr>
      </w:pPr>
    </w:p>
    <w:p w14:paraId="6F95CE0A">
      <w:pPr>
        <w:rPr>
          <w:color w:val="auto"/>
          <w:highlight w:val="none"/>
        </w:rPr>
      </w:pPr>
    </w:p>
    <w:p w14:paraId="610E3FE1">
      <w:pPr>
        <w:rPr>
          <w:color w:val="auto"/>
          <w:highlight w:val="none"/>
        </w:rPr>
      </w:pPr>
    </w:p>
    <w:p w14:paraId="7AB58A74">
      <w:pPr>
        <w:rPr>
          <w:color w:val="auto"/>
          <w:highlight w:val="none"/>
        </w:rPr>
      </w:pPr>
    </w:p>
    <w:p w14:paraId="218D7DAD">
      <w:pPr>
        <w:rPr>
          <w:color w:val="auto"/>
          <w:highlight w:val="none"/>
        </w:rPr>
      </w:pPr>
    </w:p>
    <w:p w14:paraId="4C1B214D">
      <w:pPr>
        <w:rPr>
          <w:color w:val="auto"/>
          <w:highlight w:val="none"/>
        </w:rPr>
      </w:pPr>
    </w:p>
    <w:p w14:paraId="47D95D71">
      <w:pPr>
        <w:rPr>
          <w:color w:val="auto"/>
          <w:highlight w:val="none"/>
        </w:rPr>
      </w:pPr>
    </w:p>
    <w:p w14:paraId="78E2830D">
      <w:pPr>
        <w:rPr>
          <w:color w:val="auto"/>
          <w:highlight w:val="none"/>
        </w:rPr>
      </w:pPr>
    </w:p>
    <w:p w14:paraId="24CA831C">
      <w:pPr>
        <w:rPr>
          <w:color w:val="auto"/>
          <w:highlight w:val="none"/>
        </w:rPr>
      </w:pPr>
    </w:p>
    <w:p w14:paraId="0814868B">
      <w:pPr>
        <w:rPr>
          <w:color w:val="auto"/>
          <w:highlight w:val="none"/>
        </w:rPr>
      </w:pPr>
    </w:p>
    <w:p w14:paraId="167A2CE9">
      <w:pPr>
        <w:rPr>
          <w:color w:val="auto"/>
          <w:highlight w:val="none"/>
        </w:rPr>
      </w:pPr>
    </w:p>
    <w:p w14:paraId="681992C6">
      <w:pPr>
        <w:rPr>
          <w:color w:val="auto"/>
          <w:highlight w:val="none"/>
        </w:rPr>
      </w:pPr>
    </w:p>
    <w:p w14:paraId="3820B59C">
      <w:pPr>
        <w:rPr>
          <w:color w:val="auto"/>
          <w:highlight w:val="none"/>
        </w:rPr>
      </w:pPr>
    </w:p>
    <w:p w14:paraId="59E3E8ED">
      <w:pPr>
        <w:rPr>
          <w:color w:val="auto"/>
          <w:highlight w:val="none"/>
        </w:rPr>
      </w:pPr>
    </w:p>
    <w:p w14:paraId="176BC256">
      <w:pPr>
        <w:rPr>
          <w:color w:val="auto"/>
          <w:highlight w:val="none"/>
        </w:rPr>
      </w:pPr>
    </w:p>
    <w:p w14:paraId="1C0B28D9">
      <w:pPr>
        <w:pStyle w:val="3"/>
        <w:jc w:val="center"/>
        <w:rPr>
          <w:rFonts w:ascii="宋体" w:hAnsi="宋体" w:cs="宋体"/>
          <w:color w:val="auto"/>
          <w:highlight w:val="none"/>
        </w:rPr>
      </w:pPr>
      <w:bookmarkStart w:id="66" w:name="_Toc20322"/>
      <w:r>
        <w:rPr>
          <w:rFonts w:hint="eastAsia" w:ascii="宋体" w:hAnsi="宋体" w:cs="宋体"/>
          <w:color w:val="auto"/>
          <w:highlight w:val="none"/>
        </w:rPr>
        <w:t>第三章 采购需求</w:t>
      </w:r>
      <w:bookmarkEnd w:id="66"/>
    </w:p>
    <w:p w14:paraId="732ACADF">
      <w:pPr>
        <w:spacing w:line="312" w:lineRule="auto"/>
        <w:jc w:val="left"/>
        <w:rPr>
          <w:rFonts w:ascii="宋体" w:hAnsi="宋体" w:cs="宋体"/>
          <w:color w:val="auto"/>
          <w:szCs w:val="21"/>
          <w:highlight w:val="none"/>
        </w:rPr>
      </w:pPr>
      <w:r>
        <w:rPr>
          <w:rFonts w:hint="eastAsia" w:ascii="宋体" w:hAnsi="宋体" w:cs="宋体"/>
          <w:color w:val="auto"/>
          <w:szCs w:val="21"/>
          <w:highlight w:val="none"/>
        </w:rPr>
        <w:t>说明：</w:t>
      </w:r>
    </w:p>
    <w:p w14:paraId="4BB5B623">
      <w:pPr>
        <w:spacing w:line="312" w:lineRule="auto"/>
        <w:ind w:firstLine="420" w:firstLineChars="200"/>
        <w:rPr>
          <w:rFonts w:ascii="宋体" w:hAnsi="宋体" w:cs="宋体"/>
          <w:color w:val="auto"/>
          <w:highlight w:val="none"/>
        </w:rPr>
      </w:pPr>
      <w:r>
        <w:rPr>
          <w:rFonts w:hint="eastAsia" w:ascii="宋体" w:hAnsi="宋体" w:cs="宋体"/>
          <w:color w:val="auto"/>
          <w:highlight w:val="none"/>
        </w:rPr>
        <w:t>1.为落实政府采购政策需满足的要求</w:t>
      </w:r>
    </w:p>
    <w:p w14:paraId="15193090">
      <w:pPr>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0268C19C">
      <w:pPr>
        <w:spacing w:line="312" w:lineRule="auto"/>
        <w:ind w:firstLine="420" w:firstLineChars="200"/>
        <w:rPr>
          <w:rFonts w:ascii="宋体" w:hAnsi="宋体" w:cs="宋体"/>
          <w:color w:val="auto"/>
          <w:highlight w:val="none"/>
        </w:rPr>
      </w:pPr>
      <w:r>
        <w:rPr>
          <w:rFonts w:hint="eastAsia" w:ascii="宋体" w:hAnsi="宋体" w:cs="宋体"/>
          <w:color w:val="auto"/>
          <w:highlight w:val="none"/>
        </w:rPr>
        <w:t>（2）服务项目中包含货物的，根据《财政部 发展改革委 生态环境部 市场监管总局关于调整优化节 能产品、环境标志产品政府采购执行机制的通知》（财库〔2019〕9 号）和《关于印发节能产品政府采购 品目清单的通知》（财库〔2019〕19 号）的规定，采购需求中的产品属于节能产品政府采购品目清单内标注“★”的，</w:t>
      </w:r>
      <w:r>
        <w:rPr>
          <w:rFonts w:hint="eastAsia" w:ascii="宋体" w:hAnsi="宋体" w:cs="宋体"/>
          <w:b/>
          <w:bCs/>
          <w:color w:val="auto"/>
          <w:highlight w:val="none"/>
        </w:rPr>
        <w:t>供应商必须在响应文件中提供所竞标产品有效期内的节能产品认证证书复印件（加盖供应商 公章）</w:t>
      </w:r>
      <w:r>
        <w:rPr>
          <w:rFonts w:hint="eastAsia" w:ascii="宋体" w:hAnsi="宋体" w:cs="宋体"/>
          <w:color w:val="auto"/>
          <w:highlight w:val="none"/>
        </w:rPr>
        <w:t>，否则响应文件按无效处理。如本项目包含的配套货物属于品目清单内非标注“★”的产品时，应优先采购，具体详见“第四章 评审程序、评审方法和评审标准 ”。</w:t>
      </w:r>
    </w:p>
    <w:p w14:paraId="07D8211E">
      <w:pPr>
        <w:spacing w:line="312" w:lineRule="auto"/>
        <w:ind w:firstLine="420" w:firstLineChars="200"/>
        <w:rPr>
          <w:rFonts w:ascii="宋体" w:hAnsi="宋体" w:cs="宋体"/>
          <w:color w:val="auto"/>
          <w:highlight w:val="none"/>
        </w:rPr>
      </w:pPr>
      <w:r>
        <w:rPr>
          <w:rFonts w:hint="eastAsia" w:ascii="宋体" w:hAnsi="宋体" w:cs="宋体"/>
          <w:color w:val="auto"/>
          <w:highlight w:val="none"/>
        </w:rPr>
        <w:t>2.“实质性要求”是指采购需求中带“▲”的条款或者不能负偏离的条款或者已经指明不满足则响应文件按无效响应处理的条款。</w:t>
      </w:r>
    </w:p>
    <w:p w14:paraId="097B2C29">
      <w:pPr>
        <w:spacing w:line="312" w:lineRule="auto"/>
        <w:ind w:firstLine="420" w:firstLineChars="200"/>
        <w:rPr>
          <w:rFonts w:ascii="宋体" w:hAnsi="宋体" w:cs="宋体"/>
          <w:color w:val="auto"/>
          <w:highlight w:val="none"/>
        </w:rPr>
      </w:pPr>
      <w:r>
        <w:rPr>
          <w:rFonts w:hint="eastAsia" w:ascii="宋体" w:hAnsi="宋体" w:cs="宋体"/>
          <w:color w:val="auto"/>
          <w:highlight w:val="none"/>
        </w:rPr>
        <w:t>3.供应商必须自行为其竞标产品侵犯他人的知识产权或者专利成果的行为承担相应法律责任。</w:t>
      </w:r>
    </w:p>
    <w:p w14:paraId="5559C41A">
      <w:pPr>
        <w:spacing w:line="312" w:lineRule="auto"/>
        <w:ind w:firstLine="420" w:firstLineChars="200"/>
        <w:rPr>
          <w:rFonts w:ascii="宋体" w:hAnsi="宋体" w:cs="宋体"/>
          <w:color w:val="auto"/>
          <w:highlight w:val="none"/>
        </w:rPr>
      </w:pPr>
      <w:r>
        <w:rPr>
          <w:rFonts w:hint="eastAsia" w:ascii="宋体" w:hAnsi="宋体" w:cs="宋体"/>
          <w:color w:val="auto"/>
          <w:highlight w:val="none"/>
        </w:rPr>
        <w:t>4.所属行业：</w:t>
      </w:r>
      <w:r>
        <w:rPr>
          <w:rFonts w:hint="eastAsia" w:ascii="宋体" w:hAnsi="宋体" w:cs="宋体"/>
          <w:b/>
          <w:bCs/>
          <w:color w:val="auto"/>
          <w:highlight w:val="none"/>
        </w:rPr>
        <w:t>其他未列明行业。</w:t>
      </w:r>
    </w:p>
    <w:p w14:paraId="6FC4F243">
      <w:pPr>
        <w:spacing w:line="312" w:lineRule="auto"/>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bCs/>
          <w:color w:val="auto"/>
          <w:szCs w:val="21"/>
          <w:highlight w:val="none"/>
        </w:rPr>
        <w:t xml:space="preserve"> 5.采购预</w:t>
      </w:r>
      <w:r>
        <w:rPr>
          <w:rFonts w:hint="eastAsia" w:ascii="宋体" w:hAnsi="宋体" w:cs="宋体"/>
          <w:bCs/>
          <w:color w:val="auto"/>
          <w:highlight w:val="none"/>
        </w:rPr>
        <w:t>算：</w:t>
      </w:r>
      <w:r>
        <w:rPr>
          <w:rFonts w:hint="eastAsia" w:ascii="宋体" w:hAnsi="宋体" w:cs="宋体"/>
          <w:b/>
          <w:color w:val="auto"/>
          <w:szCs w:val="21"/>
          <w:highlight w:val="none"/>
        </w:rPr>
        <w:t>1658000.00元（分标1：992000.00元；分标2：666000.00元）</w:t>
      </w:r>
    </w:p>
    <w:p w14:paraId="718EDEF6">
      <w:pPr>
        <w:rPr>
          <w:color w:val="auto"/>
          <w:highlight w:val="none"/>
        </w:rPr>
      </w:pPr>
    </w:p>
    <w:p w14:paraId="110C6F7E">
      <w:pPr>
        <w:pStyle w:val="44"/>
        <w:ind w:left="0" w:leftChars="0" w:firstLine="0" w:firstLineChars="0"/>
        <w:rPr>
          <w:rFonts w:ascii="宋体" w:hAnsi="宋体" w:cs="宋体"/>
          <w:b/>
          <w:bCs/>
          <w:color w:val="auto"/>
          <w:szCs w:val="21"/>
          <w:highlight w:val="none"/>
        </w:rPr>
      </w:pPr>
      <w:r>
        <w:rPr>
          <w:rFonts w:hint="eastAsia" w:ascii="宋体" w:hAnsi="宋体" w:cs="宋体"/>
          <w:b/>
          <w:bCs/>
          <w:color w:val="auto"/>
          <w:szCs w:val="21"/>
          <w:highlight w:val="none"/>
        </w:rPr>
        <w:t xml:space="preserve">    </w:t>
      </w:r>
      <w:r>
        <w:rPr>
          <w:rFonts w:hint="eastAsia" w:ascii="宋体" w:hAnsi="宋体"/>
          <w:b/>
          <w:bCs/>
          <w:color w:val="auto"/>
          <w:szCs w:val="21"/>
          <w:highlight w:val="none"/>
        </w:rPr>
        <w:t>分标1：</w:t>
      </w:r>
    </w:p>
    <w:tbl>
      <w:tblPr>
        <w:tblStyle w:val="32"/>
        <w:tblW w:w="497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2"/>
        <w:gridCol w:w="1883"/>
        <w:gridCol w:w="795"/>
        <w:gridCol w:w="752"/>
        <w:gridCol w:w="5239"/>
      </w:tblGrid>
      <w:tr w14:paraId="22799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369" w:type="pct"/>
            <w:vAlign w:val="center"/>
          </w:tcPr>
          <w:p w14:paraId="251DEC72">
            <w:pPr>
              <w:tabs>
                <w:tab w:val="left" w:pos="180"/>
                <w:tab w:val="left" w:pos="1620"/>
              </w:tabs>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006" w:type="pct"/>
            <w:vAlign w:val="center"/>
          </w:tcPr>
          <w:p w14:paraId="0804A9AF">
            <w:pPr>
              <w:tabs>
                <w:tab w:val="left" w:pos="180"/>
                <w:tab w:val="left" w:pos="1620"/>
              </w:tabs>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体检项目</w:t>
            </w:r>
          </w:p>
        </w:tc>
        <w:tc>
          <w:tcPr>
            <w:tcW w:w="425" w:type="pct"/>
            <w:vAlign w:val="center"/>
          </w:tcPr>
          <w:p w14:paraId="35EE5100">
            <w:pPr>
              <w:tabs>
                <w:tab w:val="left" w:pos="180"/>
                <w:tab w:val="left" w:pos="1620"/>
              </w:tabs>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400" w:type="pct"/>
            <w:vAlign w:val="center"/>
          </w:tcPr>
          <w:p w14:paraId="12A65035">
            <w:pPr>
              <w:tabs>
                <w:tab w:val="left" w:pos="180"/>
                <w:tab w:val="left" w:pos="1620"/>
              </w:tabs>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单位</w:t>
            </w:r>
          </w:p>
        </w:tc>
        <w:tc>
          <w:tcPr>
            <w:tcW w:w="2797" w:type="pct"/>
            <w:vAlign w:val="center"/>
          </w:tcPr>
          <w:p w14:paraId="115FC79D">
            <w:pPr>
              <w:tabs>
                <w:tab w:val="left" w:pos="180"/>
                <w:tab w:val="left" w:pos="1620"/>
              </w:tabs>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服务内容及要求</w:t>
            </w:r>
          </w:p>
        </w:tc>
      </w:tr>
      <w:tr w14:paraId="71C45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69" w:type="pct"/>
            <w:vAlign w:val="center"/>
          </w:tcPr>
          <w:p w14:paraId="2E3CBF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006" w:type="pct"/>
            <w:vAlign w:val="center"/>
          </w:tcPr>
          <w:p w14:paraId="6B7DCE59">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血压、身高、体重、体重指数、腰围、臀围</w:t>
            </w:r>
          </w:p>
        </w:tc>
        <w:tc>
          <w:tcPr>
            <w:tcW w:w="425" w:type="pct"/>
            <w:vAlign w:val="center"/>
          </w:tcPr>
          <w:p w14:paraId="546219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904</w:t>
            </w:r>
          </w:p>
        </w:tc>
        <w:tc>
          <w:tcPr>
            <w:tcW w:w="400" w:type="pct"/>
            <w:vAlign w:val="center"/>
          </w:tcPr>
          <w:p w14:paraId="527376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2797" w:type="pct"/>
            <w:vAlign w:val="center"/>
          </w:tcPr>
          <w:p w14:paraId="329AA54D">
            <w:pPr>
              <w:widowControl/>
              <w:textAlignment w:val="center"/>
              <w:rPr>
                <w:color w:val="auto"/>
                <w:highlight w:val="none"/>
              </w:rPr>
            </w:pPr>
            <w:r>
              <w:rPr>
                <w:rFonts w:hint="eastAsia" w:ascii="宋体" w:hAnsi="宋体" w:cs="宋体"/>
                <w:color w:val="auto"/>
                <w:kern w:val="0"/>
                <w:szCs w:val="21"/>
                <w:highlight w:val="none"/>
                <w:lang w:bidi="ar"/>
              </w:rPr>
              <w:t>全身基础指标，了解血压等情况。</w:t>
            </w:r>
          </w:p>
        </w:tc>
      </w:tr>
      <w:tr w14:paraId="3AB2D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69" w:type="pct"/>
            <w:vAlign w:val="center"/>
          </w:tcPr>
          <w:p w14:paraId="147ABB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006" w:type="pct"/>
            <w:vAlign w:val="center"/>
          </w:tcPr>
          <w:p w14:paraId="436FBB28">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外科、内科、耳鼻喉科</w:t>
            </w:r>
          </w:p>
        </w:tc>
        <w:tc>
          <w:tcPr>
            <w:tcW w:w="425" w:type="pct"/>
            <w:vAlign w:val="center"/>
          </w:tcPr>
          <w:p w14:paraId="306BCCF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904</w:t>
            </w:r>
          </w:p>
        </w:tc>
        <w:tc>
          <w:tcPr>
            <w:tcW w:w="400" w:type="pct"/>
            <w:vAlign w:val="center"/>
          </w:tcPr>
          <w:p w14:paraId="32A3EF7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2797" w:type="pct"/>
            <w:vAlign w:val="center"/>
          </w:tcPr>
          <w:p w14:paraId="56273F43">
            <w:pPr>
              <w:widowControl/>
              <w:textAlignment w:val="center"/>
              <w:rPr>
                <w:color w:val="auto"/>
                <w:highlight w:val="none"/>
              </w:rPr>
            </w:pPr>
            <w:r>
              <w:rPr>
                <w:rFonts w:hint="eastAsia" w:ascii="宋体" w:hAnsi="宋体" w:cs="宋体"/>
                <w:color w:val="auto"/>
                <w:kern w:val="0"/>
                <w:szCs w:val="21"/>
                <w:highlight w:val="none"/>
                <w:lang w:bidi="ar"/>
              </w:rPr>
              <w:t>通过专科检查了解身体状况</w:t>
            </w:r>
          </w:p>
        </w:tc>
      </w:tr>
      <w:tr w14:paraId="15254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69" w:type="pct"/>
            <w:vAlign w:val="center"/>
          </w:tcPr>
          <w:p w14:paraId="7A0864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1006" w:type="pct"/>
            <w:vAlign w:val="center"/>
          </w:tcPr>
          <w:p w14:paraId="2F14E5F0">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妇科</w:t>
            </w:r>
          </w:p>
        </w:tc>
        <w:tc>
          <w:tcPr>
            <w:tcW w:w="425" w:type="pct"/>
            <w:vAlign w:val="center"/>
          </w:tcPr>
          <w:p w14:paraId="4FC5FC2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379</w:t>
            </w:r>
          </w:p>
        </w:tc>
        <w:tc>
          <w:tcPr>
            <w:tcW w:w="400" w:type="pct"/>
            <w:vAlign w:val="center"/>
          </w:tcPr>
          <w:p w14:paraId="7968624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2797" w:type="pct"/>
            <w:vAlign w:val="center"/>
          </w:tcPr>
          <w:p w14:paraId="34900BE6">
            <w:pPr>
              <w:widowControl/>
              <w:textAlignment w:val="center"/>
              <w:rPr>
                <w:color w:val="auto"/>
                <w:highlight w:val="none"/>
              </w:rPr>
            </w:pPr>
            <w:r>
              <w:rPr>
                <w:rFonts w:hint="eastAsia" w:ascii="宋体" w:hAnsi="宋体" w:cs="宋体"/>
                <w:color w:val="auto"/>
                <w:kern w:val="0"/>
                <w:szCs w:val="21"/>
                <w:highlight w:val="none"/>
                <w:lang w:bidi="ar"/>
              </w:rPr>
              <w:t>排查妇科疾病</w:t>
            </w:r>
          </w:p>
        </w:tc>
      </w:tr>
      <w:tr w14:paraId="6BADC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69" w:type="pct"/>
            <w:vAlign w:val="center"/>
          </w:tcPr>
          <w:p w14:paraId="532E088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1006" w:type="pct"/>
            <w:vAlign w:val="center"/>
          </w:tcPr>
          <w:p w14:paraId="280900AD">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阴道分泌物</w:t>
            </w:r>
          </w:p>
        </w:tc>
        <w:tc>
          <w:tcPr>
            <w:tcW w:w="425" w:type="pct"/>
            <w:vAlign w:val="center"/>
          </w:tcPr>
          <w:p w14:paraId="7C6BAF1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379</w:t>
            </w:r>
          </w:p>
        </w:tc>
        <w:tc>
          <w:tcPr>
            <w:tcW w:w="400" w:type="pct"/>
            <w:vAlign w:val="center"/>
          </w:tcPr>
          <w:p w14:paraId="4A28A85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2797" w:type="pct"/>
            <w:vAlign w:val="center"/>
          </w:tcPr>
          <w:p w14:paraId="14CF3195">
            <w:pPr>
              <w:widowControl/>
              <w:textAlignment w:val="center"/>
              <w:rPr>
                <w:color w:val="auto"/>
                <w:highlight w:val="none"/>
              </w:rPr>
            </w:pPr>
            <w:r>
              <w:rPr>
                <w:rFonts w:hint="eastAsia" w:ascii="宋体" w:hAnsi="宋体" w:cs="宋体"/>
                <w:color w:val="auto"/>
                <w:kern w:val="0"/>
                <w:szCs w:val="21"/>
                <w:highlight w:val="none"/>
                <w:lang w:bidi="ar"/>
              </w:rPr>
              <w:t>阴道炎等疾病的诊断</w:t>
            </w:r>
          </w:p>
        </w:tc>
      </w:tr>
      <w:tr w14:paraId="5C85A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69" w:type="pct"/>
            <w:vAlign w:val="center"/>
          </w:tcPr>
          <w:p w14:paraId="059FBD0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1006" w:type="pct"/>
            <w:vAlign w:val="center"/>
          </w:tcPr>
          <w:p w14:paraId="5C2422B1">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妇科宫颈液基细胞学检查</w:t>
            </w:r>
          </w:p>
        </w:tc>
        <w:tc>
          <w:tcPr>
            <w:tcW w:w="425" w:type="pct"/>
            <w:vAlign w:val="center"/>
          </w:tcPr>
          <w:p w14:paraId="7153B6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379</w:t>
            </w:r>
          </w:p>
        </w:tc>
        <w:tc>
          <w:tcPr>
            <w:tcW w:w="400" w:type="pct"/>
            <w:vAlign w:val="center"/>
          </w:tcPr>
          <w:p w14:paraId="337AAF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2797" w:type="pct"/>
            <w:vAlign w:val="center"/>
          </w:tcPr>
          <w:p w14:paraId="04B9873B">
            <w:pPr>
              <w:widowControl/>
              <w:textAlignment w:val="center"/>
              <w:rPr>
                <w:color w:val="auto"/>
                <w:highlight w:val="none"/>
              </w:rPr>
            </w:pPr>
            <w:r>
              <w:rPr>
                <w:rFonts w:hint="eastAsia" w:ascii="宋体" w:hAnsi="宋体" w:cs="宋体"/>
                <w:color w:val="auto"/>
                <w:kern w:val="0"/>
                <w:szCs w:val="21"/>
                <w:highlight w:val="none"/>
                <w:lang w:bidi="ar"/>
              </w:rPr>
              <w:t>宫颈疾病早期检查</w:t>
            </w:r>
          </w:p>
        </w:tc>
      </w:tr>
      <w:tr w14:paraId="6FE85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69" w:type="pct"/>
            <w:vAlign w:val="center"/>
          </w:tcPr>
          <w:p w14:paraId="0DCBE6B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1006" w:type="pct"/>
            <w:vAlign w:val="center"/>
          </w:tcPr>
          <w:p w14:paraId="625DA8AE">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肝纤维化及脂肪肝无创诊断</w:t>
            </w:r>
          </w:p>
        </w:tc>
        <w:tc>
          <w:tcPr>
            <w:tcW w:w="425" w:type="pct"/>
            <w:vAlign w:val="center"/>
          </w:tcPr>
          <w:p w14:paraId="3E1D04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464</w:t>
            </w:r>
          </w:p>
        </w:tc>
        <w:tc>
          <w:tcPr>
            <w:tcW w:w="400" w:type="pct"/>
            <w:vAlign w:val="center"/>
          </w:tcPr>
          <w:p w14:paraId="7A47AA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2797" w:type="pct"/>
            <w:vAlign w:val="center"/>
          </w:tcPr>
          <w:p w14:paraId="2A649657">
            <w:pPr>
              <w:widowControl/>
              <w:textAlignment w:val="center"/>
              <w:rPr>
                <w:color w:val="auto"/>
                <w:highlight w:val="none"/>
              </w:rPr>
            </w:pPr>
            <w:r>
              <w:rPr>
                <w:rFonts w:hint="eastAsia" w:ascii="宋体" w:hAnsi="宋体" w:cs="宋体"/>
                <w:color w:val="auto"/>
                <w:kern w:val="0"/>
                <w:szCs w:val="21"/>
                <w:highlight w:val="none"/>
                <w:lang w:bidi="ar"/>
              </w:rPr>
              <w:t>通过仪器检查肝纤维化、肝硬化等疾病。</w:t>
            </w:r>
          </w:p>
        </w:tc>
      </w:tr>
      <w:tr w14:paraId="07BE7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69" w:type="pct"/>
            <w:vAlign w:val="center"/>
          </w:tcPr>
          <w:p w14:paraId="3F6275E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1006" w:type="pct"/>
            <w:vAlign w:val="center"/>
          </w:tcPr>
          <w:p w14:paraId="3F532478">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骨密度测定</w:t>
            </w:r>
          </w:p>
        </w:tc>
        <w:tc>
          <w:tcPr>
            <w:tcW w:w="425" w:type="pct"/>
            <w:vAlign w:val="center"/>
          </w:tcPr>
          <w:p w14:paraId="73AAF6D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904</w:t>
            </w:r>
          </w:p>
        </w:tc>
        <w:tc>
          <w:tcPr>
            <w:tcW w:w="400" w:type="pct"/>
            <w:vAlign w:val="center"/>
          </w:tcPr>
          <w:p w14:paraId="00CCA1D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2797" w:type="pct"/>
            <w:vAlign w:val="center"/>
          </w:tcPr>
          <w:p w14:paraId="4569D288">
            <w:pPr>
              <w:widowControl/>
              <w:textAlignment w:val="center"/>
              <w:rPr>
                <w:color w:val="auto"/>
                <w:highlight w:val="none"/>
              </w:rPr>
            </w:pPr>
            <w:r>
              <w:rPr>
                <w:rFonts w:hint="eastAsia" w:ascii="宋体" w:hAnsi="宋体" w:cs="宋体"/>
                <w:color w:val="auto"/>
                <w:kern w:val="0"/>
                <w:szCs w:val="21"/>
                <w:highlight w:val="none"/>
                <w:lang w:bidi="ar"/>
              </w:rPr>
              <w:t>评估骨骼及骨量的情况（如减少、骨质疏松及骨折风险）</w:t>
            </w:r>
          </w:p>
        </w:tc>
      </w:tr>
      <w:tr w14:paraId="749BA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69" w:type="pct"/>
            <w:vAlign w:val="center"/>
          </w:tcPr>
          <w:p w14:paraId="30E597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1006" w:type="pct"/>
            <w:vAlign w:val="center"/>
          </w:tcPr>
          <w:p w14:paraId="72FA796F">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碳14呼气试验（空腹）</w:t>
            </w:r>
          </w:p>
        </w:tc>
        <w:tc>
          <w:tcPr>
            <w:tcW w:w="425" w:type="pct"/>
            <w:vAlign w:val="center"/>
          </w:tcPr>
          <w:p w14:paraId="0E11806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904</w:t>
            </w:r>
          </w:p>
        </w:tc>
        <w:tc>
          <w:tcPr>
            <w:tcW w:w="400" w:type="pct"/>
            <w:vAlign w:val="center"/>
          </w:tcPr>
          <w:p w14:paraId="5076AF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2797" w:type="pct"/>
            <w:vAlign w:val="center"/>
          </w:tcPr>
          <w:p w14:paraId="74442065">
            <w:pPr>
              <w:widowControl/>
              <w:textAlignment w:val="center"/>
              <w:rPr>
                <w:color w:val="auto"/>
                <w:highlight w:val="none"/>
              </w:rPr>
            </w:pPr>
            <w:r>
              <w:rPr>
                <w:rFonts w:hint="eastAsia" w:ascii="宋体" w:hAnsi="宋体" w:cs="宋体"/>
                <w:color w:val="auto"/>
                <w:kern w:val="0"/>
                <w:szCs w:val="21"/>
                <w:highlight w:val="none"/>
                <w:lang w:bidi="ar"/>
              </w:rPr>
              <w:t>检查胃有没有胃幽门螺旋杆菌，胃幽门螺旋杆菌是导致胃炎和胃癌的重要元凶。</w:t>
            </w:r>
          </w:p>
        </w:tc>
      </w:tr>
      <w:tr w14:paraId="6D2D9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69" w:type="pct"/>
            <w:vAlign w:val="center"/>
          </w:tcPr>
          <w:p w14:paraId="137D006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1006" w:type="pct"/>
            <w:vAlign w:val="center"/>
          </w:tcPr>
          <w:p w14:paraId="3D842D94">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心电图</w:t>
            </w:r>
          </w:p>
        </w:tc>
        <w:tc>
          <w:tcPr>
            <w:tcW w:w="425" w:type="pct"/>
            <w:vAlign w:val="center"/>
          </w:tcPr>
          <w:p w14:paraId="12D5644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904</w:t>
            </w:r>
          </w:p>
        </w:tc>
        <w:tc>
          <w:tcPr>
            <w:tcW w:w="400" w:type="pct"/>
            <w:vAlign w:val="center"/>
          </w:tcPr>
          <w:p w14:paraId="1F74C5A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2797" w:type="pct"/>
            <w:vAlign w:val="center"/>
          </w:tcPr>
          <w:p w14:paraId="5DCF1A37">
            <w:pPr>
              <w:widowControl/>
              <w:textAlignment w:val="center"/>
              <w:rPr>
                <w:color w:val="auto"/>
                <w:highlight w:val="none"/>
              </w:rPr>
            </w:pPr>
            <w:r>
              <w:rPr>
                <w:rFonts w:hint="eastAsia" w:ascii="宋体" w:hAnsi="宋体" w:cs="宋体"/>
                <w:color w:val="auto"/>
                <w:kern w:val="0"/>
                <w:szCs w:val="21"/>
                <w:highlight w:val="none"/>
                <w:lang w:bidi="ar"/>
              </w:rPr>
              <w:t>了解有无心律失常、心肌缺血、梗塞等疾病。</w:t>
            </w:r>
          </w:p>
        </w:tc>
      </w:tr>
      <w:tr w14:paraId="0CA5A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69" w:type="pct"/>
            <w:vAlign w:val="center"/>
          </w:tcPr>
          <w:p w14:paraId="080FC3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1006" w:type="pct"/>
            <w:vAlign w:val="center"/>
          </w:tcPr>
          <w:p w14:paraId="5FC506EA">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数码胸正位片</w:t>
            </w:r>
          </w:p>
        </w:tc>
        <w:tc>
          <w:tcPr>
            <w:tcW w:w="425" w:type="pct"/>
            <w:vAlign w:val="center"/>
          </w:tcPr>
          <w:p w14:paraId="24A72E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904</w:t>
            </w:r>
          </w:p>
        </w:tc>
        <w:tc>
          <w:tcPr>
            <w:tcW w:w="400" w:type="pct"/>
            <w:vAlign w:val="center"/>
          </w:tcPr>
          <w:p w14:paraId="3CC108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2797" w:type="pct"/>
            <w:vAlign w:val="center"/>
          </w:tcPr>
          <w:p w14:paraId="546A49FF">
            <w:pPr>
              <w:widowControl/>
              <w:textAlignment w:val="center"/>
              <w:rPr>
                <w:color w:val="auto"/>
                <w:highlight w:val="none"/>
              </w:rPr>
            </w:pPr>
            <w:r>
              <w:rPr>
                <w:rFonts w:hint="eastAsia" w:ascii="宋体" w:hAnsi="宋体" w:cs="宋体"/>
                <w:color w:val="auto"/>
                <w:kern w:val="0"/>
                <w:szCs w:val="21"/>
                <w:highlight w:val="none"/>
                <w:lang w:bidi="ar"/>
              </w:rPr>
              <w:t>了解心肺有无病变</w:t>
            </w:r>
          </w:p>
        </w:tc>
      </w:tr>
      <w:tr w14:paraId="21D1E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69" w:type="pct"/>
            <w:vAlign w:val="center"/>
          </w:tcPr>
          <w:p w14:paraId="4AB714B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w:t>
            </w:r>
          </w:p>
        </w:tc>
        <w:tc>
          <w:tcPr>
            <w:tcW w:w="1006" w:type="pct"/>
            <w:vAlign w:val="center"/>
          </w:tcPr>
          <w:p w14:paraId="6CA26B4C">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彩超：肝、胆、双肾、胰、脾、膀胱、前列腺</w:t>
            </w:r>
          </w:p>
        </w:tc>
        <w:tc>
          <w:tcPr>
            <w:tcW w:w="425" w:type="pct"/>
            <w:vAlign w:val="center"/>
          </w:tcPr>
          <w:p w14:paraId="2DFB33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464</w:t>
            </w:r>
          </w:p>
        </w:tc>
        <w:tc>
          <w:tcPr>
            <w:tcW w:w="400" w:type="pct"/>
            <w:vAlign w:val="center"/>
          </w:tcPr>
          <w:p w14:paraId="18E072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2797" w:type="pct"/>
            <w:vAlign w:val="center"/>
          </w:tcPr>
          <w:p w14:paraId="75964B41">
            <w:pPr>
              <w:widowControl/>
              <w:textAlignment w:val="center"/>
              <w:rPr>
                <w:color w:val="auto"/>
                <w:highlight w:val="none"/>
              </w:rPr>
            </w:pPr>
            <w:r>
              <w:rPr>
                <w:rFonts w:hint="eastAsia" w:ascii="宋体" w:hAnsi="宋体" w:cs="宋体"/>
                <w:color w:val="auto"/>
                <w:kern w:val="0"/>
                <w:szCs w:val="21"/>
                <w:highlight w:val="none"/>
                <w:lang w:bidi="ar"/>
              </w:rPr>
              <w:t>相应脏器超声检查，了解脏器有无病变。</w:t>
            </w:r>
          </w:p>
        </w:tc>
      </w:tr>
      <w:tr w14:paraId="585DF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69" w:type="pct"/>
            <w:vAlign w:val="center"/>
          </w:tcPr>
          <w:p w14:paraId="0DC607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1006" w:type="pct"/>
            <w:vAlign w:val="center"/>
          </w:tcPr>
          <w:p w14:paraId="01234A2F">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彩超：肝、胆、双肾、胰、脾、膀胱</w:t>
            </w:r>
          </w:p>
        </w:tc>
        <w:tc>
          <w:tcPr>
            <w:tcW w:w="425" w:type="pct"/>
            <w:vAlign w:val="center"/>
          </w:tcPr>
          <w:p w14:paraId="41E197D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440</w:t>
            </w:r>
          </w:p>
        </w:tc>
        <w:tc>
          <w:tcPr>
            <w:tcW w:w="400" w:type="pct"/>
            <w:vAlign w:val="center"/>
          </w:tcPr>
          <w:p w14:paraId="068BA1E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2797" w:type="pct"/>
            <w:vAlign w:val="center"/>
          </w:tcPr>
          <w:p w14:paraId="35CEC4BB">
            <w:pPr>
              <w:widowControl/>
              <w:textAlignment w:val="center"/>
              <w:rPr>
                <w:color w:val="auto"/>
                <w:highlight w:val="none"/>
              </w:rPr>
            </w:pPr>
            <w:r>
              <w:rPr>
                <w:rFonts w:hint="eastAsia" w:ascii="宋体" w:hAnsi="宋体" w:cs="宋体"/>
                <w:color w:val="auto"/>
                <w:kern w:val="0"/>
                <w:szCs w:val="21"/>
                <w:highlight w:val="none"/>
                <w:lang w:bidi="ar"/>
              </w:rPr>
              <w:t>相应脏器超声检查，了解脏器有无病变。</w:t>
            </w:r>
          </w:p>
        </w:tc>
      </w:tr>
      <w:tr w14:paraId="22322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69" w:type="pct"/>
            <w:vAlign w:val="center"/>
          </w:tcPr>
          <w:p w14:paraId="2874CF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1006" w:type="pct"/>
            <w:vAlign w:val="center"/>
          </w:tcPr>
          <w:p w14:paraId="2440C16B">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彩色（阴式）子宫+附件</w:t>
            </w:r>
          </w:p>
        </w:tc>
        <w:tc>
          <w:tcPr>
            <w:tcW w:w="425" w:type="pct"/>
            <w:vAlign w:val="center"/>
          </w:tcPr>
          <w:p w14:paraId="6348EB8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379</w:t>
            </w:r>
          </w:p>
        </w:tc>
        <w:tc>
          <w:tcPr>
            <w:tcW w:w="400" w:type="pct"/>
            <w:vAlign w:val="center"/>
          </w:tcPr>
          <w:p w14:paraId="7F817D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2797" w:type="pct"/>
            <w:vMerge w:val="restart"/>
            <w:vAlign w:val="center"/>
          </w:tcPr>
          <w:p w14:paraId="25BB6C30">
            <w:pPr>
              <w:widowControl/>
              <w:textAlignment w:val="center"/>
              <w:rPr>
                <w:color w:val="auto"/>
                <w:highlight w:val="none"/>
              </w:rPr>
            </w:pPr>
            <w:r>
              <w:rPr>
                <w:rFonts w:hint="eastAsia" w:ascii="宋体" w:hAnsi="宋体" w:cs="宋体"/>
                <w:color w:val="auto"/>
                <w:kern w:val="0"/>
                <w:szCs w:val="21"/>
                <w:highlight w:val="none"/>
                <w:lang w:bidi="ar"/>
              </w:rPr>
              <w:t>子宫、附件超声检查，了解有无病变。</w:t>
            </w:r>
          </w:p>
        </w:tc>
      </w:tr>
      <w:tr w14:paraId="213FB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69" w:type="pct"/>
            <w:vAlign w:val="center"/>
          </w:tcPr>
          <w:p w14:paraId="788CFE0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1006" w:type="pct"/>
            <w:vAlign w:val="center"/>
          </w:tcPr>
          <w:p w14:paraId="53FA0AAA">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彩超（经腹）子宫+附件</w:t>
            </w:r>
          </w:p>
        </w:tc>
        <w:tc>
          <w:tcPr>
            <w:tcW w:w="425" w:type="pct"/>
            <w:vAlign w:val="center"/>
          </w:tcPr>
          <w:p w14:paraId="3A77F78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61</w:t>
            </w:r>
          </w:p>
        </w:tc>
        <w:tc>
          <w:tcPr>
            <w:tcW w:w="400" w:type="pct"/>
            <w:vAlign w:val="center"/>
          </w:tcPr>
          <w:p w14:paraId="27607C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2797" w:type="pct"/>
            <w:vMerge w:val="continue"/>
            <w:vAlign w:val="center"/>
          </w:tcPr>
          <w:p w14:paraId="3BA41829">
            <w:pPr>
              <w:rPr>
                <w:color w:val="auto"/>
                <w:highlight w:val="none"/>
              </w:rPr>
            </w:pPr>
          </w:p>
        </w:tc>
      </w:tr>
      <w:tr w14:paraId="6A29D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69" w:type="pct"/>
            <w:vAlign w:val="center"/>
          </w:tcPr>
          <w:p w14:paraId="240A3F3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1006" w:type="pct"/>
            <w:vAlign w:val="center"/>
          </w:tcPr>
          <w:p w14:paraId="38277B38">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乳腺彩超</w:t>
            </w:r>
          </w:p>
        </w:tc>
        <w:tc>
          <w:tcPr>
            <w:tcW w:w="425" w:type="pct"/>
            <w:vAlign w:val="center"/>
          </w:tcPr>
          <w:p w14:paraId="5DAED83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440</w:t>
            </w:r>
          </w:p>
        </w:tc>
        <w:tc>
          <w:tcPr>
            <w:tcW w:w="400" w:type="pct"/>
            <w:vAlign w:val="center"/>
          </w:tcPr>
          <w:p w14:paraId="17A919F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2797" w:type="pct"/>
            <w:vAlign w:val="center"/>
          </w:tcPr>
          <w:p w14:paraId="4D55A864">
            <w:pPr>
              <w:widowControl/>
              <w:textAlignment w:val="center"/>
              <w:rPr>
                <w:color w:val="auto"/>
                <w:highlight w:val="none"/>
              </w:rPr>
            </w:pPr>
            <w:r>
              <w:rPr>
                <w:rFonts w:hint="eastAsia" w:ascii="宋体" w:hAnsi="宋体" w:cs="宋体"/>
                <w:color w:val="auto"/>
                <w:kern w:val="0"/>
                <w:szCs w:val="21"/>
                <w:highlight w:val="none"/>
                <w:lang w:bidi="ar"/>
              </w:rPr>
              <w:t>了解乳腺有无病变</w:t>
            </w:r>
          </w:p>
        </w:tc>
      </w:tr>
      <w:tr w14:paraId="1C397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69" w:type="pct"/>
            <w:vAlign w:val="center"/>
          </w:tcPr>
          <w:p w14:paraId="63064B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w:t>
            </w:r>
          </w:p>
        </w:tc>
        <w:tc>
          <w:tcPr>
            <w:tcW w:w="1006" w:type="pct"/>
            <w:vAlign w:val="center"/>
          </w:tcPr>
          <w:p w14:paraId="0394DFB8">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甲状腺彩超</w:t>
            </w:r>
          </w:p>
        </w:tc>
        <w:tc>
          <w:tcPr>
            <w:tcW w:w="425" w:type="pct"/>
            <w:vAlign w:val="center"/>
          </w:tcPr>
          <w:p w14:paraId="0157369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904</w:t>
            </w:r>
          </w:p>
        </w:tc>
        <w:tc>
          <w:tcPr>
            <w:tcW w:w="400" w:type="pct"/>
            <w:vAlign w:val="center"/>
          </w:tcPr>
          <w:p w14:paraId="09D600C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2797" w:type="pct"/>
            <w:vAlign w:val="center"/>
          </w:tcPr>
          <w:p w14:paraId="71E93F97">
            <w:pPr>
              <w:widowControl/>
              <w:textAlignment w:val="center"/>
              <w:rPr>
                <w:color w:val="auto"/>
                <w:highlight w:val="none"/>
              </w:rPr>
            </w:pPr>
            <w:r>
              <w:rPr>
                <w:rFonts w:hint="eastAsia" w:ascii="宋体" w:hAnsi="宋体" w:cs="宋体"/>
                <w:color w:val="auto"/>
                <w:kern w:val="0"/>
                <w:szCs w:val="21"/>
                <w:highlight w:val="none"/>
                <w:lang w:bidi="ar"/>
              </w:rPr>
              <w:t>了解甲状腺形态、大小及有无肿物。</w:t>
            </w:r>
          </w:p>
        </w:tc>
      </w:tr>
      <w:tr w14:paraId="7BCA7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69" w:type="pct"/>
            <w:vAlign w:val="center"/>
          </w:tcPr>
          <w:p w14:paraId="62FE12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w:t>
            </w:r>
          </w:p>
        </w:tc>
        <w:tc>
          <w:tcPr>
            <w:tcW w:w="1006" w:type="pct"/>
            <w:vAlign w:val="center"/>
          </w:tcPr>
          <w:p w14:paraId="481BA576">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颈动脉彩超（两条主要血管）</w:t>
            </w:r>
          </w:p>
        </w:tc>
        <w:tc>
          <w:tcPr>
            <w:tcW w:w="425" w:type="pct"/>
            <w:vAlign w:val="center"/>
          </w:tcPr>
          <w:p w14:paraId="67A776B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470</w:t>
            </w:r>
          </w:p>
        </w:tc>
        <w:tc>
          <w:tcPr>
            <w:tcW w:w="400" w:type="pct"/>
            <w:vAlign w:val="center"/>
          </w:tcPr>
          <w:p w14:paraId="1E81EB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2797" w:type="pct"/>
            <w:vAlign w:val="center"/>
          </w:tcPr>
          <w:p w14:paraId="7938315B">
            <w:pPr>
              <w:widowControl/>
              <w:textAlignment w:val="center"/>
              <w:rPr>
                <w:color w:val="auto"/>
                <w:highlight w:val="none"/>
              </w:rPr>
            </w:pPr>
            <w:r>
              <w:rPr>
                <w:rFonts w:hint="eastAsia" w:ascii="宋体" w:hAnsi="宋体" w:cs="宋体"/>
                <w:color w:val="auto"/>
                <w:kern w:val="0"/>
                <w:szCs w:val="21"/>
                <w:highlight w:val="none"/>
                <w:lang w:bidi="ar"/>
              </w:rPr>
              <w:t>检查颈动脉有无狭窄及粥样斑块形成</w:t>
            </w:r>
          </w:p>
        </w:tc>
      </w:tr>
      <w:tr w14:paraId="76F81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69" w:type="pct"/>
            <w:vAlign w:val="center"/>
          </w:tcPr>
          <w:p w14:paraId="2204D7B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t>
            </w:r>
          </w:p>
        </w:tc>
        <w:tc>
          <w:tcPr>
            <w:tcW w:w="1006" w:type="pct"/>
            <w:vAlign w:val="center"/>
          </w:tcPr>
          <w:p w14:paraId="2ED41964">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肝功全套</w:t>
            </w:r>
          </w:p>
        </w:tc>
        <w:tc>
          <w:tcPr>
            <w:tcW w:w="425" w:type="pct"/>
            <w:vAlign w:val="center"/>
          </w:tcPr>
          <w:p w14:paraId="19DED49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525</w:t>
            </w:r>
          </w:p>
        </w:tc>
        <w:tc>
          <w:tcPr>
            <w:tcW w:w="400" w:type="pct"/>
            <w:vAlign w:val="center"/>
          </w:tcPr>
          <w:p w14:paraId="148F693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2797" w:type="pct"/>
            <w:vAlign w:val="center"/>
          </w:tcPr>
          <w:p w14:paraId="5CC46F8B">
            <w:pPr>
              <w:widowControl/>
              <w:textAlignment w:val="center"/>
              <w:rPr>
                <w:color w:val="auto"/>
                <w:highlight w:val="none"/>
              </w:rPr>
            </w:pPr>
            <w:r>
              <w:rPr>
                <w:rFonts w:hint="eastAsia" w:ascii="宋体" w:hAnsi="宋体" w:cs="宋体"/>
                <w:color w:val="auto"/>
                <w:kern w:val="0"/>
                <w:szCs w:val="21"/>
                <w:highlight w:val="none"/>
                <w:lang w:bidi="ar"/>
              </w:rPr>
              <w:t>了解肝脏功能有无改变</w:t>
            </w:r>
          </w:p>
        </w:tc>
      </w:tr>
      <w:tr w14:paraId="1D83F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69" w:type="pct"/>
            <w:vAlign w:val="center"/>
          </w:tcPr>
          <w:p w14:paraId="27B35FB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w:t>
            </w:r>
          </w:p>
        </w:tc>
        <w:tc>
          <w:tcPr>
            <w:tcW w:w="1006" w:type="pct"/>
            <w:vAlign w:val="center"/>
          </w:tcPr>
          <w:p w14:paraId="276C9520">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肝功三项</w:t>
            </w:r>
          </w:p>
        </w:tc>
        <w:tc>
          <w:tcPr>
            <w:tcW w:w="425" w:type="pct"/>
            <w:vAlign w:val="center"/>
          </w:tcPr>
          <w:p w14:paraId="0BA1C0B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440</w:t>
            </w:r>
          </w:p>
        </w:tc>
        <w:tc>
          <w:tcPr>
            <w:tcW w:w="400" w:type="pct"/>
            <w:vAlign w:val="center"/>
          </w:tcPr>
          <w:p w14:paraId="576A3ED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2797" w:type="pct"/>
            <w:vAlign w:val="center"/>
          </w:tcPr>
          <w:p w14:paraId="21FA61BB">
            <w:pPr>
              <w:widowControl/>
              <w:textAlignment w:val="center"/>
              <w:rPr>
                <w:color w:val="auto"/>
                <w:highlight w:val="none"/>
              </w:rPr>
            </w:pPr>
            <w:r>
              <w:rPr>
                <w:rFonts w:hint="eastAsia" w:ascii="宋体" w:hAnsi="宋体" w:cs="宋体"/>
                <w:color w:val="auto"/>
                <w:kern w:val="0"/>
                <w:szCs w:val="21"/>
                <w:highlight w:val="none"/>
                <w:lang w:bidi="ar"/>
              </w:rPr>
              <w:t>了解肝脏功能有无改变</w:t>
            </w:r>
          </w:p>
        </w:tc>
      </w:tr>
      <w:tr w14:paraId="00336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69" w:type="pct"/>
            <w:vAlign w:val="center"/>
          </w:tcPr>
          <w:p w14:paraId="6A406F6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1006" w:type="pct"/>
            <w:vAlign w:val="center"/>
          </w:tcPr>
          <w:p w14:paraId="44FFF560">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血脂四项</w:t>
            </w:r>
          </w:p>
        </w:tc>
        <w:tc>
          <w:tcPr>
            <w:tcW w:w="425" w:type="pct"/>
            <w:vAlign w:val="center"/>
          </w:tcPr>
          <w:p w14:paraId="2A754DF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904</w:t>
            </w:r>
          </w:p>
        </w:tc>
        <w:tc>
          <w:tcPr>
            <w:tcW w:w="400" w:type="pct"/>
            <w:vAlign w:val="center"/>
          </w:tcPr>
          <w:p w14:paraId="713D2B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2797" w:type="pct"/>
            <w:vAlign w:val="center"/>
          </w:tcPr>
          <w:p w14:paraId="52AADED5">
            <w:pPr>
              <w:widowControl/>
              <w:textAlignment w:val="center"/>
              <w:rPr>
                <w:color w:val="auto"/>
                <w:highlight w:val="none"/>
              </w:rPr>
            </w:pPr>
            <w:r>
              <w:rPr>
                <w:rFonts w:hint="eastAsia" w:ascii="宋体" w:hAnsi="宋体" w:cs="宋体"/>
                <w:color w:val="auto"/>
                <w:kern w:val="0"/>
                <w:szCs w:val="21"/>
                <w:highlight w:val="none"/>
                <w:lang w:bidi="ar"/>
              </w:rPr>
              <w:t>了解体内脂代谢状况，指导日常饮食及治疗。</w:t>
            </w:r>
          </w:p>
        </w:tc>
      </w:tr>
      <w:tr w14:paraId="09D51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69" w:type="pct"/>
            <w:vAlign w:val="center"/>
          </w:tcPr>
          <w:p w14:paraId="4E9CA0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w:t>
            </w:r>
          </w:p>
        </w:tc>
        <w:tc>
          <w:tcPr>
            <w:tcW w:w="1006" w:type="pct"/>
            <w:vAlign w:val="center"/>
          </w:tcPr>
          <w:p w14:paraId="69D605E7">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肾功三项</w:t>
            </w:r>
          </w:p>
        </w:tc>
        <w:tc>
          <w:tcPr>
            <w:tcW w:w="425" w:type="pct"/>
            <w:vAlign w:val="center"/>
          </w:tcPr>
          <w:p w14:paraId="52AD4F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904</w:t>
            </w:r>
          </w:p>
        </w:tc>
        <w:tc>
          <w:tcPr>
            <w:tcW w:w="400" w:type="pct"/>
            <w:vAlign w:val="center"/>
          </w:tcPr>
          <w:p w14:paraId="5DCCE0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2797" w:type="pct"/>
            <w:vAlign w:val="center"/>
          </w:tcPr>
          <w:p w14:paraId="17D2B777">
            <w:pPr>
              <w:widowControl/>
              <w:textAlignment w:val="center"/>
              <w:rPr>
                <w:color w:val="auto"/>
                <w:highlight w:val="none"/>
              </w:rPr>
            </w:pPr>
            <w:r>
              <w:rPr>
                <w:rFonts w:hint="eastAsia" w:ascii="宋体" w:hAnsi="宋体" w:cs="宋体"/>
                <w:color w:val="auto"/>
                <w:kern w:val="0"/>
                <w:szCs w:val="21"/>
                <w:highlight w:val="none"/>
                <w:lang w:bidi="ar"/>
              </w:rPr>
              <w:t>了解血尿酸水平及有无肾功能损害</w:t>
            </w:r>
          </w:p>
        </w:tc>
      </w:tr>
      <w:tr w14:paraId="4B2E2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69" w:type="pct"/>
            <w:vAlign w:val="center"/>
          </w:tcPr>
          <w:p w14:paraId="4F3DA2E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1006" w:type="pct"/>
            <w:vAlign w:val="center"/>
          </w:tcPr>
          <w:p w14:paraId="0AA00B48">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糖化血红蛋白</w:t>
            </w:r>
          </w:p>
        </w:tc>
        <w:tc>
          <w:tcPr>
            <w:tcW w:w="425" w:type="pct"/>
            <w:vAlign w:val="center"/>
          </w:tcPr>
          <w:p w14:paraId="38DD90F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904</w:t>
            </w:r>
          </w:p>
        </w:tc>
        <w:tc>
          <w:tcPr>
            <w:tcW w:w="400" w:type="pct"/>
            <w:vAlign w:val="center"/>
          </w:tcPr>
          <w:p w14:paraId="270E21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2797" w:type="pct"/>
            <w:vAlign w:val="center"/>
          </w:tcPr>
          <w:p w14:paraId="64271A70">
            <w:pPr>
              <w:widowControl/>
              <w:textAlignment w:val="center"/>
              <w:rPr>
                <w:color w:val="auto"/>
                <w:highlight w:val="none"/>
              </w:rPr>
            </w:pPr>
            <w:r>
              <w:rPr>
                <w:rFonts w:hint="eastAsia" w:ascii="宋体" w:hAnsi="宋体" w:cs="宋体"/>
                <w:color w:val="auto"/>
                <w:kern w:val="0"/>
                <w:szCs w:val="21"/>
                <w:highlight w:val="none"/>
                <w:lang w:bidi="ar"/>
              </w:rPr>
              <w:t>反映近期平均血糖水平</w:t>
            </w:r>
          </w:p>
        </w:tc>
      </w:tr>
      <w:tr w14:paraId="5067D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69" w:type="pct"/>
            <w:vAlign w:val="center"/>
          </w:tcPr>
          <w:p w14:paraId="43D039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w:t>
            </w:r>
          </w:p>
        </w:tc>
        <w:tc>
          <w:tcPr>
            <w:tcW w:w="1006" w:type="pct"/>
            <w:vAlign w:val="center"/>
          </w:tcPr>
          <w:p w14:paraId="264C22A1">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空腹血糖</w:t>
            </w:r>
          </w:p>
        </w:tc>
        <w:tc>
          <w:tcPr>
            <w:tcW w:w="425" w:type="pct"/>
            <w:vAlign w:val="center"/>
          </w:tcPr>
          <w:p w14:paraId="51D93DE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904</w:t>
            </w:r>
          </w:p>
        </w:tc>
        <w:tc>
          <w:tcPr>
            <w:tcW w:w="400" w:type="pct"/>
            <w:vAlign w:val="center"/>
          </w:tcPr>
          <w:p w14:paraId="162972D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2797" w:type="pct"/>
            <w:vAlign w:val="center"/>
          </w:tcPr>
          <w:p w14:paraId="4F281985">
            <w:pPr>
              <w:widowControl/>
              <w:textAlignment w:val="center"/>
              <w:rPr>
                <w:color w:val="auto"/>
                <w:highlight w:val="none"/>
              </w:rPr>
            </w:pPr>
            <w:r>
              <w:rPr>
                <w:rFonts w:hint="eastAsia" w:ascii="宋体" w:hAnsi="宋体" w:cs="宋体"/>
                <w:color w:val="auto"/>
                <w:kern w:val="0"/>
                <w:szCs w:val="21"/>
                <w:highlight w:val="none"/>
                <w:lang w:bidi="ar"/>
              </w:rPr>
              <w:t>诊断糖尿病、了解血糖控制情况</w:t>
            </w:r>
          </w:p>
        </w:tc>
      </w:tr>
      <w:tr w14:paraId="60328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69" w:type="pct"/>
            <w:vAlign w:val="center"/>
          </w:tcPr>
          <w:p w14:paraId="3A5467F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1006" w:type="pct"/>
            <w:vAlign w:val="center"/>
          </w:tcPr>
          <w:p w14:paraId="532491BE">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EB病毒IGA/VCA/EA两项</w:t>
            </w:r>
          </w:p>
        </w:tc>
        <w:tc>
          <w:tcPr>
            <w:tcW w:w="425" w:type="pct"/>
            <w:vAlign w:val="center"/>
          </w:tcPr>
          <w:p w14:paraId="3CF8164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904</w:t>
            </w:r>
          </w:p>
        </w:tc>
        <w:tc>
          <w:tcPr>
            <w:tcW w:w="400" w:type="pct"/>
            <w:vAlign w:val="center"/>
          </w:tcPr>
          <w:p w14:paraId="147B0C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2797" w:type="pct"/>
            <w:vAlign w:val="center"/>
          </w:tcPr>
          <w:p w14:paraId="4F9347B3">
            <w:pPr>
              <w:widowControl/>
              <w:textAlignment w:val="center"/>
              <w:rPr>
                <w:color w:val="auto"/>
                <w:highlight w:val="none"/>
              </w:rPr>
            </w:pPr>
            <w:r>
              <w:rPr>
                <w:rFonts w:hint="eastAsia" w:ascii="宋体" w:hAnsi="宋体" w:cs="宋体"/>
                <w:color w:val="auto"/>
                <w:kern w:val="0"/>
                <w:szCs w:val="21"/>
                <w:highlight w:val="none"/>
                <w:lang w:bidi="ar"/>
              </w:rPr>
              <w:t>鼻咽癌相关标志物</w:t>
            </w:r>
          </w:p>
        </w:tc>
      </w:tr>
      <w:tr w14:paraId="2E1B2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69" w:type="pct"/>
            <w:vAlign w:val="center"/>
          </w:tcPr>
          <w:p w14:paraId="0EB9A87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1006" w:type="pct"/>
            <w:vAlign w:val="center"/>
          </w:tcPr>
          <w:p w14:paraId="038045A2">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AFP</w:t>
            </w:r>
          </w:p>
        </w:tc>
        <w:tc>
          <w:tcPr>
            <w:tcW w:w="425" w:type="pct"/>
            <w:vAlign w:val="center"/>
          </w:tcPr>
          <w:p w14:paraId="6AFC03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904</w:t>
            </w:r>
          </w:p>
        </w:tc>
        <w:tc>
          <w:tcPr>
            <w:tcW w:w="400" w:type="pct"/>
            <w:vAlign w:val="center"/>
          </w:tcPr>
          <w:p w14:paraId="610C558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2797" w:type="pct"/>
            <w:vAlign w:val="center"/>
          </w:tcPr>
          <w:p w14:paraId="313A8C0A">
            <w:pPr>
              <w:widowControl/>
              <w:textAlignment w:val="center"/>
              <w:rPr>
                <w:color w:val="auto"/>
                <w:highlight w:val="none"/>
              </w:rPr>
            </w:pPr>
            <w:r>
              <w:rPr>
                <w:rFonts w:hint="eastAsia" w:ascii="宋体" w:hAnsi="宋体" w:cs="宋体"/>
                <w:color w:val="auto"/>
                <w:kern w:val="0"/>
                <w:szCs w:val="21"/>
                <w:highlight w:val="none"/>
                <w:lang w:bidi="ar"/>
              </w:rPr>
              <w:t>原发性肝癌相关标志物</w:t>
            </w:r>
          </w:p>
        </w:tc>
      </w:tr>
      <w:tr w14:paraId="0047C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69" w:type="pct"/>
            <w:vAlign w:val="center"/>
          </w:tcPr>
          <w:p w14:paraId="63B1623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w:t>
            </w:r>
          </w:p>
        </w:tc>
        <w:tc>
          <w:tcPr>
            <w:tcW w:w="1006" w:type="pct"/>
            <w:vAlign w:val="center"/>
          </w:tcPr>
          <w:p w14:paraId="27116F5C">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CEA</w:t>
            </w:r>
          </w:p>
        </w:tc>
        <w:tc>
          <w:tcPr>
            <w:tcW w:w="425" w:type="pct"/>
            <w:vAlign w:val="center"/>
          </w:tcPr>
          <w:p w14:paraId="62E9E9A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904</w:t>
            </w:r>
          </w:p>
        </w:tc>
        <w:tc>
          <w:tcPr>
            <w:tcW w:w="400" w:type="pct"/>
            <w:vAlign w:val="center"/>
          </w:tcPr>
          <w:p w14:paraId="42B64FB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2797" w:type="pct"/>
            <w:vAlign w:val="center"/>
          </w:tcPr>
          <w:p w14:paraId="671DE0D9">
            <w:pPr>
              <w:widowControl/>
              <w:textAlignment w:val="center"/>
              <w:rPr>
                <w:color w:val="auto"/>
                <w:highlight w:val="none"/>
              </w:rPr>
            </w:pPr>
            <w:r>
              <w:rPr>
                <w:rFonts w:hint="eastAsia" w:ascii="宋体" w:hAnsi="宋体" w:cs="宋体"/>
                <w:color w:val="auto"/>
                <w:kern w:val="0"/>
                <w:szCs w:val="21"/>
                <w:highlight w:val="none"/>
                <w:lang w:bidi="ar"/>
              </w:rPr>
              <w:t>消化道肿瘤相关标志物</w:t>
            </w:r>
          </w:p>
        </w:tc>
      </w:tr>
      <w:tr w14:paraId="07B25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69" w:type="pct"/>
            <w:vAlign w:val="center"/>
          </w:tcPr>
          <w:p w14:paraId="5BBDFA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w:t>
            </w:r>
          </w:p>
        </w:tc>
        <w:tc>
          <w:tcPr>
            <w:tcW w:w="1006" w:type="pct"/>
            <w:vAlign w:val="center"/>
          </w:tcPr>
          <w:p w14:paraId="223C3CC1">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TPSA</w:t>
            </w:r>
          </w:p>
        </w:tc>
        <w:tc>
          <w:tcPr>
            <w:tcW w:w="425" w:type="pct"/>
            <w:vAlign w:val="center"/>
          </w:tcPr>
          <w:p w14:paraId="7BF3793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464</w:t>
            </w:r>
          </w:p>
        </w:tc>
        <w:tc>
          <w:tcPr>
            <w:tcW w:w="400" w:type="pct"/>
            <w:vAlign w:val="center"/>
          </w:tcPr>
          <w:p w14:paraId="467E79F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2797" w:type="pct"/>
            <w:vAlign w:val="center"/>
          </w:tcPr>
          <w:p w14:paraId="7D1AC988">
            <w:pPr>
              <w:widowControl/>
              <w:textAlignment w:val="center"/>
              <w:rPr>
                <w:color w:val="auto"/>
                <w:highlight w:val="none"/>
              </w:rPr>
            </w:pPr>
            <w:r>
              <w:rPr>
                <w:rFonts w:hint="eastAsia" w:ascii="宋体" w:hAnsi="宋体" w:cs="宋体"/>
                <w:color w:val="auto"/>
                <w:kern w:val="0"/>
                <w:szCs w:val="21"/>
                <w:highlight w:val="none"/>
                <w:lang w:bidi="ar"/>
              </w:rPr>
              <w:t>前列腺癌相关标志物</w:t>
            </w:r>
          </w:p>
        </w:tc>
      </w:tr>
      <w:tr w14:paraId="3AA86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69" w:type="pct"/>
            <w:vAlign w:val="center"/>
          </w:tcPr>
          <w:p w14:paraId="5F1203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w:t>
            </w:r>
          </w:p>
        </w:tc>
        <w:tc>
          <w:tcPr>
            <w:tcW w:w="1006" w:type="pct"/>
            <w:vAlign w:val="center"/>
          </w:tcPr>
          <w:p w14:paraId="5114C483">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CA-199</w:t>
            </w:r>
          </w:p>
        </w:tc>
        <w:tc>
          <w:tcPr>
            <w:tcW w:w="425" w:type="pct"/>
            <w:vAlign w:val="center"/>
          </w:tcPr>
          <w:p w14:paraId="24C3A9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465</w:t>
            </w:r>
          </w:p>
        </w:tc>
        <w:tc>
          <w:tcPr>
            <w:tcW w:w="400" w:type="pct"/>
            <w:vAlign w:val="center"/>
          </w:tcPr>
          <w:p w14:paraId="01592A3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2797" w:type="pct"/>
            <w:vAlign w:val="center"/>
          </w:tcPr>
          <w:p w14:paraId="54B4E455">
            <w:pPr>
              <w:widowControl/>
              <w:textAlignment w:val="center"/>
              <w:rPr>
                <w:color w:val="auto"/>
                <w:highlight w:val="none"/>
              </w:rPr>
            </w:pPr>
            <w:r>
              <w:rPr>
                <w:rFonts w:hint="eastAsia" w:ascii="宋体" w:hAnsi="宋体" w:cs="宋体"/>
                <w:color w:val="auto"/>
                <w:kern w:val="0"/>
                <w:szCs w:val="21"/>
                <w:highlight w:val="none"/>
                <w:lang w:bidi="ar"/>
              </w:rPr>
              <w:t>胰腺癌相关标志物</w:t>
            </w:r>
          </w:p>
        </w:tc>
      </w:tr>
      <w:tr w14:paraId="53A32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69" w:type="pct"/>
            <w:vAlign w:val="center"/>
          </w:tcPr>
          <w:p w14:paraId="69ED93A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w:t>
            </w:r>
          </w:p>
        </w:tc>
        <w:tc>
          <w:tcPr>
            <w:tcW w:w="1006" w:type="pct"/>
            <w:vAlign w:val="center"/>
          </w:tcPr>
          <w:p w14:paraId="5A469AFA">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CA-125(糖蛋白抗原)</w:t>
            </w:r>
          </w:p>
        </w:tc>
        <w:tc>
          <w:tcPr>
            <w:tcW w:w="425" w:type="pct"/>
            <w:vAlign w:val="center"/>
          </w:tcPr>
          <w:p w14:paraId="61B447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61</w:t>
            </w:r>
          </w:p>
        </w:tc>
        <w:tc>
          <w:tcPr>
            <w:tcW w:w="400" w:type="pct"/>
            <w:vAlign w:val="center"/>
          </w:tcPr>
          <w:p w14:paraId="5C34762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2797" w:type="pct"/>
            <w:vAlign w:val="center"/>
          </w:tcPr>
          <w:p w14:paraId="63A53305">
            <w:pPr>
              <w:widowControl/>
              <w:textAlignment w:val="center"/>
              <w:rPr>
                <w:color w:val="auto"/>
                <w:highlight w:val="none"/>
              </w:rPr>
            </w:pPr>
            <w:r>
              <w:rPr>
                <w:rFonts w:hint="eastAsia" w:ascii="宋体" w:hAnsi="宋体" w:cs="宋体"/>
                <w:color w:val="auto"/>
                <w:kern w:val="0"/>
                <w:szCs w:val="21"/>
                <w:highlight w:val="none"/>
                <w:lang w:bidi="ar"/>
              </w:rPr>
              <w:t>卵巢癌相关标志物</w:t>
            </w:r>
          </w:p>
        </w:tc>
      </w:tr>
      <w:tr w14:paraId="6E852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69" w:type="pct"/>
            <w:vAlign w:val="center"/>
          </w:tcPr>
          <w:p w14:paraId="364AC62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1006" w:type="pct"/>
            <w:vAlign w:val="center"/>
          </w:tcPr>
          <w:p w14:paraId="6D9FD001">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CA-153</w:t>
            </w:r>
          </w:p>
        </w:tc>
        <w:tc>
          <w:tcPr>
            <w:tcW w:w="425" w:type="pct"/>
            <w:vAlign w:val="center"/>
          </w:tcPr>
          <w:p w14:paraId="26FBA5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61</w:t>
            </w:r>
          </w:p>
        </w:tc>
        <w:tc>
          <w:tcPr>
            <w:tcW w:w="400" w:type="pct"/>
            <w:vAlign w:val="center"/>
          </w:tcPr>
          <w:p w14:paraId="1F05681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2797" w:type="pct"/>
            <w:vAlign w:val="center"/>
          </w:tcPr>
          <w:p w14:paraId="2D77F881">
            <w:pPr>
              <w:widowControl/>
              <w:textAlignment w:val="center"/>
              <w:rPr>
                <w:color w:val="auto"/>
                <w:highlight w:val="none"/>
              </w:rPr>
            </w:pPr>
            <w:r>
              <w:rPr>
                <w:rFonts w:hint="eastAsia" w:ascii="宋体" w:hAnsi="宋体" w:cs="宋体"/>
                <w:color w:val="auto"/>
                <w:kern w:val="0"/>
                <w:szCs w:val="21"/>
                <w:highlight w:val="none"/>
                <w:lang w:bidi="ar"/>
              </w:rPr>
              <w:t>乳腺癌相关标志物</w:t>
            </w:r>
          </w:p>
        </w:tc>
      </w:tr>
      <w:tr w14:paraId="33104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69" w:type="pct"/>
            <w:vAlign w:val="center"/>
          </w:tcPr>
          <w:p w14:paraId="05A0AAF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w:t>
            </w:r>
          </w:p>
        </w:tc>
        <w:tc>
          <w:tcPr>
            <w:tcW w:w="1006" w:type="pct"/>
            <w:vAlign w:val="center"/>
          </w:tcPr>
          <w:p w14:paraId="7FCC4A67">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神经元特异性烯醇化酶（NSE)</w:t>
            </w:r>
          </w:p>
        </w:tc>
        <w:tc>
          <w:tcPr>
            <w:tcW w:w="425" w:type="pct"/>
            <w:vAlign w:val="center"/>
          </w:tcPr>
          <w:p w14:paraId="5B4F4ED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525</w:t>
            </w:r>
          </w:p>
        </w:tc>
        <w:tc>
          <w:tcPr>
            <w:tcW w:w="400" w:type="pct"/>
            <w:vAlign w:val="center"/>
          </w:tcPr>
          <w:p w14:paraId="0C90B7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2797" w:type="pct"/>
            <w:vAlign w:val="center"/>
          </w:tcPr>
          <w:p w14:paraId="26D77781">
            <w:pPr>
              <w:widowControl/>
              <w:textAlignment w:val="center"/>
              <w:rPr>
                <w:color w:val="auto"/>
                <w:highlight w:val="none"/>
              </w:rPr>
            </w:pPr>
            <w:r>
              <w:rPr>
                <w:rFonts w:hint="eastAsia" w:ascii="宋体" w:hAnsi="宋体" w:cs="宋体"/>
                <w:color w:val="auto"/>
                <w:kern w:val="0"/>
                <w:szCs w:val="21"/>
                <w:highlight w:val="none"/>
                <w:lang w:bidi="ar"/>
              </w:rPr>
              <w:t>NSE是小细胞肺癌首选标志物，用于小细胞肺癌的诊断和监测治疗反应,神经损伤也可致其升高。</w:t>
            </w:r>
          </w:p>
        </w:tc>
      </w:tr>
      <w:tr w14:paraId="7E5CB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69" w:type="pct"/>
            <w:vAlign w:val="center"/>
          </w:tcPr>
          <w:p w14:paraId="12A66A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w:t>
            </w:r>
          </w:p>
        </w:tc>
        <w:tc>
          <w:tcPr>
            <w:tcW w:w="1006" w:type="pct"/>
            <w:vAlign w:val="center"/>
          </w:tcPr>
          <w:p w14:paraId="15474C68">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血常规</w:t>
            </w:r>
          </w:p>
        </w:tc>
        <w:tc>
          <w:tcPr>
            <w:tcW w:w="425" w:type="pct"/>
            <w:vAlign w:val="center"/>
          </w:tcPr>
          <w:p w14:paraId="6B4AF0D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904</w:t>
            </w:r>
          </w:p>
        </w:tc>
        <w:tc>
          <w:tcPr>
            <w:tcW w:w="400" w:type="pct"/>
            <w:vAlign w:val="center"/>
          </w:tcPr>
          <w:p w14:paraId="3507729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2797" w:type="pct"/>
            <w:vAlign w:val="center"/>
          </w:tcPr>
          <w:p w14:paraId="79C464D2">
            <w:pPr>
              <w:widowControl/>
              <w:textAlignment w:val="center"/>
              <w:rPr>
                <w:color w:val="auto"/>
                <w:highlight w:val="none"/>
              </w:rPr>
            </w:pPr>
            <w:r>
              <w:rPr>
                <w:rFonts w:hint="eastAsia" w:ascii="宋体" w:hAnsi="宋体" w:cs="宋体"/>
                <w:color w:val="auto"/>
                <w:kern w:val="0"/>
                <w:szCs w:val="21"/>
                <w:highlight w:val="none"/>
                <w:lang w:bidi="ar"/>
              </w:rPr>
              <w:t>筛查血液系统疾病</w:t>
            </w:r>
          </w:p>
        </w:tc>
      </w:tr>
      <w:tr w14:paraId="0EEAC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69" w:type="pct"/>
            <w:vAlign w:val="center"/>
          </w:tcPr>
          <w:p w14:paraId="459FD7A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w:t>
            </w:r>
          </w:p>
        </w:tc>
        <w:tc>
          <w:tcPr>
            <w:tcW w:w="1006" w:type="pct"/>
            <w:vAlign w:val="center"/>
          </w:tcPr>
          <w:p w14:paraId="20217DE2">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尿常规</w:t>
            </w:r>
          </w:p>
        </w:tc>
        <w:tc>
          <w:tcPr>
            <w:tcW w:w="425" w:type="pct"/>
            <w:vAlign w:val="center"/>
          </w:tcPr>
          <w:p w14:paraId="3FE71A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904</w:t>
            </w:r>
          </w:p>
        </w:tc>
        <w:tc>
          <w:tcPr>
            <w:tcW w:w="400" w:type="pct"/>
            <w:vAlign w:val="center"/>
          </w:tcPr>
          <w:p w14:paraId="1FFEB9B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2797" w:type="pct"/>
            <w:vAlign w:val="center"/>
          </w:tcPr>
          <w:p w14:paraId="0A26D5F5">
            <w:pPr>
              <w:widowControl/>
              <w:textAlignment w:val="center"/>
              <w:rPr>
                <w:color w:val="auto"/>
                <w:highlight w:val="none"/>
              </w:rPr>
            </w:pPr>
            <w:r>
              <w:rPr>
                <w:rFonts w:hint="eastAsia" w:ascii="宋体" w:hAnsi="宋体" w:cs="宋体"/>
                <w:color w:val="auto"/>
                <w:kern w:val="0"/>
                <w:szCs w:val="21"/>
                <w:highlight w:val="none"/>
                <w:lang w:bidi="ar"/>
              </w:rPr>
              <w:t>筛查泌尿系统疾病</w:t>
            </w:r>
          </w:p>
        </w:tc>
      </w:tr>
      <w:tr w14:paraId="0D1AA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69" w:type="pct"/>
            <w:vAlign w:val="center"/>
          </w:tcPr>
          <w:p w14:paraId="60030590">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34</w:t>
            </w:r>
          </w:p>
        </w:tc>
        <w:tc>
          <w:tcPr>
            <w:tcW w:w="1006" w:type="pct"/>
            <w:vAlign w:val="center"/>
          </w:tcPr>
          <w:p w14:paraId="6EF944B2">
            <w:pPr>
              <w:widowControl/>
              <w:jc w:val="left"/>
              <w:textAlignment w:val="center"/>
              <w:rPr>
                <w:rFonts w:ascii="宋体" w:hAnsi="宋体" w:cs="宋体"/>
                <w:color w:val="auto"/>
                <w:kern w:val="0"/>
                <w:szCs w:val="21"/>
                <w:highlight w:val="none"/>
                <w:lang w:bidi="ar"/>
              </w:rPr>
            </w:pPr>
            <w:r>
              <w:rPr>
                <w:rFonts w:hint="eastAsia" w:ascii="宋体" w:hAnsi="宋体"/>
                <w:color w:val="auto"/>
                <w:szCs w:val="21"/>
                <w:highlight w:val="none"/>
              </w:rPr>
              <w:t>试管、抽血费</w:t>
            </w:r>
          </w:p>
        </w:tc>
        <w:tc>
          <w:tcPr>
            <w:tcW w:w="425" w:type="pct"/>
            <w:vAlign w:val="center"/>
          </w:tcPr>
          <w:p w14:paraId="6BCD4344">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904</w:t>
            </w:r>
          </w:p>
        </w:tc>
        <w:tc>
          <w:tcPr>
            <w:tcW w:w="400" w:type="pct"/>
            <w:vAlign w:val="center"/>
          </w:tcPr>
          <w:p w14:paraId="3C9A8968">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人次</w:t>
            </w:r>
          </w:p>
        </w:tc>
        <w:tc>
          <w:tcPr>
            <w:tcW w:w="2797" w:type="pct"/>
            <w:vAlign w:val="center"/>
          </w:tcPr>
          <w:p w14:paraId="0F961E72">
            <w:pPr>
              <w:widowControl/>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14:paraId="7B79E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202" w:type="pct"/>
            <w:gridSpan w:val="4"/>
            <w:vAlign w:val="center"/>
          </w:tcPr>
          <w:p w14:paraId="53D3D114">
            <w:pPr>
              <w:widowControl/>
              <w:jc w:val="center"/>
              <w:textAlignment w:val="center"/>
              <w:rPr>
                <w:rFonts w:ascii="宋体" w:hAnsi="宋体" w:cs="宋体"/>
                <w:color w:val="auto"/>
                <w:kern w:val="0"/>
                <w:szCs w:val="21"/>
                <w:highlight w:val="none"/>
                <w:lang w:bidi="ar"/>
              </w:rPr>
            </w:pPr>
            <w:r>
              <w:rPr>
                <w:rFonts w:hint="eastAsia" w:ascii="宋体" w:hAnsi="宋体" w:cs="黑体"/>
                <w:color w:val="auto"/>
                <w:szCs w:val="21"/>
                <w:highlight w:val="none"/>
              </w:rPr>
              <w:t>项目要求</w:t>
            </w:r>
          </w:p>
        </w:tc>
        <w:tc>
          <w:tcPr>
            <w:tcW w:w="2797" w:type="pct"/>
            <w:vAlign w:val="center"/>
          </w:tcPr>
          <w:p w14:paraId="0008BEB1">
            <w:pPr>
              <w:spacing w:line="410" w:lineRule="exact"/>
              <w:jc w:val="left"/>
              <w:rPr>
                <w:rFonts w:ascii="宋体" w:hAnsi="宋体" w:cs="宋体"/>
                <w:color w:val="auto"/>
                <w:szCs w:val="21"/>
                <w:highlight w:val="none"/>
              </w:rPr>
            </w:pPr>
            <w:r>
              <w:rPr>
                <w:rFonts w:hint="eastAsia" w:ascii="宋体" w:hAnsi="宋体" w:cs="宋体"/>
                <w:color w:val="auto"/>
                <w:szCs w:val="21"/>
                <w:highlight w:val="none"/>
              </w:rPr>
              <w:t>一、基本要求</w:t>
            </w:r>
          </w:p>
          <w:p w14:paraId="6A883848">
            <w:pPr>
              <w:spacing w:line="410" w:lineRule="exact"/>
              <w:jc w:val="left"/>
              <w:rPr>
                <w:rFonts w:ascii="宋体" w:hAnsi="宋体"/>
                <w:color w:val="auto"/>
                <w:szCs w:val="21"/>
                <w:highlight w:val="none"/>
              </w:rPr>
            </w:pPr>
            <w:r>
              <w:rPr>
                <w:rFonts w:hint="eastAsia" w:ascii="宋体" w:hAnsi="宋体"/>
                <w:color w:val="auto"/>
                <w:szCs w:val="21"/>
                <w:highlight w:val="none"/>
              </w:rPr>
              <w:t>1.成交供应商须在《医疗机构管理办法》、《中华人民共和国执业医师法》等法规下进行体检活动。在南宁市具有符合本次体检服务要求及规模的独立体检场所、人员和专用装备。</w:t>
            </w:r>
          </w:p>
          <w:p w14:paraId="06E413E7">
            <w:pPr>
              <w:spacing w:line="410" w:lineRule="exact"/>
              <w:jc w:val="left"/>
              <w:rPr>
                <w:rFonts w:ascii="宋体" w:hAnsi="宋体"/>
                <w:color w:val="auto"/>
                <w:szCs w:val="21"/>
                <w:highlight w:val="none"/>
              </w:rPr>
            </w:pPr>
            <w:r>
              <w:rPr>
                <w:rFonts w:hint="eastAsia" w:ascii="宋体" w:hAnsi="宋体"/>
                <w:color w:val="auto"/>
                <w:szCs w:val="21"/>
                <w:highlight w:val="none"/>
              </w:rPr>
              <w:t>2.体检设备，符合相关行业技术要求；严格按照设备操作规程，保证仪器设备的正常使用。</w:t>
            </w:r>
          </w:p>
          <w:p w14:paraId="76DC3BB0">
            <w:pPr>
              <w:spacing w:line="410" w:lineRule="exact"/>
              <w:jc w:val="left"/>
              <w:rPr>
                <w:rFonts w:ascii="宋体" w:hAnsi="宋体"/>
                <w:color w:val="auto"/>
                <w:szCs w:val="21"/>
                <w:highlight w:val="none"/>
              </w:rPr>
            </w:pPr>
            <w:r>
              <w:rPr>
                <w:rFonts w:hint="eastAsia" w:ascii="宋体" w:hAnsi="宋体"/>
                <w:color w:val="auto"/>
                <w:szCs w:val="21"/>
                <w:highlight w:val="none"/>
              </w:rPr>
              <w:t>3.负责参与本次体检具体工作的人员须是成交供应商的工作人员，并为本项目指定一名项目负责人，项目负责人须具有副主任医师或以上职称，在响应文件中提供项目实施人员一览表并加盖供应商公章。（如有执业资格证、职称证，请在响应文件提供相应证件复印件）</w:t>
            </w:r>
          </w:p>
          <w:p w14:paraId="79EAC6AB">
            <w:pPr>
              <w:spacing w:line="410" w:lineRule="exact"/>
              <w:jc w:val="left"/>
              <w:rPr>
                <w:rFonts w:ascii="宋体" w:hAnsi="宋体"/>
                <w:color w:val="auto"/>
                <w:kern w:val="0"/>
                <w:szCs w:val="21"/>
                <w:highlight w:val="none"/>
              </w:rPr>
            </w:pPr>
            <w:r>
              <w:rPr>
                <w:rFonts w:hint="eastAsia" w:ascii="宋体" w:hAnsi="宋体"/>
                <w:color w:val="auto"/>
                <w:kern w:val="0"/>
                <w:szCs w:val="21"/>
                <w:highlight w:val="none"/>
              </w:rPr>
              <w:t>二、服务要求</w:t>
            </w:r>
          </w:p>
          <w:p w14:paraId="3ED49884">
            <w:pPr>
              <w:spacing w:line="410" w:lineRule="exact"/>
              <w:jc w:val="left"/>
              <w:rPr>
                <w:rFonts w:ascii="宋体" w:hAnsi="宋体"/>
                <w:color w:val="auto"/>
                <w:szCs w:val="21"/>
                <w:highlight w:val="none"/>
              </w:rPr>
            </w:pPr>
            <w:r>
              <w:rPr>
                <w:rFonts w:hint="eastAsia" w:ascii="宋体" w:hAnsi="宋体"/>
                <w:color w:val="auto"/>
                <w:szCs w:val="21"/>
                <w:highlight w:val="none"/>
              </w:rPr>
              <w:t>1.成交供应商的工作人员具备国家规定的资质，要求业务技术精、工作责任心强、服务态度好的工作人员参加体检工作；</w:t>
            </w:r>
          </w:p>
          <w:p w14:paraId="7CEBC64F">
            <w:pPr>
              <w:spacing w:line="410" w:lineRule="exact"/>
              <w:jc w:val="left"/>
              <w:rPr>
                <w:rFonts w:ascii="宋体" w:hAnsi="宋体"/>
                <w:color w:val="auto"/>
                <w:szCs w:val="21"/>
                <w:highlight w:val="none"/>
              </w:rPr>
            </w:pPr>
            <w:r>
              <w:rPr>
                <w:rFonts w:hint="eastAsia" w:ascii="宋体" w:hAnsi="宋体"/>
                <w:color w:val="auto"/>
                <w:szCs w:val="21"/>
                <w:highlight w:val="none"/>
              </w:rPr>
              <w:t>2.成交供应商负责对每一位受检者的各科体检资料及工作人员意见进行汇总审核，综合评价，提出医学建议及健康指导意见。体检完毕后的30个日历日内提供完整版体检资料，包含体检人员个人体检纸质报告（加盖公章）、电子版（全体参检人员汇总excel文档或原始数据库）及全体参检人员整体健康评估报告（电子版及加盖公章的纸质文件）。</w:t>
            </w:r>
          </w:p>
          <w:p w14:paraId="7C23B40A">
            <w:pPr>
              <w:spacing w:line="410" w:lineRule="exact"/>
              <w:jc w:val="left"/>
              <w:rPr>
                <w:rFonts w:ascii="宋体" w:hAnsi="宋体"/>
                <w:color w:val="auto"/>
                <w:szCs w:val="21"/>
                <w:highlight w:val="none"/>
              </w:rPr>
            </w:pPr>
            <w:r>
              <w:rPr>
                <w:rFonts w:hint="eastAsia" w:ascii="宋体" w:hAnsi="宋体"/>
                <w:color w:val="auto"/>
                <w:szCs w:val="21"/>
                <w:highlight w:val="none"/>
              </w:rPr>
              <w:t>3.成交供应商为每位体检人员提供体检当天早餐一份。</w:t>
            </w:r>
          </w:p>
          <w:p w14:paraId="00BEE0D8">
            <w:pPr>
              <w:spacing w:line="410" w:lineRule="exact"/>
              <w:jc w:val="left"/>
              <w:rPr>
                <w:rFonts w:ascii="宋体" w:hAnsi="宋体"/>
                <w:color w:val="auto"/>
                <w:szCs w:val="21"/>
                <w:highlight w:val="none"/>
              </w:rPr>
            </w:pPr>
            <w:r>
              <w:rPr>
                <w:rFonts w:hint="eastAsia" w:ascii="宋体" w:hAnsi="宋体"/>
                <w:color w:val="auto"/>
                <w:szCs w:val="21"/>
                <w:highlight w:val="none"/>
              </w:rPr>
              <w:t>4.成交供应商按行业技术标准，按既定体检项目，开展体检服务。严格按照体检的技术指标和操作规范，确保体检质量和检查结果的准确性，做到不漏检、不误检；有漏检职工</w:t>
            </w:r>
            <w:r>
              <w:rPr>
                <w:rFonts w:hint="eastAsia" w:ascii="宋体" w:hAnsi="宋体"/>
                <w:color w:val="auto"/>
                <w:szCs w:val="21"/>
                <w:highlight w:val="none"/>
                <w:lang w:eastAsia="zh-CN"/>
              </w:rPr>
              <w:t>，</w:t>
            </w:r>
            <w:r>
              <w:rPr>
                <w:rFonts w:hint="eastAsia" w:ascii="宋体" w:hAnsi="宋体"/>
                <w:color w:val="auto"/>
                <w:szCs w:val="21"/>
                <w:highlight w:val="none"/>
              </w:rPr>
              <w:t>成交供应商能按照采购人要求的时间予以补检。</w:t>
            </w:r>
          </w:p>
          <w:p w14:paraId="35C45FAA">
            <w:pPr>
              <w:spacing w:line="410" w:lineRule="exact"/>
              <w:jc w:val="left"/>
              <w:rPr>
                <w:rFonts w:hint="eastAsia" w:ascii="宋体" w:hAnsi="宋体"/>
                <w:color w:val="auto"/>
                <w:szCs w:val="21"/>
                <w:highlight w:val="none"/>
              </w:rPr>
            </w:pPr>
            <w:r>
              <w:rPr>
                <w:rFonts w:hint="eastAsia" w:ascii="宋体" w:hAnsi="宋体"/>
                <w:color w:val="auto"/>
                <w:szCs w:val="21"/>
                <w:highlight w:val="none"/>
              </w:rPr>
              <w:t>5.体检过程中如出现成交供应商接待能力不足，无法在一天内安排并完成200人进行体检的情况，采购人有权要求成交供应商在3个工作日内作出符合本次采购要求的调整。重新开始体检后若再次出现成交供应商接待能力不足</w:t>
            </w:r>
            <w:r>
              <w:rPr>
                <w:rFonts w:ascii="宋体" w:hAnsi="宋体"/>
                <w:color w:val="auto"/>
                <w:szCs w:val="21"/>
                <w:highlight w:val="none"/>
              </w:rPr>
              <w:t>200</w:t>
            </w:r>
            <w:r>
              <w:rPr>
                <w:rFonts w:hint="eastAsia" w:ascii="宋体" w:hAnsi="宋体"/>
                <w:color w:val="auto"/>
                <w:szCs w:val="21"/>
                <w:highlight w:val="none"/>
              </w:rPr>
              <w:t>人的情况，将视为成交供应商违约，采购人有权终止合同，由此造成的全部损失由成交供应商负责。</w:t>
            </w:r>
          </w:p>
          <w:p w14:paraId="4996C224">
            <w:pPr>
              <w:spacing w:line="410" w:lineRule="exact"/>
              <w:jc w:val="left"/>
              <w:rPr>
                <w:rFonts w:hint="eastAsia" w:ascii="宋体" w:hAnsi="宋体"/>
                <w:color w:val="auto"/>
                <w:szCs w:val="21"/>
                <w:highlight w:val="none"/>
              </w:rPr>
            </w:pPr>
            <w:r>
              <w:rPr>
                <w:rFonts w:hint="eastAsia" w:ascii="宋体" w:hAnsi="宋体"/>
                <w:color w:val="auto"/>
                <w:szCs w:val="21"/>
                <w:highlight w:val="none"/>
              </w:rPr>
              <w:t>6.签订合同后6个工作日内，成交供应商需提供体检</w:t>
            </w:r>
            <w:r>
              <w:rPr>
                <w:rFonts w:hint="eastAsia" w:ascii="宋体" w:hAnsi="宋体"/>
                <w:color w:val="auto"/>
                <w:szCs w:val="21"/>
                <w:highlight w:val="none"/>
                <w:lang w:val="en-US" w:eastAsia="zh-CN"/>
              </w:rPr>
              <w:t>服务</w:t>
            </w:r>
            <w:r>
              <w:rPr>
                <w:rFonts w:hint="eastAsia" w:ascii="宋体" w:hAnsi="宋体"/>
                <w:color w:val="auto"/>
                <w:szCs w:val="21"/>
                <w:highlight w:val="none"/>
              </w:rPr>
              <w:t>方案（包括具体时间、地点、人员安排等）并交予采购人确认。</w:t>
            </w:r>
          </w:p>
          <w:p w14:paraId="60ED28F1">
            <w:pPr>
              <w:spacing w:line="410" w:lineRule="exact"/>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7.供应商对体检过程中发现的疑似重大疾病务必做好登记，并当天通知采购人或体检者本人，及时给予复检；针对明确诊断体检检查出有问题（项目指标异常，有疾病风险）的，要在48小时内电话或短信通知本人。</w:t>
            </w:r>
          </w:p>
          <w:p w14:paraId="381272C5">
            <w:pPr>
              <w:spacing w:line="410" w:lineRule="exact"/>
              <w:jc w:val="left"/>
              <w:rPr>
                <w:rFonts w:hint="default"/>
                <w:color w:val="auto"/>
                <w:highlight w:val="none"/>
                <w:lang w:val="en-US"/>
              </w:rPr>
            </w:pPr>
            <w:r>
              <w:rPr>
                <w:rFonts w:hint="eastAsia" w:ascii="宋体" w:hAnsi="宋体"/>
                <w:color w:val="auto"/>
                <w:szCs w:val="21"/>
                <w:highlight w:val="none"/>
                <w:lang w:val="en-US" w:eastAsia="zh-CN"/>
              </w:rPr>
              <w:t>8.成交供应商为采购人建立职工体检健康档案，实行电脑化管理。</w:t>
            </w:r>
          </w:p>
        </w:tc>
      </w:tr>
      <w:tr w14:paraId="43875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000" w:type="pct"/>
            <w:gridSpan w:val="5"/>
            <w:vAlign w:val="center"/>
          </w:tcPr>
          <w:p w14:paraId="0D95B682">
            <w:pPr>
              <w:spacing w:line="348" w:lineRule="auto"/>
              <w:ind w:right="102"/>
              <w:rPr>
                <w:rFonts w:ascii="宋体" w:hAnsi="宋体" w:cs="宋体"/>
                <w:color w:val="auto"/>
                <w:szCs w:val="21"/>
                <w:highlight w:val="none"/>
              </w:rPr>
            </w:pPr>
            <w:r>
              <w:rPr>
                <w:rFonts w:hint="eastAsia"/>
                <w:color w:val="auto"/>
                <w:highlight w:val="none"/>
              </w:rPr>
              <w:t>▲</w:t>
            </w:r>
            <w:r>
              <w:rPr>
                <w:rFonts w:hint="eastAsia" w:ascii="宋体" w:hAnsi="宋体" w:cs="宋体"/>
                <w:b/>
                <w:color w:val="auto"/>
                <w:szCs w:val="21"/>
                <w:highlight w:val="none"/>
              </w:rPr>
              <w:t>一、商务条款</w:t>
            </w:r>
          </w:p>
        </w:tc>
      </w:tr>
      <w:tr w14:paraId="40B86E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75" w:type="pct"/>
            <w:gridSpan w:val="2"/>
            <w:tcBorders>
              <w:top w:val="single" w:color="auto" w:sz="4" w:space="0"/>
              <w:left w:val="single" w:color="auto" w:sz="4" w:space="0"/>
              <w:bottom w:val="single" w:color="auto" w:sz="4" w:space="0"/>
              <w:right w:val="single" w:color="auto" w:sz="4" w:space="0"/>
            </w:tcBorders>
            <w:vAlign w:val="center"/>
          </w:tcPr>
          <w:p w14:paraId="39AA5AA6">
            <w:pPr>
              <w:spacing w:line="360" w:lineRule="auto"/>
              <w:jc w:val="center"/>
              <w:rPr>
                <w:color w:val="auto"/>
                <w:highlight w:val="none"/>
              </w:rPr>
            </w:pPr>
            <w:r>
              <w:rPr>
                <w:rFonts w:hint="eastAsia" w:ascii="宋体" w:hAnsi="宋体"/>
                <w:color w:val="auto"/>
                <w:szCs w:val="21"/>
                <w:highlight w:val="none"/>
              </w:rPr>
              <w:t>合同签订时间</w:t>
            </w:r>
          </w:p>
        </w:tc>
        <w:tc>
          <w:tcPr>
            <w:tcW w:w="3624" w:type="pct"/>
            <w:gridSpan w:val="3"/>
            <w:tcBorders>
              <w:top w:val="single" w:color="auto" w:sz="4" w:space="0"/>
              <w:left w:val="single" w:color="auto" w:sz="4" w:space="0"/>
              <w:bottom w:val="single" w:color="auto" w:sz="4" w:space="0"/>
              <w:right w:val="single" w:color="auto" w:sz="4" w:space="0"/>
            </w:tcBorders>
          </w:tcPr>
          <w:p w14:paraId="57645FB4">
            <w:pPr>
              <w:spacing w:line="360" w:lineRule="auto"/>
              <w:rPr>
                <w:color w:val="auto"/>
                <w:highlight w:val="none"/>
              </w:rPr>
            </w:pPr>
            <w:r>
              <w:rPr>
                <w:rFonts w:hint="eastAsia" w:ascii="宋体" w:hAnsi="宋体"/>
                <w:color w:val="auto"/>
                <w:szCs w:val="21"/>
                <w:highlight w:val="none"/>
              </w:rPr>
              <w:t>自成交通知书发出之日起25日内</w:t>
            </w:r>
          </w:p>
        </w:tc>
      </w:tr>
      <w:tr w14:paraId="789B9C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75" w:type="pct"/>
            <w:gridSpan w:val="2"/>
            <w:tcBorders>
              <w:top w:val="single" w:color="auto" w:sz="4" w:space="0"/>
              <w:left w:val="single" w:color="auto" w:sz="4" w:space="0"/>
              <w:bottom w:val="single" w:color="auto" w:sz="4" w:space="0"/>
              <w:right w:val="single" w:color="auto" w:sz="4" w:space="0"/>
            </w:tcBorders>
            <w:vAlign w:val="center"/>
          </w:tcPr>
          <w:p w14:paraId="7E771D12">
            <w:pPr>
              <w:spacing w:line="360" w:lineRule="auto"/>
              <w:jc w:val="center"/>
              <w:rPr>
                <w:rFonts w:ascii="宋体" w:hAnsi="宋体"/>
                <w:color w:val="auto"/>
                <w:szCs w:val="21"/>
                <w:highlight w:val="none"/>
              </w:rPr>
            </w:pPr>
            <w:r>
              <w:rPr>
                <w:rFonts w:hint="eastAsia" w:ascii="宋体" w:hAnsi="宋体"/>
                <w:color w:val="auto"/>
                <w:szCs w:val="21"/>
                <w:highlight w:val="none"/>
              </w:rPr>
              <w:t>体检时间</w:t>
            </w:r>
            <w:r>
              <w:rPr>
                <w:rFonts w:hint="eastAsia" w:ascii="宋体" w:hAnsi="宋体"/>
                <w:color w:val="auto"/>
                <w:szCs w:val="21"/>
                <w:highlight w:val="none"/>
                <w:lang w:val="zh-CN"/>
              </w:rPr>
              <w:t>及</w:t>
            </w:r>
            <w:r>
              <w:rPr>
                <w:rFonts w:hint="eastAsia" w:ascii="宋体" w:hAnsi="宋体"/>
                <w:color w:val="auto"/>
                <w:szCs w:val="21"/>
                <w:highlight w:val="none"/>
              </w:rPr>
              <w:t>体检</w:t>
            </w:r>
            <w:r>
              <w:rPr>
                <w:rFonts w:hint="eastAsia" w:ascii="宋体" w:hAnsi="宋体"/>
                <w:color w:val="auto"/>
                <w:szCs w:val="21"/>
                <w:highlight w:val="none"/>
                <w:lang w:val="zh-CN"/>
              </w:rPr>
              <w:t>地点</w:t>
            </w:r>
          </w:p>
        </w:tc>
        <w:tc>
          <w:tcPr>
            <w:tcW w:w="3624" w:type="pct"/>
            <w:gridSpan w:val="3"/>
            <w:tcBorders>
              <w:top w:val="single" w:color="auto" w:sz="4" w:space="0"/>
              <w:left w:val="single" w:color="auto" w:sz="4" w:space="0"/>
              <w:bottom w:val="single" w:color="auto" w:sz="4" w:space="0"/>
              <w:right w:val="single" w:color="auto" w:sz="4" w:space="0"/>
            </w:tcBorders>
          </w:tcPr>
          <w:p w14:paraId="3AA33EAA">
            <w:pPr>
              <w:spacing w:line="360" w:lineRule="auto"/>
              <w:jc w:val="left"/>
              <w:rPr>
                <w:rFonts w:ascii="宋体" w:hAnsi="宋体"/>
                <w:color w:val="auto"/>
                <w:szCs w:val="21"/>
                <w:highlight w:val="none"/>
                <w:lang w:val="zh-CN"/>
              </w:rPr>
            </w:pPr>
            <w:r>
              <w:rPr>
                <w:rFonts w:hint="eastAsia" w:ascii="宋体" w:hAnsi="宋体"/>
                <w:color w:val="auto"/>
                <w:szCs w:val="21"/>
                <w:highlight w:val="none"/>
              </w:rPr>
              <w:t>1、体检时间</w:t>
            </w:r>
            <w:r>
              <w:rPr>
                <w:rFonts w:hint="eastAsia" w:ascii="宋体" w:hAnsi="宋体"/>
                <w:color w:val="auto"/>
                <w:szCs w:val="21"/>
                <w:highlight w:val="none"/>
                <w:lang w:val="zh-CN"/>
              </w:rPr>
              <w:t>：</w:t>
            </w:r>
            <w:r>
              <w:rPr>
                <w:rFonts w:hint="eastAsia" w:ascii="宋体" w:hAnsi="宋体"/>
                <w:color w:val="auto"/>
                <w:szCs w:val="21"/>
                <w:highlight w:val="none"/>
              </w:rPr>
              <w:t>体检初步安排在2025年9月，具体体检时间由采购人决定，并提前10天通知。</w:t>
            </w:r>
          </w:p>
          <w:p w14:paraId="23A7D4CE">
            <w:pPr>
              <w:spacing w:line="360" w:lineRule="auto"/>
              <w:jc w:val="left"/>
              <w:rPr>
                <w:rFonts w:ascii="宋体" w:hAnsi="宋体"/>
                <w:color w:val="auto"/>
                <w:szCs w:val="21"/>
                <w:highlight w:val="none"/>
              </w:rPr>
            </w:pPr>
            <w:r>
              <w:rPr>
                <w:rFonts w:hint="eastAsia" w:ascii="宋体" w:hAnsi="宋体"/>
                <w:color w:val="auto"/>
                <w:szCs w:val="21"/>
                <w:highlight w:val="none"/>
              </w:rPr>
              <w:t>2、体检</w:t>
            </w:r>
            <w:r>
              <w:rPr>
                <w:rFonts w:hint="eastAsia" w:ascii="宋体" w:hAnsi="宋体"/>
                <w:color w:val="auto"/>
                <w:szCs w:val="21"/>
                <w:highlight w:val="none"/>
                <w:lang w:val="zh-CN"/>
              </w:rPr>
              <w:t>地点：</w:t>
            </w:r>
            <w:r>
              <w:rPr>
                <w:rFonts w:hint="eastAsia" w:ascii="宋体" w:hAnsi="宋体"/>
                <w:color w:val="auto"/>
                <w:szCs w:val="21"/>
                <w:highlight w:val="none"/>
              </w:rPr>
              <w:t>采购人指定地点。</w:t>
            </w:r>
          </w:p>
        </w:tc>
      </w:tr>
      <w:tr w14:paraId="74568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75" w:type="pct"/>
            <w:gridSpan w:val="2"/>
            <w:tcBorders>
              <w:top w:val="single" w:color="auto" w:sz="4" w:space="0"/>
              <w:left w:val="single" w:color="auto" w:sz="4" w:space="0"/>
              <w:bottom w:val="single" w:color="auto" w:sz="4" w:space="0"/>
              <w:right w:val="single" w:color="auto" w:sz="4" w:space="0"/>
            </w:tcBorders>
            <w:vAlign w:val="center"/>
          </w:tcPr>
          <w:p w14:paraId="04D0E201">
            <w:pPr>
              <w:spacing w:line="360" w:lineRule="auto"/>
              <w:jc w:val="center"/>
              <w:rPr>
                <w:color w:val="auto"/>
                <w:highlight w:val="none"/>
              </w:rPr>
            </w:pPr>
            <w:r>
              <w:rPr>
                <w:rFonts w:hint="eastAsia" w:ascii="宋体" w:hAnsi="宋体"/>
                <w:bCs/>
                <w:color w:val="auto"/>
                <w:szCs w:val="21"/>
                <w:highlight w:val="none"/>
              </w:rPr>
              <w:t>付款方式</w:t>
            </w:r>
          </w:p>
        </w:tc>
        <w:tc>
          <w:tcPr>
            <w:tcW w:w="3624" w:type="pct"/>
            <w:gridSpan w:val="3"/>
            <w:tcBorders>
              <w:top w:val="single" w:color="auto" w:sz="4" w:space="0"/>
              <w:left w:val="single" w:color="auto" w:sz="4" w:space="0"/>
              <w:bottom w:val="single" w:color="auto" w:sz="4" w:space="0"/>
              <w:right w:val="single" w:color="auto" w:sz="4" w:space="0"/>
            </w:tcBorders>
            <w:vAlign w:val="center"/>
          </w:tcPr>
          <w:p w14:paraId="5C7AF6AF">
            <w:pPr>
              <w:spacing w:line="360" w:lineRule="auto"/>
              <w:jc w:val="left"/>
              <w:rPr>
                <w:color w:val="auto"/>
                <w:highlight w:val="none"/>
              </w:rPr>
            </w:pPr>
            <w:r>
              <w:rPr>
                <w:rFonts w:hint="eastAsia" w:ascii="宋体" w:hAnsi="宋体"/>
                <w:bCs/>
                <w:color w:val="auto"/>
                <w:szCs w:val="21"/>
                <w:highlight w:val="none"/>
              </w:rPr>
              <w:t>采购人在收到完整版体检资料后，按双方确认的实际体检人数乘以成交供应商的最终成交单价结算体检费用，采购人在收到成交供应商开具发票的10个工作日内通过转账方式一次性支付体检费用款项给成交供应商。如未按国家要求开具发票或未按合同履约的，视为违约，采购人有权暂缓支付体检费用直至收到等额正式发票之日止，并不承担逾期付款的违约责任。如</w:t>
            </w:r>
            <w:r>
              <w:rPr>
                <w:rFonts w:hint="eastAsia" w:ascii="宋体" w:hAnsi="宋体"/>
                <w:color w:val="auto"/>
                <w:szCs w:val="21"/>
                <w:highlight w:val="none"/>
              </w:rPr>
              <w:t>造成法律规定的损害的，</w:t>
            </w:r>
            <w:r>
              <w:rPr>
                <w:rFonts w:hint="eastAsia" w:ascii="宋体" w:hAnsi="宋体"/>
                <w:bCs/>
                <w:color w:val="auto"/>
                <w:szCs w:val="21"/>
                <w:highlight w:val="none"/>
              </w:rPr>
              <w:t>采购人有权追究成交供应商法律责任。</w:t>
            </w:r>
          </w:p>
        </w:tc>
      </w:tr>
      <w:tr w14:paraId="65075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1375" w:type="pct"/>
            <w:gridSpan w:val="2"/>
            <w:tcBorders>
              <w:top w:val="single" w:color="auto" w:sz="4" w:space="0"/>
              <w:left w:val="single" w:color="auto" w:sz="4" w:space="0"/>
              <w:bottom w:val="single" w:color="auto" w:sz="4" w:space="0"/>
              <w:right w:val="single" w:color="auto" w:sz="4" w:space="0"/>
            </w:tcBorders>
            <w:vAlign w:val="center"/>
          </w:tcPr>
          <w:p w14:paraId="37407387">
            <w:pPr>
              <w:spacing w:line="360" w:lineRule="auto"/>
              <w:jc w:val="center"/>
              <w:rPr>
                <w:color w:val="auto"/>
                <w:highlight w:val="none"/>
              </w:rPr>
            </w:pPr>
            <w:r>
              <w:rPr>
                <w:rFonts w:hint="eastAsia" w:ascii="宋体" w:hAnsi="宋体"/>
                <w:color w:val="auto"/>
                <w:szCs w:val="21"/>
                <w:highlight w:val="none"/>
              </w:rPr>
              <w:t>报价要求</w:t>
            </w:r>
          </w:p>
        </w:tc>
        <w:tc>
          <w:tcPr>
            <w:tcW w:w="3624" w:type="pct"/>
            <w:gridSpan w:val="3"/>
            <w:tcBorders>
              <w:top w:val="single" w:color="auto" w:sz="4" w:space="0"/>
              <w:left w:val="single" w:color="auto" w:sz="4" w:space="0"/>
              <w:bottom w:val="single" w:color="auto" w:sz="4" w:space="0"/>
              <w:right w:val="single" w:color="auto" w:sz="4" w:space="0"/>
            </w:tcBorders>
            <w:vAlign w:val="center"/>
          </w:tcPr>
          <w:p w14:paraId="3E9CDE94">
            <w:pPr>
              <w:spacing w:line="360" w:lineRule="auto"/>
              <w:jc w:val="left"/>
              <w:rPr>
                <w:rFonts w:ascii="宋体" w:hAnsi="宋体"/>
                <w:bCs/>
                <w:color w:val="auto"/>
                <w:szCs w:val="21"/>
                <w:highlight w:val="none"/>
              </w:rPr>
            </w:pPr>
            <w:r>
              <w:rPr>
                <w:rFonts w:hint="eastAsia" w:ascii="宋体" w:hAnsi="宋体"/>
                <w:bCs/>
                <w:color w:val="auto"/>
                <w:szCs w:val="21"/>
                <w:highlight w:val="none"/>
              </w:rPr>
              <w:t>1、报价包含但不限于以下内容：提供体检服务所需的设备材料、工具、人员的各种费用和售后服务、税金及其他所有成本费用的总和。</w:t>
            </w:r>
          </w:p>
          <w:p w14:paraId="46D7EF62">
            <w:pPr>
              <w:spacing w:line="360" w:lineRule="auto"/>
              <w:jc w:val="left"/>
              <w:rPr>
                <w:color w:val="auto"/>
                <w:highlight w:val="none"/>
              </w:rPr>
            </w:pPr>
            <w:r>
              <w:rPr>
                <w:rFonts w:hint="eastAsia" w:ascii="宋体" w:hAnsi="宋体"/>
                <w:b/>
                <w:color w:val="auto"/>
                <w:szCs w:val="21"/>
                <w:highlight w:val="none"/>
              </w:rPr>
              <w:t>2、本次体检人数：共计904人体检，其中男性464人（40岁（含）以上男性369人；40岁以下男性95人），女性440人（女性已婚379人，未婚61人）。体检项目费用结算以实际体检人数及检查项目为准。</w:t>
            </w:r>
          </w:p>
        </w:tc>
      </w:tr>
      <w:tr w14:paraId="0A0AE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66BA097D">
            <w:pPr>
              <w:spacing w:line="400" w:lineRule="exact"/>
              <w:rPr>
                <w:rFonts w:ascii="宋体" w:hAnsi="宋体" w:cs="宋体"/>
                <w:color w:val="auto"/>
                <w:szCs w:val="21"/>
                <w:highlight w:val="none"/>
              </w:rPr>
            </w:pPr>
            <w:r>
              <w:rPr>
                <w:rFonts w:hint="eastAsia" w:ascii="宋体" w:hAnsi="宋体" w:cs="宋体"/>
                <w:b/>
                <w:color w:val="auto"/>
                <w:szCs w:val="21"/>
                <w:highlight w:val="none"/>
              </w:rPr>
              <w:t>二、</w:t>
            </w:r>
            <w:r>
              <w:rPr>
                <w:rFonts w:hint="eastAsia" w:ascii="宋体" w:hAnsi="宋体" w:cs="宋体"/>
                <w:b/>
                <w:bCs/>
                <w:color w:val="auto"/>
                <w:szCs w:val="21"/>
                <w:highlight w:val="none"/>
              </w:rPr>
              <w:t>与实现项目目标相关的其他要求</w:t>
            </w:r>
          </w:p>
        </w:tc>
      </w:tr>
      <w:tr w14:paraId="15DD4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5F2126E0">
            <w:pPr>
              <w:spacing w:line="400" w:lineRule="exact"/>
              <w:rPr>
                <w:rFonts w:ascii="宋体" w:hAnsi="宋体" w:cs="宋体"/>
                <w:b/>
                <w:color w:val="auto"/>
                <w:szCs w:val="21"/>
                <w:highlight w:val="none"/>
              </w:rPr>
            </w:pPr>
            <w:r>
              <w:rPr>
                <w:rFonts w:hint="eastAsia" w:ascii="宋体" w:hAnsi="宋体" w:cs="宋体"/>
                <w:b/>
                <w:color w:val="auto"/>
                <w:szCs w:val="21"/>
                <w:highlight w:val="none"/>
              </w:rPr>
              <w:t>（一）供应商的履约能力要求</w:t>
            </w:r>
          </w:p>
        </w:tc>
      </w:tr>
      <w:tr w14:paraId="0F198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1375" w:type="pct"/>
            <w:gridSpan w:val="2"/>
            <w:tcBorders>
              <w:top w:val="single" w:color="auto" w:sz="4" w:space="0"/>
              <w:left w:val="single" w:color="auto" w:sz="4" w:space="0"/>
              <w:bottom w:val="single" w:color="auto" w:sz="4" w:space="0"/>
              <w:right w:val="single" w:color="auto" w:sz="4" w:space="0"/>
            </w:tcBorders>
            <w:vAlign w:val="center"/>
          </w:tcPr>
          <w:p w14:paraId="64DA0E47">
            <w:pPr>
              <w:jc w:val="center"/>
              <w:rPr>
                <w:rFonts w:ascii="宋体" w:hAnsi="宋体" w:cs="宋体"/>
                <w:color w:val="auto"/>
                <w:szCs w:val="21"/>
                <w:highlight w:val="none"/>
              </w:rPr>
            </w:pPr>
            <w:r>
              <w:rPr>
                <w:rFonts w:hint="eastAsia" w:ascii="宋体" w:hAnsi="宋体" w:cs="宋体"/>
                <w:color w:val="auto"/>
                <w:szCs w:val="21"/>
                <w:highlight w:val="none"/>
              </w:rPr>
              <w:t>质量管理、企业信用要求</w:t>
            </w:r>
          </w:p>
        </w:tc>
        <w:tc>
          <w:tcPr>
            <w:tcW w:w="3624" w:type="pct"/>
            <w:gridSpan w:val="3"/>
            <w:tcBorders>
              <w:top w:val="single" w:color="auto" w:sz="4" w:space="0"/>
              <w:left w:val="single" w:color="auto" w:sz="4" w:space="0"/>
              <w:bottom w:val="single" w:color="auto" w:sz="4" w:space="0"/>
              <w:right w:val="single" w:color="auto" w:sz="4" w:space="0"/>
            </w:tcBorders>
            <w:vAlign w:val="center"/>
          </w:tcPr>
          <w:p w14:paraId="1C62A325">
            <w:pPr>
              <w:rPr>
                <w:rFonts w:ascii="宋体" w:hAnsi="宋体" w:cs="宋体"/>
                <w:color w:val="auto"/>
                <w:szCs w:val="21"/>
                <w:highlight w:val="none"/>
              </w:rPr>
            </w:pPr>
            <w:r>
              <w:rPr>
                <w:rFonts w:hint="eastAsia" w:ascii="宋体" w:hAnsi="宋体" w:cs="宋体"/>
                <w:color w:val="auto"/>
                <w:szCs w:val="21"/>
                <w:highlight w:val="none"/>
              </w:rPr>
              <w:t>详见《第四章评审方法及评审标准》</w:t>
            </w:r>
          </w:p>
        </w:tc>
      </w:tr>
      <w:tr w14:paraId="0DD5B3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1375" w:type="pct"/>
            <w:gridSpan w:val="2"/>
            <w:tcBorders>
              <w:top w:val="single" w:color="auto" w:sz="4" w:space="0"/>
              <w:left w:val="single" w:color="auto" w:sz="4" w:space="0"/>
              <w:bottom w:val="single" w:color="auto" w:sz="4" w:space="0"/>
              <w:right w:val="single" w:color="auto" w:sz="4" w:space="0"/>
            </w:tcBorders>
            <w:vAlign w:val="center"/>
          </w:tcPr>
          <w:p w14:paraId="6106B06F">
            <w:pPr>
              <w:jc w:val="center"/>
              <w:rPr>
                <w:rFonts w:ascii="宋体" w:hAnsi="宋体" w:cs="宋体"/>
                <w:color w:val="auto"/>
                <w:szCs w:val="21"/>
                <w:highlight w:val="none"/>
              </w:rPr>
            </w:pPr>
            <w:r>
              <w:rPr>
                <w:rFonts w:hint="eastAsia" w:ascii="宋体" w:hAnsi="宋体" w:cs="宋体"/>
                <w:color w:val="auto"/>
                <w:szCs w:val="21"/>
                <w:highlight w:val="none"/>
              </w:rPr>
              <w:t>能力或业绩</w:t>
            </w:r>
          </w:p>
          <w:p w14:paraId="58AB87BC">
            <w:pPr>
              <w:jc w:val="center"/>
              <w:rPr>
                <w:rFonts w:ascii="宋体" w:hAnsi="宋体" w:cs="宋体"/>
                <w:b/>
                <w:color w:val="auto"/>
                <w:szCs w:val="21"/>
                <w:highlight w:val="none"/>
              </w:rPr>
            </w:pPr>
            <w:r>
              <w:rPr>
                <w:rFonts w:hint="eastAsia" w:ascii="宋体" w:hAnsi="宋体" w:cs="宋体"/>
                <w:color w:val="auto"/>
                <w:szCs w:val="21"/>
                <w:highlight w:val="none"/>
              </w:rPr>
              <w:t>要求</w:t>
            </w:r>
          </w:p>
        </w:tc>
        <w:tc>
          <w:tcPr>
            <w:tcW w:w="3624" w:type="pct"/>
            <w:gridSpan w:val="3"/>
            <w:tcBorders>
              <w:top w:val="single" w:color="auto" w:sz="4" w:space="0"/>
              <w:left w:val="single" w:color="auto" w:sz="4" w:space="0"/>
              <w:bottom w:val="single" w:color="auto" w:sz="4" w:space="0"/>
              <w:right w:val="single" w:color="auto" w:sz="4" w:space="0"/>
            </w:tcBorders>
            <w:vAlign w:val="center"/>
          </w:tcPr>
          <w:p w14:paraId="47832956">
            <w:pPr>
              <w:rPr>
                <w:rFonts w:ascii="宋体" w:hAnsi="宋体" w:cs="宋体"/>
                <w:b/>
                <w:color w:val="auto"/>
                <w:szCs w:val="21"/>
                <w:highlight w:val="none"/>
              </w:rPr>
            </w:pPr>
            <w:r>
              <w:rPr>
                <w:rFonts w:hint="eastAsia" w:ascii="宋体" w:hAnsi="宋体" w:cs="宋体"/>
                <w:color w:val="auto"/>
                <w:szCs w:val="21"/>
                <w:highlight w:val="none"/>
              </w:rPr>
              <w:t>详见《第四章评审方法及评审标准》</w:t>
            </w:r>
          </w:p>
        </w:tc>
      </w:tr>
      <w:tr w14:paraId="0E421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5A58730A">
            <w:pPr>
              <w:spacing w:line="400" w:lineRule="exact"/>
              <w:rPr>
                <w:rFonts w:ascii="宋体" w:hAnsi="宋体" w:cs="宋体"/>
                <w:color w:val="auto"/>
                <w:szCs w:val="21"/>
                <w:highlight w:val="none"/>
              </w:rPr>
            </w:pPr>
            <w:r>
              <w:rPr>
                <w:rFonts w:hint="eastAsia" w:ascii="宋体" w:hAnsi="宋体" w:cs="宋体"/>
                <w:b/>
                <w:color w:val="auto"/>
                <w:szCs w:val="21"/>
                <w:highlight w:val="none"/>
              </w:rPr>
              <w:t>（二）</w:t>
            </w:r>
            <w:r>
              <w:rPr>
                <w:rFonts w:hint="eastAsia"/>
                <w:b/>
                <w:bCs/>
                <w:color w:val="auto"/>
                <w:highlight w:val="none"/>
              </w:rPr>
              <w:t>验收标准、规范</w:t>
            </w:r>
          </w:p>
        </w:tc>
      </w:tr>
      <w:tr w14:paraId="6D4F0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75" w:type="pct"/>
            <w:gridSpan w:val="2"/>
            <w:tcBorders>
              <w:top w:val="single" w:color="auto" w:sz="4" w:space="0"/>
              <w:left w:val="single" w:color="auto" w:sz="4" w:space="0"/>
              <w:bottom w:val="single" w:color="auto" w:sz="4" w:space="0"/>
              <w:right w:val="single" w:color="auto" w:sz="4" w:space="0"/>
            </w:tcBorders>
            <w:vAlign w:val="center"/>
          </w:tcPr>
          <w:p w14:paraId="190A1D76">
            <w:pPr>
              <w:spacing w:line="380" w:lineRule="exact"/>
              <w:jc w:val="center"/>
              <w:rPr>
                <w:rFonts w:ascii="宋体" w:hAnsi="宋体" w:cs="宋体"/>
                <w:color w:val="auto"/>
                <w:szCs w:val="21"/>
                <w:highlight w:val="none"/>
              </w:rPr>
            </w:pPr>
            <w:r>
              <w:rPr>
                <w:rFonts w:hint="eastAsia"/>
                <w:color w:val="auto"/>
                <w:highlight w:val="none"/>
              </w:rPr>
              <w:t>验收标准、规范</w:t>
            </w:r>
          </w:p>
        </w:tc>
        <w:tc>
          <w:tcPr>
            <w:tcW w:w="3624" w:type="pct"/>
            <w:gridSpan w:val="3"/>
            <w:tcBorders>
              <w:top w:val="single" w:color="auto" w:sz="4" w:space="0"/>
              <w:left w:val="single" w:color="auto" w:sz="4" w:space="0"/>
              <w:bottom w:val="single" w:color="auto" w:sz="4" w:space="0"/>
              <w:right w:val="single" w:color="auto" w:sz="4" w:space="0"/>
            </w:tcBorders>
            <w:vAlign w:val="center"/>
          </w:tcPr>
          <w:p w14:paraId="3418F130">
            <w:pPr>
              <w:spacing w:line="380" w:lineRule="exact"/>
              <w:rPr>
                <w:rFonts w:ascii="宋体" w:hAnsi="宋体"/>
                <w:color w:val="auto"/>
                <w:szCs w:val="21"/>
                <w:highlight w:val="none"/>
              </w:rPr>
            </w:pPr>
            <w:r>
              <w:rPr>
                <w:rFonts w:hint="eastAsia" w:ascii="宋体" w:hAnsi="宋体"/>
                <w:color w:val="auto"/>
                <w:szCs w:val="21"/>
                <w:highlight w:val="none"/>
              </w:rPr>
              <w:t>1、验收过程中所产生的一切费用均由成交供应商承担，报价时应考虑相关费用。</w:t>
            </w:r>
          </w:p>
          <w:p w14:paraId="3BE9968E">
            <w:pPr>
              <w:spacing w:line="380" w:lineRule="exact"/>
              <w:rPr>
                <w:rFonts w:ascii="宋体" w:hAnsi="宋体"/>
                <w:color w:val="auto"/>
                <w:szCs w:val="21"/>
                <w:highlight w:val="none"/>
              </w:rPr>
            </w:pPr>
            <w:r>
              <w:rPr>
                <w:rFonts w:hint="eastAsia" w:ascii="宋体" w:hAnsi="宋体"/>
                <w:color w:val="auto"/>
                <w:szCs w:val="21"/>
                <w:highlight w:val="none"/>
              </w:rPr>
              <w:t>2、成交供应商在服务验收时由采购人对照采购文件的功能目标及服务指标全面核对检验，对所有要求出具的证明文件的原件进行核查，如不符合采购文件的服务需求以及提供虚假承诺的，按相关规定做不接受服务处理及违约处理，成交供应商承担所有责任和费用，采购人保留进一步追究责任的权利。</w:t>
            </w:r>
          </w:p>
          <w:p w14:paraId="0B419071">
            <w:pPr>
              <w:spacing w:line="380" w:lineRule="exact"/>
              <w:rPr>
                <w:rFonts w:ascii="宋体" w:hAnsi="宋体" w:cs="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其他未尽事宜应严格按照《关于印发广西壮族自治区政府采购项目履约验收管理办法的通知》[桂财采〔2015〕22号]以及《财政部关于进一步加强政府采购需求和履约验收管理的指导意见》[财库〔2016〕205号]规定执行。</w:t>
            </w:r>
          </w:p>
        </w:tc>
      </w:tr>
      <w:tr w14:paraId="423AD8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0B5E7854">
            <w:pPr>
              <w:spacing w:line="400" w:lineRule="exact"/>
              <w:rPr>
                <w:rFonts w:ascii="宋体" w:hAnsi="宋体" w:cs="宋体"/>
                <w:color w:val="auto"/>
                <w:szCs w:val="21"/>
                <w:highlight w:val="none"/>
              </w:rPr>
            </w:pPr>
            <w:r>
              <w:rPr>
                <w:rFonts w:hint="eastAsia" w:ascii="宋体" w:hAnsi="宋体"/>
                <w:b/>
                <w:bCs/>
                <w:color w:val="auto"/>
                <w:szCs w:val="21"/>
                <w:highlight w:val="none"/>
              </w:rPr>
              <w:t>三、采购人对项目的其他要求和说明</w:t>
            </w:r>
          </w:p>
        </w:tc>
      </w:tr>
      <w:tr w14:paraId="1466A3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75" w:type="pct"/>
            <w:gridSpan w:val="2"/>
            <w:tcBorders>
              <w:top w:val="single" w:color="auto" w:sz="4" w:space="0"/>
              <w:left w:val="single" w:color="auto" w:sz="4" w:space="0"/>
              <w:bottom w:val="single" w:color="auto" w:sz="4" w:space="0"/>
              <w:right w:val="single" w:color="auto" w:sz="4" w:space="0"/>
            </w:tcBorders>
            <w:vAlign w:val="center"/>
          </w:tcPr>
          <w:p w14:paraId="6686EFC1">
            <w:pPr>
              <w:spacing w:line="380" w:lineRule="exact"/>
              <w:jc w:val="center"/>
              <w:rPr>
                <w:rFonts w:ascii="宋体" w:hAnsi="宋体" w:cs="宋体"/>
                <w:b/>
                <w:color w:val="auto"/>
                <w:szCs w:val="21"/>
                <w:highlight w:val="none"/>
              </w:rPr>
            </w:pPr>
            <w:r>
              <w:rPr>
                <w:rFonts w:hint="eastAsia" w:ascii="宋体" w:hAnsi="宋体"/>
                <w:color w:val="auto"/>
                <w:szCs w:val="21"/>
                <w:highlight w:val="none"/>
              </w:rPr>
              <w:t>其他要求</w:t>
            </w:r>
          </w:p>
        </w:tc>
        <w:tc>
          <w:tcPr>
            <w:tcW w:w="3624" w:type="pct"/>
            <w:gridSpan w:val="3"/>
            <w:tcBorders>
              <w:top w:val="single" w:color="auto" w:sz="4" w:space="0"/>
              <w:left w:val="single" w:color="auto" w:sz="4" w:space="0"/>
              <w:bottom w:val="single" w:color="auto" w:sz="4" w:space="0"/>
              <w:right w:val="single" w:color="auto" w:sz="4" w:space="0"/>
            </w:tcBorders>
            <w:vAlign w:val="center"/>
          </w:tcPr>
          <w:p w14:paraId="61A8BD84">
            <w:pPr>
              <w:spacing w:line="380" w:lineRule="exact"/>
              <w:rPr>
                <w:rFonts w:ascii="宋体" w:hAnsi="宋体"/>
                <w:color w:val="auto"/>
                <w:szCs w:val="21"/>
                <w:highlight w:val="none"/>
              </w:rPr>
            </w:pPr>
            <w:r>
              <w:rPr>
                <w:rFonts w:hint="eastAsia" w:ascii="宋体" w:hAnsi="宋体"/>
                <w:color w:val="auto"/>
                <w:szCs w:val="21"/>
                <w:highlight w:val="none"/>
              </w:rPr>
              <w:t>1、供应商可在响应文件中提供服务方案、人员能力证明、设备方案、体检环境证明、履约能力证明、业绩证明等。</w:t>
            </w:r>
          </w:p>
          <w:p w14:paraId="217B5B34">
            <w:pPr>
              <w:spacing w:line="380" w:lineRule="exact"/>
              <w:rPr>
                <w:color w:val="auto"/>
                <w:highlight w:val="none"/>
              </w:rPr>
            </w:pPr>
            <w:r>
              <w:rPr>
                <w:rFonts w:hint="eastAsia" w:ascii="宋体" w:hAnsi="宋体"/>
                <w:color w:val="auto"/>
                <w:szCs w:val="21"/>
                <w:highlight w:val="none"/>
              </w:rPr>
              <w:t>2、供应商有相关信息系统（如：供应商有完善的健康管理系统并且有相对应的多学科健康管理云平台，能对健康档案分类管理、监测、抓取异常。对影响健康的危险因素进行全面评估，制定并实施规范化、个体化、连续性的综合治疗干预方案）可在响应文件提供证明材料。</w:t>
            </w:r>
          </w:p>
        </w:tc>
      </w:tr>
      <w:tr w14:paraId="038C49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75" w:type="pct"/>
            <w:gridSpan w:val="2"/>
            <w:tcBorders>
              <w:top w:val="single" w:color="auto" w:sz="4" w:space="0"/>
              <w:left w:val="single" w:color="auto" w:sz="4" w:space="0"/>
              <w:bottom w:val="single" w:color="auto" w:sz="4" w:space="0"/>
              <w:right w:val="single" w:color="auto" w:sz="4" w:space="0"/>
            </w:tcBorders>
            <w:vAlign w:val="center"/>
          </w:tcPr>
          <w:p w14:paraId="408BBB51">
            <w:pPr>
              <w:spacing w:line="380" w:lineRule="exact"/>
              <w:jc w:val="center"/>
              <w:rPr>
                <w:rFonts w:ascii="宋体" w:hAnsi="宋体" w:cs="宋体"/>
                <w:b/>
                <w:color w:val="auto"/>
                <w:szCs w:val="21"/>
                <w:highlight w:val="none"/>
              </w:rPr>
            </w:pPr>
            <w:r>
              <w:rPr>
                <w:rFonts w:hint="eastAsia" w:ascii="宋体" w:hAnsi="宋体" w:cs="宋体"/>
                <w:bCs/>
                <w:color w:val="auto"/>
                <w:szCs w:val="21"/>
                <w:highlight w:val="none"/>
              </w:rPr>
              <w:t>说明</w:t>
            </w:r>
          </w:p>
        </w:tc>
        <w:tc>
          <w:tcPr>
            <w:tcW w:w="3624" w:type="pct"/>
            <w:gridSpan w:val="3"/>
            <w:tcBorders>
              <w:top w:val="single" w:color="auto" w:sz="4" w:space="0"/>
              <w:left w:val="single" w:color="auto" w:sz="4" w:space="0"/>
              <w:bottom w:val="single" w:color="auto" w:sz="4" w:space="0"/>
              <w:right w:val="single" w:color="auto" w:sz="4" w:space="0"/>
            </w:tcBorders>
            <w:vAlign w:val="center"/>
          </w:tcPr>
          <w:p w14:paraId="4B9DE5F8">
            <w:pPr>
              <w:spacing w:line="380" w:lineRule="exact"/>
              <w:rPr>
                <w:rFonts w:ascii="宋体" w:hAnsi="宋体" w:cs="宋体"/>
                <w:b/>
                <w:color w:val="auto"/>
                <w:szCs w:val="21"/>
                <w:highlight w:val="none"/>
              </w:rPr>
            </w:pPr>
            <w:r>
              <w:rPr>
                <w:color w:val="auto"/>
                <w:spacing w:val="9"/>
                <w:highlight w:val="none"/>
              </w:rPr>
              <w:t>服务类项目无核心产品要求</w:t>
            </w:r>
          </w:p>
        </w:tc>
      </w:tr>
    </w:tbl>
    <w:p w14:paraId="37E28373">
      <w:pPr>
        <w:rPr>
          <w:rFonts w:ascii="宋体" w:hAnsi="宋体" w:cs="宋体"/>
          <w:b/>
          <w:bCs/>
          <w:color w:val="auto"/>
          <w:szCs w:val="21"/>
          <w:highlight w:val="none"/>
        </w:rPr>
      </w:pPr>
      <w:r>
        <w:rPr>
          <w:rFonts w:hint="eastAsia" w:ascii="宋体" w:hAnsi="宋体" w:cs="宋体"/>
          <w:b/>
          <w:bCs/>
          <w:color w:val="auto"/>
          <w:szCs w:val="21"/>
          <w:highlight w:val="none"/>
        </w:rPr>
        <w:br w:type="page"/>
      </w:r>
    </w:p>
    <w:p w14:paraId="07D9A7E6">
      <w:pPr>
        <w:pStyle w:val="44"/>
        <w:ind w:left="0" w:leftChars="0" w:firstLine="422"/>
        <w:rPr>
          <w:color w:val="auto"/>
          <w:highlight w:val="none"/>
        </w:rPr>
      </w:pPr>
      <w:r>
        <w:rPr>
          <w:rFonts w:hint="eastAsia" w:ascii="宋体" w:hAnsi="宋体"/>
          <w:b/>
          <w:bCs/>
          <w:color w:val="auto"/>
          <w:szCs w:val="21"/>
          <w:highlight w:val="none"/>
        </w:rPr>
        <w:t>分标2：</w:t>
      </w:r>
    </w:p>
    <w:tbl>
      <w:tblPr>
        <w:tblStyle w:val="32"/>
        <w:tblW w:w="497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2"/>
        <w:gridCol w:w="1469"/>
        <w:gridCol w:w="731"/>
        <w:gridCol w:w="668"/>
        <w:gridCol w:w="5821"/>
      </w:tblGrid>
      <w:tr w14:paraId="06966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359" w:type="pct"/>
            <w:vAlign w:val="center"/>
          </w:tcPr>
          <w:p w14:paraId="440AE338">
            <w:pPr>
              <w:tabs>
                <w:tab w:val="left" w:pos="180"/>
                <w:tab w:val="left" w:pos="1620"/>
              </w:tabs>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785" w:type="pct"/>
            <w:vAlign w:val="center"/>
          </w:tcPr>
          <w:p w14:paraId="70BBABD0">
            <w:pPr>
              <w:tabs>
                <w:tab w:val="left" w:pos="180"/>
                <w:tab w:val="left" w:pos="1620"/>
              </w:tabs>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体检项目</w:t>
            </w:r>
          </w:p>
        </w:tc>
        <w:tc>
          <w:tcPr>
            <w:tcW w:w="390" w:type="pct"/>
            <w:vAlign w:val="center"/>
          </w:tcPr>
          <w:p w14:paraId="6ABB4DE9">
            <w:pPr>
              <w:tabs>
                <w:tab w:val="left" w:pos="180"/>
                <w:tab w:val="left" w:pos="1620"/>
              </w:tabs>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355" w:type="pct"/>
            <w:vAlign w:val="center"/>
          </w:tcPr>
          <w:p w14:paraId="2EA8CD85">
            <w:pPr>
              <w:tabs>
                <w:tab w:val="left" w:pos="180"/>
                <w:tab w:val="left" w:pos="1620"/>
              </w:tabs>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单位</w:t>
            </w:r>
          </w:p>
        </w:tc>
        <w:tc>
          <w:tcPr>
            <w:tcW w:w="3108" w:type="pct"/>
            <w:vAlign w:val="center"/>
          </w:tcPr>
          <w:p w14:paraId="1CE1340C">
            <w:pPr>
              <w:tabs>
                <w:tab w:val="left" w:pos="180"/>
                <w:tab w:val="left" w:pos="1620"/>
              </w:tabs>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服务内容及要求</w:t>
            </w:r>
          </w:p>
        </w:tc>
      </w:tr>
      <w:tr w14:paraId="67CEA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59" w:type="pct"/>
            <w:vAlign w:val="center"/>
          </w:tcPr>
          <w:p w14:paraId="5280DA6A">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785" w:type="pct"/>
            <w:vAlign w:val="center"/>
          </w:tcPr>
          <w:p w14:paraId="3447EDE6">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血常规</w:t>
            </w:r>
          </w:p>
        </w:tc>
        <w:tc>
          <w:tcPr>
            <w:tcW w:w="390" w:type="pct"/>
            <w:vAlign w:val="center"/>
          </w:tcPr>
          <w:p w14:paraId="467E5EC8">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c>
          <w:tcPr>
            <w:tcW w:w="355" w:type="pct"/>
            <w:vAlign w:val="center"/>
          </w:tcPr>
          <w:p w14:paraId="7906EA68">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3108" w:type="pct"/>
            <w:vAlign w:val="center"/>
          </w:tcPr>
          <w:p w14:paraId="195B8A20">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血液检查项目了解血细胞情况，排除炎症性疾病、血液病等。</w:t>
            </w:r>
          </w:p>
        </w:tc>
      </w:tr>
      <w:tr w14:paraId="35C2A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59" w:type="pct"/>
            <w:vAlign w:val="center"/>
          </w:tcPr>
          <w:p w14:paraId="7E1B27B3">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785" w:type="pct"/>
            <w:vAlign w:val="center"/>
          </w:tcPr>
          <w:p w14:paraId="72CEF1CA">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尿常规</w:t>
            </w:r>
          </w:p>
        </w:tc>
        <w:tc>
          <w:tcPr>
            <w:tcW w:w="390" w:type="pct"/>
            <w:vAlign w:val="center"/>
          </w:tcPr>
          <w:p w14:paraId="081EC4A7">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c>
          <w:tcPr>
            <w:tcW w:w="355" w:type="pct"/>
            <w:vAlign w:val="center"/>
          </w:tcPr>
          <w:p w14:paraId="1F6AEE4C">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3108" w:type="pct"/>
            <w:vAlign w:val="center"/>
          </w:tcPr>
          <w:p w14:paraId="644492DA">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反应机体代谢状况，发现肾脏或尿路疾病的征兆。</w:t>
            </w:r>
          </w:p>
        </w:tc>
      </w:tr>
      <w:tr w14:paraId="5FD08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59" w:type="pct"/>
            <w:vAlign w:val="center"/>
          </w:tcPr>
          <w:p w14:paraId="08686ABB">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785" w:type="pct"/>
            <w:vAlign w:val="center"/>
          </w:tcPr>
          <w:p w14:paraId="28D34CA5">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肝功能检测12项</w:t>
            </w:r>
          </w:p>
        </w:tc>
        <w:tc>
          <w:tcPr>
            <w:tcW w:w="390" w:type="pct"/>
            <w:vAlign w:val="center"/>
          </w:tcPr>
          <w:p w14:paraId="4D301F12">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c>
          <w:tcPr>
            <w:tcW w:w="355" w:type="pct"/>
            <w:vAlign w:val="center"/>
          </w:tcPr>
          <w:p w14:paraId="4A24DA2B">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3108" w:type="pct"/>
            <w:vAlign w:val="center"/>
          </w:tcPr>
          <w:p w14:paraId="02D27B4B">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了解肝脏功能情况，诊断是否有肝功能损害、胆道梗阻、溶血、低蛋白血症等。</w:t>
            </w:r>
          </w:p>
        </w:tc>
      </w:tr>
      <w:tr w14:paraId="1D079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59" w:type="pct"/>
            <w:vAlign w:val="center"/>
          </w:tcPr>
          <w:p w14:paraId="5EC92DB2">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785" w:type="pct"/>
            <w:vAlign w:val="center"/>
          </w:tcPr>
          <w:p w14:paraId="66EAE007">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肾功能检测3项</w:t>
            </w:r>
          </w:p>
        </w:tc>
        <w:tc>
          <w:tcPr>
            <w:tcW w:w="390" w:type="pct"/>
            <w:vAlign w:val="center"/>
          </w:tcPr>
          <w:p w14:paraId="5BA148A1">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c>
          <w:tcPr>
            <w:tcW w:w="355" w:type="pct"/>
            <w:vAlign w:val="center"/>
          </w:tcPr>
          <w:p w14:paraId="556C2B65">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3108" w:type="pct"/>
            <w:vAlign w:val="center"/>
          </w:tcPr>
          <w:p w14:paraId="31C9928A">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了解有无肾功能损害、高尿酸血症及其严重程度，评估肾脏疾病治疗效果。</w:t>
            </w:r>
          </w:p>
        </w:tc>
      </w:tr>
      <w:tr w14:paraId="031FD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59" w:type="pct"/>
            <w:vAlign w:val="center"/>
          </w:tcPr>
          <w:p w14:paraId="46696FC7">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785" w:type="pct"/>
            <w:vAlign w:val="center"/>
          </w:tcPr>
          <w:p w14:paraId="55F1ECEC">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血脂检测4项</w:t>
            </w:r>
          </w:p>
        </w:tc>
        <w:tc>
          <w:tcPr>
            <w:tcW w:w="390" w:type="pct"/>
            <w:vAlign w:val="center"/>
          </w:tcPr>
          <w:p w14:paraId="3D1B0C73">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c>
          <w:tcPr>
            <w:tcW w:w="355" w:type="pct"/>
            <w:vAlign w:val="center"/>
          </w:tcPr>
          <w:p w14:paraId="51B97523">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3108" w:type="pct"/>
            <w:vAlign w:val="center"/>
          </w:tcPr>
          <w:p w14:paraId="52CFA5FE">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血脂异常是冠心病、脑梗塞的独立危险因素，早期识别动脉粥样硬化的危险性，以及对低脂饮食和调脂药物治疗后的监测。</w:t>
            </w:r>
          </w:p>
        </w:tc>
      </w:tr>
      <w:tr w14:paraId="4C9BA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59" w:type="pct"/>
            <w:vAlign w:val="center"/>
          </w:tcPr>
          <w:p w14:paraId="77CC9D37">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785" w:type="pct"/>
            <w:vAlign w:val="center"/>
          </w:tcPr>
          <w:p w14:paraId="7FB82D08">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空腹血糖</w:t>
            </w:r>
          </w:p>
        </w:tc>
        <w:tc>
          <w:tcPr>
            <w:tcW w:w="390" w:type="pct"/>
            <w:vAlign w:val="center"/>
          </w:tcPr>
          <w:p w14:paraId="57A48BF5">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c>
          <w:tcPr>
            <w:tcW w:w="355" w:type="pct"/>
            <w:vAlign w:val="center"/>
          </w:tcPr>
          <w:p w14:paraId="5E9A202D">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3108" w:type="pct"/>
            <w:vAlign w:val="center"/>
          </w:tcPr>
          <w:p w14:paraId="59D146F2">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从血糖水平了解是否有低血糖、糖尿病前期、糖尿病；了解糖尿病前期、糖尿病患者血糖控制情况，指导治疗。</w:t>
            </w:r>
          </w:p>
        </w:tc>
      </w:tr>
      <w:tr w14:paraId="5380A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59" w:type="pct"/>
            <w:vAlign w:val="center"/>
          </w:tcPr>
          <w:p w14:paraId="09949707">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785" w:type="pct"/>
            <w:vAlign w:val="center"/>
          </w:tcPr>
          <w:p w14:paraId="24728C7C">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糖化血红蛋白</w:t>
            </w:r>
          </w:p>
        </w:tc>
        <w:tc>
          <w:tcPr>
            <w:tcW w:w="390" w:type="pct"/>
            <w:vAlign w:val="center"/>
          </w:tcPr>
          <w:p w14:paraId="59843994">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c>
          <w:tcPr>
            <w:tcW w:w="355" w:type="pct"/>
            <w:vAlign w:val="center"/>
          </w:tcPr>
          <w:p w14:paraId="40A1B603">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3108" w:type="pct"/>
            <w:vAlign w:val="center"/>
          </w:tcPr>
          <w:p w14:paraId="16D0635D">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反映抽血前三个月平均血糖水平，协助诊断糖尿病、评估糖尿病患者血糖达标情况。</w:t>
            </w:r>
          </w:p>
        </w:tc>
      </w:tr>
      <w:tr w14:paraId="01D92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59" w:type="pct"/>
            <w:vAlign w:val="center"/>
          </w:tcPr>
          <w:p w14:paraId="0A3470CA">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785" w:type="pct"/>
            <w:vAlign w:val="center"/>
          </w:tcPr>
          <w:p w14:paraId="18D79DC6">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同型半胱氨酸</w:t>
            </w:r>
          </w:p>
        </w:tc>
        <w:tc>
          <w:tcPr>
            <w:tcW w:w="390" w:type="pct"/>
            <w:vAlign w:val="center"/>
          </w:tcPr>
          <w:p w14:paraId="22CC64BC">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c>
          <w:tcPr>
            <w:tcW w:w="355" w:type="pct"/>
            <w:vAlign w:val="center"/>
          </w:tcPr>
          <w:p w14:paraId="164155CB">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3108" w:type="pct"/>
            <w:vAlign w:val="center"/>
          </w:tcPr>
          <w:p w14:paraId="638509E3">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是动脉粥样硬化等心血管疾病的一个独立危险因子，早期识别动脉粥样硬化的危险性。</w:t>
            </w:r>
          </w:p>
        </w:tc>
      </w:tr>
      <w:tr w14:paraId="5135C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59" w:type="pct"/>
            <w:vAlign w:val="center"/>
          </w:tcPr>
          <w:p w14:paraId="036E2A87">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785" w:type="pct"/>
            <w:vAlign w:val="center"/>
          </w:tcPr>
          <w:p w14:paraId="34622EE0">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心肌酶全套</w:t>
            </w:r>
          </w:p>
        </w:tc>
        <w:tc>
          <w:tcPr>
            <w:tcW w:w="390" w:type="pct"/>
            <w:vAlign w:val="center"/>
          </w:tcPr>
          <w:p w14:paraId="35AD09D4">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c>
          <w:tcPr>
            <w:tcW w:w="355" w:type="pct"/>
            <w:vAlign w:val="center"/>
          </w:tcPr>
          <w:p w14:paraId="4A5ED907">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3108" w:type="pct"/>
            <w:vAlign w:val="center"/>
          </w:tcPr>
          <w:p w14:paraId="33B8BCF5">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有无心肌梗死、心肌缺血，适用于怀疑有心肌疾病、骨骼肌病变的人检测，协助诊断心肌梗死、心肌炎等。</w:t>
            </w:r>
          </w:p>
        </w:tc>
      </w:tr>
      <w:tr w14:paraId="2533F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59" w:type="pct"/>
            <w:vAlign w:val="center"/>
          </w:tcPr>
          <w:p w14:paraId="181BB687">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785" w:type="pct"/>
            <w:vAlign w:val="center"/>
          </w:tcPr>
          <w:p w14:paraId="7A3608C5">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血清促甲状腺激素（TSH）</w:t>
            </w:r>
          </w:p>
        </w:tc>
        <w:tc>
          <w:tcPr>
            <w:tcW w:w="390" w:type="pct"/>
            <w:vAlign w:val="center"/>
          </w:tcPr>
          <w:p w14:paraId="05FB6275">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c>
          <w:tcPr>
            <w:tcW w:w="355" w:type="pct"/>
            <w:vAlign w:val="center"/>
          </w:tcPr>
          <w:p w14:paraId="17FCE3C5">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3108" w:type="pct"/>
            <w:vAlign w:val="center"/>
          </w:tcPr>
          <w:p w14:paraId="5BBAB80F">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甲状腺功能检测，判断甲状腺功能亢进、减退的重要指标，了解是否有甲亢或甲减。</w:t>
            </w:r>
          </w:p>
        </w:tc>
      </w:tr>
      <w:tr w14:paraId="0130F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59" w:type="pct"/>
            <w:vAlign w:val="center"/>
          </w:tcPr>
          <w:p w14:paraId="560426CF">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w:t>
            </w:r>
          </w:p>
        </w:tc>
        <w:tc>
          <w:tcPr>
            <w:tcW w:w="785" w:type="pct"/>
            <w:vAlign w:val="center"/>
          </w:tcPr>
          <w:p w14:paraId="7851C982">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甲胎蛋白AFP</w:t>
            </w:r>
          </w:p>
        </w:tc>
        <w:tc>
          <w:tcPr>
            <w:tcW w:w="390" w:type="pct"/>
            <w:vAlign w:val="center"/>
          </w:tcPr>
          <w:p w14:paraId="74AC7928">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c>
          <w:tcPr>
            <w:tcW w:w="355" w:type="pct"/>
            <w:vAlign w:val="center"/>
          </w:tcPr>
          <w:p w14:paraId="17B0FA54">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3108" w:type="pct"/>
            <w:vAlign w:val="center"/>
          </w:tcPr>
          <w:p w14:paraId="7B8039A9">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对诊断肝细胞癌及滋养细胞恶性肿瘤有重要意义</w:t>
            </w:r>
          </w:p>
        </w:tc>
      </w:tr>
      <w:tr w14:paraId="56C0A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59" w:type="pct"/>
            <w:vAlign w:val="center"/>
          </w:tcPr>
          <w:p w14:paraId="4F82DA28">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785" w:type="pct"/>
            <w:vAlign w:val="center"/>
          </w:tcPr>
          <w:p w14:paraId="69F80799">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癌胚抗原CEA</w:t>
            </w:r>
          </w:p>
        </w:tc>
        <w:tc>
          <w:tcPr>
            <w:tcW w:w="390" w:type="pct"/>
            <w:vAlign w:val="center"/>
          </w:tcPr>
          <w:p w14:paraId="6B48606E">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c>
          <w:tcPr>
            <w:tcW w:w="355" w:type="pct"/>
            <w:vAlign w:val="center"/>
          </w:tcPr>
          <w:p w14:paraId="52A852B9">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3108" w:type="pct"/>
            <w:vAlign w:val="center"/>
          </w:tcPr>
          <w:p w14:paraId="1E7A594D">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广谱性肿瘤标志物，可提示直肠癌、结肠癌、肺癌、乳腺癌、胰腺癌等。</w:t>
            </w:r>
          </w:p>
        </w:tc>
      </w:tr>
      <w:tr w14:paraId="65A0B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59" w:type="pct"/>
            <w:vAlign w:val="center"/>
          </w:tcPr>
          <w:p w14:paraId="38CCC8C3">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785" w:type="pct"/>
            <w:vAlign w:val="center"/>
          </w:tcPr>
          <w:p w14:paraId="233EC2B3">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EB病毒检查2项（VCA/IgA、EA/IgA）</w:t>
            </w:r>
          </w:p>
        </w:tc>
        <w:tc>
          <w:tcPr>
            <w:tcW w:w="390" w:type="pct"/>
            <w:vAlign w:val="center"/>
          </w:tcPr>
          <w:p w14:paraId="39C0090C">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c>
          <w:tcPr>
            <w:tcW w:w="355" w:type="pct"/>
            <w:vAlign w:val="center"/>
          </w:tcPr>
          <w:p w14:paraId="1727D7CB">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3108" w:type="pct"/>
            <w:vAlign w:val="center"/>
          </w:tcPr>
          <w:p w14:paraId="6E8E56B1">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鼻咽癌相关标志物</w:t>
            </w:r>
          </w:p>
        </w:tc>
      </w:tr>
      <w:tr w14:paraId="0923B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59" w:type="pct"/>
            <w:vAlign w:val="center"/>
          </w:tcPr>
          <w:p w14:paraId="6288873A">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785" w:type="pct"/>
            <w:vAlign w:val="center"/>
          </w:tcPr>
          <w:p w14:paraId="2AB8B382">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糖基抗原CA199</w:t>
            </w:r>
          </w:p>
        </w:tc>
        <w:tc>
          <w:tcPr>
            <w:tcW w:w="390" w:type="pct"/>
            <w:vAlign w:val="center"/>
          </w:tcPr>
          <w:p w14:paraId="0ACB4A3C">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c>
          <w:tcPr>
            <w:tcW w:w="355" w:type="pct"/>
            <w:vAlign w:val="center"/>
          </w:tcPr>
          <w:p w14:paraId="33EBA8A1">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3108" w:type="pct"/>
            <w:vAlign w:val="center"/>
          </w:tcPr>
          <w:p w14:paraId="72B0F13E">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对诊断胰腺癌、胆管癌、肠癌、胃癌有较大临床价值</w:t>
            </w:r>
          </w:p>
        </w:tc>
      </w:tr>
      <w:tr w14:paraId="3703C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59" w:type="pct"/>
            <w:vAlign w:val="center"/>
          </w:tcPr>
          <w:p w14:paraId="3B7D15E8">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785" w:type="pct"/>
            <w:vAlign w:val="center"/>
          </w:tcPr>
          <w:p w14:paraId="48BE38C0">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非小细胞肺癌抗原(CYFRA21-1)</w:t>
            </w:r>
          </w:p>
        </w:tc>
        <w:tc>
          <w:tcPr>
            <w:tcW w:w="390" w:type="pct"/>
            <w:vAlign w:val="center"/>
          </w:tcPr>
          <w:p w14:paraId="449404ED">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486</w:t>
            </w:r>
          </w:p>
        </w:tc>
        <w:tc>
          <w:tcPr>
            <w:tcW w:w="355" w:type="pct"/>
            <w:vAlign w:val="center"/>
          </w:tcPr>
          <w:p w14:paraId="7D8DD681">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3108" w:type="pct"/>
            <w:vAlign w:val="center"/>
          </w:tcPr>
          <w:p w14:paraId="456B0DF8">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对小细胞肺癌的早期诊断、疗效监测和预后判断有重要意义</w:t>
            </w:r>
          </w:p>
        </w:tc>
      </w:tr>
      <w:tr w14:paraId="6305C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59" w:type="pct"/>
            <w:vAlign w:val="center"/>
          </w:tcPr>
          <w:p w14:paraId="27F7D187">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w:t>
            </w:r>
          </w:p>
        </w:tc>
        <w:tc>
          <w:tcPr>
            <w:tcW w:w="785" w:type="pct"/>
            <w:vAlign w:val="center"/>
          </w:tcPr>
          <w:p w14:paraId="692DFF08">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超敏C反应蛋白</w:t>
            </w:r>
          </w:p>
        </w:tc>
        <w:tc>
          <w:tcPr>
            <w:tcW w:w="390" w:type="pct"/>
            <w:vAlign w:val="center"/>
          </w:tcPr>
          <w:p w14:paraId="249DD1B1">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c>
          <w:tcPr>
            <w:tcW w:w="355" w:type="pct"/>
            <w:vAlign w:val="center"/>
          </w:tcPr>
          <w:p w14:paraId="55822979">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3108" w:type="pct"/>
            <w:vAlign w:val="center"/>
          </w:tcPr>
          <w:p w14:paraId="7D7DED4E">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超敏C反应蛋白是由肝脏合成的一种全身性炎症反应急性期的非特异性标志物, 是心血管事件危险最强有力的预测因子之一。</w:t>
            </w:r>
          </w:p>
        </w:tc>
      </w:tr>
      <w:tr w14:paraId="4F42A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59" w:type="pct"/>
            <w:vAlign w:val="center"/>
          </w:tcPr>
          <w:p w14:paraId="70C3BCDC">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w:t>
            </w:r>
          </w:p>
        </w:tc>
        <w:tc>
          <w:tcPr>
            <w:tcW w:w="785" w:type="pct"/>
            <w:vAlign w:val="center"/>
          </w:tcPr>
          <w:p w14:paraId="20313152">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胃泌素17</w:t>
            </w:r>
          </w:p>
        </w:tc>
        <w:tc>
          <w:tcPr>
            <w:tcW w:w="390" w:type="pct"/>
            <w:vAlign w:val="center"/>
          </w:tcPr>
          <w:p w14:paraId="1A3DD1C3">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486</w:t>
            </w:r>
          </w:p>
        </w:tc>
        <w:tc>
          <w:tcPr>
            <w:tcW w:w="355" w:type="pct"/>
            <w:vAlign w:val="center"/>
          </w:tcPr>
          <w:p w14:paraId="50A4D771">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3108" w:type="pct"/>
            <w:vAlign w:val="center"/>
          </w:tcPr>
          <w:p w14:paraId="5EE9ED54">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辅助诊断胃泌素瘤，判断胃分泌功能，早期筛查胃部疾病，了解胃部健康状况。</w:t>
            </w:r>
          </w:p>
        </w:tc>
      </w:tr>
      <w:tr w14:paraId="382A5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59" w:type="pct"/>
            <w:vAlign w:val="center"/>
          </w:tcPr>
          <w:p w14:paraId="4A7BED1D">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t>
            </w:r>
          </w:p>
        </w:tc>
        <w:tc>
          <w:tcPr>
            <w:tcW w:w="785" w:type="pct"/>
            <w:vAlign w:val="center"/>
          </w:tcPr>
          <w:p w14:paraId="0F44489B">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总前列腺特异性抗原(T-PSA)(男)</w:t>
            </w:r>
          </w:p>
        </w:tc>
        <w:tc>
          <w:tcPr>
            <w:tcW w:w="390" w:type="pct"/>
            <w:vAlign w:val="center"/>
          </w:tcPr>
          <w:p w14:paraId="49A21855">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270</w:t>
            </w:r>
          </w:p>
        </w:tc>
        <w:tc>
          <w:tcPr>
            <w:tcW w:w="355" w:type="pct"/>
            <w:vAlign w:val="center"/>
          </w:tcPr>
          <w:p w14:paraId="6A8C4D4B">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3108" w:type="pct"/>
            <w:vMerge w:val="restart"/>
            <w:vAlign w:val="center"/>
          </w:tcPr>
          <w:p w14:paraId="237E1CFA">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是前列腺癌特异性筛查指标，前列腺增生、前列腺炎等PSA也可升高。</w:t>
            </w:r>
          </w:p>
        </w:tc>
      </w:tr>
      <w:tr w14:paraId="29C67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59" w:type="pct"/>
            <w:vAlign w:val="center"/>
          </w:tcPr>
          <w:p w14:paraId="4B689157">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w:t>
            </w:r>
          </w:p>
        </w:tc>
        <w:tc>
          <w:tcPr>
            <w:tcW w:w="785" w:type="pct"/>
            <w:vAlign w:val="center"/>
          </w:tcPr>
          <w:p w14:paraId="059C9EE9">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游离前列腺特异性抗原（F-PSA）（男）</w:t>
            </w:r>
          </w:p>
        </w:tc>
        <w:tc>
          <w:tcPr>
            <w:tcW w:w="390" w:type="pct"/>
            <w:vAlign w:val="center"/>
          </w:tcPr>
          <w:p w14:paraId="6488FE20">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270</w:t>
            </w:r>
          </w:p>
        </w:tc>
        <w:tc>
          <w:tcPr>
            <w:tcW w:w="355" w:type="pct"/>
            <w:vAlign w:val="center"/>
          </w:tcPr>
          <w:p w14:paraId="7689F547">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3108" w:type="pct"/>
            <w:vMerge w:val="continue"/>
            <w:vAlign w:val="center"/>
          </w:tcPr>
          <w:p w14:paraId="259394F6">
            <w:pPr>
              <w:widowControl/>
              <w:spacing w:line="264" w:lineRule="auto"/>
              <w:jc w:val="left"/>
              <w:rPr>
                <w:rFonts w:ascii="宋体" w:hAnsi="宋体" w:cs="宋体"/>
                <w:color w:val="auto"/>
                <w:szCs w:val="21"/>
                <w:highlight w:val="none"/>
              </w:rPr>
            </w:pPr>
          </w:p>
        </w:tc>
      </w:tr>
      <w:tr w14:paraId="11719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59" w:type="pct"/>
            <w:vAlign w:val="center"/>
          </w:tcPr>
          <w:p w14:paraId="3DF8B75C">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785" w:type="pct"/>
            <w:vAlign w:val="center"/>
          </w:tcPr>
          <w:p w14:paraId="099F0B15">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临床内科（团体）</w:t>
            </w:r>
          </w:p>
        </w:tc>
        <w:tc>
          <w:tcPr>
            <w:tcW w:w="390" w:type="pct"/>
            <w:vAlign w:val="center"/>
          </w:tcPr>
          <w:p w14:paraId="3578E31F">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c>
          <w:tcPr>
            <w:tcW w:w="355" w:type="pct"/>
            <w:vAlign w:val="center"/>
          </w:tcPr>
          <w:p w14:paraId="79ADE277">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3108" w:type="pct"/>
            <w:vAlign w:val="center"/>
          </w:tcPr>
          <w:p w14:paraId="1ED5F701">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心、肺、肝、胆、脾、肾脏检查，发现内科疾病的征兆。</w:t>
            </w:r>
          </w:p>
        </w:tc>
      </w:tr>
      <w:tr w14:paraId="020F4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59" w:type="pct"/>
            <w:vAlign w:val="center"/>
          </w:tcPr>
          <w:p w14:paraId="4E2B44FC">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w:t>
            </w:r>
          </w:p>
        </w:tc>
        <w:tc>
          <w:tcPr>
            <w:tcW w:w="785" w:type="pct"/>
            <w:vAlign w:val="center"/>
          </w:tcPr>
          <w:p w14:paraId="6D02453F">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临床外科（团体）</w:t>
            </w:r>
          </w:p>
        </w:tc>
        <w:tc>
          <w:tcPr>
            <w:tcW w:w="390" w:type="pct"/>
            <w:vAlign w:val="center"/>
          </w:tcPr>
          <w:p w14:paraId="0B276997">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c>
          <w:tcPr>
            <w:tcW w:w="355" w:type="pct"/>
            <w:vAlign w:val="center"/>
          </w:tcPr>
          <w:p w14:paraId="020A8852">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3108" w:type="pct"/>
            <w:vAlign w:val="center"/>
          </w:tcPr>
          <w:p w14:paraId="691C69AF">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检查皮肤、淋巴结、甲状腺、乳腺、脊柱、四肢关节、前列腺（男）、痔疮、肛门指检（直肠癌筛查），发现外科疾病的征兆。</w:t>
            </w:r>
          </w:p>
        </w:tc>
      </w:tr>
      <w:tr w14:paraId="5647B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59" w:type="pct"/>
            <w:vAlign w:val="center"/>
          </w:tcPr>
          <w:p w14:paraId="1FD9C1D2">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785" w:type="pct"/>
            <w:vAlign w:val="center"/>
          </w:tcPr>
          <w:p w14:paraId="7FED4A30">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临床眼科（团体）</w:t>
            </w:r>
          </w:p>
        </w:tc>
        <w:tc>
          <w:tcPr>
            <w:tcW w:w="390" w:type="pct"/>
            <w:vAlign w:val="center"/>
          </w:tcPr>
          <w:p w14:paraId="4D440D6C">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c>
          <w:tcPr>
            <w:tcW w:w="355" w:type="pct"/>
            <w:vAlign w:val="center"/>
          </w:tcPr>
          <w:p w14:paraId="46C3B6FC">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3108" w:type="pct"/>
            <w:vAlign w:val="center"/>
          </w:tcPr>
          <w:p w14:paraId="5D4FB7B7">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检查眼外观和视力是否正常，眼底是否黄斑变性和动脉硬化，角膜有无病变，晶状体有无病变（白内障）。</w:t>
            </w:r>
          </w:p>
        </w:tc>
      </w:tr>
      <w:tr w14:paraId="4ACE0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59" w:type="pct"/>
            <w:vAlign w:val="center"/>
          </w:tcPr>
          <w:p w14:paraId="19297FF7">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w:t>
            </w:r>
          </w:p>
        </w:tc>
        <w:tc>
          <w:tcPr>
            <w:tcW w:w="785" w:type="pct"/>
            <w:vAlign w:val="center"/>
          </w:tcPr>
          <w:p w14:paraId="681EE299">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临床耳鼻喉科（团体）</w:t>
            </w:r>
          </w:p>
        </w:tc>
        <w:tc>
          <w:tcPr>
            <w:tcW w:w="390" w:type="pct"/>
            <w:vAlign w:val="center"/>
          </w:tcPr>
          <w:p w14:paraId="03E7E672">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c>
          <w:tcPr>
            <w:tcW w:w="355" w:type="pct"/>
            <w:vAlign w:val="center"/>
          </w:tcPr>
          <w:p w14:paraId="7280553D">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3108" w:type="pct"/>
            <w:vAlign w:val="center"/>
          </w:tcPr>
          <w:p w14:paraId="4052FD58">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检查耳、鼻、咽，发现耳鼻喉科疾病的征兆。</w:t>
            </w:r>
          </w:p>
        </w:tc>
      </w:tr>
      <w:tr w14:paraId="735A0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59" w:type="pct"/>
            <w:vAlign w:val="center"/>
          </w:tcPr>
          <w:p w14:paraId="5BEE2997">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785" w:type="pct"/>
            <w:vAlign w:val="center"/>
          </w:tcPr>
          <w:p w14:paraId="5ABE78B8">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全身动脉硬化监测</w:t>
            </w:r>
          </w:p>
        </w:tc>
        <w:tc>
          <w:tcPr>
            <w:tcW w:w="390" w:type="pct"/>
            <w:vAlign w:val="center"/>
          </w:tcPr>
          <w:p w14:paraId="582A1624">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c>
          <w:tcPr>
            <w:tcW w:w="355" w:type="pct"/>
            <w:vAlign w:val="center"/>
          </w:tcPr>
          <w:p w14:paraId="61A0411D">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3108" w:type="pct"/>
            <w:vAlign w:val="center"/>
          </w:tcPr>
          <w:p w14:paraId="5BEECDCD">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了解全身大动脉硬化情况</w:t>
            </w:r>
          </w:p>
        </w:tc>
      </w:tr>
      <w:tr w14:paraId="7E3CA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59" w:type="pct"/>
            <w:vAlign w:val="center"/>
          </w:tcPr>
          <w:p w14:paraId="60488F8B">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785" w:type="pct"/>
            <w:vAlign w:val="center"/>
          </w:tcPr>
          <w:p w14:paraId="5AB7B437">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常规心电图检查</w:t>
            </w:r>
          </w:p>
        </w:tc>
        <w:tc>
          <w:tcPr>
            <w:tcW w:w="390" w:type="pct"/>
            <w:vAlign w:val="center"/>
          </w:tcPr>
          <w:p w14:paraId="54899153">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c>
          <w:tcPr>
            <w:tcW w:w="355" w:type="pct"/>
            <w:vAlign w:val="center"/>
          </w:tcPr>
          <w:p w14:paraId="3C98F3D8">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3108" w:type="pct"/>
            <w:vAlign w:val="center"/>
          </w:tcPr>
          <w:p w14:paraId="52CF8560">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了解有无心律失常、心肌缺血、心肌梗死、心房或心室肥大等。</w:t>
            </w:r>
          </w:p>
        </w:tc>
      </w:tr>
      <w:tr w14:paraId="4C42B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59" w:type="pct"/>
            <w:vAlign w:val="center"/>
          </w:tcPr>
          <w:p w14:paraId="76F5560B">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w:t>
            </w:r>
          </w:p>
        </w:tc>
        <w:tc>
          <w:tcPr>
            <w:tcW w:w="785" w:type="pct"/>
            <w:vAlign w:val="center"/>
          </w:tcPr>
          <w:p w14:paraId="3CF2D0B8">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胸正位片(DR)(不含胶片)</w:t>
            </w:r>
          </w:p>
        </w:tc>
        <w:tc>
          <w:tcPr>
            <w:tcW w:w="390" w:type="pct"/>
            <w:vAlign w:val="center"/>
          </w:tcPr>
          <w:p w14:paraId="4A3DEBE6">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c>
          <w:tcPr>
            <w:tcW w:w="355" w:type="pct"/>
            <w:vAlign w:val="center"/>
          </w:tcPr>
          <w:p w14:paraId="448FB437">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3108" w:type="pct"/>
            <w:vAlign w:val="center"/>
          </w:tcPr>
          <w:p w14:paraId="58017DC4">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了解肺部的大体病变，如肺部炎症、肿块、结核等。</w:t>
            </w:r>
          </w:p>
        </w:tc>
      </w:tr>
      <w:tr w14:paraId="20231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59" w:type="pct"/>
            <w:vAlign w:val="center"/>
          </w:tcPr>
          <w:p w14:paraId="363D8FEA">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w:t>
            </w:r>
          </w:p>
        </w:tc>
        <w:tc>
          <w:tcPr>
            <w:tcW w:w="785" w:type="pct"/>
            <w:vAlign w:val="center"/>
          </w:tcPr>
          <w:p w14:paraId="72C6DBF9">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腹部彩超(肝、胆、脾、胰、双肾)</w:t>
            </w:r>
          </w:p>
        </w:tc>
        <w:tc>
          <w:tcPr>
            <w:tcW w:w="390" w:type="pct"/>
            <w:vAlign w:val="center"/>
          </w:tcPr>
          <w:p w14:paraId="51F1C2BC">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c>
          <w:tcPr>
            <w:tcW w:w="355" w:type="pct"/>
            <w:vAlign w:val="center"/>
          </w:tcPr>
          <w:p w14:paraId="42C89A10">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3108" w:type="pct"/>
            <w:vAlign w:val="center"/>
          </w:tcPr>
          <w:p w14:paraId="24CB23A4">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了解肝、胆、胰、脾、双肾有无形态学变化，有无结石、肿瘤等。</w:t>
            </w:r>
          </w:p>
        </w:tc>
      </w:tr>
      <w:tr w14:paraId="5446C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59" w:type="pct"/>
            <w:vAlign w:val="center"/>
          </w:tcPr>
          <w:p w14:paraId="7E307A70">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w:t>
            </w:r>
          </w:p>
        </w:tc>
        <w:tc>
          <w:tcPr>
            <w:tcW w:w="785" w:type="pct"/>
            <w:vAlign w:val="center"/>
          </w:tcPr>
          <w:p w14:paraId="24D615F2">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甲状腺彩色超声</w:t>
            </w:r>
          </w:p>
        </w:tc>
        <w:tc>
          <w:tcPr>
            <w:tcW w:w="390" w:type="pct"/>
            <w:vAlign w:val="center"/>
          </w:tcPr>
          <w:p w14:paraId="4414B71C">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c>
          <w:tcPr>
            <w:tcW w:w="355" w:type="pct"/>
            <w:vAlign w:val="center"/>
          </w:tcPr>
          <w:p w14:paraId="69C190F9">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3108" w:type="pct"/>
            <w:vAlign w:val="center"/>
          </w:tcPr>
          <w:p w14:paraId="41E39E90">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了解甲状腺有无肿大、结节或肿块。</w:t>
            </w:r>
          </w:p>
        </w:tc>
      </w:tr>
      <w:tr w14:paraId="1E400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59" w:type="pct"/>
            <w:vAlign w:val="center"/>
          </w:tcPr>
          <w:p w14:paraId="3A8DE1A1">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w:t>
            </w:r>
          </w:p>
        </w:tc>
        <w:tc>
          <w:tcPr>
            <w:tcW w:w="785" w:type="pct"/>
            <w:vAlign w:val="center"/>
          </w:tcPr>
          <w:p w14:paraId="7015A139">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颈部血管彩色超声（二根血管）</w:t>
            </w:r>
          </w:p>
        </w:tc>
        <w:tc>
          <w:tcPr>
            <w:tcW w:w="390" w:type="pct"/>
            <w:vAlign w:val="center"/>
          </w:tcPr>
          <w:p w14:paraId="08D6E958">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c>
          <w:tcPr>
            <w:tcW w:w="355" w:type="pct"/>
            <w:vAlign w:val="center"/>
          </w:tcPr>
          <w:p w14:paraId="37C27C28">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3108" w:type="pct"/>
            <w:vAlign w:val="center"/>
          </w:tcPr>
          <w:p w14:paraId="3B21E44C">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了解颈动脉中内膜厚度、是否有斑块形成、狭窄等。</w:t>
            </w:r>
          </w:p>
        </w:tc>
      </w:tr>
      <w:tr w14:paraId="44A18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59" w:type="pct"/>
            <w:vAlign w:val="center"/>
          </w:tcPr>
          <w:p w14:paraId="18A59493">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785" w:type="pct"/>
            <w:vAlign w:val="center"/>
          </w:tcPr>
          <w:p w14:paraId="23419941">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前列腺+膀胱+输尿管彩色超声</w:t>
            </w:r>
          </w:p>
        </w:tc>
        <w:tc>
          <w:tcPr>
            <w:tcW w:w="390" w:type="pct"/>
            <w:vAlign w:val="center"/>
          </w:tcPr>
          <w:p w14:paraId="26A121E4">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270</w:t>
            </w:r>
          </w:p>
        </w:tc>
        <w:tc>
          <w:tcPr>
            <w:tcW w:w="355" w:type="pct"/>
            <w:vAlign w:val="center"/>
          </w:tcPr>
          <w:p w14:paraId="0E9DE20D">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3108" w:type="pct"/>
            <w:vAlign w:val="center"/>
          </w:tcPr>
          <w:p w14:paraId="59F5C55E">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了解前列腺有无肿块、增生，膀胱有无肿块、结石等。</w:t>
            </w:r>
          </w:p>
        </w:tc>
      </w:tr>
      <w:tr w14:paraId="11224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59" w:type="pct"/>
            <w:vAlign w:val="center"/>
          </w:tcPr>
          <w:p w14:paraId="04B5A660">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w:t>
            </w:r>
          </w:p>
        </w:tc>
        <w:tc>
          <w:tcPr>
            <w:tcW w:w="785" w:type="pct"/>
            <w:vAlign w:val="center"/>
          </w:tcPr>
          <w:p w14:paraId="47BC7296">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经阴道/腹部子宫、附件彩超</w:t>
            </w:r>
          </w:p>
        </w:tc>
        <w:tc>
          <w:tcPr>
            <w:tcW w:w="390" w:type="pct"/>
            <w:vAlign w:val="center"/>
          </w:tcPr>
          <w:p w14:paraId="2384C9CC">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330</w:t>
            </w:r>
          </w:p>
        </w:tc>
        <w:tc>
          <w:tcPr>
            <w:tcW w:w="355" w:type="pct"/>
            <w:vAlign w:val="center"/>
          </w:tcPr>
          <w:p w14:paraId="383E60C4">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3108" w:type="pct"/>
            <w:vAlign w:val="center"/>
          </w:tcPr>
          <w:p w14:paraId="4C1307E2">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了解子宫、附件发育情况，有无器质性病变，如子宫肌瘤、卵巢肿物等。</w:t>
            </w:r>
          </w:p>
        </w:tc>
      </w:tr>
      <w:tr w14:paraId="1148A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59" w:type="pct"/>
            <w:vAlign w:val="center"/>
          </w:tcPr>
          <w:p w14:paraId="6B889C8C">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w:t>
            </w:r>
          </w:p>
        </w:tc>
        <w:tc>
          <w:tcPr>
            <w:tcW w:w="785" w:type="pct"/>
            <w:vAlign w:val="center"/>
          </w:tcPr>
          <w:p w14:paraId="72EA9261">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高频双乳腺彩色超声</w:t>
            </w:r>
          </w:p>
        </w:tc>
        <w:tc>
          <w:tcPr>
            <w:tcW w:w="390" w:type="pct"/>
            <w:vAlign w:val="center"/>
          </w:tcPr>
          <w:p w14:paraId="2BFE8641">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330</w:t>
            </w:r>
          </w:p>
        </w:tc>
        <w:tc>
          <w:tcPr>
            <w:tcW w:w="355" w:type="pct"/>
            <w:vAlign w:val="center"/>
          </w:tcPr>
          <w:p w14:paraId="5E713E8F">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3108" w:type="pct"/>
            <w:vAlign w:val="center"/>
          </w:tcPr>
          <w:p w14:paraId="3979D0B6">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了解乳腺有无肿瘤、小叶增生、囊肿等。</w:t>
            </w:r>
          </w:p>
        </w:tc>
      </w:tr>
      <w:tr w14:paraId="55D2B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59" w:type="pct"/>
            <w:vAlign w:val="center"/>
          </w:tcPr>
          <w:p w14:paraId="2BD56436">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w:t>
            </w:r>
          </w:p>
        </w:tc>
        <w:tc>
          <w:tcPr>
            <w:tcW w:w="785" w:type="pct"/>
            <w:vAlign w:val="center"/>
          </w:tcPr>
          <w:p w14:paraId="34724874">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妇检＋宫颈液基薄层细胞学</w:t>
            </w:r>
          </w:p>
        </w:tc>
        <w:tc>
          <w:tcPr>
            <w:tcW w:w="390" w:type="pct"/>
            <w:vAlign w:val="center"/>
          </w:tcPr>
          <w:p w14:paraId="1F526601">
            <w:pPr>
              <w:widowControl/>
              <w:spacing w:line="264"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114</w:t>
            </w:r>
          </w:p>
        </w:tc>
        <w:tc>
          <w:tcPr>
            <w:tcW w:w="355" w:type="pct"/>
            <w:vAlign w:val="center"/>
          </w:tcPr>
          <w:p w14:paraId="3720025D">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3108" w:type="pct"/>
            <w:vAlign w:val="center"/>
          </w:tcPr>
          <w:p w14:paraId="620786FF">
            <w:pPr>
              <w:widowControl/>
              <w:spacing w:line="264"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通过宫颈细胞学筛查宫颈癌及癌前病变，较宫颈防癌刮片检出率更高。</w:t>
            </w:r>
          </w:p>
        </w:tc>
      </w:tr>
      <w:tr w14:paraId="57EDB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59" w:type="pct"/>
            <w:vAlign w:val="center"/>
          </w:tcPr>
          <w:p w14:paraId="10A8A29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w:t>
            </w:r>
          </w:p>
        </w:tc>
        <w:tc>
          <w:tcPr>
            <w:tcW w:w="785" w:type="pct"/>
            <w:vAlign w:val="center"/>
          </w:tcPr>
          <w:p w14:paraId="3071E6D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试管、抽血费</w:t>
            </w:r>
          </w:p>
        </w:tc>
        <w:tc>
          <w:tcPr>
            <w:tcW w:w="390" w:type="pct"/>
            <w:vAlign w:val="center"/>
          </w:tcPr>
          <w:p w14:paraId="1CB1FF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c>
          <w:tcPr>
            <w:tcW w:w="355" w:type="pct"/>
            <w:vAlign w:val="center"/>
          </w:tcPr>
          <w:p w14:paraId="73B412EB">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人次</w:t>
            </w:r>
          </w:p>
        </w:tc>
        <w:tc>
          <w:tcPr>
            <w:tcW w:w="3108" w:type="pct"/>
            <w:vAlign w:val="center"/>
          </w:tcPr>
          <w:p w14:paraId="5E46A9D2">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w:t>
            </w:r>
          </w:p>
        </w:tc>
      </w:tr>
      <w:tr w14:paraId="3F342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541" w:type="dxa"/>
            <w:gridSpan w:val="4"/>
            <w:vAlign w:val="center"/>
          </w:tcPr>
          <w:p w14:paraId="56CDB0B1">
            <w:pPr>
              <w:widowControl/>
              <w:jc w:val="center"/>
              <w:textAlignment w:val="center"/>
              <w:rPr>
                <w:rFonts w:ascii="宋体" w:hAnsi="宋体" w:cs="宋体"/>
                <w:color w:val="auto"/>
                <w:kern w:val="0"/>
                <w:szCs w:val="21"/>
                <w:highlight w:val="none"/>
                <w:lang w:bidi="ar"/>
              </w:rPr>
            </w:pPr>
            <w:r>
              <w:rPr>
                <w:rFonts w:hint="eastAsia" w:ascii="宋体" w:hAnsi="宋体" w:cs="黑体"/>
                <w:color w:val="auto"/>
                <w:szCs w:val="21"/>
                <w:highlight w:val="none"/>
              </w:rPr>
              <w:t>项目要求</w:t>
            </w:r>
          </w:p>
        </w:tc>
        <w:tc>
          <w:tcPr>
            <w:tcW w:w="5820" w:type="dxa"/>
            <w:vAlign w:val="center"/>
          </w:tcPr>
          <w:p w14:paraId="61AAA5E0">
            <w:pPr>
              <w:spacing w:line="410" w:lineRule="exact"/>
              <w:jc w:val="left"/>
              <w:rPr>
                <w:rFonts w:ascii="宋体" w:hAnsi="宋体" w:cs="宋体"/>
                <w:color w:val="auto"/>
                <w:szCs w:val="21"/>
                <w:highlight w:val="none"/>
              </w:rPr>
            </w:pPr>
            <w:r>
              <w:rPr>
                <w:rFonts w:hint="eastAsia" w:ascii="宋体" w:hAnsi="宋体" w:cs="宋体"/>
                <w:color w:val="auto"/>
                <w:szCs w:val="21"/>
                <w:highlight w:val="none"/>
              </w:rPr>
              <w:t>一、基本要求</w:t>
            </w:r>
          </w:p>
          <w:p w14:paraId="7399A115">
            <w:pPr>
              <w:spacing w:line="410" w:lineRule="exact"/>
              <w:jc w:val="left"/>
              <w:rPr>
                <w:rFonts w:ascii="宋体" w:hAnsi="宋体"/>
                <w:color w:val="auto"/>
                <w:szCs w:val="21"/>
                <w:highlight w:val="none"/>
              </w:rPr>
            </w:pPr>
            <w:r>
              <w:rPr>
                <w:rFonts w:hint="eastAsia" w:ascii="宋体" w:hAnsi="宋体"/>
                <w:color w:val="auto"/>
                <w:szCs w:val="21"/>
                <w:highlight w:val="none"/>
              </w:rPr>
              <w:t>1.成交供应商须在《医疗机构管理办法》、《中华人民共和国执业医师法》等法规下进行体检活动。在南宁市具有符合本次体检服务要求及规模的独立体检场所、人员和专用装备。</w:t>
            </w:r>
          </w:p>
          <w:p w14:paraId="1C88B6D5">
            <w:pPr>
              <w:spacing w:line="410" w:lineRule="exact"/>
              <w:jc w:val="left"/>
              <w:rPr>
                <w:rFonts w:ascii="宋体" w:hAnsi="宋体"/>
                <w:color w:val="auto"/>
                <w:szCs w:val="21"/>
                <w:highlight w:val="none"/>
              </w:rPr>
            </w:pPr>
            <w:r>
              <w:rPr>
                <w:rFonts w:hint="eastAsia" w:ascii="宋体" w:hAnsi="宋体"/>
                <w:color w:val="auto"/>
                <w:szCs w:val="21"/>
                <w:highlight w:val="none"/>
              </w:rPr>
              <w:t>2.体检设备，符合相关行业技术要求；严格按照设备操作规程，保证仪器设备的正常使用。</w:t>
            </w:r>
          </w:p>
          <w:p w14:paraId="59850B08">
            <w:pPr>
              <w:spacing w:line="410" w:lineRule="exact"/>
              <w:jc w:val="left"/>
              <w:rPr>
                <w:rFonts w:ascii="宋体" w:hAnsi="宋体"/>
                <w:color w:val="auto"/>
                <w:szCs w:val="21"/>
                <w:highlight w:val="none"/>
              </w:rPr>
            </w:pPr>
            <w:r>
              <w:rPr>
                <w:rFonts w:hint="eastAsia" w:ascii="宋体" w:hAnsi="宋体"/>
                <w:color w:val="auto"/>
                <w:szCs w:val="21"/>
                <w:highlight w:val="none"/>
              </w:rPr>
              <w:t>3.负责参与本次体检具体工作的人员须是成交供应商的工作人员，并为本项目指定一名项目负责人，项目负责人须具有副主任医师或以上职称，在响应文件中提供项目实施人员一览表并加盖供应商公章。（如有执业资格证、职称证，请在响应文件提供相应证件复印件）</w:t>
            </w:r>
          </w:p>
          <w:p w14:paraId="16488A82">
            <w:pPr>
              <w:spacing w:line="410" w:lineRule="exact"/>
              <w:jc w:val="left"/>
              <w:rPr>
                <w:rFonts w:ascii="宋体" w:hAnsi="宋体"/>
                <w:color w:val="auto"/>
                <w:kern w:val="0"/>
                <w:szCs w:val="21"/>
                <w:highlight w:val="none"/>
              </w:rPr>
            </w:pPr>
            <w:r>
              <w:rPr>
                <w:rFonts w:hint="eastAsia" w:ascii="宋体" w:hAnsi="宋体"/>
                <w:color w:val="auto"/>
                <w:kern w:val="0"/>
                <w:szCs w:val="21"/>
                <w:highlight w:val="none"/>
              </w:rPr>
              <w:t>二、服务要求</w:t>
            </w:r>
          </w:p>
          <w:p w14:paraId="766E19A7">
            <w:pPr>
              <w:spacing w:line="410" w:lineRule="exact"/>
              <w:jc w:val="left"/>
              <w:rPr>
                <w:rFonts w:ascii="宋体" w:hAnsi="宋体"/>
                <w:color w:val="auto"/>
                <w:szCs w:val="21"/>
                <w:highlight w:val="none"/>
              </w:rPr>
            </w:pPr>
            <w:r>
              <w:rPr>
                <w:rFonts w:hint="eastAsia" w:ascii="宋体" w:hAnsi="宋体"/>
                <w:color w:val="auto"/>
                <w:szCs w:val="21"/>
                <w:highlight w:val="none"/>
              </w:rPr>
              <w:t>1.成交供应商的工作人员具备国家规定的资质，要求业务技术精、工作责任心强、服务态度好的工作人员参加体检工作；</w:t>
            </w:r>
          </w:p>
          <w:p w14:paraId="07C30D2A">
            <w:pPr>
              <w:spacing w:line="410" w:lineRule="exact"/>
              <w:jc w:val="left"/>
              <w:rPr>
                <w:rFonts w:ascii="宋体" w:hAnsi="宋体"/>
                <w:color w:val="auto"/>
                <w:szCs w:val="21"/>
                <w:highlight w:val="none"/>
              </w:rPr>
            </w:pPr>
            <w:r>
              <w:rPr>
                <w:rFonts w:hint="eastAsia" w:ascii="宋体" w:hAnsi="宋体"/>
                <w:color w:val="auto"/>
                <w:szCs w:val="21"/>
                <w:highlight w:val="none"/>
              </w:rPr>
              <w:t>2.成交供应商负责对每一位受检者的各科体检资料及工作人员意见进行汇总审核，综合评价，提出医学建议及健康指导意见。体检完毕后的30个日历日内提供完整版体检资料，包含体检人员个人体检纸质报告（加盖公章）、电子版（全体参检人员汇总excel文档或原始数据库）及全体参检人员整体健康评估报告（电子版及加盖公章的纸质文件）。</w:t>
            </w:r>
          </w:p>
          <w:p w14:paraId="60C03C88">
            <w:pPr>
              <w:spacing w:line="410" w:lineRule="exact"/>
              <w:jc w:val="left"/>
              <w:rPr>
                <w:rFonts w:ascii="宋体" w:hAnsi="宋体"/>
                <w:color w:val="auto"/>
                <w:szCs w:val="21"/>
                <w:highlight w:val="none"/>
              </w:rPr>
            </w:pPr>
            <w:r>
              <w:rPr>
                <w:rFonts w:hint="eastAsia" w:ascii="宋体" w:hAnsi="宋体"/>
                <w:color w:val="auto"/>
                <w:szCs w:val="21"/>
                <w:highlight w:val="none"/>
              </w:rPr>
              <w:t>3.成交供应商为每位体检人员提供体检当天早餐一份。</w:t>
            </w:r>
          </w:p>
          <w:p w14:paraId="6CF84DD1">
            <w:pPr>
              <w:spacing w:line="410" w:lineRule="exact"/>
              <w:jc w:val="left"/>
              <w:rPr>
                <w:rFonts w:ascii="宋体" w:hAnsi="宋体"/>
                <w:color w:val="auto"/>
                <w:szCs w:val="21"/>
                <w:highlight w:val="none"/>
              </w:rPr>
            </w:pPr>
            <w:r>
              <w:rPr>
                <w:rFonts w:hint="eastAsia" w:ascii="宋体" w:hAnsi="宋体"/>
                <w:color w:val="auto"/>
                <w:szCs w:val="21"/>
                <w:highlight w:val="none"/>
              </w:rPr>
              <w:t>4.成交供应商按行业技术标准，按既定体检项目，开展体检服务。严格按照体检的技术指标和操作规范，确保体检质量和检查结果的准确性，做到不漏检、不误检；有漏检职工</w:t>
            </w:r>
            <w:r>
              <w:rPr>
                <w:rFonts w:hint="eastAsia" w:ascii="宋体" w:hAnsi="宋体"/>
                <w:color w:val="auto"/>
                <w:szCs w:val="21"/>
                <w:highlight w:val="none"/>
                <w:lang w:eastAsia="zh-CN"/>
              </w:rPr>
              <w:t>，</w:t>
            </w:r>
            <w:r>
              <w:rPr>
                <w:rFonts w:hint="eastAsia" w:ascii="宋体" w:hAnsi="宋体"/>
                <w:color w:val="auto"/>
                <w:szCs w:val="21"/>
                <w:highlight w:val="none"/>
              </w:rPr>
              <w:t>成交供应商能按照采购人要求的时间予以补检。</w:t>
            </w:r>
          </w:p>
          <w:p w14:paraId="50EDFC03">
            <w:pPr>
              <w:spacing w:line="410" w:lineRule="exact"/>
              <w:jc w:val="left"/>
              <w:rPr>
                <w:rFonts w:hint="eastAsia" w:ascii="宋体" w:hAnsi="宋体"/>
                <w:color w:val="auto"/>
                <w:szCs w:val="21"/>
                <w:highlight w:val="none"/>
              </w:rPr>
            </w:pPr>
            <w:r>
              <w:rPr>
                <w:rFonts w:hint="eastAsia" w:ascii="宋体" w:hAnsi="宋体"/>
                <w:color w:val="auto"/>
                <w:szCs w:val="21"/>
                <w:highlight w:val="none"/>
              </w:rPr>
              <w:t>5.体检过程中如出现成交供应商接待能力不足，无法在一天内安排并完成200人进行体检的情况，采购人有权要求成交供应商在3个工作日内作出符合本次采购要求的调整。重新开始体检后若再次出现成交供应商接待能力不足</w:t>
            </w:r>
            <w:r>
              <w:rPr>
                <w:rFonts w:ascii="宋体" w:hAnsi="宋体"/>
                <w:color w:val="auto"/>
                <w:szCs w:val="21"/>
                <w:highlight w:val="none"/>
              </w:rPr>
              <w:t>200</w:t>
            </w:r>
            <w:r>
              <w:rPr>
                <w:rFonts w:hint="eastAsia" w:ascii="宋体" w:hAnsi="宋体"/>
                <w:color w:val="auto"/>
                <w:szCs w:val="21"/>
                <w:highlight w:val="none"/>
              </w:rPr>
              <w:t>人的情况，将视为成交供应商违约，采购人有权终止合同，由此造成的全部损失由成交供应商负责。</w:t>
            </w:r>
          </w:p>
          <w:p w14:paraId="68F21650">
            <w:pPr>
              <w:spacing w:line="410" w:lineRule="exact"/>
              <w:jc w:val="left"/>
              <w:rPr>
                <w:rFonts w:hint="eastAsia" w:ascii="宋体" w:hAnsi="宋体"/>
                <w:color w:val="auto"/>
                <w:szCs w:val="21"/>
                <w:highlight w:val="none"/>
              </w:rPr>
            </w:pPr>
            <w:r>
              <w:rPr>
                <w:rFonts w:hint="eastAsia" w:ascii="宋体" w:hAnsi="宋体"/>
                <w:color w:val="auto"/>
                <w:szCs w:val="21"/>
                <w:highlight w:val="none"/>
              </w:rPr>
              <w:t>6.签订合同后6个工作日内，成交供应商需提供体检</w:t>
            </w:r>
            <w:r>
              <w:rPr>
                <w:rFonts w:hint="eastAsia" w:ascii="宋体" w:hAnsi="宋体"/>
                <w:color w:val="auto"/>
                <w:szCs w:val="21"/>
                <w:highlight w:val="none"/>
                <w:lang w:val="en-US" w:eastAsia="zh-CN"/>
              </w:rPr>
              <w:t>服务</w:t>
            </w:r>
            <w:r>
              <w:rPr>
                <w:rFonts w:hint="eastAsia" w:ascii="宋体" w:hAnsi="宋体"/>
                <w:color w:val="auto"/>
                <w:szCs w:val="21"/>
                <w:highlight w:val="none"/>
              </w:rPr>
              <w:t>方案（包括具体时间、地点、人员安排等）并交予采购人确认。</w:t>
            </w:r>
          </w:p>
          <w:p w14:paraId="5EB6B37F">
            <w:pPr>
              <w:spacing w:line="410" w:lineRule="exact"/>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7.供应商对体检过程中发现的疑似重大疾病务必做好登记，并当天通知采购人或体检者本人，及时给予复检；针对明确诊断体检检查出有问题（项目指标异常，有疾病风险）的，要在48小时内电话或短信通知本人。</w:t>
            </w:r>
          </w:p>
          <w:p w14:paraId="6612E51E">
            <w:pPr>
              <w:spacing w:line="410" w:lineRule="exact"/>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8.成交供应商为采购人建立职工体检健康档案，实行电脑化管理。</w:t>
            </w:r>
          </w:p>
          <w:p w14:paraId="2F2BA3F5">
            <w:pPr>
              <w:pStyle w:val="2"/>
              <w:ind w:left="0" w:leftChars="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9</w:t>
            </w:r>
            <w:r>
              <w:rPr>
                <w:rFonts w:hint="eastAsia" w:ascii="宋体" w:hAnsi="宋体" w:eastAsia="宋体" w:cs="Times New Roman"/>
                <w:color w:val="auto"/>
                <w:kern w:val="2"/>
                <w:sz w:val="21"/>
                <w:szCs w:val="21"/>
                <w:highlight w:val="none"/>
                <w:lang w:val="en-US" w:eastAsia="zh-CN" w:bidi="ar-SA"/>
              </w:rPr>
              <w:t>.成交供应商免费为体检人员测血压、身高、体重。</w:t>
            </w:r>
          </w:p>
        </w:tc>
      </w:tr>
      <w:tr w14:paraId="41A6C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000" w:type="pct"/>
            <w:gridSpan w:val="5"/>
            <w:vAlign w:val="center"/>
          </w:tcPr>
          <w:p w14:paraId="4F566D2A">
            <w:pPr>
              <w:spacing w:line="348" w:lineRule="auto"/>
              <w:ind w:right="102"/>
              <w:rPr>
                <w:rFonts w:ascii="宋体" w:hAnsi="宋体" w:cs="宋体"/>
                <w:color w:val="auto"/>
                <w:szCs w:val="21"/>
                <w:highlight w:val="none"/>
              </w:rPr>
            </w:pPr>
            <w:r>
              <w:rPr>
                <w:rFonts w:hint="eastAsia"/>
                <w:color w:val="auto"/>
                <w:highlight w:val="none"/>
              </w:rPr>
              <w:t>▲</w:t>
            </w:r>
            <w:r>
              <w:rPr>
                <w:rFonts w:hint="eastAsia" w:ascii="宋体" w:hAnsi="宋体" w:cs="宋体"/>
                <w:b/>
                <w:color w:val="auto"/>
                <w:szCs w:val="21"/>
                <w:highlight w:val="none"/>
              </w:rPr>
              <w:t>一、商务条款</w:t>
            </w:r>
          </w:p>
        </w:tc>
      </w:tr>
      <w:tr w14:paraId="29986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91" w:type="pct"/>
            <w:gridSpan w:val="4"/>
            <w:tcBorders>
              <w:top w:val="single" w:color="auto" w:sz="4" w:space="0"/>
              <w:left w:val="single" w:color="auto" w:sz="4" w:space="0"/>
              <w:bottom w:val="single" w:color="auto" w:sz="4" w:space="0"/>
              <w:right w:val="single" w:color="auto" w:sz="4" w:space="0"/>
            </w:tcBorders>
            <w:vAlign w:val="center"/>
          </w:tcPr>
          <w:p w14:paraId="36F3FE71">
            <w:pPr>
              <w:spacing w:line="360" w:lineRule="auto"/>
              <w:jc w:val="center"/>
              <w:rPr>
                <w:color w:val="auto"/>
                <w:highlight w:val="none"/>
              </w:rPr>
            </w:pPr>
            <w:r>
              <w:rPr>
                <w:rFonts w:hint="eastAsia" w:ascii="宋体" w:hAnsi="宋体"/>
                <w:color w:val="auto"/>
                <w:szCs w:val="21"/>
                <w:highlight w:val="none"/>
              </w:rPr>
              <w:t>合同签订时间</w:t>
            </w:r>
          </w:p>
        </w:tc>
        <w:tc>
          <w:tcPr>
            <w:tcW w:w="3108" w:type="pct"/>
            <w:tcBorders>
              <w:top w:val="single" w:color="auto" w:sz="4" w:space="0"/>
              <w:left w:val="single" w:color="auto" w:sz="4" w:space="0"/>
              <w:bottom w:val="single" w:color="auto" w:sz="4" w:space="0"/>
              <w:right w:val="single" w:color="auto" w:sz="4" w:space="0"/>
            </w:tcBorders>
          </w:tcPr>
          <w:p w14:paraId="497506F2">
            <w:pPr>
              <w:spacing w:line="360" w:lineRule="auto"/>
              <w:rPr>
                <w:color w:val="auto"/>
                <w:highlight w:val="none"/>
              </w:rPr>
            </w:pPr>
            <w:r>
              <w:rPr>
                <w:rFonts w:hint="eastAsia" w:ascii="宋体" w:hAnsi="宋体"/>
                <w:color w:val="auto"/>
                <w:szCs w:val="21"/>
                <w:highlight w:val="none"/>
              </w:rPr>
              <w:t>自成交通知书发出之日起25日内</w:t>
            </w:r>
          </w:p>
        </w:tc>
      </w:tr>
      <w:tr w14:paraId="5E4A7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91" w:type="pct"/>
            <w:gridSpan w:val="4"/>
            <w:tcBorders>
              <w:top w:val="single" w:color="auto" w:sz="4" w:space="0"/>
              <w:left w:val="single" w:color="auto" w:sz="4" w:space="0"/>
              <w:bottom w:val="single" w:color="auto" w:sz="4" w:space="0"/>
              <w:right w:val="single" w:color="auto" w:sz="4" w:space="0"/>
            </w:tcBorders>
            <w:vAlign w:val="center"/>
          </w:tcPr>
          <w:p w14:paraId="55AFB97A">
            <w:pPr>
              <w:spacing w:line="360" w:lineRule="auto"/>
              <w:jc w:val="center"/>
              <w:rPr>
                <w:rFonts w:ascii="宋体" w:hAnsi="宋体"/>
                <w:color w:val="auto"/>
                <w:szCs w:val="21"/>
                <w:highlight w:val="none"/>
              </w:rPr>
            </w:pPr>
            <w:r>
              <w:rPr>
                <w:rFonts w:hint="eastAsia" w:ascii="宋体" w:hAnsi="宋体"/>
                <w:color w:val="auto"/>
                <w:szCs w:val="21"/>
                <w:highlight w:val="none"/>
              </w:rPr>
              <w:t>体检时间</w:t>
            </w:r>
            <w:r>
              <w:rPr>
                <w:rFonts w:hint="eastAsia" w:ascii="宋体" w:hAnsi="宋体"/>
                <w:color w:val="auto"/>
                <w:szCs w:val="21"/>
                <w:highlight w:val="none"/>
                <w:lang w:val="zh-CN"/>
              </w:rPr>
              <w:t>及</w:t>
            </w:r>
            <w:r>
              <w:rPr>
                <w:rFonts w:hint="eastAsia" w:ascii="宋体" w:hAnsi="宋体"/>
                <w:color w:val="auto"/>
                <w:szCs w:val="21"/>
                <w:highlight w:val="none"/>
              </w:rPr>
              <w:t>体检</w:t>
            </w:r>
            <w:r>
              <w:rPr>
                <w:rFonts w:hint="eastAsia" w:ascii="宋体" w:hAnsi="宋体"/>
                <w:color w:val="auto"/>
                <w:szCs w:val="21"/>
                <w:highlight w:val="none"/>
                <w:lang w:val="zh-CN"/>
              </w:rPr>
              <w:t>地点</w:t>
            </w:r>
          </w:p>
        </w:tc>
        <w:tc>
          <w:tcPr>
            <w:tcW w:w="3108" w:type="pct"/>
            <w:tcBorders>
              <w:top w:val="single" w:color="auto" w:sz="4" w:space="0"/>
              <w:left w:val="single" w:color="auto" w:sz="4" w:space="0"/>
              <w:bottom w:val="single" w:color="auto" w:sz="4" w:space="0"/>
              <w:right w:val="single" w:color="auto" w:sz="4" w:space="0"/>
            </w:tcBorders>
          </w:tcPr>
          <w:p w14:paraId="516B708F">
            <w:pPr>
              <w:spacing w:line="360" w:lineRule="auto"/>
              <w:jc w:val="left"/>
              <w:rPr>
                <w:rFonts w:ascii="宋体" w:hAnsi="宋体"/>
                <w:color w:val="auto"/>
                <w:szCs w:val="21"/>
                <w:highlight w:val="none"/>
                <w:lang w:val="zh-CN"/>
              </w:rPr>
            </w:pPr>
            <w:r>
              <w:rPr>
                <w:rFonts w:hint="eastAsia" w:ascii="宋体" w:hAnsi="宋体"/>
                <w:color w:val="auto"/>
                <w:szCs w:val="21"/>
                <w:highlight w:val="none"/>
              </w:rPr>
              <w:t>1、体检时间</w:t>
            </w:r>
            <w:r>
              <w:rPr>
                <w:rFonts w:hint="eastAsia" w:ascii="宋体" w:hAnsi="宋体"/>
                <w:color w:val="auto"/>
                <w:szCs w:val="21"/>
                <w:highlight w:val="none"/>
                <w:lang w:val="zh-CN"/>
              </w:rPr>
              <w:t>：</w:t>
            </w:r>
            <w:r>
              <w:rPr>
                <w:rFonts w:hint="eastAsia" w:ascii="宋体" w:hAnsi="宋体"/>
                <w:color w:val="auto"/>
                <w:szCs w:val="21"/>
                <w:highlight w:val="none"/>
              </w:rPr>
              <w:t>体检初步安排在2025年9月，具体体检时间由采购人决定，并提前10天通知。</w:t>
            </w:r>
          </w:p>
          <w:p w14:paraId="21CA05BA">
            <w:pPr>
              <w:spacing w:line="360" w:lineRule="auto"/>
              <w:jc w:val="left"/>
              <w:rPr>
                <w:rFonts w:ascii="宋体" w:hAnsi="宋体"/>
                <w:color w:val="auto"/>
                <w:szCs w:val="21"/>
                <w:highlight w:val="none"/>
              </w:rPr>
            </w:pPr>
            <w:r>
              <w:rPr>
                <w:rFonts w:hint="eastAsia" w:ascii="宋体" w:hAnsi="宋体"/>
                <w:color w:val="auto"/>
                <w:szCs w:val="21"/>
                <w:highlight w:val="none"/>
              </w:rPr>
              <w:t>2、体检</w:t>
            </w:r>
            <w:r>
              <w:rPr>
                <w:rFonts w:hint="eastAsia" w:ascii="宋体" w:hAnsi="宋体"/>
                <w:color w:val="auto"/>
                <w:szCs w:val="21"/>
                <w:highlight w:val="none"/>
                <w:lang w:val="zh-CN"/>
              </w:rPr>
              <w:t>地点：</w:t>
            </w:r>
            <w:r>
              <w:rPr>
                <w:rFonts w:hint="eastAsia" w:ascii="宋体" w:hAnsi="宋体"/>
                <w:color w:val="auto"/>
                <w:szCs w:val="21"/>
                <w:highlight w:val="none"/>
              </w:rPr>
              <w:t>采购人指定地点。</w:t>
            </w:r>
          </w:p>
        </w:tc>
      </w:tr>
      <w:tr w14:paraId="18065B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91" w:type="pct"/>
            <w:gridSpan w:val="4"/>
            <w:tcBorders>
              <w:top w:val="single" w:color="auto" w:sz="4" w:space="0"/>
              <w:left w:val="single" w:color="auto" w:sz="4" w:space="0"/>
              <w:bottom w:val="single" w:color="auto" w:sz="4" w:space="0"/>
              <w:right w:val="single" w:color="auto" w:sz="4" w:space="0"/>
            </w:tcBorders>
            <w:vAlign w:val="center"/>
          </w:tcPr>
          <w:p w14:paraId="6A372C23">
            <w:pPr>
              <w:spacing w:line="360" w:lineRule="auto"/>
              <w:jc w:val="center"/>
              <w:rPr>
                <w:color w:val="auto"/>
                <w:highlight w:val="none"/>
              </w:rPr>
            </w:pPr>
            <w:r>
              <w:rPr>
                <w:rFonts w:hint="eastAsia" w:ascii="宋体" w:hAnsi="宋体"/>
                <w:bCs/>
                <w:color w:val="auto"/>
                <w:szCs w:val="21"/>
                <w:highlight w:val="none"/>
              </w:rPr>
              <w:t>付款方式</w:t>
            </w:r>
          </w:p>
        </w:tc>
        <w:tc>
          <w:tcPr>
            <w:tcW w:w="3108" w:type="pct"/>
            <w:tcBorders>
              <w:top w:val="single" w:color="auto" w:sz="4" w:space="0"/>
              <w:left w:val="single" w:color="auto" w:sz="4" w:space="0"/>
              <w:bottom w:val="single" w:color="auto" w:sz="4" w:space="0"/>
              <w:right w:val="single" w:color="auto" w:sz="4" w:space="0"/>
            </w:tcBorders>
            <w:vAlign w:val="center"/>
          </w:tcPr>
          <w:p w14:paraId="61A52842">
            <w:pPr>
              <w:spacing w:line="360" w:lineRule="auto"/>
              <w:jc w:val="left"/>
              <w:rPr>
                <w:color w:val="auto"/>
                <w:highlight w:val="none"/>
              </w:rPr>
            </w:pPr>
            <w:r>
              <w:rPr>
                <w:rFonts w:hint="eastAsia" w:ascii="宋体" w:hAnsi="宋体"/>
                <w:bCs/>
                <w:color w:val="auto"/>
                <w:szCs w:val="21"/>
                <w:highlight w:val="none"/>
              </w:rPr>
              <w:t>采购人在收到完整版体检资料后，按双方确认的实际体检人数乘以成交供应商的最终成交单价结算体检费用，采购人在收到成交供应商开具发票的10个工作日内通过转账方式一次性支付体检费用款项给成交供应商。如未按国家要求开具发票或未按合同履约的，视为违约，采购人有权暂缓支付体检费用直至收到等额正式发票之日止，并不承担逾期付款的违约责任。如</w:t>
            </w:r>
            <w:r>
              <w:rPr>
                <w:rFonts w:hint="eastAsia" w:ascii="宋体" w:hAnsi="宋体"/>
                <w:color w:val="auto"/>
                <w:szCs w:val="21"/>
                <w:highlight w:val="none"/>
              </w:rPr>
              <w:t>造成法律规定的损害的，</w:t>
            </w:r>
            <w:r>
              <w:rPr>
                <w:rFonts w:hint="eastAsia" w:ascii="宋体" w:hAnsi="宋体"/>
                <w:bCs/>
                <w:color w:val="auto"/>
                <w:szCs w:val="21"/>
                <w:highlight w:val="none"/>
              </w:rPr>
              <w:t>采购人有权追究成交供应商法律责任。</w:t>
            </w:r>
          </w:p>
        </w:tc>
      </w:tr>
      <w:tr w14:paraId="1DBCD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1891" w:type="pct"/>
            <w:gridSpan w:val="4"/>
            <w:tcBorders>
              <w:top w:val="single" w:color="auto" w:sz="4" w:space="0"/>
              <w:left w:val="single" w:color="auto" w:sz="4" w:space="0"/>
              <w:bottom w:val="single" w:color="auto" w:sz="4" w:space="0"/>
              <w:right w:val="single" w:color="auto" w:sz="4" w:space="0"/>
            </w:tcBorders>
            <w:vAlign w:val="center"/>
          </w:tcPr>
          <w:p w14:paraId="46E74F9C">
            <w:pPr>
              <w:spacing w:line="360" w:lineRule="auto"/>
              <w:jc w:val="center"/>
              <w:rPr>
                <w:color w:val="auto"/>
                <w:highlight w:val="none"/>
              </w:rPr>
            </w:pPr>
            <w:r>
              <w:rPr>
                <w:rFonts w:hint="eastAsia" w:ascii="宋体" w:hAnsi="宋体"/>
                <w:color w:val="auto"/>
                <w:szCs w:val="21"/>
                <w:highlight w:val="none"/>
              </w:rPr>
              <w:t>报价要求</w:t>
            </w:r>
          </w:p>
        </w:tc>
        <w:tc>
          <w:tcPr>
            <w:tcW w:w="3108" w:type="pct"/>
            <w:tcBorders>
              <w:top w:val="single" w:color="auto" w:sz="4" w:space="0"/>
              <w:left w:val="single" w:color="auto" w:sz="4" w:space="0"/>
              <w:bottom w:val="single" w:color="auto" w:sz="4" w:space="0"/>
              <w:right w:val="single" w:color="auto" w:sz="4" w:space="0"/>
            </w:tcBorders>
            <w:vAlign w:val="center"/>
          </w:tcPr>
          <w:p w14:paraId="32E5F7B4">
            <w:pPr>
              <w:spacing w:line="360" w:lineRule="auto"/>
              <w:jc w:val="left"/>
              <w:rPr>
                <w:rFonts w:ascii="宋体" w:hAnsi="宋体"/>
                <w:bCs/>
                <w:color w:val="auto"/>
                <w:szCs w:val="21"/>
                <w:highlight w:val="none"/>
              </w:rPr>
            </w:pPr>
            <w:r>
              <w:rPr>
                <w:rFonts w:hint="eastAsia" w:ascii="宋体" w:hAnsi="宋体"/>
                <w:bCs/>
                <w:color w:val="auto"/>
                <w:szCs w:val="21"/>
                <w:highlight w:val="none"/>
              </w:rPr>
              <w:t>1、报价包含但不限于以下内容：提供体检服务所需的设备材料、工具、人员的各种费用和售后服务、税金及其他所有成本费用的总和。</w:t>
            </w:r>
          </w:p>
          <w:p w14:paraId="65DB00DC">
            <w:pPr>
              <w:spacing w:line="360" w:lineRule="auto"/>
              <w:jc w:val="left"/>
              <w:rPr>
                <w:color w:val="auto"/>
                <w:highlight w:val="none"/>
              </w:rPr>
            </w:pPr>
            <w:r>
              <w:rPr>
                <w:rFonts w:hint="eastAsia" w:ascii="宋体" w:hAnsi="宋体"/>
                <w:b/>
                <w:color w:val="auto"/>
                <w:szCs w:val="21"/>
                <w:highlight w:val="none"/>
              </w:rPr>
              <w:t>2、本次体检人数：共计600人体检，其中男性270人，女性330人。体检项目费用结算以实际体检人数及检查项目为准。</w:t>
            </w:r>
          </w:p>
        </w:tc>
      </w:tr>
      <w:tr w14:paraId="7F029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6FED55D4">
            <w:pPr>
              <w:spacing w:line="400" w:lineRule="exact"/>
              <w:rPr>
                <w:rFonts w:ascii="宋体" w:hAnsi="宋体" w:cs="宋体"/>
                <w:color w:val="auto"/>
                <w:szCs w:val="21"/>
                <w:highlight w:val="none"/>
              </w:rPr>
            </w:pPr>
            <w:r>
              <w:rPr>
                <w:rFonts w:hint="eastAsia" w:ascii="宋体" w:hAnsi="宋体" w:cs="宋体"/>
                <w:b/>
                <w:color w:val="auto"/>
                <w:szCs w:val="21"/>
                <w:highlight w:val="none"/>
              </w:rPr>
              <w:t>二、</w:t>
            </w:r>
            <w:r>
              <w:rPr>
                <w:rFonts w:hint="eastAsia" w:ascii="宋体" w:hAnsi="宋体" w:cs="宋体"/>
                <w:b/>
                <w:bCs/>
                <w:color w:val="auto"/>
                <w:szCs w:val="21"/>
                <w:highlight w:val="none"/>
              </w:rPr>
              <w:t>与实现项目目标相关的其他要求</w:t>
            </w:r>
          </w:p>
        </w:tc>
      </w:tr>
      <w:tr w14:paraId="17F1B3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2156BF32">
            <w:pPr>
              <w:spacing w:line="400" w:lineRule="exact"/>
              <w:rPr>
                <w:rFonts w:ascii="宋体" w:hAnsi="宋体" w:cs="宋体"/>
                <w:b/>
                <w:color w:val="auto"/>
                <w:szCs w:val="21"/>
                <w:highlight w:val="none"/>
              </w:rPr>
            </w:pPr>
            <w:r>
              <w:rPr>
                <w:rFonts w:hint="eastAsia" w:ascii="宋体" w:hAnsi="宋体" w:cs="宋体"/>
                <w:b/>
                <w:color w:val="auto"/>
                <w:szCs w:val="21"/>
                <w:highlight w:val="none"/>
              </w:rPr>
              <w:t>（一）供应商的履约能力要求</w:t>
            </w:r>
          </w:p>
        </w:tc>
      </w:tr>
      <w:tr w14:paraId="0C025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1891" w:type="pct"/>
            <w:gridSpan w:val="4"/>
            <w:tcBorders>
              <w:top w:val="single" w:color="auto" w:sz="4" w:space="0"/>
              <w:left w:val="single" w:color="auto" w:sz="4" w:space="0"/>
              <w:bottom w:val="single" w:color="auto" w:sz="4" w:space="0"/>
              <w:right w:val="single" w:color="auto" w:sz="4" w:space="0"/>
            </w:tcBorders>
            <w:vAlign w:val="center"/>
          </w:tcPr>
          <w:p w14:paraId="2E8073F8">
            <w:pPr>
              <w:jc w:val="center"/>
              <w:rPr>
                <w:rFonts w:ascii="宋体" w:hAnsi="宋体" w:cs="宋体"/>
                <w:color w:val="auto"/>
                <w:szCs w:val="21"/>
                <w:highlight w:val="none"/>
              </w:rPr>
            </w:pPr>
            <w:r>
              <w:rPr>
                <w:rFonts w:hint="eastAsia" w:ascii="宋体" w:hAnsi="宋体" w:cs="宋体"/>
                <w:color w:val="auto"/>
                <w:szCs w:val="21"/>
                <w:highlight w:val="none"/>
              </w:rPr>
              <w:t>质量管理、企业信用要求</w:t>
            </w:r>
          </w:p>
        </w:tc>
        <w:tc>
          <w:tcPr>
            <w:tcW w:w="3108" w:type="pct"/>
            <w:tcBorders>
              <w:top w:val="single" w:color="auto" w:sz="4" w:space="0"/>
              <w:left w:val="single" w:color="auto" w:sz="4" w:space="0"/>
              <w:bottom w:val="single" w:color="auto" w:sz="4" w:space="0"/>
              <w:right w:val="single" w:color="auto" w:sz="4" w:space="0"/>
            </w:tcBorders>
            <w:vAlign w:val="center"/>
          </w:tcPr>
          <w:p w14:paraId="10EDC099">
            <w:pPr>
              <w:rPr>
                <w:rFonts w:ascii="宋体" w:hAnsi="宋体" w:cs="宋体"/>
                <w:color w:val="auto"/>
                <w:szCs w:val="21"/>
                <w:highlight w:val="none"/>
              </w:rPr>
            </w:pPr>
            <w:r>
              <w:rPr>
                <w:rFonts w:hint="eastAsia" w:ascii="宋体" w:hAnsi="宋体" w:cs="宋体"/>
                <w:color w:val="auto"/>
                <w:szCs w:val="21"/>
                <w:highlight w:val="none"/>
              </w:rPr>
              <w:t>详见《第四章评审方法及评审标准》</w:t>
            </w:r>
          </w:p>
        </w:tc>
      </w:tr>
      <w:tr w14:paraId="40DA4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1891" w:type="pct"/>
            <w:gridSpan w:val="4"/>
            <w:tcBorders>
              <w:top w:val="single" w:color="auto" w:sz="4" w:space="0"/>
              <w:left w:val="single" w:color="auto" w:sz="4" w:space="0"/>
              <w:bottom w:val="single" w:color="auto" w:sz="4" w:space="0"/>
              <w:right w:val="single" w:color="auto" w:sz="4" w:space="0"/>
            </w:tcBorders>
            <w:vAlign w:val="center"/>
          </w:tcPr>
          <w:p w14:paraId="50B7409D">
            <w:pPr>
              <w:jc w:val="center"/>
              <w:rPr>
                <w:rFonts w:ascii="宋体" w:hAnsi="宋体" w:cs="宋体"/>
                <w:color w:val="auto"/>
                <w:szCs w:val="21"/>
                <w:highlight w:val="none"/>
              </w:rPr>
            </w:pPr>
            <w:r>
              <w:rPr>
                <w:rFonts w:hint="eastAsia" w:ascii="宋体" w:hAnsi="宋体" w:cs="宋体"/>
                <w:color w:val="auto"/>
                <w:szCs w:val="21"/>
                <w:highlight w:val="none"/>
              </w:rPr>
              <w:t>能力或业绩</w:t>
            </w:r>
          </w:p>
          <w:p w14:paraId="2136AE4A">
            <w:pPr>
              <w:jc w:val="center"/>
              <w:rPr>
                <w:rFonts w:ascii="宋体" w:hAnsi="宋体" w:cs="宋体"/>
                <w:b/>
                <w:color w:val="auto"/>
                <w:szCs w:val="21"/>
                <w:highlight w:val="none"/>
              </w:rPr>
            </w:pPr>
            <w:r>
              <w:rPr>
                <w:rFonts w:hint="eastAsia" w:ascii="宋体" w:hAnsi="宋体" w:cs="宋体"/>
                <w:color w:val="auto"/>
                <w:szCs w:val="21"/>
                <w:highlight w:val="none"/>
              </w:rPr>
              <w:t>要求</w:t>
            </w:r>
          </w:p>
        </w:tc>
        <w:tc>
          <w:tcPr>
            <w:tcW w:w="3108" w:type="pct"/>
            <w:tcBorders>
              <w:top w:val="single" w:color="auto" w:sz="4" w:space="0"/>
              <w:left w:val="single" w:color="auto" w:sz="4" w:space="0"/>
              <w:bottom w:val="single" w:color="auto" w:sz="4" w:space="0"/>
              <w:right w:val="single" w:color="auto" w:sz="4" w:space="0"/>
            </w:tcBorders>
            <w:vAlign w:val="center"/>
          </w:tcPr>
          <w:p w14:paraId="49C90BE6">
            <w:pPr>
              <w:rPr>
                <w:rFonts w:ascii="宋体" w:hAnsi="宋体" w:cs="宋体"/>
                <w:b/>
                <w:color w:val="auto"/>
                <w:szCs w:val="21"/>
                <w:highlight w:val="none"/>
              </w:rPr>
            </w:pPr>
            <w:r>
              <w:rPr>
                <w:rFonts w:hint="eastAsia" w:ascii="宋体" w:hAnsi="宋体" w:cs="宋体"/>
                <w:color w:val="auto"/>
                <w:szCs w:val="21"/>
                <w:highlight w:val="none"/>
              </w:rPr>
              <w:t>详见《第四章评审方法及评审标准》</w:t>
            </w:r>
          </w:p>
        </w:tc>
      </w:tr>
      <w:tr w14:paraId="671E5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10E97446">
            <w:pPr>
              <w:spacing w:line="400" w:lineRule="exact"/>
              <w:rPr>
                <w:rFonts w:ascii="宋体" w:hAnsi="宋体" w:cs="宋体"/>
                <w:color w:val="auto"/>
                <w:szCs w:val="21"/>
                <w:highlight w:val="none"/>
              </w:rPr>
            </w:pPr>
            <w:r>
              <w:rPr>
                <w:rFonts w:hint="eastAsia" w:ascii="宋体" w:hAnsi="宋体" w:cs="宋体"/>
                <w:b/>
                <w:color w:val="auto"/>
                <w:szCs w:val="21"/>
                <w:highlight w:val="none"/>
              </w:rPr>
              <w:t>（二）</w:t>
            </w:r>
            <w:r>
              <w:rPr>
                <w:rFonts w:hint="eastAsia"/>
                <w:b/>
                <w:bCs/>
                <w:color w:val="auto"/>
                <w:highlight w:val="none"/>
              </w:rPr>
              <w:t>验收标准、规范</w:t>
            </w:r>
          </w:p>
        </w:tc>
      </w:tr>
      <w:tr w14:paraId="59A2B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91" w:type="pct"/>
            <w:gridSpan w:val="4"/>
            <w:tcBorders>
              <w:top w:val="single" w:color="auto" w:sz="4" w:space="0"/>
              <w:left w:val="single" w:color="auto" w:sz="4" w:space="0"/>
              <w:bottom w:val="single" w:color="auto" w:sz="4" w:space="0"/>
              <w:right w:val="single" w:color="auto" w:sz="4" w:space="0"/>
            </w:tcBorders>
            <w:vAlign w:val="center"/>
          </w:tcPr>
          <w:p w14:paraId="12D42CA3">
            <w:pPr>
              <w:spacing w:line="380" w:lineRule="exact"/>
              <w:jc w:val="center"/>
              <w:rPr>
                <w:rFonts w:ascii="宋体" w:hAnsi="宋体" w:cs="宋体"/>
                <w:color w:val="auto"/>
                <w:szCs w:val="21"/>
                <w:highlight w:val="none"/>
              </w:rPr>
            </w:pPr>
            <w:r>
              <w:rPr>
                <w:rFonts w:hint="eastAsia"/>
                <w:color w:val="auto"/>
                <w:highlight w:val="none"/>
              </w:rPr>
              <w:t>验收标准、规范</w:t>
            </w:r>
          </w:p>
        </w:tc>
        <w:tc>
          <w:tcPr>
            <w:tcW w:w="3108" w:type="pct"/>
            <w:tcBorders>
              <w:top w:val="single" w:color="auto" w:sz="4" w:space="0"/>
              <w:left w:val="single" w:color="auto" w:sz="4" w:space="0"/>
              <w:bottom w:val="single" w:color="auto" w:sz="4" w:space="0"/>
              <w:right w:val="single" w:color="auto" w:sz="4" w:space="0"/>
            </w:tcBorders>
            <w:vAlign w:val="center"/>
          </w:tcPr>
          <w:p w14:paraId="70C119C4">
            <w:pPr>
              <w:spacing w:line="380" w:lineRule="exact"/>
              <w:rPr>
                <w:rFonts w:ascii="宋体" w:hAnsi="宋体"/>
                <w:color w:val="auto"/>
                <w:szCs w:val="21"/>
                <w:highlight w:val="none"/>
              </w:rPr>
            </w:pPr>
            <w:r>
              <w:rPr>
                <w:rFonts w:hint="eastAsia" w:ascii="宋体" w:hAnsi="宋体"/>
                <w:color w:val="auto"/>
                <w:szCs w:val="21"/>
                <w:highlight w:val="none"/>
              </w:rPr>
              <w:t>1、验收过程中所产生的一切费用均由成交供应商承担，报价时应考虑相关费用。</w:t>
            </w:r>
          </w:p>
          <w:p w14:paraId="3B066904">
            <w:pPr>
              <w:spacing w:line="380" w:lineRule="exact"/>
              <w:rPr>
                <w:rFonts w:ascii="宋体" w:hAnsi="宋体"/>
                <w:color w:val="auto"/>
                <w:szCs w:val="21"/>
                <w:highlight w:val="none"/>
              </w:rPr>
            </w:pPr>
            <w:r>
              <w:rPr>
                <w:rFonts w:hint="eastAsia" w:ascii="宋体" w:hAnsi="宋体"/>
                <w:color w:val="auto"/>
                <w:szCs w:val="21"/>
                <w:highlight w:val="none"/>
              </w:rPr>
              <w:t>2、成交供应商在服务验收时由采购人对照采购文件的功能目标及服务指标全面核对检验，对所有要求出具的证明文件的原件进行核查，如不符合采购文件的服务需求以及提供虚假承诺的，按相关规定做不接受服务处理及违约处理，成交供应商承担所有责任和费用，采购人保留进一步追究责任的权利。</w:t>
            </w:r>
          </w:p>
          <w:p w14:paraId="7FF79F2F">
            <w:pPr>
              <w:spacing w:line="380" w:lineRule="exact"/>
              <w:rPr>
                <w:rFonts w:ascii="宋体" w:hAnsi="宋体" w:cs="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其他未尽事宜应严格按照《关于印发广西壮族自治区政府采购项目履约验收管理办法的通知》[桂财采〔2015〕22号]以及《财政部关于进一步加强政府采购需求和履约验收管理的指导意见》[财库〔2016〕205号]规定执行。</w:t>
            </w:r>
          </w:p>
        </w:tc>
      </w:tr>
      <w:tr w14:paraId="7E415F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52ED8CDA">
            <w:pPr>
              <w:spacing w:line="400" w:lineRule="exact"/>
              <w:rPr>
                <w:rFonts w:ascii="宋体" w:hAnsi="宋体" w:cs="宋体"/>
                <w:color w:val="auto"/>
                <w:szCs w:val="21"/>
                <w:highlight w:val="none"/>
              </w:rPr>
            </w:pPr>
            <w:r>
              <w:rPr>
                <w:rFonts w:hint="eastAsia" w:ascii="宋体" w:hAnsi="宋体"/>
                <w:b/>
                <w:bCs/>
                <w:color w:val="auto"/>
                <w:szCs w:val="21"/>
                <w:highlight w:val="none"/>
              </w:rPr>
              <w:t>三、采购人对项目的其他要求和说明</w:t>
            </w:r>
          </w:p>
        </w:tc>
      </w:tr>
      <w:tr w14:paraId="026E7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91" w:type="pct"/>
            <w:gridSpan w:val="4"/>
            <w:tcBorders>
              <w:top w:val="single" w:color="auto" w:sz="4" w:space="0"/>
              <w:left w:val="single" w:color="auto" w:sz="4" w:space="0"/>
              <w:bottom w:val="single" w:color="auto" w:sz="4" w:space="0"/>
              <w:right w:val="single" w:color="auto" w:sz="4" w:space="0"/>
            </w:tcBorders>
            <w:vAlign w:val="center"/>
          </w:tcPr>
          <w:p w14:paraId="2CF80AA9">
            <w:pPr>
              <w:spacing w:line="380" w:lineRule="exact"/>
              <w:jc w:val="center"/>
              <w:rPr>
                <w:rFonts w:ascii="宋体" w:hAnsi="宋体" w:cs="宋体"/>
                <w:b/>
                <w:color w:val="auto"/>
                <w:szCs w:val="21"/>
                <w:highlight w:val="none"/>
              </w:rPr>
            </w:pPr>
            <w:r>
              <w:rPr>
                <w:rFonts w:hint="eastAsia" w:ascii="宋体" w:hAnsi="宋体"/>
                <w:color w:val="auto"/>
                <w:szCs w:val="21"/>
                <w:highlight w:val="none"/>
              </w:rPr>
              <w:t>其他要求</w:t>
            </w:r>
          </w:p>
        </w:tc>
        <w:tc>
          <w:tcPr>
            <w:tcW w:w="3108" w:type="pct"/>
            <w:tcBorders>
              <w:top w:val="single" w:color="auto" w:sz="4" w:space="0"/>
              <w:left w:val="single" w:color="auto" w:sz="4" w:space="0"/>
              <w:bottom w:val="single" w:color="auto" w:sz="4" w:space="0"/>
              <w:right w:val="single" w:color="auto" w:sz="4" w:space="0"/>
            </w:tcBorders>
            <w:vAlign w:val="center"/>
          </w:tcPr>
          <w:p w14:paraId="42BDB250">
            <w:pPr>
              <w:spacing w:line="380" w:lineRule="exact"/>
              <w:rPr>
                <w:color w:val="auto"/>
                <w:highlight w:val="none"/>
              </w:rPr>
            </w:pPr>
            <w:r>
              <w:rPr>
                <w:rFonts w:hint="eastAsia" w:ascii="宋体" w:hAnsi="宋体"/>
                <w:color w:val="auto"/>
                <w:szCs w:val="21"/>
                <w:highlight w:val="none"/>
              </w:rPr>
              <w:t>供应商可在响应文件中提供服务方案、人员能力证明、设备方案、体检环境证明、履约能力证明、业绩证明等。</w:t>
            </w:r>
          </w:p>
        </w:tc>
      </w:tr>
      <w:tr w14:paraId="22A6FD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91" w:type="pct"/>
            <w:gridSpan w:val="4"/>
            <w:tcBorders>
              <w:top w:val="single" w:color="auto" w:sz="4" w:space="0"/>
              <w:left w:val="single" w:color="auto" w:sz="4" w:space="0"/>
              <w:bottom w:val="single" w:color="auto" w:sz="4" w:space="0"/>
              <w:right w:val="single" w:color="auto" w:sz="4" w:space="0"/>
            </w:tcBorders>
            <w:vAlign w:val="center"/>
          </w:tcPr>
          <w:p w14:paraId="6273E52F">
            <w:pPr>
              <w:spacing w:line="380" w:lineRule="exact"/>
              <w:jc w:val="center"/>
              <w:rPr>
                <w:rFonts w:ascii="宋体" w:hAnsi="宋体" w:cs="宋体"/>
                <w:b/>
                <w:color w:val="auto"/>
                <w:szCs w:val="21"/>
                <w:highlight w:val="none"/>
              </w:rPr>
            </w:pPr>
            <w:r>
              <w:rPr>
                <w:rFonts w:hint="eastAsia" w:ascii="宋体" w:hAnsi="宋体" w:cs="宋体"/>
                <w:bCs/>
                <w:color w:val="auto"/>
                <w:szCs w:val="21"/>
                <w:highlight w:val="none"/>
              </w:rPr>
              <w:t>说明</w:t>
            </w:r>
          </w:p>
        </w:tc>
        <w:tc>
          <w:tcPr>
            <w:tcW w:w="3108" w:type="pct"/>
            <w:tcBorders>
              <w:top w:val="single" w:color="auto" w:sz="4" w:space="0"/>
              <w:left w:val="single" w:color="auto" w:sz="4" w:space="0"/>
              <w:bottom w:val="single" w:color="auto" w:sz="4" w:space="0"/>
              <w:right w:val="single" w:color="auto" w:sz="4" w:space="0"/>
            </w:tcBorders>
            <w:vAlign w:val="center"/>
          </w:tcPr>
          <w:p w14:paraId="132C3982">
            <w:pPr>
              <w:spacing w:line="380" w:lineRule="exact"/>
              <w:rPr>
                <w:rFonts w:ascii="宋体" w:hAnsi="宋体" w:cs="宋体"/>
                <w:b/>
                <w:color w:val="auto"/>
                <w:szCs w:val="21"/>
                <w:highlight w:val="none"/>
              </w:rPr>
            </w:pPr>
            <w:r>
              <w:rPr>
                <w:color w:val="auto"/>
                <w:spacing w:val="9"/>
                <w:highlight w:val="none"/>
              </w:rPr>
              <w:t>服务类项目无核心产品要求</w:t>
            </w:r>
          </w:p>
        </w:tc>
      </w:tr>
    </w:tbl>
    <w:p w14:paraId="7B4E75F6">
      <w:pPr>
        <w:rPr>
          <w:rFonts w:ascii="宋体" w:hAnsi="宋体" w:cs="宋体"/>
          <w:color w:val="auto"/>
          <w:sz w:val="24"/>
          <w:highlight w:val="none"/>
        </w:rPr>
      </w:pPr>
      <w:r>
        <w:rPr>
          <w:rFonts w:hint="eastAsia" w:ascii="宋体" w:hAnsi="宋体" w:cs="宋体"/>
          <w:color w:val="auto"/>
          <w:sz w:val="24"/>
          <w:highlight w:val="none"/>
        </w:rPr>
        <w:br w:type="page"/>
      </w:r>
    </w:p>
    <w:p w14:paraId="0C1045EC">
      <w:pPr>
        <w:rPr>
          <w:rFonts w:ascii="宋体" w:hAnsi="宋体" w:cs="宋体"/>
          <w:color w:val="auto"/>
          <w:kern w:val="0"/>
          <w:sz w:val="28"/>
          <w:szCs w:val="28"/>
          <w:highlight w:val="none"/>
        </w:rPr>
      </w:pPr>
      <w:r>
        <w:rPr>
          <w:rFonts w:hint="eastAsia" w:ascii="宋体" w:hAnsi="宋体" w:cs="宋体"/>
          <w:color w:val="auto"/>
          <w:sz w:val="24"/>
          <w:highlight w:val="none"/>
        </w:rPr>
        <w:t>附件：</w:t>
      </w:r>
    </w:p>
    <w:p w14:paraId="67572368">
      <w:pPr>
        <w:spacing w:line="528"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中小微企业划型标准</w:t>
      </w:r>
    </w:p>
    <w:tbl>
      <w:tblPr>
        <w:tblStyle w:val="32"/>
        <w:tblW w:w="5000" w:type="pct"/>
        <w:tblInd w:w="0" w:type="dxa"/>
        <w:tblLayout w:type="autofit"/>
        <w:tblCellMar>
          <w:top w:w="0" w:type="dxa"/>
          <w:left w:w="108" w:type="dxa"/>
          <w:bottom w:w="0" w:type="dxa"/>
          <w:right w:w="108" w:type="dxa"/>
        </w:tblCellMar>
      </w:tblPr>
      <w:tblGrid>
        <w:gridCol w:w="1838"/>
        <w:gridCol w:w="1702"/>
        <w:gridCol w:w="1266"/>
        <w:gridCol w:w="1810"/>
        <w:gridCol w:w="1697"/>
        <w:gridCol w:w="1087"/>
      </w:tblGrid>
      <w:tr w14:paraId="299F749C">
        <w:tblPrEx>
          <w:tblCellMar>
            <w:top w:w="0" w:type="dxa"/>
            <w:left w:w="108" w:type="dxa"/>
            <w:bottom w:w="0" w:type="dxa"/>
            <w:right w:w="108" w:type="dxa"/>
          </w:tblCellMar>
        </w:tblPrEx>
        <w:trPr>
          <w:trHeight w:val="374" w:hRule="atLeast"/>
        </w:trPr>
        <w:tc>
          <w:tcPr>
            <w:tcW w:w="977" w:type="pct"/>
            <w:tcBorders>
              <w:top w:val="single" w:color="auto" w:sz="12" w:space="0"/>
              <w:left w:val="single" w:color="auto" w:sz="12" w:space="0"/>
              <w:bottom w:val="single" w:color="auto" w:sz="4" w:space="0"/>
              <w:right w:val="single" w:color="auto" w:sz="4" w:space="0"/>
            </w:tcBorders>
            <w:vAlign w:val="center"/>
          </w:tcPr>
          <w:p w14:paraId="14F64139">
            <w:pPr>
              <w:widowControl/>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行业名称</w:t>
            </w:r>
          </w:p>
        </w:tc>
        <w:tc>
          <w:tcPr>
            <w:tcW w:w="905" w:type="pct"/>
            <w:tcBorders>
              <w:top w:val="single" w:color="auto" w:sz="12" w:space="0"/>
              <w:left w:val="single" w:color="auto" w:sz="4" w:space="0"/>
              <w:bottom w:val="single" w:color="auto" w:sz="4" w:space="0"/>
              <w:right w:val="single" w:color="auto" w:sz="4" w:space="0"/>
            </w:tcBorders>
            <w:vAlign w:val="center"/>
          </w:tcPr>
          <w:p w14:paraId="4630E586">
            <w:pPr>
              <w:widowControl/>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指标名称</w:t>
            </w:r>
          </w:p>
        </w:tc>
        <w:tc>
          <w:tcPr>
            <w:tcW w:w="673" w:type="pct"/>
            <w:tcBorders>
              <w:top w:val="single" w:color="auto" w:sz="12" w:space="0"/>
              <w:left w:val="single" w:color="auto" w:sz="4" w:space="0"/>
              <w:bottom w:val="single" w:color="auto" w:sz="4" w:space="0"/>
              <w:right w:val="single" w:color="auto" w:sz="4" w:space="0"/>
            </w:tcBorders>
            <w:vAlign w:val="center"/>
          </w:tcPr>
          <w:p w14:paraId="5CE219E6">
            <w:pPr>
              <w:widowControl/>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计量单位</w:t>
            </w:r>
          </w:p>
        </w:tc>
        <w:tc>
          <w:tcPr>
            <w:tcW w:w="962" w:type="pct"/>
            <w:tcBorders>
              <w:top w:val="single" w:color="auto" w:sz="12" w:space="0"/>
              <w:left w:val="single" w:color="auto" w:sz="4" w:space="0"/>
              <w:bottom w:val="single" w:color="auto" w:sz="4" w:space="0"/>
              <w:right w:val="single" w:color="auto" w:sz="4" w:space="0"/>
            </w:tcBorders>
            <w:vAlign w:val="center"/>
          </w:tcPr>
          <w:p w14:paraId="69086CAF">
            <w:pPr>
              <w:widowControl/>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中型</w:t>
            </w:r>
          </w:p>
        </w:tc>
        <w:tc>
          <w:tcPr>
            <w:tcW w:w="902" w:type="pct"/>
            <w:tcBorders>
              <w:top w:val="single" w:color="auto" w:sz="12" w:space="0"/>
              <w:left w:val="single" w:color="auto" w:sz="4" w:space="0"/>
              <w:bottom w:val="single" w:color="auto" w:sz="4" w:space="0"/>
              <w:right w:val="single" w:color="auto" w:sz="4" w:space="0"/>
            </w:tcBorders>
            <w:vAlign w:val="center"/>
          </w:tcPr>
          <w:p w14:paraId="033E7781">
            <w:pPr>
              <w:widowControl/>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小型</w:t>
            </w:r>
          </w:p>
        </w:tc>
        <w:tc>
          <w:tcPr>
            <w:tcW w:w="578" w:type="pct"/>
            <w:tcBorders>
              <w:top w:val="single" w:color="auto" w:sz="12" w:space="0"/>
              <w:left w:val="single" w:color="auto" w:sz="4" w:space="0"/>
              <w:bottom w:val="single" w:color="auto" w:sz="4" w:space="0"/>
              <w:right w:val="single" w:color="auto" w:sz="12" w:space="0"/>
            </w:tcBorders>
            <w:vAlign w:val="center"/>
          </w:tcPr>
          <w:p w14:paraId="0E7B41FE">
            <w:pPr>
              <w:widowControl/>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微型</w:t>
            </w:r>
          </w:p>
        </w:tc>
      </w:tr>
      <w:tr w14:paraId="5FFACD32">
        <w:tblPrEx>
          <w:tblCellMar>
            <w:top w:w="0" w:type="dxa"/>
            <w:left w:w="108" w:type="dxa"/>
            <w:bottom w:w="0" w:type="dxa"/>
            <w:right w:w="108" w:type="dxa"/>
          </w:tblCellMar>
        </w:tblPrEx>
        <w:trPr>
          <w:trHeight w:val="374" w:hRule="atLeast"/>
        </w:trPr>
        <w:tc>
          <w:tcPr>
            <w:tcW w:w="977" w:type="pct"/>
            <w:tcBorders>
              <w:top w:val="single" w:color="auto" w:sz="4" w:space="0"/>
              <w:left w:val="single" w:color="auto" w:sz="12" w:space="0"/>
              <w:bottom w:val="single" w:color="auto" w:sz="4" w:space="0"/>
              <w:right w:val="single" w:color="auto" w:sz="4" w:space="0"/>
            </w:tcBorders>
            <w:vAlign w:val="center"/>
          </w:tcPr>
          <w:p w14:paraId="65494C27">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农、林、牧、渔</w:t>
            </w:r>
          </w:p>
        </w:tc>
        <w:tc>
          <w:tcPr>
            <w:tcW w:w="905" w:type="pct"/>
            <w:tcBorders>
              <w:top w:val="single" w:color="auto" w:sz="4" w:space="0"/>
              <w:left w:val="single" w:color="auto" w:sz="4" w:space="0"/>
              <w:bottom w:val="single" w:color="auto" w:sz="4" w:space="0"/>
              <w:right w:val="single" w:color="auto" w:sz="4" w:space="0"/>
            </w:tcBorders>
            <w:vAlign w:val="center"/>
          </w:tcPr>
          <w:p w14:paraId="47FB58F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673" w:type="pct"/>
            <w:tcBorders>
              <w:top w:val="single" w:color="auto" w:sz="4" w:space="0"/>
              <w:left w:val="single" w:color="auto" w:sz="4" w:space="0"/>
              <w:bottom w:val="single" w:color="auto" w:sz="4" w:space="0"/>
              <w:right w:val="single" w:color="auto" w:sz="4" w:space="0"/>
            </w:tcBorders>
            <w:vAlign w:val="center"/>
          </w:tcPr>
          <w:p w14:paraId="1090218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0462AA7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500≤Y＜20000</w:t>
            </w:r>
          </w:p>
        </w:tc>
        <w:tc>
          <w:tcPr>
            <w:tcW w:w="902" w:type="pct"/>
            <w:tcBorders>
              <w:top w:val="single" w:color="auto" w:sz="4" w:space="0"/>
              <w:left w:val="single" w:color="auto" w:sz="4" w:space="0"/>
              <w:bottom w:val="single" w:color="auto" w:sz="4" w:space="0"/>
              <w:right w:val="single" w:color="auto" w:sz="4" w:space="0"/>
            </w:tcBorders>
            <w:vAlign w:val="center"/>
          </w:tcPr>
          <w:p w14:paraId="58330F3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50≤Y＜500</w:t>
            </w:r>
          </w:p>
        </w:tc>
        <w:tc>
          <w:tcPr>
            <w:tcW w:w="578" w:type="pct"/>
            <w:tcBorders>
              <w:top w:val="single" w:color="auto" w:sz="4" w:space="0"/>
              <w:left w:val="single" w:color="auto" w:sz="4" w:space="0"/>
              <w:bottom w:val="single" w:color="auto" w:sz="4" w:space="0"/>
              <w:right w:val="single" w:color="auto" w:sz="12" w:space="0"/>
            </w:tcBorders>
            <w:vAlign w:val="center"/>
          </w:tcPr>
          <w:p w14:paraId="39DCA03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Y＜50</w:t>
            </w:r>
          </w:p>
        </w:tc>
      </w:tr>
      <w:tr w14:paraId="00361427">
        <w:tblPrEx>
          <w:tblCellMar>
            <w:top w:w="0" w:type="dxa"/>
            <w:left w:w="108" w:type="dxa"/>
            <w:bottom w:w="0" w:type="dxa"/>
            <w:right w:w="108" w:type="dxa"/>
          </w:tblCellMar>
        </w:tblPrEx>
        <w:trPr>
          <w:trHeight w:val="374" w:hRule="atLeast"/>
        </w:trPr>
        <w:tc>
          <w:tcPr>
            <w:tcW w:w="977" w:type="pct"/>
            <w:vMerge w:val="restart"/>
            <w:tcBorders>
              <w:top w:val="single" w:color="auto" w:sz="4" w:space="0"/>
              <w:left w:val="single" w:color="auto" w:sz="12" w:space="0"/>
              <w:bottom w:val="single" w:color="auto" w:sz="4" w:space="0"/>
              <w:right w:val="single" w:color="auto" w:sz="4" w:space="0"/>
            </w:tcBorders>
            <w:vAlign w:val="center"/>
          </w:tcPr>
          <w:p w14:paraId="339EDCFE">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工业</w:t>
            </w:r>
          </w:p>
        </w:tc>
        <w:tc>
          <w:tcPr>
            <w:tcW w:w="905" w:type="pct"/>
            <w:tcBorders>
              <w:top w:val="single" w:color="auto" w:sz="4" w:space="0"/>
              <w:left w:val="single" w:color="auto" w:sz="4" w:space="0"/>
              <w:bottom w:val="single" w:color="auto" w:sz="4" w:space="0"/>
              <w:right w:val="single" w:color="auto" w:sz="4" w:space="0"/>
            </w:tcBorders>
            <w:vAlign w:val="center"/>
          </w:tcPr>
          <w:p w14:paraId="7090D05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673" w:type="pct"/>
            <w:tcBorders>
              <w:top w:val="single" w:color="auto" w:sz="4" w:space="0"/>
              <w:left w:val="single" w:color="auto" w:sz="4" w:space="0"/>
              <w:bottom w:val="single" w:color="auto" w:sz="4" w:space="0"/>
              <w:right w:val="single" w:color="auto" w:sz="4" w:space="0"/>
            </w:tcBorders>
            <w:vAlign w:val="center"/>
          </w:tcPr>
          <w:p w14:paraId="7E95922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962" w:type="pct"/>
            <w:tcBorders>
              <w:top w:val="single" w:color="auto" w:sz="4" w:space="0"/>
              <w:left w:val="single" w:color="auto" w:sz="4" w:space="0"/>
              <w:bottom w:val="single" w:color="auto" w:sz="4" w:space="0"/>
              <w:right w:val="single" w:color="auto" w:sz="4" w:space="0"/>
            </w:tcBorders>
            <w:vAlign w:val="center"/>
          </w:tcPr>
          <w:p w14:paraId="4B15392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300≤X＜1000</w:t>
            </w:r>
          </w:p>
        </w:tc>
        <w:tc>
          <w:tcPr>
            <w:tcW w:w="902" w:type="pct"/>
            <w:tcBorders>
              <w:top w:val="single" w:color="auto" w:sz="4" w:space="0"/>
              <w:left w:val="single" w:color="auto" w:sz="4" w:space="0"/>
              <w:bottom w:val="single" w:color="auto" w:sz="4" w:space="0"/>
              <w:right w:val="single" w:color="auto" w:sz="4" w:space="0"/>
            </w:tcBorders>
            <w:vAlign w:val="center"/>
          </w:tcPr>
          <w:p w14:paraId="083DD28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20≤X＜300</w:t>
            </w:r>
          </w:p>
        </w:tc>
        <w:tc>
          <w:tcPr>
            <w:tcW w:w="578" w:type="pct"/>
            <w:tcBorders>
              <w:top w:val="single" w:color="auto" w:sz="4" w:space="0"/>
              <w:left w:val="single" w:color="auto" w:sz="4" w:space="0"/>
              <w:bottom w:val="single" w:color="auto" w:sz="4" w:space="0"/>
              <w:right w:val="single" w:color="auto" w:sz="12" w:space="0"/>
            </w:tcBorders>
            <w:vAlign w:val="center"/>
          </w:tcPr>
          <w:p w14:paraId="46C149B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X＜20</w:t>
            </w:r>
          </w:p>
        </w:tc>
      </w:tr>
      <w:tr w14:paraId="3B3E413D">
        <w:tblPrEx>
          <w:tblCellMar>
            <w:top w:w="0" w:type="dxa"/>
            <w:left w:w="108" w:type="dxa"/>
            <w:bottom w:w="0" w:type="dxa"/>
            <w:right w:w="108" w:type="dxa"/>
          </w:tblCellMar>
        </w:tblPrEx>
        <w:trPr>
          <w:trHeight w:val="374" w:hRule="atLeast"/>
        </w:trPr>
        <w:tc>
          <w:tcPr>
            <w:tcW w:w="977" w:type="pct"/>
            <w:vMerge w:val="continue"/>
            <w:tcBorders>
              <w:top w:val="single" w:color="auto" w:sz="4" w:space="0"/>
              <w:left w:val="single" w:color="auto" w:sz="12" w:space="0"/>
              <w:bottom w:val="single" w:color="auto" w:sz="4" w:space="0"/>
              <w:right w:val="single" w:color="auto" w:sz="4" w:space="0"/>
            </w:tcBorders>
            <w:vAlign w:val="center"/>
          </w:tcPr>
          <w:p w14:paraId="35AFDCC2">
            <w:pPr>
              <w:widowControl/>
              <w:jc w:val="center"/>
              <w:rPr>
                <w:rFonts w:ascii="宋体" w:hAnsi="宋体" w:cs="宋体"/>
                <w:b/>
                <w:bCs/>
                <w:color w:val="auto"/>
                <w:kern w:val="0"/>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vAlign w:val="center"/>
          </w:tcPr>
          <w:p w14:paraId="36B4C7F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673" w:type="pct"/>
            <w:tcBorders>
              <w:top w:val="single" w:color="auto" w:sz="4" w:space="0"/>
              <w:left w:val="single" w:color="auto" w:sz="4" w:space="0"/>
              <w:bottom w:val="single" w:color="auto" w:sz="4" w:space="0"/>
              <w:right w:val="single" w:color="auto" w:sz="4" w:space="0"/>
            </w:tcBorders>
            <w:vAlign w:val="center"/>
          </w:tcPr>
          <w:p w14:paraId="5068D7A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6126EC7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2000≤Y＜40000</w:t>
            </w:r>
          </w:p>
        </w:tc>
        <w:tc>
          <w:tcPr>
            <w:tcW w:w="902" w:type="pct"/>
            <w:tcBorders>
              <w:top w:val="single" w:color="auto" w:sz="4" w:space="0"/>
              <w:left w:val="single" w:color="auto" w:sz="4" w:space="0"/>
              <w:bottom w:val="single" w:color="auto" w:sz="4" w:space="0"/>
              <w:right w:val="single" w:color="auto" w:sz="4" w:space="0"/>
            </w:tcBorders>
            <w:vAlign w:val="center"/>
          </w:tcPr>
          <w:p w14:paraId="2D4ADBF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300≤Y＜2000</w:t>
            </w:r>
          </w:p>
        </w:tc>
        <w:tc>
          <w:tcPr>
            <w:tcW w:w="578" w:type="pct"/>
            <w:tcBorders>
              <w:top w:val="single" w:color="auto" w:sz="4" w:space="0"/>
              <w:left w:val="single" w:color="auto" w:sz="4" w:space="0"/>
              <w:bottom w:val="single" w:color="auto" w:sz="4" w:space="0"/>
              <w:right w:val="single" w:color="auto" w:sz="12" w:space="0"/>
            </w:tcBorders>
            <w:vAlign w:val="center"/>
          </w:tcPr>
          <w:p w14:paraId="2BE6405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Y＜300</w:t>
            </w:r>
          </w:p>
        </w:tc>
      </w:tr>
      <w:tr w14:paraId="7B31FCE8">
        <w:tblPrEx>
          <w:tblCellMar>
            <w:top w:w="0" w:type="dxa"/>
            <w:left w:w="108" w:type="dxa"/>
            <w:bottom w:w="0" w:type="dxa"/>
            <w:right w:w="108" w:type="dxa"/>
          </w:tblCellMar>
        </w:tblPrEx>
        <w:trPr>
          <w:trHeight w:val="374" w:hRule="atLeast"/>
        </w:trPr>
        <w:tc>
          <w:tcPr>
            <w:tcW w:w="977" w:type="pct"/>
            <w:vMerge w:val="restart"/>
            <w:tcBorders>
              <w:top w:val="single" w:color="auto" w:sz="4" w:space="0"/>
              <w:left w:val="single" w:color="auto" w:sz="12" w:space="0"/>
              <w:bottom w:val="single" w:color="auto" w:sz="4" w:space="0"/>
              <w:right w:val="single" w:color="auto" w:sz="4" w:space="0"/>
            </w:tcBorders>
            <w:vAlign w:val="center"/>
          </w:tcPr>
          <w:p w14:paraId="5E598485">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建筑业</w:t>
            </w:r>
          </w:p>
        </w:tc>
        <w:tc>
          <w:tcPr>
            <w:tcW w:w="905" w:type="pct"/>
            <w:tcBorders>
              <w:top w:val="single" w:color="auto" w:sz="4" w:space="0"/>
              <w:left w:val="single" w:color="auto" w:sz="4" w:space="0"/>
              <w:bottom w:val="single" w:color="auto" w:sz="4" w:space="0"/>
              <w:right w:val="single" w:color="auto" w:sz="4" w:space="0"/>
            </w:tcBorders>
            <w:vAlign w:val="center"/>
          </w:tcPr>
          <w:p w14:paraId="2B3DC77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673" w:type="pct"/>
            <w:tcBorders>
              <w:top w:val="single" w:color="auto" w:sz="4" w:space="0"/>
              <w:left w:val="single" w:color="auto" w:sz="4" w:space="0"/>
              <w:bottom w:val="single" w:color="auto" w:sz="4" w:space="0"/>
              <w:right w:val="single" w:color="auto" w:sz="4" w:space="0"/>
            </w:tcBorders>
            <w:vAlign w:val="center"/>
          </w:tcPr>
          <w:p w14:paraId="7C1A28A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129745C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6000≤Y＜80000</w:t>
            </w:r>
          </w:p>
        </w:tc>
        <w:tc>
          <w:tcPr>
            <w:tcW w:w="902" w:type="pct"/>
            <w:tcBorders>
              <w:top w:val="single" w:color="auto" w:sz="4" w:space="0"/>
              <w:left w:val="single" w:color="auto" w:sz="4" w:space="0"/>
              <w:bottom w:val="single" w:color="auto" w:sz="4" w:space="0"/>
              <w:right w:val="single" w:color="auto" w:sz="4" w:space="0"/>
            </w:tcBorders>
            <w:vAlign w:val="center"/>
          </w:tcPr>
          <w:p w14:paraId="505C770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300≤Y＜6000</w:t>
            </w:r>
          </w:p>
        </w:tc>
        <w:tc>
          <w:tcPr>
            <w:tcW w:w="578" w:type="pct"/>
            <w:tcBorders>
              <w:top w:val="single" w:color="auto" w:sz="4" w:space="0"/>
              <w:left w:val="single" w:color="auto" w:sz="4" w:space="0"/>
              <w:bottom w:val="single" w:color="auto" w:sz="4" w:space="0"/>
              <w:right w:val="single" w:color="auto" w:sz="12" w:space="0"/>
            </w:tcBorders>
            <w:vAlign w:val="center"/>
          </w:tcPr>
          <w:p w14:paraId="064E0C1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Y＜300</w:t>
            </w:r>
          </w:p>
        </w:tc>
      </w:tr>
      <w:tr w14:paraId="6C05414A">
        <w:tblPrEx>
          <w:tblCellMar>
            <w:top w:w="0" w:type="dxa"/>
            <w:left w:w="108" w:type="dxa"/>
            <w:bottom w:w="0" w:type="dxa"/>
            <w:right w:w="108" w:type="dxa"/>
          </w:tblCellMar>
        </w:tblPrEx>
        <w:trPr>
          <w:trHeight w:val="374" w:hRule="atLeast"/>
        </w:trPr>
        <w:tc>
          <w:tcPr>
            <w:tcW w:w="977" w:type="pct"/>
            <w:vMerge w:val="continue"/>
            <w:tcBorders>
              <w:top w:val="single" w:color="auto" w:sz="4" w:space="0"/>
              <w:left w:val="single" w:color="auto" w:sz="12" w:space="0"/>
              <w:bottom w:val="single" w:color="auto" w:sz="4" w:space="0"/>
              <w:right w:val="single" w:color="auto" w:sz="4" w:space="0"/>
            </w:tcBorders>
            <w:vAlign w:val="center"/>
          </w:tcPr>
          <w:p w14:paraId="47C03F7A">
            <w:pPr>
              <w:widowControl/>
              <w:jc w:val="center"/>
              <w:rPr>
                <w:rFonts w:ascii="宋体" w:hAnsi="宋体" w:cs="宋体"/>
                <w:b/>
                <w:bCs/>
                <w:color w:val="auto"/>
                <w:kern w:val="0"/>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vAlign w:val="center"/>
          </w:tcPr>
          <w:p w14:paraId="354FF41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资产总额（Z）</w:t>
            </w:r>
          </w:p>
        </w:tc>
        <w:tc>
          <w:tcPr>
            <w:tcW w:w="673" w:type="pct"/>
            <w:tcBorders>
              <w:top w:val="single" w:color="auto" w:sz="4" w:space="0"/>
              <w:left w:val="single" w:color="auto" w:sz="4" w:space="0"/>
              <w:bottom w:val="single" w:color="auto" w:sz="4" w:space="0"/>
              <w:right w:val="single" w:color="auto" w:sz="4" w:space="0"/>
            </w:tcBorders>
            <w:vAlign w:val="center"/>
          </w:tcPr>
          <w:p w14:paraId="5753650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35588FF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5000≤Z＜80000</w:t>
            </w:r>
          </w:p>
        </w:tc>
        <w:tc>
          <w:tcPr>
            <w:tcW w:w="902" w:type="pct"/>
            <w:tcBorders>
              <w:top w:val="single" w:color="auto" w:sz="4" w:space="0"/>
              <w:left w:val="single" w:color="auto" w:sz="4" w:space="0"/>
              <w:bottom w:val="single" w:color="auto" w:sz="4" w:space="0"/>
              <w:right w:val="single" w:color="auto" w:sz="4" w:space="0"/>
            </w:tcBorders>
            <w:vAlign w:val="center"/>
          </w:tcPr>
          <w:p w14:paraId="2198EF2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300≤Z＜5000</w:t>
            </w:r>
          </w:p>
        </w:tc>
        <w:tc>
          <w:tcPr>
            <w:tcW w:w="578" w:type="pct"/>
            <w:tcBorders>
              <w:top w:val="single" w:color="auto" w:sz="4" w:space="0"/>
              <w:left w:val="single" w:color="auto" w:sz="4" w:space="0"/>
              <w:bottom w:val="single" w:color="auto" w:sz="4" w:space="0"/>
              <w:right w:val="single" w:color="auto" w:sz="12" w:space="0"/>
            </w:tcBorders>
            <w:vAlign w:val="center"/>
          </w:tcPr>
          <w:p w14:paraId="031C340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Z＜300</w:t>
            </w:r>
          </w:p>
        </w:tc>
      </w:tr>
      <w:tr w14:paraId="38983EB0">
        <w:tblPrEx>
          <w:tblCellMar>
            <w:top w:w="0" w:type="dxa"/>
            <w:left w:w="108" w:type="dxa"/>
            <w:bottom w:w="0" w:type="dxa"/>
            <w:right w:w="108" w:type="dxa"/>
          </w:tblCellMar>
        </w:tblPrEx>
        <w:trPr>
          <w:trHeight w:val="374" w:hRule="atLeast"/>
        </w:trPr>
        <w:tc>
          <w:tcPr>
            <w:tcW w:w="977" w:type="pct"/>
            <w:vMerge w:val="restart"/>
            <w:tcBorders>
              <w:top w:val="single" w:color="auto" w:sz="4" w:space="0"/>
              <w:left w:val="single" w:color="auto" w:sz="12" w:space="0"/>
              <w:bottom w:val="single" w:color="auto" w:sz="4" w:space="0"/>
              <w:right w:val="single" w:color="auto" w:sz="4" w:space="0"/>
            </w:tcBorders>
            <w:vAlign w:val="center"/>
          </w:tcPr>
          <w:p w14:paraId="20A6B60A">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批发业</w:t>
            </w:r>
          </w:p>
        </w:tc>
        <w:tc>
          <w:tcPr>
            <w:tcW w:w="905" w:type="pct"/>
            <w:tcBorders>
              <w:top w:val="single" w:color="auto" w:sz="4" w:space="0"/>
              <w:left w:val="single" w:color="auto" w:sz="4" w:space="0"/>
              <w:bottom w:val="single" w:color="auto" w:sz="4" w:space="0"/>
              <w:right w:val="single" w:color="auto" w:sz="4" w:space="0"/>
            </w:tcBorders>
            <w:vAlign w:val="center"/>
          </w:tcPr>
          <w:p w14:paraId="36A2554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673" w:type="pct"/>
            <w:tcBorders>
              <w:top w:val="single" w:color="auto" w:sz="4" w:space="0"/>
              <w:left w:val="single" w:color="auto" w:sz="4" w:space="0"/>
              <w:bottom w:val="single" w:color="auto" w:sz="4" w:space="0"/>
              <w:right w:val="single" w:color="auto" w:sz="4" w:space="0"/>
            </w:tcBorders>
            <w:vAlign w:val="center"/>
          </w:tcPr>
          <w:p w14:paraId="0CAF699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962" w:type="pct"/>
            <w:tcBorders>
              <w:top w:val="single" w:color="auto" w:sz="4" w:space="0"/>
              <w:left w:val="single" w:color="auto" w:sz="4" w:space="0"/>
              <w:bottom w:val="single" w:color="auto" w:sz="4" w:space="0"/>
              <w:right w:val="single" w:color="auto" w:sz="4" w:space="0"/>
            </w:tcBorders>
            <w:vAlign w:val="center"/>
          </w:tcPr>
          <w:p w14:paraId="407311B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20≤X＜200</w:t>
            </w:r>
          </w:p>
        </w:tc>
        <w:tc>
          <w:tcPr>
            <w:tcW w:w="902" w:type="pct"/>
            <w:tcBorders>
              <w:top w:val="single" w:color="auto" w:sz="4" w:space="0"/>
              <w:left w:val="single" w:color="auto" w:sz="4" w:space="0"/>
              <w:bottom w:val="single" w:color="auto" w:sz="4" w:space="0"/>
              <w:right w:val="single" w:color="auto" w:sz="4" w:space="0"/>
            </w:tcBorders>
            <w:vAlign w:val="center"/>
          </w:tcPr>
          <w:p w14:paraId="197C3C8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5≤X＜20</w:t>
            </w:r>
          </w:p>
        </w:tc>
        <w:tc>
          <w:tcPr>
            <w:tcW w:w="578" w:type="pct"/>
            <w:tcBorders>
              <w:top w:val="single" w:color="auto" w:sz="4" w:space="0"/>
              <w:left w:val="single" w:color="auto" w:sz="4" w:space="0"/>
              <w:bottom w:val="single" w:color="auto" w:sz="4" w:space="0"/>
              <w:right w:val="single" w:color="auto" w:sz="12" w:space="0"/>
            </w:tcBorders>
            <w:vAlign w:val="center"/>
          </w:tcPr>
          <w:p w14:paraId="4E29E73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X＜5</w:t>
            </w:r>
          </w:p>
        </w:tc>
      </w:tr>
      <w:tr w14:paraId="3833EC31">
        <w:tblPrEx>
          <w:tblCellMar>
            <w:top w:w="0" w:type="dxa"/>
            <w:left w:w="108" w:type="dxa"/>
            <w:bottom w:w="0" w:type="dxa"/>
            <w:right w:w="108" w:type="dxa"/>
          </w:tblCellMar>
        </w:tblPrEx>
        <w:trPr>
          <w:trHeight w:val="374" w:hRule="atLeast"/>
        </w:trPr>
        <w:tc>
          <w:tcPr>
            <w:tcW w:w="977" w:type="pct"/>
            <w:vMerge w:val="continue"/>
            <w:tcBorders>
              <w:top w:val="single" w:color="auto" w:sz="4" w:space="0"/>
              <w:left w:val="single" w:color="auto" w:sz="12" w:space="0"/>
              <w:bottom w:val="single" w:color="auto" w:sz="4" w:space="0"/>
              <w:right w:val="single" w:color="auto" w:sz="4" w:space="0"/>
            </w:tcBorders>
            <w:vAlign w:val="center"/>
          </w:tcPr>
          <w:p w14:paraId="43A9BCA1">
            <w:pPr>
              <w:widowControl/>
              <w:jc w:val="center"/>
              <w:rPr>
                <w:rFonts w:ascii="宋体" w:hAnsi="宋体" w:cs="宋体"/>
                <w:b/>
                <w:bCs/>
                <w:color w:val="auto"/>
                <w:kern w:val="0"/>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vAlign w:val="center"/>
          </w:tcPr>
          <w:p w14:paraId="61B64C6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673" w:type="pct"/>
            <w:tcBorders>
              <w:top w:val="single" w:color="auto" w:sz="4" w:space="0"/>
              <w:left w:val="single" w:color="auto" w:sz="4" w:space="0"/>
              <w:bottom w:val="single" w:color="auto" w:sz="4" w:space="0"/>
              <w:right w:val="single" w:color="auto" w:sz="4" w:space="0"/>
            </w:tcBorders>
            <w:vAlign w:val="center"/>
          </w:tcPr>
          <w:p w14:paraId="299DABB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20D149F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5000≤Y＜40000</w:t>
            </w:r>
          </w:p>
        </w:tc>
        <w:tc>
          <w:tcPr>
            <w:tcW w:w="902" w:type="pct"/>
            <w:tcBorders>
              <w:top w:val="single" w:color="auto" w:sz="4" w:space="0"/>
              <w:left w:val="single" w:color="auto" w:sz="4" w:space="0"/>
              <w:bottom w:val="single" w:color="auto" w:sz="4" w:space="0"/>
              <w:right w:val="single" w:color="auto" w:sz="4" w:space="0"/>
            </w:tcBorders>
            <w:vAlign w:val="center"/>
          </w:tcPr>
          <w:p w14:paraId="180F9BA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1000≤Y＜5000</w:t>
            </w:r>
          </w:p>
        </w:tc>
        <w:tc>
          <w:tcPr>
            <w:tcW w:w="578" w:type="pct"/>
            <w:tcBorders>
              <w:top w:val="single" w:color="auto" w:sz="4" w:space="0"/>
              <w:left w:val="single" w:color="auto" w:sz="4" w:space="0"/>
              <w:bottom w:val="single" w:color="auto" w:sz="4" w:space="0"/>
              <w:right w:val="single" w:color="auto" w:sz="12" w:space="0"/>
            </w:tcBorders>
            <w:vAlign w:val="center"/>
          </w:tcPr>
          <w:p w14:paraId="29D3AA2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Y＜1000</w:t>
            </w:r>
          </w:p>
        </w:tc>
      </w:tr>
      <w:tr w14:paraId="79E7744F">
        <w:tblPrEx>
          <w:tblCellMar>
            <w:top w:w="0" w:type="dxa"/>
            <w:left w:w="108" w:type="dxa"/>
            <w:bottom w:w="0" w:type="dxa"/>
            <w:right w:w="108" w:type="dxa"/>
          </w:tblCellMar>
        </w:tblPrEx>
        <w:trPr>
          <w:trHeight w:val="374" w:hRule="atLeast"/>
        </w:trPr>
        <w:tc>
          <w:tcPr>
            <w:tcW w:w="977" w:type="pct"/>
            <w:vMerge w:val="restart"/>
            <w:tcBorders>
              <w:top w:val="single" w:color="auto" w:sz="4" w:space="0"/>
              <w:left w:val="single" w:color="auto" w:sz="12" w:space="0"/>
              <w:bottom w:val="single" w:color="auto" w:sz="4" w:space="0"/>
              <w:right w:val="single" w:color="auto" w:sz="4" w:space="0"/>
            </w:tcBorders>
            <w:vAlign w:val="center"/>
          </w:tcPr>
          <w:p w14:paraId="3AF8F2F6">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零售业</w:t>
            </w:r>
          </w:p>
        </w:tc>
        <w:tc>
          <w:tcPr>
            <w:tcW w:w="905" w:type="pct"/>
            <w:tcBorders>
              <w:top w:val="single" w:color="auto" w:sz="4" w:space="0"/>
              <w:left w:val="single" w:color="auto" w:sz="4" w:space="0"/>
              <w:bottom w:val="single" w:color="auto" w:sz="4" w:space="0"/>
              <w:right w:val="single" w:color="auto" w:sz="4" w:space="0"/>
            </w:tcBorders>
            <w:vAlign w:val="center"/>
          </w:tcPr>
          <w:p w14:paraId="7B8D951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673" w:type="pct"/>
            <w:tcBorders>
              <w:top w:val="single" w:color="auto" w:sz="4" w:space="0"/>
              <w:left w:val="single" w:color="auto" w:sz="4" w:space="0"/>
              <w:bottom w:val="single" w:color="auto" w:sz="4" w:space="0"/>
              <w:right w:val="single" w:color="auto" w:sz="4" w:space="0"/>
            </w:tcBorders>
            <w:vAlign w:val="center"/>
          </w:tcPr>
          <w:p w14:paraId="019C94E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962" w:type="pct"/>
            <w:tcBorders>
              <w:top w:val="single" w:color="auto" w:sz="4" w:space="0"/>
              <w:left w:val="single" w:color="auto" w:sz="4" w:space="0"/>
              <w:bottom w:val="single" w:color="auto" w:sz="4" w:space="0"/>
              <w:right w:val="single" w:color="auto" w:sz="4" w:space="0"/>
            </w:tcBorders>
            <w:vAlign w:val="center"/>
          </w:tcPr>
          <w:p w14:paraId="6F083E3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50≤X＜300</w:t>
            </w:r>
          </w:p>
        </w:tc>
        <w:tc>
          <w:tcPr>
            <w:tcW w:w="902" w:type="pct"/>
            <w:tcBorders>
              <w:top w:val="single" w:color="auto" w:sz="4" w:space="0"/>
              <w:left w:val="single" w:color="auto" w:sz="4" w:space="0"/>
              <w:bottom w:val="single" w:color="auto" w:sz="4" w:space="0"/>
              <w:right w:val="single" w:color="auto" w:sz="4" w:space="0"/>
            </w:tcBorders>
            <w:vAlign w:val="center"/>
          </w:tcPr>
          <w:p w14:paraId="2A4708C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10≤X＜50</w:t>
            </w:r>
          </w:p>
        </w:tc>
        <w:tc>
          <w:tcPr>
            <w:tcW w:w="578" w:type="pct"/>
            <w:tcBorders>
              <w:top w:val="single" w:color="auto" w:sz="4" w:space="0"/>
              <w:left w:val="single" w:color="auto" w:sz="4" w:space="0"/>
              <w:bottom w:val="single" w:color="auto" w:sz="4" w:space="0"/>
              <w:right w:val="single" w:color="auto" w:sz="12" w:space="0"/>
            </w:tcBorders>
            <w:vAlign w:val="center"/>
          </w:tcPr>
          <w:p w14:paraId="0228FFB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r>
      <w:tr w14:paraId="2019DFC5">
        <w:tblPrEx>
          <w:tblCellMar>
            <w:top w:w="0" w:type="dxa"/>
            <w:left w:w="108" w:type="dxa"/>
            <w:bottom w:w="0" w:type="dxa"/>
            <w:right w:w="108" w:type="dxa"/>
          </w:tblCellMar>
        </w:tblPrEx>
        <w:trPr>
          <w:trHeight w:val="374" w:hRule="atLeast"/>
        </w:trPr>
        <w:tc>
          <w:tcPr>
            <w:tcW w:w="977" w:type="pct"/>
            <w:vMerge w:val="continue"/>
            <w:tcBorders>
              <w:top w:val="single" w:color="auto" w:sz="4" w:space="0"/>
              <w:left w:val="single" w:color="auto" w:sz="12" w:space="0"/>
              <w:bottom w:val="single" w:color="auto" w:sz="4" w:space="0"/>
              <w:right w:val="single" w:color="auto" w:sz="4" w:space="0"/>
            </w:tcBorders>
            <w:vAlign w:val="center"/>
          </w:tcPr>
          <w:p w14:paraId="3F65F090">
            <w:pPr>
              <w:widowControl/>
              <w:jc w:val="center"/>
              <w:rPr>
                <w:rFonts w:ascii="宋体" w:hAnsi="宋体" w:cs="宋体"/>
                <w:b/>
                <w:bCs/>
                <w:color w:val="auto"/>
                <w:kern w:val="0"/>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vAlign w:val="center"/>
          </w:tcPr>
          <w:p w14:paraId="44CAAA7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673" w:type="pct"/>
            <w:tcBorders>
              <w:top w:val="single" w:color="auto" w:sz="4" w:space="0"/>
              <w:left w:val="single" w:color="auto" w:sz="4" w:space="0"/>
              <w:bottom w:val="single" w:color="auto" w:sz="4" w:space="0"/>
              <w:right w:val="single" w:color="auto" w:sz="4" w:space="0"/>
            </w:tcBorders>
            <w:vAlign w:val="center"/>
          </w:tcPr>
          <w:p w14:paraId="2DF97AA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56E25A9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500≤Y＜20000</w:t>
            </w:r>
          </w:p>
        </w:tc>
        <w:tc>
          <w:tcPr>
            <w:tcW w:w="902" w:type="pct"/>
            <w:tcBorders>
              <w:top w:val="single" w:color="auto" w:sz="4" w:space="0"/>
              <w:left w:val="single" w:color="auto" w:sz="4" w:space="0"/>
              <w:bottom w:val="single" w:color="auto" w:sz="4" w:space="0"/>
              <w:right w:val="single" w:color="auto" w:sz="4" w:space="0"/>
            </w:tcBorders>
            <w:vAlign w:val="center"/>
          </w:tcPr>
          <w:p w14:paraId="44B92B9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100≤Y＜500</w:t>
            </w:r>
          </w:p>
        </w:tc>
        <w:tc>
          <w:tcPr>
            <w:tcW w:w="578" w:type="pct"/>
            <w:tcBorders>
              <w:top w:val="single" w:color="auto" w:sz="4" w:space="0"/>
              <w:left w:val="single" w:color="auto" w:sz="4" w:space="0"/>
              <w:bottom w:val="single" w:color="auto" w:sz="4" w:space="0"/>
              <w:right w:val="single" w:color="auto" w:sz="12" w:space="0"/>
            </w:tcBorders>
            <w:vAlign w:val="center"/>
          </w:tcPr>
          <w:p w14:paraId="0ECB160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r>
      <w:tr w14:paraId="35771E8D">
        <w:tblPrEx>
          <w:tblCellMar>
            <w:top w:w="0" w:type="dxa"/>
            <w:left w:w="108" w:type="dxa"/>
            <w:bottom w:w="0" w:type="dxa"/>
            <w:right w:w="108" w:type="dxa"/>
          </w:tblCellMar>
        </w:tblPrEx>
        <w:trPr>
          <w:trHeight w:val="374" w:hRule="atLeast"/>
        </w:trPr>
        <w:tc>
          <w:tcPr>
            <w:tcW w:w="977" w:type="pct"/>
            <w:vMerge w:val="restart"/>
            <w:tcBorders>
              <w:top w:val="single" w:color="auto" w:sz="4" w:space="0"/>
              <w:left w:val="single" w:color="auto" w:sz="12" w:space="0"/>
              <w:bottom w:val="single" w:color="auto" w:sz="4" w:space="0"/>
              <w:right w:val="single" w:color="auto" w:sz="4" w:space="0"/>
            </w:tcBorders>
            <w:vAlign w:val="center"/>
          </w:tcPr>
          <w:p w14:paraId="1BAA4363">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交通运输业</w:t>
            </w:r>
          </w:p>
        </w:tc>
        <w:tc>
          <w:tcPr>
            <w:tcW w:w="905" w:type="pct"/>
            <w:tcBorders>
              <w:top w:val="single" w:color="auto" w:sz="4" w:space="0"/>
              <w:left w:val="single" w:color="auto" w:sz="4" w:space="0"/>
              <w:bottom w:val="single" w:color="auto" w:sz="4" w:space="0"/>
              <w:right w:val="single" w:color="auto" w:sz="4" w:space="0"/>
            </w:tcBorders>
            <w:vAlign w:val="center"/>
          </w:tcPr>
          <w:p w14:paraId="6DE7F6F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673" w:type="pct"/>
            <w:tcBorders>
              <w:top w:val="single" w:color="auto" w:sz="4" w:space="0"/>
              <w:left w:val="single" w:color="auto" w:sz="4" w:space="0"/>
              <w:bottom w:val="single" w:color="auto" w:sz="4" w:space="0"/>
              <w:right w:val="single" w:color="auto" w:sz="4" w:space="0"/>
            </w:tcBorders>
            <w:vAlign w:val="center"/>
          </w:tcPr>
          <w:p w14:paraId="76FB59C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962" w:type="pct"/>
            <w:tcBorders>
              <w:top w:val="single" w:color="auto" w:sz="4" w:space="0"/>
              <w:left w:val="single" w:color="auto" w:sz="4" w:space="0"/>
              <w:bottom w:val="single" w:color="auto" w:sz="4" w:space="0"/>
              <w:right w:val="single" w:color="auto" w:sz="4" w:space="0"/>
            </w:tcBorders>
            <w:vAlign w:val="center"/>
          </w:tcPr>
          <w:p w14:paraId="23B0B3C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300≤X＜1000</w:t>
            </w:r>
          </w:p>
        </w:tc>
        <w:tc>
          <w:tcPr>
            <w:tcW w:w="902" w:type="pct"/>
            <w:tcBorders>
              <w:top w:val="single" w:color="auto" w:sz="4" w:space="0"/>
              <w:left w:val="single" w:color="auto" w:sz="4" w:space="0"/>
              <w:bottom w:val="single" w:color="auto" w:sz="4" w:space="0"/>
              <w:right w:val="single" w:color="auto" w:sz="4" w:space="0"/>
            </w:tcBorders>
            <w:vAlign w:val="center"/>
          </w:tcPr>
          <w:p w14:paraId="4CED12C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20≤X＜300</w:t>
            </w:r>
          </w:p>
        </w:tc>
        <w:tc>
          <w:tcPr>
            <w:tcW w:w="578" w:type="pct"/>
            <w:tcBorders>
              <w:top w:val="single" w:color="auto" w:sz="4" w:space="0"/>
              <w:left w:val="single" w:color="auto" w:sz="4" w:space="0"/>
              <w:bottom w:val="single" w:color="auto" w:sz="4" w:space="0"/>
              <w:right w:val="single" w:color="auto" w:sz="12" w:space="0"/>
            </w:tcBorders>
            <w:vAlign w:val="center"/>
          </w:tcPr>
          <w:p w14:paraId="3DF685C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X＜20</w:t>
            </w:r>
          </w:p>
        </w:tc>
      </w:tr>
      <w:tr w14:paraId="3D1FB2E6">
        <w:tblPrEx>
          <w:tblCellMar>
            <w:top w:w="0" w:type="dxa"/>
            <w:left w:w="108" w:type="dxa"/>
            <w:bottom w:w="0" w:type="dxa"/>
            <w:right w:w="108" w:type="dxa"/>
          </w:tblCellMar>
        </w:tblPrEx>
        <w:trPr>
          <w:trHeight w:val="374" w:hRule="atLeast"/>
        </w:trPr>
        <w:tc>
          <w:tcPr>
            <w:tcW w:w="977" w:type="pct"/>
            <w:vMerge w:val="continue"/>
            <w:tcBorders>
              <w:top w:val="single" w:color="auto" w:sz="4" w:space="0"/>
              <w:left w:val="single" w:color="auto" w:sz="12" w:space="0"/>
              <w:bottom w:val="single" w:color="auto" w:sz="4" w:space="0"/>
              <w:right w:val="single" w:color="auto" w:sz="4" w:space="0"/>
            </w:tcBorders>
            <w:vAlign w:val="center"/>
          </w:tcPr>
          <w:p w14:paraId="35DBD958">
            <w:pPr>
              <w:widowControl/>
              <w:jc w:val="center"/>
              <w:rPr>
                <w:rFonts w:ascii="宋体" w:hAnsi="宋体" w:cs="宋体"/>
                <w:b/>
                <w:bCs/>
                <w:color w:val="auto"/>
                <w:kern w:val="0"/>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vAlign w:val="center"/>
          </w:tcPr>
          <w:p w14:paraId="4E2DE1C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673" w:type="pct"/>
            <w:tcBorders>
              <w:top w:val="single" w:color="auto" w:sz="4" w:space="0"/>
              <w:left w:val="single" w:color="auto" w:sz="4" w:space="0"/>
              <w:bottom w:val="single" w:color="auto" w:sz="4" w:space="0"/>
              <w:right w:val="single" w:color="auto" w:sz="4" w:space="0"/>
            </w:tcBorders>
            <w:vAlign w:val="center"/>
          </w:tcPr>
          <w:p w14:paraId="513C77B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17C8DC0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3000≤Y＜30000</w:t>
            </w:r>
          </w:p>
        </w:tc>
        <w:tc>
          <w:tcPr>
            <w:tcW w:w="902" w:type="pct"/>
            <w:tcBorders>
              <w:top w:val="single" w:color="auto" w:sz="4" w:space="0"/>
              <w:left w:val="single" w:color="auto" w:sz="4" w:space="0"/>
              <w:bottom w:val="single" w:color="auto" w:sz="4" w:space="0"/>
              <w:right w:val="single" w:color="auto" w:sz="4" w:space="0"/>
            </w:tcBorders>
            <w:vAlign w:val="center"/>
          </w:tcPr>
          <w:p w14:paraId="0FADD5C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200≤Y＜3000</w:t>
            </w:r>
          </w:p>
        </w:tc>
        <w:tc>
          <w:tcPr>
            <w:tcW w:w="578" w:type="pct"/>
            <w:tcBorders>
              <w:top w:val="single" w:color="auto" w:sz="4" w:space="0"/>
              <w:left w:val="single" w:color="auto" w:sz="4" w:space="0"/>
              <w:bottom w:val="single" w:color="auto" w:sz="4" w:space="0"/>
              <w:right w:val="single" w:color="auto" w:sz="12" w:space="0"/>
            </w:tcBorders>
            <w:vAlign w:val="center"/>
          </w:tcPr>
          <w:p w14:paraId="1AEE257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Y＜200</w:t>
            </w:r>
          </w:p>
        </w:tc>
      </w:tr>
      <w:tr w14:paraId="7E440FCA">
        <w:tblPrEx>
          <w:tblCellMar>
            <w:top w:w="0" w:type="dxa"/>
            <w:left w:w="108" w:type="dxa"/>
            <w:bottom w:w="0" w:type="dxa"/>
            <w:right w:w="108" w:type="dxa"/>
          </w:tblCellMar>
        </w:tblPrEx>
        <w:trPr>
          <w:trHeight w:val="374" w:hRule="atLeast"/>
        </w:trPr>
        <w:tc>
          <w:tcPr>
            <w:tcW w:w="977" w:type="pct"/>
            <w:vMerge w:val="restart"/>
            <w:tcBorders>
              <w:top w:val="single" w:color="auto" w:sz="4" w:space="0"/>
              <w:left w:val="single" w:color="auto" w:sz="12" w:space="0"/>
              <w:bottom w:val="single" w:color="auto" w:sz="4" w:space="0"/>
              <w:right w:val="single" w:color="auto" w:sz="4" w:space="0"/>
            </w:tcBorders>
            <w:vAlign w:val="center"/>
          </w:tcPr>
          <w:p w14:paraId="041F00A5">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仓储业</w:t>
            </w:r>
          </w:p>
        </w:tc>
        <w:tc>
          <w:tcPr>
            <w:tcW w:w="905" w:type="pct"/>
            <w:tcBorders>
              <w:top w:val="single" w:color="auto" w:sz="4" w:space="0"/>
              <w:left w:val="single" w:color="auto" w:sz="4" w:space="0"/>
              <w:bottom w:val="single" w:color="auto" w:sz="4" w:space="0"/>
              <w:right w:val="single" w:color="auto" w:sz="4" w:space="0"/>
            </w:tcBorders>
            <w:vAlign w:val="center"/>
          </w:tcPr>
          <w:p w14:paraId="34685A5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673" w:type="pct"/>
            <w:tcBorders>
              <w:top w:val="single" w:color="auto" w:sz="4" w:space="0"/>
              <w:left w:val="single" w:color="auto" w:sz="4" w:space="0"/>
              <w:bottom w:val="single" w:color="auto" w:sz="4" w:space="0"/>
              <w:right w:val="single" w:color="auto" w:sz="4" w:space="0"/>
            </w:tcBorders>
            <w:vAlign w:val="center"/>
          </w:tcPr>
          <w:p w14:paraId="225D748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962" w:type="pct"/>
            <w:tcBorders>
              <w:top w:val="single" w:color="auto" w:sz="4" w:space="0"/>
              <w:left w:val="single" w:color="auto" w:sz="4" w:space="0"/>
              <w:bottom w:val="single" w:color="auto" w:sz="4" w:space="0"/>
              <w:right w:val="single" w:color="auto" w:sz="4" w:space="0"/>
            </w:tcBorders>
            <w:vAlign w:val="center"/>
          </w:tcPr>
          <w:p w14:paraId="764BFAC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100≤X＜200</w:t>
            </w:r>
          </w:p>
        </w:tc>
        <w:tc>
          <w:tcPr>
            <w:tcW w:w="902" w:type="pct"/>
            <w:tcBorders>
              <w:top w:val="single" w:color="auto" w:sz="4" w:space="0"/>
              <w:left w:val="single" w:color="auto" w:sz="4" w:space="0"/>
              <w:bottom w:val="single" w:color="auto" w:sz="4" w:space="0"/>
              <w:right w:val="single" w:color="auto" w:sz="4" w:space="0"/>
            </w:tcBorders>
            <w:vAlign w:val="center"/>
          </w:tcPr>
          <w:p w14:paraId="5BE012F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20≤X＜100</w:t>
            </w:r>
          </w:p>
        </w:tc>
        <w:tc>
          <w:tcPr>
            <w:tcW w:w="578" w:type="pct"/>
            <w:tcBorders>
              <w:top w:val="single" w:color="auto" w:sz="4" w:space="0"/>
              <w:left w:val="single" w:color="auto" w:sz="4" w:space="0"/>
              <w:bottom w:val="single" w:color="auto" w:sz="4" w:space="0"/>
              <w:right w:val="single" w:color="auto" w:sz="12" w:space="0"/>
            </w:tcBorders>
            <w:vAlign w:val="center"/>
          </w:tcPr>
          <w:p w14:paraId="3E45290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X＜20</w:t>
            </w:r>
          </w:p>
        </w:tc>
      </w:tr>
      <w:tr w14:paraId="0629B48E">
        <w:tblPrEx>
          <w:tblCellMar>
            <w:top w:w="0" w:type="dxa"/>
            <w:left w:w="108" w:type="dxa"/>
            <w:bottom w:w="0" w:type="dxa"/>
            <w:right w:w="108" w:type="dxa"/>
          </w:tblCellMar>
        </w:tblPrEx>
        <w:trPr>
          <w:trHeight w:val="374" w:hRule="atLeast"/>
        </w:trPr>
        <w:tc>
          <w:tcPr>
            <w:tcW w:w="977" w:type="pct"/>
            <w:vMerge w:val="continue"/>
            <w:tcBorders>
              <w:top w:val="single" w:color="auto" w:sz="4" w:space="0"/>
              <w:left w:val="single" w:color="auto" w:sz="12" w:space="0"/>
              <w:bottom w:val="single" w:color="auto" w:sz="4" w:space="0"/>
              <w:right w:val="single" w:color="auto" w:sz="4" w:space="0"/>
            </w:tcBorders>
            <w:vAlign w:val="center"/>
          </w:tcPr>
          <w:p w14:paraId="141EAA34">
            <w:pPr>
              <w:widowControl/>
              <w:jc w:val="center"/>
              <w:rPr>
                <w:rFonts w:ascii="宋体" w:hAnsi="宋体" w:cs="宋体"/>
                <w:b/>
                <w:bCs/>
                <w:color w:val="auto"/>
                <w:kern w:val="0"/>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vAlign w:val="center"/>
          </w:tcPr>
          <w:p w14:paraId="77743D1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673" w:type="pct"/>
            <w:tcBorders>
              <w:top w:val="single" w:color="auto" w:sz="4" w:space="0"/>
              <w:left w:val="single" w:color="auto" w:sz="4" w:space="0"/>
              <w:bottom w:val="single" w:color="auto" w:sz="4" w:space="0"/>
              <w:right w:val="single" w:color="auto" w:sz="4" w:space="0"/>
            </w:tcBorders>
            <w:vAlign w:val="center"/>
          </w:tcPr>
          <w:p w14:paraId="4157AD8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5BA849A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1000≤Y＜30000</w:t>
            </w:r>
          </w:p>
        </w:tc>
        <w:tc>
          <w:tcPr>
            <w:tcW w:w="902" w:type="pct"/>
            <w:tcBorders>
              <w:top w:val="single" w:color="auto" w:sz="4" w:space="0"/>
              <w:left w:val="single" w:color="auto" w:sz="4" w:space="0"/>
              <w:bottom w:val="single" w:color="auto" w:sz="4" w:space="0"/>
              <w:right w:val="single" w:color="auto" w:sz="4" w:space="0"/>
            </w:tcBorders>
            <w:vAlign w:val="center"/>
          </w:tcPr>
          <w:p w14:paraId="621DE44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100≤Y＜1000</w:t>
            </w:r>
          </w:p>
        </w:tc>
        <w:tc>
          <w:tcPr>
            <w:tcW w:w="578" w:type="pct"/>
            <w:tcBorders>
              <w:top w:val="single" w:color="auto" w:sz="4" w:space="0"/>
              <w:left w:val="single" w:color="auto" w:sz="4" w:space="0"/>
              <w:bottom w:val="single" w:color="auto" w:sz="4" w:space="0"/>
              <w:right w:val="single" w:color="auto" w:sz="12" w:space="0"/>
            </w:tcBorders>
            <w:vAlign w:val="center"/>
          </w:tcPr>
          <w:p w14:paraId="2FCA7CF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r>
      <w:tr w14:paraId="768C9545">
        <w:tblPrEx>
          <w:tblCellMar>
            <w:top w:w="0" w:type="dxa"/>
            <w:left w:w="108" w:type="dxa"/>
            <w:bottom w:w="0" w:type="dxa"/>
            <w:right w:w="108" w:type="dxa"/>
          </w:tblCellMar>
        </w:tblPrEx>
        <w:trPr>
          <w:trHeight w:val="374" w:hRule="atLeast"/>
        </w:trPr>
        <w:tc>
          <w:tcPr>
            <w:tcW w:w="977" w:type="pct"/>
            <w:vMerge w:val="restart"/>
            <w:tcBorders>
              <w:top w:val="single" w:color="auto" w:sz="4" w:space="0"/>
              <w:left w:val="single" w:color="auto" w:sz="12" w:space="0"/>
              <w:bottom w:val="single" w:color="auto" w:sz="4" w:space="0"/>
              <w:right w:val="single" w:color="auto" w:sz="4" w:space="0"/>
            </w:tcBorders>
            <w:vAlign w:val="center"/>
          </w:tcPr>
          <w:p w14:paraId="0900595F">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邮政业</w:t>
            </w:r>
          </w:p>
        </w:tc>
        <w:tc>
          <w:tcPr>
            <w:tcW w:w="905" w:type="pct"/>
            <w:tcBorders>
              <w:top w:val="single" w:color="auto" w:sz="4" w:space="0"/>
              <w:left w:val="single" w:color="auto" w:sz="4" w:space="0"/>
              <w:bottom w:val="single" w:color="auto" w:sz="4" w:space="0"/>
              <w:right w:val="single" w:color="auto" w:sz="4" w:space="0"/>
            </w:tcBorders>
            <w:vAlign w:val="center"/>
          </w:tcPr>
          <w:p w14:paraId="6D71445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673" w:type="pct"/>
            <w:tcBorders>
              <w:top w:val="single" w:color="auto" w:sz="4" w:space="0"/>
              <w:left w:val="single" w:color="auto" w:sz="4" w:space="0"/>
              <w:bottom w:val="single" w:color="auto" w:sz="4" w:space="0"/>
              <w:right w:val="single" w:color="auto" w:sz="4" w:space="0"/>
            </w:tcBorders>
            <w:vAlign w:val="center"/>
          </w:tcPr>
          <w:p w14:paraId="2D5690B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962" w:type="pct"/>
            <w:tcBorders>
              <w:top w:val="single" w:color="auto" w:sz="4" w:space="0"/>
              <w:left w:val="single" w:color="auto" w:sz="4" w:space="0"/>
              <w:bottom w:val="single" w:color="auto" w:sz="4" w:space="0"/>
              <w:right w:val="single" w:color="auto" w:sz="4" w:space="0"/>
            </w:tcBorders>
            <w:vAlign w:val="center"/>
          </w:tcPr>
          <w:p w14:paraId="6CFBC79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300≤X＜1000</w:t>
            </w:r>
          </w:p>
        </w:tc>
        <w:tc>
          <w:tcPr>
            <w:tcW w:w="902" w:type="pct"/>
            <w:tcBorders>
              <w:top w:val="single" w:color="auto" w:sz="4" w:space="0"/>
              <w:left w:val="single" w:color="auto" w:sz="4" w:space="0"/>
              <w:bottom w:val="single" w:color="auto" w:sz="4" w:space="0"/>
              <w:right w:val="single" w:color="auto" w:sz="4" w:space="0"/>
            </w:tcBorders>
            <w:vAlign w:val="center"/>
          </w:tcPr>
          <w:p w14:paraId="12244A9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20≤X＜300</w:t>
            </w:r>
          </w:p>
        </w:tc>
        <w:tc>
          <w:tcPr>
            <w:tcW w:w="578" w:type="pct"/>
            <w:tcBorders>
              <w:top w:val="single" w:color="auto" w:sz="4" w:space="0"/>
              <w:left w:val="single" w:color="auto" w:sz="4" w:space="0"/>
              <w:bottom w:val="single" w:color="auto" w:sz="4" w:space="0"/>
              <w:right w:val="single" w:color="auto" w:sz="12" w:space="0"/>
            </w:tcBorders>
            <w:vAlign w:val="center"/>
          </w:tcPr>
          <w:p w14:paraId="154E43D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X＜20</w:t>
            </w:r>
          </w:p>
        </w:tc>
      </w:tr>
      <w:tr w14:paraId="6A577E65">
        <w:tblPrEx>
          <w:tblCellMar>
            <w:top w:w="0" w:type="dxa"/>
            <w:left w:w="108" w:type="dxa"/>
            <w:bottom w:w="0" w:type="dxa"/>
            <w:right w:w="108" w:type="dxa"/>
          </w:tblCellMar>
        </w:tblPrEx>
        <w:trPr>
          <w:trHeight w:val="374" w:hRule="atLeast"/>
        </w:trPr>
        <w:tc>
          <w:tcPr>
            <w:tcW w:w="977" w:type="pct"/>
            <w:vMerge w:val="continue"/>
            <w:tcBorders>
              <w:top w:val="single" w:color="auto" w:sz="4" w:space="0"/>
              <w:left w:val="single" w:color="auto" w:sz="12" w:space="0"/>
              <w:bottom w:val="single" w:color="auto" w:sz="4" w:space="0"/>
              <w:right w:val="single" w:color="auto" w:sz="4" w:space="0"/>
            </w:tcBorders>
            <w:vAlign w:val="center"/>
          </w:tcPr>
          <w:p w14:paraId="0A476AEF">
            <w:pPr>
              <w:widowControl/>
              <w:jc w:val="center"/>
              <w:rPr>
                <w:rFonts w:ascii="宋体" w:hAnsi="宋体" w:cs="宋体"/>
                <w:b/>
                <w:bCs/>
                <w:color w:val="auto"/>
                <w:kern w:val="0"/>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vAlign w:val="center"/>
          </w:tcPr>
          <w:p w14:paraId="70DE17D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673" w:type="pct"/>
            <w:tcBorders>
              <w:top w:val="single" w:color="auto" w:sz="4" w:space="0"/>
              <w:left w:val="single" w:color="auto" w:sz="4" w:space="0"/>
              <w:bottom w:val="single" w:color="auto" w:sz="4" w:space="0"/>
              <w:right w:val="single" w:color="auto" w:sz="4" w:space="0"/>
            </w:tcBorders>
            <w:vAlign w:val="center"/>
          </w:tcPr>
          <w:p w14:paraId="13452B6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5F9E22B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2000≤Y＜30000</w:t>
            </w:r>
          </w:p>
        </w:tc>
        <w:tc>
          <w:tcPr>
            <w:tcW w:w="902" w:type="pct"/>
            <w:tcBorders>
              <w:top w:val="single" w:color="auto" w:sz="4" w:space="0"/>
              <w:left w:val="single" w:color="auto" w:sz="4" w:space="0"/>
              <w:bottom w:val="single" w:color="auto" w:sz="4" w:space="0"/>
              <w:right w:val="single" w:color="auto" w:sz="4" w:space="0"/>
            </w:tcBorders>
            <w:vAlign w:val="center"/>
          </w:tcPr>
          <w:p w14:paraId="50A7D28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100≤Y＜2000</w:t>
            </w:r>
          </w:p>
        </w:tc>
        <w:tc>
          <w:tcPr>
            <w:tcW w:w="578" w:type="pct"/>
            <w:tcBorders>
              <w:top w:val="single" w:color="auto" w:sz="4" w:space="0"/>
              <w:left w:val="single" w:color="auto" w:sz="4" w:space="0"/>
              <w:bottom w:val="single" w:color="auto" w:sz="4" w:space="0"/>
              <w:right w:val="single" w:color="auto" w:sz="12" w:space="0"/>
            </w:tcBorders>
            <w:vAlign w:val="center"/>
          </w:tcPr>
          <w:p w14:paraId="51454AE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r>
      <w:tr w14:paraId="5BBEB7B7">
        <w:tblPrEx>
          <w:tblCellMar>
            <w:top w:w="0" w:type="dxa"/>
            <w:left w:w="108" w:type="dxa"/>
            <w:bottom w:w="0" w:type="dxa"/>
            <w:right w:w="108" w:type="dxa"/>
          </w:tblCellMar>
        </w:tblPrEx>
        <w:trPr>
          <w:trHeight w:val="374" w:hRule="atLeast"/>
        </w:trPr>
        <w:tc>
          <w:tcPr>
            <w:tcW w:w="977" w:type="pct"/>
            <w:vMerge w:val="restart"/>
            <w:tcBorders>
              <w:top w:val="single" w:color="auto" w:sz="4" w:space="0"/>
              <w:left w:val="single" w:color="auto" w:sz="12" w:space="0"/>
              <w:bottom w:val="single" w:color="auto" w:sz="4" w:space="0"/>
              <w:right w:val="single" w:color="auto" w:sz="4" w:space="0"/>
            </w:tcBorders>
            <w:vAlign w:val="center"/>
          </w:tcPr>
          <w:p w14:paraId="3998D9E9">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住宿业</w:t>
            </w:r>
          </w:p>
        </w:tc>
        <w:tc>
          <w:tcPr>
            <w:tcW w:w="905" w:type="pct"/>
            <w:tcBorders>
              <w:top w:val="single" w:color="auto" w:sz="4" w:space="0"/>
              <w:left w:val="single" w:color="auto" w:sz="4" w:space="0"/>
              <w:bottom w:val="single" w:color="auto" w:sz="4" w:space="0"/>
              <w:right w:val="single" w:color="auto" w:sz="4" w:space="0"/>
            </w:tcBorders>
            <w:vAlign w:val="center"/>
          </w:tcPr>
          <w:p w14:paraId="37EC84B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673" w:type="pct"/>
            <w:tcBorders>
              <w:top w:val="single" w:color="auto" w:sz="4" w:space="0"/>
              <w:left w:val="single" w:color="auto" w:sz="4" w:space="0"/>
              <w:bottom w:val="single" w:color="auto" w:sz="4" w:space="0"/>
              <w:right w:val="single" w:color="auto" w:sz="4" w:space="0"/>
            </w:tcBorders>
            <w:vAlign w:val="center"/>
          </w:tcPr>
          <w:p w14:paraId="07ACBF8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962" w:type="pct"/>
            <w:tcBorders>
              <w:top w:val="single" w:color="auto" w:sz="4" w:space="0"/>
              <w:left w:val="single" w:color="auto" w:sz="4" w:space="0"/>
              <w:bottom w:val="single" w:color="auto" w:sz="4" w:space="0"/>
              <w:right w:val="single" w:color="auto" w:sz="4" w:space="0"/>
            </w:tcBorders>
            <w:vAlign w:val="center"/>
          </w:tcPr>
          <w:p w14:paraId="093D078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100≤X＜300</w:t>
            </w:r>
          </w:p>
        </w:tc>
        <w:tc>
          <w:tcPr>
            <w:tcW w:w="902" w:type="pct"/>
            <w:tcBorders>
              <w:top w:val="single" w:color="auto" w:sz="4" w:space="0"/>
              <w:left w:val="single" w:color="auto" w:sz="4" w:space="0"/>
              <w:bottom w:val="single" w:color="auto" w:sz="4" w:space="0"/>
              <w:right w:val="single" w:color="auto" w:sz="4" w:space="0"/>
            </w:tcBorders>
            <w:vAlign w:val="center"/>
          </w:tcPr>
          <w:p w14:paraId="055652D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10≤X＜100</w:t>
            </w:r>
          </w:p>
        </w:tc>
        <w:tc>
          <w:tcPr>
            <w:tcW w:w="578" w:type="pct"/>
            <w:tcBorders>
              <w:top w:val="single" w:color="auto" w:sz="4" w:space="0"/>
              <w:left w:val="single" w:color="auto" w:sz="4" w:space="0"/>
              <w:bottom w:val="single" w:color="auto" w:sz="4" w:space="0"/>
              <w:right w:val="single" w:color="auto" w:sz="12" w:space="0"/>
            </w:tcBorders>
            <w:vAlign w:val="center"/>
          </w:tcPr>
          <w:p w14:paraId="5BB577B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r>
      <w:tr w14:paraId="53ED7D4E">
        <w:tblPrEx>
          <w:tblCellMar>
            <w:top w:w="0" w:type="dxa"/>
            <w:left w:w="108" w:type="dxa"/>
            <w:bottom w:w="0" w:type="dxa"/>
            <w:right w:w="108" w:type="dxa"/>
          </w:tblCellMar>
        </w:tblPrEx>
        <w:trPr>
          <w:trHeight w:val="374" w:hRule="atLeast"/>
        </w:trPr>
        <w:tc>
          <w:tcPr>
            <w:tcW w:w="977" w:type="pct"/>
            <w:vMerge w:val="continue"/>
            <w:tcBorders>
              <w:top w:val="single" w:color="auto" w:sz="4" w:space="0"/>
              <w:left w:val="single" w:color="auto" w:sz="12" w:space="0"/>
              <w:bottom w:val="single" w:color="auto" w:sz="4" w:space="0"/>
              <w:right w:val="single" w:color="auto" w:sz="4" w:space="0"/>
            </w:tcBorders>
            <w:vAlign w:val="center"/>
          </w:tcPr>
          <w:p w14:paraId="3E9ADA92">
            <w:pPr>
              <w:widowControl/>
              <w:jc w:val="center"/>
              <w:rPr>
                <w:rFonts w:ascii="宋体" w:hAnsi="宋体" w:cs="宋体"/>
                <w:b/>
                <w:bCs/>
                <w:color w:val="auto"/>
                <w:kern w:val="0"/>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vAlign w:val="center"/>
          </w:tcPr>
          <w:p w14:paraId="55BFECE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673" w:type="pct"/>
            <w:tcBorders>
              <w:top w:val="single" w:color="auto" w:sz="4" w:space="0"/>
              <w:left w:val="single" w:color="auto" w:sz="4" w:space="0"/>
              <w:bottom w:val="single" w:color="auto" w:sz="4" w:space="0"/>
              <w:right w:val="single" w:color="auto" w:sz="4" w:space="0"/>
            </w:tcBorders>
            <w:vAlign w:val="center"/>
          </w:tcPr>
          <w:p w14:paraId="3EEF456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7C46A68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2000≤Y＜10000</w:t>
            </w:r>
          </w:p>
        </w:tc>
        <w:tc>
          <w:tcPr>
            <w:tcW w:w="902" w:type="pct"/>
            <w:tcBorders>
              <w:top w:val="single" w:color="auto" w:sz="4" w:space="0"/>
              <w:left w:val="single" w:color="auto" w:sz="4" w:space="0"/>
              <w:bottom w:val="single" w:color="auto" w:sz="4" w:space="0"/>
              <w:right w:val="single" w:color="auto" w:sz="4" w:space="0"/>
            </w:tcBorders>
            <w:vAlign w:val="center"/>
          </w:tcPr>
          <w:p w14:paraId="3D6FA3F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100≤Y＜2000</w:t>
            </w:r>
          </w:p>
        </w:tc>
        <w:tc>
          <w:tcPr>
            <w:tcW w:w="578" w:type="pct"/>
            <w:tcBorders>
              <w:top w:val="single" w:color="auto" w:sz="4" w:space="0"/>
              <w:left w:val="single" w:color="auto" w:sz="4" w:space="0"/>
              <w:bottom w:val="single" w:color="auto" w:sz="4" w:space="0"/>
              <w:right w:val="single" w:color="auto" w:sz="12" w:space="0"/>
            </w:tcBorders>
            <w:vAlign w:val="center"/>
          </w:tcPr>
          <w:p w14:paraId="7EF3396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r>
      <w:tr w14:paraId="3AB74657">
        <w:tblPrEx>
          <w:tblCellMar>
            <w:top w:w="0" w:type="dxa"/>
            <w:left w:w="108" w:type="dxa"/>
            <w:bottom w:w="0" w:type="dxa"/>
            <w:right w:w="108" w:type="dxa"/>
          </w:tblCellMar>
        </w:tblPrEx>
        <w:trPr>
          <w:trHeight w:val="374" w:hRule="atLeast"/>
        </w:trPr>
        <w:tc>
          <w:tcPr>
            <w:tcW w:w="977" w:type="pct"/>
            <w:vMerge w:val="restart"/>
            <w:tcBorders>
              <w:top w:val="single" w:color="auto" w:sz="4" w:space="0"/>
              <w:left w:val="single" w:color="auto" w:sz="12" w:space="0"/>
              <w:bottom w:val="single" w:color="auto" w:sz="4" w:space="0"/>
              <w:right w:val="single" w:color="auto" w:sz="4" w:space="0"/>
            </w:tcBorders>
            <w:vAlign w:val="center"/>
          </w:tcPr>
          <w:p w14:paraId="58ECFA5E">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餐饮业</w:t>
            </w:r>
          </w:p>
        </w:tc>
        <w:tc>
          <w:tcPr>
            <w:tcW w:w="905" w:type="pct"/>
            <w:tcBorders>
              <w:top w:val="single" w:color="auto" w:sz="4" w:space="0"/>
              <w:left w:val="single" w:color="auto" w:sz="4" w:space="0"/>
              <w:bottom w:val="single" w:color="auto" w:sz="4" w:space="0"/>
              <w:right w:val="single" w:color="auto" w:sz="4" w:space="0"/>
            </w:tcBorders>
            <w:vAlign w:val="center"/>
          </w:tcPr>
          <w:p w14:paraId="164DCA9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673" w:type="pct"/>
            <w:tcBorders>
              <w:top w:val="single" w:color="auto" w:sz="4" w:space="0"/>
              <w:left w:val="single" w:color="auto" w:sz="4" w:space="0"/>
              <w:bottom w:val="single" w:color="auto" w:sz="4" w:space="0"/>
              <w:right w:val="single" w:color="auto" w:sz="4" w:space="0"/>
            </w:tcBorders>
            <w:vAlign w:val="center"/>
          </w:tcPr>
          <w:p w14:paraId="416269B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962" w:type="pct"/>
            <w:tcBorders>
              <w:top w:val="single" w:color="auto" w:sz="4" w:space="0"/>
              <w:left w:val="single" w:color="auto" w:sz="4" w:space="0"/>
              <w:bottom w:val="single" w:color="auto" w:sz="4" w:space="0"/>
              <w:right w:val="single" w:color="auto" w:sz="4" w:space="0"/>
            </w:tcBorders>
            <w:vAlign w:val="center"/>
          </w:tcPr>
          <w:p w14:paraId="777E36F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100≤X＜300</w:t>
            </w:r>
          </w:p>
        </w:tc>
        <w:tc>
          <w:tcPr>
            <w:tcW w:w="902" w:type="pct"/>
            <w:tcBorders>
              <w:top w:val="single" w:color="auto" w:sz="4" w:space="0"/>
              <w:left w:val="single" w:color="auto" w:sz="4" w:space="0"/>
              <w:bottom w:val="single" w:color="auto" w:sz="4" w:space="0"/>
              <w:right w:val="single" w:color="auto" w:sz="4" w:space="0"/>
            </w:tcBorders>
            <w:vAlign w:val="center"/>
          </w:tcPr>
          <w:p w14:paraId="400EB4D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10≤X＜100</w:t>
            </w:r>
          </w:p>
        </w:tc>
        <w:tc>
          <w:tcPr>
            <w:tcW w:w="578" w:type="pct"/>
            <w:tcBorders>
              <w:top w:val="single" w:color="auto" w:sz="4" w:space="0"/>
              <w:left w:val="single" w:color="auto" w:sz="4" w:space="0"/>
              <w:bottom w:val="single" w:color="auto" w:sz="4" w:space="0"/>
              <w:right w:val="single" w:color="auto" w:sz="12" w:space="0"/>
            </w:tcBorders>
            <w:vAlign w:val="center"/>
          </w:tcPr>
          <w:p w14:paraId="0F3D38C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r>
      <w:tr w14:paraId="48815440">
        <w:tblPrEx>
          <w:tblCellMar>
            <w:top w:w="0" w:type="dxa"/>
            <w:left w:w="108" w:type="dxa"/>
            <w:bottom w:w="0" w:type="dxa"/>
            <w:right w:w="108" w:type="dxa"/>
          </w:tblCellMar>
        </w:tblPrEx>
        <w:trPr>
          <w:trHeight w:val="374" w:hRule="atLeast"/>
        </w:trPr>
        <w:tc>
          <w:tcPr>
            <w:tcW w:w="977" w:type="pct"/>
            <w:vMerge w:val="continue"/>
            <w:tcBorders>
              <w:top w:val="single" w:color="auto" w:sz="4" w:space="0"/>
              <w:left w:val="single" w:color="auto" w:sz="12" w:space="0"/>
              <w:bottom w:val="single" w:color="auto" w:sz="4" w:space="0"/>
              <w:right w:val="single" w:color="auto" w:sz="4" w:space="0"/>
            </w:tcBorders>
            <w:vAlign w:val="center"/>
          </w:tcPr>
          <w:p w14:paraId="2412459C">
            <w:pPr>
              <w:widowControl/>
              <w:jc w:val="center"/>
              <w:rPr>
                <w:rFonts w:ascii="宋体" w:hAnsi="宋体" w:cs="宋体"/>
                <w:b/>
                <w:bCs/>
                <w:color w:val="auto"/>
                <w:kern w:val="0"/>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vAlign w:val="center"/>
          </w:tcPr>
          <w:p w14:paraId="6C05288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673" w:type="pct"/>
            <w:tcBorders>
              <w:top w:val="single" w:color="auto" w:sz="4" w:space="0"/>
              <w:left w:val="single" w:color="auto" w:sz="4" w:space="0"/>
              <w:bottom w:val="single" w:color="auto" w:sz="4" w:space="0"/>
              <w:right w:val="single" w:color="auto" w:sz="4" w:space="0"/>
            </w:tcBorders>
            <w:vAlign w:val="center"/>
          </w:tcPr>
          <w:p w14:paraId="1CF04EA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4A0662D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2000≤Y＜10000</w:t>
            </w:r>
          </w:p>
        </w:tc>
        <w:tc>
          <w:tcPr>
            <w:tcW w:w="902" w:type="pct"/>
            <w:tcBorders>
              <w:top w:val="single" w:color="auto" w:sz="4" w:space="0"/>
              <w:left w:val="single" w:color="auto" w:sz="4" w:space="0"/>
              <w:bottom w:val="single" w:color="auto" w:sz="4" w:space="0"/>
              <w:right w:val="single" w:color="auto" w:sz="4" w:space="0"/>
            </w:tcBorders>
            <w:vAlign w:val="center"/>
          </w:tcPr>
          <w:p w14:paraId="720B9E5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100≤Y＜2000</w:t>
            </w:r>
          </w:p>
        </w:tc>
        <w:tc>
          <w:tcPr>
            <w:tcW w:w="578" w:type="pct"/>
            <w:tcBorders>
              <w:top w:val="single" w:color="auto" w:sz="4" w:space="0"/>
              <w:left w:val="single" w:color="auto" w:sz="4" w:space="0"/>
              <w:bottom w:val="single" w:color="auto" w:sz="4" w:space="0"/>
              <w:right w:val="single" w:color="auto" w:sz="12" w:space="0"/>
            </w:tcBorders>
            <w:vAlign w:val="center"/>
          </w:tcPr>
          <w:p w14:paraId="42C6323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r>
      <w:tr w14:paraId="4A30F69B">
        <w:tblPrEx>
          <w:tblCellMar>
            <w:top w:w="0" w:type="dxa"/>
            <w:left w:w="108" w:type="dxa"/>
            <w:bottom w:w="0" w:type="dxa"/>
            <w:right w:w="108" w:type="dxa"/>
          </w:tblCellMar>
        </w:tblPrEx>
        <w:trPr>
          <w:trHeight w:val="374" w:hRule="atLeast"/>
        </w:trPr>
        <w:tc>
          <w:tcPr>
            <w:tcW w:w="977" w:type="pct"/>
            <w:vMerge w:val="restart"/>
            <w:tcBorders>
              <w:top w:val="single" w:color="auto" w:sz="4" w:space="0"/>
              <w:left w:val="single" w:color="auto" w:sz="12" w:space="0"/>
              <w:bottom w:val="single" w:color="auto" w:sz="4" w:space="0"/>
              <w:right w:val="single" w:color="auto" w:sz="4" w:space="0"/>
            </w:tcBorders>
            <w:vAlign w:val="center"/>
          </w:tcPr>
          <w:p w14:paraId="248A0726">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信息传输业</w:t>
            </w:r>
          </w:p>
        </w:tc>
        <w:tc>
          <w:tcPr>
            <w:tcW w:w="905" w:type="pct"/>
            <w:tcBorders>
              <w:top w:val="single" w:color="auto" w:sz="4" w:space="0"/>
              <w:left w:val="single" w:color="auto" w:sz="4" w:space="0"/>
              <w:bottom w:val="single" w:color="auto" w:sz="4" w:space="0"/>
              <w:right w:val="single" w:color="auto" w:sz="4" w:space="0"/>
            </w:tcBorders>
            <w:vAlign w:val="center"/>
          </w:tcPr>
          <w:p w14:paraId="5E4105D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673" w:type="pct"/>
            <w:tcBorders>
              <w:top w:val="single" w:color="auto" w:sz="4" w:space="0"/>
              <w:left w:val="single" w:color="auto" w:sz="4" w:space="0"/>
              <w:bottom w:val="single" w:color="auto" w:sz="4" w:space="0"/>
              <w:right w:val="single" w:color="auto" w:sz="4" w:space="0"/>
            </w:tcBorders>
            <w:vAlign w:val="center"/>
          </w:tcPr>
          <w:p w14:paraId="7F8AA69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962" w:type="pct"/>
            <w:tcBorders>
              <w:top w:val="single" w:color="auto" w:sz="4" w:space="0"/>
              <w:left w:val="single" w:color="auto" w:sz="4" w:space="0"/>
              <w:bottom w:val="single" w:color="auto" w:sz="4" w:space="0"/>
              <w:right w:val="single" w:color="auto" w:sz="4" w:space="0"/>
            </w:tcBorders>
            <w:vAlign w:val="center"/>
          </w:tcPr>
          <w:p w14:paraId="05257DE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100≤X＜2000</w:t>
            </w:r>
          </w:p>
        </w:tc>
        <w:tc>
          <w:tcPr>
            <w:tcW w:w="902" w:type="pct"/>
            <w:tcBorders>
              <w:top w:val="single" w:color="auto" w:sz="4" w:space="0"/>
              <w:left w:val="single" w:color="auto" w:sz="4" w:space="0"/>
              <w:bottom w:val="single" w:color="auto" w:sz="4" w:space="0"/>
              <w:right w:val="single" w:color="auto" w:sz="4" w:space="0"/>
            </w:tcBorders>
            <w:vAlign w:val="center"/>
          </w:tcPr>
          <w:p w14:paraId="0A5C677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10≤X＜100</w:t>
            </w:r>
          </w:p>
        </w:tc>
        <w:tc>
          <w:tcPr>
            <w:tcW w:w="578" w:type="pct"/>
            <w:tcBorders>
              <w:top w:val="single" w:color="auto" w:sz="4" w:space="0"/>
              <w:left w:val="single" w:color="auto" w:sz="4" w:space="0"/>
              <w:bottom w:val="single" w:color="auto" w:sz="4" w:space="0"/>
              <w:right w:val="single" w:color="auto" w:sz="12" w:space="0"/>
            </w:tcBorders>
            <w:vAlign w:val="center"/>
          </w:tcPr>
          <w:p w14:paraId="15FA9BA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r>
      <w:tr w14:paraId="7E48CC14">
        <w:tblPrEx>
          <w:tblCellMar>
            <w:top w:w="0" w:type="dxa"/>
            <w:left w:w="108" w:type="dxa"/>
            <w:bottom w:w="0" w:type="dxa"/>
            <w:right w:w="108" w:type="dxa"/>
          </w:tblCellMar>
        </w:tblPrEx>
        <w:trPr>
          <w:trHeight w:val="374" w:hRule="atLeast"/>
        </w:trPr>
        <w:tc>
          <w:tcPr>
            <w:tcW w:w="977" w:type="pct"/>
            <w:vMerge w:val="continue"/>
            <w:tcBorders>
              <w:top w:val="single" w:color="auto" w:sz="4" w:space="0"/>
              <w:left w:val="single" w:color="auto" w:sz="12" w:space="0"/>
              <w:bottom w:val="single" w:color="auto" w:sz="4" w:space="0"/>
              <w:right w:val="single" w:color="auto" w:sz="4" w:space="0"/>
            </w:tcBorders>
            <w:vAlign w:val="center"/>
          </w:tcPr>
          <w:p w14:paraId="53717BF6">
            <w:pPr>
              <w:widowControl/>
              <w:jc w:val="center"/>
              <w:rPr>
                <w:rFonts w:ascii="宋体" w:hAnsi="宋体" w:cs="宋体"/>
                <w:b/>
                <w:bCs/>
                <w:color w:val="auto"/>
                <w:kern w:val="0"/>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vAlign w:val="center"/>
          </w:tcPr>
          <w:p w14:paraId="43AD7C8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673" w:type="pct"/>
            <w:tcBorders>
              <w:top w:val="single" w:color="auto" w:sz="4" w:space="0"/>
              <w:left w:val="single" w:color="auto" w:sz="4" w:space="0"/>
              <w:bottom w:val="single" w:color="auto" w:sz="4" w:space="0"/>
              <w:right w:val="single" w:color="auto" w:sz="4" w:space="0"/>
            </w:tcBorders>
            <w:vAlign w:val="center"/>
          </w:tcPr>
          <w:p w14:paraId="718F6A6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25F130E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1000≤Y＜100000</w:t>
            </w:r>
          </w:p>
        </w:tc>
        <w:tc>
          <w:tcPr>
            <w:tcW w:w="902" w:type="pct"/>
            <w:tcBorders>
              <w:top w:val="single" w:color="auto" w:sz="4" w:space="0"/>
              <w:left w:val="single" w:color="auto" w:sz="4" w:space="0"/>
              <w:bottom w:val="single" w:color="auto" w:sz="4" w:space="0"/>
              <w:right w:val="single" w:color="auto" w:sz="4" w:space="0"/>
            </w:tcBorders>
            <w:vAlign w:val="center"/>
          </w:tcPr>
          <w:p w14:paraId="30EDFF2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100≤Y＜1000</w:t>
            </w:r>
          </w:p>
        </w:tc>
        <w:tc>
          <w:tcPr>
            <w:tcW w:w="578" w:type="pct"/>
            <w:tcBorders>
              <w:top w:val="single" w:color="auto" w:sz="4" w:space="0"/>
              <w:left w:val="single" w:color="auto" w:sz="4" w:space="0"/>
              <w:bottom w:val="single" w:color="auto" w:sz="4" w:space="0"/>
              <w:right w:val="single" w:color="auto" w:sz="12" w:space="0"/>
            </w:tcBorders>
            <w:vAlign w:val="center"/>
          </w:tcPr>
          <w:p w14:paraId="3561A6C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r>
      <w:tr w14:paraId="009AE2BC">
        <w:tblPrEx>
          <w:tblCellMar>
            <w:top w:w="0" w:type="dxa"/>
            <w:left w:w="108" w:type="dxa"/>
            <w:bottom w:w="0" w:type="dxa"/>
            <w:right w:w="108" w:type="dxa"/>
          </w:tblCellMar>
        </w:tblPrEx>
        <w:trPr>
          <w:trHeight w:val="374" w:hRule="atLeast"/>
        </w:trPr>
        <w:tc>
          <w:tcPr>
            <w:tcW w:w="977" w:type="pct"/>
            <w:vMerge w:val="restart"/>
            <w:tcBorders>
              <w:top w:val="single" w:color="auto" w:sz="4" w:space="0"/>
              <w:left w:val="single" w:color="auto" w:sz="12" w:space="0"/>
              <w:bottom w:val="single" w:color="auto" w:sz="4" w:space="0"/>
              <w:right w:val="single" w:color="auto" w:sz="4" w:space="0"/>
            </w:tcBorders>
            <w:vAlign w:val="center"/>
          </w:tcPr>
          <w:p w14:paraId="49CA11A7">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软件和信息技术服务业</w:t>
            </w:r>
          </w:p>
        </w:tc>
        <w:tc>
          <w:tcPr>
            <w:tcW w:w="905" w:type="pct"/>
            <w:tcBorders>
              <w:top w:val="single" w:color="auto" w:sz="4" w:space="0"/>
              <w:left w:val="single" w:color="auto" w:sz="4" w:space="0"/>
              <w:bottom w:val="single" w:color="auto" w:sz="4" w:space="0"/>
              <w:right w:val="single" w:color="auto" w:sz="4" w:space="0"/>
            </w:tcBorders>
            <w:vAlign w:val="center"/>
          </w:tcPr>
          <w:p w14:paraId="68140D3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673" w:type="pct"/>
            <w:tcBorders>
              <w:top w:val="single" w:color="auto" w:sz="4" w:space="0"/>
              <w:left w:val="single" w:color="auto" w:sz="4" w:space="0"/>
              <w:bottom w:val="single" w:color="auto" w:sz="4" w:space="0"/>
              <w:right w:val="single" w:color="auto" w:sz="4" w:space="0"/>
            </w:tcBorders>
            <w:vAlign w:val="center"/>
          </w:tcPr>
          <w:p w14:paraId="644B866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962" w:type="pct"/>
            <w:tcBorders>
              <w:top w:val="single" w:color="auto" w:sz="4" w:space="0"/>
              <w:left w:val="single" w:color="auto" w:sz="4" w:space="0"/>
              <w:bottom w:val="single" w:color="auto" w:sz="4" w:space="0"/>
              <w:right w:val="single" w:color="auto" w:sz="4" w:space="0"/>
            </w:tcBorders>
            <w:vAlign w:val="center"/>
          </w:tcPr>
          <w:p w14:paraId="40707A6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100≤X＜300</w:t>
            </w:r>
          </w:p>
        </w:tc>
        <w:tc>
          <w:tcPr>
            <w:tcW w:w="902" w:type="pct"/>
            <w:tcBorders>
              <w:top w:val="single" w:color="auto" w:sz="4" w:space="0"/>
              <w:left w:val="single" w:color="auto" w:sz="4" w:space="0"/>
              <w:bottom w:val="single" w:color="auto" w:sz="4" w:space="0"/>
              <w:right w:val="single" w:color="auto" w:sz="4" w:space="0"/>
            </w:tcBorders>
            <w:vAlign w:val="center"/>
          </w:tcPr>
          <w:p w14:paraId="3613CE5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10≤X＜100</w:t>
            </w:r>
          </w:p>
        </w:tc>
        <w:tc>
          <w:tcPr>
            <w:tcW w:w="578" w:type="pct"/>
            <w:tcBorders>
              <w:top w:val="single" w:color="auto" w:sz="4" w:space="0"/>
              <w:left w:val="single" w:color="auto" w:sz="4" w:space="0"/>
              <w:bottom w:val="single" w:color="auto" w:sz="4" w:space="0"/>
              <w:right w:val="single" w:color="auto" w:sz="12" w:space="0"/>
            </w:tcBorders>
            <w:vAlign w:val="center"/>
          </w:tcPr>
          <w:p w14:paraId="30DF465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r>
      <w:tr w14:paraId="7E969A1C">
        <w:tblPrEx>
          <w:tblCellMar>
            <w:top w:w="0" w:type="dxa"/>
            <w:left w:w="108" w:type="dxa"/>
            <w:bottom w:w="0" w:type="dxa"/>
            <w:right w:w="108" w:type="dxa"/>
          </w:tblCellMar>
        </w:tblPrEx>
        <w:trPr>
          <w:trHeight w:val="374" w:hRule="atLeast"/>
        </w:trPr>
        <w:tc>
          <w:tcPr>
            <w:tcW w:w="977" w:type="pct"/>
            <w:vMerge w:val="continue"/>
            <w:tcBorders>
              <w:top w:val="single" w:color="auto" w:sz="4" w:space="0"/>
              <w:left w:val="single" w:color="auto" w:sz="12" w:space="0"/>
              <w:bottom w:val="single" w:color="auto" w:sz="4" w:space="0"/>
              <w:right w:val="single" w:color="auto" w:sz="4" w:space="0"/>
            </w:tcBorders>
            <w:vAlign w:val="center"/>
          </w:tcPr>
          <w:p w14:paraId="50F8F953">
            <w:pPr>
              <w:widowControl/>
              <w:jc w:val="center"/>
              <w:rPr>
                <w:rFonts w:ascii="宋体" w:hAnsi="宋体" w:cs="宋体"/>
                <w:b/>
                <w:bCs/>
                <w:color w:val="auto"/>
                <w:kern w:val="0"/>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vAlign w:val="center"/>
          </w:tcPr>
          <w:p w14:paraId="7A81B36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673" w:type="pct"/>
            <w:tcBorders>
              <w:top w:val="single" w:color="auto" w:sz="4" w:space="0"/>
              <w:left w:val="single" w:color="auto" w:sz="4" w:space="0"/>
              <w:bottom w:val="single" w:color="auto" w:sz="4" w:space="0"/>
              <w:right w:val="single" w:color="auto" w:sz="4" w:space="0"/>
            </w:tcBorders>
            <w:vAlign w:val="center"/>
          </w:tcPr>
          <w:p w14:paraId="5CCB677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024CB77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1000≤Y＜10000</w:t>
            </w:r>
          </w:p>
        </w:tc>
        <w:tc>
          <w:tcPr>
            <w:tcW w:w="902" w:type="pct"/>
            <w:tcBorders>
              <w:top w:val="single" w:color="auto" w:sz="4" w:space="0"/>
              <w:left w:val="single" w:color="auto" w:sz="4" w:space="0"/>
              <w:bottom w:val="single" w:color="auto" w:sz="4" w:space="0"/>
              <w:right w:val="single" w:color="auto" w:sz="4" w:space="0"/>
            </w:tcBorders>
            <w:vAlign w:val="center"/>
          </w:tcPr>
          <w:p w14:paraId="5427206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50≤Y＜1000</w:t>
            </w:r>
          </w:p>
        </w:tc>
        <w:tc>
          <w:tcPr>
            <w:tcW w:w="578" w:type="pct"/>
            <w:tcBorders>
              <w:top w:val="single" w:color="auto" w:sz="4" w:space="0"/>
              <w:left w:val="single" w:color="auto" w:sz="4" w:space="0"/>
              <w:bottom w:val="single" w:color="auto" w:sz="4" w:space="0"/>
              <w:right w:val="single" w:color="auto" w:sz="12" w:space="0"/>
            </w:tcBorders>
            <w:vAlign w:val="center"/>
          </w:tcPr>
          <w:p w14:paraId="7C12F6E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Y＜50</w:t>
            </w:r>
          </w:p>
        </w:tc>
      </w:tr>
      <w:tr w14:paraId="23F1102A">
        <w:tblPrEx>
          <w:tblCellMar>
            <w:top w:w="0" w:type="dxa"/>
            <w:left w:w="108" w:type="dxa"/>
            <w:bottom w:w="0" w:type="dxa"/>
            <w:right w:w="108" w:type="dxa"/>
          </w:tblCellMar>
        </w:tblPrEx>
        <w:trPr>
          <w:trHeight w:val="374" w:hRule="atLeast"/>
        </w:trPr>
        <w:tc>
          <w:tcPr>
            <w:tcW w:w="977" w:type="pct"/>
            <w:vMerge w:val="restart"/>
            <w:tcBorders>
              <w:top w:val="single" w:color="auto" w:sz="4" w:space="0"/>
              <w:left w:val="single" w:color="auto" w:sz="12" w:space="0"/>
              <w:bottom w:val="single" w:color="auto" w:sz="4" w:space="0"/>
              <w:right w:val="single" w:color="auto" w:sz="4" w:space="0"/>
            </w:tcBorders>
            <w:vAlign w:val="center"/>
          </w:tcPr>
          <w:p w14:paraId="72A32C2A">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房地产开发经营</w:t>
            </w:r>
          </w:p>
        </w:tc>
        <w:tc>
          <w:tcPr>
            <w:tcW w:w="905" w:type="pct"/>
            <w:tcBorders>
              <w:top w:val="single" w:color="auto" w:sz="4" w:space="0"/>
              <w:left w:val="single" w:color="auto" w:sz="4" w:space="0"/>
              <w:bottom w:val="single" w:color="auto" w:sz="4" w:space="0"/>
              <w:right w:val="single" w:color="auto" w:sz="4" w:space="0"/>
            </w:tcBorders>
            <w:vAlign w:val="center"/>
          </w:tcPr>
          <w:p w14:paraId="78E23B2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673" w:type="pct"/>
            <w:tcBorders>
              <w:top w:val="single" w:color="auto" w:sz="4" w:space="0"/>
              <w:left w:val="single" w:color="auto" w:sz="4" w:space="0"/>
              <w:bottom w:val="single" w:color="auto" w:sz="4" w:space="0"/>
              <w:right w:val="single" w:color="auto" w:sz="4" w:space="0"/>
            </w:tcBorders>
            <w:vAlign w:val="center"/>
          </w:tcPr>
          <w:p w14:paraId="1A04E0D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4831D06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1000≤Y＜200000</w:t>
            </w:r>
          </w:p>
        </w:tc>
        <w:tc>
          <w:tcPr>
            <w:tcW w:w="902" w:type="pct"/>
            <w:tcBorders>
              <w:top w:val="single" w:color="auto" w:sz="4" w:space="0"/>
              <w:left w:val="single" w:color="auto" w:sz="4" w:space="0"/>
              <w:bottom w:val="single" w:color="auto" w:sz="4" w:space="0"/>
              <w:right w:val="single" w:color="auto" w:sz="4" w:space="0"/>
            </w:tcBorders>
            <w:vAlign w:val="center"/>
          </w:tcPr>
          <w:p w14:paraId="3A14B96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100≤X＜1000</w:t>
            </w:r>
          </w:p>
        </w:tc>
        <w:tc>
          <w:tcPr>
            <w:tcW w:w="578" w:type="pct"/>
            <w:tcBorders>
              <w:top w:val="single" w:color="auto" w:sz="4" w:space="0"/>
              <w:left w:val="single" w:color="auto" w:sz="4" w:space="0"/>
              <w:bottom w:val="single" w:color="auto" w:sz="4" w:space="0"/>
              <w:right w:val="single" w:color="auto" w:sz="12" w:space="0"/>
            </w:tcBorders>
            <w:vAlign w:val="center"/>
          </w:tcPr>
          <w:p w14:paraId="4819E19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X＜100</w:t>
            </w:r>
          </w:p>
        </w:tc>
      </w:tr>
      <w:tr w14:paraId="69FCD297">
        <w:tblPrEx>
          <w:tblCellMar>
            <w:top w:w="0" w:type="dxa"/>
            <w:left w:w="108" w:type="dxa"/>
            <w:bottom w:w="0" w:type="dxa"/>
            <w:right w:w="108" w:type="dxa"/>
          </w:tblCellMar>
        </w:tblPrEx>
        <w:trPr>
          <w:trHeight w:val="374" w:hRule="atLeast"/>
        </w:trPr>
        <w:tc>
          <w:tcPr>
            <w:tcW w:w="977" w:type="pct"/>
            <w:vMerge w:val="continue"/>
            <w:tcBorders>
              <w:top w:val="single" w:color="auto" w:sz="4" w:space="0"/>
              <w:left w:val="single" w:color="auto" w:sz="12" w:space="0"/>
              <w:bottom w:val="single" w:color="auto" w:sz="4" w:space="0"/>
              <w:right w:val="single" w:color="auto" w:sz="4" w:space="0"/>
            </w:tcBorders>
            <w:vAlign w:val="center"/>
          </w:tcPr>
          <w:p w14:paraId="7205E3B6">
            <w:pPr>
              <w:widowControl/>
              <w:jc w:val="center"/>
              <w:rPr>
                <w:rFonts w:ascii="宋体" w:hAnsi="宋体" w:cs="宋体"/>
                <w:b/>
                <w:bCs/>
                <w:color w:val="auto"/>
                <w:kern w:val="0"/>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vAlign w:val="center"/>
          </w:tcPr>
          <w:p w14:paraId="66FDAFC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资产总额（Z）</w:t>
            </w:r>
          </w:p>
        </w:tc>
        <w:tc>
          <w:tcPr>
            <w:tcW w:w="673" w:type="pct"/>
            <w:tcBorders>
              <w:top w:val="single" w:color="auto" w:sz="4" w:space="0"/>
              <w:left w:val="single" w:color="auto" w:sz="4" w:space="0"/>
              <w:bottom w:val="single" w:color="auto" w:sz="4" w:space="0"/>
              <w:right w:val="single" w:color="auto" w:sz="4" w:space="0"/>
            </w:tcBorders>
            <w:vAlign w:val="center"/>
          </w:tcPr>
          <w:p w14:paraId="2D4C7C0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6A3E9DC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5000≤Z＜10000</w:t>
            </w:r>
          </w:p>
        </w:tc>
        <w:tc>
          <w:tcPr>
            <w:tcW w:w="902" w:type="pct"/>
            <w:tcBorders>
              <w:top w:val="single" w:color="auto" w:sz="4" w:space="0"/>
              <w:left w:val="single" w:color="auto" w:sz="4" w:space="0"/>
              <w:bottom w:val="single" w:color="auto" w:sz="4" w:space="0"/>
              <w:right w:val="single" w:color="auto" w:sz="4" w:space="0"/>
            </w:tcBorders>
            <w:vAlign w:val="center"/>
          </w:tcPr>
          <w:p w14:paraId="7F381D4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2000≤Y＜5000</w:t>
            </w:r>
          </w:p>
        </w:tc>
        <w:tc>
          <w:tcPr>
            <w:tcW w:w="578" w:type="pct"/>
            <w:tcBorders>
              <w:top w:val="single" w:color="auto" w:sz="4" w:space="0"/>
              <w:left w:val="single" w:color="auto" w:sz="4" w:space="0"/>
              <w:bottom w:val="single" w:color="auto" w:sz="4" w:space="0"/>
              <w:right w:val="single" w:color="auto" w:sz="12" w:space="0"/>
            </w:tcBorders>
            <w:vAlign w:val="center"/>
          </w:tcPr>
          <w:p w14:paraId="26C8374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Y＜2000</w:t>
            </w:r>
          </w:p>
        </w:tc>
      </w:tr>
      <w:tr w14:paraId="47443319">
        <w:tblPrEx>
          <w:tblCellMar>
            <w:top w:w="0" w:type="dxa"/>
            <w:left w:w="108" w:type="dxa"/>
            <w:bottom w:w="0" w:type="dxa"/>
            <w:right w:w="108" w:type="dxa"/>
          </w:tblCellMar>
        </w:tblPrEx>
        <w:trPr>
          <w:trHeight w:val="374" w:hRule="atLeast"/>
        </w:trPr>
        <w:tc>
          <w:tcPr>
            <w:tcW w:w="977" w:type="pct"/>
            <w:vMerge w:val="restart"/>
            <w:tcBorders>
              <w:top w:val="single" w:color="auto" w:sz="4" w:space="0"/>
              <w:left w:val="single" w:color="auto" w:sz="12" w:space="0"/>
              <w:bottom w:val="single" w:color="auto" w:sz="4" w:space="0"/>
              <w:right w:val="single" w:color="auto" w:sz="4" w:space="0"/>
            </w:tcBorders>
            <w:vAlign w:val="center"/>
          </w:tcPr>
          <w:p w14:paraId="2327CF1D">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物业管理</w:t>
            </w:r>
          </w:p>
        </w:tc>
        <w:tc>
          <w:tcPr>
            <w:tcW w:w="905" w:type="pct"/>
            <w:tcBorders>
              <w:top w:val="single" w:color="auto" w:sz="4" w:space="0"/>
              <w:left w:val="single" w:color="auto" w:sz="4" w:space="0"/>
              <w:bottom w:val="single" w:color="auto" w:sz="4" w:space="0"/>
              <w:right w:val="single" w:color="auto" w:sz="4" w:space="0"/>
            </w:tcBorders>
            <w:vAlign w:val="center"/>
          </w:tcPr>
          <w:p w14:paraId="4941405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673" w:type="pct"/>
            <w:tcBorders>
              <w:top w:val="single" w:color="auto" w:sz="4" w:space="0"/>
              <w:left w:val="single" w:color="auto" w:sz="4" w:space="0"/>
              <w:bottom w:val="single" w:color="auto" w:sz="4" w:space="0"/>
              <w:right w:val="single" w:color="auto" w:sz="4" w:space="0"/>
            </w:tcBorders>
            <w:vAlign w:val="center"/>
          </w:tcPr>
          <w:p w14:paraId="674EE56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962" w:type="pct"/>
            <w:tcBorders>
              <w:top w:val="single" w:color="auto" w:sz="4" w:space="0"/>
              <w:left w:val="single" w:color="auto" w:sz="4" w:space="0"/>
              <w:bottom w:val="single" w:color="auto" w:sz="4" w:space="0"/>
              <w:right w:val="single" w:color="auto" w:sz="4" w:space="0"/>
            </w:tcBorders>
            <w:vAlign w:val="center"/>
          </w:tcPr>
          <w:p w14:paraId="58C4AF4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300≤X＜1000</w:t>
            </w:r>
          </w:p>
        </w:tc>
        <w:tc>
          <w:tcPr>
            <w:tcW w:w="902" w:type="pct"/>
            <w:tcBorders>
              <w:top w:val="single" w:color="auto" w:sz="4" w:space="0"/>
              <w:left w:val="single" w:color="auto" w:sz="4" w:space="0"/>
              <w:bottom w:val="single" w:color="auto" w:sz="4" w:space="0"/>
              <w:right w:val="single" w:color="auto" w:sz="4" w:space="0"/>
            </w:tcBorders>
            <w:vAlign w:val="center"/>
          </w:tcPr>
          <w:p w14:paraId="0C84725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100≤X＜300</w:t>
            </w:r>
          </w:p>
        </w:tc>
        <w:tc>
          <w:tcPr>
            <w:tcW w:w="578" w:type="pct"/>
            <w:tcBorders>
              <w:top w:val="single" w:color="auto" w:sz="4" w:space="0"/>
              <w:left w:val="single" w:color="auto" w:sz="4" w:space="0"/>
              <w:bottom w:val="single" w:color="auto" w:sz="4" w:space="0"/>
              <w:right w:val="single" w:color="auto" w:sz="12" w:space="0"/>
            </w:tcBorders>
            <w:vAlign w:val="center"/>
          </w:tcPr>
          <w:p w14:paraId="502219C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X＜100</w:t>
            </w:r>
          </w:p>
        </w:tc>
      </w:tr>
      <w:tr w14:paraId="163AEB3D">
        <w:tblPrEx>
          <w:tblCellMar>
            <w:top w:w="0" w:type="dxa"/>
            <w:left w:w="108" w:type="dxa"/>
            <w:bottom w:w="0" w:type="dxa"/>
            <w:right w:w="108" w:type="dxa"/>
          </w:tblCellMar>
        </w:tblPrEx>
        <w:trPr>
          <w:trHeight w:val="374" w:hRule="atLeast"/>
        </w:trPr>
        <w:tc>
          <w:tcPr>
            <w:tcW w:w="977" w:type="pct"/>
            <w:vMerge w:val="continue"/>
            <w:tcBorders>
              <w:top w:val="single" w:color="auto" w:sz="4" w:space="0"/>
              <w:left w:val="single" w:color="auto" w:sz="12" w:space="0"/>
              <w:bottom w:val="single" w:color="auto" w:sz="4" w:space="0"/>
              <w:right w:val="single" w:color="auto" w:sz="4" w:space="0"/>
            </w:tcBorders>
            <w:vAlign w:val="center"/>
          </w:tcPr>
          <w:p w14:paraId="1E692252">
            <w:pPr>
              <w:widowControl/>
              <w:jc w:val="center"/>
              <w:rPr>
                <w:rFonts w:ascii="宋体" w:hAnsi="宋体" w:cs="宋体"/>
                <w:b/>
                <w:bCs/>
                <w:color w:val="auto"/>
                <w:kern w:val="0"/>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vAlign w:val="center"/>
          </w:tcPr>
          <w:p w14:paraId="42566E4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673" w:type="pct"/>
            <w:tcBorders>
              <w:top w:val="single" w:color="auto" w:sz="4" w:space="0"/>
              <w:left w:val="single" w:color="auto" w:sz="4" w:space="0"/>
              <w:bottom w:val="single" w:color="auto" w:sz="4" w:space="0"/>
              <w:right w:val="single" w:color="auto" w:sz="4" w:space="0"/>
            </w:tcBorders>
            <w:vAlign w:val="center"/>
          </w:tcPr>
          <w:p w14:paraId="08D115A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583941B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1000≤Y＜5000</w:t>
            </w:r>
          </w:p>
        </w:tc>
        <w:tc>
          <w:tcPr>
            <w:tcW w:w="902" w:type="pct"/>
            <w:tcBorders>
              <w:top w:val="single" w:color="auto" w:sz="4" w:space="0"/>
              <w:left w:val="single" w:color="auto" w:sz="4" w:space="0"/>
              <w:bottom w:val="single" w:color="auto" w:sz="4" w:space="0"/>
              <w:right w:val="single" w:color="auto" w:sz="4" w:space="0"/>
            </w:tcBorders>
            <w:vAlign w:val="center"/>
          </w:tcPr>
          <w:p w14:paraId="279A3E2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500≤Y＜1000</w:t>
            </w:r>
          </w:p>
        </w:tc>
        <w:tc>
          <w:tcPr>
            <w:tcW w:w="578" w:type="pct"/>
            <w:tcBorders>
              <w:top w:val="single" w:color="auto" w:sz="4" w:space="0"/>
              <w:left w:val="single" w:color="auto" w:sz="4" w:space="0"/>
              <w:bottom w:val="single" w:color="auto" w:sz="4" w:space="0"/>
              <w:right w:val="single" w:color="auto" w:sz="12" w:space="0"/>
            </w:tcBorders>
            <w:vAlign w:val="center"/>
          </w:tcPr>
          <w:p w14:paraId="63502F7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Y＜500</w:t>
            </w:r>
          </w:p>
        </w:tc>
      </w:tr>
      <w:tr w14:paraId="5156C37B">
        <w:tblPrEx>
          <w:tblCellMar>
            <w:top w:w="0" w:type="dxa"/>
            <w:left w:w="108" w:type="dxa"/>
            <w:bottom w:w="0" w:type="dxa"/>
            <w:right w:w="108" w:type="dxa"/>
          </w:tblCellMar>
        </w:tblPrEx>
        <w:trPr>
          <w:trHeight w:val="374" w:hRule="atLeast"/>
        </w:trPr>
        <w:tc>
          <w:tcPr>
            <w:tcW w:w="977" w:type="pct"/>
            <w:vMerge w:val="restart"/>
            <w:tcBorders>
              <w:top w:val="single" w:color="auto" w:sz="4" w:space="0"/>
              <w:left w:val="single" w:color="auto" w:sz="12" w:space="0"/>
              <w:bottom w:val="single" w:color="auto" w:sz="4" w:space="0"/>
              <w:right w:val="single" w:color="auto" w:sz="4" w:space="0"/>
            </w:tcBorders>
            <w:vAlign w:val="center"/>
          </w:tcPr>
          <w:p w14:paraId="6D5F3D4D">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租赁和商务服务业</w:t>
            </w:r>
          </w:p>
        </w:tc>
        <w:tc>
          <w:tcPr>
            <w:tcW w:w="905" w:type="pct"/>
            <w:tcBorders>
              <w:top w:val="single" w:color="auto" w:sz="4" w:space="0"/>
              <w:left w:val="single" w:color="auto" w:sz="4" w:space="0"/>
              <w:bottom w:val="single" w:color="auto" w:sz="4" w:space="0"/>
              <w:right w:val="single" w:color="auto" w:sz="4" w:space="0"/>
            </w:tcBorders>
            <w:vAlign w:val="center"/>
          </w:tcPr>
          <w:p w14:paraId="79BFB16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673" w:type="pct"/>
            <w:tcBorders>
              <w:top w:val="single" w:color="auto" w:sz="4" w:space="0"/>
              <w:left w:val="single" w:color="auto" w:sz="4" w:space="0"/>
              <w:bottom w:val="single" w:color="auto" w:sz="4" w:space="0"/>
              <w:right w:val="single" w:color="auto" w:sz="4" w:space="0"/>
            </w:tcBorders>
            <w:vAlign w:val="center"/>
          </w:tcPr>
          <w:p w14:paraId="4A049A3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962" w:type="pct"/>
            <w:tcBorders>
              <w:top w:val="single" w:color="auto" w:sz="4" w:space="0"/>
              <w:left w:val="single" w:color="auto" w:sz="4" w:space="0"/>
              <w:bottom w:val="single" w:color="auto" w:sz="4" w:space="0"/>
              <w:right w:val="single" w:color="auto" w:sz="4" w:space="0"/>
            </w:tcBorders>
            <w:vAlign w:val="center"/>
          </w:tcPr>
          <w:p w14:paraId="2D9C66C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100≤X＜300</w:t>
            </w:r>
          </w:p>
        </w:tc>
        <w:tc>
          <w:tcPr>
            <w:tcW w:w="902" w:type="pct"/>
            <w:tcBorders>
              <w:top w:val="single" w:color="auto" w:sz="4" w:space="0"/>
              <w:left w:val="single" w:color="auto" w:sz="4" w:space="0"/>
              <w:bottom w:val="single" w:color="auto" w:sz="4" w:space="0"/>
              <w:right w:val="single" w:color="auto" w:sz="4" w:space="0"/>
            </w:tcBorders>
            <w:vAlign w:val="center"/>
          </w:tcPr>
          <w:p w14:paraId="641FA85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10≤X＜100</w:t>
            </w:r>
          </w:p>
        </w:tc>
        <w:tc>
          <w:tcPr>
            <w:tcW w:w="578" w:type="pct"/>
            <w:tcBorders>
              <w:top w:val="single" w:color="auto" w:sz="4" w:space="0"/>
              <w:left w:val="single" w:color="auto" w:sz="4" w:space="0"/>
              <w:bottom w:val="single" w:color="auto" w:sz="4" w:space="0"/>
              <w:right w:val="single" w:color="auto" w:sz="12" w:space="0"/>
            </w:tcBorders>
            <w:vAlign w:val="center"/>
          </w:tcPr>
          <w:p w14:paraId="2D8B3AA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r>
      <w:tr w14:paraId="609A1A9A">
        <w:tblPrEx>
          <w:tblCellMar>
            <w:top w:w="0" w:type="dxa"/>
            <w:left w:w="108" w:type="dxa"/>
            <w:bottom w:w="0" w:type="dxa"/>
            <w:right w:w="108" w:type="dxa"/>
          </w:tblCellMar>
        </w:tblPrEx>
        <w:trPr>
          <w:trHeight w:val="374" w:hRule="atLeast"/>
        </w:trPr>
        <w:tc>
          <w:tcPr>
            <w:tcW w:w="977" w:type="pct"/>
            <w:vMerge w:val="continue"/>
            <w:tcBorders>
              <w:top w:val="single" w:color="auto" w:sz="4" w:space="0"/>
              <w:left w:val="single" w:color="auto" w:sz="12" w:space="0"/>
              <w:bottom w:val="single" w:color="auto" w:sz="4" w:space="0"/>
              <w:right w:val="single" w:color="auto" w:sz="4" w:space="0"/>
            </w:tcBorders>
            <w:vAlign w:val="center"/>
          </w:tcPr>
          <w:p w14:paraId="08962E36">
            <w:pPr>
              <w:widowControl/>
              <w:jc w:val="left"/>
              <w:rPr>
                <w:rFonts w:ascii="宋体" w:hAnsi="宋体" w:cs="宋体"/>
                <w:b/>
                <w:bCs/>
                <w:color w:val="auto"/>
                <w:kern w:val="0"/>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vAlign w:val="center"/>
          </w:tcPr>
          <w:p w14:paraId="0477900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资产总额（Z）</w:t>
            </w:r>
          </w:p>
        </w:tc>
        <w:tc>
          <w:tcPr>
            <w:tcW w:w="673" w:type="pct"/>
            <w:tcBorders>
              <w:top w:val="single" w:color="auto" w:sz="4" w:space="0"/>
              <w:left w:val="single" w:color="auto" w:sz="4" w:space="0"/>
              <w:bottom w:val="single" w:color="auto" w:sz="4" w:space="0"/>
              <w:right w:val="single" w:color="auto" w:sz="4" w:space="0"/>
            </w:tcBorders>
            <w:vAlign w:val="center"/>
          </w:tcPr>
          <w:p w14:paraId="79DC4DA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139BF0F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8000≤Z＜120000</w:t>
            </w:r>
          </w:p>
        </w:tc>
        <w:tc>
          <w:tcPr>
            <w:tcW w:w="902" w:type="pct"/>
            <w:tcBorders>
              <w:top w:val="single" w:color="auto" w:sz="4" w:space="0"/>
              <w:left w:val="single" w:color="auto" w:sz="4" w:space="0"/>
              <w:bottom w:val="single" w:color="auto" w:sz="4" w:space="0"/>
              <w:right w:val="single" w:color="auto" w:sz="4" w:space="0"/>
            </w:tcBorders>
            <w:vAlign w:val="center"/>
          </w:tcPr>
          <w:p w14:paraId="6077D96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100≤Z＜8000</w:t>
            </w:r>
          </w:p>
        </w:tc>
        <w:tc>
          <w:tcPr>
            <w:tcW w:w="578" w:type="pct"/>
            <w:tcBorders>
              <w:top w:val="single" w:color="auto" w:sz="4" w:space="0"/>
              <w:left w:val="single" w:color="auto" w:sz="4" w:space="0"/>
              <w:bottom w:val="single" w:color="auto" w:sz="4" w:space="0"/>
              <w:right w:val="single" w:color="auto" w:sz="12" w:space="0"/>
            </w:tcBorders>
            <w:vAlign w:val="center"/>
          </w:tcPr>
          <w:p w14:paraId="70DCC5B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r>
      <w:tr w14:paraId="53127A3C">
        <w:tblPrEx>
          <w:tblCellMar>
            <w:top w:w="0" w:type="dxa"/>
            <w:left w:w="108" w:type="dxa"/>
            <w:bottom w:w="0" w:type="dxa"/>
            <w:right w:w="108" w:type="dxa"/>
          </w:tblCellMar>
        </w:tblPrEx>
        <w:trPr>
          <w:trHeight w:val="395" w:hRule="atLeast"/>
        </w:trPr>
        <w:tc>
          <w:tcPr>
            <w:tcW w:w="977" w:type="pct"/>
            <w:tcBorders>
              <w:top w:val="single" w:color="auto" w:sz="4" w:space="0"/>
              <w:left w:val="single" w:color="auto" w:sz="12" w:space="0"/>
              <w:bottom w:val="single" w:color="auto" w:sz="12" w:space="0"/>
              <w:right w:val="single" w:color="auto" w:sz="4" w:space="0"/>
            </w:tcBorders>
            <w:vAlign w:val="bottom"/>
          </w:tcPr>
          <w:p w14:paraId="12FB8267">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其他未列明行业</w:t>
            </w:r>
          </w:p>
        </w:tc>
        <w:tc>
          <w:tcPr>
            <w:tcW w:w="905" w:type="pct"/>
            <w:tcBorders>
              <w:top w:val="single" w:color="auto" w:sz="4" w:space="0"/>
              <w:left w:val="single" w:color="auto" w:sz="4" w:space="0"/>
              <w:bottom w:val="single" w:color="auto" w:sz="12" w:space="0"/>
              <w:right w:val="single" w:color="auto" w:sz="4" w:space="0"/>
            </w:tcBorders>
            <w:vAlign w:val="center"/>
          </w:tcPr>
          <w:p w14:paraId="55C677F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673" w:type="pct"/>
            <w:tcBorders>
              <w:top w:val="single" w:color="auto" w:sz="4" w:space="0"/>
              <w:left w:val="single" w:color="auto" w:sz="4" w:space="0"/>
              <w:bottom w:val="single" w:color="auto" w:sz="12" w:space="0"/>
              <w:right w:val="single" w:color="auto" w:sz="4" w:space="0"/>
            </w:tcBorders>
            <w:vAlign w:val="center"/>
          </w:tcPr>
          <w:p w14:paraId="39F4402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962" w:type="pct"/>
            <w:tcBorders>
              <w:top w:val="single" w:color="auto" w:sz="4" w:space="0"/>
              <w:left w:val="single" w:color="auto" w:sz="4" w:space="0"/>
              <w:bottom w:val="single" w:color="auto" w:sz="12" w:space="0"/>
              <w:right w:val="single" w:color="auto" w:sz="4" w:space="0"/>
            </w:tcBorders>
            <w:vAlign w:val="center"/>
          </w:tcPr>
          <w:p w14:paraId="6A4EE03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100≤X＜300</w:t>
            </w:r>
          </w:p>
        </w:tc>
        <w:tc>
          <w:tcPr>
            <w:tcW w:w="902" w:type="pct"/>
            <w:tcBorders>
              <w:top w:val="single" w:color="auto" w:sz="4" w:space="0"/>
              <w:left w:val="single" w:color="auto" w:sz="4" w:space="0"/>
              <w:bottom w:val="single" w:color="auto" w:sz="12" w:space="0"/>
              <w:right w:val="single" w:color="auto" w:sz="4" w:space="0"/>
            </w:tcBorders>
            <w:vAlign w:val="center"/>
          </w:tcPr>
          <w:p w14:paraId="6EFC0D4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10≤X＜100</w:t>
            </w:r>
          </w:p>
        </w:tc>
        <w:tc>
          <w:tcPr>
            <w:tcW w:w="578" w:type="pct"/>
            <w:tcBorders>
              <w:top w:val="single" w:color="auto" w:sz="4" w:space="0"/>
              <w:left w:val="single" w:color="auto" w:sz="4" w:space="0"/>
              <w:bottom w:val="single" w:color="auto" w:sz="12" w:space="0"/>
              <w:right w:val="single" w:color="auto" w:sz="12" w:space="0"/>
            </w:tcBorders>
            <w:vAlign w:val="center"/>
          </w:tcPr>
          <w:p w14:paraId="5695FCD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r>
    </w:tbl>
    <w:p w14:paraId="06E8225F">
      <w:pPr>
        <w:widowControl/>
        <w:jc w:val="left"/>
        <w:rPr>
          <w:rFonts w:ascii="宋体" w:hAnsi="宋体" w:cs="宋体"/>
          <w:color w:val="auto"/>
          <w:sz w:val="18"/>
          <w:szCs w:val="18"/>
          <w:highlight w:val="none"/>
        </w:rPr>
      </w:pPr>
      <w:r>
        <w:rPr>
          <w:rFonts w:hint="eastAsia" w:ascii="宋体" w:hAnsi="宋体" w:cs="宋体"/>
          <w:color w:val="auto"/>
          <w:sz w:val="18"/>
          <w:szCs w:val="18"/>
          <w:highlight w:val="none"/>
        </w:rPr>
        <w:t>说明：上述标准参照《关于印发中小企业划型标准规定的通知》（工信部联企业[2011]300号），大型、中型和小型企业须同时满足所列指标的下限，否则下划一档；微型企业只需满足所列指标中的一项即可。</w:t>
      </w:r>
    </w:p>
    <w:p w14:paraId="127B506F">
      <w:pPr>
        <w:rPr>
          <w:color w:val="auto"/>
          <w:highlight w:val="none"/>
        </w:rPr>
      </w:pPr>
    </w:p>
    <w:p w14:paraId="1FC97576">
      <w:pPr>
        <w:pStyle w:val="3"/>
        <w:jc w:val="center"/>
        <w:rPr>
          <w:rFonts w:ascii="宋体" w:hAnsi="宋体" w:cs="宋体"/>
          <w:color w:val="auto"/>
          <w:highlight w:val="none"/>
        </w:rPr>
      </w:pPr>
      <w:bookmarkStart w:id="67" w:name="_Toc2387"/>
      <w:r>
        <w:rPr>
          <w:rFonts w:hint="eastAsia" w:ascii="宋体" w:hAnsi="宋体" w:cs="宋体"/>
          <w:color w:val="auto"/>
          <w:highlight w:val="none"/>
        </w:rPr>
        <w:t>第四章 评审程序、评审方法和评审标准</w:t>
      </w:r>
      <w:bookmarkEnd w:id="67"/>
    </w:p>
    <w:p w14:paraId="0EAC001E">
      <w:pPr>
        <w:jc w:val="center"/>
        <w:rPr>
          <w:b/>
          <w:bCs/>
          <w:color w:val="auto"/>
          <w:sz w:val="32"/>
          <w:szCs w:val="32"/>
          <w:highlight w:val="none"/>
        </w:rPr>
      </w:pPr>
      <w:r>
        <w:rPr>
          <w:rFonts w:hint="eastAsia"/>
          <w:b/>
          <w:bCs/>
          <w:color w:val="auto"/>
          <w:sz w:val="32"/>
          <w:szCs w:val="32"/>
          <w:highlight w:val="none"/>
        </w:rPr>
        <w:t>一、评审程序和评审方法</w:t>
      </w:r>
    </w:p>
    <w:p w14:paraId="778D46F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1.资格审查</w:t>
      </w:r>
    </w:p>
    <w:p w14:paraId="01E8DAF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1.1响应文件开启后，磋商小组依法对供应商的资格证明文件进行审查。</w:t>
      </w:r>
    </w:p>
    <w:p w14:paraId="5D25BA4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r>
        <w:rPr>
          <w:rFonts w:hint="eastAsia" w:ascii="宋体" w:hAnsi="宋体" w:cs="宋体"/>
          <w:color w:val="auto"/>
          <w:highlight w:val="none"/>
        </w:rPr>
        <w:t>磋商小组</w:t>
      </w:r>
      <w:r>
        <w:rPr>
          <w:rFonts w:hint="eastAsia" w:ascii="宋体" w:hAnsi="宋体" w:cs="宋体"/>
          <w:color w:val="auto"/>
          <w:szCs w:val="21"/>
          <w:highlight w:val="none"/>
        </w:rPr>
        <w:t>在资格审查结束前，对供应商进行信用查询。</w:t>
      </w:r>
    </w:p>
    <w:p w14:paraId="0B673F1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（1）查询渠道：广西政府采购云平台“信用中国”网站(www.creditchina.gov.cn)、中国政府采购网(www.ccgp.gov.cn)链接入口。</w:t>
      </w:r>
    </w:p>
    <w:p w14:paraId="12ECEA7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25EABFA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14:paraId="39C731E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p w14:paraId="29D222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1.2资格审查标准为本磋商文件中载明对供应商资格要求的条件。资格审查采用合格制，凡符合磋商文件规定的供应商资格要求的响应文件均通过资格审查。</w:t>
      </w:r>
    </w:p>
    <w:p w14:paraId="7D7A53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1.3供应商有下列情形之一的，资格审查不通过，其响应文件按无效响应处理：</w:t>
      </w:r>
    </w:p>
    <w:p w14:paraId="58E77D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43C606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（2）未按磋商文件规定的方式获取本磋商文件的供应商；</w:t>
      </w:r>
    </w:p>
    <w:p w14:paraId="1EE861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（3）响应文件的资格证明文件缺少任一项“供应商须知前附表”资格证明文件规定的“必须提供”的文件资料的；</w:t>
      </w:r>
    </w:p>
    <w:p w14:paraId="53E645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（4）响应文件中的资格证明文件出现任一项不符合“供应商须知前附表”资格证明文件规定的“必须提供”的文件资料要求或者无效的；</w:t>
      </w:r>
    </w:p>
    <w:p w14:paraId="440668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（5）同一合同项下的不同供应商，单位负责人为同一人或者存在直接控股、管理关系的；为本项目提供过整体设计、规范编制或者项目管理、监理、检测等服务的供应商，再参加该采购项目的其他采购活动的。</w:t>
      </w:r>
    </w:p>
    <w:p w14:paraId="44DDCE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1.4通过资格审查的合格供应商不足3家的，不得进入符合性审查环节，采购人或者采购代理机构应当重新开展采购活动。</w:t>
      </w:r>
    </w:p>
    <w:p w14:paraId="0C370A5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2.符合性审查</w:t>
      </w:r>
    </w:p>
    <w:p w14:paraId="36946CDE">
      <w:pPr>
        <w:spacing w:line="360" w:lineRule="auto"/>
        <w:ind w:firstLine="420" w:firstLineChars="200"/>
        <w:rPr>
          <w:rFonts w:ascii="宋体" w:hAnsi="宋体" w:cs="宋体"/>
          <w:color w:val="auto"/>
          <w:szCs w:val="21"/>
          <w:highlight w:val="none"/>
        </w:rPr>
      </w:pPr>
      <w:bookmarkStart w:id="68" w:name="_Hlk42528882"/>
      <w:r>
        <w:rPr>
          <w:rFonts w:hint="eastAsia" w:ascii="宋体" w:hAnsi="宋体" w:cs="宋体"/>
          <w:color w:val="auto"/>
          <w:szCs w:val="21"/>
          <w:highlight w:val="none"/>
        </w:rPr>
        <w:t>2.1由磋商小组对通过资格审查的合格供应商的响应文件的竞标报价、商务、技术等实质性要求进行符合性审查，以确定其是否满足磋商文件的实质性要求。</w:t>
      </w:r>
    </w:p>
    <w:bookmarkEnd w:id="68"/>
    <w:p w14:paraId="772162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6CCD13E">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ascii="宋体" w:hAnsi="宋体" w:cs="宋体"/>
          <w:color w:val="auto"/>
          <w:highlight w:val="none"/>
        </w:rPr>
        <w:t>签章</w:t>
      </w:r>
      <w:r>
        <w:rPr>
          <w:rFonts w:hint="eastAsia" w:ascii="宋体" w:hAnsi="宋体" w:cs="宋体"/>
          <w:color w:val="auto"/>
          <w:spacing w:val="-6"/>
          <w:szCs w:val="21"/>
          <w:highlight w:val="none"/>
        </w:rPr>
        <w:t>。</w:t>
      </w:r>
    </w:p>
    <w:p w14:paraId="0A842466">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磋商小组以书面形式要求供应商在规定时间内做出必要的澄清、说明或者补正。供应商的澄清、说明或者补正必须采用书面形式，并加盖公章，或者由法定代表人或者其授权的代表签字。</w:t>
      </w:r>
    </w:p>
    <w:p w14:paraId="0A750D9D">
      <w:pPr>
        <w:spacing w:line="360" w:lineRule="auto"/>
        <w:ind w:firstLine="396" w:firstLineChars="200"/>
        <w:rPr>
          <w:rFonts w:ascii="宋体" w:hAnsi="宋体" w:cs="宋体"/>
          <w:color w:val="auto"/>
          <w:szCs w:val="21"/>
          <w:highlight w:val="none"/>
        </w:rPr>
      </w:pPr>
      <w:r>
        <w:rPr>
          <w:rFonts w:hint="eastAsia"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4797E8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29B0CD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7ED896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560CB6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40BBF1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052EDF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2.5商务技术报价评审</w:t>
      </w:r>
    </w:p>
    <w:p w14:paraId="724128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48BDE7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387400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55459B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2）委托代理人未能出具有效身份证或者出具的身份证与授权委托书中的信息不符的； </w:t>
      </w:r>
    </w:p>
    <w:p w14:paraId="6A66AB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3）提交的磋商保证金无效的或者未按照磋商文件的规定提交磋商保证金；</w:t>
      </w:r>
    </w:p>
    <w:p w14:paraId="7FD346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67338F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5）商务要求允许负偏离的条款数超过“供应商须知前附表”规定项数的；</w:t>
      </w:r>
    </w:p>
    <w:p w14:paraId="402764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6）未对竞标有效期作出响应或者响应文件承诺的竞标有效期不满足磋商文件要求；</w:t>
      </w:r>
    </w:p>
    <w:p w14:paraId="424C43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7）响应文件的实质性内容未使用中文表述、使用计量单位不符合磋商文件要求；</w:t>
      </w:r>
    </w:p>
    <w:p w14:paraId="02B971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8）响应文件中的文件资料因填写不齐全或者内容虚假或者出现其他情形而导致被磋商小组认定无效；</w:t>
      </w:r>
    </w:p>
    <w:p w14:paraId="1F426F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9）响应文件含有采购人不能接受的附加条件；</w:t>
      </w:r>
    </w:p>
    <w:p w14:paraId="52ADB5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10）属于“供应商须知正文”第7.5条情形；</w:t>
      </w:r>
    </w:p>
    <w:p w14:paraId="6D06CA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11）技术要求允许负偏离的条款数超过“供应商须知前附表”规定项数；</w:t>
      </w:r>
    </w:p>
    <w:p w14:paraId="388BB00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12）虚假竞标，或者出现其他情形而导致被磋商小组认定无效；</w:t>
      </w:r>
    </w:p>
    <w:p w14:paraId="61EC13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w:t>
      </w:r>
      <w:bookmarkStart w:id="69" w:name="_Hlk71704147"/>
      <w:r>
        <w:rPr>
          <w:rFonts w:hint="eastAsia" w:ascii="宋体" w:hAnsi="宋体" w:cs="宋体"/>
          <w:color w:val="auto"/>
          <w:szCs w:val="21"/>
          <w:highlight w:val="none"/>
        </w:rPr>
        <w:t>磋商文件未载明允许提供备选（替代）竞标方案或明确不允许提供备选（替代）竞标方案时，供应商提供了备选（替代）竞标方案的；</w:t>
      </w:r>
      <w:bookmarkEnd w:id="69"/>
    </w:p>
    <w:p w14:paraId="38C30F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14）响应文件标注的项目名称或者项目编号与磋商文件标注的项目名称或者项目编号不一致的；</w:t>
      </w:r>
    </w:p>
    <w:p w14:paraId="2E236D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s="宋体"/>
          <w:b/>
          <w:color w:val="auto"/>
          <w:szCs w:val="21"/>
          <w:highlight w:val="none"/>
        </w:rPr>
        <w:t>竞争性磋商文件明确不允许分包，响应文件拟分包的；</w:t>
      </w:r>
    </w:p>
    <w:p w14:paraId="2032AD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16）未响应磋商文件实质性要求；</w:t>
      </w:r>
    </w:p>
    <w:p w14:paraId="5328C8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17）法律、法规和磋商文件规定的其他无效情形。</w:t>
      </w:r>
    </w:p>
    <w:p w14:paraId="5EABEC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（2）报价评审</w:t>
      </w:r>
    </w:p>
    <w:p w14:paraId="04A106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报价文件中规定的“竞标报价表”；</w:t>
      </w:r>
    </w:p>
    <w:p w14:paraId="309075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30E7FC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项目/分标进行报价或者存在漏项报价；供应商未就所竞标项目/分标的单项内容作唯一报价；供应商未就所竞标项目/分标的全部内容作唯一总价报价；供应商响应文件中存在有选择、有条件报价的（磋商文件允许有备选方案或者其他约定的除外）；</w:t>
      </w:r>
    </w:p>
    <w:p w14:paraId="4EDDB0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报价（包含首次报价、最后报价）超过所竞标项目/分标规定的采购预算金额或者最高限价的（如本项目公布了最高限价）；响应报价（包含首次报价、最后报价）超过磋商文件分项采购预算金额或者最高限价的（如本项目公布了最高限价）；</w:t>
      </w:r>
    </w:p>
    <w:p w14:paraId="29C3AB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项目/分标规定的采购预算金额或者最高限价（如本项目公布了最高限价）；或者经供应商确认修正后响应报价（包含首次报价、最后报价）超过磋商文件分项采购预算金额或者最高限价的（如本项目公布了最高限价）。</w:t>
      </w:r>
    </w:p>
    <w:p w14:paraId="528759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6）响应文件响应的标的数量及单位与竞争性磋商采购文件要求实质性不一致的。</w:t>
      </w:r>
    </w:p>
    <w:p w14:paraId="2D902C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0F1014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2.7通过符合性审查的合格供应商不足3家的，不得进入磋商环节，采购人或者采购代理机构应当重新开展采购活动。</w:t>
      </w:r>
    </w:p>
    <w:p w14:paraId="76EB04B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3.磋商程序</w:t>
      </w:r>
    </w:p>
    <w:p w14:paraId="31219A4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3.1磋商小组</w:t>
      </w:r>
      <w:r>
        <w:rPr>
          <w:rFonts w:hint="eastAsia" w:ascii="宋体" w:hAnsi="宋体" w:cs="宋体"/>
          <w:color w:val="auto"/>
          <w:szCs w:val="21"/>
          <w:highlight w:val="none"/>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71288A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B65BC7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3.3对磋商文件作出的实质性变动是磋商文件的有效组成部分，由磋商小组及时以电子澄清函形式同时通知所有参加磋商的供应商。</w:t>
      </w:r>
    </w:p>
    <w:p w14:paraId="48FB5D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3.4供应商必须按照磋商文件的变动情况和磋商小组的要求以回函的形式重新提交响应文件，并加盖电子签章。参加磋商的供应商未在规定时间内重新提交响应文件的，视同退出磋商，其响应文件按无效处理。</w:t>
      </w:r>
    </w:p>
    <w:p w14:paraId="6E3BC3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3.5磋商中，</w:t>
      </w:r>
      <w:r>
        <w:rPr>
          <w:rFonts w:hint="eastAsia" w:ascii="宋体" w:hAnsi="宋体" w:cs="宋体"/>
          <w:color w:val="auto"/>
          <w:spacing w:val="-6"/>
          <w:szCs w:val="21"/>
          <w:highlight w:val="none"/>
        </w:rPr>
        <w:t>磋商的任何一方不得透露与磋商有关的其他供应商的技术资料、价格和其他信息。</w:t>
      </w:r>
    </w:p>
    <w:p w14:paraId="05C0AE0E">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3.6采购代理机构对磋商过程和重要磋商内容进行记录。</w:t>
      </w:r>
    </w:p>
    <w:p w14:paraId="4BE20868">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3.7</w:t>
      </w:r>
      <w:r>
        <w:rPr>
          <w:rFonts w:hint="eastAsia" w:ascii="宋体" w:hAnsi="宋体" w:cs="宋体"/>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396955E6">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3.8除</w:t>
      </w:r>
      <w:r>
        <w:rPr>
          <w:rFonts w:hint="eastAsia" w:ascii="宋体" w:hAnsi="宋体" w:cs="宋体"/>
          <w:color w:val="auto"/>
          <w:highlight w:val="none"/>
        </w:rPr>
        <w:t>本章第3.7条情形外，</w:t>
      </w:r>
      <w:r>
        <w:rPr>
          <w:rFonts w:hint="eastAsia" w:ascii="宋体" w:hAnsi="宋体" w:cs="宋体"/>
          <w:color w:val="auto"/>
          <w:szCs w:val="21"/>
          <w:highlight w:val="none"/>
        </w:rPr>
        <w:t>对磋商过程提交的响应文件进行有效性、完整性和响应程度审查，通过审查的合格供应商不足3家的，采购人或者采购代理机构应当重新开展采购活动。</w:t>
      </w:r>
    </w:p>
    <w:p w14:paraId="19112369">
      <w:pPr>
        <w:spacing w:line="360" w:lineRule="auto"/>
        <w:ind w:firstLine="482" w:firstLineChars="200"/>
        <w:rPr>
          <w:rFonts w:ascii="宋体" w:hAnsi="宋体" w:cs="宋体"/>
          <w:color w:val="auto"/>
          <w:szCs w:val="21"/>
          <w:highlight w:val="none"/>
        </w:rPr>
      </w:pPr>
      <w:r>
        <w:rPr>
          <w:rFonts w:hint="eastAsia" w:ascii="宋体" w:hAnsi="宋体" w:cs="宋体"/>
          <w:b/>
          <w:bCs/>
          <w:color w:val="auto"/>
          <w:sz w:val="24"/>
          <w:highlight w:val="none"/>
        </w:rPr>
        <w:t>4. 最后报价</w:t>
      </w:r>
    </w:p>
    <w:p w14:paraId="418838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磋商文件能够详细列明采购标的的技术、服务要求的，磋商结束后，磋商小组应当要求所有继续参加磋商的供应商在规定时间内在广西政府采购云平台开标大厅提交最后报价，除本章第4.3条外，提交最后报价的供应商不得少于3家，否则必须重新采购。</w:t>
      </w:r>
    </w:p>
    <w:p w14:paraId="21E1F5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748277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 最后报价是供应商响应文件的有效组成部分。符合《政府采购竞争性磋商采购方式管理暂行办法》（财库〔2014〕214号）第三条第四项“市场竞争不充分的科研项目，以及需要扶持的科技成果转化项目”和</w:t>
      </w:r>
      <w:r>
        <w:rPr>
          <w:rFonts w:hint="eastAsia" w:ascii="宋体" w:hAnsi="宋体" w:cs="宋体"/>
          <w:color w:val="auto"/>
          <w:highlight w:val="none"/>
        </w:rPr>
        <w:t>本章第3.7条情形的，</w:t>
      </w:r>
      <w:r>
        <w:rPr>
          <w:rFonts w:hint="eastAsia" w:ascii="宋体" w:hAnsi="宋体" w:cs="宋体"/>
          <w:color w:val="auto"/>
          <w:szCs w:val="21"/>
          <w:highlight w:val="none"/>
        </w:rPr>
        <w:t>提交最后报价的供应商可以为2家。</w:t>
      </w:r>
    </w:p>
    <w:p w14:paraId="4C1CD4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090B83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4.5供应商未在规定时间内提交最后报价的，视同退出磋商，其响应文件按无效处理。</w:t>
      </w:r>
    </w:p>
    <w:p w14:paraId="19B8C5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4.6最后报价统一开启后，磋商小组对最后报价进行有效性、完整性和响应程度的审查。</w:t>
      </w:r>
    </w:p>
    <w:p w14:paraId="606DCB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4.7最后报价出现前后不一致的，按照本章第2.4条的规定修正。 </w:t>
      </w:r>
    </w:p>
    <w:p w14:paraId="6F3676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4.8修正后的报价出现下列情形的，按无效响应处理：</w:t>
      </w:r>
    </w:p>
    <w:p w14:paraId="177000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3EC78F04">
      <w:pPr>
        <w:tabs>
          <w:tab w:val="left" w:pos="2835"/>
        </w:tabs>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（2）经供应商确认修正后的响应报价（包含首次报价、最后报价）超过所竞标</w:t>
      </w:r>
      <w:r>
        <w:rPr>
          <w:rFonts w:hint="eastAsia" w:ascii="宋体" w:hAnsi="宋体" w:cs="宋体"/>
          <w:color w:val="auto"/>
          <w:szCs w:val="21"/>
          <w:highlight w:val="none"/>
        </w:rPr>
        <w:t>项目/分标</w:t>
      </w:r>
      <w:r>
        <w:rPr>
          <w:rFonts w:hint="eastAsia" w:ascii="宋体" w:hAnsi="宋体"/>
          <w:color w:val="auto"/>
          <w:szCs w:val="21"/>
          <w:highlight w:val="none"/>
        </w:rPr>
        <w:t>规定的采购预算金额或者最高限价的（如本项目公布了最高限价）；</w:t>
      </w:r>
    </w:p>
    <w:p w14:paraId="08C66386">
      <w:pPr>
        <w:tabs>
          <w:tab w:val="left" w:pos="2835"/>
        </w:tabs>
        <w:spacing w:line="500" w:lineRule="exact"/>
        <w:ind w:firstLine="420" w:firstLineChars="200"/>
        <w:rPr>
          <w:rFonts w:ascii="宋体" w:hAnsi="宋体" w:cs="宋体"/>
          <w:color w:val="auto"/>
          <w:szCs w:val="21"/>
          <w:highlight w:val="none"/>
        </w:rPr>
      </w:pPr>
      <w:r>
        <w:rPr>
          <w:rFonts w:hint="eastAsia" w:ascii="宋体" w:hAnsi="宋体"/>
          <w:color w:val="auto"/>
          <w:szCs w:val="21"/>
          <w:highlight w:val="none"/>
        </w:rPr>
        <w:t>（3）经供应商确认修正后的响应报价（包含首次报价、最后报价）超过分项采购预算金额或者最高限价的（如本项目公布了最高限价）。</w:t>
      </w:r>
    </w:p>
    <w:p w14:paraId="3DE4C1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4.9经供应商确认修正后的最后报价作为评审及签订合同的依据。</w:t>
      </w:r>
    </w:p>
    <w:p w14:paraId="0BE7EE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4.10供应商出现最后报价按无效响应处理或者响应文件按无效处理时，磋商小组应当告知有关供应商。</w:t>
      </w:r>
    </w:p>
    <w:p w14:paraId="5BC13B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4.11最后报价结束后，磋商小组不得再与供应商进行任何形式的商谈。</w:t>
      </w:r>
    </w:p>
    <w:p w14:paraId="1F16DE4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5.比较与评价</w:t>
      </w:r>
    </w:p>
    <w:p w14:paraId="4B5A10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5.1评审方法：综合评分法。</w:t>
      </w:r>
    </w:p>
    <w:p w14:paraId="59472F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5.2经磋商确定最终采购需求和提交最后报价的供应商后，由磋商小组采用综合评分法对提交最后报价的供应商的响应文件和最后报价进行综合评分。</w:t>
      </w:r>
    </w:p>
    <w:p w14:paraId="1B03B8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5.3评审时，磋商小组各成员应当独立对每个有效响应的文件进行评价、打分，然后汇总每个供应商每项评分因素的得分。</w:t>
      </w:r>
    </w:p>
    <w:p w14:paraId="78C62B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656F41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783893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5.4评审价为供应商的最后报价进行政策性扣除后的价格，评审价只是作为评审时使用。最终成交供应商的成交金额等于最后报价（如有修正，以确认修正后的最后报价为准）。</w:t>
      </w:r>
    </w:p>
    <w:p w14:paraId="2D7D5C5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5.5由磋商小组根据综合评分情况，按照评审得分由高到低顺序推荐3名以上成交候选供应商，并编写评</w:t>
      </w:r>
      <w:r>
        <w:rPr>
          <w:rFonts w:hint="eastAsia" w:ascii="宋体" w:hAnsi="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3D4BA2CF">
      <w:pPr>
        <w:spacing w:line="360" w:lineRule="auto"/>
        <w:ind w:firstLine="420" w:firstLineChars="200"/>
        <w:rPr>
          <w:rFonts w:ascii="宋体" w:hAnsi="宋体" w:cs="宋体"/>
          <w:bCs/>
          <w:color w:val="auto"/>
          <w:szCs w:val="21"/>
          <w:highlight w:val="none"/>
        </w:rPr>
      </w:pPr>
      <w:r>
        <w:rPr>
          <w:rFonts w:hint="eastAsia" w:ascii="宋体" w:hAnsi="宋体" w:cs="宋体"/>
          <w:color w:val="auto"/>
          <w:kern w:val="0"/>
          <w:szCs w:val="21"/>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9B1C40E">
      <w:pPr>
        <w:jc w:val="center"/>
        <w:rPr>
          <w:rFonts w:ascii="宋体" w:hAnsi="宋体" w:cs="宋体"/>
          <w:b/>
          <w:color w:val="auto"/>
          <w:szCs w:val="32"/>
          <w:highlight w:val="none"/>
        </w:rPr>
      </w:pPr>
      <w:r>
        <w:rPr>
          <w:rFonts w:hint="eastAsia"/>
          <w:b/>
          <w:bCs/>
          <w:color w:val="auto"/>
          <w:sz w:val="32"/>
          <w:szCs w:val="32"/>
          <w:highlight w:val="none"/>
        </w:rPr>
        <w:t>二、评审标准</w:t>
      </w:r>
    </w:p>
    <w:p w14:paraId="53BB134B">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6.评审依据：磋商小组将以磋商响应文件为评审依据，对供应商的报价、技术、商务等方面内容按百分制打分。（计分方法按四舍五入取至百分位）</w:t>
      </w:r>
    </w:p>
    <w:p w14:paraId="4AE005A7">
      <w:pPr>
        <w:pStyle w:val="17"/>
        <w:ind w:left="0" w:firstLine="420" w:firstLineChars="200"/>
        <w:rPr>
          <w:rFonts w:ascii="宋体" w:hAnsi="宋体" w:cs="宋体"/>
          <w:bCs/>
          <w:color w:val="auto"/>
          <w:kern w:val="2"/>
          <w:szCs w:val="21"/>
          <w:highlight w:val="none"/>
        </w:rPr>
      </w:pPr>
      <w:r>
        <w:rPr>
          <w:rFonts w:hint="eastAsia" w:ascii="宋体" w:hAnsi="宋体" w:cs="宋体"/>
          <w:bCs/>
          <w:color w:val="auto"/>
          <w:kern w:val="2"/>
          <w:szCs w:val="21"/>
          <w:highlight w:val="none"/>
        </w:rPr>
        <w:t>7.评标顺序：按分标1→分标2进行</w:t>
      </w:r>
    </w:p>
    <w:p w14:paraId="0F45B69B">
      <w:pPr>
        <w:pStyle w:val="17"/>
        <w:ind w:left="0" w:firstLine="402" w:firstLineChars="200"/>
        <w:jc w:val="center"/>
        <w:rPr>
          <w:rFonts w:ascii="宋体" w:hAnsi="宋体" w:cs="宋体"/>
          <w:b/>
          <w:bCs/>
          <w:color w:val="auto"/>
          <w:kern w:val="2"/>
          <w:szCs w:val="21"/>
          <w:highlight w:val="none"/>
        </w:rPr>
      </w:pPr>
      <w:r>
        <w:rPr>
          <w:b/>
          <w:bCs/>
          <w:color w:val="auto"/>
          <w:spacing w:val="-5"/>
          <w:highlight w:val="none"/>
        </w:rPr>
        <w:t>综合评分法</w:t>
      </w:r>
      <w:r>
        <w:rPr>
          <w:rFonts w:hint="eastAsia"/>
          <w:b/>
          <w:bCs/>
          <w:color w:val="auto"/>
          <w:highlight w:val="none"/>
        </w:rPr>
        <w:t>（适用分标1）</w:t>
      </w:r>
    </w:p>
    <w:tbl>
      <w:tblPr>
        <w:tblStyle w:val="33"/>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1573"/>
        <w:gridCol w:w="6310"/>
        <w:gridCol w:w="879"/>
      </w:tblGrid>
      <w:tr w14:paraId="147BC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32" w:type="pct"/>
            <w:tcBorders>
              <w:top w:val="single" w:color="auto" w:sz="12" w:space="0"/>
              <w:left w:val="single" w:color="auto" w:sz="12" w:space="0"/>
            </w:tcBorders>
            <w:vAlign w:val="center"/>
          </w:tcPr>
          <w:p w14:paraId="007B111C">
            <w:pPr>
              <w:pStyle w:val="8"/>
              <w:ind w:firstLine="0"/>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838" w:type="pct"/>
            <w:tcBorders>
              <w:top w:val="single" w:color="auto" w:sz="12" w:space="0"/>
            </w:tcBorders>
            <w:vAlign w:val="center"/>
          </w:tcPr>
          <w:p w14:paraId="0C4C0683">
            <w:pPr>
              <w:pStyle w:val="8"/>
              <w:ind w:firstLine="0"/>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3359" w:type="pct"/>
            <w:tcBorders>
              <w:top w:val="single" w:color="auto" w:sz="12" w:space="0"/>
            </w:tcBorders>
            <w:vAlign w:val="center"/>
          </w:tcPr>
          <w:p w14:paraId="5BA290ED">
            <w:pPr>
              <w:pStyle w:val="8"/>
              <w:ind w:firstLine="0"/>
              <w:jc w:val="center"/>
              <w:rPr>
                <w:rFonts w:ascii="宋体" w:hAnsi="宋体" w:cs="宋体"/>
                <w:b/>
                <w:color w:val="auto"/>
                <w:szCs w:val="21"/>
                <w:highlight w:val="none"/>
              </w:rPr>
            </w:pPr>
            <w:r>
              <w:rPr>
                <w:rFonts w:hint="eastAsia" w:ascii="宋体" w:hAnsi="宋体" w:cs="宋体"/>
                <w:b/>
                <w:color w:val="auto"/>
                <w:kern w:val="0"/>
                <w:szCs w:val="21"/>
                <w:highlight w:val="none"/>
              </w:rPr>
              <w:t>评审因素具体内容</w:t>
            </w:r>
          </w:p>
        </w:tc>
        <w:tc>
          <w:tcPr>
            <w:tcW w:w="468" w:type="pct"/>
            <w:tcBorders>
              <w:top w:val="single" w:color="auto" w:sz="12" w:space="0"/>
              <w:right w:val="single" w:color="auto" w:sz="12" w:space="0"/>
            </w:tcBorders>
            <w:vAlign w:val="center"/>
          </w:tcPr>
          <w:p w14:paraId="069EC86D">
            <w:pPr>
              <w:pStyle w:val="8"/>
              <w:ind w:firstLine="0"/>
              <w:jc w:val="center"/>
              <w:rPr>
                <w:rFonts w:ascii="宋体" w:hAnsi="宋体" w:cs="宋体"/>
                <w:b/>
                <w:color w:val="auto"/>
                <w:kern w:val="0"/>
                <w:szCs w:val="21"/>
                <w:highlight w:val="none"/>
              </w:rPr>
            </w:pPr>
            <w:r>
              <w:rPr>
                <w:rFonts w:hint="eastAsia" w:ascii="宋体" w:hAnsi="宋体" w:cs="宋体"/>
                <w:b/>
                <w:color w:val="auto"/>
                <w:kern w:val="0"/>
                <w:szCs w:val="21"/>
                <w:highlight w:val="none"/>
              </w:rPr>
              <w:t>分值</w:t>
            </w:r>
          </w:p>
        </w:tc>
      </w:tr>
      <w:tr w14:paraId="72ED0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32" w:type="pct"/>
            <w:tcBorders>
              <w:left w:val="single" w:color="auto" w:sz="12" w:space="0"/>
            </w:tcBorders>
            <w:vAlign w:val="center"/>
          </w:tcPr>
          <w:p w14:paraId="6B21F698">
            <w:pPr>
              <w:spacing w:line="288" w:lineRule="auto"/>
              <w:jc w:val="center"/>
              <w:rPr>
                <w:b/>
                <w:bCs/>
                <w:color w:val="auto"/>
                <w:highlight w:val="none"/>
              </w:rPr>
            </w:pPr>
            <w:r>
              <w:rPr>
                <w:rFonts w:hint="eastAsia"/>
                <w:b/>
                <w:bCs/>
                <w:color w:val="auto"/>
                <w:highlight w:val="none"/>
              </w:rPr>
              <w:t>1</w:t>
            </w:r>
          </w:p>
        </w:tc>
        <w:tc>
          <w:tcPr>
            <w:tcW w:w="838" w:type="pct"/>
            <w:vAlign w:val="center"/>
          </w:tcPr>
          <w:p w14:paraId="10FE15EA">
            <w:pPr>
              <w:spacing w:line="288" w:lineRule="auto"/>
              <w:jc w:val="center"/>
              <w:rPr>
                <w:b/>
                <w:bCs/>
                <w:color w:val="auto"/>
                <w:highlight w:val="none"/>
              </w:rPr>
            </w:pPr>
            <w:r>
              <w:rPr>
                <w:rFonts w:hint="eastAsia"/>
                <w:b/>
                <w:bCs/>
                <w:color w:val="auto"/>
                <w:highlight w:val="none"/>
              </w:rPr>
              <w:t>价格分（满分10分）</w:t>
            </w:r>
          </w:p>
        </w:tc>
        <w:tc>
          <w:tcPr>
            <w:tcW w:w="3359" w:type="pct"/>
          </w:tcPr>
          <w:p w14:paraId="7E9B6CAC">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hAnsi="宋体" w:cs="宋体"/>
                <w:color w:val="auto"/>
                <w:szCs w:val="21"/>
                <w:highlight w:val="none"/>
              </w:rPr>
              <w:t>评审价为供应商的最后报价进行政策性扣除后的价格，评审价只是作为评审时使用。最终成交供应商的成交金额＝最后报价。</w:t>
            </w:r>
          </w:p>
          <w:p w14:paraId="2BA50B4E">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（2）政策性扣除计算方法。</w:t>
            </w:r>
          </w:p>
          <w:p w14:paraId="75AF7CE2">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根据《政府采购促进中小企业发展管理办法》（财库〔2020〕46号）及《广西壮族自治区财政厅关于持续优化政府采购营商环境推动高质量发展的通知》（桂财采〔2024〕55号）的规定，供应商在其响应文件中提供《中小企业声明函》，且</w:t>
            </w:r>
            <w:r>
              <w:rPr>
                <w:rFonts w:hint="eastAsia"/>
                <w:color w:val="auto"/>
                <w:highlight w:val="none"/>
              </w:rPr>
              <w:t>其服务为小微企业承接的</w:t>
            </w:r>
            <w:r>
              <w:rPr>
                <w:rFonts w:hint="eastAsia" w:ascii="宋体" w:hAnsi="宋体" w:cs="宋体"/>
                <w:color w:val="auto"/>
                <w:kern w:val="0"/>
                <w:szCs w:val="21"/>
                <w:highlight w:val="none"/>
              </w:rPr>
              <w:t>，对其最后报价给予20%的扣除，扣除后的价格为</w:t>
            </w:r>
            <w:r>
              <w:rPr>
                <w:rFonts w:hint="eastAsia" w:hAnsi="宋体" w:cs="宋体"/>
                <w:color w:val="auto"/>
                <w:szCs w:val="21"/>
                <w:highlight w:val="none"/>
              </w:rPr>
              <w:t>评审价</w:t>
            </w:r>
            <w:r>
              <w:rPr>
                <w:rFonts w:hint="eastAsia" w:ascii="宋体" w:hAnsi="宋体" w:cs="宋体"/>
                <w:color w:val="auto"/>
                <w:kern w:val="0"/>
                <w:szCs w:val="21"/>
                <w:highlight w:val="none"/>
              </w:rPr>
              <w:t>，即</w:t>
            </w:r>
            <w:r>
              <w:rPr>
                <w:rFonts w:hint="eastAsia" w:hAnsi="宋体" w:cs="宋体"/>
                <w:color w:val="auto"/>
                <w:szCs w:val="21"/>
                <w:highlight w:val="none"/>
              </w:rPr>
              <w:t>评审价</w:t>
            </w:r>
            <w:r>
              <w:rPr>
                <w:rFonts w:hint="eastAsia" w:ascii="宋体" w:hAnsi="宋体" w:cs="宋体"/>
                <w:color w:val="auto"/>
                <w:kern w:val="0"/>
                <w:szCs w:val="21"/>
                <w:highlight w:val="none"/>
              </w:rPr>
              <w:t>=最后报价×（1-20%）。除上述情况外，</w:t>
            </w:r>
            <w:r>
              <w:rPr>
                <w:rFonts w:hint="eastAsia" w:hAnsi="宋体" w:cs="宋体"/>
                <w:color w:val="auto"/>
                <w:szCs w:val="21"/>
                <w:highlight w:val="none"/>
              </w:rPr>
              <w:t>评审价</w:t>
            </w:r>
            <w:r>
              <w:rPr>
                <w:rFonts w:hint="eastAsia" w:ascii="宋体" w:hAnsi="宋体" w:cs="宋体"/>
                <w:color w:val="auto"/>
                <w:kern w:val="0"/>
                <w:szCs w:val="21"/>
                <w:highlight w:val="none"/>
              </w:rPr>
              <w:t>=最后报价。</w:t>
            </w:r>
          </w:p>
          <w:p w14:paraId="6856EA3A">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6964A449">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4FF6FF7">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（5）满足采购文件要求且</w:t>
            </w:r>
            <w:r>
              <w:rPr>
                <w:rFonts w:hint="eastAsia" w:hAnsi="宋体" w:cs="宋体"/>
                <w:color w:val="auto"/>
                <w:szCs w:val="21"/>
                <w:highlight w:val="none"/>
              </w:rPr>
              <w:t>评审价</w:t>
            </w:r>
            <w:r>
              <w:rPr>
                <w:rFonts w:hint="eastAsia" w:ascii="宋体" w:hAnsi="宋体" w:cs="宋体"/>
                <w:color w:val="auto"/>
                <w:kern w:val="0"/>
                <w:szCs w:val="21"/>
                <w:highlight w:val="none"/>
              </w:rPr>
              <w:t>最低的为评审基准价，其价格分为满分。</w:t>
            </w:r>
          </w:p>
          <w:p w14:paraId="667742B3">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（6）价格分计算公式：        </w:t>
            </w:r>
          </w:p>
          <w:p w14:paraId="0846C36B">
            <w:pPr>
              <w:spacing w:line="288" w:lineRule="auto"/>
              <w:jc w:val="left"/>
              <w:rPr>
                <w:color w:val="auto"/>
                <w:highlight w:val="none"/>
              </w:rPr>
            </w:pPr>
            <w:r>
              <w:rPr>
                <w:rFonts w:hint="eastAsia" w:hAnsi="宋体" w:cs="宋体"/>
                <w:color w:val="auto"/>
                <w:highlight w:val="none"/>
              </w:rPr>
              <w:t>价格分=（评审基准价/</w:t>
            </w:r>
            <w:r>
              <w:rPr>
                <w:rFonts w:hint="eastAsia" w:hAnsi="宋体" w:cs="宋体"/>
                <w:color w:val="auto"/>
                <w:szCs w:val="21"/>
                <w:highlight w:val="none"/>
              </w:rPr>
              <w:t>评审价</w:t>
            </w:r>
            <w:r>
              <w:rPr>
                <w:rFonts w:hint="eastAsia" w:hAnsi="宋体" w:cs="宋体"/>
                <w:color w:val="auto"/>
                <w:highlight w:val="none"/>
              </w:rPr>
              <w:t>）×10分</w:t>
            </w:r>
          </w:p>
        </w:tc>
        <w:tc>
          <w:tcPr>
            <w:tcW w:w="468" w:type="pct"/>
            <w:tcBorders>
              <w:right w:val="single" w:color="auto" w:sz="12" w:space="0"/>
            </w:tcBorders>
            <w:vAlign w:val="center"/>
          </w:tcPr>
          <w:p w14:paraId="1DC3930D">
            <w:pPr>
              <w:spacing w:line="288" w:lineRule="auto"/>
              <w:jc w:val="center"/>
              <w:rPr>
                <w:color w:val="auto"/>
                <w:highlight w:val="none"/>
              </w:rPr>
            </w:pPr>
            <w:r>
              <w:rPr>
                <w:rFonts w:hint="eastAsia"/>
                <w:color w:val="auto"/>
                <w:highlight w:val="none"/>
              </w:rPr>
              <w:t>10分</w:t>
            </w:r>
          </w:p>
        </w:tc>
      </w:tr>
      <w:tr w14:paraId="6D58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32" w:type="pct"/>
            <w:tcBorders>
              <w:left w:val="single" w:color="auto" w:sz="12" w:space="0"/>
            </w:tcBorders>
            <w:vAlign w:val="center"/>
          </w:tcPr>
          <w:p w14:paraId="0B794B32">
            <w:pPr>
              <w:spacing w:line="288" w:lineRule="auto"/>
              <w:jc w:val="center"/>
              <w:rPr>
                <w:b/>
                <w:bCs/>
                <w:color w:val="auto"/>
                <w:highlight w:val="none"/>
              </w:rPr>
            </w:pPr>
            <w:r>
              <w:rPr>
                <w:rFonts w:hint="eastAsia"/>
                <w:b/>
                <w:bCs/>
                <w:color w:val="auto"/>
                <w:highlight w:val="none"/>
              </w:rPr>
              <w:t>2</w:t>
            </w:r>
          </w:p>
        </w:tc>
        <w:tc>
          <w:tcPr>
            <w:tcW w:w="838" w:type="pct"/>
            <w:vAlign w:val="center"/>
          </w:tcPr>
          <w:p w14:paraId="4746639A">
            <w:pPr>
              <w:spacing w:line="288" w:lineRule="auto"/>
              <w:jc w:val="center"/>
              <w:rPr>
                <w:b/>
                <w:bCs/>
                <w:color w:val="auto"/>
                <w:highlight w:val="none"/>
              </w:rPr>
            </w:pPr>
            <w:r>
              <w:rPr>
                <w:rFonts w:hint="eastAsia"/>
                <w:b/>
                <w:bCs/>
                <w:color w:val="auto"/>
                <w:highlight w:val="none"/>
              </w:rPr>
              <w:t>技术分</w:t>
            </w:r>
          </w:p>
          <w:p w14:paraId="7267EBC0">
            <w:pPr>
              <w:spacing w:line="288" w:lineRule="auto"/>
              <w:jc w:val="center"/>
              <w:rPr>
                <w:b/>
                <w:bCs/>
                <w:color w:val="auto"/>
                <w:highlight w:val="none"/>
              </w:rPr>
            </w:pPr>
            <w:r>
              <w:rPr>
                <w:rFonts w:hint="eastAsia"/>
                <w:b/>
                <w:bCs/>
                <w:color w:val="auto"/>
                <w:highlight w:val="none"/>
              </w:rPr>
              <w:t>（满分</w:t>
            </w:r>
            <w:r>
              <w:rPr>
                <w:rFonts w:hint="eastAsia"/>
                <w:b/>
                <w:bCs/>
                <w:color w:val="auto"/>
                <w:highlight w:val="none"/>
                <w:lang w:val="en-US" w:eastAsia="zh-CN"/>
              </w:rPr>
              <w:t>66</w:t>
            </w:r>
            <w:r>
              <w:rPr>
                <w:rFonts w:hint="eastAsia"/>
                <w:b/>
                <w:bCs/>
                <w:color w:val="auto"/>
                <w:highlight w:val="none"/>
              </w:rPr>
              <w:t>分）</w:t>
            </w:r>
          </w:p>
        </w:tc>
        <w:tc>
          <w:tcPr>
            <w:tcW w:w="3359" w:type="pct"/>
            <w:vAlign w:val="center"/>
          </w:tcPr>
          <w:p w14:paraId="17CC18AB">
            <w:pPr>
              <w:spacing w:line="288" w:lineRule="auto"/>
              <w:jc w:val="center"/>
              <w:rPr>
                <w:b/>
                <w:bCs/>
                <w:color w:val="auto"/>
                <w:highlight w:val="none"/>
              </w:rPr>
            </w:pPr>
            <w:r>
              <w:rPr>
                <w:rFonts w:hint="eastAsia"/>
                <w:b/>
                <w:bCs/>
                <w:color w:val="auto"/>
                <w:highlight w:val="none"/>
              </w:rPr>
              <w:t>评审因素</w:t>
            </w:r>
          </w:p>
        </w:tc>
        <w:tc>
          <w:tcPr>
            <w:tcW w:w="468" w:type="pct"/>
            <w:tcBorders>
              <w:right w:val="single" w:color="auto" w:sz="12" w:space="0"/>
            </w:tcBorders>
            <w:vAlign w:val="center"/>
          </w:tcPr>
          <w:p w14:paraId="0BDB0B9A">
            <w:pPr>
              <w:spacing w:line="288" w:lineRule="auto"/>
              <w:jc w:val="center"/>
              <w:rPr>
                <w:b/>
                <w:bCs/>
                <w:color w:val="auto"/>
                <w:highlight w:val="none"/>
              </w:rPr>
            </w:pPr>
            <w:r>
              <w:rPr>
                <w:rFonts w:hint="eastAsia"/>
                <w:b/>
                <w:bCs/>
                <w:color w:val="auto"/>
                <w:highlight w:val="none"/>
              </w:rPr>
              <w:t>分值</w:t>
            </w:r>
          </w:p>
        </w:tc>
      </w:tr>
      <w:tr w14:paraId="421F2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2" w:type="pct"/>
            <w:tcBorders>
              <w:left w:val="single" w:color="auto" w:sz="12" w:space="0"/>
            </w:tcBorders>
            <w:vAlign w:val="center"/>
          </w:tcPr>
          <w:p w14:paraId="00879D02">
            <w:pPr>
              <w:spacing w:line="312" w:lineRule="auto"/>
              <w:rPr>
                <w:color w:val="auto"/>
                <w:highlight w:val="none"/>
              </w:rPr>
            </w:pPr>
            <w:r>
              <w:rPr>
                <w:rFonts w:hint="eastAsia"/>
                <w:color w:val="auto"/>
                <w:highlight w:val="none"/>
              </w:rPr>
              <w:t>2.1</w:t>
            </w:r>
          </w:p>
        </w:tc>
        <w:tc>
          <w:tcPr>
            <w:tcW w:w="838" w:type="pct"/>
            <w:vAlign w:val="center"/>
          </w:tcPr>
          <w:p w14:paraId="6D9EFDA9">
            <w:pPr>
              <w:spacing w:line="360" w:lineRule="auto"/>
              <w:jc w:val="center"/>
              <w:rPr>
                <w:color w:val="auto"/>
                <w:highlight w:val="none"/>
              </w:rPr>
            </w:pPr>
            <w:r>
              <w:rPr>
                <w:rFonts w:hint="eastAsia"/>
                <w:color w:val="auto"/>
                <w:highlight w:val="none"/>
              </w:rPr>
              <w:t>拟投入人员分</w:t>
            </w:r>
            <w:r>
              <w:rPr>
                <w:rFonts w:hint="eastAsia" w:ascii="宋体" w:hAnsi="宋体"/>
                <w:color w:val="auto"/>
                <w:kern w:val="0"/>
                <w:highlight w:val="none"/>
              </w:rPr>
              <w:t>（满分20分）</w:t>
            </w:r>
          </w:p>
        </w:tc>
        <w:tc>
          <w:tcPr>
            <w:tcW w:w="3359" w:type="pct"/>
            <w:vAlign w:val="center"/>
          </w:tcPr>
          <w:p w14:paraId="0776357C">
            <w:pPr>
              <w:spacing w:line="360" w:lineRule="auto"/>
              <w:rPr>
                <w:rFonts w:hAnsi="宋体"/>
                <w:bCs/>
                <w:color w:val="auto"/>
                <w:highlight w:val="none"/>
              </w:rPr>
            </w:pPr>
            <w:r>
              <w:rPr>
                <w:rFonts w:hint="eastAsia" w:hAnsi="宋体"/>
                <w:bCs/>
                <w:color w:val="auto"/>
                <w:highlight w:val="none"/>
              </w:rPr>
              <w:t>一档（5分）：拟投入本次体检服务的医务人员人数达20人及以上，其中能同时满足：具有中级职称及以上的人员占比50.00%—59.99%；</w:t>
            </w:r>
          </w:p>
          <w:p w14:paraId="5CEE8314">
            <w:pPr>
              <w:spacing w:line="360" w:lineRule="auto"/>
              <w:rPr>
                <w:rFonts w:hAnsi="宋体"/>
                <w:bCs/>
                <w:color w:val="auto"/>
                <w:highlight w:val="none"/>
              </w:rPr>
            </w:pPr>
            <w:r>
              <w:rPr>
                <w:rFonts w:hint="eastAsia" w:hAnsi="宋体"/>
                <w:bCs/>
                <w:color w:val="auto"/>
                <w:highlight w:val="none"/>
              </w:rPr>
              <w:t>二档（13分）：拟投入本次体检服务的医务人员人数达20人及以上，其中能同时满足：具有中级职称及以上的人员占比60.00%—69.99%；</w:t>
            </w:r>
          </w:p>
          <w:p w14:paraId="45277679">
            <w:pPr>
              <w:spacing w:line="360" w:lineRule="auto"/>
              <w:rPr>
                <w:rFonts w:hAnsi="宋体"/>
                <w:bCs/>
                <w:color w:val="auto"/>
                <w:highlight w:val="none"/>
              </w:rPr>
            </w:pPr>
            <w:r>
              <w:rPr>
                <w:rFonts w:hint="eastAsia" w:hAnsi="宋体"/>
                <w:bCs/>
                <w:color w:val="auto"/>
                <w:highlight w:val="none"/>
              </w:rPr>
              <w:t>三档（20分）：拟投入本次体检服务的医务人员人数达20人及以上，其中能同时满足：具有中级职称及以上的人员占比≥70.00%；且有专门的针对本次体检的负责人及临时机构。</w:t>
            </w:r>
          </w:p>
          <w:p w14:paraId="15F8E27E">
            <w:pPr>
              <w:spacing w:line="360" w:lineRule="auto"/>
              <w:rPr>
                <w:color w:val="auto"/>
                <w:highlight w:val="none"/>
              </w:rPr>
            </w:pPr>
            <w:r>
              <w:rPr>
                <w:rFonts w:hint="eastAsia" w:ascii="宋体" w:hAnsi="宋体" w:cs="Tahoma"/>
                <w:b/>
                <w:bCs/>
                <w:color w:val="auto"/>
                <w:kern w:val="0"/>
                <w:highlight w:val="none"/>
              </w:rPr>
              <w:t>注：以上人员需在响应文件中提供有效的执业证书复印件（需注册在供应商单位并加盖供应商单位公章）或职称证复印件，否则不予计分。</w:t>
            </w:r>
          </w:p>
        </w:tc>
        <w:tc>
          <w:tcPr>
            <w:tcW w:w="468" w:type="pct"/>
            <w:tcBorders>
              <w:right w:val="single" w:color="auto" w:sz="12" w:space="0"/>
            </w:tcBorders>
            <w:vAlign w:val="center"/>
          </w:tcPr>
          <w:p w14:paraId="0815A9C8">
            <w:pPr>
              <w:spacing w:line="360" w:lineRule="auto"/>
              <w:jc w:val="center"/>
              <w:rPr>
                <w:color w:val="auto"/>
                <w:highlight w:val="none"/>
              </w:rPr>
            </w:pPr>
            <w:r>
              <w:rPr>
                <w:rFonts w:hint="eastAsia" w:ascii="宋体" w:hAnsi="宋体"/>
                <w:bCs/>
                <w:color w:val="auto"/>
                <w:kern w:val="0"/>
                <w:highlight w:val="none"/>
              </w:rPr>
              <w:t>20分</w:t>
            </w:r>
          </w:p>
        </w:tc>
      </w:tr>
      <w:tr w14:paraId="7AA2B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32" w:type="pct"/>
            <w:tcBorders>
              <w:left w:val="single" w:color="auto" w:sz="12" w:space="0"/>
            </w:tcBorders>
            <w:vAlign w:val="center"/>
          </w:tcPr>
          <w:p w14:paraId="3FE9341B">
            <w:pPr>
              <w:pStyle w:val="8"/>
              <w:ind w:firstLine="0"/>
              <w:jc w:val="center"/>
              <w:rPr>
                <w:color w:val="auto"/>
                <w:highlight w:val="none"/>
              </w:rPr>
            </w:pPr>
            <w:r>
              <w:rPr>
                <w:rFonts w:hint="eastAsia" w:ascii="宋体" w:hAnsi="宋体" w:cs="宋体"/>
                <w:color w:val="auto"/>
                <w:szCs w:val="21"/>
                <w:highlight w:val="none"/>
              </w:rPr>
              <w:t>2.2</w:t>
            </w:r>
          </w:p>
        </w:tc>
        <w:tc>
          <w:tcPr>
            <w:tcW w:w="838" w:type="pct"/>
            <w:vAlign w:val="center"/>
          </w:tcPr>
          <w:p w14:paraId="7080C90C">
            <w:pPr>
              <w:spacing w:line="320" w:lineRule="exact"/>
              <w:jc w:val="center"/>
              <w:rPr>
                <w:color w:val="auto"/>
                <w:highlight w:val="none"/>
              </w:rPr>
            </w:pPr>
            <w:r>
              <w:rPr>
                <w:rFonts w:hint="eastAsia" w:hAnsi="宋体"/>
                <w:color w:val="auto"/>
                <w:kern w:val="0"/>
                <w:highlight w:val="none"/>
              </w:rPr>
              <w:t>设备方案分（满分</w:t>
            </w:r>
            <w:r>
              <w:rPr>
                <w:rFonts w:hint="eastAsia" w:hAnsi="宋体"/>
                <w:color w:val="auto"/>
                <w:kern w:val="0"/>
                <w:highlight w:val="none"/>
                <w:lang w:val="en-US" w:eastAsia="zh-CN"/>
              </w:rPr>
              <w:t>17分</w:t>
            </w:r>
            <w:r>
              <w:rPr>
                <w:rFonts w:hint="eastAsia" w:hAnsi="宋体"/>
                <w:color w:val="auto"/>
                <w:kern w:val="0"/>
                <w:highlight w:val="none"/>
              </w:rPr>
              <w:t>）</w:t>
            </w:r>
          </w:p>
        </w:tc>
        <w:tc>
          <w:tcPr>
            <w:tcW w:w="3359" w:type="pct"/>
          </w:tcPr>
          <w:p w14:paraId="17ADB804">
            <w:pPr>
              <w:spacing w:line="360" w:lineRule="exact"/>
              <w:rPr>
                <w:rFonts w:ascii="宋体" w:hAnsi="宋体" w:cs="Courier New"/>
                <w:bCs/>
                <w:color w:val="auto"/>
                <w:kern w:val="0"/>
                <w:szCs w:val="21"/>
                <w:highlight w:val="none"/>
              </w:rPr>
            </w:pPr>
            <w:r>
              <w:rPr>
                <w:rFonts w:hint="eastAsia" w:ascii="宋体" w:hAnsi="宋体" w:cs="Courier New"/>
                <w:bCs/>
                <w:color w:val="auto"/>
                <w:kern w:val="0"/>
                <w:szCs w:val="21"/>
                <w:highlight w:val="none"/>
              </w:rPr>
              <w:t>根据</w:t>
            </w:r>
            <w:r>
              <w:rPr>
                <w:rFonts w:hint="eastAsia" w:ascii="宋体" w:hAnsi="宋体" w:cs="Courier New"/>
                <w:color w:val="auto"/>
                <w:szCs w:val="21"/>
                <w:highlight w:val="none"/>
              </w:rPr>
              <w:t>供应商</w:t>
            </w:r>
            <w:r>
              <w:rPr>
                <w:rFonts w:hint="eastAsia" w:ascii="宋体" w:hAnsi="宋体" w:cs="Courier New"/>
                <w:bCs/>
                <w:color w:val="auto"/>
                <w:kern w:val="0"/>
                <w:szCs w:val="21"/>
                <w:highlight w:val="none"/>
              </w:rPr>
              <w:t xml:space="preserve">针对本次服务项目提供的体检设备（实验室检查仪器、物理检查仪器）配备情况评审： </w:t>
            </w:r>
          </w:p>
          <w:p w14:paraId="7E791F3B">
            <w:pPr>
              <w:spacing w:line="360" w:lineRule="exact"/>
              <w:rPr>
                <w:rFonts w:ascii="宋体" w:hAnsi="宋体" w:cs="Courier New"/>
                <w:bCs/>
                <w:color w:val="auto"/>
                <w:kern w:val="0"/>
                <w:szCs w:val="21"/>
                <w:highlight w:val="none"/>
              </w:rPr>
            </w:pPr>
            <w:r>
              <w:rPr>
                <w:rFonts w:hint="eastAsia" w:ascii="宋体" w:hAnsi="宋体" w:cs="Courier New"/>
                <w:bCs/>
                <w:color w:val="auto"/>
                <w:kern w:val="0"/>
                <w:szCs w:val="21"/>
                <w:highlight w:val="none"/>
              </w:rPr>
              <w:t>一档（5分）：响应文件提供本次体检项目所需的检查仪器设备清单，且清单中X线成像系统、超声检查仪、心电图机、生化分析仪等与本次体检项目相关的检查仪器设备</w:t>
            </w:r>
            <w:r>
              <w:rPr>
                <w:rFonts w:hint="eastAsia" w:ascii="宋体" w:hAnsi="宋体" w:cs="宋体"/>
                <w:color w:val="auto"/>
                <w:szCs w:val="21"/>
                <w:highlight w:val="none"/>
              </w:rPr>
              <w:t>在2017年1月1日以后购买、使用的</w:t>
            </w:r>
            <w:r>
              <w:rPr>
                <w:rFonts w:hint="eastAsia" w:ascii="宋体" w:hAnsi="宋体" w:cs="Courier New"/>
                <w:bCs/>
                <w:color w:val="auto"/>
                <w:kern w:val="0"/>
                <w:szCs w:val="21"/>
                <w:highlight w:val="none"/>
              </w:rPr>
              <w:t>，占50%以下。</w:t>
            </w:r>
          </w:p>
          <w:p w14:paraId="07B019F7">
            <w:pPr>
              <w:spacing w:line="360" w:lineRule="exact"/>
              <w:rPr>
                <w:rFonts w:ascii="宋体" w:hAnsi="宋体" w:cs="Courier New"/>
                <w:bCs/>
                <w:color w:val="auto"/>
                <w:kern w:val="0"/>
                <w:szCs w:val="21"/>
                <w:highlight w:val="none"/>
              </w:rPr>
            </w:pPr>
            <w:r>
              <w:rPr>
                <w:rFonts w:hint="eastAsia" w:ascii="宋体" w:hAnsi="宋体" w:cs="Courier New"/>
                <w:bCs/>
                <w:color w:val="auto"/>
                <w:kern w:val="0"/>
                <w:szCs w:val="21"/>
                <w:highlight w:val="none"/>
              </w:rPr>
              <w:t>二档（1</w:t>
            </w:r>
            <w:r>
              <w:rPr>
                <w:rFonts w:hint="eastAsia" w:ascii="宋体" w:hAnsi="宋体" w:cs="Courier New"/>
                <w:bCs/>
                <w:color w:val="auto"/>
                <w:kern w:val="0"/>
                <w:szCs w:val="21"/>
                <w:highlight w:val="none"/>
                <w:lang w:val="en-US" w:eastAsia="zh-CN"/>
              </w:rPr>
              <w:t>1</w:t>
            </w:r>
            <w:r>
              <w:rPr>
                <w:rFonts w:hint="eastAsia" w:ascii="宋体" w:hAnsi="宋体" w:cs="Courier New"/>
                <w:bCs/>
                <w:color w:val="auto"/>
                <w:kern w:val="0"/>
                <w:szCs w:val="21"/>
                <w:highlight w:val="none"/>
              </w:rPr>
              <w:t>分）：响应文件提供本次体检项目相关的检查仪器设备清单，且清单中X线成像系统、超声检查仪、心电图机、生化分析仪等与本次体检项目相关的检查仪器设备</w:t>
            </w:r>
            <w:r>
              <w:rPr>
                <w:rFonts w:hint="eastAsia" w:ascii="宋体" w:hAnsi="宋体" w:cs="宋体"/>
                <w:color w:val="auto"/>
                <w:szCs w:val="21"/>
                <w:highlight w:val="none"/>
              </w:rPr>
              <w:t>在2017年1月1日以后购买、使用的</w:t>
            </w:r>
            <w:r>
              <w:rPr>
                <w:rFonts w:hint="eastAsia" w:ascii="宋体" w:hAnsi="宋体" w:cs="Courier New"/>
                <w:bCs/>
                <w:color w:val="auto"/>
                <w:kern w:val="0"/>
                <w:szCs w:val="21"/>
                <w:highlight w:val="none"/>
              </w:rPr>
              <w:t>，占51%—89%。</w:t>
            </w:r>
          </w:p>
          <w:p w14:paraId="09E0D234">
            <w:pPr>
              <w:spacing w:line="360" w:lineRule="exact"/>
              <w:rPr>
                <w:rFonts w:ascii="宋体" w:hAnsi="宋体" w:cs="Courier New"/>
                <w:bCs/>
                <w:color w:val="auto"/>
                <w:kern w:val="0"/>
                <w:szCs w:val="21"/>
                <w:highlight w:val="none"/>
              </w:rPr>
            </w:pPr>
            <w:r>
              <w:rPr>
                <w:rFonts w:hint="eastAsia" w:ascii="宋体" w:hAnsi="宋体" w:cs="Courier New"/>
                <w:bCs/>
                <w:color w:val="auto"/>
                <w:kern w:val="0"/>
                <w:szCs w:val="21"/>
                <w:highlight w:val="none"/>
              </w:rPr>
              <w:t>三档（</w:t>
            </w:r>
            <w:r>
              <w:rPr>
                <w:rFonts w:hint="eastAsia" w:ascii="宋体" w:hAnsi="宋体" w:cs="Courier New"/>
                <w:bCs/>
                <w:color w:val="auto"/>
                <w:kern w:val="0"/>
                <w:szCs w:val="21"/>
                <w:highlight w:val="none"/>
                <w:lang w:val="en-US" w:eastAsia="zh-CN"/>
              </w:rPr>
              <w:t>17</w:t>
            </w:r>
            <w:r>
              <w:rPr>
                <w:rFonts w:hint="eastAsia" w:ascii="宋体" w:hAnsi="宋体" w:cs="Courier New"/>
                <w:bCs/>
                <w:color w:val="auto"/>
                <w:kern w:val="0"/>
                <w:szCs w:val="21"/>
                <w:highlight w:val="none"/>
              </w:rPr>
              <w:t>分）：响应文件提供本次体检项目所需的检查仪器设备清单，且清单中 X线成像系统、超声检查仪、心电图机、生化分析仪等与本次体检项目相关的检查仪器设备</w:t>
            </w:r>
            <w:r>
              <w:rPr>
                <w:rFonts w:hint="eastAsia"/>
                <w:color w:val="auto"/>
                <w:highlight w:val="none"/>
              </w:rPr>
              <w:t>在</w:t>
            </w:r>
            <w:r>
              <w:rPr>
                <w:rFonts w:hint="eastAsia" w:ascii="宋体" w:hAnsi="宋体" w:cs="宋体"/>
                <w:color w:val="auto"/>
                <w:szCs w:val="21"/>
                <w:highlight w:val="none"/>
              </w:rPr>
              <w:t>2017年1月1日</w:t>
            </w:r>
            <w:r>
              <w:rPr>
                <w:rFonts w:hint="eastAsia"/>
                <w:color w:val="auto"/>
                <w:highlight w:val="none"/>
              </w:rPr>
              <w:t>以后购买、使用的</w:t>
            </w:r>
            <w:r>
              <w:rPr>
                <w:rFonts w:hint="eastAsia" w:ascii="宋体" w:hAnsi="宋体" w:cs="Courier New"/>
                <w:bCs/>
                <w:color w:val="auto"/>
                <w:kern w:val="0"/>
                <w:szCs w:val="21"/>
                <w:highlight w:val="none"/>
              </w:rPr>
              <w:t>，占比≥90%。</w:t>
            </w:r>
          </w:p>
          <w:p w14:paraId="10ECD495">
            <w:pPr>
              <w:spacing w:line="320" w:lineRule="exact"/>
              <w:rPr>
                <w:color w:val="auto"/>
                <w:highlight w:val="none"/>
              </w:rPr>
            </w:pPr>
            <w:r>
              <w:rPr>
                <w:rFonts w:hint="eastAsia" w:ascii="宋体" w:hAnsi="宋体" w:cs="Courier New"/>
                <w:b/>
                <w:color w:val="auto"/>
                <w:kern w:val="0"/>
                <w:szCs w:val="21"/>
                <w:highlight w:val="none"/>
              </w:rPr>
              <w:t>注：以响应文件提供的本次体检项目所需的检查仪器设备【包括但不限于X线成像系统、超声检查仪、心电图机、生化分析仪，包括完成本次体检项目（不包含一般检查项目）涉及的所有的检查、化验仪器】清单以及设备购买合同或发票复印件为准。</w:t>
            </w:r>
          </w:p>
        </w:tc>
        <w:tc>
          <w:tcPr>
            <w:tcW w:w="468" w:type="pct"/>
            <w:tcBorders>
              <w:right w:val="single" w:color="auto" w:sz="12" w:space="0"/>
            </w:tcBorders>
            <w:vAlign w:val="center"/>
          </w:tcPr>
          <w:p w14:paraId="68A41ABD">
            <w:pPr>
              <w:spacing w:line="320" w:lineRule="exact"/>
              <w:jc w:val="center"/>
              <w:rPr>
                <w:color w:val="auto"/>
                <w:highlight w:val="none"/>
              </w:rPr>
            </w:pPr>
            <w:r>
              <w:rPr>
                <w:rFonts w:hint="eastAsia" w:ascii="宋体" w:hAnsi="宋体" w:cs="Tahoma"/>
                <w:color w:val="auto"/>
                <w:kern w:val="0"/>
                <w:szCs w:val="21"/>
                <w:highlight w:val="none"/>
                <w:lang w:val="en-US" w:eastAsia="zh-CN"/>
              </w:rPr>
              <w:t>17</w:t>
            </w:r>
            <w:r>
              <w:rPr>
                <w:rFonts w:hint="eastAsia" w:ascii="宋体" w:hAnsi="宋体" w:cs="Tahoma"/>
                <w:color w:val="auto"/>
                <w:kern w:val="0"/>
                <w:szCs w:val="21"/>
                <w:highlight w:val="none"/>
              </w:rPr>
              <w:t>分</w:t>
            </w:r>
          </w:p>
        </w:tc>
      </w:tr>
      <w:tr w14:paraId="3B3D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32" w:type="pct"/>
            <w:tcBorders>
              <w:left w:val="single" w:color="auto" w:sz="12" w:space="0"/>
            </w:tcBorders>
            <w:vAlign w:val="center"/>
          </w:tcPr>
          <w:p w14:paraId="4E67A67D">
            <w:pPr>
              <w:pStyle w:val="8"/>
              <w:ind w:firstLine="0"/>
              <w:jc w:val="center"/>
              <w:rPr>
                <w:rFonts w:ascii="宋体" w:hAnsi="宋体" w:cs="宋体"/>
                <w:color w:val="auto"/>
                <w:szCs w:val="21"/>
                <w:highlight w:val="none"/>
              </w:rPr>
            </w:pPr>
            <w:r>
              <w:rPr>
                <w:rFonts w:hint="eastAsia" w:ascii="宋体" w:hAnsi="宋体" w:cs="宋体"/>
                <w:color w:val="auto"/>
                <w:szCs w:val="21"/>
                <w:highlight w:val="none"/>
              </w:rPr>
              <w:t>2.3</w:t>
            </w:r>
          </w:p>
        </w:tc>
        <w:tc>
          <w:tcPr>
            <w:tcW w:w="838" w:type="pct"/>
            <w:vAlign w:val="center"/>
          </w:tcPr>
          <w:p w14:paraId="796AD6A8">
            <w:pPr>
              <w:spacing w:line="312" w:lineRule="auto"/>
              <w:rPr>
                <w:rFonts w:hAnsi="宋体"/>
                <w:color w:val="auto"/>
                <w:kern w:val="0"/>
                <w:highlight w:val="none"/>
              </w:rPr>
            </w:pPr>
            <w:r>
              <w:rPr>
                <w:rFonts w:hint="eastAsia"/>
                <w:color w:val="auto"/>
                <w:highlight w:val="none"/>
              </w:rPr>
              <w:t>体检服务方案及承诺（满分</w:t>
            </w:r>
            <w:r>
              <w:rPr>
                <w:rFonts w:hint="eastAsia"/>
                <w:color w:val="auto"/>
                <w:highlight w:val="none"/>
                <w:lang w:val="en-US" w:eastAsia="zh-CN"/>
              </w:rPr>
              <w:t>11</w:t>
            </w:r>
            <w:r>
              <w:rPr>
                <w:rFonts w:hint="eastAsia"/>
                <w:color w:val="auto"/>
                <w:highlight w:val="none"/>
              </w:rPr>
              <w:t>分）</w:t>
            </w:r>
          </w:p>
        </w:tc>
        <w:tc>
          <w:tcPr>
            <w:tcW w:w="3359" w:type="pct"/>
          </w:tcPr>
          <w:p w14:paraId="58D11FB4">
            <w:pPr>
              <w:spacing w:line="360" w:lineRule="exact"/>
              <w:rPr>
                <w:rFonts w:hint="eastAsia" w:ascii="宋体" w:hAnsi="宋体" w:cs="Courier New"/>
                <w:bCs/>
                <w:color w:val="auto"/>
                <w:kern w:val="0"/>
                <w:szCs w:val="21"/>
                <w:highlight w:val="none"/>
              </w:rPr>
            </w:pPr>
            <w:r>
              <w:rPr>
                <w:rFonts w:hint="eastAsia" w:ascii="宋体" w:hAnsi="宋体" w:cs="Courier New"/>
                <w:bCs/>
                <w:color w:val="auto"/>
                <w:kern w:val="0"/>
                <w:szCs w:val="21"/>
                <w:highlight w:val="none"/>
              </w:rPr>
              <w:t>一档（</w:t>
            </w:r>
            <w:r>
              <w:rPr>
                <w:rFonts w:hint="eastAsia" w:ascii="宋体" w:hAnsi="宋体" w:cs="Courier New"/>
                <w:bCs/>
                <w:color w:val="auto"/>
                <w:kern w:val="0"/>
                <w:szCs w:val="21"/>
                <w:highlight w:val="none"/>
                <w:lang w:val="en-US" w:eastAsia="zh-CN"/>
              </w:rPr>
              <w:t>3</w:t>
            </w:r>
            <w:r>
              <w:rPr>
                <w:rFonts w:hint="eastAsia" w:ascii="宋体" w:hAnsi="宋体" w:cs="Courier New"/>
                <w:bCs/>
                <w:color w:val="auto"/>
                <w:kern w:val="0"/>
                <w:szCs w:val="21"/>
                <w:highlight w:val="none"/>
              </w:rPr>
              <w:t>分）：</w:t>
            </w:r>
            <w:r>
              <w:rPr>
                <w:rFonts w:hint="eastAsia" w:hAnsi="宋体" w:cs="宋体"/>
                <w:color w:val="auto"/>
                <w:highlight w:val="none"/>
              </w:rPr>
              <w:t>对体检的整个过程安排、人员及设备保障</w:t>
            </w:r>
            <w:r>
              <w:rPr>
                <w:rFonts w:hint="eastAsia" w:ascii="宋体" w:hAnsi="宋体" w:cs="Courier New"/>
                <w:bCs/>
                <w:color w:val="auto"/>
                <w:kern w:val="0"/>
                <w:szCs w:val="21"/>
                <w:highlight w:val="none"/>
              </w:rPr>
              <w:t>有相应描述及服务承诺有相应</w:t>
            </w:r>
            <w:r>
              <w:rPr>
                <w:rFonts w:hint="eastAsia" w:ascii="宋体" w:hAnsi="宋体" w:cs="Courier New"/>
                <w:bCs/>
                <w:color w:val="auto"/>
                <w:kern w:val="0"/>
                <w:szCs w:val="21"/>
                <w:highlight w:val="none"/>
                <w:lang w:val="en-US" w:eastAsia="zh-CN"/>
              </w:rPr>
              <w:t>的</w:t>
            </w:r>
            <w:r>
              <w:rPr>
                <w:rFonts w:hint="eastAsia" w:ascii="宋体" w:hAnsi="宋体" w:cs="Courier New"/>
                <w:bCs/>
                <w:color w:val="auto"/>
                <w:kern w:val="0"/>
                <w:szCs w:val="21"/>
                <w:highlight w:val="none"/>
              </w:rPr>
              <w:t>保障措施。</w:t>
            </w:r>
          </w:p>
          <w:p w14:paraId="38C15E4E">
            <w:pPr>
              <w:spacing w:line="360" w:lineRule="exact"/>
              <w:rPr>
                <w:rFonts w:hint="eastAsia" w:ascii="宋体" w:hAnsi="宋体" w:cs="Courier New"/>
                <w:bCs/>
                <w:color w:val="auto"/>
                <w:kern w:val="0"/>
                <w:szCs w:val="21"/>
                <w:highlight w:val="none"/>
              </w:rPr>
            </w:pPr>
            <w:r>
              <w:rPr>
                <w:rFonts w:hint="eastAsia" w:ascii="宋体" w:hAnsi="宋体" w:cs="Courier New"/>
                <w:bCs/>
                <w:color w:val="auto"/>
                <w:kern w:val="0"/>
                <w:szCs w:val="21"/>
                <w:highlight w:val="none"/>
              </w:rPr>
              <w:t>二档（</w:t>
            </w:r>
            <w:r>
              <w:rPr>
                <w:rFonts w:hint="eastAsia" w:ascii="宋体" w:hAnsi="宋体" w:cs="Courier New"/>
                <w:bCs/>
                <w:color w:val="auto"/>
                <w:kern w:val="0"/>
                <w:szCs w:val="21"/>
                <w:highlight w:val="none"/>
                <w:lang w:val="en-US" w:eastAsia="zh-CN"/>
              </w:rPr>
              <w:t>7</w:t>
            </w:r>
            <w:r>
              <w:rPr>
                <w:rFonts w:hint="eastAsia" w:ascii="宋体" w:hAnsi="宋体" w:cs="Courier New"/>
                <w:bCs/>
                <w:color w:val="auto"/>
                <w:kern w:val="0"/>
                <w:szCs w:val="21"/>
                <w:highlight w:val="none"/>
              </w:rPr>
              <w:t>分）：满足一档前提下，提供单位专场体检服务。能实现体检项目中的化验及仪器检查结果与门诊就医系统共享。</w:t>
            </w:r>
          </w:p>
          <w:p w14:paraId="3A12B50A">
            <w:pPr>
              <w:spacing w:line="360" w:lineRule="exact"/>
              <w:rPr>
                <w:rFonts w:hint="eastAsia" w:ascii="宋体" w:hAnsi="宋体" w:cs="Courier New"/>
                <w:bCs/>
                <w:color w:val="auto"/>
                <w:kern w:val="0"/>
                <w:szCs w:val="21"/>
                <w:highlight w:val="none"/>
              </w:rPr>
            </w:pPr>
            <w:r>
              <w:rPr>
                <w:rFonts w:hint="eastAsia" w:ascii="宋体" w:hAnsi="宋体" w:cs="Courier New"/>
                <w:bCs/>
                <w:color w:val="auto"/>
                <w:kern w:val="0"/>
                <w:szCs w:val="21"/>
                <w:highlight w:val="none"/>
              </w:rPr>
              <w:t>三档（</w:t>
            </w:r>
            <w:r>
              <w:rPr>
                <w:rFonts w:hint="eastAsia" w:ascii="宋体" w:hAnsi="宋体" w:cs="Courier New"/>
                <w:bCs/>
                <w:color w:val="auto"/>
                <w:kern w:val="0"/>
                <w:szCs w:val="21"/>
                <w:highlight w:val="none"/>
                <w:lang w:val="en-US" w:eastAsia="zh-CN"/>
              </w:rPr>
              <w:t>11</w:t>
            </w:r>
            <w:r>
              <w:rPr>
                <w:rFonts w:hint="eastAsia" w:ascii="宋体" w:hAnsi="宋体" w:cs="Courier New"/>
                <w:bCs/>
                <w:color w:val="auto"/>
                <w:kern w:val="0"/>
                <w:szCs w:val="21"/>
                <w:highlight w:val="none"/>
              </w:rPr>
              <w:t>分）：满足二档前提下，充分考虑到体检过程中所遇到的问题并提供解决或应急办法，能够开展线上预约体检、自定义加项、电子报告推送、线上咨询等智慧体检服务。</w:t>
            </w:r>
          </w:p>
          <w:p w14:paraId="4D0613BD">
            <w:pPr>
              <w:spacing w:line="360" w:lineRule="exact"/>
              <w:rPr>
                <w:rFonts w:ascii="宋体" w:hAnsi="宋体" w:cs="Courier New"/>
                <w:b/>
                <w:color w:val="auto"/>
                <w:kern w:val="0"/>
                <w:szCs w:val="21"/>
                <w:highlight w:val="none"/>
              </w:rPr>
            </w:pPr>
            <w:r>
              <w:rPr>
                <w:rFonts w:hint="eastAsia" w:ascii="宋体" w:hAnsi="宋体" w:cs="Courier New"/>
                <w:b/>
                <w:bCs w:val="0"/>
                <w:color w:val="auto"/>
                <w:kern w:val="0"/>
                <w:szCs w:val="21"/>
                <w:highlight w:val="none"/>
              </w:rPr>
              <w:t>注：不满足一档要求的，得0分。</w:t>
            </w:r>
          </w:p>
        </w:tc>
        <w:tc>
          <w:tcPr>
            <w:tcW w:w="468" w:type="pct"/>
            <w:tcBorders>
              <w:right w:val="single" w:color="auto" w:sz="12" w:space="0"/>
            </w:tcBorders>
            <w:vAlign w:val="center"/>
          </w:tcPr>
          <w:p w14:paraId="7D302661">
            <w:pPr>
              <w:spacing w:line="320" w:lineRule="exact"/>
              <w:jc w:val="center"/>
              <w:rPr>
                <w:rFonts w:ascii="宋体" w:hAnsi="宋体" w:cs="Tahoma"/>
                <w:color w:val="auto"/>
                <w:kern w:val="0"/>
                <w:szCs w:val="21"/>
                <w:highlight w:val="none"/>
              </w:rPr>
            </w:pPr>
            <w:r>
              <w:rPr>
                <w:rFonts w:hint="eastAsia" w:ascii="宋体" w:hAnsi="宋体" w:cs="Tahoma"/>
                <w:color w:val="auto"/>
                <w:kern w:val="0"/>
                <w:szCs w:val="21"/>
                <w:highlight w:val="none"/>
                <w:lang w:val="en-US" w:eastAsia="zh-CN"/>
              </w:rPr>
              <w:t>11</w:t>
            </w:r>
            <w:r>
              <w:rPr>
                <w:rFonts w:hint="eastAsia" w:ascii="宋体" w:hAnsi="宋体" w:cs="Tahoma"/>
                <w:color w:val="auto"/>
                <w:kern w:val="0"/>
                <w:szCs w:val="21"/>
                <w:highlight w:val="none"/>
              </w:rPr>
              <w:t>分</w:t>
            </w:r>
          </w:p>
        </w:tc>
      </w:tr>
      <w:tr w14:paraId="33287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2" w:type="pct"/>
            <w:tcBorders>
              <w:left w:val="single" w:color="auto" w:sz="12" w:space="0"/>
            </w:tcBorders>
            <w:vAlign w:val="center"/>
          </w:tcPr>
          <w:p w14:paraId="38C998F9">
            <w:pPr>
              <w:pStyle w:val="8"/>
              <w:ind w:firstLine="0"/>
              <w:jc w:val="center"/>
              <w:rPr>
                <w:color w:val="auto"/>
                <w:highlight w:val="none"/>
              </w:rPr>
            </w:pPr>
            <w:r>
              <w:rPr>
                <w:rFonts w:hint="eastAsia" w:ascii="宋体" w:hAnsi="宋体" w:cs="宋体"/>
                <w:color w:val="auto"/>
                <w:szCs w:val="21"/>
                <w:highlight w:val="none"/>
              </w:rPr>
              <w:t>2.4</w:t>
            </w:r>
          </w:p>
        </w:tc>
        <w:tc>
          <w:tcPr>
            <w:tcW w:w="838" w:type="pct"/>
            <w:vAlign w:val="center"/>
          </w:tcPr>
          <w:p w14:paraId="28FE4FF1">
            <w:pPr>
              <w:spacing w:line="360" w:lineRule="auto"/>
              <w:jc w:val="center"/>
              <w:rPr>
                <w:color w:val="auto"/>
                <w:highlight w:val="none"/>
              </w:rPr>
            </w:pPr>
            <w:r>
              <w:rPr>
                <w:rFonts w:hint="eastAsia" w:ascii="新宋体" w:hAnsi="新宋体" w:eastAsia="新宋体" w:cs="新宋体"/>
                <w:color w:val="auto"/>
                <w:highlight w:val="none"/>
              </w:rPr>
              <w:t>服务规章制度、操作规程、应急处置方案（满分</w:t>
            </w:r>
            <w:r>
              <w:rPr>
                <w:rFonts w:hint="eastAsia" w:ascii="新宋体" w:hAnsi="新宋体" w:eastAsia="新宋体" w:cs="新宋体"/>
                <w:color w:val="auto"/>
                <w:highlight w:val="none"/>
                <w:lang w:val="en-US" w:eastAsia="zh-CN"/>
              </w:rPr>
              <w:t>9</w:t>
            </w:r>
            <w:r>
              <w:rPr>
                <w:rFonts w:hint="eastAsia" w:ascii="新宋体" w:hAnsi="新宋体" w:eastAsia="新宋体" w:cs="新宋体"/>
                <w:color w:val="auto"/>
                <w:highlight w:val="none"/>
              </w:rPr>
              <w:t>分）</w:t>
            </w:r>
          </w:p>
        </w:tc>
        <w:tc>
          <w:tcPr>
            <w:tcW w:w="3359" w:type="pct"/>
            <w:vAlign w:val="center"/>
          </w:tcPr>
          <w:p w14:paraId="6A2CAD5C">
            <w:pPr>
              <w:spacing w:line="360" w:lineRule="exact"/>
              <w:rPr>
                <w:rFonts w:hint="eastAsia" w:ascii="宋体" w:hAnsi="宋体" w:cs="Courier New"/>
                <w:bCs/>
                <w:color w:val="auto"/>
                <w:kern w:val="0"/>
                <w:szCs w:val="21"/>
                <w:highlight w:val="none"/>
                <w:lang w:val="en-US" w:eastAsia="zh-CN"/>
              </w:rPr>
            </w:pPr>
            <w:r>
              <w:rPr>
                <w:rFonts w:hint="eastAsia" w:ascii="宋体" w:hAnsi="宋体" w:cs="Courier New"/>
                <w:bCs/>
                <w:color w:val="auto"/>
                <w:kern w:val="0"/>
                <w:szCs w:val="21"/>
                <w:highlight w:val="none"/>
                <w:lang w:val="en-US" w:eastAsia="zh-CN"/>
              </w:rPr>
              <w:t>一档（3分）：服务计划方案中建立有服务规章制度、操作规程、应急处置方案预案，服务方案对项目需求理解无偏差，仅满足采购文件基本要求；</w:t>
            </w:r>
          </w:p>
          <w:p w14:paraId="75E7B936">
            <w:pPr>
              <w:spacing w:line="360" w:lineRule="exact"/>
              <w:rPr>
                <w:rFonts w:hint="eastAsia" w:ascii="宋体" w:hAnsi="宋体" w:cs="Courier New"/>
                <w:bCs/>
                <w:color w:val="auto"/>
                <w:kern w:val="0"/>
                <w:szCs w:val="21"/>
                <w:highlight w:val="none"/>
                <w:lang w:val="en-US" w:eastAsia="zh-CN"/>
              </w:rPr>
            </w:pPr>
            <w:r>
              <w:rPr>
                <w:rFonts w:hint="eastAsia" w:ascii="宋体" w:hAnsi="宋体" w:cs="Courier New"/>
                <w:bCs/>
                <w:color w:val="auto"/>
                <w:kern w:val="0"/>
                <w:szCs w:val="21"/>
                <w:highlight w:val="none"/>
                <w:lang w:val="en-US" w:eastAsia="zh-CN"/>
              </w:rPr>
              <w:t>二档（6分）：服务计划方案中建立有服务规章制度、操作规程，应急处置方案预案，方案对项目需求理解到位，安排合理有序，内容全面。</w:t>
            </w:r>
          </w:p>
          <w:p w14:paraId="7C3CEB34">
            <w:pPr>
              <w:spacing w:line="360" w:lineRule="exact"/>
              <w:rPr>
                <w:rFonts w:hint="eastAsia" w:ascii="宋体" w:hAnsi="宋体" w:cs="Courier New"/>
                <w:bCs/>
                <w:color w:val="auto"/>
                <w:kern w:val="0"/>
                <w:szCs w:val="21"/>
                <w:highlight w:val="none"/>
                <w:lang w:val="en-US" w:eastAsia="zh-CN"/>
              </w:rPr>
            </w:pPr>
            <w:r>
              <w:rPr>
                <w:rFonts w:hint="eastAsia" w:ascii="宋体" w:hAnsi="宋体" w:cs="Courier New"/>
                <w:bCs/>
                <w:color w:val="auto"/>
                <w:kern w:val="0"/>
                <w:szCs w:val="21"/>
                <w:highlight w:val="none"/>
                <w:lang w:val="en-US" w:eastAsia="zh-CN"/>
              </w:rPr>
              <w:t>三档（9分）：服务计划方案中建立有详细、完善的服务规章制度、操作规程，应急处置方案预案，方案对项目需求理解透彻、有针对性，且契合采购需求，完全满足或优于采购文件要求。</w:t>
            </w:r>
          </w:p>
          <w:p w14:paraId="29210558">
            <w:pPr>
              <w:spacing w:line="360" w:lineRule="exact"/>
              <w:rPr>
                <w:color w:val="auto"/>
                <w:highlight w:val="none"/>
              </w:rPr>
            </w:pPr>
            <w:r>
              <w:rPr>
                <w:rFonts w:hint="eastAsia" w:ascii="宋体" w:hAnsi="宋体" w:cs="Courier New"/>
                <w:b/>
                <w:bCs w:val="0"/>
                <w:color w:val="auto"/>
                <w:kern w:val="0"/>
                <w:szCs w:val="21"/>
                <w:highlight w:val="none"/>
              </w:rPr>
              <w:t>注：不满足一档要求的，得0分。</w:t>
            </w:r>
          </w:p>
        </w:tc>
        <w:tc>
          <w:tcPr>
            <w:tcW w:w="468" w:type="pct"/>
            <w:tcBorders>
              <w:right w:val="single" w:color="auto" w:sz="12" w:space="0"/>
            </w:tcBorders>
            <w:vAlign w:val="center"/>
          </w:tcPr>
          <w:p w14:paraId="72D6BD49">
            <w:pPr>
              <w:spacing w:line="360" w:lineRule="auto"/>
              <w:jc w:val="center"/>
              <w:rPr>
                <w:color w:val="auto"/>
                <w:highlight w:val="none"/>
              </w:rPr>
            </w:pPr>
            <w:r>
              <w:rPr>
                <w:rFonts w:hint="eastAsia" w:ascii="宋体" w:hAnsi="宋体" w:cs="Tahoma"/>
                <w:color w:val="auto"/>
                <w:kern w:val="0"/>
                <w:highlight w:val="none"/>
                <w:lang w:val="en-US" w:eastAsia="zh-CN"/>
              </w:rPr>
              <w:t>9</w:t>
            </w:r>
            <w:r>
              <w:rPr>
                <w:rFonts w:hint="eastAsia" w:ascii="宋体" w:hAnsi="宋体" w:cs="Tahoma"/>
                <w:color w:val="auto"/>
                <w:kern w:val="0"/>
                <w:highlight w:val="none"/>
              </w:rPr>
              <w:t>分</w:t>
            </w:r>
          </w:p>
        </w:tc>
      </w:tr>
      <w:tr w14:paraId="13C65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2" w:type="pct"/>
            <w:tcBorders>
              <w:left w:val="single" w:color="auto" w:sz="12" w:space="0"/>
            </w:tcBorders>
            <w:vAlign w:val="center"/>
          </w:tcPr>
          <w:p w14:paraId="3323337B">
            <w:pPr>
              <w:pStyle w:val="8"/>
              <w:ind w:firstLine="0"/>
              <w:jc w:val="center"/>
              <w:rPr>
                <w:rFonts w:ascii="宋体" w:hAnsi="宋体" w:cs="宋体"/>
                <w:color w:val="auto"/>
                <w:szCs w:val="21"/>
                <w:highlight w:val="none"/>
              </w:rPr>
            </w:pPr>
            <w:r>
              <w:rPr>
                <w:rFonts w:hint="eastAsia" w:ascii="宋体" w:hAnsi="宋体" w:cs="宋体"/>
                <w:color w:val="auto"/>
                <w:szCs w:val="21"/>
                <w:highlight w:val="none"/>
              </w:rPr>
              <w:t>2.5</w:t>
            </w:r>
          </w:p>
        </w:tc>
        <w:tc>
          <w:tcPr>
            <w:tcW w:w="838" w:type="pct"/>
            <w:vAlign w:val="center"/>
          </w:tcPr>
          <w:p w14:paraId="687AC9C0">
            <w:pPr>
              <w:pStyle w:val="112"/>
              <w:spacing w:before="65" w:line="228" w:lineRule="auto"/>
              <w:jc w:val="center"/>
              <w:rPr>
                <w:color w:val="auto"/>
                <w:highlight w:val="none"/>
                <w:lang w:eastAsia="zh-CN"/>
              </w:rPr>
            </w:pPr>
            <w:r>
              <w:rPr>
                <w:rFonts w:hint="eastAsia" w:ascii="新宋体" w:hAnsi="新宋体" w:eastAsia="新宋体" w:cs="新宋体"/>
                <w:color w:val="auto"/>
                <w:sz w:val="21"/>
                <w:szCs w:val="24"/>
                <w:highlight w:val="none"/>
                <w:lang w:eastAsia="zh-CN"/>
              </w:rPr>
              <w:t>后续健康管理服务方案及服务承诺（满分9分）</w:t>
            </w:r>
          </w:p>
        </w:tc>
        <w:tc>
          <w:tcPr>
            <w:tcW w:w="3359" w:type="pct"/>
            <w:vAlign w:val="center"/>
          </w:tcPr>
          <w:p w14:paraId="499AC34F">
            <w:pPr>
              <w:spacing w:line="360" w:lineRule="exact"/>
              <w:rPr>
                <w:rFonts w:ascii="宋体" w:hAnsi="宋体" w:cs="宋体"/>
                <w:color w:val="auto"/>
                <w:szCs w:val="21"/>
                <w:highlight w:val="none"/>
              </w:rPr>
            </w:pPr>
            <w:r>
              <w:rPr>
                <w:rFonts w:hint="eastAsia" w:ascii="宋体" w:hAnsi="宋体" w:cs="宋体"/>
                <w:color w:val="auto"/>
                <w:szCs w:val="21"/>
                <w:highlight w:val="none"/>
              </w:rPr>
              <w:t>一档（3分）：体检后发现重大阳性体征、疑似恶性肿瘤或其他重要疾病及时通知患者本人，并为患者提供咨询、就诊、住院等绿色通道和提醒复查。</w:t>
            </w:r>
          </w:p>
          <w:p w14:paraId="51439181">
            <w:pPr>
              <w:spacing w:line="360" w:lineRule="exact"/>
              <w:rPr>
                <w:rFonts w:ascii="宋体" w:hAnsi="宋体" w:cs="宋体"/>
                <w:color w:val="auto"/>
                <w:szCs w:val="21"/>
                <w:highlight w:val="none"/>
              </w:rPr>
            </w:pPr>
            <w:r>
              <w:rPr>
                <w:rFonts w:hint="eastAsia" w:ascii="宋体" w:hAnsi="宋体" w:cs="宋体"/>
                <w:color w:val="auto"/>
                <w:szCs w:val="21"/>
                <w:highlight w:val="none"/>
              </w:rPr>
              <w:t>二档（6分）：满足一档前提下，具备完善的重大阳性管理机制；配备检后健康管理信息平台，对参检者提供检后智慧化全程健康管理服务，可开展线上线下或远程健康管理，提供科普宣教讲座。</w:t>
            </w:r>
          </w:p>
          <w:p w14:paraId="2831D99B">
            <w:pPr>
              <w:spacing w:line="360" w:lineRule="auto"/>
              <w:jc w:val="left"/>
              <w:rPr>
                <w:color w:val="auto"/>
                <w:highlight w:val="none"/>
              </w:rPr>
            </w:pPr>
            <w:r>
              <w:rPr>
                <w:rFonts w:hint="eastAsia" w:ascii="宋体" w:hAnsi="宋体" w:cs="宋体"/>
                <w:color w:val="auto"/>
                <w:szCs w:val="21"/>
                <w:highlight w:val="none"/>
              </w:rPr>
              <w:t>三档（9分）：满足二档前提下，拥有完整的健康服务标准体系，保证职工体检过程的服务质量。有完善的健康管理系统并且有相对应的健康管理平台，对重点人群开展健康风险评估、连续性监测及有效干预。能免费提供线上、线下体检报告咨询、就诊咨询服务。</w:t>
            </w:r>
          </w:p>
        </w:tc>
        <w:tc>
          <w:tcPr>
            <w:tcW w:w="468" w:type="pct"/>
            <w:tcBorders>
              <w:right w:val="single" w:color="auto" w:sz="12" w:space="0"/>
            </w:tcBorders>
            <w:vAlign w:val="center"/>
          </w:tcPr>
          <w:p w14:paraId="1B75DDB0">
            <w:pPr>
              <w:spacing w:line="360" w:lineRule="exact"/>
              <w:jc w:val="center"/>
              <w:rPr>
                <w:color w:val="auto"/>
                <w:highlight w:val="none"/>
              </w:rPr>
            </w:pPr>
            <w:r>
              <w:rPr>
                <w:rFonts w:hint="eastAsia"/>
                <w:color w:val="auto"/>
                <w:highlight w:val="none"/>
              </w:rPr>
              <w:t>9分</w:t>
            </w:r>
          </w:p>
        </w:tc>
      </w:tr>
      <w:tr w14:paraId="26BD8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2" w:type="pct"/>
            <w:tcBorders>
              <w:left w:val="single" w:color="auto" w:sz="12" w:space="0"/>
            </w:tcBorders>
            <w:vAlign w:val="center"/>
          </w:tcPr>
          <w:p w14:paraId="3BCE6070">
            <w:pPr>
              <w:spacing w:line="288" w:lineRule="auto"/>
              <w:jc w:val="center"/>
              <w:rPr>
                <w:b/>
                <w:bCs/>
                <w:color w:val="auto"/>
                <w:highlight w:val="none"/>
              </w:rPr>
            </w:pPr>
            <w:r>
              <w:rPr>
                <w:rFonts w:hint="eastAsia"/>
                <w:b/>
                <w:bCs/>
                <w:color w:val="auto"/>
                <w:highlight w:val="none"/>
              </w:rPr>
              <w:t>3</w:t>
            </w:r>
          </w:p>
        </w:tc>
        <w:tc>
          <w:tcPr>
            <w:tcW w:w="838" w:type="pct"/>
            <w:vAlign w:val="center"/>
          </w:tcPr>
          <w:p w14:paraId="77568A51">
            <w:pPr>
              <w:spacing w:line="288" w:lineRule="auto"/>
              <w:jc w:val="center"/>
              <w:rPr>
                <w:b/>
                <w:bCs/>
                <w:color w:val="auto"/>
                <w:highlight w:val="none"/>
              </w:rPr>
            </w:pPr>
            <w:r>
              <w:rPr>
                <w:rFonts w:hint="eastAsia"/>
                <w:b/>
                <w:bCs/>
                <w:color w:val="auto"/>
                <w:highlight w:val="none"/>
              </w:rPr>
              <w:t>商务分</w:t>
            </w:r>
          </w:p>
          <w:p w14:paraId="4E053944">
            <w:pPr>
              <w:spacing w:line="288" w:lineRule="auto"/>
              <w:jc w:val="center"/>
              <w:rPr>
                <w:b/>
                <w:bCs/>
                <w:color w:val="auto"/>
                <w:highlight w:val="none"/>
              </w:rPr>
            </w:pPr>
            <w:r>
              <w:rPr>
                <w:rFonts w:hint="eastAsia"/>
                <w:b/>
                <w:bCs/>
                <w:color w:val="auto"/>
                <w:highlight w:val="none"/>
              </w:rPr>
              <w:t>（满分</w:t>
            </w:r>
            <w:r>
              <w:rPr>
                <w:rFonts w:hint="eastAsia"/>
                <w:b/>
                <w:bCs/>
                <w:color w:val="auto"/>
                <w:highlight w:val="none"/>
                <w:lang w:val="en-US" w:eastAsia="zh-CN"/>
              </w:rPr>
              <w:t>24</w:t>
            </w:r>
            <w:r>
              <w:rPr>
                <w:rFonts w:hint="eastAsia"/>
                <w:b/>
                <w:bCs/>
                <w:color w:val="auto"/>
                <w:highlight w:val="none"/>
              </w:rPr>
              <w:t>分）</w:t>
            </w:r>
          </w:p>
        </w:tc>
        <w:tc>
          <w:tcPr>
            <w:tcW w:w="3359" w:type="pct"/>
            <w:vAlign w:val="center"/>
          </w:tcPr>
          <w:p w14:paraId="3972B8A6">
            <w:pPr>
              <w:spacing w:line="288" w:lineRule="auto"/>
              <w:jc w:val="center"/>
              <w:rPr>
                <w:b/>
                <w:bCs/>
                <w:color w:val="auto"/>
                <w:highlight w:val="none"/>
              </w:rPr>
            </w:pPr>
            <w:r>
              <w:rPr>
                <w:rFonts w:hint="eastAsia"/>
                <w:b/>
                <w:bCs/>
                <w:color w:val="auto"/>
                <w:highlight w:val="none"/>
              </w:rPr>
              <w:t>评审因素</w:t>
            </w:r>
          </w:p>
        </w:tc>
        <w:tc>
          <w:tcPr>
            <w:tcW w:w="468" w:type="pct"/>
            <w:tcBorders>
              <w:right w:val="single" w:color="auto" w:sz="12" w:space="0"/>
            </w:tcBorders>
            <w:vAlign w:val="center"/>
          </w:tcPr>
          <w:p w14:paraId="01229512">
            <w:pPr>
              <w:spacing w:line="288" w:lineRule="auto"/>
              <w:jc w:val="center"/>
              <w:rPr>
                <w:b/>
                <w:bCs/>
                <w:color w:val="auto"/>
                <w:highlight w:val="none"/>
              </w:rPr>
            </w:pPr>
            <w:r>
              <w:rPr>
                <w:rFonts w:hint="eastAsia"/>
                <w:b/>
                <w:bCs/>
                <w:color w:val="auto"/>
                <w:highlight w:val="none"/>
              </w:rPr>
              <w:t>分值</w:t>
            </w:r>
          </w:p>
        </w:tc>
      </w:tr>
      <w:tr w14:paraId="17337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332" w:type="pct"/>
            <w:tcBorders>
              <w:left w:val="single" w:color="auto" w:sz="12" w:space="0"/>
            </w:tcBorders>
            <w:vAlign w:val="center"/>
          </w:tcPr>
          <w:p w14:paraId="4F33BEA9">
            <w:pPr>
              <w:spacing w:line="288" w:lineRule="auto"/>
              <w:jc w:val="center"/>
              <w:rPr>
                <w:b/>
                <w:bCs/>
                <w:color w:val="auto"/>
                <w:highlight w:val="none"/>
              </w:rPr>
            </w:pPr>
            <w:r>
              <w:rPr>
                <w:rFonts w:hint="eastAsia" w:ascii="宋体" w:hAnsi="宋体" w:cs="Courier New"/>
                <w:bCs/>
                <w:color w:val="auto"/>
                <w:kern w:val="0"/>
                <w:szCs w:val="21"/>
                <w:highlight w:val="none"/>
              </w:rPr>
              <w:t>3.1</w:t>
            </w:r>
          </w:p>
        </w:tc>
        <w:tc>
          <w:tcPr>
            <w:tcW w:w="838" w:type="pct"/>
            <w:vAlign w:val="center"/>
          </w:tcPr>
          <w:p w14:paraId="0F2641BC">
            <w:pPr>
              <w:widowControl/>
              <w:spacing w:line="320" w:lineRule="exact"/>
              <w:jc w:val="center"/>
              <w:rPr>
                <w:b/>
                <w:bCs/>
                <w:color w:val="auto"/>
                <w:highlight w:val="none"/>
              </w:rPr>
            </w:pPr>
            <w:r>
              <w:rPr>
                <w:rFonts w:hint="eastAsia" w:hAnsi="宋体"/>
                <w:color w:val="auto"/>
                <w:kern w:val="0"/>
                <w:highlight w:val="none"/>
              </w:rPr>
              <w:t>体检环境分（满分8分）</w:t>
            </w:r>
          </w:p>
        </w:tc>
        <w:tc>
          <w:tcPr>
            <w:tcW w:w="3359" w:type="pct"/>
          </w:tcPr>
          <w:p w14:paraId="49B48D7B">
            <w:pPr>
              <w:spacing w:line="320" w:lineRule="exact"/>
              <w:jc w:val="left"/>
              <w:rPr>
                <w:rFonts w:ascii="宋体" w:hAnsi="宋体" w:cs="Courier New"/>
                <w:bCs/>
                <w:color w:val="auto"/>
                <w:kern w:val="0"/>
                <w:szCs w:val="21"/>
                <w:highlight w:val="none"/>
              </w:rPr>
            </w:pPr>
            <w:r>
              <w:rPr>
                <w:rFonts w:hint="eastAsia" w:ascii="宋体" w:hAnsi="宋体" w:cs="Courier New"/>
                <w:bCs/>
                <w:color w:val="auto"/>
                <w:kern w:val="0"/>
                <w:szCs w:val="21"/>
                <w:highlight w:val="none"/>
              </w:rPr>
              <w:t>（1）供应商承诺提供的健康体检场所日接待量不少于300人，得1分。</w:t>
            </w:r>
          </w:p>
          <w:p w14:paraId="2EA48CC3">
            <w:pPr>
              <w:spacing w:line="320" w:lineRule="exact"/>
              <w:jc w:val="left"/>
              <w:rPr>
                <w:rFonts w:ascii="宋体" w:hAnsi="宋体" w:cs="Courier New"/>
                <w:bCs/>
                <w:color w:val="auto"/>
                <w:kern w:val="0"/>
                <w:szCs w:val="21"/>
                <w:highlight w:val="none"/>
              </w:rPr>
            </w:pPr>
            <w:r>
              <w:rPr>
                <w:rFonts w:hint="eastAsia" w:ascii="宋体" w:hAnsi="宋体" w:cs="Courier New"/>
                <w:bCs/>
                <w:color w:val="auto"/>
                <w:kern w:val="0"/>
                <w:szCs w:val="21"/>
                <w:highlight w:val="none"/>
              </w:rPr>
              <w:t>（2）供应商承诺提供有独立的健康体检场所，有独立的VIP体检服务区域，可实现分层服务，特殊人群给予照顾。得1分。</w:t>
            </w:r>
          </w:p>
          <w:p w14:paraId="79B8EFF3">
            <w:pPr>
              <w:spacing w:line="320" w:lineRule="exact"/>
              <w:jc w:val="left"/>
              <w:rPr>
                <w:rFonts w:ascii="宋体" w:hAnsi="宋体" w:cs="Courier New"/>
                <w:bCs/>
                <w:color w:val="auto"/>
                <w:kern w:val="0"/>
                <w:szCs w:val="21"/>
                <w:highlight w:val="none"/>
              </w:rPr>
            </w:pPr>
            <w:r>
              <w:rPr>
                <w:rFonts w:hint="eastAsia" w:ascii="宋体" w:hAnsi="宋体" w:cs="Courier New"/>
                <w:bCs/>
                <w:color w:val="auto"/>
                <w:kern w:val="0"/>
                <w:szCs w:val="21"/>
                <w:highlight w:val="none"/>
              </w:rPr>
              <w:t>（3）供应商承诺配备有</w:t>
            </w:r>
            <w:r>
              <w:rPr>
                <w:rFonts w:hint="eastAsia"/>
                <w:color w:val="auto"/>
                <w:highlight w:val="none"/>
              </w:rPr>
              <w:t>智能导检系统，实现全流程智能叫号导检，</w:t>
            </w:r>
            <w:r>
              <w:rPr>
                <w:rFonts w:hint="eastAsia" w:ascii="宋体" w:hAnsi="宋体" w:cs="Courier New"/>
                <w:bCs/>
                <w:color w:val="auto"/>
                <w:kern w:val="0"/>
                <w:szCs w:val="21"/>
                <w:highlight w:val="none"/>
              </w:rPr>
              <w:t>体检流程便捷顺畅，能实现“一站式”服务，即进入体检中心后可以完成所有的体检项目，得1分。</w:t>
            </w:r>
          </w:p>
          <w:p w14:paraId="46DA38AF">
            <w:pPr>
              <w:spacing w:line="320" w:lineRule="exact"/>
              <w:jc w:val="left"/>
              <w:rPr>
                <w:rFonts w:ascii="宋体" w:hAnsi="宋体" w:cs="Courier New"/>
                <w:bCs/>
                <w:color w:val="auto"/>
                <w:kern w:val="0"/>
                <w:szCs w:val="21"/>
                <w:highlight w:val="none"/>
              </w:rPr>
            </w:pPr>
            <w:r>
              <w:rPr>
                <w:rFonts w:hint="eastAsia" w:ascii="宋体" w:hAnsi="宋体" w:cs="Courier New"/>
                <w:bCs/>
                <w:color w:val="auto"/>
                <w:kern w:val="0"/>
                <w:szCs w:val="21"/>
                <w:highlight w:val="none"/>
              </w:rPr>
              <w:t>（4）供应商配备有智能采血系统，能规范高效完成采血的，得1分。</w:t>
            </w:r>
          </w:p>
          <w:p w14:paraId="3CBD71B5">
            <w:pPr>
              <w:spacing w:line="320" w:lineRule="exact"/>
              <w:jc w:val="left"/>
              <w:rPr>
                <w:rFonts w:ascii="宋体" w:hAnsi="宋体" w:cs="Courier New"/>
                <w:bCs/>
                <w:color w:val="auto"/>
                <w:kern w:val="0"/>
                <w:szCs w:val="21"/>
                <w:highlight w:val="none"/>
              </w:rPr>
            </w:pPr>
            <w:r>
              <w:rPr>
                <w:rFonts w:hint="eastAsia" w:ascii="宋体" w:hAnsi="宋体" w:cs="Courier New"/>
                <w:bCs/>
                <w:color w:val="auto"/>
                <w:kern w:val="0"/>
                <w:szCs w:val="21"/>
                <w:highlight w:val="none"/>
              </w:rPr>
              <w:t>（5）供应商配备有智能物流（气动物流）系统，可以提供高效、环保、保障检验标本安全的功能，满分得2分</w:t>
            </w:r>
            <w:r>
              <w:rPr>
                <w:rFonts w:hint="eastAsia" w:hAnsi="宋体"/>
                <w:bCs/>
                <w:color w:val="auto"/>
                <w:highlight w:val="none"/>
              </w:rPr>
              <w:t>。</w:t>
            </w:r>
          </w:p>
          <w:p w14:paraId="4AC00851">
            <w:pPr>
              <w:spacing w:line="320" w:lineRule="exact"/>
              <w:jc w:val="left"/>
              <w:rPr>
                <w:b/>
                <w:bCs/>
                <w:color w:val="auto"/>
                <w:highlight w:val="none"/>
              </w:rPr>
            </w:pPr>
            <w:r>
              <w:rPr>
                <w:rFonts w:hint="eastAsia" w:ascii="宋体" w:hAnsi="宋体" w:cs="Courier New"/>
                <w:bCs/>
                <w:color w:val="auto"/>
                <w:kern w:val="0"/>
                <w:szCs w:val="21"/>
                <w:highlight w:val="none"/>
              </w:rPr>
              <w:t>（6）体检机构可提供公共院内停车位&gt;500个，得2分。（响应文件中提供说明停车场位置、停车位数量、如有单位大巴接送提供免费停车位等）。</w:t>
            </w:r>
          </w:p>
        </w:tc>
        <w:tc>
          <w:tcPr>
            <w:tcW w:w="468" w:type="pct"/>
            <w:tcBorders>
              <w:right w:val="single" w:color="auto" w:sz="12" w:space="0"/>
            </w:tcBorders>
            <w:vAlign w:val="center"/>
          </w:tcPr>
          <w:p w14:paraId="440BE3EB">
            <w:pPr>
              <w:widowControl/>
              <w:spacing w:line="320" w:lineRule="exact"/>
              <w:jc w:val="center"/>
              <w:rPr>
                <w:b/>
                <w:bCs/>
                <w:color w:val="auto"/>
                <w:highlight w:val="none"/>
              </w:rPr>
            </w:pPr>
            <w:r>
              <w:rPr>
                <w:rFonts w:hint="eastAsia" w:ascii="宋体" w:hAnsi="宋体" w:cs="Tahoma"/>
                <w:color w:val="auto"/>
                <w:kern w:val="0"/>
                <w:szCs w:val="21"/>
                <w:highlight w:val="none"/>
              </w:rPr>
              <w:t>8分</w:t>
            </w:r>
          </w:p>
        </w:tc>
      </w:tr>
      <w:tr w14:paraId="63854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332" w:type="pct"/>
            <w:tcBorders>
              <w:left w:val="single" w:color="auto" w:sz="12" w:space="0"/>
            </w:tcBorders>
            <w:vAlign w:val="center"/>
          </w:tcPr>
          <w:p w14:paraId="2C37513C">
            <w:pPr>
              <w:pStyle w:val="8"/>
              <w:spacing w:line="360" w:lineRule="auto"/>
              <w:ind w:firstLine="0"/>
              <w:jc w:val="center"/>
              <w:rPr>
                <w:bCs/>
                <w:color w:val="auto"/>
                <w:highlight w:val="none"/>
              </w:rPr>
            </w:pPr>
            <w:r>
              <w:rPr>
                <w:rFonts w:hint="eastAsia" w:ascii="宋体" w:hAnsi="宋体" w:cs="宋体"/>
                <w:bCs/>
                <w:color w:val="auto"/>
                <w:szCs w:val="21"/>
                <w:highlight w:val="none"/>
              </w:rPr>
              <w:t>3.2</w:t>
            </w:r>
          </w:p>
        </w:tc>
        <w:tc>
          <w:tcPr>
            <w:tcW w:w="838" w:type="pct"/>
            <w:vAlign w:val="center"/>
          </w:tcPr>
          <w:p w14:paraId="61343247">
            <w:pPr>
              <w:widowControl/>
              <w:spacing w:line="360" w:lineRule="auto"/>
              <w:rPr>
                <w:bCs/>
                <w:color w:val="auto"/>
                <w:highlight w:val="none"/>
              </w:rPr>
            </w:pPr>
            <w:r>
              <w:rPr>
                <w:rFonts w:hint="eastAsia" w:ascii="宋体" w:hAnsi="宋体" w:cs="宋体"/>
                <w:bCs/>
                <w:color w:val="auto"/>
                <w:kern w:val="0"/>
                <w:highlight w:val="none"/>
              </w:rPr>
              <w:t>履约能力分（满分</w:t>
            </w:r>
            <w:r>
              <w:rPr>
                <w:rFonts w:hint="eastAsia" w:ascii="宋体" w:hAnsi="宋体" w:cs="宋体"/>
                <w:bCs/>
                <w:color w:val="auto"/>
                <w:kern w:val="0"/>
                <w:highlight w:val="none"/>
                <w:lang w:val="en-US" w:eastAsia="zh-CN"/>
              </w:rPr>
              <w:t>10</w:t>
            </w:r>
            <w:r>
              <w:rPr>
                <w:rFonts w:hint="eastAsia" w:ascii="宋体" w:hAnsi="宋体" w:cs="宋体"/>
                <w:bCs/>
                <w:color w:val="auto"/>
                <w:kern w:val="0"/>
                <w:highlight w:val="none"/>
              </w:rPr>
              <w:t>分）</w:t>
            </w:r>
          </w:p>
        </w:tc>
        <w:tc>
          <w:tcPr>
            <w:tcW w:w="3359" w:type="pct"/>
          </w:tcPr>
          <w:p w14:paraId="2A79B293">
            <w:pPr>
              <w:pStyle w:val="18"/>
              <w:numPr>
                <w:ilvl w:val="0"/>
                <w:numId w:val="2"/>
              </w:numPr>
              <w:spacing w:line="360" w:lineRule="auto"/>
              <w:rPr>
                <w:rFonts w:hAnsi="宋体" w:cs="Courier New"/>
                <w:bCs/>
                <w:color w:val="auto"/>
                <w:kern w:val="2"/>
                <w:sz w:val="21"/>
                <w:highlight w:val="none"/>
              </w:rPr>
            </w:pPr>
            <w:r>
              <w:rPr>
                <w:rFonts w:hint="eastAsia" w:hAnsi="宋体" w:cs="Courier New"/>
                <w:bCs/>
                <w:color w:val="auto"/>
                <w:kern w:val="2"/>
                <w:sz w:val="21"/>
                <w:highlight w:val="none"/>
              </w:rPr>
              <w:t>供应商为三级综合甲等医院的得4分；三级专科甲等医院的得3分；三级乙等资质医院（综合三乙或专科三乙）的得2分；二级甲等资质医院（综合二甲或专科二甲）和其他的得1分；本项满分4分。（响应文件中提供资质证书复印件，否则不予计分）</w:t>
            </w:r>
          </w:p>
          <w:p w14:paraId="598FCF5E">
            <w:pPr>
              <w:numPr>
                <w:ilvl w:val="0"/>
                <w:numId w:val="2"/>
              </w:numPr>
              <w:spacing w:line="360" w:lineRule="exact"/>
              <w:rPr>
                <w:rFonts w:ascii="宋体" w:hAnsi="宋体" w:cs="Courier New"/>
                <w:bCs/>
                <w:color w:val="auto"/>
                <w:szCs w:val="21"/>
                <w:highlight w:val="none"/>
              </w:rPr>
            </w:pPr>
            <w:r>
              <w:rPr>
                <w:rFonts w:hint="eastAsia" w:ascii="宋体" w:hAnsi="宋体" w:cs="Courier New"/>
                <w:bCs/>
                <w:color w:val="auto"/>
                <w:szCs w:val="21"/>
                <w:highlight w:val="none"/>
              </w:rPr>
              <w:t>供应商2022年1月1日至首次响应文件提交截止时间前，具有类似项目业绩，每个得1分，满分6分。（需在首次响应文件中提供类似项目业绩的合同或协议等相关证明材料的复印件，未按要求提供的不予以计分）</w:t>
            </w:r>
          </w:p>
        </w:tc>
        <w:tc>
          <w:tcPr>
            <w:tcW w:w="468" w:type="pct"/>
            <w:tcBorders>
              <w:right w:val="single" w:color="auto" w:sz="12" w:space="0"/>
            </w:tcBorders>
            <w:vAlign w:val="center"/>
          </w:tcPr>
          <w:p w14:paraId="7D132BD3">
            <w:pPr>
              <w:widowControl/>
              <w:spacing w:line="360" w:lineRule="auto"/>
              <w:jc w:val="center"/>
              <w:rPr>
                <w:b/>
                <w:bCs/>
                <w:color w:val="auto"/>
                <w:highlight w:val="none"/>
              </w:rPr>
            </w:pPr>
            <w:r>
              <w:rPr>
                <w:rFonts w:hint="eastAsia" w:ascii="宋体" w:hAnsi="宋体" w:cs="宋体"/>
                <w:color w:val="auto"/>
                <w:kern w:val="0"/>
                <w:highlight w:val="none"/>
                <w:lang w:val="en-US" w:eastAsia="zh-CN"/>
              </w:rPr>
              <w:t>10</w:t>
            </w:r>
            <w:r>
              <w:rPr>
                <w:rFonts w:hint="eastAsia" w:ascii="宋体" w:hAnsi="宋体" w:cs="宋体"/>
                <w:color w:val="auto"/>
                <w:kern w:val="0"/>
                <w:highlight w:val="none"/>
              </w:rPr>
              <w:t>分</w:t>
            </w:r>
          </w:p>
        </w:tc>
      </w:tr>
      <w:tr w14:paraId="74237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332" w:type="pct"/>
            <w:tcBorders>
              <w:left w:val="single" w:color="auto" w:sz="12" w:space="0"/>
            </w:tcBorders>
            <w:vAlign w:val="center"/>
          </w:tcPr>
          <w:p w14:paraId="0AE79D9F">
            <w:pPr>
              <w:pStyle w:val="8"/>
              <w:spacing w:line="360" w:lineRule="auto"/>
              <w:ind w:firstLine="0"/>
              <w:jc w:val="center"/>
              <w:rPr>
                <w:rFonts w:ascii="宋体" w:hAnsi="宋体" w:cs="宋体"/>
                <w:bCs/>
                <w:color w:val="auto"/>
                <w:szCs w:val="21"/>
                <w:highlight w:val="none"/>
              </w:rPr>
            </w:pPr>
            <w:r>
              <w:rPr>
                <w:rFonts w:hint="eastAsia" w:ascii="宋体" w:hAnsi="宋体" w:cs="宋体"/>
                <w:bCs/>
                <w:color w:val="auto"/>
                <w:szCs w:val="21"/>
                <w:highlight w:val="none"/>
              </w:rPr>
              <w:t>3.3</w:t>
            </w:r>
          </w:p>
        </w:tc>
        <w:tc>
          <w:tcPr>
            <w:tcW w:w="838" w:type="pct"/>
            <w:vAlign w:val="center"/>
          </w:tcPr>
          <w:p w14:paraId="72968A77">
            <w:pPr>
              <w:pStyle w:val="8"/>
              <w:shd w:val="clear" w:color="auto" w:fill="FFFFFF"/>
              <w:spacing w:line="360" w:lineRule="auto"/>
              <w:ind w:firstLine="0"/>
              <w:jc w:val="center"/>
              <w:rPr>
                <w:rFonts w:ascii="宋体" w:hAnsi="宋体" w:cs="Courier New"/>
                <w:bCs/>
                <w:color w:val="auto"/>
                <w:szCs w:val="21"/>
                <w:highlight w:val="none"/>
              </w:rPr>
            </w:pPr>
            <w:r>
              <w:rPr>
                <w:rFonts w:hint="eastAsia" w:ascii="宋体" w:hAnsi="宋体" w:cs="Courier New"/>
                <w:bCs/>
                <w:color w:val="auto"/>
                <w:highlight w:val="none"/>
              </w:rPr>
              <w:t>专业实力分（满分4分）</w:t>
            </w:r>
          </w:p>
        </w:tc>
        <w:tc>
          <w:tcPr>
            <w:tcW w:w="3359" w:type="pct"/>
          </w:tcPr>
          <w:p w14:paraId="144AEFCB">
            <w:pPr>
              <w:pStyle w:val="8"/>
              <w:spacing w:line="360" w:lineRule="auto"/>
              <w:ind w:firstLine="0"/>
              <w:rPr>
                <w:color w:val="auto"/>
                <w:highlight w:val="none"/>
              </w:rPr>
            </w:pPr>
            <w:r>
              <w:rPr>
                <w:rFonts w:hint="eastAsia"/>
                <w:color w:val="auto"/>
                <w:highlight w:val="none"/>
              </w:rPr>
              <w:t>供应商承诺：拥有完整的健康服务标准体系，保证职工体检过程的服务质量。具有多学科协作健康管理平台，针对体检后的健康问题，专门开设健康联合门诊或多学科健康管理门诊，</w:t>
            </w:r>
            <w:r>
              <w:rPr>
                <w:rFonts w:hint="eastAsia" w:ascii="宋体" w:hAnsi="宋体" w:cs="宋体"/>
                <w:color w:val="auto"/>
                <w:szCs w:val="21"/>
                <w:highlight w:val="none"/>
              </w:rPr>
              <w:t>快捷</w:t>
            </w:r>
            <w:r>
              <w:rPr>
                <w:rFonts w:hint="eastAsia"/>
                <w:color w:val="auto"/>
                <w:highlight w:val="none"/>
              </w:rPr>
              <w:t>有效</w:t>
            </w:r>
            <w:r>
              <w:rPr>
                <w:rFonts w:hint="eastAsia" w:ascii="宋体" w:hAnsi="宋体" w:cs="宋体"/>
                <w:color w:val="auto"/>
                <w:szCs w:val="21"/>
                <w:highlight w:val="none"/>
              </w:rPr>
              <w:t>为体检后的职工提供看病就医的通道</w:t>
            </w:r>
            <w:r>
              <w:rPr>
                <w:rFonts w:hint="eastAsia"/>
                <w:color w:val="auto"/>
                <w:highlight w:val="none"/>
              </w:rPr>
              <w:t>。供应商提供承诺并包含上述全部内容得4分，不提供承诺或内容不完整不得分。</w:t>
            </w:r>
          </w:p>
        </w:tc>
        <w:tc>
          <w:tcPr>
            <w:tcW w:w="468" w:type="pct"/>
            <w:tcBorders>
              <w:right w:val="single" w:color="auto" w:sz="12" w:space="0"/>
            </w:tcBorders>
            <w:vAlign w:val="center"/>
          </w:tcPr>
          <w:p w14:paraId="19DDFC44">
            <w:pPr>
              <w:spacing w:line="320" w:lineRule="exact"/>
              <w:jc w:val="center"/>
              <w:rPr>
                <w:rFonts w:ascii="宋体" w:hAnsi="宋体" w:cs="Tahoma"/>
                <w:color w:val="auto"/>
                <w:kern w:val="0"/>
                <w:szCs w:val="21"/>
                <w:highlight w:val="none"/>
              </w:rPr>
            </w:pPr>
            <w:r>
              <w:rPr>
                <w:rFonts w:hint="eastAsia" w:ascii="宋体" w:hAnsi="宋体" w:cs="Tahoma"/>
                <w:color w:val="auto"/>
                <w:kern w:val="0"/>
                <w:szCs w:val="21"/>
                <w:highlight w:val="none"/>
              </w:rPr>
              <w:t>4分</w:t>
            </w:r>
          </w:p>
        </w:tc>
      </w:tr>
      <w:tr w14:paraId="0539F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332" w:type="pct"/>
            <w:tcBorders>
              <w:left w:val="single" w:color="auto" w:sz="12" w:space="0"/>
            </w:tcBorders>
            <w:vAlign w:val="center"/>
          </w:tcPr>
          <w:p w14:paraId="0F4E3DFB">
            <w:pPr>
              <w:pStyle w:val="8"/>
              <w:spacing w:line="360" w:lineRule="auto"/>
              <w:ind w:firstLine="0"/>
              <w:jc w:val="center"/>
              <w:rPr>
                <w:rFonts w:ascii="宋体" w:hAnsi="宋体" w:cs="宋体"/>
                <w:bCs/>
                <w:color w:val="auto"/>
                <w:szCs w:val="21"/>
                <w:highlight w:val="none"/>
              </w:rPr>
            </w:pPr>
            <w:r>
              <w:rPr>
                <w:rFonts w:hint="eastAsia" w:ascii="宋体" w:hAnsi="宋体" w:cs="宋体"/>
                <w:bCs/>
                <w:color w:val="auto"/>
                <w:szCs w:val="21"/>
                <w:highlight w:val="none"/>
              </w:rPr>
              <w:t>3.4</w:t>
            </w:r>
          </w:p>
        </w:tc>
        <w:tc>
          <w:tcPr>
            <w:tcW w:w="838" w:type="pct"/>
            <w:vAlign w:val="center"/>
          </w:tcPr>
          <w:p w14:paraId="47AC79F5">
            <w:pPr>
              <w:adjustRightInd w:val="0"/>
              <w:snapToGrid w:val="0"/>
              <w:spacing w:line="360" w:lineRule="auto"/>
              <w:jc w:val="center"/>
              <w:textAlignment w:val="baseline"/>
              <w:rPr>
                <w:bCs/>
                <w:color w:val="auto"/>
                <w:highlight w:val="none"/>
              </w:rPr>
            </w:pPr>
            <w:r>
              <w:rPr>
                <w:rFonts w:hint="eastAsia" w:ascii="宋体" w:hAnsi="宋体" w:cs="Courier New"/>
                <w:bCs/>
                <w:color w:val="auto"/>
                <w:szCs w:val="21"/>
                <w:highlight w:val="none"/>
              </w:rPr>
              <w:t>信息系统分（满分2分）</w:t>
            </w:r>
          </w:p>
        </w:tc>
        <w:tc>
          <w:tcPr>
            <w:tcW w:w="3359" w:type="pct"/>
            <w:vAlign w:val="center"/>
          </w:tcPr>
          <w:p w14:paraId="3ECF998D">
            <w:pPr>
              <w:spacing w:line="360" w:lineRule="auto"/>
              <w:rPr>
                <w:color w:val="auto"/>
                <w:highlight w:val="none"/>
              </w:rPr>
            </w:pPr>
            <w:r>
              <w:rPr>
                <w:rFonts w:hint="eastAsia"/>
                <w:color w:val="auto"/>
                <w:highlight w:val="none"/>
              </w:rPr>
              <w:t>供应商承诺：有完善的健康管理系统并且有相对应的健康管理平台，能对健康档案分类管理、监测、抓取异常。对影响健康的危险因素进行全面评估，制定并实施规范化、个体化、连续性的综合治疗干预方案，实现疾病诊疗和健康管理效果的最大化；本项满分2分。</w:t>
            </w:r>
          </w:p>
          <w:p w14:paraId="3D427F21">
            <w:pPr>
              <w:spacing w:line="360" w:lineRule="auto"/>
              <w:rPr>
                <w:color w:val="auto"/>
                <w:highlight w:val="none"/>
              </w:rPr>
            </w:pPr>
            <w:r>
              <w:rPr>
                <w:rFonts w:hint="eastAsia"/>
                <w:color w:val="auto"/>
                <w:highlight w:val="none"/>
              </w:rPr>
              <w:t>注：响应文件中提供管理系统主要页面截图，</w:t>
            </w:r>
            <w:r>
              <w:rPr>
                <w:rFonts w:hint="eastAsia" w:hAnsi="宋体" w:cs="Courier New"/>
                <w:bCs/>
                <w:color w:val="auto"/>
                <w:highlight w:val="none"/>
              </w:rPr>
              <w:t>否则不予计分</w:t>
            </w:r>
            <w:r>
              <w:rPr>
                <w:rFonts w:hint="eastAsia"/>
                <w:color w:val="auto"/>
                <w:highlight w:val="none"/>
              </w:rPr>
              <w:t>。</w:t>
            </w:r>
          </w:p>
        </w:tc>
        <w:tc>
          <w:tcPr>
            <w:tcW w:w="468" w:type="pct"/>
            <w:tcBorders>
              <w:right w:val="single" w:color="auto" w:sz="12" w:space="0"/>
            </w:tcBorders>
            <w:vAlign w:val="center"/>
          </w:tcPr>
          <w:p w14:paraId="3B13E4B6">
            <w:pPr>
              <w:spacing w:line="320" w:lineRule="exact"/>
              <w:jc w:val="center"/>
              <w:rPr>
                <w:color w:val="auto"/>
                <w:highlight w:val="none"/>
              </w:rPr>
            </w:pPr>
            <w:r>
              <w:rPr>
                <w:rFonts w:hint="eastAsia" w:ascii="宋体" w:hAnsi="宋体" w:cs="Tahoma"/>
                <w:color w:val="auto"/>
                <w:kern w:val="0"/>
                <w:szCs w:val="21"/>
                <w:highlight w:val="none"/>
              </w:rPr>
              <w:t>2分</w:t>
            </w:r>
          </w:p>
        </w:tc>
      </w:tr>
      <w:tr w14:paraId="0660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531" w:type="pct"/>
            <w:gridSpan w:val="3"/>
            <w:tcBorders>
              <w:left w:val="single" w:color="auto" w:sz="12" w:space="0"/>
              <w:bottom w:val="single" w:color="auto" w:sz="12" w:space="0"/>
            </w:tcBorders>
            <w:vAlign w:val="center"/>
          </w:tcPr>
          <w:p w14:paraId="1CD7BE17">
            <w:pPr>
              <w:spacing w:line="288" w:lineRule="auto"/>
              <w:jc w:val="left"/>
              <w:rPr>
                <w:b/>
                <w:bCs/>
                <w:color w:val="auto"/>
                <w:highlight w:val="none"/>
              </w:rPr>
            </w:pPr>
            <w:r>
              <w:rPr>
                <w:rFonts w:hint="eastAsia"/>
                <w:b/>
                <w:bCs/>
                <w:color w:val="auto"/>
                <w:highlight w:val="none"/>
              </w:rPr>
              <w:t xml:space="preserve">总得分=1 + 2 + 3 </w:t>
            </w:r>
          </w:p>
        </w:tc>
        <w:tc>
          <w:tcPr>
            <w:tcW w:w="468" w:type="pct"/>
            <w:tcBorders>
              <w:bottom w:val="single" w:color="auto" w:sz="12" w:space="0"/>
              <w:right w:val="single" w:color="auto" w:sz="12" w:space="0"/>
            </w:tcBorders>
            <w:vAlign w:val="center"/>
          </w:tcPr>
          <w:p w14:paraId="1BA43A5F">
            <w:pPr>
              <w:spacing w:line="288" w:lineRule="auto"/>
              <w:jc w:val="left"/>
              <w:rPr>
                <w:b/>
                <w:bCs/>
                <w:color w:val="auto"/>
                <w:highlight w:val="none"/>
              </w:rPr>
            </w:pPr>
          </w:p>
        </w:tc>
      </w:tr>
    </w:tbl>
    <w:p w14:paraId="2C5E76E7">
      <w:pPr>
        <w:rPr>
          <w:b/>
          <w:bCs/>
          <w:color w:val="auto"/>
          <w:spacing w:val="-5"/>
          <w:highlight w:val="none"/>
        </w:rPr>
      </w:pPr>
      <w:r>
        <w:rPr>
          <w:b/>
          <w:bCs/>
          <w:color w:val="auto"/>
          <w:spacing w:val="-5"/>
          <w:highlight w:val="none"/>
        </w:rPr>
        <w:br w:type="page"/>
      </w:r>
    </w:p>
    <w:p w14:paraId="3F044619">
      <w:pPr>
        <w:pStyle w:val="17"/>
        <w:ind w:left="0" w:firstLine="402" w:firstLineChars="200"/>
        <w:jc w:val="center"/>
        <w:rPr>
          <w:rFonts w:ascii="宋体" w:hAnsi="宋体" w:cs="宋体"/>
          <w:b/>
          <w:bCs/>
          <w:color w:val="auto"/>
          <w:kern w:val="2"/>
          <w:szCs w:val="21"/>
          <w:highlight w:val="none"/>
        </w:rPr>
      </w:pPr>
      <w:r>
        <w:rPr>
          <w:b/>
          <w:bCs/>
          <w:color w:val="auto"/>
          <w:spacing w:val="-5"/>
          <w:highlight w:val="none"/>
        </w:rPr>
        <w:t>综合评分法</w:t>
      </w:r>
      <w:r>
        <w:rPr>
          <w:rFonts w:hint="eastAsia"/>
          <w:b/>
          <w:bCs/>
          <w:color w:val="auto"/>
          <w:highlight w:val="none"/>
        </w:rPr>
        <w:t>（适用分标2）</w:t>
      </w:r>
    </w:p>
    <w:tbl>
      <w:tblPr>
        <w:tblStyle w:val="33"/>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
        <w:gridCol w:w="1573"/>
        <w:gridCol w:w="6314"/>
        <w:gridCol w:w="879"/>
      </w:tblGrid>
      <w:tr w14:paraId="53B93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30" w:type="pct"/>
            <w:tcBorders>
              <w:top w:val="single" w:color="auto" w:sz="12" w:space="0"/>
              <w:left w:val="single" w:color="auto" w:sz="12" w:space="0"/>
            </w:tcBorders>
            <w:vAlign w:val="center"/>
          </w:tcPr>
          <w:p w14:paraId="2202002E">
            <w:pPr>
              <w:pStyle w:val="8"/>
              <w:ind w:firstLine="0"/>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838" w:type="pct"/>
            <w:tcBorders>
              <w:top w:val="single" w:color="auto" w:sz="12" w:space="0"/>
            </w:tcBorders>
            <w:vAlign w:val="center"/>
          </w:tcPr>
          <w:p w14:paraId="41CDA90C">
            <w:pPr>
              <w:pStyle w:val="8"/>
              <w:ind w:firstLine="0"/>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3362" w:type="pct"/>
            <w:tcBorders>
              <w:top w:val="single" w:color="auto" w:sz="12" w:space="0"/>
            </w:tcBorders>
            <w:vAlign w:val="center"/>
          </w:tcPr>
          <w:p w14:paraId="09DAFE04">
            <w:pPr>
              <w:pStyle w:val="8"/>
              <w:ind w:firstLine="0"/>
              <w:jc w:val="center"/>
              <w:rPr>
                <w:rFonts w:ascii="宋体" w:hAnsi="宋体" w:cs="宋体"/>
                <w:b/>
                <w:color w:val="auto"/>
                <w:szCs w:val="21"/>
                <w:highlight w:val="none"/>
              </w:rPr>
            </w:pPr>
            <w:r>
              <w:rPr>
                <w:rFonts w:hint="eastAsia" w:ascii="宋体" w:hAnsi="宋体" w:cs="宋体"/>
                <w:b/>
                <w:color w:val="auto"/>
                <w:kern w:val="0"/>
                <w:szCs w:val="21"/>
                <w:highlight w:val="none"/>
              </w:rPr>
              <w:t>评审因素具体内容</w:t>
            </w:r>
          </w:p>
        </w:tc>
        <w:tc>
          <w:tcPr>
            <w:tcW w:w="468" w:type="pct"/>
            <w:tcBorders>
              <w:top w:val="single" w:color="auto" w:sz="12" w:space="0"/>
              <w:right w:val="single" w:color="auto" w:sz="12" w:space="0"/>
            </w:tcBorders>
            <w:vAlign w:val="center"/>
          </w:tcPr>
          <w:p w14:paraId="314F8BF6">
            <w:pPr>
              <w:pStyle w:val="8"/>
              <w:ind w:firstLine="0"/>
              <w:jc w:val="center"/>
              <w:rPr>
                <w:rFonts w:ascii="宋体" w:hAnsi="宋体" w:cs="宋体"/>
                <w:b/>
                <w:color w:val="auto"/>
                <w:kern w:val="0"/>
                <w:szCs w:val="21"/>
                <w:highlight w:val="none"/>
              </w:rPr>
            </w:pPr>
            <w:r>
              <w:rPr>
                <w:rFonts w:hint="eastAsia" w:ascii="宋体" w:hAnsi="宋体" w:cs="宋体"/>
                <w:b/>
                <w:color w:val="auto"/>
                <w:kern w:val="0"/>
                <w:szCs w:val="21"/>
                <w:highlight w:val="none"/>
              </w:rPr>
              <w:t>分值</w:t>
            </w:r>
          </w:p>
        </w:tc>
      </w:tr>
      <w:tr w14:paraId="101D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30" w:type="pct"/>
            <w:tcBorders>
              <w:left w:val="single" w:color="auto" w:sz="12" w:space="0"/>
            </w:tcBorders>
            <w:vAlign w:val="center"/>
          </w:tcPr>
          <w:p w14:paraId="02C627EA">
            <w:pPr>
              <w:spacing w:line="288" w:lineRule="auto"/>
              <w:jc w:val="center"/>
              <w:rPr>
                <w:b/>
                <w:bCs/>
                <w:color w:val="auto"/>
                <w:highlight w:val="none"/>
              </w:rPr>
            </w:pPr>
            <w:r>
              <w:rPr>
                <w:rFonts w:hint="eastAsia"/>
                <w:b/>
                <w:bCs/>
                <w:color w:val="auto"/>
                <w:highlight w:val="none"/>
              </w:rPr>
              <w:t>1</w:t>
            </w:r>
          </w:p>
        </w:tc>
        <w:tc>
          <w:tcPr>
            <w:tcW w:w="838" w:type="pct"/>
            <w:vAlign w:val="center"/>
          </w:tcPr>
          <w:p w14:paraId="06F5E765">
            <w:pPr>
              <w:spacing w:line="288" w:lineRule="auto"/>
              <w:jc w:val="center"/>
              <w:rPr>
                <w:b/>
                <w:bCs/>
                <w:color w:val="auto"/>
                <w:highlight w:val="none"/>
              </w:rPr>
            </w:pPr>
            <w:r>
              <w:rPr>
                <w:rFonts w:hint="eastAsia"/>
                <w:b/>
                <w:bCs/>
                <w:color w:val="auto"/>
                <w:highlight w:val="none"/>
              </w:rPr>
              <w:t>价格分（满分10分）</w:t>
            </w:r>
          </w:p>
        </w:tc>
        <w:tc>
          <w:tcPr>
            <w:tcW w:w="3362" w:type="pct"/>
          </w:tcPr>
          <w:p w14:paraId="22BAC7B1">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hAnsi="宋体" w:cs="宋体"/>
                <w:color w:val="auto"/>
                <w:szCs w:val="21"/>
                <w:highlight w:val="none"/>
              </w:rPr>
              <w:t>评审价为供应商的最后报价进行政策性扣除后的价格，评审价只是作为评审时使用。最终成交供应商的成交金额＝最后报价。</w:t>
            </w:r>
          </w:p>
          <w:p w14:paraId="728B8C08">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（2）政策性扣除计算方法。</w:t>
            </w:r>
          </w:p>
          <w:p w14:paraId="6E880F71">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根据《政府采购促进中小企业发展管理办法》（财库〔2020〕46号）及《广西壮族自治区财政厅关于持续优化政府采购营商环境推动高质量发展的通知》（桂财采〔2024〕55号）的规定，供应商在其响应文件中提供《中小企业声明函》，且</w:t>
            </w:r>
            <w:r>
              <w:rPr>
                <w:rFonts w:hint="eastAsia"/>
                <w:color w:val="auto"/>
                <w:highlight w:val="none"/>
              </w:rPr>
              <w:t>其服务为小微企业承接的</w:t>
            </w:r>
            <w:r>
              <w:rPr>
                <w:rFonts w:hint="eastAsia" w:ascii="宋体" w:hAnsi="宋体" w:cs="宋体"/>
                <w:color w:val="auto"/>
                <w:kern w:val="0"/>
                <w:szCs w:val="21"/>
                <w:highlight w:val="none"/>
              </w:rPr>
              <w:t>，对其最后报价给予20%的扣除，扣除后的价格为</w:t>
            </w:r>
            <w:r>
              <w:rPr>
                <w:rFonts w:hint="eastAsia" w:hAnsi="宋体" w:cs="宋体"/>
                <w:color w:val="auto"/>
                <w:szCs w:val="21"/>
                <w:highlight w:val="none"/>
              </w:rPr>
              <w:t>评审价</w:t>
            </w:r>
            <w:r>
              <w:rPr>
                <w:rFonts w:hint="eastAsia" w:ascii="宋体" w:hAnsi="宋体" w:cs="宋体"/>
                <w:color w:val="auto"/>
                <w:kern w:val="0"/>
                <w:szCs w:val="21"/>
                <w:highlight w:val="none"/>
              </w:rPr>
              <w:t>，即</w:t>
            </w:r>
            <w:r>
              <w:rPr>
                <w:rFonts w:hint="eastAsia" w:hAnsi="宋体" w:cs="宋体"/>
                <w:color w:val="auto"/>
                <w:szCs w:val="21"/>
                <w:highlight w:val="none"/>
              </w:rPr>
              <w:t>评审价</w:t>
            </w:r>
            <w:r>
              <w:rPr>
                <w:rFonts w:hint="eastAsia" w:ascii="宋体" w:hAnsi="宋体" w:cs="宋体"/>
                <w:color w:val="auto"/>
                <w:kern w:val="0"/>
                <w:szCs w:val="21"/>
                <w:highlight w:val="none"/>
              </w:rPr>
              <w:t>=最后报价×（1-20%）。除上述情况外，</w:t>
            </w:r>
            <w:r>
              <w:rPr>
                <w:rFonts w:hint="eastAsia" w:hAnsi="宋体" w:cs="宋体"/>
                <w:color w:val="auto"/>
                <w:szCs w:val="21"/>
                <w:highlight w:val="none"/>
              </w:rPr>
              <w:t>评审价</w:t>
            </w:r>
            <w:r>
              <w:rPr>
                <w:rFonts w:hint="eastAsia" w:ascii="宋体" w:hAnsi="宋体" w:cs="宋体"/>
                <w:color w:val="auto"/>
                <w:kern w:val="0"/>
                <w:szCs w:val="21"/>
                <w:highlight w:val="none"/>
              </w:rPr>
              <w:t>=最后报价。</w:t>
            </w:r>
          </w:p>
          <w:p w14:paraId="74C5664C">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53F26260">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4B4E4F4">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（5）满足采购文件要求且</w:t>
            </w:r>
            <w:r>
              <w:rPr>
                <w:rFonts w:hint="eastAsia" w:hAnsi="宋体" w:cs="宋体"/>
                <w:color w:val="auto"/>
                <w:szCs w:val="21"/>
                <w:highlight w:val="none"/>
              </w:rPr>
              <w:t>评审价</w:t>
            </w:r>
            <w:r>
              <w:rPr>
                <w:rFonts w:hint="eastAsia" w:ascii="宋体" w:hAnsi="宋体" w:cs="宋体"/>
                <w:color w:val="auto"/>
                <w:kern w:val="0"/>
                <w:szCs w:val="21"/>
                <w:highlight w:val="none"/>
              </w:rPr>
              <w:t>最低的为评审基准价，其价格分为满分。</w:t>
            </w:r>
          </w:p>
          <w:p w14:paraId="7AC02394">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（6）价格分计算公式：        </w:t>
            </w:r>
          </w:p>
          <w:p w14:paraId="3821D4C9">
            <w:pPr>
              <w:spacing w:line="288" w:lineRule="auto"/>
              <w:jc w:val="left"/>
              <w:rPr>
                <w:color w:val="auto"/>
                <w:highlight w:val="none"/>
              </w:rPr>
            </w:pPr>
            <w:r>
              <w:rPr>
                <w:rFonts w:hint="eastAsia" w:hAnsi="宋体" w:cs="宋体"/>
                <w:color w:val="auto"/>
                <w:highlight w:val="none"/>
              </w:rPr>
              <w:t>价格分=（评审基准价/</w:t>
            </w:r>
            <w:r>
              <w:rPr>
                <w:rFonts w:hint="eastAsia" w:hAnsi="宋体" w:cs="宋体"/>
                <w:color w:val="auto"/>
                <w:szCs w:val="21"/>
                <w:highlight w:val="none"/>
              </w:rPr>
              <w:t>评审价</w:t>
            </w:r>
            <w:r>
              <w:rPr>
                <w:rFonts w:hint="eastAsia" w:hAnsi="宋体" w:cs="宋体"/>
                <w:color w:val="auto"/>
                <w:highlight w:val="none"/>
              </w:rPr>
              <w:t>）×10分</w:t>
            </w:r>
          </w:p>
        </w:tc>
        <w:tc>
          <w:tcPr>
            <w:tcW w:w="468" w:type="pct"/>
            <w:tcBorders>
              <w:right w:val="single" w:color="auto" w:sz="12" w:space="0"/>
            </w:tcBorders>
            <w:vAlign w:val="center"/>
          </w:tcPr>
          <w:p w14:paraId="04ECEBC7">
            <w:pPr>
              <w:spacing w:line="288" w:lineRule="auto"/>
              <w:jc w:val="center"/>
              <w:rPr>
                <w:color w:val="auto"/>
                <w:highlight w:val="none"/>
              </w:rPr>
            </w:pPr>
            <w:r>
              <w:rPr>
                <w:rFonts w:hint="eastAsia"/>
                <w:color w:val="auto"/>
                <w:highlight w:val="none"/>
              </w:rPr>
              <w:t>10分</w:t>
            </w:r>
          </w:p>
        </w:tc>
      </w:tr>
      <w:tr w14:paraId="3372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30" w:type="pct"/>
            <w:tcBorders>
              <w:left w:val="single" w:color="auto" w:sz="12" w:space="0"/>
            </w:tcBorders>
            <w:vAlign w:val="center"/>
          </w:tcPr>
          <w:p w14:paraId="68033289">
            <w:pPr>
              <w:spacing w:line="288" w:lineRule="auto"/>
              <w:jc w:val="center"/>
              <w:rPr>
                <w:b/>
                <w:bCs/>
                <w:color w:val="auto"/>
                <w:highlight w:val="none"/>
              </w:rPr>
            </w:pPr>
            <w:r>
              <w:rPr>
                <w:rFonts w:hint="eastAsia"/>
                <w:b/>
                <w:bCs/>
                <w:color w:val="auto"/>
                <w:highlight w:val="none"/>
              </w:rPr>
              <w:t>2</w:t>
            </w:r>
          </w:p>
        </w:tc>
        <w:tc>
          <w:tcPr>
            <w:tcW w:w="838" w:type="pct"/>
            <w:vAlign w:val="center"/>
          </w:tcPr>
          <w:p w14:paraId="5DB69DAA">
            <w:pPr>
              <w:spacing w:line="288" w:lineRule="auto"/>
              <w:jc w:val="center"/>
              <w:rPr>
                <w:b/>
                <w:bCs/>
                <w:color w:val="auto"/>
                <w:highlight w:val="none"/>
              </w:rPr>
            </w:pPr>
            <w:r>
              <w:rPr>
                <w:rFonts w:hint="eastAsia"/>
                <w:b/>
                <w:bCs/>
                <w:color w:val="auto"/>
                <w:highlight w:val="none"/>
              </w:rPr>
              <w:t>技术分</w:t>
            </w:r>
          </w:p>
          <w:p w14:paraId="41CB722D">
            <w:pPr>
              <w:spacing w:line="288" w:lineRule="auto"/>
              <w:jc w:val="center"/>
              <w:rPr>
                <w:b/>
                <w:bCs/>
                <w:color w:val="auto"/>
                <w:highlight w:val="none"/>
              </w:rPr>
            </w:pPr>
            <w:r>
              <w:rPr>
                <w:rFonts w:hint="eastAsia"/>
                <w:b/>
                <w:bCs/>
                <w:color w:val="auto"/>
                <w:highlight w:val="none"/>
              </w:rPr>
              <w:t>（满分</w:t>
            </w:r>
            <w:r>
              <w:rPr>
                <w:rFonts w:hint="eastAsia"/>
                <w:b/>
                <w:bCs/>
                <w:color w:val="auto"/>
                <w:highlight w:val="none"/>
                <w:lang w:val="en-US" w:eastAsia="zh-CN"/>
              </w:rPr>
              <w:t>66</w:t>
            </w:r>
            <w:r>
              <w:rPr>
                <w:rFonts w:hint="eastAsia"/>
                <w:b/>
                <w:bCs/>
                <w:color w:val="auto"/>
                <w:highlight w:val="none"/>
              </w:rPr>
              <w:t>分）</w:t>
            </w:r>
          </w:p>
        </w:tc>
        <w:tc>
          <w:tcPr>
            <w:tcW w:w="3362" w:type="pct"/>
            <w:vAlign w:val="center"/>
          </w:tcPr>
          <w:p w14:paraId="34E80602">
            <w:pPr>
              <w:spacing w:line="288" w:lineRule="auto"/>
              <w:jc w:val="center"/>
              <w:rPr>
                <w:b/>
                <w:bCs/>
                <w:color w:val="auto"/>
                <w:highlight w:val="none"/>
              </w:rPr>
            </w:pPr>
            <w:r>
              <w:rPr>
                <w:rFonts w:hint="eastAsia"/>
                <w:b/>
                <w:bCs/>
                <w:color w:val="auto"/>
                <w:highlight w:val="none"/>
              </w:rPr>
              <w:t>评审因素</w:t>
            </w:r>
          </w:p>
        </w:tc>
        <w:tc>
          <w:tcPr>
            <w:tcW w:w="468" w:type="pct"/>
            <w:tcBorders>
              <w:right w:val="single" w:color="auto" w:sz="12" w:space="0"/>
            </w:tcBorders>
            <w:vAlign w:val="center"/>
          </w:tcPr>
          <w:p w14:paraId="443B5684">
            <w:pPr>
              <w:spacing w:line="288" w:lineRule="auto"/>
              <w:jc w:val="center"/>
              <w:rPr>
                <w:b/>
                <w:bCs/>
                <w:color w:val="auto"/>
                <w:highlight w:val="none"/>
              </w:rPr>
            </w:pPr>
            <w:r>
              <w:rPr>
                <w:rFonts w:hint="eastAsia"/>
                <w:b/>
                <w:bCs/>
                <w:color w:val="auto"/>
                <w:highlight w:val="none"/>
              </w:rPr>
              <w:t>分值</w:t>
            </w:r>
          </w:p>
        </w:tc>
      </w:tr>
      <w:tr w14:paraId="359A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0" w:type="pct"/>
            <w:tcBorders>
              <w:left w:val="single" w:color="auto" w:sz="12" w:space="0"/>
            </w:tcBorders>
            <w:vAlign w:val="center"/>
          </w:tcPr>
          <w:p w14:paraId="562EC0E1">
            <w:pPr>
              <w:spacing w:line="312" w:lineRule="auto"/>
              <w:rPr>
                <w:color w:val="auto"/>
                <w:highlight w:val="none"/>
              </w:rPr>
            </w:pPr>
            <w:r>
              <w:rPr>
                <w:rFonts w:hint="eastAsia"/>
                <w:color w:val="auto"/>
                <w:highlight w:val="none"/>
              </w:rPr>
              <w:t>2.1</w:t>
            </w:r>
          </w:p>
        </w:tc>
        <w:tc>
          <w:tcPr>
            <w:tcW w:w="838" w:type="pct"/>
            <w:vAlign w:val="center"/>
          </w:tcPr>
          <w:p w14:paraId="5AAA4FB4">
            <w:pPr>
              <w:spacing w:line="360" w:lineRule="auto"/>
              <w:jc w:val="center"/>
              <w:rPr>
                <w:color w:val="auto"/>
                <w:highlight w:val="none"/>
              </w:rPr>
            </w:pPr>
            <w:r>
              <w:rPr>
                <w:rFonts w:hint="eastAsia"/>
                <w:color w:val="auto"/>
                <w:highlight w:val="none"/>
              </w:rPr>
              <w:t>拟投入人员分</w:t>
            </w:r>
            <w:r>
              <w:rPr>
                <w:rFonts w:hint="eastAsia" w:ascii="宋体" w:hAnsi="宋体"/>
                <w:color w:val="auto"/>
                <w:kern w:val="0"/>
                <w:highlight w:val="none"/>
              </w:rPr>
              <w:t>（满分20分）</w:t>
            </w:r>
          </w:p>
        </w:tc>
        <w:tc>
          <w:tcPr>
            <w:tcW w:w="3362" w:type="pct"/>
            <w:vAlign w:val="center"/>
          </w:tcPr>
          <w:p w14:paraId="52C08FAB">
            <w:pPr>
              <w:spacing w:line="360" w:lineRule="auto"/>
              <w:rPr>
                <w:rFonts w:hAnsi="宋体"/>
                <w:bCs/>
                <w:color w:val="auto"/>
                <w:highlight w:val="none"/>
              </w:rPr>
            </w:pPr>
            <w:r>
              <w:rPr>
                <w:rFonts w:hint="eastAsia" w:hAnsi="宋体"/>
                <w:bCs/>
                <w:color w:val="auto"/>
                <w:highlight w:val="none"/>
              </w:rPr>
              <w:t>一档（5分）：拟投入本次体检服务的医务人员人数达20人及以上，其中能同时满足：具有中级职称及以上的人员占比50.00%—59.99%；</w:t>
            </w:r>
          </w:p>
          <w:p w14:paraId="405486D0">
            <w:pPr>
              <w:spacing w:line="360" w:lineRule="auto"/>
              <w:rPr>
                <w:rFonts w:hAnsi="宋体"/>
                <w:bCs/>
                <w:color w:val="auto"/>
                <w:highlight w:val="none"/>
              </w:rPr>
            </w:pPr>
            <w:r>
              <w:rPr>
                <w:rFonts w:hint="eastAsia" w:hAnsi="宋体"/>
                <w:bCs/>
                <w:color w:val="auto"/>
                <w:highlight w:val="none"/>
              </w:rPr>
              <w:t>二档（13分）：拟投入本次体检服务的医务人员人数达20人及以上，其中能同时满足：具有中级职称及以上的人员占比60.00%—69.99%；</w:t>
            </w:r>
          </w:p>
          <w:p w14:paraId="05C49E6D">
            <w:pPr>
              <w:spacing w:line="360" w:lineRule="auto"/>
              <w:rPr>
                <w:rFonts w:hAnsi="宋体"/>
                <w:bCs/>
                <w:color w:val="auto"/>
                <w:highlight w:val="none"/>
              </w:rPr>
            </w:pPr>
            <w:r>
              <w:rPr>
                <w:rFonts w:hint="eastAsia" w:hAnsi="宋体"/>
                <w:bCs/>
                <w:color w:val="auto"/>
                <w:highlight w:val="none"/>
              </w:rPr>
              <w:t>三档（20分）：拟投入本次体检服务的医务人员人数达20人及以上，其中能同时满足：具有中级职称及以上的人员占比≥70.00%；且有专门的针对本次体检的负责人及临时机构。</w:t>
            </w:r>
          </w:p>
          <w:p w14:paraId="62FE6C4D">
            <w:pPr>
              <w:spacing w:line="360" w:lineRule="auto"/>
              <w:rPr>
                <w:color w:val="auto"/>
                <w:highlight w:val="none"/>
              </w:rPr>
            </w:pPr>
            <w:r>
              <w:rPr>
                <w:rFonts w:hint="eastAsia" w:ascii="宋体" w:hAnsi="宋体" w:cs="Tahoma"/>
                <w:b/>
                <w:bCs/>
                <w:color w:val="auto"/>
                <w:kern w:val="0"/>
                <w:highlight w:val="none"/>
              </w:rPr>
              <w:t>注：以上人员需在响应文件中提供有效的执业证书复印件（需注册在供应商单位并加盖供应商单位公章）或职称证复印件，否则不予计分。</w:t>
            </w:r>
          </w:p>
        </w:tc>
        <w:tc>
          <w:tcPr>
            <w:tcW w:w="468" w:type="pct"/>
            <w:tcBorders>
              <w:right w:val="single" w:color="auto" w:sz="12" w:space="0"/>
            </w:tcBorders>
            <w:vAlign w:val="center"/>
          </w:tcPr>
          <w:p w14:paraId="558DA25C">
            <w:pPr>
              <w:spacing w:line="360" w:lineRule="auto"/>
              <w:jc w:val="center"/>
              <w:rPr>
                <w:color w:val="auto"/>
                <w:highlight w:val="none"/>
              </w:rPr>
            </w:pPr>
            <w:r>
              <w:rPr>
                <w:rFonts w:hint="eastAsia" w:ascii="宋体" w:hAnsi="宋体"/>
                <w:bCs/>
                <w:color w:val="auto"/>
                <w:kern w:val="0"/>
                <w:highlight w:val="none"/>
              </w:rPr>
              <w:t>20分</w:t>
            </w:r>
          </w:p>
        </w:tc>
      </w:tr>
      <w:tr w14:paraId="7D606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30" w:type="pct"/>
            <w:tcBorders>
              <w:left w:val="single" w:color="auto" w:sz="12" w:space="0"/>
            </w:tcBorders>
            <w:vAlign w:val="center"/>
          </w:tcPr>
          <w:p w14:paraId="028DA779">
            <w:pPr>
              <w:pStyle w:val="8"/>
              <w:ind w:firstLine="0"/>
              <w:jc w:val="center"/>
              <w:rPr>
                <w:color w:val="auto"/>
                <w:highlight w:val="none"/>
              </w:rPr>
            </w:pPr>
            <w:r>
              <w:rPr>
                <w:rFonts w:hint="eastAsia" w:ascii="宋体" w:hAnsi="宋体" w:cs="宋体"/>
                <w:color w:val="auto"/>
                <w:szCs w:val="21"/>
                <w:highlight w:val="none"/>
              </w:rPr>
              <w:t>2.2</w:t>
            </w:r>
          </w:p>
        </w:tc>
        <w:tc>
          <w:tcPr>
            <w:tcW w:w="838" w:type="pct"/>
            <w:vAlign w:val="center"/>
          </w:tcPr>
          <w:p w14:paraId="0F5E818F">
            <w:pPr>
              <w:spacing w:line="320" w:lineRule="exact"/>
              <w:jc w:val="center"/>
              <w:rPr>
                <w:color w:val="auto"/>
                <w:highlight w:val="none"/>
              </w:rPr>
            </w:pPr>
            <w:r>
              <w:rPr>
                <w:rFonts w:hint="eastAsia" w:hAnsi="宋体"/>
                <w:color w:val="auto"/>
                <w:kern w:val="0"/>
                <w:highlight w:val="none"/>
              </w:rPr>
              <w:t>设备方案分（满分</w:t>
            </w:r>
            <w:r>
              <w:rPr>
                <w:rFonts w:hint="eastAsia" w:hAnsi="宋体"/>
                <w:color w:val="auto"/>
                <w:kern w:val="0"/>
                <w:highlight w:val="none"/>
                <w:lang w:val="en-US" w:eastAsia="zh-CN"/>
              </w:rPr>
              <w:t>17分</w:t>
            </w:r>
            <w:r>
              <w:rPr>
                <w:rFonts w:hint="eastAsia" w:hAnsi="宋体"/>
                <w:color w:val="auto"/>
                <w:kern w:val="0"/>
                <w:highlight w:val="none"/>
              </w:rPr>
              <w:t>）</w:t>
            </w:r>
          </w:p>
        </w:tc>
        <w:tc>
          <w:tcPr>
            <w:tcW w:w="3362" w:type="pct"/>
          </w:tcPr>
          <w:p w14:paraId="379D120F">
            <w:pPr>
              <w:spacing w:line="360" w:lineRule="exact"/>
              <w:rPr>
                <w:rFonts w:ascii="宋体" w:hAnsi="宋体" w:cs="Courier New"/>
                <w:bCs/>
                <w:color w:val="auto"/>
                <w:kern w:val="0"/>
                <w:szCs w:val="21"/>
                <w:highlight w:val="none"/>
              </w:rPr>
            </w:pPr>
            <w:r>
              <w:rPr>
                <w:rFonts w:hint="eastAsia" w:ascii="宋体" w:hAnsi="宋体" w:cs="Courier New"/>
                <w:bCs/>
                <w:color w:val="auto"/>
                <w:kern w:val="0"/>
                <w:szCs w:val="21"/>
                <w:highlight w:val="none"/>
              </w:rPr>
              <w:t>根据</w:t>
            </w:r>
            <w:r>
              <w:rPr>
                <w:rFonts w:hint="eastAsia" w:ascii="宋体" w:hAnsi="宋体" w:cs="Courier New"/>
                <w:color w:val="auto"/>
                <w:szCs w:val="21"/>
                <w:highlight w:val="none"/>
              </w:rPr>
              <w:t>供应商</w:t>
            </w:r>
            <w:r>
              <w:rPr>
                <w:rFonts w:hint="eastAsia" w:ascii="宋体" w:hAnsi="宋体" w:cs="Courier New"/>
                <w:bCs/>
                <w:color w:val="auto"/>
                <w:kern w:val="0"/>
                <w:szCs w:val="21"/>
                <w:highlight w:val="none"/>
              </w:rPr>
              <w:t xml:space="preserve">针对本次服务项目提供的体检设备（实验室检查仪器、物理检查仪器）配备情况评审： </w:t>
            </w:r>
          </w:p>
          <w:p w14:paraId="1FCAA264">
            <w:pPr>
              <w:spacing w:line="360" w:lineRule="exact"/>
              <w:rPr>
                <w:rFonts w:ascii="宋体" w:hAnsi="宋体" w:cs="Courier New"/>
                <w:bCs/>
                <w:color w:val="auto"/>
                <w:kern w:val="0"/>
                <w:szCs w:val="21"/>
                <w:highlight w:val="none"/>
              </w:rPr>
            </w:pPr>
            <w:r>
              <w:rPr>
                <w:rFonts w:hint="eastAsia" w:ascii="宋体" w:hAnsi="宋体" w:cs="Courier New"/>
                <w:bCs/>
                <w:color w:val="auto"/>
                <w:kern w:val="0"/>
                <w:szCs w:val="21"/>
                <w:highlight w:val="none"/>
              </w:rPr>
              <w:t>一档（5分）：响应文件提供本次体检项目所需的检查仪器设备清单，且清单中X线成像系统、超声检查仪、心电图机、生化分析仪等与本次体检项目相关的检查仪器设备</w:t>
            </w:r>
            <w:r>
              <w:rPr>
                <w:rFonts w:hint="eastAsia" w:ascii="宋体" w:hAnsi="宋体" w:cs="宋体"/>
                <w:color w:val="auto"/>
                <w:szCs w:val="21"/>
                <w:highlight w:val="none"/>
              </w:rPr>
              <w:t>在2017年1月1日以后购买、使用的</w:t>
            </w:r>
            <w:r>
              <w:rPr>
                <w:rFonts w:hint="eastAsia" w:ascii="宋体" w:hAnsi="宋体" w:cs="Courier New"/>
                <w:bCs/>
                <w:color w:val="auto"/>
                <w:kern w:val="0"/>
                <w:szCs w:val="21"/>
                <w:highlight w:val="none"/>
              </w:rPr>
              <w:t>，占50%以下。</w:t>
            </w:r>
          </w:p>
          <w:p w14:paraId="3BC4A11B">
            <w:pPr>
              <w:spacing w:line="360" w:lineRule="exact"/>
              <w:rPr>
                <w:rFonts w:ascii="宋体" w:hAnsi="宋体" w:cs="Courier New"/>
                <w:bCs/>
                <w:color w:val="auto"/>
                <w:kern w:val="0"/>
                <w:szCs w:val="21"/>
                <w:highlight w:val="none"/>
              </w:rPr>
            </w:pPr>
            <w:r>
              <w:rPr>
                <w:rFonts w:hint="eastAsia" w:ascii="宋体" w:hAnsi="宋体" w:cs="Courier New"/>
                <w:bCs/>
                <w:color w:val="auto"/>
                <w:kern w:val="0"/>
                <w:szCs w:val="21"/>
                <w:highlight w:val="none"/>
              </w:rPr>
              <w:t>二档（</w:t>
            </w:r>
            <w:r>
              <w:rPr>
                <w:rFonts w:hint="eastAsia" w:ascii="宋体" w:hAnsi="宋体" w:cs="Courier New"/>
                <w:bCs/>
                <w:color w:val="auto"/>
                <w:kern w:val="0"/>
                <w:szCs w:val="21"/>
                <w:highlight w:val="none"/>
                <w:lang w:val="en-US" w:eastAsia="zh-CN"/>
              </w:rPr>
              <w:t>11</w:t>
            </w:r>
            <w:r>
              <w:rPr>
                <w:rFonts w:hint="eastAsia" w:ascii="宋体" w:hAnsi="宋体" w:cs="Courier New"/>
                <w:bCs/>
                <w:color w:val="auto"/>
                <w:kern w:val="0"/>
                <w:szCs w:val="21"/>
                <w:highlight w:val="none"/>
              </w:rPr>
              <w:t>分）：响应文件提供本次体检项目相关的检查仪器设备清单，且清单中X线成像系统、超声检查仪、心电图机、生化分析仪等与本次体检项目相关的检查仪器设备</w:t>
            </w:r>
            <w:r>
              <w:rPr>
                <w:rFonts w:hint="eastAsia" w:ascii="宋体" w:hAnsi="宋体" w:cs="宋体"/>
                <w:color w:val="auto"/>
                <w:szCs w:val="21"/>
                <w:highlight w:val="none"/>
              </w:rPr>
              <w:t>在2017年1月1日以后购买、使用的</w:t>
            </w:r>
            <w:r>
              <w:rPr>
                <w:rFonts w:hint="eastAsia" w:ascii="宋体" w:hAnsi="宋体" w:cs="Courier New"/>
                <w:bCs/>
                <w:color w:val="auto"/>
                <w:kern w:val="0"/>
                <w:szCs w:val="21"/>
                <w:highlight w:val="none"/>
              </w:rPr>
              <w:t>，占51%—89%。</w:t>
            </w:r>
          </w:p>
          <w:p w14:paraId="01656D4B">
            <w:pPr>
              <w:spacing w:line="360" w:lineRule="exact"/>
              <w:rPr>
                <w:rFonts w:ascii="宋体" w:hAnsi="宋体" w:cs="Courier New"/>
                <w:bCs/>
                <w:color w:val="auto"/>
                <w:kern w:val="0"/>
                <w:szCs w:val="21"/>
                <w:highlight w:val="none"/>
              </w:rPr>
            </w:pPr>
            <w:r>
              <w:rPr>
                <w:rFonts w:hint="eastAsia" w:ascii="宋体" w:hAnsi="宋体" w:cs="Courier New"/>
                <w:bCs/>
                <w:color w:val="auto"/>
                <w:kern w:val="0"/>
                <w:szCs w:val="21"/>
                <w:highlight w:val="none"/>
              </w:rPr>
              <w:t>三档（</w:t>
            </w:r>
            <w:r>
              <w:rPr>
                <w:rFonts w:hint="eastAsia" w:ascii="宋体" w:hAnsi="宋体" w:cs="Courier New"/>
                <w:bCs/>
                <w:color w:val="auto"/>
                <w:kern w:val="0"/>
                <w:szCs w:val="21"/>
                <w:highlight w:val="none"/>
                <w:lang w:val="en-US" w:eastAsia="zh-CN"/>
              </w:rPr>
              <w:t>17</w:t>
            </w:r>
            <w:r>
              <w:rPr>
                <w:rFonts w:hint="eastAsia" w:ascii="宋体" w:hAnsi="宋体" w:cs="Courier New"/>
                <w:bCs/>
                <w:color w:val="auto"/>
                <w:kern w:val="0"/>
                <w:szCs w:val="21"/>
                <w:highlight w:val="none"/>
              </w:rPr>
              <w:t>分）：响应文件提供本次体检项目所需的检查仪器设备清单，且清单中 X线成像系统、超声检查仪、心电图机、生化分析仪等与本次体检项目相关的检查仪器设备</w:t>
            </w:r>
            <w:r>
              <w:rPr>
                <w:rFonts w:hint="eastAsia"/>
                <w:color w:val="auto"/>
                <w:highlight w:val="none"/>
              </w:rPr>
              <w:t>在</w:t>
            </w:r>
            <w:r>
              <w:rPr>
                <w:rFonts w:hint="eastAsia" w:ascii="宋体" w:hAnsi="宋体" w:cs="宋体"/>
                <w:color w:val="auto"/>
                <w:szCs w:val="21"/>
                <w:highlight w:val="none"/>
              </w:rPr>
              <w:t>2017年1月1日</w:t>
            </w:r>
            <w:r>
              <w:rPr>
                <w:rFonts w:hint="eastAsia"/>
                <w:color w:val="auto"/>
                <w:highlight w:val="none"/>
              </w:rPr>
              <w:t>以后购买、使用的</w:t>
            </w:r>
            <w:r>
              <w:rPr>
                <w:rFonts w:hint="eastAsia" w:ascii="宋体" w:hAnsi="宋体" w:cs="Courier New"/>
                <w:bCs/>
                <w:color w:val="auto"/>
                <w:kern w:val="0"/>
                <w:szCs w:val="21"/>
                <w:highlight w:val="none"/>
              </w:rPr>
              <w:t>，占比≥90%。</w:t>
            </w:r>
          </w:p>
          <w:p w14:paraId="2B1E799D">
            <w:pPr>
              <w:spacing w:line="320" w:lineRule="exact"/>
              <w:rPr>
                <w:color w:val="auto"/>
                <w:highlight w:val="none"/>
              </w:rPr>
            </w:pPr>
            <w:r>
              <w:rPr>
                <w:rFonts w:hint="eastAsia" w:ascii="宋体" w:hAnsi="宋体" w:cs="Courier New"/>
                <w:b/>
                <w:color w:val="auto"/>
                <w:kern w:val="0"/>
                <w:szCs w:val="21"/>
                <w:highlight w:val="none"/>
              </w:rPr>
              <w:t>注：以响应文件提供的本次体检项目所需的检查仪器设备【包括但不限于X线成像系统、超声检查仪、心电图机、生化分析仪，包括完成本次体检项目（不包含一般检查项目）涉及的所有的检查、化验仪器】清单以及设备购买合同或发票复印件为准。</w:t>
            </w:r>
          </w:p>
        </w:tc>
        <w:tc>
          <w:tcPr>
            <w:tcW w:w="468" w:type="pct"/>
            <w:tcBorders>
              <w:right w:val="single" w:color="auto" w:sz="12" w:space="0"/>
            </w:tcBorders>
            <w:vAlign w:val="center"/>
          </w:tcPr>
          <w:p w14:paraId="4B2C4BAF">
            <w:pPr>
              <w:spacing w:line="320" w:lineRule="exact"/>
              <w:jc w:val="center"/>
              <w:rPr>
                <w:color w:val="auto"/>
                <w:highlight w:val="none"/>
              </w:rPr>
            </w:pPr>
            <w:r>
              <w:rPr>
                <w:rFonts w:hint="eastAsia" w:ascii="宋体" w:hAnsi="宋体" w:cs="Tahoma"/>
                <w:color w:val="auto"/>
                <w:kern w:val="0"/>
                <w:szCs w:val="21"/>
                <w:highlight w:val="none"/>
                <w:lang w:val="en-US" w:eastAsia="zh-CN"/>
              </w:rPr>
              <w:t>17</w:t>
            </w:r>
            <w:r>
              <w:rPr>
                <w:rFonts w:hint="eastAsia" w:ascii="宋体" w:hAnsi="宋体" w:cs="Tahoma"/>
                <w:color w:val="auto"/>
                <w:kern w:val="0"/>
                <w:szCs w:val="21"/>
                <w:highlight w:val="none"/>
              </w:rPr>
              <w:t>分</w:t>
            </w:r>
          </w:p>
        </w:tc>
      </w:tr>
      <w:tr w14:paraId="26C7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30" w:type="pct"/>
            <w:tcBorders>
              <w:left w:val="single" w:color="auto" w:sz="12" w:space="0"/>
            </w:tcBorders>
            <w:vAlign w:val="center"/>
          </w:tcPr>
          <w:p w14:paraId="757B54BA">
            <w:pPr>
              <w:pStyle w:val="8"/>
              <w:ind w:firstLine="0"/>
              <w:jc w:val="center"/>
              <w:rPr>
                <w:rFonts w:ascii="宋体" w:hAnsi="宋体" w:cs="宋体"/>
                <w:color w:val="auto"/>
                <w:szCs w:val="21"/>
                <w:highlight w:val="none"/>
              </w:rPr>
            </w:pPr>
            <w:r>
              <w:rPr>
                <w:rFonts w:hint="eastAsia" w:ascii="宋体" w:hAnsi="宋体" w:cs="宋体"/>
                <w:color w:val="auto"/>
                <w:szCs w:val="21"/>
                <w:highlight w:val="none"/>
              </w:rPr>
              <w:t>2.3</w:t>
            </w:r>
          </w:p>
        </w:tc>
        <w:tc>
          <w:tcPr>
            <w:tcW w:w="838" w:type="pct"/>
            <w:vAlign w:val="center"/>
          </w:tcPr>
          <w:p w14:paraId="176E5BAF">
            <w:pPr>
              <w:spacing w:line="312" w:lineRule="auto"/>
              <w:rPr>
                <w:rFonts w:hAnsi="宋体"/>
                <w:color w:val="auto"/>
                <w:kern w:val="0"/>
                <w:highlight w:val="none"/>
              </w:rPr>
            </w:pPr>
            <w:r>
              <w:rPr>
                <w:rFonts w:hint="eastAsia"/>
                <w:color w:val="auto"/>
                <w:highlight w:val="none"/>
              </w:rPr>
              <w:t>体检服务方案及承诺（满分</w:t>
            </w:r>
            <w:r>
              <w:rPr>
                <w:rFonts w:hint="eastAsia"/>
                <w:color w:val="auto"/>
                <w:highlight w:val="none"/>
                <w:lang w:val="en-US" w:eastAsia="zh-CN"/>
              </w:rPr>
              <w:t>11</w:t>
            </w:r>
            <w:r>
              <w:rPr>
                <w:rFonts w:hint="eastAsia"/>
                <w:color w:val="auto"/>
                <w:highlight w:val="none"/>
              </w:rPr>
              <w:t>分）</w:t>
            </w:r>
          </w:p>
        </w:tc>
        <w:tc>
          <w:tcPr>
            <w:tcW w:w="3362" w:type="pct"/>
          </w:tcPr>
          <w:p w14:paraId="5ECB347F">
            <w:pPr>
              <w:spacing w:line="360" w:lineRule="exact"/>
              <w:rPr>
                <w:rFonts w:hint="eastAsia" w:ascii="宋体" w:hAnsi="宋体" w:cs="Courier New"/>
                <w:bCs/>
                <w:color w:val="auto"/>
                <w:kern w:val="0"/>
                <w:szCs w:val="21"/>
                <w:highlight w:val="none"/>
              </w:rPr>
            </w:pPr>
            <w:r>
              <w:rPr>
                <w:rFonts w:hint="eastAsia" w:ascii="宋体" w:hAnsi="宋体" w:cs="Courier New"/>
                <w:bCs/>
                <w:color w:val="auto"/>
                <w:kern w:val="0"/>
                <w:szCs w:val="21"/>
                <w:highlight w:val="none"/>
              </w:rPr>
              <w:t>一档（</w:t>
            </w:r>
            <w:r>
              <w:rPr>
                <w:rFonts w:hint="eastAsia" w:ascii="宋体" w:hAnsi="宋体" w:cs="Courier New"/>
                <w:bCs/>
                <w:color w:val="auto"/>
                <w:kern w:val="0"/>
                <w:szCs w:val="21"/>
                <w:highlight w:val="none"/>
                <w:lang w:val="en-US" w:eastAsia="zh-CN"/>
              </w:rPr>
              <w:t>3</w:t>
            </w:r>
            <w:r>
              <w:rPr>
                <w:rFonts w:hint="eastAsia" w:ascii="宋体" w:hAnsi="宋体" w:cs="Courier New"/>
                <w:bCs/>
                <w:color w:val="auto"/>
                <w:kern w:val="0"/>
                <w:szCs w:val="21"/>
                <w:highlight w:val="none"/>
              </w:rPr>
              <w:t>分）：</w:t>
            </w:r>
            <w:r>
              <w:rPr>
                <w:rFonts w:hint="eastAsia" w:hAnsi="宋体" w:cs="宋体"/>
                <w:color w:val="auto"/>
                <w:highlight w:val="none"/>
              </w:rPr>
              <w:t>对体检的整个过程安排、人员及设备保障</w:t>
            </w:r>
            <w:r>
              <w:rPr>
                <w:rFonts w:hint="eastAsia" w:ascii="宋体" w:hAnsi="宋体" w:cs="Courier New"/>
                <w:bCs/>
                <w:color w:val="auto"/>
                <w:kern w:val="0"/>
                <w:szCs w:val="21"/>
                <w:highlight w:val="none"/>
              </w:rPr>
              <w:t>有相应描述及服务承诺有相应</w:t>
            </w:r>
            <w:r>
              <w:rPr>
                <w:rFonts w:hint="eastAsia" w:ascii="宋体" w:hAnsi="宋体" w:cs="Courier New"/>
                <w:bCs/>
                <w:color w:val="auto"/>
                <w:kern w:val="0"/>
                <w:szCs w:val="21"/>
                <w:highlight w:val="none"/>
                <w:lang w:val="en-US" w:eastAsia="zh-CN"/>
              </w:rPr>
              <w:t>的</w:t>
            </w:r>
            <w:r>
              <w:rPr>
                <w:rFonts w:hint="eastAsia" w:ascii="宋体" w:hAnsi="宋体" w:cs="Courier New"/>
                <w:bCs/>
                <w:color w:val="auto"/>
                <w:kern w:val="0"/>
                <w:szCs w:val="21"/>
                <w:highlight w:val="none"/>
              </w:rPr>
              <w:t>保障措施。</w:t>
            </w:r>
          </w:p>
          <w:p w14:paraId="4DCE9FCD">
            <w:pPr>
              <w:spacing w:line="360" w:lineRule="exact"/>
              <w:rPr>
                <w:rFonts w:hint="eastAsia" w:ascii="宋体" w:hAnsi="宋体" w:cs="Courier New"/>
                <w:bCs/>
                <w:color w:val="auto"/>
                <w:kern w:val="0"/>
                <w:szCs w:val="21"/>
                <w:highlight w:val="none"/>
              </w:rPr>
            </w:pPr>
            <w:r>
              <w:rPr>
                <w:rFonts w:hint="eastAsia" w:ascii="宋体" w:hAnsi="宋体" w:cs="Courier New"/>
                <w:bCs/>
                <w:color w:val="auto"/>
                <w:kern w:val="0"/>
                <w:szCs w:val="21"/>
                <w:highlight w:val="none"/>
              </w:rPr>
              <w:t>二档（</w:t>
            </w:r>
            <w:r>
              <w:rPr>
                <w:rFonts w:hint="eastAsia" w:ascii="宋体" w:hAnsi="宋体" w:cs="Courier New"/>
                <w:bCs/>
                <w:color w:val="auto"/>
                <w:kern w:val="0"/>
                <w:szCs w:val="21"/>
                <w:highlight w:val="none"/>
                <w:lang w:val="en-US" w:eastAsia="zh-CN"/>
              </w:rPr>
              <w:t>7</w:t>
            </w:r>
            <w:r>
              <w:rPr>
                <w:rFonts w:hint="eastAsia" w:ascii="宋体" w:hAnsi="宋体" w:cs="Courier New"/>
                <w:bCs/>
                <w:color w:val="auto"/>
                <w:kern w:val="0"/>
                <w:szCs w:val="21"/>
                <w:highlight w:val="none"/>
              </w:rPr>
              <w:t>分）：满足一档前提下，提供单位专场体检服务。能实现体检项目中的化验及仪器检查结果与门诊就医系统共享。</w:t>
            </w:r>
          </w:p>
          <w:p w14:paraId="23F9C0D9">
            <w:pPr>
              <w:spacing w:line="360" w:lineRule="exact"/>
              <w:rPr>
                <w:rFonts w:hint="eastAsia" w:ascii="宋体" w:hAnsi="宋体" w:cs="Courier New"/>
                <w:bCs/>
                <w:color w:val="auto"/>
                <w:kern w:val="0"/>
                <w:szCs w:val="21"/>
                <w:highlight w:val="none"/>
              </w:rPr>
            </w:pPr>
            <w:r>
              <w:rPr>
                <w:rFonts w:hint="eastAsia" w:ascii="宋体" w:hAnsi="宋体" w:cs="Courier New"/>
                <w:bCs/>
                <w:color w:val="auto"/>
                <w:kern w:val="0"/>
                <w:szCs w:val="21"/>
                <w:highlight w:val="none"/>
              </w:rPr>
              <w:t>三档（</w:t>
            </w:r>
            <w:r>
              <w:rPr>
                <w:rFonts w:hint="eastAsia" w:ascii="宋体" w:hAnsi="宋体" w:cs="Courier New"/>
                <w:bCs/>
                <w:color w:val="auto"/>
                <w:kern w:val="0"/>
                <w:szCs w:val="21"/>
                <w:highlight w:val="none"/>
                <w:lang w:val="en-US" w:eastAsia="zh-CN"/>
              </w:rPr>
              <w:t>11</w:t>
            </w:r>
            <w:r>
              <w:rPr>
                <w:rFonts w:hint="eastAsia" w:ascii="宋体" w:hAnsi="宋体" w:cs="Courier New"/>
                <w:bCs/>
                <w:color w:val="auto"/>
                <w:kern w:val="0"/>
                <w:szCs w:val="21"/>
                <w:highlight w:val="none"/>
              </w:rPr>
              <w:t>分）：满足二档前提下，充分考虑到体检过程中所遇到的问题并提供解决或应急办法，能够开展线上预约体检、自定义加项、电子报告推送、线上咨询等智慧体检服务。</w:t>
            </w:r>
          </w:p>
          <w:p w14:paraId="4ECFA170">
            <w:pPr>
              <w:spacing w:line="360" w:lineRule="auto"/>
              <w:jc w:val="left"/>
              <w:rPr>
                <w:rFonts w:ascii="宋体" w:hAnsi="宋体" w:cs="Courier New"/>
                <w:b/>
                <w:color w:val="auto"/>
                <w:kern w:val="0"/>
                <w:szCs w:val="21"/>
                <w:highlight w:val="none"/>
              </w:rPr>
            </w:pPr>
            <w:r>
              <w:rPr>
                <w:rFonts w:hint="eastAsia" w:ascii="宋体" w:hAnsi="宋体" w:cs="Courier New"/>
                <w:b/>
                <w:bCs w:val="0"/>
                <w:color w:val="auto"/>
                <w:kern w:val="0"/>
                <w:szCs w:val="21"/>
                <w:highlight w:val="none"/>
              </w:rPr>
              <w:t>注：不满足一档要求的，得0分。</w:t>
            </w:r>
          </w:p>
        </w:tc>
        <w:tc>
          <w:tcPr>
            <w:tcW w:w="468" w:type="pct"/>
            <w:tcBorders>
              <w:right w:val="single" w:color="auto" w:sz="12" w:space="0"/>
            </w:tcBorders>
            <w:vAlign w:val="center"/>
          </w:tcPr>
          <w:p w14:paraId="0E712C91">
            <w:pPr>
              <w:spacing w:line="320" w:lineRule="exact"/>
              <w:jc w:val="center"/>
              <w:rPr>
                <w:rFonts w:ascii="宋体" w:hAnsi="宋体" w:cs="Tahoma"/>
                <w:color w:val="auto"/>
                <w:kern w:val="0"/>
                <w:szCs w:val="21"/>
                <w:highlight w:val="none"/>
              </w:rPr>
            </w:pPr>
            <w:r>
              <w:rPr>
                <w:rFonts w:hint="eastAsia" w:ascii="宋体" w:hAnsi="宋体" w:cs="Tahoma"/>
                <w:color w:val="auto"/>
                <w:kern w:val="0"/>
                <w:szCs w:val="21"/>
                <w:highlight w:val="none"/>
                <w:lang w:val="en-US" w:eastAsia="zh-CN"/>
              </w:rPr>
              <w:t>11</w:t>
            </w:r>
            <w:r>
              <w:rPr>
                <w:rFonts w:hint="eastAsia" w:ascii="宋体" w:hAnsi="宋体" w:cs="Tahoma"/>
                <w:color w:val="auto"/>
                <w:kern w:val="0"/>
                <w:szCs w:val="21"/>
                <w:highlight w:val="none"/>
              </w:rPr>
              <w:t>分</w:t>
            </w:r>
          </w:p>
        </w:tc>
      </w:tr>
      <w:tr w14:paraId="5484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0" w:type="pct"/>
            <w:tcBorders>
              <w:left w:val="single" w:color="auto" w:sz="12" w:space="0"/>
            </w:tcBorders>
            <w:vAlign w:val="center"/>
          </w:tcPr>
          <w:p w14:paraId="4D81F1D8">
            <w:pPr>
              <w:pStyle w:val="8"/>
              <w:ind w:firstLine="0"/>
              <w:jc w:val="center"/>
              <w:rPr>
                <w:color w:val="auto"/>
                <w:highlight w:val="none"/>
              </w:rPr>
            </w:pPr>
            <w:r>
              <w:rPr>
                <w:rFonts w:hint="eastAsia" w:ascii="宋体" w:hAnsi="宋体" w:cs="宋体"/>
                <w:color w:val="auto"/>
                <w:szCs w:val="21"/>
                <w:highlight w:val="none"/>
              </w:rPr>
              <w:t>2.4</w:t>
            </w:r>
          </w:p>
        </w:tc>
        <w:tc>
          <w:tcPr>
            <w:tcW w:w="838" w:type="pct"/>
            <w:vAlign w:val="center"/>
          </w:tcPr>
          <w:p w14:paraId="0D27D486">
            <w:pPr>
              <w:spacing w:line="360" w:lineRule="auto"/>
              <w:jc w:val="center"/>
              <w:rPr>
                <w:color w:val="auto"/>
                <w:highlight w:val="none"/>
              </w:rPr>
            </w:pPr>
            <w:r>
              <w:rPr>
                <w:rFonts w:hint="eastAsia" w:ascii="新宋体" w:hAnsi="新宋体" w:eastAsia="新宋体" w:cs="新宋体"/>
                <w:color w:val="auto"/>
                <w:highlight w:val="none"/>
              </w:rPr>
              <w:t>服务规章制度、操作规程、应急处置方案（满分</w:t>
            </w:r>
            <w:r>
              <w:rPr>
                <w:rFonts w:hint="eastAsia" w:ascii="新宋体" w:hAnsi="新宋体" w:eastAsia="新宋体" w:cs="新宋体"/>
                <w:color w:val="auto"/>
                <w:highlight w:val="none"/>
                <w:lang w:val="en-US" w:eastAsia="zh-CN"/>
              </w:rPr>
              <w:t>9</w:t>
            </w:r>
            <w:r>
              <w:rPr>
                <w:rFonts w:hint="eastAsia" w:ascii="新宋体" w:hAnsi="新宋体" w:eastAsia="新宋体" w:cs="新宋体"/>
                <w:color w:val="auto"/>
                <w:highlight w:val="none"/>
              </w:rPr>
              <w:t>分）</w:t>
            </w:r>
          </w:p>
        </w:tc>
        <w:tc>
          <w:tcPr>
            <w:tcW w:w="3362" w:type="pct"/>
            <w:vAlign w:val="center"/>
          </w:tcPr>
          <w:p w14:paraId="06AA3C6A">
            <w:pPr>
              <w:spacing w:line="360" w:lineRule="exact"/>
              <w:rPr>
                <w:rFonts w:hint="eastAsia" w:ascii="宋体" w:hAnsi="宋体" w:cs="Courier New"/>
                <w:bCs/>
                <w:color w:val="auto"/>
                <w:kern w:val="0"/>
                <w:szCs w:val="21"/>
                <w:highlight w:val="none"/>
                <w:lang w:val="en-US" w:eastAsia="zh-CN"/>
              </w:rPr>
            </w:pPr>
            <w:r>
              <w:rPr>
                <w:rFonts w:hint="eastAsia" w:ascii="宋体" w:hAnsi="宋体" w:cs="Courier New"/>
                <w:bCs/>
                <w:color w:val="auto"/>
                <w:kern w:val="0"/>
                <w:szCs w:val="21"/>
                <w:highlight w:val="none"/>
                <w:lang w:val="en-US" w:eastAsia="zh-CN"/>
              </w:rPr>
              <w:t>一档（3分）：服务计划方案中建立有服务规章制度、操作规程、应急处置方案预案，服务方案对项目需求理解无偏差，仅满足采购文件基本要求；</w:t>
            </w:r>
          </w:p>
          <w:p w14:paraId="300F1F5E">
            <w:pPr>
              <w:spacing w:line="360" w:lineRule="exact"/>
              <w:rPr>
                <w:rFonts w:hint="eastAsia" w:ascii="宋体" w:hAnsi="宋体" w:cs="Courier New"/>
                <w:bCs/>
                <w:color w:val="auto"/>
                <w:kern w:val="0"/>
                <w:szCs w:val="21"/>
                <w:highlight w:val="none"/>
                <w:lang w:val="en-US" w:eastAsia="zh-CN"/>
              </w:rPr>
            </w:pPr>
            <w:r>
              <w:rPr>
                <w:rFonts w:hint="eastAsia" w:ascii="宋体" w:hAnsi="宋体" w:cs="Courier New"/>
                <w:bCs/>
                <w:color w:val="auto"/>
                <w:kern w:val="0"/>
                <w:szCs w:val="21"/>
                <w:highlight w:val="none"/>
                <w:lang w:val="en-US" w:eastAsia="zh-CN"/>
              </w:rPr>
              <w:t>二档（6分）：服务计划方案中建立有服务规章制度、操作规程，应急处置方案预案，方案对项目需求理解到位，安排合理有序，内容全面。</w:t>
            </w:r>
          </w:p>
          <w:p w14:paraId="22224774">
            <w:pPr>
              <w:spacing w:line="360" w:lineRule="exact"/>
              <w:rPr>
                <w:rFonts w:hint="eastAsia" w:ascii="宋体" w:hAnsi="宋体" w:cs="Courier New"/>
                <w:bCs/>
                <w:color w:val="auto"/>
                <w:kern w:val="0"/>
                <w:szCs w:val="21"/>
                <w:highlight w:val="none"/>
                <w:lang w:val="en-US" w:eastAsia="zh-CN"/>
              </w:rPr>
            </w:pPr>
            <w:r>
              <w:rPr>
                <w:rFonts w:hint="eastAsia" w:ascii="宋体" w:hAnsi="宋体" w:cs="Courier New"/>
                <w:bCs/>
                <w:color w:val="auto"/>
                <w:kern w:val="0"/>
                <w:szCs w:val="21"/>
                <w:highlight w:val="none"/>
                <w:lang w:val="en-US" w:eastAsia="zh-CN"/>
              </w:rPr>
              <w:t>三档（9分）：服务计划方案中建立有详细、完善的服务规章制度、操作规程，应急处置方案预案，方案对项目需求理解透彻、有针对性，且契合采购需求，完全满足或优于采购文件要求。</w:t>
            </w:r>
          </w:p>
          <w:p w14:paraId="32E8A936">
            <w:pPr>
              <w:pStyle w:val="30"/>
              <w:ind w:firstLine="0" w:firstLineChars="0"/>
              <w:rPr>
                <w:color w:val="auto"/>
                <w:highlight w:val="none"/>
              </w:rPr>
            </w:pPr>
            <w:r>
              <w:rPr>
                <w:rFonts w:hint="eastAsia" w:ascii="宋体" w:hAnsi="宋体" w:cs="Courier New"/>
                <w:b/>
                <w:bCs w:val="0"/>
                <w:color w:val="auto"/>
                <w:kern w:val="0"/>
                <w:szCs w:val="21"/>
                <w:highlight w:val="none"/>
              </w:rPr>
              <w:t>注：不满足一档要求的，得0分。</w:t>
            </w:r>
          </w:p>
        </w:tc>
        <w:tc>
          <w:tcPr>
            <w:tcW w:w="468" w:type="pct"/>
            <w:tcBorders>
              <w:right w:val="single" w:color="auto" w:sz="12" w:space="0"/>
            </w:tcBorders>
            <w:vAlign w:val="center"/>
          </w:tcPr>
          <w:p w14:paraId="53DCB126">
            <w:pPr>
              <w:spacing w:line="360" w:lineRule="auto"/>
              <w:jc w:val="center"/>
              <w:rPr>
                <w:color w:val="auto"/>
                <w:highlight w:val="none"/>
              </w:rPr>
            </w:pPr>
            <w:r>
              <w:rPr>
                <w:rFonts w:hint="eastAsia" w:ascii="宋体" w:hAnsi="宋体" w:cs="Tahoma"/>
                <w:color w:val="auto"/>
                <w:kern w:val="0"/>
                <w:highlight w:val="none"/>
                <w:lang w:val="en-US" w:eastAsia="zh-CN"/>
              </w:rPr>
              <w:t>9</w:t>
            </w:r>
            <w:r>
              <w:rPr>
                <w:rFonts w:hint="eastAsia" w:ascii="宋体" w:hAnsi="宋体" w:cs="Tahoma"/>
                <w:color w:val="auto"/>
                <w:kern w:val="0"/>
                <w:highlight w:val="none"/>
              </w:rPr>
              <w:t>分</w:t>
            </w:r>
          </w:p>
        </w:tc>
      </w:tr>
      <w:tr w14:paraId="6530F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0" w:type="pct"/>
            <w:tcBorders>
              <w:left w:val="single" w:color="auto" w:sz="12" w:space="0"/>
            </w:tcBorders>
            <w:vAlign w:val="center"/>
          </w:tcPr>
          <w:p w14:paraId="0804DD48">
            <w:pPr>
              <w:pStyle w:val="8"/>
              <w:ind w:firstLine="0"/>
              <w:jc w:val="center"/>
              <w:rPr>
                <w:rFonts w:ascii="宋体" w:hAnsi="宋体" w:cs="宋体"/>
                <w:color w:val="auto"/>
                <w:szCs w:val="21"/>
                <w:highlight w:val="none"/>
              </w:rPr>
            </w:pPr>
            <w:r>
              <w:rPr>
                <w:rFonts w:hint="eastAsia" w:ascii="宋体" w:hAnsi="宋体" w:cs="宋体"/>
                <w:color w:val="auto"/>
                <w:szCs w:val="21"/>
                <w:highlight w:val="none"/>
              </w:rPr>
              <w:t>2.5</w:t>
            </w:r>
          </w:p>
        </w:tc>
        <w:tc>
          <w:tcPr>
            <w:tcW w:w="838" w:type="pct"/>
            <w:vAlign w:val="center"/>
          </w:tcPr>
          <w:p w14:paraId="3DA9BC11">
            <w:pPr>
              <w:pStyle w:val="112"/>
              <w:spacing w:before="65" w:line="228" w:lineRule="auto"/>
              <w:jc w:val="center"/>
              <w:rPr>
                <w:color w:val="auto"/>
                <w:highlight w:val="none"/>
                <w:lang w:eastAsia="zh-CN"/>
              </w:rPr>
            </w:pPr>
            <w:r>
              <w:rPr>
                <w:rFonts w:hint="eastAsia" w:ascii="新宋体" w:hAnsi="新宋体" w:eastAsia="新宋体" w:cs="新宋体"/>
                <w:color w:val="auto"/>
                <w:sz w:val="21"/>
                <w:szCs w:val="24"/>
                <w:highlight w:val="none"/>
                <w:lang w:eastAsia="zh-CN"/>
              </w:rPr>
              <w:t>后续健康管理服务方案及服务承诺（满分9分）</w:t>
            </w:r>
          </w:p>
        </w:tc>
        <w:tc>
          <w:tcPr>
            <w:tcW w:w="3362" w:type="pct"/>
            <w:vAlign w:val="center"/>
          </w:tcPr>
          <w:p w14:paraId="33A0B8C2">
            <w:pPr>
              <w:spacing w:line="360" w:lineRule="exact"/>
              <w:rPr>
                <w:rFonts w:ascii="宋体" w:hAnsi="宋体" w:cs="宋体"/>
                <w:color w:val="auto"/>
                <w:szCs w:val="21"/>
                <w:highlight w:val="none"/>
              </w:rPr>
            </w:pPr>
            <w:r>
              <w:rPr>
                <w:rFonts w:hint="eastAsia" w:ascii="宋体" w:hAnsi="宋体" w:cs="宋体"/>
                <w:color w:val="auto"/>
                <w:szCs w:val="21"/>
                <w:highlight w:val="none"/>
              </w:rPr>
              <w:t>一档（3分）：体检后发现重大阳性体征、疑似恶性肿瘤或其他重要疾病及时通知患者本人，并为患者提供咨询、就诊、住院等绿色通道和提醒复查。</w:t>
            </w:r>
          </w:p>
          <w:p w14:paraId="37DCC97D">
            <w:pPr>
              <w:spacing w:line="360" w:lineRule="exact"/>
              <w:rPr>
                <w:rFonts w:ascii="宋体" w:hAnsi="宋体" w:cs="宋体"/>
                <w:color w:val="auto"/>
                <w:szCs w:val="21"/>
                <w:highlight w:val="none"/>
              </w:rPr>
            </w:pPr>
            <w:r>
              <w:rPr>
                <w:rFonts w:hint="eastAsia" w:ascii="宋体" w:hAnsi="宋体" w:cs="宋体"/>
                <w:color w:val="auto"/>
                <w:szCs w:val="21"/>
                <w:highlight w:val="none"/>
              </w:rPr>
              <w:t>二档（6分）：满足一档前提下，具备完善的重大阳性管理机制；配备检后健康管理信息平台，对参检者提供检后智慧化全程健康管理服务，可开展线上线下或远程健康管理，提供科普宣教讲座。</w:t>
            </w:r>
          </w:p>
          <w:p w14:paraId="2C2A802D">
            <w:pPr>
              <w:spacing w:line="360" w:lineRule="auto"/>
              <w:jc w:val="left"/>
              <w:rPr>
                <w:color w:val="auto"/>
                <w:highlight w:val="none"/>
              </w:rPr>
            </w:pPr>
            <w:r>
              <w:rPr>
                <w:rFonts w:hint="eastAsia" w:ascii="宋体" w:hAnsi="宋体" w:cs="宋体"/>
                <w:color w:val="auto"/>
                <w:szCs w:val="21"/>
                <w:highlight w:val="none"/>
              </w:rPr>
              <w:t>三档（9分）：满足二档前提下，拥有完整的健康服务标准体系，保证职工体检过程的服务质量。有完善的健康管理系统并且有相对应的健康管理平台，对重点人群开展健康风险评估、连续性监测及有效干预。能免费提供线上、线下体检报告咨询、就诊咨询服务。</w:t>
            </w:r>
          </w:p>
        </w:tc>
        <w:tc>
          <w:tcPr>
            <w:tcW w:w="468" w:type="pct"/>
            <w:tcBorders>
              <w:right w:val="single" w:color="auto" w:sz="12" w:space="0"/>
            </w:tcBorders>
            <w:vAlign w:val="center"/>
          </w:tcPr>
          <w:p w14:paraId="758407ED">
            <w:pPr>
              <w:spacing w:line="360" w:lineRule="exact"/>
              <w:jc w:val="center"/>
              <w:rPr>
                <w:color w:val="auto"/>
                <w:highlight w:val="none"/>
              </w:rPr>
            </w:pPr>
            <w:r>
              <w:rPr>
                <w:rFonts w:hint="eastAsia"/>
                <w:color w:val="auto"/>
                <w:highlight w:val="none"/>
              </w:rPr>
              <w:t>9分</w:t>
            </w:r>
          </w:p>
        </w:tc>
      </w:tr>
      <w:tr w14:paraId="3159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330" w:type="pct"/>
            <w:tcBorders>
              <w:left w:val="single" w:color="auto" w:sz="12" w:space="0"/>
            </w:tcBorders>
            <w:vAlign w:val="center"/>
          </w:tcPr>
          <w:p w14:paraId="2287385D">
            <w:pPr>
              <w:spacing w:line="288" w:lineRule="auto"/>
              <w:jc w:val="center"/>
              <w:rPr>
                <w:b/>
                <w:bCs/>
                <w:color w:val="auto"/>
                <w:highlight w:val="none"/>
              </w:rPr>
            </w:pPr>
            <w:r>
              <w:rPr>
                <w:rFonts w:hint="eastAsia"/>
                <w:b/>
                <w:bCs/>
                <w:color w:val="auto"/>
                <w:highlight w:val="none"/>
              </w:rPr>
              <w:t>3</w:t>
            </w:r>
          </w:p>
        </w:tc>
        <w:tc>
          <w:tcPr>
            <w:tcW w:w="838" w:type="pct"/>
            <w:vAlign w:val="center"/>
          </w:tcPr>
          <w:p w14:paraId="388A1869">
            <w:pPr>
              <w:spacing w:line="288" w:lineRule="auto"/>
              <w:jc w:val="center"/>
              <w:rPr>
                <w:b/>
                <w:bCs/>
                <w:color w:val="auto"/>
                <w:highlight w:val="none"/>
              </w:rPr>
            </w:pPr>
            <w:r>
              <w:rPr>
                <w:rFonts w:hint="eastAsia"/>
                <w:b/>
                <w:bCs/>
                <w:color w:val="auto"/>
                <w:highlight w:val="none"/>
              </w:rPr>
              <w:t>商务分</w:t>
            </w:r>
          </w:p>
          <w:p w14:paraId="24D738B5">
            <w:pPr>
              <w:spacing w:line="288" w:lineRule="auto"/>
              <w:jc w:val="center"/>
              <w:rPr>
                <w:b/>
                <w:bCs/>
                <w:color w:val="auto"/>
                <w:highlight w:val="none"/>
              </w:rPr>
            </w:pPr>
            <w:r>
              <w:rPr>
                <w:rFonts w:hint="eastAsia"/>
                <w:b/>
                <w:bCs/>
                <w:color w:val="auto"/>
                <w:highlight w:val="none"/>
              </w:rPr>
              <w:t>（满分</w:t>
            </w:r>
            <w:r>
              <w:rPr>
                <w:rFonts w:hint="eastAsia"/>
                <w:b/>
                <w:bCs/>
                <w:color w:val="auto"/>
                <w:highlight w:val="none"/>
                <w:lang w:val="en-US" w:eastAsia="zh-CN"/>
              </w:rPr>
              <w:t>24</w:t>
            </w:r>
            <w:r>
              <w:rPr>
                <w:rFonts w:hint="eastAsia"/>
                <w:b/>
                <w:bCs/>
                <w:color w:val="auto"/>
                <w:highlight w:val="none"/>
              </w:rPr>
              <w:t>分）</w:t>
            </w:r>
          </w:p>
        </w:tc>
        <w:tc>
          <w:tcPr>
            <w:tcW w:w="3362" w:type="pct"/>
            <w:vAlign w:val="center"/>
          </w:tcPr>
          <w:p w14:paraId="6FA732F2">
            <w:pPr>
              <w:spacing w:line="288" w:lineRule="auto"/>
              <w:jc w:val="center"/>
              <w:rPr>
                <w:b/>
                <w:bCs/>
                <w:color w:val="auto"/>
                <w:highlight w:val="none"/>
              </w:rPr>
            </w:pPr>
            <w:r>
              <w:rPr>
                <w:rFonts w:hint="eastAsia"/>
                <w:b/>
                <w:bCs/>
                <w:color w:val="auto"/>
                <w:highlight w:val="none"/>
              </w:rPr>
              <w:t>评审因素</w:t>
            </w:r>
          </w:p>
        </w:tc>
        <w:tc>
          <w:tcPr>
            <w:tcW w:w="468" w:type="pct"/>
            <w:tcBorders>
              <w:right w:val="single" w:color="auto" w:sz="12" w:space="0"/>
            </w:tcBorders>
            <w:vAlign w:val="center"/>
          </w:tcPr>
          <w:p w14:paraId="7C5A5AC8">
            <w:pPr>
              <w:spacing w:line="288" w:lineRule="auto"/>
              <w:jc w:val="center"/>
              <w:rPr>
                <w:b/>
                <w:bCs/>
                <w:color w:val="auto"/>
                <w:highlight w:val="none"/>
              </w:rPr>
            </w:pPr>
            <w:r>
              <w:rPr>
                <w:rFonts w:hint="eastAsia"/>
                <w:b/>
                <w:bCs/>
                <w:color w:val="auto"/>
                <w:highlight w:val="none"/>
              </w:rPr>
              <w:t>分值</w:t>
            </w:r>
          </w:p>
        </w:tc>
      </w:tr>
      <w:tr w14:paraId="3472D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30" w:type="pct"/>
            <w:tcBorders>
              <w:left w:val="single" w:color="auto" w:sz="12" w:space="0"/>
            </w:tcBorders>
            <w:vAlign w:val="center"/>
          </w:tcPr>
          <w:p w14:paraId="578F5095">
            <w:pPr>
              <w:spacing w:line="288" w:lineRule="auto"/>
              <w:jc w:val="center"/>
              <w:rPr>
                <w:b/>
                <w:bCs/>
                <w:color w:val="auto"/>
                <w:highlight w:val="none"/>
              </w:rPr>
            </w:pPr>
            <w:r>
              <w:rPr>
                <w:rFonts w:hint="eastAsia" w:ascii="宋体" w:hAnsi="宋体" w:cs="Courier New"/>
                <w:bCs/>
                <w:color w:val="auto"/>
                <w:kern w:val="0"/>
                <w:szCs w:val="21"/>
                <w:highlight w:val="none"/>
              </w:rPr>
              <w:t>3.1</w:t>
            </w:r>
          </w:p>
        </w:tc>
        <w:tc>
          <w:tcPr>
            <w:tcW w:w="838" w:type="pct"/>
            <w:vAlign w:val="center"/>
          </w:tcPr>
          <w:p w14:paraId="301347A3">
            <w:pPr>
              <w:widowControl/>
              <w:spacing w:line="320" w:lineRule="exact"/>
              <w:jc w:val="center"/>
              <w:rPr>
                <w:b/>
                <w:bCs/>
                <w:color w:val="auto"/>
                <w:highlight w:val="none"/>
              </w:rPr>
            </w:pPr>
            <w:r>
              <w:rPr>
                <w:rFonts w:hint="eastAsia" w:hAnsi="宋体"/>
                <w:color w:val="auto"/>
                <w:kern w:val="0"/>
                <w:highlight w:val="none"/>
              </w:rPr>
              <w:t>体检环境分（满分8分）</w:t>
            </w:r>
          </w:p>
        </w:tc>
        <w:tc>
          <w:tcPr>
            <w:tcW w:w="3362" w:type="pct"/>
          </w:tcPr>
          <w:p w14:paraId="6EAFF414">
            <w:pPr>
              <w:spacing w:line="320" w:lineRule="exact"/>
              <w:jc w:val="left"/>
              <w:rPr>
                <w:rFonts w:ascii="宋体" w:hAnsi="宋体" w:cs="Courier New"/>
                <w:bCs/>
                <w:color w:val="auto"/>
                <w:kern w:val="0"/>
                <w:szCs w:val="21"/>
                <w:highlight w:val="none"/>
              </w:rPr>
            </w:pPr>
            <w:r>
              <w:rPr>
                <w:rFonts w:hint="eastAsia" w:ascii="宋体" w:hAnsi="宋体" w:cs="Courier New"/>
                <w:bCs/>
                <w:color w:val="auto"/>
                <w:kern w:val="0"/>
                <w:szCs w:val="21"/>
                <w:highlight w:val="none"/>
              </w:rPr>
              <w:t>（1）供应商承诺提供的健康体检场所日接待量不少于300人，得1分。</w:t>
            </w:r>
          </w:p>
          <w:p w14:paraId="6F33A87C">
            <w:pPr>
              <w:spacing w:line="320" w:lineRule="exact"/>
              <w:jc w:val="left"/>
              <w:rPr>
                <w:rFonts w:ascii="宋体" w:hAnsi="宋体" w:cs="Courier New"/>
                <w:bCs/>
                <w:color w:val="auto"/>
                <w:kern w:val="0"/>
                <w:szCs w:val="21"/>
                <w:highlight w:val="none"/>
              </w:rPr>
            </w:pPr>
            <w:r>
              <w:rPr>
                <w:rFonts w:hint="eastAsia" w:ascii="宋体" w:hAnsi="宋体" w:cs="Courier New"/>
                <w:bCs/>
                <w:color w:val="auto"/>
                <w:kern w:val="0"/>
                <w:szCs w:val="21"/>
                <w:highlight w:val="none"/>
              </w:rPr>
              <w:t>（2）供应商承诺提供有独立的健康体检场所，有独立的VIP体检服务区域，可实现分层服务，特殊人群给予照顾。得1分。</w:t>
            </w:r>
          </w:p>
          <w:p w14:paraId="2BD39BC1">
            <w:pPr>
              <w:spacing w:line="320" w:lineRule="exact"/>
              <w:jc w:val="left"/>
              <w:rPr>
                <w:rFonts w:ascii="宋体" w:hAnsi="宋体" w:cs="Courier New"/>
                <w:bCs/>
                <w:color w:val="auto"/>
                <w:kern w:val="0"/>
                <w:szCs w:val="21"/>
                <w:highlight w:val="none"/>
              </w:rPr>
            </w:pPr>
            <w:r>
              <w:rPr>
                <w:rFonts w:hint="eastAsia" w:ascii="宋体" w:hAnsi="宋体" w:cs="Courier New"/>
                <w:bCs/>
                <w:color w:val="auto"/>
                <w:kern w:val="0"/>
                <w:szCs w:val="21"/>
                <w:highlight w:val="none"/>
              </w:rPr>
              <w:t>（3）供应商承诺配备有</w:t>
            </w:r>
            <w:r>
              <w:rPr>
                <w:rFonts w:hint="eastAsia"/>
                <w:color w:val="auto"/>
                <w:highlight w:val="none"/>
              </w:rPr>
              <w:t>智能导检系统，实现全流程智能叫号导检，</w:t>
            </w:r>
            <w:r>
              <w:rPr>
                <w:rFonts w:hint="eastAsia" w:ascii="宋体" w:hAnsi="宋体" w:cs="Courier New"/>
                <w:bCs/>
                <w:color w:val="auto"/>
                <w:kern w:val="0"/>
                <w:szCs w:val="21"/>
                <w:highlight w:val="none"/>
              </w:rPr>
              <w:t>体检流程便捷顺畅，能实现“一站式”服务，即进入体检中心后可以完成所有的体检项目，得1分。</w:t>
            </w:r>
          </w:p>
          <w:p w14:paraId="700AF495">
            <w:pPr>
              <w:spacing w:line="320" w:lineRule="exact"/>
              <w:jc w:val="left"/>
              <w:rPr>
                <w:rFonts w:ascii="宋体" w:hAnsi="宋体" w:cs="Courier New"/>
                <w:bCs/>
                <w:color w:val="auto"/>
                <w:kern w:val="0"/>
                <w:szCs w:val="21"/>
                <w:highlight w:val="none"/>
              </w:rPr>
            </w:pPr>
            <w:r>
              <w:rPr>
                <w:rFonts w:hint="eastAsia" w:ascii="宋体" w:hAnsi="宋体" w:cs="Courier New"/>
                <w:bCs/>
                <w:color w:val="auto"/>
                <w:kern w:val="0"/>
                <w:szCs w:val="21"/>
                <w:highlight w:val="none"/>
              </w:rPr>
              <w:t>（4）供应商配备有智能采血系统，能规范高效完成采血的，得1分。</w:t>
            </w:r>
          </w:p>
          <w:p w14:paraId="6F55DE2E">
            <w:pPr>
              <w:spacing w:line="320" w:lineRule="exact"/>
              <w:jc w:val="left"/>
              <w:rPr>
                <w:rFonts w:ascii="宋体" w:hAnsi="宋体" w:cs="Courier New"/>
                <w:bCs/>
                <w:color w:val="auto"/>
                <w:kern w:val="0"/>
                <w:szCs w:val="21"/>
                <w:highlight w:val="none"/>
              </w:rPr>
            </w:pPr>
            <w:r>
              <w:rPr>
                <w:rFonts w:hint="eastAsia" w:ascii="宋体" w:hAnsi="宋体" w:cs="Courier New"/>
                <w:bCs/>
                <w:color w:val="auto"/>
                <w:kern w:val="0"/>
                <w:szCs w:val="21"/>
                <w:highlight w:val="none"/>
              </w:rPr>
              <w:t>（5）供应商配备有智能物流（气动物流）系统，可以提供高效、环保、保障检验标本安全的功能，满分得2分</w:t>
            </w:r>
            <w:r>
              <w:rPr>
                <w:rFonts w:hint="eastAsia" w:hAnsi="宋体"/>
                <w:bCs/>
                <w:color w:val="auto"/>
                <w:highlight w:val="none"/>
              </w:rPr>
              <w:t>。</w:t>
            </w:r>
          </w:p>
          <w:p w14:paraId="4C3973D6">
            <w:pPr>
              <w:spacing w:line="320" w:lineRule="exact"/>
              <w:jc w:val="left"/>
              <w:rPr>
                <w:b/>
                <w:bCs/>
                <w:color w:val="auto"/>
                <w:highlight w:val="none"/>
              </w:rPr>
            </w:pPr>
            <w:r>
              <w:rPr>
                <w:rFonts w:hint="eastAsia" w:ascii="宋体" w:hAnsi="宋体" w:cs="Courier New"/>
                <w:bCs/>
                <w:color w:val="auto"/>
                <w:kern w:val="0"/>
                <w:szCs w:val="21"/>
                <w:highlight w:val="none"/>
              </w:rPr>
              <w:t>（6）体检机构可提供公共院内停车位&gt;500个，得2分。（响应文件中提供说明停车场位置、停车位数量、如有单位大巴接送提供免费停车位等）。</w:t>
            </w:r>
          </w:p>
        </w:tc>
        <w:tc>
          <w:tcPr>
            <w:tcW w:w="468" w:type="pct"/>
            <w:tcBorders>
              <w:right w:val="single" w:color="auto" w:sz="12" w:space="0"/>
            </w:tcBorders>
            <w:vAlign w:val="center"/>
          </w:tcPr>
          <w:p w14:paraId="531DAC96">
            <w:pPr>
              <w:widowControl/>
              <w:spacing w:line="320" w:lineRule="exact"/>
              <w:jc w:val="center"/>
              <w:rPr>
                <w:b/>
                <w:bCs/>
                <w:color w:val="auto"/>
                <w:highlight w:val="none"/>
              </w:rPr>
            </w:pPr>
            <w:r>
              <w:rPr>
                <w:rFonts w:hint="eastAsia" w:ascii="宋体" w:hAnsi="宋体" w:cs="Tahoma"/>
                <w:color w:val="auto"/>
                <w:kern w:val="0"/>
                <w:szCs w:val="21"/>
                <w:highlight w:val="none"/>
              </w:rPr>
              <w:t>8分</w:t>
            </w:r>
          </w:p>
        </w:tc>
      </w:tr>
      <w:tr w14:paraId="00BC7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330" w:type="pct"/>
            <w:tcBorders>
              <w:left w:val="single" w:color="auto" w:sz="12" w:space="0"/>
            </w:tcBorders>
            <w:vAlign w:val="center"/>
          </w:tcPr>
          <w:p w14:paraId="3527AD9C">
            <w:pPr>
              <w:pStyle w:val="8"/>
              <w:spacing w:line="360" w:lineRule="auto"/>
              <w:ind w:firstLine="0"/>
              <w:jc w:val="center"/>
              <w:rPr>
                <w:bCs/>
                <w:color w:val="auto"/>
                <w:highlight w:val="none"/>
              </w:rPr>
            </w:pPr>
            <w:r>
              <w:rPr>
                <w:rFonts w:hint="eastAsia" w:ascii="宋体" w:hAnsi="宋体" w:cs="宋体"/>
                <w:bCs/>
                <w:color w:val="auto"/>
                <w:szCs w:val="21"/>
                <w:highlight w:val="none"/>
              </w:rPr>
              <w:t>3.2</w:t>
            </w:r>
          </w:p>
        </w:tc>
        <w:tc>
          <w:tcPr>
            <w:tcW w:w="838" w:type="pct"/>
            <w:vAlign w:val="center"/>
          </w:tcPr>
          <w:p w14:paraId="4E3C104A">
            <w:pPr>
              <w:widowControl/>
              <w:spacing w:line="360" w:lineRule="auto"/>
              <w:rPr>
                <w:bCs/>
                <w:color w:val="auto"/>
                <w:highlight w:val="none"/>
              </w:rPr>
            </w:pPr>
            <w:r>
              <w:rPr>
                <w:rFonts w:hint="eastAsia" w:ascii="宋体" w:hAnsi="宋体" w:cs="宋体"/>
                <w:bCs/>
                <w:color w:val="auto"/>
                <w:kern w:val="0"/>
                <w:highlight w:val="none"/>
              </w:rPr>
              <w:t>履约能力分（满分</w:t>
            </w:r>
            <w:r>
              <w:rPr>
                <w:rFonts w:hint="eastAsia" w:ascii="宋体" w:hAnsi="宋体" w:cs="宋体"/>
                <w:bCs/>
                <w:color w:val="auto"/>
                <w:kern w:val="0"/>
                <w:highlight w:val="none"/>
                <w:lang w:val="en-US" w:eastAsia="zh-CN"/>
              </w:rPr>
              <w:t>10</w:t>
            </w:r>
            <w:r>
              <w:rPr>
                <w:rFonts w:hint="eastAsia" w:ascii="宋体" w:hAnsi="宋体" w:cs="宋体"/>
                <w:bCs/>
                <w:color w:val="auto"/>
                <w:kern w:val="0"/>
                <w:highlight w:val="none"/>
              </w:rPr>
              <w:t>分）</w:t>
            </w:r>
          </w:p>
        </w:tc>
        <w:tc>
          <w:tcPr>
            <w:tcW w:w="3362" w:type="pct"/>
          </w:tcPr>
          <w:p w14:paraId="7149BFD2">
            <w:pPr>
              <w:pStyle w:val="18"/>
              <w:numPr>
                <w:ilvl w:val="0"/>
                <w:numId w:val="0"/>
              </w:numPr>
              <w:spacing w:line="360" w:lineRule="auto"/>
              <w:rPr>
                <w:rFonts w:hAnsi="宋体" w:cs="Courier New"/>
                <w:bCs/>
                <w:color w:val="auto"/>
                <w:kern w:val="2"/>
                <w:sz w:val="21"/>
                <w:highlight w:val="none"/>
              </w:rPr>
            </w:pPr>
            <w:r>
              <w:rPr>
                <w:rFonts w:hint="eastAsia" w:hAnsi="宋体" w:cs="Courier New"/>
                <w:bCs/>
                <w:color w:val="auto"/>
                <w:kern w:val="2"/>
                <w:sz w:val="21"/>
                <w:highlight w:val="none"/>
                <w:lang w:eastAsia="zh-CN"/>
              </w:rPr>
              <w:t>（</w:t>
            </w:r>
            <w:r>
              <w:rPr>
                <w:rFonts w:hint="eastAsia" w:hAnsi="宋体" w:cs="Courier New"/>
                <w:bCs/>
                <w:color w:val="auto"/>
                <w:kern w:val="2"/>
                <w:sz w:val="21"/>
                <w:highlight w:val="none"/>
                <w:lang w:val="en-US" w:eastAsia="zh-CN"/>
              </w:rPr>
              <w:t>1</w:t>
            </w:r>
            <w:r>
              <w:rPr>
                <w:rFonts w:hint="eastAsia" w:hAnsi="宋体" w:cs="Courier New"/>
                <w:bCs/>
                <w:color w:val="auto"/>
                <w:kern w:val="2"/>
                <w:sz w:val="21"/>
                <w:highlight w:val="none"/>
                <w:lang w:eastAsia="zh-CN"/>
              </w:rPr>
              <w:t>）</w:t>
            </w:r>
            <w:r>
              <w:rPr>
                <w:rFonts w:hint="eastAsia" w:hAnsi="宋体" w:cs="Courier New"/>
                <w:bCs/>
                <w:color w:val="auto"/>
                <w:kern w:val="2"/>
                <w:sz w:val="21"/>
                <w:highlight w:val="none"/>
              </w:rPr>
              <w:t>供应商为三级综合甲等医院的得4分；三级专科甲等医院的得3分；三级乙等资质医院（综合三乙或专科三乙）的得2分；二级甲等资质医院（综合二甲或专科二甲）和其他的得1分；本项满分4分。（响应文件中提供资质证书复印件，否则不予计分）</w:t>
            </w:r>
          </w:p>
          <w:p w14:paraId="081B8486">
            <w:pPr>
              <w:numPr>
                <w:ilvl w:val="0"/>
                <w:numId w:val="0"/>
              </w:numPr>
              <w:spacing w:line="360" w:lineRule="exact"/>
              <w:rPr>
                <w:rFonts w:ascii="宋体" w:hAnsi="宋体" w:cs="Courier New"/>
                <w:bCs/>
                <w:color w:val="auto"/>
                <w:szCs w:val="21"/>
                <w:highlight w:val="none"/>
              </w:rPr>
            </w:pPr>
            <w:r>
              <w:rPr>
                <w:rFonts w:hint="eastAsia" w:ascii="宋体" w:hAnsi="宋体" w:cs="Courier New"/>
                <w:bCs/>
                <w:color w:val="auto"/>
                <w:szCs w:val="21"/>
                <w:highlight w:val="none"/>
                <w:lang w:eastAsia="zh-CN"/>
              </w:rPr>
              <w:t>（</w:t>
            </w:r>
            <w:r>
              <w:rPr>
                <w:rFonts w:hint="eastAsia" w:ascii="宋体" w:hAnsi="宋体" w:cs="Courier New"/>
                <w:bCs/>
                <w:color w:val="auto"/>
                <w:szCs w:val="21"/>
                <w:highlight w:val="none"/>
                <w:lang w:val="en-US" w:eastAsia="zh-CN"/>
              </w:rPr>
              <w:t>2</w:t>
            </w:r>
            <w:r>
              <w:rPr>
                <w:rFonts w:hint="eastAsia" w:ascii="宋体" w:hAnsi="宋体" w:cs="Courier New"/>
                <w:bCs/>
                <w:color w:val="auto"/>
                <w:szCs w:val="21"/>
                <w:highlight w:val="none"/>
                <w:lang w:eastAsia="zh-CN"/>
              </w:rPr>
              <w:t>）</w:t>
            </w:r>
            <w:r>
              <w:rPr>
                <w:rFonts w:hint="eastAsia" w:ascii="宋体" w:hAnsi="宋体" w:cs="Courier New"/>
                <w:bCs/>
                <w:color w:val="auto"/>
                <w:szCs w:val="21"/>
                <w:highlight w:val="none"/>
              </w:rPr>
              <w:t>供应商2022年1月1日至首次响应文件提交截止时间前，具有类似项目业绩，每个得1分，满分6分。（需在首次响应文件中提供类似项目业绩的合同或协议等相关证明材料的复印件，未按要求提供的不予以计分）</w:t>
            </w:r>
          </w:p>
        </w:tc>
        <w:tc>
          <w:tcPr>
            <w:tcW w:w="468" w:type="pct"/>
            <w:tcBorders>
              <w:right w:val="single" w:color="auto" w:sz="12" w:space="0"/>
            </w:tcBorders>
            <w:vAlign w:val="center"/>
          </w:tcPr>
          <w:p w14:paraId="22B7D03D">
            <w:pPr>
              <w:widowControl/>
              <w:spacing w:line="360" w:lineRule="auto"/>
              <w:jc w:val="center"/>
              <w:rPr>
                <w:b/>
                <w:bCs/>
                <w:color w:val="auto"/>
                <w:highlight w:val="none"/>
              </w:rPr>
            </w:pPr>
            <w:r>
              <w:rPr>
                <w:rFonts w:hint="eastAsia" w:ascii="宋体" w:hAnsi="宋体" w:cs="宋体"/>
                <w:color w:val="auto"/>
                <w:kern w:val="0"/>
                <w:highlight w:val="none"/>
                <w:lang w:val="en-US" w:eastAsia="zh-CN"/>
              </w:rPr>
              <w:t>10</w:t>
            </w:r>
            <w:r>
              <w:rPr>
                <w:rFonts w:hint="eastAsia" w:ascii="宋体" w:hAnsi="宋体" w:cs="宋体"/>
                <w:color w:val="auto"/>
                <w:kern w:val="0"/>
                <w:highlight w:val="none"/>
              </w:rPr>
              <w:t>分</w:t>
            </w:r>
          </w:p>
        </w:tc>
      </w:tr>
      <w:tr w14:paraId="03A32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330" w:type="pct"/>
            <w:tcBorders>
              <w:left w:val="single" w:color="auto" w:sz="12" w:space="0"/>
            </w:tcBorders>
            <w:vAlign w:val="center"/>
          </w:tcPr>
          <w:p w14:paraId="598FAAFA">
            <w:pPr>
              <w:pStyle w:val="8"/>
              <w:spacing w:line="360" w:lineRule="auto"/>
              <w:ind w:firstLine="0"/>
              <w:jc w:val="center"/>
              <w:rPr>
                <w:rFonts w:ascii="宋体" w:hAnsi="宋体" w:cs="宋体"/>
                <w:bCs/>
                <w:color w:val="auto"/>
                <w:szCs w:val="21"/>
                <w:highlight w:val="none"/>
              </w:rPr>
            </w:pPr>
            <w:r>
              <w:rPr>
                <w:rFonts w:hint="eastAsia" w:ascii="宋体" w:hAnsi="宋体" w:cs="宋体"/>
                <w:bCs/>
                <w:color w:val="auto"/>
                <w:szCs w:val="21"/>
                <w:highlight w:val="none"/>
              </w:rPr>
              <w:t>3.3</w:t>
            </w:r>
          </w:p>
        </w:tc>
        <w:tc>
          <w:tcPr>
            <w:tcW w:w="838" w:type="pct"/>
            <w:vAlign w:val="center"/>
          </w:tcPr>
          <w:p w14:paraId="779F1EB9">
            <w:pPr>
              <w:pStyle w:val="8"/>
              <w:shd w:val="clear" w:color="auto" w:fill="FFFFFF"/>
              <w:spacing w:line="360" w:lineRule="auto"/>
              <w:ind w:firstLine="0"/>
              <w:jc w:val="center"/>
              <w:rPr>
                <w:rFonts w:ascii="宋体" w:hAnsi="宋体" w:cs="Courier New"/>
                <w:bCs/>
                <w:color w:val="auto"/>
                <w:szCs w:val="21"/>
                <w:highlight w:val="none"/>
              </w:rPr>
            </w:pPr>
            <w:r>
              <w:rPr>
                <w:rFonts w:hint="eastAsia" w:ascii="宋体" w:hAnsi="宋体" w:cs="Courier New"/>
                <w:bCs/>
                <w:color w:val="auto"/>
                <w:highlight w:val="none"/>
              </w:rPr>
              <w:t>专业实力分（满分6分）</w:t>
            </w:r>
          </w:p>
        </w:tc>
        <w:tc>
          <w:tcPr>
            <w:tcW w:w="3362" w:type="pct"/>
          </w:tcPr>
          <w:p w14:paraId="2E6A85B6">
            <w:pPr>
              <w:pStyle w:val="8"/>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1、具有多学科协作健康管理平台，能提供检后健康管理的多学科联合会诊服务（MDT），健康管理门诊为团检职工提供常规复查服务。联合医院多学科专家团队，包括开展体检人群肺结节、乳腺结节、甲状腺结节、多病共患等多学科联合会诊(MDT)。能实现五大处方健康管理（中医、营养、运动、心理、睡眠）；本项满分4分。</w:t>
            </w:r>
          </w:p>
          <w:p w14:paraId="47985D2D">
            <w:pPr>
              <w:pStyle w:val="8"/>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注：响应文件中提供管理系统主要页面截图，否则不予计分。</w:t>
            </w:r>
          </w:p>
          <w:p w14:paraId="3B3B5AD2">
            <w:pPr>
              <w:pStyle w:val="8"/>
              <w:spacing w:line="360" w:lineRule="auto"/>
              <w:ind w:firstLine="0"/>
              <w:rPr>
                <w:rFonts w:ascii="宋体" w:hAnsi="宋体" w:cs="宋体"/>
                <w:color w:val="auto"/>
                <w:highlight w:val="none"/>
              </w:rPr>
            </w:pPr>
            <w:r>
              <w:rPr>
                <w:rFonts w:hint="eastAsia" w:ascii="宋体" w:hAnsi="宋体" w:cs="宋体"/>
                <w:color w:val="auto"/>
                <w:szCs w:val="21"/>
                <w:highlight w:val="none"/>
              </w:rPr>
              <w:t>2、具备强大的医疗急救能力和服务水平，具备海陆空立体化应急救援体系，具备快速救援、快速转运的能力。拥有紧急救援如航空医疗救护基地、国家（海上）紧急医学救援队，每有一项得1分，本项满分2分。</w:t>
            </w:r>
          </w:p>
        </w:tc>
        <w:tc>
          <w:tcPr>
            <w:tcW w:w="468" w:type="pct"/>
            <w:tcBorders>
              <w:right w:val="single" w:color="auto" w:sz="12" w:space="0"/>
            </w:tcBorders>
            <w:vAlign w:val="center"/>
          </w:tcPr>
          <w:p w14:paraId="6F17EB19">
            <w:pPr>
              <w:spacing w:line="320" w:lineRule="exact"/>
              <w:jc w:val="center"/>
              <w:rPr>
                <w:rFonts w:ascii="宋体" w:hAnsi="宋体" w:cs="Tahoma"/>
                <w:color w:val="auto"/>
                <w:kern w:val="0"/>
                <w:szCs w:val="21"/>
                <w:highlight w:val="none"/>
              </w:rPr>
            </w:pPr>
            <w:r>
              <w:rPr>
                <w:rFonts w:hint="eastAsia" w:ascii="宋体" w:hAnsi="宋体" w:cs="Tahoma"/>
                <w:color w:val="auto"/>
                <w:kern w:val="0"/>
                <w:szCs w:val="21"/>
                <w:highlight w:val="none"/>
              </w:rPr>
              <w:t>6分</w:t>
            </w:r>
          </w:p>
        </w:tc>
      </w:tr>
      <w:tr w14:paraId="035FF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531" w:type="pct"/>
            <w:gridSpan w:val="3"/>
            <w:tcBorders>
              <w:left w:val="single" w:color="auto" w:sz="12" w:space="0"/>
              <w:bottom w:val="single" w:color="auto" w:sz="12" w:space="0"/>
            </w:tcBorders>
            <w:vAlign w:val="center"/>
          </w:tcPr>
          <w:p w14:paraId="247D004E">
            <w:pPr>
              <w:spacing w:line="288" w:lineRule="auto"/>
              <w:jc w:val="left"/>
              <w:rPr>
                <w:b/>
                <w:bCs/>
                <w:color w:val="auto"/>
                <w:highlight w:val="none"/>
              </w:rPr>
            </w:pPr>
            <w:r>
              <w:rPr>
                <w:rFonts w:hint="eastAsia"/>
                <w:b/>
                <w:bCs/>
                <w:color w:val="auto"/>
                <w:highlight w:val="none"/>
              </w:rPr>
              <w:t xml:space="preserve">总得分=1 + 2 + 3 </w:t>
            </w:r>
          </w:p>
        </w:tc>
        <w:tc>
          <w:tcPr>
            <w:tcW w:w="468" w:type="pct"/>
            <w:tcBorders>
              <w:bottom w:val="single" w:color="auto" w:sz="12" w:space="0"/>
              <w:right w:val="single" w:color="auto" w:sz="12" w:space="0"/>
            </w:tcBorders>
            <w:vAlign w:val="center"/>
          </w:tcPr>
          <w:p w14:paraId="6A817485">
            <w:pPr>
              <w:spacing w:line="288" w:lineRule="auto"/>
              <w:jc w:val="left"/>
              <w:rPr>
                <w:b/>
                <w:bCs/>
                <w:color w:val="auto"/>
                <w:highlight w:val="none"/>
              </w:rPr>
            </w:pPr>
          </w:p>
        </w:tc>
      </w:tr>
    </w:tbl>
    <w:p w14:paraId="13A2B8CF">
      <w:pPr>
        <w:spacing w:line="312"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8.成交供应商推荐原则：</w:t>
      </w:r>
    </w:p>
    <w:p w14:paraId="64988BE1">
      <w:pPr>
        <w:spacing w:line="312"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由磋商小组根据综合评分情况，按照评审得分由高到低顺序推荐3名以上成交候选供应商，并在线编写电子评审报告，评审报告通过电子交易平台向采购人、采购代理机构提交。符合本章第4.3条情形的，可以推荐2家成交候选供应商。评审得分相同的，按照最后报价（不计算价格折扣）由低到高的顺序推荐。评审得分且最后报价（不计算价格折扣）相同的，按照技术指标优劣顺序推荐（按技术得分由高到低排序）。评审得分、最后报价（不计算价格折扣）、技术得分均相同的，由磋商小组随机抽取推荐。</w:t>
      </w:r>
    </w:p>
    <w:p w14:paraId="4B3B16CC">
      <w:pPr>
        <w:spacing w:line="312" w:lineRule="auto"/>
        <w:ind w:firstLine="420" w:firstLineChars="200"/>
        <w:rPr>
          <w:rFonts w:ascii="宋体" w:hAnsi="宋体" w:cs="宋体"/>
          <w:bCs/>
          <w:color w:val="auto"/>
          <w:kern w:val="0"/>
          <w:szCs w:val="21"/>
          <w:highlight w:val="none"/>
        </w:rPr>
      </w:pPr>
      <w:r>
        <w:rPr>
          <w:rFonts w:hint="eastAsia" w:ascii="宋体" w:hAnsi="宋体" w:cs="宋体"/>
          <w:bCs/>
          <w:color w:val="auto"/>
          <w:szCs w:val="21"/>
          <w:highlight w:val="none"/>
        </w:rPr>
        <w:t>（2）</w:t>
      </w:r>
      <w:r>
        <w:rPr>
          <w:rFonts w:hint="eastAsia" w:ascii="宋体" w:hAnsi="宋体" w:cs="宋体"/>
          <w:bCs/>
          <w:color w:val="auto"/>
          <w:kern w:val="0"/>
          <w:szCs w:val="21"/>
          <w:highlight w:val="none"/>
        </w:rPr>
        <w:t>供应商可以只选择其中一个分标进行竞标，也可以同时对多个分标进行竞标，但每个供应商只能中一个分标，供应商竞标时必须以分标为单位制作响应文件，一个分标须单独制作一份响应文件，不得出现一份响应文件中有两个（或以上）分标出现。评标顺序按分标1→分标2进行。供应商已成为前一分标第一成交候选供应商的，则不再推荐供应商成为下一分标的第一成交候选供应商，由磋商小组根据综合评分情况，从其他供应商按照评审得分由高到低顺序推荐出第一成交候选供应商，以此类推。</w:t>
      </w:r>
    </w:p>
    <w:p w14:paraId="34E664B4">
      <w:pPr>
        <w:spacing w:line="312"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szCs w:val="21"/>
          <w:highlight w:val="none"/>
          <w:lang w:val="en-US" w:eastAsia="zh-CN"/>
        </w:rPr>
        <w:t>磋商小组</w:t>
      </w:r>
      <w:r>
        <w:rPr>
          <w:rFonts w:hint="eastAsia" w:ascii="宋体" w:hAnsi="宋体" w:cs="宋体"/>
          <w:bCs/>
          <w:color w:val="auto"/>
          <w:szCs w:val="21"/>
          <w:highlight w:val="none"/>
        </w:rPr>
        <w:t>认为</w:t>
      </w:r>
      <w:r>
        <w:rPr>
          <w:rFonts w:hint="eastAsia" w:ascii="宋体" w:hAnsi="宋体" w:cs="宋体"/>
          <w:bCs/>
          <w:color w:val="auto"/>
          <w:szCs w:val="21"/>
          <w:highlight w:val="none"/>
          <w:lang w:val="en-US" w:eastAsia="zh-CN"/>
        </w:rPr>
        <w:t>某供应商</w:t>
      </w:r>
      <w:r>
        <w:rPr>
          <w:rFonts w:hint="eastAsia" w:ascii="宋体" w:hAnsi="宋体" w:cs="宋体"/>
          <w:bCs/>
          <w:color w:val="auto"/>
          <w:szCs w:val="21"/>
          <w:highlight w:val="none"/>
        </w:rPr>
        <w:t>的报价明显低于其他通过符合性审查</w:t>
      </w:r>
      <w:r>
        <w:rPr>
          <w:rFonts w:hint="eastAsia" w:ascii="宋体" w:hAnsi="宋体" w:cs="宋体"/>
          <w:bCs/>
          <w:color w:val="auto"/>
          <w:szCs w:val="21"/>
          <w:highlight w:val="none"/>
          <w:lang w:val="en-US" w:eastAsia="zh-CN"/>
        </w:rPr>
        <w:t>供应商</w:t>
      </w:r>
      <w:r>
        <w:rPr>
          <w:rFonts w:hint="eastAsia" w:ascii="宋体" w:hAnsi="宋体" w:cs="宋体"/>
          <w:bCs/>
          <w:color w:val="auto"/>
          <w:szCs w:val="21"/>
          <w:highlight w:val="none"/>
        </w:rPr>
        <w:t>的报价，有可能影响产品质量或者不能诚信履约的，应当要求其在合理的时间内提供书面说明，必要时提交相关证明材料；</w:t>
      </w:r>
      <w:r>
        <w:rPr>
          <w:rFonts w:hint="eastAsia" w:ascii="宋体" w:hAnsi="宋体" w:cs="宋体"/>
          <w:bCs/>
          <w:color w:val="auto"/>
          <w:szCs w:val="21"/>
          <w:highlight w:val="none"/>
          <w:lang w:val="en-US" w:eastAsia="zh-CN"/>
        </w:rPr>
        <w:t>供应商</w:t>
      </w:r>
      <w:r>
        <w:rPr>
          <w:rFonts w:hint="eastAsia" w:ascii="宋体" w:hAnsi="宋体" w:cs="宋体"/>
          <w:bCs/>
          <w:color w:val="auto"/>
          <w:szCs w:val="21"/>
          <w:highlight w:val="none"/>
        </w:rPr>
        <w:t>不能证明其报价合理性的，</w:t>
      </w:r>
      <w:r>
        <w:rPr>
          <w:rFonts w:hint="eastAsia" w:ascii="宋体" w:hAnsi="宋体" w:cs="宋体"/>
          <w:bCs/>
          <w:color w:val="auto"/>
          <w:szCs w:val="21"/>
          <w:highlight w:val="none"/>
          <w:lang w:val="en-US" w:eastAsia="zh-CN"/>
        </w:rPr>
        <w:t>磋商小组</w:t>
      </w:r>
      <w:r>
        <w:rPr>
          <w:rFonts w:hint="eastAsia" w:ascii="宋体" w:hAnsi="宋体" w:cs="宋体"/>
          <w:bCs/>
          <w:color w:val="auto"/>
          <w:szCs w:val="21"/>
          <w:highlight w:val="none"/>
        </w:rPr>
        <w:t>应当将其作为无效</w:t>
      </w:r>
      <w:r>
        <w:rPr>
          <w:rFonts w:hint="eastAsia" w:ascii="宋体" w:hAnsi="宋体" w:cs="宋体"/>
          <w:bCs/>
          <w:color w:val="auto"/>
          <w:szCs w:val="21"/>
          <w:highlight w:val="none"/>
          <w:lang w:val="en-US" w:eastAsia="zh-CN"/>
        </w:rPr>
        <w:t>响应</w:t>
      </w:r>
      <w:r>
        <w:rPr>
          <w:rFonts w:hint="eastAsia" w:ascii="宋体" w:hAnsi="宋体" w:cs="宋体"/>
          <w:bCs/>
          <w:color w:val="auto"/>
          <w:szCs w:val="21"/>
          <w:highlight w:val="none"/>
        </w:rPr>
        <w:t>处理。</w:t>
      </w:r>
    </w:p>
    <w:p w14:paraId="05B22A02">
      <w:pPr>
        <w:rPr>
          <w:color w:val="auto"/>
          <w:highlight w:val="none"/>
        </w:rPr>
      </w:pPr>
      <w:r>
        <w:rPr>
          <w:color w:val="auto"/>
          <w:highlight w:val="none"/>
        </w:rPr>
        <w:br w:type="page"/>
      </w:r>
    </w:p>
    <w:p w14:paraId="1F022F53">
      <w:pPr>
        <w:pStyle w:val="2"/>
        <w:rPr>
          <w:color w:val="auto"/>
          <w:highlight w:val="none"/>
        </w:rPr>
      </w:pPr>
    </w:p>
    <w:p w14:paraId="31DE3727">
      <w:pPr>
        <w:rPr>
          <w:color w:val="auto"/>
          <w:highlight w:val="none"/>
        </w:rPr>
      </w:pPr>
    </w:p>
    <w:p w14:paraId="34F6AF41">
      <w:pPr>
        <w:rPr>
          <w:color w:val="auto"/>
          <w:highlight w:val="none"/>
        </w:rPr>
      </w:pPr>
    </w:p>
    <w:p w14:paraId="76AE3384">
      <w:pPr>
        <w:rPr>
          <w:color w:val="auto"/>
          <w:highlight w:val="none"/>
        </w:rPr>
      </w:pPr>
    </w:p>
    <w:p w14:paraId="13FB462B">
      <w:pPr>
        <w:rPr>
          <w:color w:val="auto"/>
          <w:highlight w:val="none"/>
        </w:rPr>
      </w:pPr>
    </w:p>
    <w:p w14:paraId="29BF92CC">
      <w:pPr>
        <w:rPr>
          <w:color w:val="auto"/>
          <w:highlight w:val="none"/>
        </w:rPr>
      </w:pPr>
    </w:p>
    <w:p w14:paraId="356F7846">
      <w:pPr>
        <w:rPr>
          <w:color w:val="auto"/>
          <w:highlight w:val="none"/>
        </w:rPr>
      </w:pPr>
    </w:p>
    <w:p w14:paraId="1065D8F1">
      <w:pPr>
        <w:rPr>
          <w:color w:val="auto"/>
          <w:highlight w:val="none"/>
        </w:rPr>
      </w:pPr>
    </w:p>
    <w:p w14:paraId="2E406247">
      <w:pPr>
        <w:rPr>
          <w:color w:val="auto"/>
          <w:highlight w:val="none"/>
        </w:rPr>
      </w:pPr>
    </w:p>
    <w:p w14:paraId="770717A1">
      <w:pPr>
        <w:rPr>
          <w:color w:val="auto"/>
          <w:highlight w:val="none"/>
        </w:rPr>
      </w:pPr>
    </w:p>
    <w:p w14:paraId="66227385">
      <w:pPr>
        <w:rPr>
          <w:color w:val="auto"/>
          <w:highlight w:val="none"/>
        </w:rPr>
      </w:pPr>
    </w:p>
    <w:p w14:paraId="52B6B538">
      <w:pPr>
        <w:rPr>
          <w:color w:val="auto"/>
          <w:highlight w:val="none"/>
        </w:rPr>
      </w:pPr>
    </w:p>
    <w:p w14:paraId="46530181">
      <w:pPr>
        <w:rPr>
          <w:color w:val="auto"/>
          <w:highlight w:val="none"/>
        </w:rPr>
      </w:pPr>
    </w:p>
    <w:p w14:paraId="796D9BBC">
      <w:pPr>
        <w:rPr>
          <w:color w:val="auto"/>
          <w:highlight w:val="none"/>
        </w:rPr>
      </w:pPr>
    </w:p>
    <w:p w14:paraId="7CFC6E62">
      <w:pPr>
        <w:rPr>
          <w:color w:val="auto"/>
          <w:highlight w:val="none"/>
        </w:rPr>
      </w:pPr>
    </w:p>
    <w:p w14:paraId="7B23A5CD">
      <w:pPr>
        <w:rPr>
          <w:color w:val="auto"/>
          <w:highlight w:val="none"/>
        </w:rPr>
      </w:pPr>
    </w:p>
    <w:p w14:paraId="219CA196">
      <w:pPr>
        <w:rPr>
          <w:color w:val="auto"/>
          <w:highlight w:val="none"/>
        </w:rPr>
      </w:pPr>
    </w:p>
    <w:p w14:paraId="10EFB191">
      <w:pPr>
        <w:rPr>
          <w:color w:val="auto"/>
          <w:highlight w:val="none"/>
        </w:rPr>
      </w:pPr>
    </w:p>
    <w:p w14:paraId="567BB262">
      <w:pPr>
        <w:pStyle w:val="3"/>
        <w:jc w:val="center"/>
        <w:rPr>
          <w:rFonts w:ascii="宋体" w:hAnsi="宋体" w:cs="宋体"/>
          <w:color w:val="auto"/>
          <w:highlight w:val="none"/>
        </w:rPr>
      </w:pPr>
      <w:bookmarkStart w:id="70" w:name="_Toc7117"/>
      <w:r>
        <w:rPr>
          <w:rFonts w:hint="eastAsia" w:ascii="宋体" w:hAnsi="宋体" w:cs="宋体"/>
          <w:color w:val="auto"/>
          <w:highlight w:val="none"/>
        </w:rPr>
        <w:t>第五章 响应文件格式</w:t>
      </w:r>
      <w:bookmarkEnd w:id="70"/>
    </w:p>
    <w:p w14:paraId="627747F8">
      <w:pPr>
        <w:spacing w:line="240" w:lineRule="atLeast"/>
        <w:rPr>
          <w:rFonts w:ascii="宋体" w:hAnsi="宋体" w:cs="宋体"/>
          <w:b/>
          <w:color w:val="auto"/>
          <w:sz w:val="32"/>
          <w:szCs w:val="32"/>
          <w:highlight w:val="none"/>
        </w:rPr>
      </w:pPr>
    </w:p>
    <w:p w14:paraId="1510E44A">
      <w:pPr>
        <w:spacing w:line="240" w:lineRule="atLeast"/>
        <w:rPr>
          <w:rFonts w:ascii="宋体" w:hAnsi="宋体" w:cs="宋体"/>
          <w:b/>
          <w:color w:val="auto"/>
          <w:sz w:val="32"/>
          <w:szCs w:val="32"/>
          <w:highlight w:val="none"/>
        </w:rPr>
      </w:pPr>
    </w:p>
    <w:p w14:paraId="4412B3A3">
      <w:pPr>
        <w:spacing w:line="240" w:lineRule="atLeast"/>
        <w:rPr>
          <w:rFonts w:ascii="宋体" w:hAnsi="宋体" w:cs="宋体"/>
          <w:b/>
          <w:color w:val="auto"/>
          <w:sz w:val="32"/>
          <w:szCs w:val="32"/>
          <w:highlight w:val="none"/>
        </w:rPr>
      </w:pPr>
    </w:p>
    <w:p w14:paraId="1C825C5E">
      <w:pPr>
        <w:spacing w:line="240" w:lineRule="atLeast"/>
        <w:rPr>
          <w:rFonts w:ascii="宋体" w:hAnsi="宋体" w:cs="宋体"/>
          <w:b/>
          <w:color w:val="auto"/>
          <w:sz w:val="32"/>
          <w:szCs w:val="32"/>
          <w:highlight w:val="none"/>
        </w:rPr>
      </w:pPr>
    </w:p>
    <w:p w14:paraId="501E480E">
      <w:pPr>
        <w:spacing w:line="240" w:lineRule="atLeast"/>
        <w:rPr>
          <w:rFonts w:ascii="宋体" w:hAnsi="宋体" w:cs="宋体"/>
          <w:b/>
          <w:color w:val="auto"/>
          <w:sz w:val="32"/>
          <w:szCs w:val="32"/>
          <w:highlight w:val="none"/>
        </w:rPr>
      </w:pPr>
    </w:p>
    <w:p w14:paraId="34BF2CFC">
      <w:pPr>
        <w:spacing w:line="240" w:lineRule="atLeast"/>
        <w:rPr>
          <w:rFonts w:ascii="宋体" w:hAnsi="宋体" w:cs="宋体"/>
          <w:b/>
          <w:color w:val="auto"/>
          <w:sz w:val="32"/>
          <w:szCs w:val="32"/>
          <w:highlight w:val="none"/>
        </w:rPr>
      </w:pPr>
    </w:p>
    <w:p w14:paraId="252D889B">
      <w:pPr>
        <w:spacing w:line="240" w:lineRule="atLeast"/>
        <w:rPr>
          <w:rFonts w:ascii="宋体" w:hAnsi="宋体" w:cs="宋体"/>
          <w:b/>
          <w:color w:val="auto"/>
          <w:sz w:val="32"/>
          <w:szCs w:val="32"/>
          <w:highlight w:val="none"/>
        </w:rPr>
      </w:pPr>
    </w:p>
    <w:p w14:paraId="5EDE599B">
      <w:pPr>
        <w:spacing w:line="240" w:lineRule="atLeast"/>
        <w:rPr>
          <w:rFonts w:ascii="宋体" w:hAnsi="宋体" w:cs="宋体"/>
          <w:b/>
          <w:color w:val="auto"/>
          <w:sz w:val="32"/>
          <w:szCs w:val="32"/>
          <w:highlight w:val="none"/>
        </w:rPr>
      </w:pPr>
    </w:p>
    <w:p w14:paraId="13206B19">
      <w:pPr>
        <w:spacing w:line="240" w:lineRule="atLeast"/>
        <w:rPr>
          <w:rFonts w:ascii="宋体" w:hAnsi="宋体" w:cs="宋体"/>
          <w:b/>
          <w:color w:val="auto"/>
          <w:sz w:val="32"/>
          <w:szCs w:val="32"/>
          <w:highlight w:val="none"/>
        </w:rPr>
      </w:pPr>
    </w:p>
    <w:p w14:paraId="5DB9651D">
      <w:pPr>
        <w:spacing w:line="240" w:lineRule="atLeast"/>
        <w:rPr>
          <w:rFonts w:ascii="宋体" w:hAnsi="宋体" w:cs="宋体"/>
          <w:b/>
          <w:color w:val="auto"/>
          <w:sz w:val="32"/>
          <w:szCs w:val="32"/>
          <w:highlight w:val="none"/>
        </w:rPr>
      </w:pPr>
    </w:p>
    <w:p w14:paraId="2C68EADE">
      <w:pPr>
        <w:spacing w:line="240" w:lineRule="atLeast"/>
        <w:rPr>
          <w:rFonts w:ascii="宋体" w:hAnsi="宋体" w:cs="宋体"/>
          <w:b/>
          <w:color w:val="auto"/>
          <w:sz w:val="32"/>
          <w:szCs w:val="32"/>
          <w:highlight w:val="none"/>
        </w:rPr>
      </w:pPr>
    </w:p>
    <w:p w14:paraId="50071E9D">
      <w:pPr>
        <w:rPr>
          <w:color w:val="auto"/>
          <w:highlight w:val="none"/>
        </w:rPr>
      </w:pPr>
    </w:p>
    <w:p w14:paraId="3C2E5051">
      <w:pPr>
        <w:rPr>
          <w:rFonts w:ascii="宋体" w:hAnsi="宋体" w:cs="宋体"/>
          <w:b/>
          <w:color w:val="auto"/>
          <w:sz w:val="32"/>
          <w:szCs w:val="32"/>
          <w:highlight w:val="none"/>
        </w:rPr>
      </w:pPr>
      <w:bookmarkStart w:id="71" w:name="_Toc31728084"/>
      <w:bookmarkStart w:id="72" w:name="_Toc35611438"/>
      <w:bookmarkStart w:id="73" w:name="_Toc71366186"/>
      <w:bookmarkStart w:id="74" w:name="_Toc44229899"/>
      <w:bookmarkStart w:id="75" w:name="_Toc35611516"/>
      <w:bookmarkStart w:id="76" w:name="_Toc31723070"/>
      <w:r>
        <w:rPr>
          <w:rFonts w:hint="eastAsia" w:ascii="宋体" w:hAnsi="宋体" w:cs="宋体"/>
          <w:b/>
          <w:color w:val="auto"/>
          <w:sz w:val="32"/>
          <w:szCs w:val="32"/>
          <w:highlight w:val="none"/>
        </w:rPr>
        <w:br w:type="page"/>
      </w:r>
    </w:p>
    <w:p w14:paraId="57CC00C0">
      <w:pPr>
        <w:rPr>
          <w:rFonts w:ascii="宋体" w:hAnsi="宋体" w:cs="宋体"/>
          <w:b/>
          <w:color w:val="auto"/>
          <w:sz w:val="32"/>
          <w:szCs w:val="32"/>
          <w:highlight w:val="none"/>
        </w:rPr>
      </w:pPr>
      <w:r>
        <w:rPr>
          <w:rFonts w:hint="eastAsia" w:ascii="宋体" w:hAnsi="宋体" w:cs="宋体"/>
          <w:b/>
          <w:color w:val="auto"/>
          <w:sz w:val="32"/>
          <w:szCs w:val="32"/>
          <w:highlight w:val="none"/>
        </w:rPr>
        <w:t>一、资格证明文件格式</w:t>
      </w:r>
      <w:bookmarkEnd w:id="71"/>
      <w:bookmarkEnd w:id="72"/>
      <w:bookmarkEnd w:id="73"/>
      <w:bookmarkEnd w:id="74"/>
      <w:bookmarkEnd w:id="75"/>
      <w:bookmarkEnd w:id="76"/>
    </w:p>
    <w:p w14:paraId="4845B0F9">
      <w:pPr>
        <w:snapToGrid w:val="0"/>
        <w:spacing w:before="156" w:beforeLines="50" w:after="50" w:line="360" w:lineRule="auto"/>
        <w:jc w:val="left"/>
        <w:rPr>
          <w:rFonts w:ascii="宋体" w:hAnsi="宋体" w:cs="宋体"/>
          <w:b/>
          <w:color w:val="auto"/>
          <w:sz w:val="24"/>
          <w:highlight w:val="none"/>
        </w:rPr>
      </w:pPr>
      <w:r>
        <w:rPr>
          <w:rFonts w:hint="eastAsia" w:ascii="宋体" w:hAnsi="宋体" w:cs="宋体"/>
          <w:b/>
          <w:color w:val="auto"/>
          <w:sz w:val="32"/>
          <w:szCs w:val="32"/>
          <w:highlight w:val="none"/>
        </w:rPr>
        <w:t>1.资格证明文件封面格式：</w:t>
      </w:r>
      <w:r>
        <w:rPr>
          <w:rFonts w:hint="eastAsia" w:ascii="宋体" w:hAnsi="宋体" w:cs="宋体"/>
          <w:b/>
          <w:color w:val="auto"/>
          <w:sz w:val="24"/>
          <w:highlight w:val="none"/>
        </w:rPr>
        <w:t xml:space="preserve"> </w:t>
      </w:r>
    </w:p>
    <w:p w14:paraId="34A31786">
      <w:pPr>
        <w:snapToGrid w:val="0"/>
        <w:spacing w:before="156" w:beforeLines="50" w:after="50"/>
        <w:jc w:val="center"/>
        <w:rPr>
          <w:rFonts w:ascii="宋体" w:hAnsi="宋体" w:cs="宋体"/>
          <w:color w:val="auto"/>
          <w:sz w:val="44"/>
          <w:szCs w:val="44"/>
          <w:highlight w:val="none"/>
        </w:rPr>
      </w:pPr>
    </w:p>
    <w:p w14:paraId="6FCA4C10">
      <w:pPr>
        <w:snapToGrid w:val="0"/>
        <w:spacing w:before="156" w:beforeLines="50" w:after="50"/>
        <w:jc w:val="center"/>
        <w:rPr>
          <w:rFonts w:ascii="宋体" w:hAnsi="宋体" w:cs="宋体"/>
          <w:color w:val="auto"/>
          <w:sz w:val="44"/>
          <w:szCs w:val="44"/>
          <w:highlight w:val="none"/>
        </w:rPr>
      </w:pPr>
      <w:r>
        <w:rPr>
          <w:rFonts w:hint="eastAsia" w:ascii="宋体" w:hAnsi="宋体" w:cs="宋体"/>
          <w:color w:val="auto"/>
          <w:sz w:val="44"/>
          <w:szCs w:val="44"/>
          <w:highlight w:val="none"/>
        </w:rPr>
        <w:t>电 子 响 应 文 件</w:t>
      </w:r>
    </w:p>
    <w:p w14:paraId="3ED50097">
      <w:pPr>
        <w:snapToGrid w:val="0"/>
        <w:spacing w:before="156" w:beforeLines="50" w:after="50"/>
        <w:rPr>
          <w:rFonts w:ascii="宋体" w:hAnsi="宋体" w:cs="宋体"/>
          <w:color w:val="auto"/>
          <w:sz w:val="24"/>
          <w:szCs w:val="20"/>
          <w:highlight w:val="none"/>
        </w:rPr>
      </w:pPr>
    </w:p>
    <w:p w14:paraId="0C848796">
      <w:pPr>
        <w:snapToGrid w:val="0"/>
        <w:spacing w:before="156" w:beforeLines="50" w:after="50"/>
        <w:jc w:val="center"/>
        <w:rPr>
          <w:rFonts w:ascii="宋体" w:hAnsi="宋体" w:cs="宋体"/>
          <w:bCs/>
          <w:color w:val="auto"/>
          <w:sz w:val="72"/>
          <w:szCs w:val="72"/>
          <w:highlight w:val="none"/>
        </w:rPr>
      </w:pPr>
      <w:r>
        <w:rPr>
          <w:rFonts w:hint="eastAsia" w:ascii="宋体" w:hAnsi="宋体" w:cs="宋体"/>
          <w:bCs/>
          <w:color w:val="auto"/>
          <w:sz w:val="72"/>
          <w:szCs w:val="72"/>
          <w:highlight w:val="none"/>
        </w:rPr>
        <w:t>资 格 证 明 文 件</w:t>
      </w:r>
    </w:p>
    <w:p w14:paraId="53523A17">
      <w:pPr>
        <w:snapToGrid w:val="0"/>
        <w:spacing w:before="156" w:beforeLines="50" w:after="50"/>
        <w:rPr>
          <w:rFonts w:ascii="宋体" w:hAnsi="宋体" w:cs="宋体"/>
          <w:bCs/>
          <w:color w:val="auto"/>
          <w:sz w:val="24"/>
          <w:szCs w:val="20"/>
          <w:highlight w:val="none"/>
        </w:rPr>
      </w:pPr>
    </w:p>
    <w:p w14:paraId="148B71D4">
      <w:pPr>
        <w:snapToGrid w:val="0"/>
        <w:spacing w:before="156" w:beforeLines="50" w:after="50"/>
        <w:rPr>
          <w:rFonts w:ascii="宋体" w:hAnsi="宋体" w:cs="宋体"/>
          <w:bCs/>
          <w:color w:val="auto"/>
          <w:sz w:val="24"/>
          <w:szCs w:val="20"/>
          <w:highlight w:val="none"/>
        </w:rPr>
      </w:pPr>
    </w:p>
    <w:p w14:paraId="449A93F4">
      <w:pPr>
        <w:snapToGrid w:val="0"/>
        <w:spacing w:before="156" w:beforeLines="50" w:after="50"/>
        <w:rPr>
          <w:rFonts w:ascii="宋体" w:hAnsi="宋体" w:cs="宋体"/>
          <w:bCs/>
          <w:color w:val="auto"/>
          <w:sz w:val="24"/>
          <w:szCs w:val="20"/>
          <w:highlight w:val="none"/>
        </w:rPr>
      </w:pPr>
    </w:p>
    <w:p w14:paraId="792ACB7B">
      <w:pPr>
        <w:snapToGrid w:val="0"/>
        <w:spacing w:before="156" w:beforeLines="50" w:after="50"/>
        <w:rPr>
          <w:rFonts w:ascii="宋体" w:hAnsi="宋体" w:cs="宋体"/>
          <w:bCs/>
          <w:color w:val="auto"/>
          <w:sz w:val="24"/>
          <w:szCs w:val="20"/>
          <w:highlight w:val="none"/>
        </w:rPr>
      </w:pPr>
    </w:p>
    <w:p w14:paraId="79CD37B3">
      <w:pPr>
        <w:snapToGrid w:val="0"/>
        <w:spacing w:before="156" w:beforeLines="50" w:after="50"/>
        <w:rPr>
          <w:rFonts w:ascii="宋体" w:hAnsi="宋体" w:cs="宋体"/>
          <w:bCs/>
          <w:color w:val="auto"/>
          <w:sz w:val="24"/>
          <w:szCs w:val="20"/>
          <w:highlight w:val="none"/>
        </w:rPr>
      </w:pPr>
    </w:p>
    <w:p w14:paraId="50DEBE58">
      <w:pPr>
        <w:snapToGrid w:val="0"/>
        <w:spacing w:before="156" w:beforeLines="50" w:after="50" w:line="360" w:lineRule="auto"/>
        <w:ind w:firstLine="1040" w:firstLineChars="325"/>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r>
        <w:rPr>
          <w:rFonts w:hint="eastAsia" w:ascii="宋体" w:hAnsi="宋体" w:cs="宋体"/>
          <w:bCs/>
          <w:color w:val="auto"/>
          <w:sz w:val="32"/>
          <w:szCs w:val="32"/>
          <w:highlight w:val="none"/>
          <w:u w:val="single"/>
        </w:rPr>
        <w:t xml:space="preserve">                         </w:t>
      </w:r>
    </w:p>
    <w:p w14:paraId="0C391A9A">
      <w:pPr>
        <w:snapToGrid w:val="0"/>
        <w:spacing w:before="156" w:beforeLines="50" w:after="50" w:line="360" w:lineRule="auto"/>
        <w:ind w:firstLine="1040" w:firstLineChars="325"/>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r>
        <w:rPr>
          <w:rFonts w:hint="eastAsia" w:ascii="宋体" w:hAnsi="宋体" w:cs="宋体"/>
          <w:bCs/>
          <w:color w:val="auto"/>
          <w:sz w:val="32"/>
          <w:szCs w:val="32"/>
          <w:highlight w:val="none"/>
          <w:u w:val="single"/>
        </w:rPr>
        <w:t xml:space="preserve">                         </w:t>
      </w:r>
    </w:p>
    <w:p w14:paraId="05BE3741">
      <w:pPr>
        <w:snapToGrid w:val="0"/>
        <w:spacing w:before="156" w:beforeLines="50" w:after="50" w:line="360" w:lineRule="auto"/>
        <w:ind w:firstLine="1040" w:firstLineChars="325"/>
        <w:rPr>
          <w:rFonts w:ascii="宋体" w:hAnsi="宋体" w:cs="宋体"/>
          <w:bCs/>
          <w:color w:val="auto"/>
          <w:sz w:val="32"/>
          <w:szCs w:val="32"/>
          <w:highlight w:val="none"/>
          <w:u w:val="single"/>
        </w:rPr>
      </w:pPr>
      <w:r>
        <w:rPr>
          <w:rFonts w:hint="eastAsia" w:ascii="宋体" w:hAnsi="宋体" w:cs="宋体"/>
          <w:bCs/>
          <w:color w:val="auto"/>
          <w:sz w:val="32"/>
          <w:szCs w:val="32"/>
          <w:highlight w:val="none"/>
        </w:rPr>
        <w:t>标项名称：</w:t>
      </w:r>
      <w:r>
        <w:rPr>
          <w:rFonts w:hint="eastAsia" w:ascii="宋体" w:hAnsi="宋体" w:cs="宋体"/>
          <w:bCs/>
          <w:color w:val="auto"/>
          <w:sz w:val="32"/>
          <w:szCs w:val="32"/>
          <w:highlight w:val="none"/>
          <w:u w:val="single"/>
        </w:rPr>
        <w:t xml:space="preserve">                         </w:t>
      </w:r>
    </w:p>
    <w:p w14:paraId="6D5A59A7">
      <w:pPr>
        <w:pStyle w:val="44"/>
        <w:ind w:firstLine="640"/>
        <w:rPr>
          <w:color w:val="auto"/>
          <w:highlight w:val="none"/>
        </w:rPr>
      </w:pPr>
      <w:r>
        <w:rPr>
          <w:rFonts w:hint="eastAsia" w:ascii="宋体" w:hAnsi="宋体" w:cs="宋体"/>
          <w:bCs/>
          <w:color w:val="auto"/>
          <w:sz w:val="32"/>
          <w:szCs w:val="32"/>
          <w:highlight w:val="none"/>
        </w:rPr>
        <w:t>分    标：</w:t>
      </w:r>
      <w:r>
        <w:rPr>
          <w:rFonts w:hint="eastAsia" w:ascii="宋体" w:hAnsi="宋体" w:cs="宋体"/>
          <w:bCs/>
          <w:color w:val="auto"/>
          <w:sz w:val="32"/>
          <w:szCs w:val="32"/>
          <w:highlight w:val="none"/>
          <w:u w:val="single"/>
        </w:rPr>
        <w:t xml:space="preserve">                         </w:t>
      </w:r>
    </w:p>
    <w:p w14:paraId="3E2E5FD8">
      <w:pPr>
        <w:snapToGrid w:val="0"/>
        <w:spacing w:before="156" w:beforeLines="50" w:after="50" w:line="360" w:lineRule="auto"/>
        <w:ind w:firstLine="1040" w:firstLineChars="325"/>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r>
        <w:rPr>
          <w:rFonts w:hint="eastAsia" w:ascii="宋体" w:hAnsi="宋体" w:cs="宋体"/>
          <w:bCs/>
          <w:color w:val="auto"/>
          <w:sz w:val="32"/>
          <w:szCs w:val="32"/>
          <w:highlight w:val="none"/>
          <w:u w:val="single"/>
        </w:rPr>
        <w:t xml:space="preserve">                       </w:t>
      </w:r>
      <w:r>
        <w:rPr>
          <w:rFonts w:hint="eastAsia" w:ascii="宋体" w:hAnsi="宋体" w:cs="宋体"/>
          <w:bCs/>
          <w:color w:val="auto"/>
          <w:sz w:val="32"/>
          <w:szCs w:val="32"/>
          <w:highlight w:val="none"/>
        </w:rPr>
        <w:t xml:space="preserve"> </w:t>
      </w:r>
    </w:p>
    <w:p w14:paraId="141FA4D5">
      <w:pPr>
        <w:snapToGrid w:val="0"/>
        <w:spacing w:before="156" w:beforeLines="50" w:after="50"/>
        <w:ind w:firstLine="640" w:firstLineChars="200"/>
        <w:rPr>
          <w:rFonts w:ascii="宋体" w:hAnsi="宋体" w:cs="宋体"/>
          <w:bCs/>
          <w:color w:val="auto"/>
          <w:sz w:val="32"/>
          <w:szCs w:val="32"/>
          <w:highlight w:val="none"/>
        </w:rPr>
      </w:pPr>
    </w:p>
    <w:p w14:paraId="1D033E2C">
      <w:pPr>
        <w:pStyle w:val="8"/>
        <w:snapToGrid w:val="0"/>
        <w:spacing w:before="50" w:after="50"/>
        <w:ind w:firstLine="720" w:firstLineChars="225"/>
        <w:rPr>
          <w:rFonts w:ascii="宋体" w:hAnsi="宋体" w:cs="宋体"/>
          <w:bCs/>
          <w:color w:val="auto"/>
          <w:sz w:val="32"/>
          <w:szCs w:val="32"/>
          <w:highlight w:val="none"/>
        </w:rPr>
      </w:pPr>
    </w:p>
    <w:p w14:paraId="2074D9B4">
      <w:pPr>
        <w:pStyle w:val="8"/>
        <w:snapToGrid w:val="0"/>
        <w:spacing w:before="50" w:after="50"/>
        <w:ind w:firstLine="1280" w:firstLineChars="400"/>
        <w:rPr>
          <w:rFonts w:ascii="宋体" w:hAnsi="宋体" w:cs="宋体"/>
          <w:bCs/>
          <w:color w:val="auto"/>
          <w:sz w:val="32"/>
          <w:szCs w:val="32"/>
          <w:highlight w:val="none"/>
        </w:rPr>
      </w:pPr>
    </w:p>
    <w:p w14:paraId="3DD09F50">
      <w:pPr>
        <w:snapToGrid w:val="0"/>
        <w:spacing w:before="156"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077CA080">
      <w:pPr>
        <w:snapToGrid w:val="0"/>
        <w:spacing w:before="156" w:beforeLines="50" w:after="50" w:line="360" w:lineRule="auto"/>
        <w:ind w:left="142"/>
        <w:jc w:val="left"/>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2.资格证明文件目录</w:t>
      </w:r>
    </w:p>
    <w:p w14:paraId="5325F935">
      <w:pPr>
        <w:snapToGrid w:val="0"/>
        <w:spacing w:before="156" w:beforeLines="50" w:after="50" w:line="360" w:lineRule="auto"/>
        <w:ind w:firstLine="645"/>
        <w:rPr>
          <w:rFonts w:ascii="宋体" w:hAnsi="宋体" w:cs="宋体"/>
          <w:color w:val="auto"/>
          <w:sz w:val="32"/>
          <w:szCs w:val="32"/>
          <w:highlight w:val="none"/>
        </w:rPr>
      </w:pPr>
      <w:r>
        <w:rPr>
          <w:rFonts w:hint="eastAsia" w:ascii="宋体" w:hAnsi="宋体" w:cs="宋体"/>
          <w:color w:val="auto"/>
          <w:sz w:val="32"/>
          <w:szCs w:val="32"/>
          <w:highlight w:val="none"/>
        </w:rPr>
        <w:t>根据磋商文件规定及供应商提供的材料自行编写目录（部分格式后附）。</w:t>
      </w:r>
    </w:p>
    <w:p w14:paraId="72D6549F">
      <w:pPr>
        <w:snapToGrid w:val="0"/>
        <w:spacing w:before="156" w:beforeLines="50" w:after="50"/>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14:paraId="237946F5">
      <w:pPr>
        <w:spacing w:line="300" w:lineRule="auto"/>
        <w:rPr>
          <w:rFonts w:ascii="宋体" w:hAnsi="宋体" w:cs="宋体"/>
          <w:color w:val="auto"/>
          <w:szCs w:val="21"/>
          <w:highlight w:val="none"/>
        </w:rPr>
      </w:pPr>
    </w:p>
    <w:p w14:paraId="7EA3EDC1">
      <w:pPr>
        <w:spacing w:line="300" w:lineRule="auto"/>
        <w:rPr>
          <w:rFonts w:ascii="宋体" w:hAnsi="宋体" w:cs="宋体"/>
          <w:color w:val="auto"/>
          <w:szCs w:val="21"/>
          <w:highlight w:val="none"/>
        </w:rPr>
      </w:pPr>
    </w:p>
    <w:p w14:paraId="71E513A0">
      <w:pPr>
        <w:spacing w:line="300" w:lineRule="auto"/>
        <w:rPr>
          <w:rFonts w:ascii="宋体" w:hAnsi="宋体" w:cs="宋体"/>
          <w:color w:val="auto"/>
          <w:szCs w:val="21"/>
          <w:highlight w:val="none"/>
        </w:rPr>
      </w:pPr>
    </w:p>
    <w:p w14:paraId="7C2ECD8B">
      <w:pPr>
        <w:spacing w:line="300" w:lineRule="auto"/>
        <w:rPr>
          <w:rFonts w:ascii="宋体" w:hAnsi="宋体" w:cs="宋体"/>
          <w:color w:val="auto"/>
          <w:szCs w:val="21"/>
          <w:highlight w:val="none"/>
        </w:rPr>
      </w:pPr>
    </w:p>
    <w:p w14:paraId="2A904768">
      <w:pPr>
        <w:spacing w:line="300" w:lineRule="auto"/>
        <w:rPr>
          <w:rFonts w:ascii="宋体" w:hAnsi="宋体" w:cs="宋体"/>
          <w:color w:val="auto"/>
          <w:szCs w:val="21"/>
          <w:highlight w:val="none"/>
        </w:rPr>
      </w:pPr>
    </w:p>
    <w:p w14:paraId="7C1028A2">
      <w:pPr>
        <w:spacing w:line="300" w:lineRule="auto"/>
        <w:rPr>
          <w:rFonts w:ascii="宋体" w:hAnsi="宋体" w:cs="宋体"/>
          <w:color w:val="auto"/>
          <w:szCs w:val="21"/>
          <w:highlight w:val="none"/>
        </w:rPr>
      </w:pPr>
    </w:p>
    <w:p w14:paraId="12F3D67A">
      <w:pPr>
        <w:spacing w:line="300" w:lineRule="auto"/>
        <w:rPr>
          <w:rFonts w:ascii="宋体" w:hAnsi="宋体" w:cs="宋体"/>
          <w:color w:val="auto"/>
          <w:szCs w:val="21"/>
          <w:highlight w:val="none"/>
        </w:rPr>
      </w:pPr>
    </w:p>
    <w:p w14:paraId="2F77B11B">
      <w:pPr>
        <w:spacing w:line="300" w:lineRule="auto"/>
        <w:rPr>
          <w:rFonts w:ascii="宋体" w:hAnsi="宋体" w:cs="宋体"/>
          <w:color w:val="auto"/>
          <w:szCs w:val="21"/>
          <w:highlight w:val="none"/>
        </w:rPr>
      </w:pPr>
    </w:p>
    <w:p w14:paraId="1DD227C9">
      <w:pPr>
        <w:spacing w:line="300" w:lineRule="auto"/>
        <w:rPr>
          <w:rFonts w:ascii="宋体" w:hAnsi="宋体" w:cs="宋体"/>
          <w:color w:val="auto"/>
          <w:szCs w:val="21"/>
          <w:highlight w:val="none"/>
        </w:rPr>
      </w:pPr>
    </w:p>
    <w:p w14:paraId="224D0EBB">
      <w:pPr>
        <w:spacing w:line="300" w:lineRule="auto"/>
        <w:rPr>
          <w:rFonts w:ascii="宋体" w:hAnsi="宋体" w:cs="宋体"/>
          <w:color w:val="auto"/>
          <w:szCs w:val="21"/>
          <w:highlight w:val="none"/>
        </w:rPr>
      </w:pPr>
    </w:p>
    <w:p w14:paraId="013AE511">
      <w:pPr>
        <w:spacing w:line="300" w:lineRule="auto"/>
        <w:rPr>
          <w:rFonts w:ascii="宋体" w:hAnsi="宋体" w:cs="宋体"/>
          <w:color w:val="auto"/>
          <w:szCs w:val="21"/>
          <w:highlight w:val="none"/>
        </w:rPr>
      </w:pPr>
    </w:p>
    <w:p w14:paraId="4B727B71">
      <w:pPr>
        <w:spacing w:line="300" w:lineRule="auto"/>
        <w:rPr>
          <w:rFonts w:ascii="宋体" w:hAnsi="宋体" w:cs="宋体"/>
          <w:color w:val="auto"/>
          <w:szCs w:val="21"/>
          <w:highlight w:val="none"/>
        </w:rPr>
      </w:pPr>
    </w:p>
    <w:p w14:paraId="01F675B9">
      <w:pPr>
        <w:spacing w:line="300" w:lineRule="auto"/>
        <w:rPr>
          <w:rFonts w:ascii="宋体" w:hAnsi="宋体" w:cs="宋体"/>
          <w:color w:val="auto"/>
          <w:szCs w:val="21"/>
          <w:highlight w:val="none"/>
        </w:rPr>
      </w:pPr>
    </w:p>
    <w:p w14:paraId="670EE6B6">
      <w:pPr>
        <w:spacing w:line="300" w:lineRule="auto"/>
        <w:rPr>
          <w:rFonts w:ascii="宋体" w:hAnsi="宋体" w:cs="宋体"/>
          <w:color w:val="auto"/>
          <w:szCs w:val="21"/>
          <w:highlight w:val="none"/>
        </w:rPr>
      </w:pPr>
    </w:p>
    <w:p w14:paraId="41B5D047">
      <w:pPr>
        <w:spacing w:line="300" w:lineRule="auto"/>
        <w:rPr>
          <w:rFonts w:ascii="宋体" w:hAnsi="宋体" w:cs="宋体"/>
          <w:color w:val="auto"/>
          <w:szCs w:val="21"/>
          <w:highlight w:val="none"/>
        </w:rPr>
      </w:pPr>
    </w:p>
    <w:p w14:paraId="7703FD72">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 xml:space="preserve"> </w:t>
      </w:r>
    </w:p>
    <w:p w14:paraId="6F1EED75">
      <w:pPr>
        <w:spacing w:line="360" w:lineRule="auto"/>
        <w:contextualSpacing/>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供应商直接控股、管理关系信息表</w:t>
      </w:r>
    </w:p>
    <w:p w14:paraId="108882D7">
      <w:pPr>
        <w:spacing w:line="360" w:lineRule="auto"/>
        <w:contextualSpacing/>
        <w:jc w:val="center"/>
        <w:rPr>
          <w:rFonts w:ascii="宋体" w:hAnsi="宋体" w:cs="宋体"/>
          <w:b/>
          <w:color w:val="auto"/>
          <w:sz w:val="24"/>
          <w:highlight w:val="none"/>
        </w:rPr>
      </w:pPr>
      <w:r>
        <w:rPr>
          <w:rFonts w:hint="eastAsia" w:ascii="宋体" w:hAnsi="宋体" w:cs="宋体"/>
          <w:b/>
          <w:color w:val="auto"/>
          <w:sz w:val="32"/>
          <w:szCs w:val="32"/>
          <w:highlight w:val="none"/>
        </w:rPr>
        <w:t>供应商直接控股股东信息表</w:t>
      </w:r>
    </w:p>
    <w:tbl>
      <w:tblPr>
        <w:tblStyle w:val="32"/>
        <w:tblW w:w="9217" w:type="dxa"/>
        <w:jc w:val="center"/>
        <w:shd w:val="clear" w:color="auto" w:fill="FBFBFB"/>
        <w:tblLayout w:type="fixed"/>
        <w:tblCellMar>
          <w:top w:w="0" w:type="dxa"/>
          <w:left w:w="0" w:type="dxa"/>
          <w:bottom w:w="0" w:type="dxa"/>
          <w:right w:w="0" w:type="dxa"/>
        </w:tblCellMar>
      </w:tblPr>
      <w:tblGrid>
        <w:gridCol w:w="728"/>
        <w:gridCol w:w="2303"/>
        <w:gridCol w:w="1345"/>
        <w:gridCol w:w="3974"/>
        <w:gridCol w:w="867"/>
      </w:tblGrid>
      <w:tr w14:paraId="3E97E644">
        <w:tblPrEx>
          <w:shd w:val="clear" w:color="auto" w:fill="FBFBFB"/>
          <w:tblCellMar>
            <w:top w:w="0" w:type="dxa"/>
            <w:left w:w="0" w:type="dxa"/>
            <w:bottom w:w="0" w:type="dxa"/>
            <w:right w:w="0" w:type="dxa"/>
          </w:tblCellMar>
        </w:tblPrEx>
        <w:trPr>
          <w:trHeight w:val="882" w:hRule="atLeast"/>
          <w:tblHeader/>
          <w:jc w:val="center"/>
        </w:trPr>
        <w:tc>
          <w:tcPr>
            <w:tcW w:w="728" w:type="dxa"/>
            <w:tcBorders>
              <w:top w:val="single" w:color="auto" w:sz="12" w:space="0"/>
              <w:left w:val="single" w:color="auto" w:sz="12"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1023C8">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303" w:type="dxa"/>
            <w:tcBorders>
              <w:top w:val="single" w:color="auto" w:sz="12"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63999E7">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345" w:type="dxa"/>
            <w:tcBorders>
              <w:top w:val="single" w:color="auto" w:sz="12"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D2227C">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974" w:type="dxa"/>
            <w:tcBorders>
              <w:top w:val="single" w:color="auto" w:sz="12"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81DAA4">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67" w:type="dxa"/>
            <w:tcBorders>
              <w:top w:val="single" w:color="auto" w:sz="12" w:space="0"/>
              <w:left w:val="single" w:color="auto" w:sz="4" w:space="0"/>
              <w:bottom w:val="single" w:color="auto" w:sz="4" w:space="0"/>
              <w:right w:val="single" w:color="auto" w:sz="12" w:space="0"/>
            </w:tcBorders>
            <w:shd w:val="clear" w:color="auto" w:fill="auto"/>
            <w:tcMar>
              <w:top w:w="120" w:type="dxa"/>
              <w:left w:w="120" w:type="dxa"/>
              <w:bottom w:w="120" w:type="dxa"/>
              <w:right w:w="120" w:type="dxa"/>
            </w:tcMar>
            <w:vAlign w:val="center"/>
          </w:tcPr>
          <w:p w14:paraId="62ADBF7C">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82A216D">
        <w:tblPrEx>
          <w:shd w:val="clear" w:color="auto" w:fill="FBFBFB"/>
          <w:tblCellMar>
            <w:top w:w="0" w:type="dxa"/>
            <w:left w:w="0" w:type="dxa"/>
            <w:bottom w:w="0" w:type="dxa"/>
            <w:right w:w="0" w:type="dxa"/>
          </w:tblCellMar>
        </w:tblPrEx>
        <w:trPr>
          <w:trHeight w:val="923" w:hRule="atLeast"/>
          <w:jc w:val="center"/>
        </w:trPr>
        <w:tc>
          <w:tcPr>
            <w:tcW w:w="728" w:type="dxa"/>
            <w:tcBorders>
              <w:top w:val="single" w:color="auto" w:sz="4" w:space="0"/>
              <w:left w:val="single" w:color="auto" w:sz="12"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699FF5">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30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2A715D">
            <w:pPr>
              <w:widowControl/>
              <w:spacing w:line="360" w:lineRule="auto"/>
              <w:contextualSpacing/>
              <w:jc w:val="center"/>
              <w:rPr>
                <w:rFonts w:ascii="宋体" w:hAnsi="宋体" w:cs="宋体"/>
                <w:color w:val="auto"/>
                <w:kern w:val="0"/>
                <w:sz w:val="24"/>
                <w:highlight w:val="none"/>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E4BE430">
            <w:pPr>
              <w:widowControl/>
              <w:spacing w:line="360" w:lineRule="auto"/>
              <w:contextualSpacing/>
              <w:jc w:val="center"/>
              <w:rPr>
                <w:rFonts w:ascii="宋体" w:hAnsi="宋体" w:cs="宋体"/>
                <w:color w:val="auto"/>
                <w:kern w:val="0"/>
                <w:sz w:val="24"/>
                <w:highlight w:val="none"/>
              </w:rPr>
            </w:pPr>
          </w:p>
        </w:tc>
        <w:tc>
          <w:tcPr>
            <w:tcW w:w="397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07DD263">
            <w:pPr>
              <w:widowControl/>
              <w:spacing w:line="360" w:lineRule="auto"/>
              <w:contextualSpacing/>
              <w:jc w:val="center"/>
              <w:rPr>
                <w:rFonts w:ascii="宋体" w:hAnsi="宋体" w:cs="宋体"/>
                <w:color w:val="auto"/>
                <w:kern w:val="0"/>
                <w:sz w:val="24"/>
                <w:highlight w:val="none"/>
              </w:rPr>
            </w:pPr>
          </w:p>
        </w:tc>
        <w:tc>
          <w:tcPr>
            <w:tcW w:w="867" w:type="dxa"/>
            <w:tcBorders>
              <w:top w:val="single" w:color="auto" w:sz="4" w:space="0"/>
              <w:left w:val="single" w:color="auto" w:sz="4" w:space="0"/>
              <w:bottom w:val="single" w:color="auto" w:sz="4" w:space="0"/>
              <w:right w:val="single" w:color="auto" w:sz="12" w:space="0"/>
            </w:tcBorders>
            <w:shd w:val="clear" w:color="auto" w:fill="auto"/>
            <w:tcMar>
              <w:top w:w="120" w:type="dxa"/>
              <w:left w:w="120" w:type="dxa"/>
              <w:bottom w:w="120" w:type="dxa"/>
              <w:right w:w="120" w:type="dxa"/>
            </w:tcMar>
            <w:vAlign w:val="center"/>
          </w:tcPr>
          <w:p w14:paraId="05FD0EB6">
            <w:pPr>
              <w:widowControl/>
              <w:spacing w:line="360" w:lineRule="auto"/>
              <w:contextualSpacing/>
              <w:jc w:val="center"/>
              <w:rPr>
                <w:rFonts w:ascii="宋体" w:hAnsi="宋体" w:cs="宋体"/>
                <w:color w:val="auto"/>
                <w:kern w:val="0"/>
                <w:sz w:val="24"/>
                <w:highlight w:val="none"/>
              </w:rPr>
            </w:pPr>
          </w:p>
        </w:tc>
      </w:tr>
      <w:tr w14:paraId="1BDF92B9">
        <w:tblPrEx>
          <w:shd w:val="clear" w:color="auto" w:fill="FBFBFB"/>
          <w:tblCellMar>
            <w:top w:w="0" w:type="dxa"/>
            <w:left w:w="0" w:type="dxa"/>
            <w:bottom w:w="0" w:type="dxa"/>
            <w:right w:w="0" w:type="dxa"/>
          </w:tblCellMar>
        </w:tblPrEx>
        <w:trPr>
          <w:trHeight w:val="923" w:hRule="atLeast"/>
          <w:jc w:val="center"/>
        </w:trPr>
        <w:tc>
          <w:tcPr>
            <w:tcW w:w="728" w:type="dxa"/>
            <w:tcBorders>
              <w:top w:val="single" w:color="auto" w:sz="4" w:space="0"/>
              <w:left w:val="single" w:color="auto" w:sz="12"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512D1C">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30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C3C7532">
            <w:pPr>
              <w:widowControl/>
              <w:spacing w:line="360" w:lineRule="auto"/>
              <w:contextualSpacing/>
              <w:jc w:val="center"/>
              <w:rPr>
                <w:rFonts w:ascii="宋体" w:hAnsi="宋体" w:cs="宋体"/>
                <w:color w:val="auto"/>
                <w:kern w:val="0"/>
                <w:sz w:val="24"/>
                <w:highlight w:val="none"/>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68D9D3">
            <w:pPr>
              <w:widowControl/>
              <w:spacing w:line="360" w:lineRule="auto"/>
              <w:contextualSpacing/>
              <w:jc w:val="center"/>
              <w:rPr>
                <w:rFonts w:ascii="宋体" w:hAnsi="宋体" w:cs="宋体"/>
                <w:color w:val="auto"/>
                <w:kern w:val="0"/>
                <w:sz w:val="24"/>
                <w:highlight w:val="none"/>
              </w:rPr>
            </w:pPr>
          </w:p>
        </w:tc>
        <w:tc>
          <w:tcPr>
            <w:tcW w:w="397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796B9D">
            <w:pPr>
              <w:widowControl/>
              <w:spacing w:line="360" w:lineRule="auto"/>
              <w:contextualSpacing/>
              <w:jc w:val="center"/>
              <w:rPr>
                <w:rFonts w:ascii="宋体" w:hAnsi="宋体" w:cs="宋体"/>
                <w:color w:val="auto"/>
                <w:kern w:val="0"/>
                <w:sz w:val="24"/>
                <w:highlight w:val="none"/>
              </w:rPr>
            </w:pPr>
          </w:p>
        </w:tc>
        <w:tc>
          <w:tcPr>
            <w:tcW w:w="867" w:type="dxa"/>
            <w:tcBorders>
              <w:top w:val="single" w:color="auto" w:sz="4" w:space="0"/>
              <w:left w:val="single" w:color="auto" w:sz="4" w:space="0"/>
              <w:bottom w:val="single" w:color="auto" w:sz="4" w:space="0"/>
              <w:right w:val="single" w:color="auto" w:sz="12" w:space="0"/>
            </w:tcBorders>
            <w:shd w:val="clear" w:color="auto" w:fill="auto"/>
            <w:tcMar>
              <w:top w:w="120" w:type="dxa"/>
              <w:left w:w="120" w:type="dxa"/>
              <w:bottom w:w="120" w:type="dxa"/>
              <w:right w:w="120" w:type="dxa"/>
            </w:tcMar>
            <w:vAlign w:val="center"/>
          </w:tcPr>
          <w:p w14:paraId="60223888">
            <w:pPr>
              <w:widowControl/>
              <w:spacing w:line="360" w:lineRule="auto"/>
              <w:contextualSpacing/>
              <w:jc w:val="center"/>
              <w:rPr>
                <w:rFonts w:ascii="宋体" w:hAnsi="宋体" w:cs="宋体"/>
                <w:color w:val="auto"/>
                <w:kern w:val="0"/>
                <w:sz w:val="24"/>
                <w:highlight w:val="none"/>
              </w:rPr>
            </w:pPr>
          </w:p>
        </w:tc>
      </w:tr>
      <w:tr w14:paraId="690DF8B8">
        <w:tblPrEx>
          <w:shd w:val="clear" w:color="auto" w:fill="FBFBFB"/>
          <w:tblCellMar>
            <w:top w:w="0" w:type="dxa"/>
            <w:left w:w="0" w:type="dxa"/>
            <w:bottom w:w="0" w:type="dxa"/>
            <w:right w:w="0" w:type="dxa"/>
          </w:tblCellMar>
        </w:tblPrEx>
        <w:trPr>
          <w:trHeight w:val="923" w:hRule="atLeast"/>
          <w:jc w:val="center"/>
        </w:trPr>
        <w:tc>
          <w:tcPr>
            <w:tcW w:w="728" w:type="dxa"/>
            <w:tcBorders>
              <w:top w:val="single" w:color="auto" w:sz="4" w:space="0"/>
              <w:left w:val="single" w:color="auto" w:sz="12"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0C8A76">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30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28C71A">
            <w:pPr>
              <w:widowControl/>
              <w:spacing w:line="360" w:lineRule="auto"/>
              <w:contextualSpacing/>
              <w:jc w:val="center"/>
              <w:rPr>
                <w:rFonts w:ascii="宋体" w:hAnsi="宋体" w:cs="宋体"/>
                <w:color w:val="auto"/>
                <w:kern w:val="0"/>
                <w:sz w:val="24"/>
                <w:highlight w:val="none"/>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6B2290">
            <w:pPr>
              <w:widowControl/>
              <w:spacing w:line="360" w:lineRule="auto"/>
              <w:contextualSpacing/>
              <w:jc w:val="center"/>
              <w:rPr>
                <w:rFonts w:ascii="宋体" w:hAnsi="宋体" w:cs="宋体"/>
                <w:color w:val="auto"/>
                <w:kern w:val="0"/>
                <w:sz w:val="24"/>
                <w:highlight w:val="none"/>
              </w:rPr>
            </w:pPr>
          </w:p>
        </w:tc>
        <w:tc>
          <w:tcPr>
            <w:tcW w:w="397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19BA4B">
            <w:pPr>
              <w:widowControl/>
              <w:spacing w:line="360" w:lineRule="auto"/>
              <w:contextualSpacing/>
              <w:jc w:val="center"/>
              <w:rPr>
                <w:rFonts w:ascii="宋体" w:hAnsi="宋体" w:cs="宋体"/>
                <w:color w:val="auto"/>
                <w:kern w:val="0"/>
                <w:sz w:val="24"/>
                <w:highlight w:val="none"/>
              </w:rPr>
            </w:pPr>
          </w:p>
        </w:tc>
        <w:tc>
          <w:tcPr>
            <w:tcW w:w="867" w:type="dxa"/>
            <w:tcBorders>
              <w:top w:val="single" w:color="auto" w:sz="4" w:space="0"/>
              <w:left w:val="single" w:color="auto" w:sz="4" w:space="0"/>
              <w:bottom w:val="single" w:color="auto" w:sz="4" w:space="0"/>
              <w:right w:val="single" w:color="auto" w:sz="12" w:space="0"/>
            </w:tcBorders>
            <w:shd w:val="clear" w:color="auto" w:fill="auto"/>
            <w:tcMar>
              <w:top w:w="120" w:type="dxa"/>
              <w:left w:w="120" w:type="dxa"/>
              <w:bottom w:w="120" w:type="dxa"/>
              <w:right w:w="120" w:type="dxa"/>
            </w:tcMar>
            <w:vAlign w:val="center"/>
          </w:tcPr>
          <w:p w14:paraId="510C89C4">
            <w:pPr>
              <w:widowControl/>
              <w:spacing w:line="360" w:lineRule="auto"/>
              <w:contextualSpacing/>
              <w:jc w:val="center"/>
              <w:rPr>
                <w:rFonts w:ascii="宋体" w:hAnsi="宋体" w:cs="宋体"/>
                <w:color w:val="auto"/>
                <w:kern w:val="0"/>
                <w:sz w:val="24"/>
                <w:highlight w:val="none"/>
              </w:rPr>
            </w:pPr>
          </w:p>
        </w:tc>
      </w:tr>
      <w:tr w14:paraId="698F7C6D">
        <w:tblPrEx>
          <w:shd w:val="clear" w:color="auto" w:fill="FBFBFB"/>
          <w:tblCellMar>
            <w:top w:w="0" w:type="dxa"/>
            <w:left w:w="0" w:type="dxa"/>
            <w:bottom w:w="0" w:type="dxa"/>
            <w:right w:w="0" w:type="dxa"/>
          </w:tblCellMar>
        </w:tblPrEx>
        <w:trPr>
          <w:trHeight w:val="923" w:hRule="atLeast"/>
          <w:jc w:val="center"/>
        </w:trPr>
        <w:tc>
          <w:tcPr>
            <w:tcW w:w="728" w:type="dxa"/>
            <w:tcBorders>
              <w:top w:val="single" w:color="auto" w:sz="4" w:space="0"/>
              <w:left w:val="single" w:color="auto" w:sz="12" w:space="0"/>
              <w:bottom w:val="single" w:color="auto" w:sz="12" w:space="0"/>
              <w:right w:val="single" w:color="auto" w:sz="4" w:space="0"/>
            </w:tcBorders>
            <w:shd w:val="clear" w:color="auto" w:fill="auto"/>
            <w:tcMar>
              <w:top w:w="120" w:type="dxa"/>
              <w:left w:w="120" w:type="dxa"/>
              <w:bottom w:w="120" w:type="dxa"/>
              <w:right w:w="120" w:type="dxa"/>
            </w:tcMar>
            <w:vAlign w:val="center"/>
          </w:tcPr>
          <w:p w14:paraId="580BA6D9">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303" w:type="dxa"/>
            <w:tcBorders>
              <w:top w:val="single" w:color="auto" w:sz="4" w:space="0"/>
              <w:left w:val="single" w:color="auto" w:sz="4" w:space="0"/>
              <w:bottom w:val="single" w:color="auto" w:sz="12" w:space="0"/>
              <w:right w:val="single" w:color="auto" w:sz="4" w:space="0"/>
            </w:tcBorders>
            <w:shd w:val="clear" w:color="auto" w:fill="auto"/>
            <w:tcMar>
              <w:top w:w="120" w:type="dxa"/>
              <w:left w:w="120" w:type="dxa"/>
              <w:bottom w:w="120" w:type="dxa"/>
              <w:right w:w="120" w:type="dxa"/>
            </w:tcMar>
            <w:vAlign w:val="center"/>
          </w:tcPr>
          <w:p w14:paraId="520CC446">
            <w:pPr>
              <w:widowControl/>
              <w:spacing w:line="360" w:lineRule="auto"/>
              <w:contextualSpacing/>
              <w:jc w:val="center"/>
              <w:rPr>
                <w:rFonts w:ascii="宋体" w:hAnsi="宋体" w:cs="宋体"/>
                <w:color w:val="auto"/>
                <w:kern w:val="0"/>
                <w:sz w:val="24"/>
                <w:highlight w:val="none"/>
              </w:rPr>
            </w:pPr>
          </w:p>
        </w:tc>
        <w:tc>
          <w:tcPr>
            <w:tcW w:w="1345" w:type="dxa"/>
            <w:tcBorders>
              <w:top w:val="single" w:color="auto" w:sz="4" w:space="0"/>
              <w:left w:val="single" w:color="auto" w:sz="4" w:space="0"/>
              <w:bottom w:val="single" w:color="auto" w:sz="12" w:space="0"/>
              <w:right w:val="single" w:color="auto" w:sz="4" w:space="0"/>
            </w:tcBorders>
            <w:shd w:val="clear" w:color="auto" w:fill="auto"/>
            <w:tcMar>
              <w:top w:w="120" w:type="dxa"/>
              <w:left w:w="120" w:type="dxa"/>
              <w:bottom w:w="120" w:type="dxa"/>
              <w:right w:w="120" w:type="dxa"/>
            </w:tcMar>
            <w:vAlign w:val="center"/>
          </w:tcPr>
          <w:p w14:paraId="4ED28B6B">
            <w:pPr>
              <w:widowControl/>
              <w:spacing w:line="360" w:lineRule="auto"/>
              <w:contextualSpacing/>
              <w:jc w:val="center"/>
              <w:rPr>
                <w:rFonts w:ascii="宋体" w:hAnsi="宋体" w:cs="宋体"/>
                <w:color w:val="auto"/>
                <w:kern w:val="0"/>
                <w:sz w:val="24"/>
                <w:highlight w:val="none"/>
              </w:rPr>
            </w:pPr>
          </w:p>
        </w:tc>
        <w:tc>
          <w:tcPr>
            <w:tcW w:w="3974" w:type="dxa"/>
            <w:tcBorders>
              <w:top w:val="single" w:color="auto" w:sz="4" w:space="0"/>
              <w:left w:val="single" w:color="auto" w:sz="4" w:space="0"/>
              <w:bottom w:val="single" w:color="auto" w:sz="12" w:space="0"/>
              <w:right w:val="single" w:color="auto" w:sz="4" w:space="0"/>
            </w:tcBorders>
            <w:shd w:val="clear" w:color="auto" w:fill="auto"/>
            <w:tcMar>
              <w:top w:w="120" w:type="dxa"/>
              <w:left w:w="120" w:type="dxa"/>
              <w:bottom w:w="120" w:type="dxa"/>
              <w:right w:w="120" w:type="dxa"/>
            </w:tcMar>
            <w:vAlign w:val="center"/>
          </w:tcPr>
          <w:p w14:paraId="7E3B677A">
            <w:pPr>
              <w:widowControl/>
              <w:spacing w:line="360" w:lineRule="auto"/>
              <w:contextualSpacing/>
              <w:jc w:val="center"/>
              <w:rPr>
                <w:rFonts w:ascii="宋体" w:hAnsi="宋体" w:cs="宋体"/>
                <w:color w:val="auto"/>
                <w:kern w:val="0"/>
                <w:sz w:val="24"/>
                <w:highlight w:val="none"/>
              </w:rPr>
            </w:pPr>
          </w:p>
        </w:tc>
        <w:tc>
          <w:tcPr>
            <w:tcW w:w="867" w:type="dxa"/>
            <w:tcBorders>
              <w:top w:val="single" w:color="auto" w:sz="4" w:space="0"/>
              <w:left w:val="single" w:color="auto" w:sz="4" w:space="0"/>
              <w:bottom w:val="single" w:color="auto" w:sz="12" w:space="0"/>
              <w:right w:val="single" w:color="auto" w:sz="12" w:space="0"/>
            </w:tcBorders>
            <w:shd w:val="clear" w:color="auto" w:fill="auto"/>
            <w:tcMar>
              <w:top w:w="120" w:type="dxa"/>
              <w:left w:w="120" w:type="dxa"/>
              <w:bottom w:w="120" w:type="dxa"/>
              <w:right w:w="120" w:type="dxa"/>
            </w:tcMar>
            <w:vAlign w:val="center"/>
          </w:tcPr>
          <w:p w14:paraId="47FDAAD5">
            <w:pPr>
              <w:widowControl/>
              <w:spacing w:line="360" w:lineRule="auto"/>
              <w:contextualSpacing/>
              <w:jc w:val="center"/>
              <w:rPr>
                <w:rFonts w:ascii="宋体" w:hAnsi="宋体" w:cs="宋体"/>
                <w:color w:val="auto"/>
                <w:kern w:val="0"/>
                <w:sz w:val="24"/>
                <w:highlight w:val="none"/>
              </w:rPr>
            </w:pPr>
          </w:p>
        </w:tc>
      </w:tr>
    </w:tbl>
    <w:p w14:paraId="40A553A4">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w:t>
      </w:r>
    </w:p>
    <w:p w14:paraId="21867F97">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FD9827F">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16701649">
      <w:pPr>
        <w:spacing w:line="360" w:lineRule="auto"/>
        <w:ind w:firstLine="480" w:firstLineChars="200"/>
        <w:contextualSpacing/>
        <w:jc w:val="left"/>
        <w:rPr>
          <w:rFonts w:ascii="宋体" w:hAnsi="宋体" w:cs="宋体"/>
          <w:color w:val="auto"/>
          <w:sz w:val="28"/>
          <w:szCs w:val="28"/>
          <w:highlight w:val="none"/>
        </w:rPr>
      </w:pPr>
      <w:r>
        <w:rPr>
          <w:rFonts w:hint="eastAsia" w:ascii="宋体" w:hAnsi="宋体" w:cs="宋体"/>
          <w:color w:val="auto"/>
          <w:sz w:val="24"/>
          <w:highlight w:val="none"/>
        </w:rPr>
        <w:t>3.供应商不存在直接控股股东的，则在“直接控股股东名称”填“无”。</w:t>
      </w:r>
    </w:p>
    <w:p w14:paraId="6513A152">
      <w:pPr>
        <w:spacing w:line="480" w:lineRule="auto"/>
        <w:ind w:right="480"/>
        <w:contextualSpacing/>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3D20A679">
      <w:pPr>
        <w:spacing w:line="480" w:lineRule="auto"/>
        <w:ind w:right="480"/>
        <w:contextualSpacing/>
        <w:jc w:val="center"/>
        <w:rPr>
          <w:rFonts w:ascii="宋体" w:hAnsi="宋体" w:cs="宋体"/>
          <w:color w:val="auto"/>
          <w:sz w:val="24"/>
          <w:highlight w:val="none"/>
          <w:u w:val="single"/>
        </w:rPr>
      </w:pPr>
      <w:r>
        <w:rPr>
          <w:rFonts w:hint="eastAsia" w:ascii="宋体" w:hAnsi="宋体" w:cs="宋体"/>
          <w:color w:val="auto"/>
          <w:sz w:val="24"/>
          <w:highlight w:val="none"/>
        </w:rPr>
        <w:t xml:space="preserve"> 法定代表人或者委托代理人（签字或者盖章或者电子签名）：</w:t>
      </w:r>
      <w:r>
        <w:rPr>
          <w:rFonts w:hint="eastAsia" w:ascii="宋体" w:hAnsi="宋体" w:cs="宋体"/>
          <w:color w:val="auto"/>
          <w:sz w:val="24"/>
          <w:highlight w:val="none"/>
          <w:u w:val="single"/>
        </w:rPr>
        <w:t xml:space="preserve">      </w:t>
      </w:r>
    </w:p>
    <w:p w14:paraId="289F4813">
      <w:pPr>
        <w:spacing w:line="480" w:lineRule="auto"/>
        <w:ind w:right="480" w:firstLine="1200" w:firstLineChars="500"/>
        <w:contextualSpacing/>
        <w:rPr>
          <w:rFonts w:ascii="宋体" w:hAnsi="宋体" w:cs="宋体"/>
          <w:color w:val="auto"/>
          <w:sz w:val="24"/>
          <w:highlight w:val="none"/>
          <w:u w:val="single"/>
        </w:rPr>
      </w:pPr>
      <w:r>
        <w:rPr>
          <w:rFonts w:hint="eastAsia" w:ascii="宋体" w:hAnsi="宋体" w:cs="宋体"/>
          <w:color w:val="auto"/>
          <w:sz w:val="24"/>
          <w:highlight w:val="none"/>
        </w:rPr>
        <w:t xml:space="preserve">供应商（电子签章）： </w:t>
      </w:r>
      <w:r>
        <w:rPr>
          <w:rFonts w:hint="eastAsia" w:ascii="宋体" w:hAnsi="宋体" w:cs="宋体"/>
          <w:color w:val="auto"/>
          <w:sz w:val="24"/>
          <w:highlight w:val="none"/>
          <w:u w:val="single"/>
        </w:rPr>
        <w:t xml:space="preserve">                              </w:t>
      </w:r>
    </w:p>
    <w:p w14:paraId="019CCBC3">
      <w:pPr>
        <w:snapToGrid w:val="0"/>
        <w:ind w:firstLine="5520" w:firstLineChars="2300"/>
        <w:jc w:val="left"/>
        <w:rPr>
          <w:rFonts w:ascii="宋体" w:hAnsi="宋体" w:cs="宋体"/>
          <w:b/>
          <w:color w:val="auto"/>
          <w:sz w:val="28"/>
          <w:szCs w:val="28"/>
          <w:highlight w:val="none"/>
        </w:rPr>
      </w:pPr>
      <w:r>
        <w:rPr>
          <w:rFonts w:hint="eastAsia" w:ascii="宋体" w:hAnsi="宋体" w:cs="宋体"/>
          <w:color w:val="auto"/>
          <w:sz w:val="24"/>
          <w:highlight w:val="none"/>
        </w:rPr>
        <w:t>年    月    日</w:t>
      </w:r>
      <w:r>
        <w:rPr>
          <w:rFonts w:hint="eastAsia" w:ascii="宋体" w:hAnsi="宋体" w:cs="宋体"/>
          <w:b/>
          <w:color w:val="auto"/>
          <w:sz w:val="28"/>
          <w:szCs w:val="28"/>
          <w:highlight w:val="none"/>
        </w:rPr>
        <w:br w:type="page"/>
      </w:r>
    </w:p>
    <w:p w14:paraId="7741968F">
      <w:pPr>
        <w:rPr>
          <w:color w:val="auto"/>
          <w:highlight w:val="none"/>
        </w:rPr>
      </w:pPr>
    </w:p>
    <w:p w14:paraId="2A39D7EC">
      <w:pPr>
        <w:spacing w:line="320" w:lineRule="exact"/>
        <w:jc w:val="center"/>
        <w:rPr>
          <w:rFonts w:ascii="宋体" w:hAnsi="宋体" w:cs="宋体"/>
          <w:b/>
          <w:color w:val="auto"/>
          <w:sz w:val="32"/>
          <w:szCs w:val="32"/>
          <w:highlight w:val="none"/>
        </w:rPr>
      </w:pPr>
    </w:p>
    <w:p w14:paraId="081D5460">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供应商直接管理关系信息表</w:t>
      </w:r>
    </w:p>
    <w:p w14:paraId="683A9FF8">
      <w:pPr>
        <w:snapToGrid w:val="0"/>
        <w:spacing w:line="360" w:lineRule="auto"/>
        <w:jc w:val="center"/>
        <w:rPr>
          <w:rFonts w:ascii="宋体" w:hAnsi="宋体" w:cs="宋体"/>
          <w:b/>
          <w:color w:val="auto"/>
          <w:sz w:val="24"/>
          <w:highlight w:val="none"/>
        </w:rPr>
      </w:pPr>
    </w:p>
    <w:tbl>
      <w:tblPr>
        <w:tblStyle w:val="32"/>
        <w:tblW w:w="9104" w:type="dxa"/>
        <w:jc w:val="center"/>
        <w:shd w:val="clear" w:color="auto" w:fill="FBFBFB"/>
        <w:tblLayout w:type="fixed"/>
        <w:tblCellMar>
          <w:top w:w="0" w:type="dxa"/>
          <w:left w:w="0" w:type="dxa"/>
          <w:bottom w:w="0" w:type="dxa"/>
          <w:right w:w="0" w:type="dxa"/>
        </w:tblCellMar>
      </w:tblPr>
      <w:tblGrid>
        <w:gridCol w:w="795"/>
        <w:gridCol w:w="3543"/>
        <w:gridCol w:w="3499"/>
        <w:gridCol w:w="1267"/>
      </w:tblGrid>
      <w:tr w14:paraId="5E188C4E">
        <w:tblPrEx>
          <w:shd w:val="clear" w:color="auto" w:fill="FBFBFB"/>
          <w:tblCellMar>
            <w:top w:w="0" w:type="dxa"/>
            <w:left w:w="0" w:type="dxa"/>
            <w:bottom w:w="0" w:type="dxa"/>
            <w:right w:w="0" w:type="dxa"/>
          </w:tblCellMar>
        </w:tblPrEx>
        <w:trPr>
          <w:trHeight w:val="1094" w:hRule="atLeast"/>
          <w:tblHeader/>
          <w:jc w:val="center"/>
        </w:trPr>
        <w:tc>
          <w:tcPr>
            <w:tcW w:w="795" w:type="dxa"/>
            <w:tcBorders>
              <w:top w:val="single" w:color="auto" w:sz="12" w:space="0"/>
              <w:left w:val="single" w:color="auto" w:sz="12"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17D6AB">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543" w:type="dxa"/>
            <w:tcBorders>
              <w:top w:val="single" w:color="auto" w:sz="12"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9933557">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499" w:type="dxa"/>
            <w:tcBorders>
              <w:top w:val="single" w:color="auto" w:sz="12"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720E92">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267" w:type="dxa"/>
            <w:tcBorders>
              <w:top w:val="single" w:color="auto" w:sz="12" w:space="0"/>
              <w:left w:val="single" w:color="auto" w:sz="4" w:space="0"/>
              <w:bottom w:val="single" w:color="auto" w:sz="4" w:space="0"/>
              <w:right w:val="single" w:color="auto" w:sz="12" w:space="0"/>
            </w:tcBorders>
            <w:shd w:val="clear" w:color="auto" w:fill="auto"/>
            <w:tcMar>
              <w:top w:w="120" w:type="dxa"/>
              <w:left w:w="120" w:type="dxa"/>
              <w:bottom w:w="120" w:type="dxa"/>
              <w:right w:w="120" w:type="dxa"/>
            </w:tcMar>
            <w:vAlign w:val="center"/>
          </w:tcPr>
          <w:p w14:paraId="25A5A0DA">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22F1851B">
        <w:tblPrEx>
          <w:shd w:val="clear" w:color="auto" w:fill="FBFBFB"/>
          <w:tblCellMar>
            <w:top w:w="0" w:type="dxa"/>
            <w:left w:w="0" w:type="dxa"/>
            <w:bottom w:w="0" w:type="dxa"/>
            <w:right w:w="0" w:type="dxa"/>
          </w:tblCellMar>
        </w:tblPrEx>
        <w:trPr>
          <w:trHeight w:val="1094" w:hRule="atLeast"/>
          <w:jc w:val="center"/>
        </w:trPr>
        <w:tc>
          <w:tcPr>
            <w:tcW w:w="795" w:type="dxa"/>
            <w:tcBorders>
              <w:top w:val="single" w:color="auto" w:sz="4" w:space="0"/>
              <w:left w:val="single" w:color="auto" w:sz="12"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CB869E">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54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F84606">
            <w:pPr>
              <w:widowControl/>
              <w:spacing w:line="360" w:lineRule="auto"/>
              <w:contextualSpacing/>
              <w:jc w:val="center"/>
              <w:rPr>
                <w:rFonts w:ascii="宋体" w:hAnsi="宋体" w:cs="宋体"/>
                <w:color w:val="auto"/>
                <w:kern w:val="0"/>
                <w:sz w:val="24"/>
                <w:highlight w:val="none"/>
              </w:rPr>
            </w:pPr>
          </w:p>
        </w:tc>
        <w:tc>
          <w:tcPr>
            <w:tcW w:w="349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A319F1">
            <w:pPr>
              <w:widowControl/>
              <w:spacing w:line="360" w:lineRule="auto"/>
              <w:contextualSpacing/>
              <w:jc w:val="center"/>
              <w:rPr>
                <w:rFonts w:ascii="宋体" w:hAnsi="宋体" w:cs="宋体"/>
                <w:color w:val="auto"/>
                <w:kern w:val="0"/>
                <w:sz w:val="24"/>
                <w:highlight w:val="none"/>
              </w:rPr>
            </w:pPr>
          </w:p>
        </w:tc>
        <w:tc>
          <w:tcPr>
            <w:tcW w:w="1267" w:type="dxa"/>
            <w:tcBorders>
              <w:top w:val="single" w:color="auto" w:sz="4" w:space="0"/>
              <w:left w:val="single" w:color="auto" w:sz="4" w:space="0"/>
              <w:bottom w:val="single" w:color="auto" w:sz="4" w:space="0"/>
              <w:right w:val="single" w:color="auto" w:sz="12" w:space="0"/>
            </w:tcBorders>
            <w:shd w:val="clear" w:color="auto" w:fill="auto"/>
            <w:tcMar>
              <w:top w:w="120" w:type="dxa"/>
              <w:left w:w="120" w:type="dxa"/>
              <w:bottom w:w="120" w:type="dxa"/>
              <w:right w:w="120" w:type="dxa"/>
            </w:tcMar>
            <w:vAlign w:val="center"/>
          </w:tcPr>
          <w:p w14:paraId="4F26EA26">
            <w:pPr>
              <w:widowControl/>
              <w:spacing w:line="360" w:lineRule="auto"/>
              <w:contextualSpacing/>
              <w:jc w:val="center"/>
              <w:rPr>
                <w:rFonts w:ascii="宋体" w:hAnsi="宋体" w:cs="宋体"/>
                <w:color w:val="auto"/>
                <w:kern w:val="0"/>
                <w:sz w:val="24"/>
                <w:highlight w:val="none"/>
              </w:rPr>
            </w:pPr>
          </w:p>
        </w:tc>
      </w:tr>
      <w:tr w14:paraId="089D776E">
        <w:tblPrEx>
          <w:shd w:val="clear" w:color="auto" w:fill="FBFBFB"/>
          <w:tblCellMar>
            <w:top w:w="0" w:type="dxa"/>
            <w:left w:w="0" w:type="dxa"/>
            <w:bottom w:w="0" w:type="dxa"/>
            <w:right w:w="0" w:type="dxa"/>
          </w:tblCellMar>
        </w:tblPrEx>
        <w:trPr>
          <w:trHeight w:val="1094" w:hRule="atLeast"/>
          <w:jc w:val="center"/>
        </w:trPr>
        <w:tc>
          <w:tcPr>
            <w:tcW w:w="795" w:type="dxa"/>
            <w:tcBorders>
              <w:top w:val="single" w:color="auto" w:sz="4" w:space="0"/>
              <w:left w:val="single" w:color="auto" w:sz="12"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8C135C">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54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6CF6CE3">
            <w:pPr>
              <w:widowControl/>
              <w:spacing w:line="360" w:lineRule="auto"/>
              <w:contextualSpacing/>
              <w:jc w:val="center"/>
              <w:rPr>
                <w:rFonts w:ascii="宋体" w:hAnsi="宋体" w:cs="宋体"/>
                <w:color w:val="auto"/>
                <w:kern w:val="0"/>
                <w:sz w:val="24"/>
                <w:highlight w:val="none"/>
              </w:rPr>
            </w:pPr>
          </w:p>
        </w:tc>
        <w:tc>
          <w:tcPr>
            <w:tcW w:w="349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9130B5">
            <w:pPr>
              <w:widowControl/>
              <w:spacing w:line="360" w:lineRule="auto"/>
              <w:contextualSpacing/>
              <w:jc w:val="center"/>
              <w:rPr>
                <w:rFonts w:ascii="宋体" w:hAnsi="宋体" w:cs="宋体"/>
                <w:color w:val="auto"/>
                <w:kern w:val="0"/>
                <w:sz w:val="24"/>
                <w:highlight w:val="none"/>
              </w:rPr>
            </w:pPr>
          </w:p>
        </w:tc>
        <w:tc>
          <w:tcPr>
            <w:tcW w:w="1267" w:type="dxa"/>
            <w:tcBorders>
              <w:top w:val="single" w:color="auto" w:sz="4" w:space="0"/>
              <w:left w:val="single" w:color="auto" w:sz="4" w:space="0"/>
              <w:bottom w:val="single" w:color="auto" w:sz="4" w:space="0"/>
              <w:right w:val="single" w:color="auto" w:sz="12" w:space="0"/>
            </w:tcBorders>
            <w:shd w:val="clear" w:color="auto" w:fill="auto"/>
            <w:tcMar>
              <w:top w:w="120" w:type="dxa"/>
              <w:left w:w="120" w:type="dxa"/>
              <w:bottom w:w="120" w:type="dxa"/>
              <w:right w:w="120" w:type="dxa"/>
            </w:tcMar>
            <w:vAlign w:val="center"/>
          </w:tcPr>
          <w:p w14:paraId="63066D56">
            <w:pPr>
              <w:widowControl/>
              <w:spacing w:line="360" w:lineRule="auto"/>
              <w:contextualSpacing/>
              <w:jc w:val="center"/>
              <w:rPr>
                <w:rFonts w:ascii="宋体" w:hAnsi="宋体" w:cs="宋体"/>
                <w:color w:val="auto"/>
                <w:kern w:val="0"/>
                <w:sz w:val="24"/>
                <w:highlight w:val="none"/>
              </w:rPr>
            </w:pPr>
          </w:p>
        </w:tc>
      </w:tr>
      <w:tr w14:paraId="13445FD1">
        <w:tblPrEx>
          <w:tblCellMar>
            <w:top w:w="0" w:type="dxa"/>
            <w:left w:w="0" w:type="dxa"/>
            <w:bottom w:w="0" w:type="dxa"/>
            <w:right w:w="0" w:type="dxa"/>
          </w:tblCellMar>
        </w:tblPrEx>
        <w:trPr>
          <w:trHeight w:val="1094" w:hRule="atLeast"/>
          <w:jc w:val="center"/>
        </w:trPr>
        <w:tc>
          <w:tcPr>
            <w:tcW w:w="795" w:type="dxa"/>
            <w:tcBorders>
              <w:top w:val="single" w:color="auto" w:sz="4" w:space="0"/>
              <w:left w:val="single" w:color="auto" w:sz="12"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FB5BC1">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54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FBB5B6">
            <w:pPr>
              <w:widowControl/>
              <w:spacing w:line="360" w:lineRule="auto"/>
              <w:contextualSpacing/>
              <w:jc w:val="center"/>
              <w:rPr>
                <w:rFonts w:ascii="宋体" w:hAnsi="宋体" w:cs="宋体"/>
                <w:color w:val="auto"/>
                <w:kern w:val="0"/>
                <w:sz w:val="24"/>
                <w:highlight w:val="none"/>
              </w:rPr>
            </w:pPr>
          </w:p>
        </w:tc>
        <w:tc>
          <w:tcPr>
            <w:tcW w:w="349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76BC3F">
            <w:pPr>
              <w:widowControl/>
              <w:spacing w:line="360" w:lineRule="auto"/>
              <w:contextualSpacing/>
              <w:jc w:val="center"/>
              <w:rPr>
                <w:rFonts w:ascii="宋体" w:hAnsi="宋体" w:cs="宋体"/>
                <w:color w:val="auto"/>
                <w:kern w:val="0"/>
                <w:sz w:val="24"/>
                <w:highlight w:val="none"/>
              </w:rPr>
            </w:pPr>
          </w:p>
        </w:tc>
        <w:tc>
          <w:tcPr>
            <w:tcW w:w="1267" w:type="dxa"/>
            <w:tcBorders>
              <w:top w:val="single" w:color="auto" w:sz="4" w:space="0"/>
              <w:left w:val="single" w:color="auto" w:sz="4" w:space="0"/>
              <w:bottom w:val="single" w:color="auto" w:sz="4" w:space="0"/>
              <w:right w:val="single" w:color="auto" w:sz="12" w:space="0"/>
            </w:tcBorders>
            <w:shd w:val="clear" w:color="auto" w:fill="auto"/>
            <w:tcMar>
              <w:top w:w="120" w:type="dxa"/>
              <w:left w:w="120" w:type="dxa"/>
              <w:bottom w:w="120" w:type="dxa"/>
              <w:right w:w="120" w:type="dxa"/>
            </w:tcMar>
            <w:vAlign w:val="center"/>
          </w:tcPr>
          <w:p w14:paraId="4120680C">
            <w:pPr>
              <w:widowControl/>
              <w:spacing w:line="360" w:lineRule="auto"/>
              <w:contextualSpacing/>
              <w:jc w:val="center"/>
              <w:rPr>
                <w:rFonts w:ascii="宋体" w:hAnsi="宋体" w:cs="宋体"/>
                <w:color w:val="auto"/>
                <w:kern w:val="0"/>
                <w:sz w:val="24"/>
                <w:highlight w:val="none"/>
              </w:rPr>
            </w:pPr>
          </w:p>
        </w:tc>
      </w:tr>
      <w:tr w14:paraId="019B4043">
        <w:tblPrEx>
          <w:shd w:val="clear" w:color="auto" w:fill="FBFBFB"/>
          <w:tblCellMar>
            <w:top w:w="0" w:type="dxa"/>
            <w:left w:w="0" w:type="dxa"/>
            <w:bottom w:w="0" w:type="dxa"/>
            <w:right w:w="0" w:type="dxa"/>
          </w:tblCellMar>
        </w:tblPrEx>
        <w:trPr>
          <w:trHeight w:val="1110" w:hRule="atLeast"/>
          <w:jc w:val="center"/>
        </w:trPr>
        <w:tc>
          <w:tcPr>
            <w:tcW w:w="795" w:type="dxa"/>
            <w:tcBorders>
              <w:top w:val="single" w:color="auto" w:sz="4" w:space="0"/>
              <w:left w:val="single" w:color="auto" w:sz="12" w:space="0"/>
              <w:bottom w:val="single" w:color="auto" w:sz="12" w:space="0"/>
              <w:right w:val="single" w:color="auto" w:sz="4" w:space="0"/>
            </w:tcBorders>
            <w:shd w:val="clear" w:color="auto" w:fill="auto"/>
            <w:tcMar>
              <w:top w:w="120" w:type="dxa"/>
              <w:left w:w="120" w:type="dxa"/>
              <w:bottom w:w="120" w:type="dxa"/>
              <w:right w:w="120" w:type="dxa"/>
            </w:tcMar>
            <w:vAlign w:val="center"/>
          </w:tcPr>
          <w:p w14:paraId="411C8508">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543" w:type="dxa"/>
            <w:tcBorders>
              <w:top w:val="single" w:color="auto" w:sz="4" w:space="0"/>
              <w:left w:val="single" w:color="auto" w:sz="4" w:space="0"/>
              <w:bottom w:val="single" w:color="auto" w:sz="12" w:space="0"/>
              <w:right w:val="single" w:color="auto" w:sz="4" w:space="0"/>
            </w:tcBorders>
            <w:shd w:val="clear" w:color="auto" w:fill="auto"/>
            <w:tcMar>
              <w:top w:w="120" w:type="dxa"/>
              <w:left w:w="120" w:type="dxa"/>
              <w:bottom w:w="120" w:type="dxa"/>
              <w:right w:w="120" w:type="dxa"/>
            </w:tcMar>
            <w:vAlign w:val="center"/>
          </w:tcPr>
          <w:p w14:paraId="7E284EE8">
            <w:pPr>
              <w:widowControl/>
              <w:spacing w:line="360" w:lineRule="auto"/>
              <w:contextualSpacing/>
              <w:jc w:val="center"/>
              <w:rPr>
                <w:rFonts w:ascii="宋体" w:hAnsi="宋体" w:cs="宋体"/>
                <w:color w:val="auto"/>
                <w:kern w:val="0"/>
                <w:sz w:val="24"/>
                <w:highlight w:val="none"/>
              </w:rPr>
            </w:pPr>
          </w:p>
        </w:tc>
        <w:tc>
          <w:tcPr>
            <w:tcW w:w="3499" w:type="dxa"/>
            <w:tcBorders>
              <w:top w:val="single" w:color="auto" w:sz="4" w:space="0"/>
              <w:left w:val="single" w:color="auto" w:sz="4" w:space="0"/>
              <w:bottom w:val="single" w:color="auto" w:sz="12" w:space="0"/>
              <w:right w:val="single" w:color="auto" w:sz="4" w:space="0"/>
            </w:tcBorders>
            <w:shd w:val="clear" w:color="auto" w:fill="auto"/>
            <w:tcMar>
              <w:top w:w="120" w:type="dxa"/>
              <w:left w:w="120" w:type="dxa"/>
              <w:bottom w:w="120" w:type="dxa"/>
              <w:right w:w="120" w:type="dxa"/>
            </w:tcMar>
            <w:vAlign w:val="center"/>
          </w:tcPr>
          <w:p w14:paraId="6B6813AA">
            <w:pPr>
              <w:widowControl/>
              <w:spacing w:line="360" w:lineRule="auto"/>
              <w:contextualSpacing/>
              <w:jc w:val="center"/>
              <w:rPr>
                <w:rFonts w:ascii="宋体" w:hAnsi="宋体" w:cs="宋体"/>
                <w:color w:val="auto"/>
                <w:kern w:val="0"/>
                <w:sz w:val="24"/>
                <w:highlight w:val="none"/>
              </w:rPr>
            </w:pPr>
          </w:p>
        </w:tc>
        <w:tc>
          <w:tcPr>
            <w:tcW w:w="1267" w:type="dxa"/>
            <w:tcBorders>
              <w:top w:val="single" w:color="auto" w:sz="4" w:space="0"/>
              <w:left w:val="single" w:color="auto" w:sz="4" w:space="0"/>
              <w:bottom w:val="single" w:color="auto" w:sz="12" w:space="0"/>
              <w:right w:val="single" w:color="auto" w:sz="12" w:space="0"/>
            </w:tcBorders>
            <w:shd w:val="clear" w:color="auto" w:fill="auto"/>
            <w:tcMar>
              <w:top w:w="120" w:type="dxa"/>
              <w:left w:w="120" w:type="dxa"/>
              <w:bottom w:w="120" w:type="dxa"/>
              <w:right w:w="120" w:type="dxa"/>
            </w:tcMar>
            <w:vAlign w:val="center"/>
          </w:tcPr>
          <w:p w14:paraId="12C7447E">
            <w:pPr>
              <w:widowControl/>
              <w:spacing w:line="360" w:lineRule="auto"/>
              <w:contextualSpacing/>
              <w:jc w:val="center"/>
              <w:rPr>
                <w:rFonts w:ascii="宋体" w:hAnsi="宋体" w:cs="宋体"/>
                <w:color w:val="auto"/>
                <w:kern w:val="0"/>
                <w:sz w:val="24"/>
                <w:highlight w:val="none"/>
              </w:rPr>
            </w:pPr>
          </w:p>
        </w:tc>
      </w:tr>
    </w:tbl>
    <w:p w14:paraId="3BFCFD71">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w:t>
      </w:r>
    </w:p>
    <w:p w14:paraId="7393AD3E">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036A1CFC">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18E6B3F6">
      <w:pPr>
        <w:spacing w:line="360" w:lineRule="auto"/>
        <w:ind w:firstLine="480" w:firstLineChars="200"/>
        <w:contextualSpacing/>
        <w:jc w:val="left"/>
        <w:rPr>
          <w:rFonts w:ascii="宋体" w:hAnsi="宋体" w:cs="宋体"/>
          <w:color w:val="auto"/>
          <w:sz w:val="28"/>
          <w:szCs w:val="28"/>
          <w:highlight w:val="none"/>
        </w:rPr>
      </w:pPr>
      <w:r>
        <w:rPr>
          <w:rFonts w:hint="eastAsia" w:ascii="宋体" w:hAnsi="宋体" w:cs="宋体"/>
          <w:color w:val="auto"/>
          <w:sz w:val="24"/>
          <w:highlight w:val="none"/>
        </w:rPr>
        <w:t>3.供应商不存在直接管理关系的，则在“直接管理关系单位名称”填“无”。</w:t>
      </w:r>
    </w:p>
    <w:p w14:paraId="6592919F">
      <w:pPr>
        <w:spacing w:line="360" w:lineRule="auto"/>
        <w:contextualSpacing/>
        <w:jc w:val="left"/>
        <w:rPr>
          <w:rFonts w:ascii="宋体" w:hAnsi="宋体" w:cs="宋体"/>
          <w:color w:val="auto"/>
          <w:sz w:val="28"/>
          <w:szCs w:val="28"/>
          <w:highlight w:val="none"/>
        </w:rPr>
      </w:pPr>
    </w:p>
    <w:p w14:paraId="42E975E0">
      <w:pPr>
        <w:spacing w:line="480" w:lineRule="auto"/>
        <w:ind w:right="480"/>
        <w:contextualSpacing/>
        <w:jc w:val="center"/>
        <w:rPr>
          <w:rFonts w:ascii="宋体" w:hAnsi="宋体" w:cs="宋体"/>
          <w:color w:val="auto"/>
          <w:sz w:val="24"/>
          <w:highlight w:val="none"/>
          <w:u w:val="single"/>
        </w:rPr>
      </w:pPr>
      <w:r>
        <w:rPr>
          <w:rFonts w:hint="eastAsia" w:ascii="宋体" w:hAnsi="宋体" w:cs="宋体"/>
          <w:color w:val="auto"/>
          <w:sz w:val="24"/>
          <w:highlight w:val="none"/>
        </w:rPr>
        <w:t xml:space="preserve">               法定代表人或者委托代理人（签字或者盖章或者电子签名）：   </w:t>
      </w:r>
    </w:p>
    <w:p w14:paraId="115BE88C">
      <w:pPr>
        <w:spacing w:line="480" w:lineRule="auto"/>
        <w:ind w:right="480" w:firstLine="1920" w:firstLineChars="800"/>
        <w:contextualSpacing/>
        <w:rPr>
          <w:rFonts w:ascii="宋体" w:hAnsi="宋体" w:cs="宋体"/>
          <w:color w:val="auto"/>
          <w:sz w:val="24"/>
          <w:highlight w:val="none"/>
          <w:u w:val="single"/>
        </w:rPr>
      </w:pPr>
      <w:r>
        <w:rPr>
          <w:rFonts w:hint="eastAsia" w:ascii="宋体" w:hAnsi="宋体" w:cs="宋体"/>
          <w:color w:val="auto"/>
          <w:sz w:val="24"/>
          <w:highlight w:val="none"/>
        </w:rPr>
        <w:t xml:space="preserve">供应商（电子签章）： </w:t>
      </w:r>
      <w:r>
        <w:rPr>
          <w:rFonts w:hint="eastAsia" w:ascii="宋体" w:hAnsi="宋体" w:cs="宋体"/>
          <w:color w:val="auto"/>
          <w:sz w:val="24"/>
          <w:highlight w:val="none"/>
          <w:u w:val="single"/>
        </w:rPr>
        <w:t xml:space="preserve">                              </w:t>
      </w:r>
    </w:p>
    <w:p w14:paraId="0DF4F1FE">
      <w:pPr>
        <w:spacing w:line="480" w:lineRule="auto"/>
        <w:ind w:firstLine="480" w:firstLineChars="200"/>
        <w:contextualSpacing/>
        <w:jc w:val="center"/>
        <w:rPr>
          <w:rFonts w:ascii="宋体" w:hAnsi="宋体" w:cs="宋体"/>
          <w:color w:val="auto"/>
          <w:sz w:val="28"/>
          <w:szCs w:val="28"/>
          <w:highlight w:val="none"/>
        </w:rPr>
      </w:pPr>
      <w:r>
        <w:rPr>
          <w:rFonts w:hint="eastAsia" w:ascii="宋体" w:hAnsi="宋体" w:cs="宋体"/>
          <w:color w:val="auto"/>
          <w:sz w:val="24"/>
          <w:highlight w:val="none"/>
        </w:rPr>
        <w:t>年    月    日</w:t>
      </w:r>
    </w:p>
    <w:p w14:paraId="08F45A6B">
      <w:pPr>
        <w:spacing w:line="320" w:lineRule="exact"/>
        <w:rPr>
          <w:rFonts w:ascii="宋体" w:hAnsi="宋体" w:cs="宋体"/>
          <w:color w:val="auto"/>
          <w:sz w:val="28"/>
          <w:szCs w:val="28"/>
          <w:highlight w:val="none"/>
        </w:rPr>
      </w:pPr>
      <w:r>
        <w:rPr>
          <w:rFonts w:hint="eastAsia" w:ascii="宋体" w:hAnsi="宋体" w:cs="宋体"/>
          <w:color w:val="auto"/>
          <w:sz w:val="28"/>
          <w:szCs w:val="28"/>
          <w:highlight w:val="none"/>
        </w:rPr>
        <w:br w:type="page"/>
      </w:r>
    </w:p>
    <w:p w14:paraId="213D76BE">
      <w:pPr>
        <w:spacing w:line="320" w:lineRule="exact"/>
        <w:jc w:val="center"/>
        <w:rPr>
          <w:rFonts w:ascii="宋体" w:hAnsi="宋体" w:cs="宋体"/>
          <w:b/>
          <w:color w:val="auto"/>
          <w:sz w:val="32"/>
          <w:szCs w:val="32"/>
          <w:highlight w:val="none"/>
        </w:rPr>
      </w:pPr>
    </w:p>
    <w:p w14:paraId="4E010F85">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竞标声明</w:t>
      </w:r>
    </w:p>
    <w:p w14:paraId="19BD3982">
      <w:pPr>
        <w:spacing w:line="320" w:lineRule="exact"/>
        <w:jc w:val="center"/>
        <w:rPr>
          <w:rFonts w:ascii="宋体" w:hAnsi="宋体" w:cs="宋体"/>
          <w:color w:val="auto"/>
          <w:sz w:val="24"/>
          <w:szCs w:val="20"/>
          <w:highlight w:val="none"/>
        </w:rPr>
      </w:pPr>
    </w:p>
    <w:p w14:paraId="0B54020D">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30DF6DB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67FBEE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 xml:space="preserve">（项目名称）    </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6DCC303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4D63591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2.我方不是为本次采购项目提供整体设计、规范编制或者项目管理、监理、检测等服务的供应商。</w:t>
      </w:r>
    </w:p>
    <w:p w14:paraId="775DCBC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645E836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18E2F92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567E247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404AB3E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0CE3FB9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21366C9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FF106A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1C98B25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8FEC1F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064256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CFCBAB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7694ACF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0BC646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1665D4F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5BA7A4A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96478DA">
      <w:pPr>
        <w:pStyle w:val="18"/>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2E7D2966">
      <w:pPr>
        <w:pStyle w:val="18"/>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电子邮箱：</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12A9FE9B">
      <w:pPr>
        <w:pStyle w:val="16"/>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账号：</w:t>
      </w:r>
      <w:r>
        <w:rPr>
          <w:rFonts w:hint="eastAsia" w:ascii="宋体" w:hAnsi="宋体" w:cs="宋体"/>
          <w:color w:val="auto"/>
          <w:sz w:val="24"/>
          <w:highlight w:val="none"/>
          <w:u w:val="single"/>
        </w:rPr>
        <w:t xml:space="preserve">                               </w:t>
      </w:r>
    </w:p>
    <w:p w14:paraId="1E993DE7">
      <w:pPr>
        <w:pStyle w:val="16"/>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77E8863B">
      <w:pPr>
        <w:pStyle w:val="16"/>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2E7271EE">
      <w:pPr>
        <w:pStyle w:val="16"/>
        <w:tabs>
          <w:tab w:val="left" w:pos="939"/>
        </w:tabs>
        <w:spacing w:line="360" w:lineRule="auto"/>
        <w:ind w:left="141" w:leftChars="67" w:firstLine="360" w:firstLineChars="150"/>
        <w:rPr>
          <w:rFonts w:ascii="宋体" w:hAnsi="宋体" w:cs="宋体"/>
          <w:color w:val="auto"/>
          <w:sz w:val="24"/>
          <w:highlight w:val="none"/>
        </w:rPr>
      </w:pPr>
    </w:p>
    <w:p w14:paraId="778991E5">
      <w:pPr>
        <w:spacing w:line="360" w:lineRule="auto"/>
        <w:contextualSpacing/>
        <w:jc w:val="left"/>
        <w:rPr>
          <w:rFonts w:ascii="宋体" w:hAnsi="宋体" w:cs="宋体"/>
          <w:b/>
          <w:color w:val="auto"/>
          <w:sz w:val="24"/>
          <w:highlight w:val="none"/>
        </w:rPr>
      </w:pPr>
      <w:r>
        <w:rPr>
          <w:rFonts w:hint="eastAsia" w:ascii="宋体" w:hAnsi="宋体" w:cs="宋体"/>
          <w:b/>
          <w:color w:val="auto"/>
          <w:sz w:val="24"/>
          <w:highlight w:val="none"/>
        </w:rPr>
        <w:t>注：如为联合体竞标，盖章处须加盖联合体牵头人电子签章并由联合体牵头人法定代表人分别签字或者盖章或者电子签名，否则响应文件按无效处理。</w:t>
      </w:r>
    </w:p>
    <w:p w14:paraId="73AF079B">
      <w:pPr>
        <w:spacing w:line="360" w:lineRule="auto"/>
        <w:contextualSpacing/>
        <w:jc w:val="left"/>
        <w:rPr>
          <w:rFonts w:ascii="宋体" w:hAnsi="宋体" w:cs="宋体"/>
          <w:color w:val="auto"/>
          <w:szCs w:val="21"/>
          <w:highlight w:val="none"/>
        </w:rPr>
      </w:pPr>
    </w:p>
    <w:p w14:paraId="1CC3CA9C">
      <w:pPr>
        <w:spacing w:line="360" w:lineRule="auto"/>
        <w:contextualSpacing/>
        <w:jc w:val="left"/>
        <w:rPr>
          <w:rFonts w:ascii="宋体" w:hAnsi="宋体" w:cs="宋体"/>
          <w:color w:val="auto"/>
          <w:szCs w:val="21"/>
          <w:highlight w:val="none"/>
        </w:rPr>
      </w:pPr>
    </w:p>
    <w:p w14:paraId="1E407B8B">
      <w:pPr>
        <w:spacing w:line="480" w:lineRule="auto"/>
        <w:ind w:right="480"/>
        <w:contextualSpacing/>
        <w:jc w:val="center"/>
        <w:rPr>
          <w:rFonts w:ascii="宋体" w:hAnsi="宋体" w:cs="宋体"/>
          <w:color w:val="auto"/>
          <w:sz w:val="24"/>
          <w:highlight w:val="none"/>
          <w:u w:val="single"/>
        </w:rPr>
      </w:pPr>
      <w:r>
        <w:rPr>
          <w:rFonts w:hint="eastAsia" w:ascii="宋体" w:hAnsi="宋体" w:cs="宋体"/>
          <w:color w:val="auto"/>
          <w:sz w:val="24"/>
          <w:highlight w:val="none"/>
        </w:rPr>
        <w:t xml:space="preserve">    法定代表人或者委托代理人（签字或者盖章或者电子签名）：</w:t>
      </w:r>
      <w:r>
        <w:rPr>
          <w:rFonts w:hint="eastAsia" w:ascii="宋体" w:hAnsi="宋体" w:cs="宋体"/>
          <w:color w:val="auto"/>
          <w:sz w:val="24"/>
          <w:highlight w:val="none"/>
          <w:u w:val="single"/>
        </w:rPr>
        <w:t xml:space="preserve">      </w:t>
      </w:r>
    </w:p>
    <w:p w14:paraId="2AD0582B">
      <w:pPr>
        <w:spacing w:line="480" w:lineRule="auto"/>
        <w:ind w:right="480" w:firstLine="1680" w:firstLineChars="700"/>
        <w:contextualSpacing/>
        <w:rPr>
          <w:rFonts w:ascii="宋体" w:hAnsi="宋体" w:cs="宋体"/>
          <w:color w:val="auto"/>
          <w:sz w:val="24"/>
          <w:highlight w:val="none"/>
          <w:u w:val="single"/>
        </w:rPr>
      </w:pPr>
      <w:r>
        <w:rPr>
          <w:rFonts w:hint="eastAsia" w:ascii="宋体" w:hAnsi="宋体" w:cs="宋体"/>
          <w:color w:val="auto"/>
          <w:sz w:val="24"/>
          <w:highlight w:val="none"/>
        </w:rPr>
        <w:t xml:space="preserve">供应商（电子签章）： </w:t>
      </w:r>
      <w:r>
        <w:rPr>
          <w:rFonts w:hint="eastAsia" w:ascii="宋体" w:hAnsi="宋体" w:cs="宋体"/>
          <w:color w:val="auto"/>
          <w:sz w:val="24"/>
          <w:highlight w:val="none"/>
          <w:u w:val="single"/>
        </w:rPr>
        <w:t xml:space="preserve">                              </w:t>
      </w:r>
    </w:p>
    <w:p w14:paraId="15D326D7">
      <w:pPr>
        <w:spacing w:line="480" w:lineRule="auto"/>
        <w:ind w:firstLine="480" w:firstLineChars="200"/>
        <w:contextualSpacing/>
        <w:jc w:val="center"/>
        <w:rPr>
          <w:rFonts w:ascii="宋体" w:hAnsi="宋体" w:cs="宋体"/>
          <w:color w:val="auto"/>
          <w:sz w:val="24"/>
          <w:highlight w:val="none"/>
        </w:rPr>
      </w:pPr>
      <w:r>
        <w:rPr>
          <w:rFonts w:hint="eastAsia" w:ascii="宋体" w:hAnsi="宋体" w:cs="宋体"/>
          <w:color w:val="auto"/>
          <w:sz w:val="24"/>
          <w:highlight w:val="none"/>
        </w:rPr>
        <w:t>年    月    日</w:t>
      </w:r>
    </w:p>
    <w:p w14:paraId="6085C8F1">
      <w:pPr>
        <w:rPr>
          <w:rFonts w:ascii="宋体" w:hAnsi="宋体" w:cs="宋体"/>
          <w:color w:val="auto"/>
          <w:sz w:val="24"/>
          <w:highlight w:val="none"/>
        </w:rPr>
      </w:pPr>
      <w:r>
        <w:rPr>
          <w:rFonts w:hint="eastAsia" w:ascii="宋体" w:hAnsi="宋体" w:cs="宋体"/>
          <w:color w:val="auto"/>
          <w:sz w:val="24"/>
          <w:highlight w:val="none"/>
        </w:rPr>
        <w:br w:type="page"/>
      </w:r>
    </w:p>
    <w:p w14:paraId="077AA04B">
      <w:pPr>
        <w:pStyle w:val="2"/>
        <w:rPr>
          <w:color w:val="auto"/>
          <w:highlight w:val="none"/>
        </w:rPr>
      </w:pPr>
    </w:p>
    <w:p w14:paraId="06640F74">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联合体竞标协议书</w:t>
      </w:r>
    </w:p>
    <w:p w14:paraId="47B17D14">
      <w:pPr>
        <w:pStyle w:val="8"/>
        <w:overflowPunct w:val="0"/>
        <w:spacing w:line="360" w:lineRule="auto"/>
        <w:ind w:firstLine="0"/>
        <w:rPr>
          <w:rFonts w:ascii="宋体" w:hAnsi="宋体"/>
          <w:color w:val="auto"/>
          <w:sz w:val="24"/>
          <w:szCs w:val="24"/>
          <w:highlight w:val="none"/>
        </w:rPr>
      </w:pPr>
    </w:p>
    <w:p w14:paraId="7F183AFC">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（所有成员单位名称）自愿组成</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（联合体名称）联合体，共同参加</w:t>
      </w:r>
      <w:r>
        <w:rPr>
          <w:rFonts w:hint="eastAsia" w:ascii="宋体" w:hAnsi="宋体" w:cs="宋体"/>
          <w:color w:val="auto"/>
          <w:sz w:val="24"/>
          <w:highlight w:val="none"/>
          <w:u w:val="single"/>
        </w:rPr>
        <w:t>（项目名称）    （分标：     ）</w:t>
      </w:r>
      <w:r>
        <w:rPr>
          <w:rFonts w:hint="eastAsia" w:ascii="宋体" w:hAnsi="宋体" w:cs="仿宋_GB2312"/>
          <w:color w:val="auto"/>
          <w:sz w:val="24"/>
          <w:szCs w:val="24"/>
          <w:highlight w:val="none"/>
        </w:rPr>
        <w:t>采购项目竞标。现就联合体竞标事宜订立如下协议。</w:t>
      </w:r>
    </w:p>
    <w:p w14:paraId="5F9BC3C4">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1.</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u w:val="single"/>
        </w:rPr>
        <w:tab/>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（某成员单位名称）为</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（联合体名称）牵头人。</w:t>
      </w:r>
    </w:p>
    <w:p w14:paraId="75B21788">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4C3DBABC">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14:paraId="7731A1B9">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4.联合体各成员单位内部的职责分工如下：</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w:t>
      </w:r>
    </w:p>
    <w:p w14:paraId="461637D5">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5.本</w:t>
      </w:r>
      <w:r>
        <w:rPr>
          <w:rFonts w:hint="eastAsia" w:ascii="宋体" w:hAnsi="宋体" w:cs="仿宋_GB2312"/>
          <w:color w:val="auto"/>
          <w:spacing w:val="-6"/>
          <w:sz w:val="24"/>
          <w:szCs w:val="24"/>
          <w:highlight w:val="none"/>
        </w:rPr>
        <w:t>协议书自所有成员单位法定代表人（单位负责人）或者其委托代理人签字或者盖单位章之日起生效，合同履行完毕后自动失效。</w:t>
      </w:r>
    </w:p>
    <w:p w14:paraId="5D68C982">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6.本协议书一式</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u w:val="single"/>
        </w:rPr>
        <w:tab/>
      </w:r>
      <w:r>
        <w:rPr>
          <w:rFonts w:hint="eastAsia" w:ascii="宋体" w:hAnsi="宋体" w:cs="仿宋_GB2312"/>
          <w:color w:val="auto"/>
          <w:sz w:val="24"/>
          <w:szCs w:val="24"/>
          <w:highlight w:val="none"/>
        </w:rPr>
        <w:t>份，联合体成员和采购人各执一份。</w:t>
      </w:r>
    </w:p>
    <w:p w14:paraId="180765FB">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注：本协议书应附法定代表人身份证明书；有委托代理的，应附授权委托书（格式自拟）。</w:t>
      </w:r>
    </w:p>
    <w:p w14:paraId="6EE01B48">
      <w:pPr>
        <w:pStyle w:val="8"/>
        <w:overflowPunct w:val="0"/>
        <w:spacing w:line="360" w:lineRule="auto"/>
        <w:ind w:firstLineChars="175"/>
        <w:contextualSpacing/>
        <w:rPr>
          <w:rFonts w:ascii="宋体" w:hAnsi="宋体" w:cs="仿宋_GB2312"/>
          <w:color w:val="auto"/>
          <w:sz w:val="24"/>
          <w:szCs w:val="24"/>
          <w:highlight w:val="none"/>
        </w:rPr>
      </w:pPr>
    </w:p>
    <w:p w14:paraId="268395D7">
      <w:pPr>
        <w:pStyle w:val="8"/>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联合体牵头人名称（电子签章）：</w:t>
      </w:r>
    </w:p>
    <w:p w14:paraId="2118162D">
      <w:pPr>
        <w:pStyle w:val="8"/>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34177140">
      <w:pPr>
        <w:pStyle w:val="8"/>
        <w:overflowPunct w:val="0"/>
        <w:spacing w:line="360" w:lineRule="auto"/>
        <w:ind w:firstLine="0"/>
        <w:contextualSpacing/>
        <w:rPr>
          <w:rFonts w:ascii="宋体" w:hAnsi="宋体" w:cs="仿宋_GB2312"/>
          <w:color w:val="auto"/>
          <w:sz w:val="24"/>
          <w:szCs w:val="24"/>
          <w:highlight w:val="none"/>
        </w:rPr>
      </w:pPr>
    </w:p>
    <w:p w14:paraId="026060DF">
      <w:pPr>
        <w:pStyle w:val="8"/>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14:paraId="4670FC77">
      <w:pPr>
        <w:pStyle w:val="8"/>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77923693">
      <w:pPr>
        <w:pStyle w:val="8"/>
        <w:overflowPunct w:val="0"/>
        <w:spacing w:line="360" w:lineRule="auto"/>
        <w:ind w:firstLine="0"/>
        <w:contextualSpacing/>
        <w:rPr>
          <w:rFonts w:ascii="宋体" w:hAnsi="宋体" w:cs="仿宋_GB2312"/>
          <w:color w:val="auto"/>
          <w:sz w:val="24"/>
          <w:szCs w:val="24"/>
          <w:highlight w:val="none"/>
        </w:rPr>
      </w:pPr>
    </w:p>
    <w:p w14:paraId="3F4491F9">
      <w:pPr>
        <w:pStyle w:val="8"/>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14:paraId="44A0DEF0">
      <w:pPr>
        <w:pStyle w:val="8"/>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6A958316">
      <w:pPr>
        <w:pStyle w:val="2"/>
        <w:ind w:firstLine="480"/>
        <w:rPr>
          <w:color w:val="auto"/>
          <w:highlight w:val="none"/>
        </w:rPr>
      </w:pPr>
      <w:r>
        <w:rPr>
          <w:rFonts w:hint="eastAsia" w:ascii="宋体" w:hAnsi="宋体" w:cs="仿宋_GB2312"/>
          <w:color w:val="auto"/>
          <w:sz w:val="24"/>
          <w:highlight w:val="none"/>
        </w:rPr>
        <w:t>……</w:t>
      </w:r>
      <w:r>
        <w:rPr>
          <w:rFonts w:ascii="宋体" w:hAnsi="宋体" w:cs="仿宋_GB2312"/>
          <w:color w:val="auto"/>
          <w:sz w:val="24"/>
          <w:highlight w:val="none"/>
        </w:rPr>
        <w:br w:type="page"/>
      </w:r>
    </w:p>
    <w:p w14:paraId="04D2E466">
      <w:pPr>
        <w:snapToGrid w:val="0"/>
        <w:spacing w:before="156" w:beforeLines="50" w:after="50" w:line="360" w:lineRule="auto"/>
        <w:ind w:right="480"/>
        <w:rPr>
          <w:rFonts w:ascii="宋体" w:hAnsi="宋体" w:cs="宋体"/>
          <w:b/>
          <w:color w:val="auto"/>
          <w:sz w:val="32"/>
          <w:szCs w:val="32"/>
          <w:highlight w:val="none"/>
        </w:rPr>
      </w:pPr>
      <w:r>
        <w:rPr>
          <w:rFonts w:hint="eastAsia" w:ascii="宋体" w:hAnsi="宋体" w:cs="宋体"/>
          <w:b/>
          <w:bCs/>
          <w:color w:val="auto"/>
          <w:sz w:val="32"/>
          <w:szCs w:val="32"/>
          <w:highlight w:val="none"/>
        </w:rPr>
        <w:t>二、</w:t>
      </w:r>
      <w:r>
        <w:rPr>
          <w:rFonts w:hint="eastAsia" w:ascii="宋体" w:hAnsi="宋体" w:cs="宋体"/>
          <w:b/>
          <w:color w:val="auto"/>
          <w:sz w:val="32"/>
          <w:szCs w:val="32"/>
          <w:highlight w:val="none"/>
        </w:rPr>
        <w:t>报价文件格式</w:t>
      </w:r>
    </w:p>
    <w:p w14:paraId="2990C4C5">
      <w:pPr>
        <w:snapToGrid w:val="0"/>
        <w:spacing w:before="156" w:beforeLines="50" w:after="50" w:line="36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t>1.报价文件封面格式</w:t>
      </w:r>
    </w:p>
    <w:p w14:paraId="31D97762">
      <w:pPr>
        <w:snapToGrid w:val="0"/>
        <w:spacing w:before="156" w:beforeLines="50" w:after="50"/>
        <w:rPr>
          <w:rFonts w:ascii="宋体" w:hAnsi="宋体" w:cs="宋体"/>
          <w:color w:val="auto"/>
          <w:sz w:val="24"/>
          <w:highlight w:val="none"/>
        </w:rPr>
      </w:pPr>
      <w:r>
        <w:rPr>
          <w:rFonts w:hint="eastAsia" w:ascii="宋体" w:hAnsi="宋体" w:cs="宋体"/>
          <w:color w:val="auto"/>
          <w:sz w:val="24"/>
          <w:highlight w:val="none"/>
        </w:rPr>
        <w:t xml:space="preserve">                                                  </w:t>
      </w:r>
    </w:p>
    <w:p w14:paraId="7EC5BED1">
      <w:pPr>
        <w:pStyle w:val="14"/>
        <w:rPr>
          <w:rFonts w:ascii="宋体" w:hAnsi="宋体" w:cs="宋体"/>
          <w:color w:val="auto"/>
          <w:sz w:val="24"/>
          <w:highlight w:val="none"/>
        </w:rPr>
      </w:pPr>
    </w:p>
    <w:p w14:paraId="03365E6D">
      <w:pPr>
        <w:pStyle w:val="14"/>
        <w:rPr>
          <w:rFonts w:ascii="宋体" w:hAnsi="宋体" w:cs="宋体"/>
          <w:color w:val="auto"/>
          <w:sz w:val="24"/>
          <w:highlight w:val="none"/>
        </w:rPr>
      </w:pPr>
    </w:p>
    <w:p w14:paraId="57D130DF">
      <w:pPr>
        <w:snapToGrid w:val="0"/>
        <w:spacing w:before="156"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电 子 响 应 文 件</w:t>
      </w:r>
    </w:p>
    <w:p w14:paraId="0F4CBA7A">
      <w:pPr>
        <w:snapToGrid w:val="0"/>
        <w:spacing w:before="156" w:beforeLines="50" w:after="50"/>
        <w:rPr>
          <w:rFonts w:ascii="宋体" w:hAnsi="宋体" w:cs="宋体"/>
          <w:color w:val="auto"/>
          <w:sz w:val="24"/>
          <w:szCs w:val="20"/>
          <w:highlight w:val="none"/>
        </w:rPr>
      </w:pPr>
    </w:p>
    <w:p w14:paraId="0D9A8E2D">
      <w:pPr>
        <w:snapToGrid w:val="0"/>
        <w:spacing w:before="156" w:beforeLines="50" w:after="50"/>
        <w:rPr>
          <w:rFonts w:ascii="宋体" w:hAnsi="宋体" w:cs="宋体"/>
          <w:color w:val="auto"/>
          <w:sz w:val="24"/>
          <w:szCs w:val="20"/>
          <w:highlight w:val="none"/>
        </w:rPr>
      </w:pPr>
    </w:p>
    <w:p w14:paraId="7D4CFC22">
      <w:pPr>
        <w:snapToGrid w:val="0"/>
        <w:spacing w:before="156" w:beforeLines="50" w:after="50"/>
        <w:ind w:firstLine="1040" w:firstLineChars="200"/>
        <w:jc w:val="center"/>
        <w:rPr>
          <w:rFonts w:ascii="宋体" w:hAnsi="宋体" w:cs="宋体"/>
          <w:bCs/>
          <w:color w:val="auto"/>
          <w:sz w:val="52"/>
          <w:szCs w:val="52"/>
          <w:highlight w:val="none"/>
        </w:rPr>
      </w:pPr>
      <w:r>
        <w:rPr>
          <w:rFonts w:hint="eastAsia" w:ascii="宋体" w:hAnsi="宋体" w:cs="宋体"/>
          <w:bCs/>
          <w:color w:val="auto"/>
          <w:sz w:val="52"/>
          <w:szCs w:val="52"/>
          <w:highlight w:val="none"/>
        </w:rPr>
        <w:t>报 价 文 件</w:t>
      </w:r>
    </w:p>
    <w:p w14:paraId="0D718F81">
      <w:pPr>
        <w:snapToGrid w:val="0"/>
        <w:spacing w:before="156" w:beforeLines="50" w:after="50"/>
        <w:jc w:val="center"/>
        <w:rPr>
          <w:rFonts w:ascii="宋体" w:hAnsi="宋体" w:cs="宋体"/>
          <w:bCs/>
          <w:color w:val="auto"/>
          <w:sz w:val="44"/>
          <w:szCs w:val="44"/>
          <w:highlight w:val="none"/>
        </w:rPr>
      </w:pPr>
    </w:p>
    <w:p w14:paraId="589AF1BF">
      <w:pPr>
        <w:snapToGrid w:val="0"/>
        <w:spacing w:before="156" w:beforeLines="50" w:after="50"/>
        <w:rPr>
          <w:rFonts w:ascii="宋体" w:hAnsi="宋体" w:cs="宋体"/>
          <w:bCs/>
          <w:color w:val="auto"/>
          <w:sz w:val="24"/>
          <w:szCs w:val="20"/>
          <w:highlight w:val="none"/>
        </w:rPr>
      </w:pPr>
    </w:p>
    <w:p w14:paraId="4B391AD5">
      <w:pPr>
        <w:snapToGrid w:val="0"/>
        <w:spacing w:before="156" w:beforeLines="50" w:after="50"/>
        <w:rPr>
          <w:rFonts w:ascii="宋体" w:hAnsi="宋体" w:cs="宋体"/>
          <w:bCs/>
          <w:color w:val="auto"/>
          <w:sz w:val="24"/>
          <w:szCs w:val="20"/>
          <w:highlight w:val="none"/>
        </w:rPr>
      </w:pPr>
    </w:p>
    <w:p w14:paraId="68C72D2D">
      <w:pPr>
        <w:snapToGrid w:val="0"/>
        <w:spacing w:line="480" w:lineRule="auto"/>
        <w:ind w:firstLine="1280" w:firstLineChars="400"/>
        <w:jc w:val="left"/>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r>
        <w:rPr>
          <w:rFonts w:hint="eastAsia" w:ascii="宋体" w:hAnsi="宋体" w:cs="宋体"/>
          <w:bCs/>
          <w:color w:val="auto"/>
          <w:sz w:val="32"/>
          <w:szCs w:val="32"/>
          <w:highlight w:val="none"/>
          <w:u w:val="single"/>
        </w:rPr>
        <w:t xml:space="preserve">                         </w:t>
      </w:r>
    </w:p>
    <w:p w14:paraId="3C1D0259">
      <w:pPr>
        <w:snapToGrid w:val="0"/>
        <w:spacing w:line="480" w:lineRule="auto"/>
        <w:ind w:firstLine="1280" w:firstLineChars="400"/>
        <w:jc w:val="left"/>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r>
        <w:rPr>
          <w:rFonts w:hint="eastAsia" w:ascii="宋体" w:hAnsi="宋体" w:cs="宋体"/>
          <w:bCs/>
          <w:color w:val="auto"/>
          <w:sz w:val="32"/>
          <w:szCs w:val="32"/>
          <w:highlight w:val="none"/>
          <w:u w:val="single"/>
        </w:rPr>
        <w:t xml:space="preserve">                         </w:t>
      </w:r>
    </w:p>
    <w:p w14:paraId="3FEFD27E">
      <w:pPr>
        <w:snapToGrid w:val="0"/>
        <w:spacing w:line="480" w:lineRule="auto"/>
        <w:ind w:firstLine="1280" w:firstLineChars="400"/>
        <w:jc w:val="left"/>
        <w:rPr>
          <w:rFonts w:ascii="宋体" w:hAnsi="宋体" w:cs="宋体"/>
          <w:bCs/>
          <w:color w:val="auto"/>
          <w:sz w:val="32"/>
          <w:szCs w:val="32"/>
          <w:highlight w:val="none"/>
          <w:u w:val="single"/>
        </w:rPr>
      </w:pPr>
      <w:r>
        <w:rPr>
          <w:rFonts w:hint="eastAsia" w:ascii="宋体" w:hAnsi="宋体" w:cs="宋体"/>
          <w:bCs/>
          <w:color w:val="auto"/>
          <w:sz w:val="32"/>
          <w:szCs w:val="32"/>
          <w:highlight w:val="none"/>
        </w:rPr>
        <w:t>标项名称：</w:t>
      </w:r>
      <w:r>
        <w:rPr>
          <w:rFonts w:hint="eastAsia" w:ascii="宋体" w:hAnsi="宋体" w:cs="宋体"/>
          <w:bCs/>
          <w:color w:val="auto"/>
          <w:sz w:val="32"/>
          <w:szCs w:val="32"/>
          <w:highlight w:val="none"/>
          <w:u w:val="single"/>
        </w:rPr>
        <w:t xml:space="preserve">      </w:t>
      </w:r>
      <w:r>
        <w:rPr>
          <w:rFonts w:hint="eastAsia" w:ascii="宋体" w:hAnsi="宋体" w:cs="宋体"/>
          <w:b/>
          <w:color w:val="auto"/>
          <w:sz w:val="32"/>
          <w:szCs w:val="32"/>
          <w:highlight w:val="none"/>
          <w:u w:val="single"/>
        </w:rPr>
        <w:t xml:space="preserve"> </w:t>
      </w:r>
      <w:r>
        <w:rPr>
          <w:rFonts w:hint="eastAsia" w:ascii="宋体" w:hAnsi="宋体" w:cs="宋体"/>
          <w:bCs/>
          <w:color w:val="auto"/>
          <w:sz w:val="32"/>
          <w:szCs w:val="32"/>
          <w:highlight w:val="none"/>
          <w:u w:val="single"/>
        </w:rPr>
        <w:t xml:space="preserve">                  </w:t>
      </w:r>
    </w:p>
    <w:p w14:paraId="6E6B1485">
      <w:pPr>
        <w:pStyle w:val="44"/>
        <w:spacing w:after="0" w:line="480" w:lineRule="auto"/>
        <w:ind w:left="0" w:leftChars="0" w:firstLine="1280" w:firstLineChars="400"/>
        <w:jc w:val="left"/>
        <w:rPr>
          <w:color w:val="auto"/>
          <w:highlight w:val="none"/>
        </w:rPr>
      </w:pPr>
      <w:r>
        <w:rPr>
          <w:rFonts w:hint="eastAsia" w:ascii="宋体" w:hAnsi="宋体" w:cs="宋体"/>
          <w:bCs/>
          <w:color w:val="auto"/>
          <w:sz w:val="32"/>
          <w:szCs w:val="32"/>
          <w:highlight w:val="none"/>
        </w:rPr>
        <w:t>分     标：</w:t>
      </w:r>
      <w:r>
        <w:rPr>
          <w:rFonts w:hint="eastAsia" w:ascii="宋体" w:hAnsi="宋体" w:cs="宋体"/>
          <w:bCs/>
          <w:color w:val="auto"/>
          <w:sz w:val="32"/>
          <w:szCs w:val="32"/>
          <w:highlight w:val="none"/>
          <w:u w:val="single"/>
        </w:rPr>
        <w:t xml:space="preserve">                        </w:t>
      </w:r>
    </w:p>
    <w:p w14:paraId="1CFF2FF9">
      <w:pPr>
        <w:rPr>
          <w:color w:val="auto"/>
          <w:highlight w:val="none"/>
        </w:rPr>
      </w:pPr>
    </w:p>
    <w:p w14:paraId="04E02E77">
      <w:pPr>
        <w:pStyle w:val="8"/>
        <w:snapToGrid w:val="0"/>
        <w:spacing w:line="480" w:lineRule="auto"/>
        <w:ind w:firstLine="1280" w:firstLineChars="400"/>
        <w:jc w:val="left"/>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r>
        <w:rPr>
          <w:rFonts w:hint="eastAsia" w:ascii="宋体" w:hAnsi="宋体" w:cs="宋体"/>
          <w:bCs/>
          <w:color w:val="auto"/>
          <w:sz w:val="32"/>
          <w:szCs w:val="32"/>
          <w:highlight w:val="none"/>
          <w:u w:val="single"/>
        </w:rPr>
        <w:t xml:space="preserve">                       </w:t>
      </w:r>
      <w:r>
        <w:rPr>
          <w:rFonts w:hint="eastAsia" w:ascii="宋体" w:hAnsi="宋体" w:cs="宋体"/>
          <w:bCs/>
          <w:color w:val="auto"/>
          <w:sz w:val="32"/>
          <w:szCs w:val="32"/>
          <w:highlight w:val="none"/>
        </w:rPr>
        <w:t xml:space="preserve"> </w:t>
      </w:r>
    </w:p>
    <w:p w14:paraId="276337E4">
      <w:pPr>
        <w:pStyle w:val="8"/>
        <w:snapToGrid w:val="0"/>
        <w:spacing w:before="50" w:after="50"/>
        <w:ind w:firstLine="720" w:firstLineChars="225"/>
        <w:rPr>
          <w:rFonts w:ascii="宋体" w:hAnsi="宋体" w:cs="宋体"/>
          <w:bCs/>
          <w:color w:val="auto"/>
          <w:sz w:val="32"/>
          <w:szCs w:val="32"/>
          <w:highlight w:val="none"/>
        </w:rPr>
      </w:pPr>
    </w:p>
    <w:p w14:paraId="2463E332">
      <w:pPr>
        <w:pStyle w:val="8"/>
        <w:snapToGrid w:val="0"/>
        <w:spacing w:before="50" w:after="50"/>
        <w:ind w:firstLine="1280" w:firstLineChars="400"/>
        <w:rPr>
          <w:rFonts w:ascii="宋体" w:hAnsi="宋体" w:cs="宋体"/>
          <w:bCs/>
          <w:color w:val="auto"/>
          <w:sz w:val="32"/>
          <w:szCs w:val="32"/>
          <w:highlight w:val="none"/>
        </w:rPr>
      </w:pPr>
    </w:p>
    <w:p w14:paraId="270FC5F0">
      <w:pPr>
        <w:snapToGrid w:val="0"/>
        <w:spacing w:before="156"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23295AB0">
      <w:pPr>
        <w:rPr>
          <w:rFonts w:ascii="宋体" w:hAnsi="宋体" w:cs="宋体"/>
          <w:color w:val="auto"/>
          <w:sz w:val="32"/>
          <w:szCs w:val="32"/>
          <w:highlight w:val="none"/>
        </w:rPr>
      </w:pPr>
      <w:r>
        <w:rPr>
          <w:rFonts w:hint="eastAsia" w:ascii="宋体" w:hAnsi="宋体" w:cs="宋体"/>
          <w:color w:val="auto"/>
          <w:sz w:val="32"/>
          <w:szCs w:val="32"/>
          <w:highlight w:val="none"/>
        </w:rPr>
        <w:br w:type="page"/>
      </w:r>
    </w:p>
    <w:p w14:paraId="0488C4E5">
      <w:pPr>
        <w:snapToGrid w:val="0"/>
        <w:spacing w:before="156" w:beforeLines="50" w:after="50" w:line="360" w:lineRule="auto"/>
        <w:ind w:left="142"/>
        <w:jc w:val="left"/>
        <w:rPr>
          <w:rFonts w:ascii="宋体" w:hAnsi="宋体" w:cs="宋体"/>
          <w:b/>
          <w:bCs/>
          <w:color w:val="auto"/>
          <w:sz w:val="24"/>
          <w:highlight w:val="none"/>
        </w:rPr>
      </w:pPr>
      <w:r>
        <w:rPr>
          <w:rFonts w:hint="eastAsia" w:ascii="宋体" w:hAnsi="宋体" w:cs="宋体"/>
          <w:b/>
          <w:bCs/>
          <w:color w:val="auto"/>
          <w:sz w:val="32"/>
          <w:szCs w:val="32"/>
          <w:highlight w:val="none"/>
        </w:rPr>
        <w:t>2.报价文件目录</w:t>
      </w:r>
    </w:p>
    <w:p w14:paraId="0DF62617">
      <w:pPr>
        <w:rPr>
          <w:color w:val="auto"/>
          <w:highlight w:val="none"/>
        </w:rPr>
      </w:pPr>
      <w:r>
        <w:rPr>
          <w:rFonts w:hint="eastAsia" w:ascii="宋体" w:hAnsi="宋体" w:cs="宋体"/>
          <w:color w:val="auto"/>
          <w:sz w:val="28"/>
          <w:szCs w:val="28"/>
          <w:highlight w:val="none"/>
        </w:rPr>
        <w:t>根据磋商文件规定及供应商提供的材料自行编写目录（部分格式后附）。</w:t>
      </w:r>
    </w:p>
    <w:p w14:paraId="371FE9DE">
      <w:pPr>
        <w:rPr>
          <w:rFonts w:ascii="宋体" w:hAnsi="宋体" w:cs="宋体"/>
          <w:bCs/>
          <w:color w:val="auto"/>
          <w:sz w:val="44"/>
          <w:szCs w:val="44"/>
          <w:highlight w:val="none"/>
        </w:rPr>
      </w:pPr>
      <w:r>
        <w:rPr>
          <w:rFonts w:hint="eastAsia" w:ascii="宋体" w:hAnsi="宋体" w:cs="宋体"/>
          <w:bCs/>
          <w:color w:val="auto"/>
          <w:sz w:val="44"/>
          <w:szCs w:val="44"/>
          <w:highlight w:val="none"/>
        </w:rPr>
        <w:br w:type="page"/>
      </w:r>
    </w:p>
    <w:p w14:paraId="5E5BB540">
      <w:pPr>
        <w:spacing w:line="5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竞 标 报 价 表</w:t>
      </w:r>
    </w:p>
    <w:p w14:paraId="7F453CA6">
      <w:pPr>
        <w:spacing w:line="440" w:lineRule="exact"/>
        <w:jc w:val="center"/>
        <w:rPr>
          <w:rFonts w:ascii="宋体" w:hAnsi="宋体" w:cs="宋体"/>
          <w:bCs/>
          <w:color w:val="auto"/>
          <w:sz w:val="32"/>
          <w:szCs w:val="32"/>
          <w:highlight w:val="none"/>
        </w:rPr>
      </w:pPr>
    </w:p>
    <w:p w14:paraId="1E34BBCB">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8152E97">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标项名称：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p>
    <w:p w14:paraId="0FA93A83">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A367D64">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 xml:space="preserve">                                                        单位：元</w:t>
      </w:r>
    </w:p>
    <w:tbl>
      <w:tblPr>
        <w:tblStyle w:val="32"/>
        <w:tblW w:w="4989"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3024"/>
        <w:gridCol w:w="769"/>
        <w:gridCol w:w="833"/>
        <w:gridCol w:w="1375"/>
        <w:gridCol w:w="1202"/>
        <w:gridCol w:w="1296"/>
      </w:tblGrid>
      <w:tr w14:paraId="6018D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right"/>
        </w:trPr>
        <w:tc>
          <w:tcPr>
            <w:tcW w:w="469" w:type="pct"/>
            <w:tcBorders>
              <w:top w:val="single" w:color="auto" w:sz="12" w:space="0"/>
              <w:left w:val="single" w:color="auto" w:sz="12" w:space="0"/>
              <w:bottom w:val="single" w:color="auto" w:sz="4" w:space="0"/>
              <w:right w:val="single" w:color="auto" w:sz="4" w:space="0"/>
            </w:tcBorders>
            <w:vAlign w:val="center"/>
          </w:tcPr>
          <w:p w14:paraId="4775624F">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序号</w:t>
            </w:r>
          </w:p>
        </w:tc>
        <w:tc>
          <w:tcPr>
            <w:tcW w:w="1612" w:type="pct"/>
            <w:tcBorders>
              <w:top w:val="single" w:color="auto" w:sz="12" w:space="0"/>
              <w:left w:val="single" w:color="auto" w:sz="4" w:space="0"/>
              <w:bottom w:val="single" w:color="auto" w:sz="4" w:space="0"/>
              <w:right w:val="single" w:color="auto" w:sz="4" w:space="0"/>
            </w:tcBorders>
            <w:vAlign w:val="center"/>
          </w:tcPr>
          <w:p w14:paraId="7D4949A3">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体检项目</w:t>
            </w:r>
          </w:p>
        </w:tc>
        <w:tc>
          <w:tcPr>
            <w:tcW w:w="410" w:type="pct"/>
            <w:tcBorders>
              <w:top w:val="single" w:color="auto" w:sz="12" w:space="0"/>
              <w:left w:val="single" w:color="auto" w:sz="4" w:space="0"/>
              <w:bottom w:val="single" w:color="auto" w:sz="4" w:space="0"/>
              <w:right w:val="single" w:color="auto" w:sz="4" w:space="0"/>
            </w:tcBorders>
            <w:vAlign w:val="center"/>
          </w:tcPr>
          <w:p w14:paraId="7F9AE35A">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数量</w:t>
            </w:r>
          </w:p>
        </w:tc>
        <w:tc>
          <w:tcPr>
            <w:tcW w:w="444" w:type="pct"/>
            <w:tcBorders>
              <w:top w:val="single" w:color="auto" w:sz="12" w:space="0"/>
              <w:left w:val="single" w:color="auto" w:sz="4" w:space="0"/>
              <w:bottom w:val="single" w:color="auto" w:sz="4" w:space="0"/>
              <w:right w:val="single" w:color="auto" w:sz="4" w:space="0"/>
            </w:tcBorders>
            <w:vAlign w:val="center"/>
          </w:tcPr>
          <w:p w14:paraId="7410FEAF">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单位</w:t>
            </w:r>
          </w:p>
        </w:tc>
        <w:tc>
          <w:tcPr>
            <w:tcW w:w="733" w:type="pct"/>
            <w:tcBorders>
              <w:top w:val="single" w:color="auto" w:sz="12" w:space="0"/>
              <w:left w:val="single" w:color="auto" w:sz="4" w:space="0"/>
              <w:bottom w:val="single" w:color="auto" w:sz="4" w:space="0"/>
              <w:right w:val="single" w:color="auto" w:sz="4" w:space="0"/>
            </w:tcBorders>
            <w:vAlign w:val="center"/>
          </w:tcPr>
          <w:p w14:paraId="4B077DAE">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单价</w:t>
            </w:r>
          </w:p>
        </w:tc>
        <w:tc>
          <w:tcPr>
            <w:tcW w:w="641" w:type="pct"/>
            <w:tcBorders>
              <w:top w:val="single" w:color="auto" w:sz="12" w:space="0"/>
              <w:left w:val="single" w:color="auto" w:sz="4" w:space="0"/>
              <w:bottom w:val="single" w:color="auto" w:sz="4" w:space="0"/>
              <w:right w:val="single" w:color="auto" w:sz="4" w:space="0"/>
            </w:tcBorders>
            <w:vAlign w:val="center"/>
          </w:tcPr>
          <w:p w14:paraId="796D4AA8">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总价</w:t>
            </w:r>
          </w:p>
        </w:tc>
        <w:tc>
          <w:tcPr>
            <w:tcW w:w="688" w:type="pct"/>
            <w:tcBorders>
              <w:top w:val="single" w:color="auto" w:sz="12" w:space="0"/>
              <w:left w:val="single" w:color="auto" w:sz="4" w:space="0"/>
              <w:bottom w:val="single" w:color="auto" w:sz="4" w:space="0"/>
              <w:right w:val="single" w:color="auto" w:sz="12" w:space="0"/>
            </w:tcBorders>
            <w:vAlign w:val="center"/>
          </w:tcPr>
          <w:p w14:paraId="70D6160D">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备注</w:t>
            </w:r>
          </w:p>
        </w:tc>
      </w:tr>
      <w:tr w14:paraId="0B2E8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right"/>
        </w:trPr>
        <w:tc>
          <w:tcPr>
            <w:tcW w:w="469" w:type="pct"/>
            <w:tcBorders>
              <w:top w:val="single" w:color="auto" w:sz="4" w:space="0"/>
              <w:left w:val="single" w:color="auto" w:sz="12" w:space="0"/>
              <w:bottom w:val="single" w:color="auto" w:sz="4" w:space="0"/>
              <w:right w:val="single" w:color="auto" w:sz="4" w:space="0"/>
            </w:tcBorders>
            <w:vAlign w:val="center"/>
          </w:tcPr>
          <w:p w14:paraId="33F732DA">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1</w:t>
            </w:r>
          </w:p>
        </w:tc>
        <w:tc>
          <w:tcPr>
            <w:tcW w:w="1612" w:type="pct"/>
            <w:tcBorders>
              <w:top w:val="single" w:color="auto" w:sz="4" w:space="0"/>
              <w:left w:val="single" w:color="auto" w:sz="4" w:space="0"/>
              <w:bottom w:val="single" w:color="auto" w:sz="4" w:space="0"/>
              <w:right w:val="single" w:color="auto" w:sz="4" w:space="0"/>
            </w:tcBorders>
            <w:vAlign w:val="center"/>
          </w:tcPr>
          <w:p w14:paraId="2D669DE1">
            <w:pPr>
              <w:spacing w:line="360" w:lineRule="auto"/>
              <w:contextualSpacing/>
              <w:jc w:val="center"/>
              <w:rPr>
                <w:rFonts w:ascii="宋体" w:hAnsi="宋体" w:cs="宋体"/>
                <w:color w:val="auto"/>
                <w:sz w:val="24"/>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54C37B8E">
            <w:pPr>
              <w:spacing w:line="360" w:lineRule="auto"/>
              <w:contextualSpacing/>
              <w:jc w:val="center"/>
              <w:rPr>
                <w:rFonts w:ascii="宋体" w:hAnsi="宋体" w:cs="宋体"/>
                <w:color w:val="auto"/>
                <w:sz w:val="24"/>
                <w:highlight w:val="none"/>
              </w:rPr>
            </w:pPr>
          </w:p>
        </w:tc>
        <w:tc>
          <w:tcPr>
            <w:tcW w:w="444" w:type="pct"/>
            <w:tcBorders>
              <w:top w:val="single" w:color="auto" w:sz="4" w:space="0"/>
              <w:left w:val="single" w:color="auto" w:sz="4" w:space="0"/>
              <w:bottom w:val="single" w:color="auto" w:sz="4" w:space="0"/>
              <w:right w:val="single" w:color="auto" w:sz="4" w:space="0"/>
            </w:tcBorders>
          </w:tcPr>
          <w:p w14:paraId="6A67E6FA">
            <w:pPr>
              <w:spacing w:line="360" w:lineRule="auto"/>
              <w:contextualSpacing/>
              <w:rPr>
                <w:rFonts w:ascii="宋体" w:hAnsi="宋体" w:cs="宋体"/>
                <w:color w:val="auto"/>
                <w:sz w:val="24"/>
                <w:highlight w:val="none"/>
              </w:rPr>
            </w:pPr>
          </w:p>
        </w:tc>
        <w:tc>
          <w:tcPr>
            <w:tcW w:w="733" w:type="pct"/>
            <w:tcBorders>
              <w:top w:val="single" w:color="auto" w:sz="4" w:space="0"/>
              <w:left w:val="single" w:color="auto" w:sz="4" w:space="0"/>
              <w:bottom w:val="single" w:color="auto" w:sz="4" w:space="0"/>
              <w:right w:val="single" w:color="auto" w:sz="4" w:space="0"/>
            </w:tcBorders>
          </w:tcPr>
          <w:p w14:paraId="2F14F058">
            <w:pPr>
              <w:spacing w:line="360" w:lineRule="auto"/>
              <w:contextualSpacing/>
              <w:rPr>
                <w:rFonts w:ascii="宋体" w:hAnsi="宋体" w:cs="宋体"/>
                <w:color w:val="auto"/>
                <w:sz w:val="24"/>
                <w:highlight w:val="none"/>
              </w:rPr>
            </w:pPr>
          </w:p>
        </w:tc>
        <w:tc>
          <w:tcPr>
            <w:tcW w:w="641" w:type="pct"/>
            <w:tcBorders>
              <w:top w:val="single" w:color="auto" w:sz="4" w:space="0"/>
              <w:left w:val="single" w:color="auto" w:sz="4" w:space="0"/>
              <w:bottom w:val="single" w:color="auto" w:sz="4" w:space="0"/>
              <w:right w:val="single" w:color="auto" w:sz="4" w:space="0"/>
            </w:tcBorders>
          </w:tcPr>
          <w:p w14:paraId="51552C8B">
            <w:pPr>
              <w:spacing w:line="360" w:lineRule="auto"/>
              <w:contextualSpacing/>
              <w:rPr>
                <w:rFonts w:ascii="宋体" w:hAnsi="宋体" w:cs="宋体"/>
                <w:color w:val="auto"/>
                <w:sz w:val="24"/>
                <w:highlight w:val="none"/>
              </w:rPr>
            </w:pPr>
          </w:p>
        </w:tc>
        <w:tc>
          <w:tcPr>
            <w:tcW w:w="688" w:type="pct"/>
            <w:tcBorders>
              <w:top w:val="single" w:color="auto" w:sz="4" w:space="0"/>
              <w:left w:val="single" w:color="auto" w:sz="4" w:space="0"/>
              <w:bottom w:val="single" w:color="auto" w:sz="4" w:space="0"/>
              <w:right w:val="single" w:color="auto" w:sz="12" w:space="0"/>
            </w:tcBorders>
            <w:vAlign w:val="center"/>
          </w:tcPr>
          <w:p w14:paraId="4B9AC2C3">
            <w:pPr>
              <w:spacing w:line="360" w:lineRule="auto"/>
              <w:contextualSpacing/>
              <w:rPr>
                <w:rFonts w:ascii="宋体" w:hAnsi="宋体" w:cs="宋体"/>
                <w:color w:val="auto"/>
                <w:sz w:val="24"/>
                <w:highlight w:val="none"/>
              </w:rPr>
            </w:pPr>
          </w:p>
        </w:tc>
      </w:tr>
      <w:tr w14:paraId="4FE4B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right"/>
        </w:trPr>
        <w:tc>
          <w:tcPr>
            <w:tcW w:w="469" w:type="pct"/>
            <w:tcBorders>
              <w:top w:val="single" w:color="auto" w:sz="4" w:space="0"/>
              <w:left w:val="single" w:color="auto" w:sz="12" w:space="0"/>
              <w:bottom w:val="single" w:color="auto" w:sz="4" w:space="0"/>
              <w:right w:val="single" w:color="auto" w:sz="4" w:space="0"/>
            </w:tcBorders>
            <w:vAlign w:val="center"/>
          </w:tcPr>
          <w:p w14:paraId="13DAA0C2">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2</w:t>
            </w:r>
          </w:p>
        </w:tc>
        <w:tc>
          <w:tcPr>
            <w:tcW w:w="1612" w:type="pct"/>
            <w:tcBorders>
              <w:top w:val="single" w:color="auto" w:sz="4" w:space="0"/>
              <w:left w:val="single" w:color="auto" w:sz="4" w:space="0"/>
              <w:bottom w:val="single" w:color="auto" w:sz="4" w:space="0"/>
              <w:right w:val="single" w:color="auto" w:sz="4" w:space="0"/>
            </w:tcBorders>
            <w:vAlign w:val="center"/>
          </w:tcPr>
          <w:p w14:paraId="4555E162">
            <w:pPr>
              <w:spacing w:line="360" w:lineRule="auto"/>
              <w:contextualSpacing/>
              <w:jc w:val="center"/>
              <w:rPr>
                <w:rFonts w:ascii="宋体" w:hAnsi="宋体" w:cs="宋体"/>
                <w:color w:val="auto"/>
                <w:sz w:val="24"/>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0AB43B34">
            <w:pPr>
              <w:spacing w:line="360" w:lineRule="auto"/>
              <w:contextualSpacing/>
              <w:jc w:val="center"/>
              <w:rPr>
                <w:rFonts w:ascii="宋体" w:hAnsi="宋体" w:cs="宋体"/>
                <w:color w:val="auto"/>
                <w:sz w:val="24"/>
                <w:highlight w:val="none"/>
              </w:rPr>
            </w:pPr>
          </w:p>
        </w:tc>
        <w:tc>
          <w:tcPr>
            <w:tcW w:w="444" w:type="pct"/>
            <w:tcBorders>
              <w:top w:val="single" w:color="auto" w:sz="4" w:space="0"/>
              <w:left w:val="single" w:color="auto" w:sz="4" w:space="0"/>
              <w:bottom w:val="single" w:color="auto" w:sz="4" w:space="0"/>
              <w:right w:val="single" w:color="auto" w:sz="4" w:space="0"/>
            </w:tcBorders>
          </w:tcPr>
          <w:p w14:paraId="3F50021F">
            <w:pPr>
              <w:spacing w:line="360" w:lineRule="auto"/>
              <w:contextualSpacing/>
              <w:rPr>
                <w:rFonts w:ascii="宋体" w:hAnsi="宋体" w:cs="宋体"/>
                <w:color w:val="auto"/>
                <w:sz w:val="24"/>
                <w:highlight w:val="none"/>
              </w:rPr>
            </w:pPr>
          </w:p>
        </w:tc>
        <w:tc>
          <w:tcPr>
            <w:tcW w:w="733" w:type="pct"/>
            <w:tcBorders>
              <w:top w:val="single" w:color="auto" w:sz="4" w:space="0"/>
              <w:left w:val="single" w:color="auto" w:sz="4" w:space="0"/>
              <w:bottom w:val="single" w:color="auto" w:sz="4" w:space="0"/>
              <w:right w:val="single" w:color="auto" w:sz="4" w:space="0"/>
            </w:tcBorders>
          </w:tcPr>
          <w:p w14:paraId="7B6E3CFE">
            <w:pPr>
              <w:spacing w:line="360" w:lineRule="auto"/>
              <w:contextualSpacing/>
              <w:rPr>
                <w:rFonts w:ascii="宋体" w:hAnsi="宋体" w:cs="宋体"/>
                <w:color w:val="auto"/>
                <w:sz w:val="24"/>
                <w:highlight w:val="none"/>
              </w:rPr>
            </w:pPr>
          </w:p>
        </w:tc>
        <w:tc>
          <w:tcPr>
            <w:tcW w:w="641" w:type="pct"/>
            <w:tcBorders>
              <w:top w:val="single" w:color="auto" w:sz="4" w:space="0"/>
              <w:left w:val="single" w:color="auto" w:sz="4" w:space="0"/>
              <w:bottom w:val="single" w:color="auto" w:sz="4" w:space="0"/>
              <w:right w:val="single" w:color="auto" w:sz="4" w:space="0"/>
            </w:tcBorders>
          </w:tcPr>
          <w:p w14:paraId="4F26E564">
            <w:pPr>
              <w:spacing w:line="360" w:lineRule="auto"/>
              <w:contextualSpacing/>
              <w:rPr>
                <w:rFonts w:ascii="宋体" w:hAnsi="宋体" w:cs="宋体"/>
                <w:color w:val="auto"/>
                <w:sz w:val="24"/>
                <w:highlight w:val="none"/>
              </w:rPr>
            </w:pPr>
          </w:p>
        </w:tc>
        <w:tc>
          <w:tcPr>
            <w:tcW w:w="688" w:type="pct"/>
            <w:tcBorders>
              <w:top w:val="single" w:color="auto" w:sz="4" w:space="0"/>
              <w:left w:val="single" w:color="auto" w:sz="4" w:space="0"/>
              <w:bottom w:val="single" w:color="auto" w:sz="4" w:space="0"/>
              <w:right w:val="single" w:color="auto" w:sz="12" w:space="0"/>
            </w:tcBorders>
            <w:vAlign w:val="center"/>
          </w:tcPr>
          <w:p w14:paraId="223B16C1">
            <w:pPr>
              <w:spacing w:line="360" w:lineRule="auto"/>
              <w:contextualSpacing/>
              <w:rPr>
                <w:rFonts w:ascii="宋体" w:hAnsi="宋体" w:cs="宋体"/>
                <w:color w:val="auto"/>
                <w:sz w:val="24"/>
                <w:highlight w:val="none"/>
              </w:rPr>
            </w:pPr>
          </w:p>
        </w:tc>
      </w:tr>
      <w:tr w14:paraId="55E17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right"/>
        </w:trPr>
        <w:tc>
          <w:tcPr>
            <w:tcW w:w="469" w:type="pct"/>
            <w:tcBorders>
              <w:top w:val="single" w:color="auto" w:sz="4" w:space="0"/>
              <w:left w:val="single" w:color="auto" w:sz="12" w:space="0"/>
              <w:bottom w:val="single" w:color="auto" w:sz="4" w:space="0"/>
              <w:right w:val="single" w:color="auto" w:sz="4" w:space="0"/>
            </w:tcBorders>
            <w:vAlign w:val="center"/>
          </w:tcPr>
          <w:p w14:paraId="13C2F5E6">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w:t>
            </w:r>
          </w:p>
        </w:tc>
        <w:tc>
          <w:tcPr>
            <w:tcW w:w="1612" w:type="pct"/>
            <w:tcBorders>
              <w:top w:val="single" w:color="auto" w:sz="4" w:space="0"/>
              <w:left w:val="single" w:color="auto" w:sz="4" w:space="0"/>
              <w:bottom w:val="single" w:color="auto" w:sz="4" w:space="0"/>
              <w:right w:val="single" w:color="auto" w:sz="4" w:space="0"/>
            </w:tcBorders>
            <w:vAlign w:val="center"/>
          </w:tcPr>
          <w:p w14:paraId="3960219E">
            <w:pPr>
              <w:spacing w:line="360" w:lineRule="auto"/>
              <w:contextualSpacing/>
              <w:jc w:val="center"/>
              <w:rPr>
                <w:rFonts w:ascii="宋体" w:hAnsi="宋体" w:cs="宋体"/>
                <w:color w:val="auto"/>
                <w:sz w:val="24"/>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37F6728E">
            <w:pPr>
              <w:spacing w:line="360" w:lineRule="auto"/>
              <w:contextualSpacing/>
              <w:jc w:val="center"/>
              <w:rPr>
                <w:rFonts w:ascii="宋体" w:hAnsi="宋体" w:cs="宋体"/>
                <w:color w:val="auto"/>
                <w:sz w:val="24"/>
                <w:highlight w:val="none"/>
              </w:rPr>
            </w:pPr>
          </w:p>
        </w:tc>
        <w:tc>
          <w:tcPr>
            <w:tcW w:w="444" w:type="pct"/>
            <w:tcBorders>
              <w:top w:val="single" w:color="auto" w:sz="4" w:space="0"/>
              <w:left w:val="single" w:color="auto" w:sz="4" w:space="0"/>
              <w:bottom w:val="single" w:color="auto" w:sz="4" w:space="0"/>
              <w:right w:val="single" w:color="auto" w:sz="4" w:space="0"/>
            </w:tcBorders>
          </w:tcPr>
          <w:p w14:paraId="0495885B">
            <w:pPr>
              <w:spacing w:line="360" w:lineRule="auto"/>
              <w:contextualSpacing/>
              <w:rPr>
                <w:rFonts w:ascii="宋体" w:hAnsi="宋体" w:cs="宋体"/>
                <w:color w:val="auto"/>
                <w:sz w:val="24"/>
                <w:highlight w:val="none"/>
              </w:rPr>
            </w:pPr>
          </w:p>
        </w:tc>
        <w:tc>
          <w:tcPr>
            <w:tcW w:w="733" w:type="pct"/>
            <w:tcBorders>
              <w:top w:val="single" w:color="auto" w:sz="4" w:space="0"/>
              <w:left w:val="single" w:color="auto" w:sz="4" w:space="0"/>
              <w:bottom w:val="single" w:color="auto" w:sz="4" w:space="0"/>
              <w:right w:val="single" w:color="auto" w:sz="4" w:space="0"/>
            </w:tcBorders>
          </w:tcPr>
          <w:p w14:paraId="779CCB92">
            <w:pPr>
              <w:spacing w:line="360" w:lineRule="auto"/>
              <w:contextualSpacing/>
              <w:rPr>
                <w:rFonts w:ascii="宋体" w:hAnsi="宋体" w:cs="宋体"/>
                <w:color w:val="auto"/>
                <w:sz w:val="24"/>
                <w:highlight w:val="none"/>
              </w:rPr>
            </w:pPr>
          </w:p>
        </w:tc>
        <w:tc>
          <w:tcPr>
            <w:tcW w:w="641" w:type="pct"/>
            <w:tcBorders>
              <w:top w:val="single" w:color="auto" w:sz="4" w:space="0"/>
              <w:left w:val="single" w:color="auto" w:sz="4" w:space="0"/>
              <w:bottom w:val="single" w:color="auto" w:sz="4" w:space="0"/>
              <w:right w:val="single" w:color="auto" w:sz="4" w:space="0"/>
            </w:tcBorders>
          </w:tcPr>
          <w:p w14:paraId="553A88F0">
            <w:pPr>
              <w:spacing w:line="360" w:lineRule="auto"/>
              <w:contextualSpacing/>
              <w:rPr>
                <w:rFonts w:ascii="宋体" w:hAnsi="宋体" w:cs="宋体"/>
                <w:color w:val="auto"/>
                <w:sz w:val="24"/>
                <w:highlight w:val="none"/>
              </w:rPr>
            </w:pPr>
          </w:p>
        </w:tc>
        <w:tc>
          <w:tcPr>
            <w:tcW w:w="688" w:type="pct"/>
            <w:tcBorders>
              <w:top w:val="single" w:color="auto" w:sz="4" w:space="0"/>
              <w:left w:val="single" w:color="auto" w:sz="4" w:space="0"/>
              <w:bottom w:val="single" w:color="auto" w:sz="4" w:space="0"/>
              <w:right w:val="single" w:color="auto" w:sz="12" w:space="0"/>
            </w:tcBorders>
            <w:vAlign w:val="center"/>
          </w:tcPr>
          <w:p w14:paraId="41A4446A">
            <w:pPr>
              <w:spacing w:line="360" w:lineRule="auto"/>
              <w:contextualSpacing/>
              <w:rPr>
                <w:rFonts w:ascii="宋体" w:hAnsi="宋体" w:cs="宋体"/>
                <w:color w:val="auto"/>
                <w:sz w:val="24"/>
                <w:highlight w:val="none"/>
              </w:rPr>
            </w:pPr>
          </w:p>
        </w:tc>
      </w:tr>
      <w:tr w14:paraId="35046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right"/>
        </w:trPr>
        <w:tc>
          <w:tcPr>
            <w:tcW w:w="5000" w:type="pct"/>
            <w:gridSpan w:val="7"/>
            <w:tcBorders>
              <w:top w:val="single" w:color="auto" w:sz="4" w:space="0"/>
              <w:left w:val="single" w:color="auto" w:sz="12" w:space="0"/>
              <w:bottom w:val="single" w:color="auto" w:sz="12" w:space="0"/>
              <w:right w:val="single" w:color="auto" w:sz="12" w:space="0"/>
            </w:tcBorders>
            <w:vAlign w:val="center"/>
          </w:tcPr>
          <w:p w14:paraId="46E75DC0">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合计金额大写（人民币）：（大写）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元 </w:t>
            </w:r>
            <w:r>
              <w:rPr>
                <w:rFonts w:hint="eastAsia" w:ascii="宋体" w:hAnsi="宋体" w:cs="宋体"/>
                <w:color w:val="auto"/>
                <w:sz w:val="24"/>
                <w:highlight w:val="none"/>
              </w:rPr>
              <w:t>）</w:t>
            </w:r>
          </w:p>
        </w:tc>
      </w:tr>
    </w:tbl>
    <w:p w14:paraId="06388E81">
      <w:pPr>
        <w:spacing w:line="420" w:lineRule="exact"/>
        <w:contextualSpacing/>
        <w:jc w:val="left"/>
        <w:rPr>
          <w:rFonts w:ascii="宋体" w:hAnsi="宋体" w:cs="宋体"/>
          <w:color w:val="auto"/>
          <w:sz w:val="24"/>
          <w:highlight w:val="none"/>
        </w:rPr>
      </w:pPr>
      <w:r>
        <w:rPr>
          <w:rFonts w:hint="eastAsia" w:ascii="宋体" w:hAnsi="宋体" w:cs="宋体"/>
          <w:color w:val="auto"/>
          <w:sz w:val="24"/>
          <w:highlight w:val="none"/>
        </w:rPr>
        <w:t xml:space="preserve">注: </w:t>
      </w:r>
    </w:p>
    <w:p w14:paraId="42BF9E44">
      <w:pPr>
        <w:spacing w:line="42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1.供应商的报价表必须加盖供应商电子签章并由法定代表人或者委托代理人签字或者盖章或者电子签名，</w:t>
      </w:r>
      <w:r>
        <w:rPr>
          <w:rFonts w:hint="eastAsia" w:ascii="宋体" w:hAnsi="宋体" w:cs="宋体"/>
          <w:b/>
          <w:color w:val="auto"/>
          <w:sz w:val="24"/>
          <w:highlight w:val="none"/>
        </w:rPr>
        <w:t>否则其响应文件按无效处理</w:t>
      </w:r>
      <w:r>
        <w:rPr>
          <w:rFonts w:hint="eastAsia" w:ascii="宋体" w:hAnsi="宋体" w:cs="宋体"/>
          <w:color w:val="auto"/>
          <w:sz w:val="24"/>
          <w:highlight w:val="none"/>
        </w:rPr>
        <w:t>。</w:t>
      </w:r>
    </w:p>
    <w:p w14:paraId="4C276168">
      <w:pPr>
        <w:spacing w:line="420" w:lineRule="exact"/>
        <w:ind w:firstLine="480" w:firstLineChars="200"/>
        <w:contextualSpacing/>
        <w:jc w:val="left"/>
        <w:rPr>
          <w:rFonts w:ascii="宋体" w:hAnsi="宋体" w:cs="宋体"/>
          <w:b/>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报价一经涂改，应在涂改处加盖供应商公章或者加盖电子签章或者由法定代表人或者授权委托人签字（或者电子签名）</w:t>
      </w:r>
      <w:r>
        <w:rPr>
          <w:rFonts w:hint="eastAsia" w:ascii="宋体" w:hAnsi="宋体" w:cs="宋体"/>
          <w:b/>
          <w:color w:val="auto"/>
          <w:sz w:val="24"/>
          <w:highlight w:val="none"/>
        </w:rPr>
        <w:t>，否则其响应文件按无效处理。</w:t>
      </w:r>
    </w:p>
    <w:p w14:paraId="1DD0B04B">
      <w:pPr>
        <w:spacing w:line="420" w:lineRule="exact"/>
        <w:ind w:firstLine="480" w:firstLineChars="200"/>
        <w:contextualSpacing/>
        <w:jc w:val="left"/>
        <w:rPr>
          <w:rFonts w:ascii="宋体" w:hAnsi="宋体" w:cs="宋体"/>
          <w:b/>
          <w:color w:val="auto"/>
          <w:sz w:val="24"/>
          <w:highlight w:val="none"/>
        </w:rPr>
      </w:pPr>
      <w:r>
        <w:rPr>
          <w:rFonts w:hint="eastAsia" w:ascii="宋体" w:hAnsi="宋体" w:cs="宋体"/>
          <w:color w:val="auto"/>
          <w:sz w:val="24"/>
          <w:highlight w:val="none"/>
        </w:rPr>
        <w:t>3.如为联合体竞标，“供应商名称”处必须列明联合体各方名称，标注联合体牵头人名称，</w:t>
      </w:r>
      <w:r>
        <w:rPr>
          <w:rFonts w:hint="eastAsia" w:ascii="宋体" w:hAnsi="宋体" w:cs="宋体"/>
          <w:b/>
          <w:color w:val="auto"/>
          <w:sz w:val="24"/>
          <w:highlight w:val="none"/>
        </w:rPr>
        <w:t>否则其响应文件按无效响应处理。</w:t>
      </w:r>
    </w:p>
    <w:p w14:paraId="6A07FB18">
      <w:pPr>
        <w:spacing w:line="420" w:lineRule="exact"/>
        <w:ind w:firstLine="480" w:firstLineChars="200"/>
        <w:contextualSpacing/>
        <w:jc w:val="left"/>
        <w:rPr>
          <w:rFonts w:ascii="宋体" w:hAnsi="宋体" w:cs="宋体"/>
          <w:b/>
          <w:color w:val="auto"/>
          <w:spacing w:val="-6"/>
          <w:sz w:val="24"/>
          <w:highlight w:val="none"/>
        </w:rPr>
      </w:pPr>
      <w:r>
        <w:rPr>
          <w:rFonts w:hint="eastAsia" w:ascii="宋体" w:hAnsi="宋体" w:cs="宋体"/>
          <w:color w:val="auto"/>
          <w:sz w:val="24"/>
          <w:highlight w:val="none"/>
        </w:rPr>
        <w:t>4.如为联合体竞标，</w:t>
      </w:r>
      <w:r>
        <w:rPr>
          <w:rFonts w:hint="eastAsia" w:ascii="宋体" w:hAnsi="宋体" w:cs="宋体"/>
          <w:color w:val="auto"/>
          <w:spacing w:val="-6"/>
          <w:sz w:val="24"/>
          <w:highlight w:val="none"/>
        </w:rPr>
        <w:t>盖章处须加盖联合体牵头人电子签章</w:t>
      </w:r>
      <w:r>
        <w:rPr>
          <w:rFonts w:hint="eastAsia" w:ascii="宋体" w:hAnsi="宋体" w:cs="宋体"/>
          <w:color w:val="auto"/>
          <w:sz w:val="24"/>
          <w:highlight w:val="none"/>
        </w:rPr>
        <w:t>，</w:t>
      </w:r>
      <w:r>
        <w:rPr>
          <w:rFonts w:hint="eastAsia" w:ascii="宋体" w:hAnsi="宋体" w:cs="宋体"/>
          <w:b/>
          <w:color w:val="auto"/>
          <w:sz w:val="24"/>
          <w:highlight w:val="none"/>
        </w:rPr>
        <w:t>否则其响应文件按无效处理</w:t>
      </w:r>
      <w:r>
        <w:rPr>
          <w:rFonts w:hint="eastAsia" w:ascii="宋体" w:hAnsi="宋体" w:cs="宋体"/>
          <w:b/>
          <w:color w:val="auto"/>
          <w:spacing w:val="-6"/>
          <w:sz w:val="24"/>
          <w:highlight w:val="none"/>
        </w:rPr>
        <w:t>。</w:t>
      </w:r>
    </w:p>
    <w:p w14:paraId="4F38BD5B">
      <w:pPr>
        <w:pStyle w:val="17"/>
        <w:spacing w:line="420" w:lineRule="exact"/>
        <w:ind w:left="0"/>
        <w:rPr>
          <w:rFonts w:ascii="宋体" w:hAnsi="宋体" w:cs="宋体"/>
          <w:color w:val="auto"/>
          <w:sz w:val="24"/>
          <w:highlight w:val="none"/>
        </w:rPr>
      </w:pPr>
    </w:p>
    <w:p w14:paraId="4EC52CA4">
      <w:pPr>
        <w:spacing w:line="360" w:lineRule="auto"/>
        <w:ind w:right="-817" w:rightChars="-389" w:firstLine="2880" w:firstLineChars="1200"/>
        <w:contextualSpacing/>
        <w:rPr>
          <w:rFonts w:ascii="宋体" w:hAnsi="宋体" w:cs="宋体"/>
          <w:color w:val="auto"/>
          <w:sz w:val="24"/>
          <w:highlight w:val="none"/>
        </w:rPr>
      </w:pPr>
    </w:p>
    <w:p w14:paraId="7D4E6E95">
      <w:pPr>
        <w:spacing w:line="480" w:lineRule="auto"/>
        <w:ind w:right="480"/>
        <w:contextualSpacing/>
        <w:jc w:val="center"/>
        <w:rPr>
          <w:rFonts w:ascii="宋体" w:hAnsi="宋体" w:cs="宋体"/>
          <w:color w:val="auto"/>
          <w:sz w:val="24"/>
          <w:highlight w:val="none"/>
          <w:u w:val="single"/>
        </w:rPr>
      </w:pPr>
      <w:r>
        <w:rPr>
          <w:rFonts w:hint="eastAsia" w:ascii="宋体" w:hAnsi="宋体" w:cs="宋体"/>
          <w:color w:val="auto"/>
          <w:sz w:val="24"/>
          <w:highlight w:val="none"/>
        </w:rPr>
        <w:t xml:space="preserve">   法定代表人或者委托代理人（签字或者盖章或者电子签名）：</w:t>
      </w:r>
      <w:r>
        <w:rPr>
          <w:rFonts w:hint="eastAsia" w:ascii="宋体" w:hAnsi="宋体" w:cs="宋体"/>
          <w:color w:val="auto"/>
          <w:sz w:val="24"/>
          <w:highlight w:val="none"/>
          <w:u w:val="single"/>
        </w:rPr>
        <w:t xml:space="preserve">      </w:t>
      </w:r>
    </w:p>
    <w:p w14:paraId="44F5569F">
      <w:pPr>
        <w:spacing w:line="480" w:lineRule="auto"/>
        <w:ind w:right="480" w:firstLine="1200" w:firstLineChars="500"/>
        <w:contextualSpacing/>
        <w:rPr>
          <w:rFonts w:ascii="宋体" w:hAnsi="宋体" w:cs="宋体"/>
          <w:color w:val="auto"/>
          <w:sz w:val="24"/>
          <w:highlight w:val="none"/>
          <w:u w:val="single"/>
        </w:rPr>
      </w:pPr>
      <w:r>
        <w:rPr>
          <w:rFonts w:hint="eastAsia" w:ascii="宋体" w:hAnsi="宋体" w:cs="宋体"/>
          <w:color w:val="auto"/>
          <w:sz w:val="24"/>
          <w:highlight w:val="none"/>
        </w:rPr>
        <w:t xml:space="preserve">供应商（电子签章）： </w:t>
      </w:r>
      <w:r>
        <w:rPr>
          <w:rFonts w:hint="eastAsia" w:ascii="宋体" w:hAnsi="宋体" w:cs="宋体"/>
          <w:color w:val="auto"/>
          <w:sz w:val="24"/>
          <w:highlight w:val="none"/>
          <w:u w:val="single"/>
        </w:rPr>
        <w:t xml:space="preserve">                              </w:t>
      </w:r>
    </w:p>
    <w:p w14:paraId="1308DB6B">
      <w:pPr>
        <w:spacing w:line="480" w:lineRule="auto"/>
        <w:ind w:firstLine="480" w:firstLineChars="200"/>
        <w:contextualSpacing/>
        <w:jc w:val="center"/>
        <w:rPr>
          <w:rFonts w:ascii="宋体" w:hAnsi="宋体" w:cs="宋体"/>
          <w:color w:val="auto"/>
          <w:sz w:val="24"/>
          <w:highlight w:val="none"/>
        </w:rPr>
      </w:pPr>
      <w:r>
        <w:rPr>
          <w:rFonts w:hint="eastAsia" w:ascii="宋体" w:hAnsi="宋体" w:cs="宋体"/>
          <w:color w:val="auto"/>
          <w:sz w:val="24"/>
          <w:highlight w:val="none"/>
        </w:rPr>
        <w:t>年    月    日</w:t>
      </w:r>
    </w:p>
    <w:p w14:paraId="55D6608D">
      <w:pPr>
        <w:rPr>
          <w:rFonts w:ascii="宋体" w:hAnsi="宋体" w:cs="宋体"/>
          <w:color w:val="auto"/>
          <w:sz w:val="32"/>
          <w:szCs w:val="32"/>
          <w:highlight w:val="none"/>
        </w:rPr>
      </w:pPr>
      <w:r>
        <w:rPr>
          <w:rFonts w:hint="eastAsia" w:ascii="宋体" w:hAnsi="宋体" w:cs="宋体"/>
          <w:color w:val="auto"/>
          <w:sz w:val="24"/>
          <w:highlight w:val="none"/>
        </w:rPr>
        <w:br w:type="page"/>
      </w:r>
    </w:p>
    <w:p w14:paraId="1C42E268">
      <w:pPr>
        <w:snapToGrid w:val="0"/>
        <w:spacing w:before="156" w:beforeLines="50" w:after="50" w:line="360" w:lineRule="auto"/>
        <w:ind w:right="480"/>
        <w:rPr>
          <w:rFonts w:ascii="宋体" w:hAnsi="宋体" w:cs="宋体"/>
          <w:b/>
          <w:color w:val="auto"/>
          <w:sz w:val="32"/>
          <w:szCs w:val="32"/>
          <w:highlight w:val="none"/>
        </w:rPr>
      </w:pPr>
      <w:r>
        <w:rPr>
          <w:rFonts w:hint="eastAsia" w:ascii="宋体" w:hAnsi="宋体" w:cs="宋体"/>
          <w:b/>
          <w:bCs/>
          <w:color w:val="auto"/>
          <w:sz w:val="32"/>
          <w:szCs w:val="32"/>
          <w:highlight w:val="none"/>
        </w:rPr>
        <w:t>三、</w:t>
      </w:r>
      <w:r>
        <w:rPr>
          <w:rFonts w:hint="eastAsia" w:ascii="宋体" w:hAnsi="宋体" w:cs="宋体"/>
          <w:b/>
          <w:color w:val="auto"/>
          <w:sz w:val="32"/>
          <w:szCs w:val="32"/>
          <w:highlight w:val="none"/>
        </w:rPr>
        <w:t>商务技术文件格式</w:t>
      </w:r>
    </w:p>
    <w:p w14:paraId="4CF479CF">
      <w:pPr>
        <w:snapToGrid w:val="0"/>
        <w:spacing w:before="156" w:beforeLines="50" w:after="50" w:line="36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t>1.商务技术文件封面格式</w:t>
      </w:r>
    </w:p>
    <w:p w14:paraId="59F1E5B8">
      <w:pPr>
        <w:snapToGrid w:val="0"/>
        <w:spacing w:before="156" w:beforeLines="50" w:after="50"/>
        <w:rPr>
          <w:rFonts w:ascii="宋体" w:hAnsi="宋体" w:cs="宋体"/>
          <w:color w:val="auto"/>
          <w:sz w:val="24"/>
          <w:highlight w:val="none"/>
        </w:rPr>
      </w:pPr>
      <w:r>
        <w:rPr>
          <w:rFonts w:hint="eastAsia" w:ascii="宋体" w:hAnsi="宋体" w:cs="宋体"/>
          <w:color w:val="auto"/>
          <w:sz w:val="24"/>
          <w:highlight w:val="none"/>
        </w:rPr>
        <w:t xml:space="preserve">                                                  </w:t>
      </w:r>
    </w:p>
    <w:p w14:paraId="3006B6C9">
      <w:pPr>
        <w:pStyle w:val="14"/>
        <w:rPr>
          <w:rFonts w:ascii="宋体" w:hAnsi="宋体" w:cs="宋体"/>
          <w:color w:val="auto"/>
          <w:sz w:val="24"/>
          <w:highlight w:val="none"/>
        </w:rPr>
      </w:pPr>
    </w:p>
    <w:p w14:paraId="0C9F08ED">
      <w:pPr>
        <w:pStyle w:val="14"/>
        <w:rPr>
          <w:rFonts w:ascii="宋体" w:hAnsi="宋体" w:cs="宋体"/>
          <w:color w:val="auto"/>
          <w:sz w:val="24"/>
          <w:highlight w:val="none"/>
        </w:rPr>
      </w:pPr>
    </w:p>
    <w:p w14:paraId="4C261FA6">
      <w:pPr>
        <w:snapToGrid w:val="0"/>
        <w:spacing w:before="156"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电 子 响 应 文 件</w:t>
      </w:r>
    </w:p>
    <w:p w14:paraId="6D98FBF1">
      <w:pPr>
        <w:snapToGrid w:val="0"/>
        <w:spacing w:before="156" w:beforeLines="50" w:after="50"/>
        <w:rPr>
          <w:rFonts w:ascii="宋体" w:hAnsi="宋体" w:cs="宋体"/>
          <w:color w:val="auto"/>
          <w:sz w:val="24"/>
          <w:szCs w:val="20"/>
          <w:highlight w:val="none"/>
        </w:rPr>
      </w:pPr>
    </w:p>
    <w:p w14:paraId="2106482F">
      <w:pPr>
        <w:snapToGrid w:val="0"/>
        <w:spacing w:before="156" w:beforeLines="50" w:after="50"/>
        <w:rPr>
          <w:rFonts w:ascii="宋体" w:hAnsi="宋体" w:cs="宋体"/>
          <w:color w:val="auto"/>
          <w:sz w:val="24"/>
          <w:szCs w:val="20"/>
          <w:highlight w:val="none"/>
        </w:rPr>
      </w:pPr>
    </w:p>
    <w:p w14:paraId="090C01D4">
      <w:pPr>
        <w:snapToGrid w:val="0"/>
        <w:spacing w:before="156" w:beforeLines="50" w:after="50"/>
        <w:ind w:firstLine="2600" w:firstLineChars="500"/>
        <w:rPr>
          <w:rFonts w:ascii="宋体" w:hAnsi="宋体" w:cs="宋体"/>
          <w:bCs/>
          <w:color w:val="auto"/>
          <w:sz w:val="52"/>
          <w:szCs w:val="52"/>
          <w:highlight w:val="none"/>
        </w:rPr>
      </w:pPr>
      <w:r>
        <w:rPr>
          <w:rFonts w:hint="eastAsia" w:ascii="宋体" w:hAnsi="宋体" w:cs="宋体"/>
          <w:bCs/>
          <w:color w:val="auto"/>
          <w:sz w:val="52"/>
          <w:szCs w:val="52"/>
          <w:highlight w:val="none"/>
        </w:rPr>
        <w:t>商 务、技 术 文 件</w:t>
      </w:r>
    </w:p>
    <w:p w14:paraId="2CAED1D2">
      <w:pPr>
        <w:snapToGrid w:val="0"/>
        <w:spacing w:before="156" w:beforeLines="50" w:after="50"/>
        <w:jc w:val="center"/>
        <w:rPr>
          <w:rFonts w:ascii="宋体" w:hAnsi="宋体" w:cs="宋体"/>
          <w:bCs/>
          <w:color w:val="auto"/>
          <w:sz w:val="44"/>
          <w:szCs w:val="44"/>
          <w:highlight w:val="none"/>
        </w:rPr>
      </w:pPr>
    </w:p>
    <w:p w14:paraId="49B43AC8">
      <w:pPr>
        <w:snapToGrid w:val="0"/>
        <w:spacing w:before="156" w:beforeLines="50" w:after="50"/>
        <w:rPr>
          <w:rFonts w:ascii="宋体" w:hAnsi="宋体" w:cs="宋体"/>
          <w:bCs/>
          <w:color w:val="auto"/>
          <w:sz w:val="24"/>
          <w:szCs w:val="20"/>
          <w:highlight w:val="none"/>
        </w:rPr>
      </w:pPr>
    </w:p>
    <w:p w14:paraId="223FEE2A">
      <w:pPr>
        <w:snapToGrid w:val="0"/>
        <w:spacing w:before="156" w:beforeLines="50" w:after="50"/>
        <w:rPr>
          <w:rFonts w:ascii="宋体" w:hAnsi="宋体" w:cs="宋体"/>
          <w:bCs/>
          <w:color w:val="auto"/>
          <w:sz w:val="24"/>
          <w:szCs w:val="20"/>
          <w:highlight w:val="none"/>
        </w:rPr>
      </w:pPr>
    </w:p>
    <w:p w14:paraId="09A07D21">
      <w:pPr>
        <w:snapToGrid w:val="0"/>
        <w:spacing w:line="480" w:lineRule="auto"/>
        <w:ind w:firstLine="1280" w:firstLineChars="400"/>
        <w:jc w:val="left"/>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r>
        <w:rPr>
          <w:rFonts w:hint="eastAsia" w:ascii="宋体" w:hAnsi="宋体" w:cs="宋体"/>
          <w:bCs/>
          <w:color w:val="auto"/>
          <w:sz w:val="32"/>
          <w:szCs w:val="32"/>
          <w:highlight w:val="none"/>
          <w:u w:val="single"/>
        </w:rPr>
        <w:t xml:space="preserve">                         </w:t>
      </w:r>
    </w:p>
    <w:p w14:paraId="6CED137B">
      <w:pPr>
        <w:snapToGrid w:val="0"/>
        <w:spacing w:line="480" w:lineRule="auto"/>
        <w:ind w:firstLine="1280" w:firstLineChars="400"/>
        <w:jc w:val="left"/>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r>
        <w:rPr>
          <w:rFonts w:hint="eastAsia" w:ascii="宋体" w:hAnsi="宋体" w:cs="宋体"/>
          <w:bCs/>
          <w:color w:val="auto"/>
          <w:sz w:val="32"/>
          <w:szCs w:val="32"/>
          <w:highlight w:val="none"/>
          <w:u w:val="single"/>
        </w:rPr>
        <w:t xml:space="preserve">                         </w:t>
      </w:r>
    </w:p>
    <w:p w14:paraId="5E11543C">
      <w:pPr>
        <w:snapToGrid w:val="0"/>
        <w:spacing w:line="480" w:lineRule="auto"/>
        <w:ind w:firstLine="1280" w:firstLineChars="400"/>
        <w:jc w:val="left"/>
        <w:rPr>
          <w:rFonts w:ascii="宋体" w:hAnsi="宋体" w:cs="宋体"/>
          <w:bCs/>
          <w:color w:val="auto"/>
          <w:sz w:val="32"/>
          <w:szCs w:val="32"/>
          <w:highlight w:val="none"/>
          <w:u w:val="single"/>
        </w:rPr>
      </w:pPr>
      <w:r>
        <w:rPr>
          <w:rFonts w:hint="eastAsia" w:ascii="宋体" w:hAnsi="宋体" w:cs="宋体"/>
          <w:bCs/>
          <w:color w:val="auto"/>
          <w:sz w:val="32"/>
          <w:szCs w:val="32"/>
          <w:highlight w:val="none"/>
        </w:rPr>
        <w:t>标项名称：</w:t>
      </w:r>
      <w:r>
        <w:rPr>
          <w:rFonts w:hint="eastAsia" w:ascii="宋体" w:hAnsi="宋体" w:cs="宋体"/>
          <w:bCs/>
          <w:color w:val="auto"/>
          <w:sz w:val="32"/>
          <w:szCs w:val="32"/>
          <w:highlight w:val="none"/>
          <w:u w:val="single"/>
        </w:rPr>
        <w:t xml:space="preserve">      </w:t>
      </w:r>
      <w:r>
        <w:rPr>
          <w:rFonts w:hint="eastAsia" w:ascii="宋体" w:hAnsi="宋体" w:cs="宋体"/>
          <w:b/>
          <w:color w:val="auto"/>
          <w:sz w:val="32"/>
          <w:szCs w:val="32"/>
          <w:highlight w:val="none"/>
          <w:u w:val="single"/>
        </w:rPr>
        <w:t xml:space="preserve"> </w:t>
      </w:r>
      <w:r>
        <w:rPr>
          <w:rFonts w:hint="eastAsia" w:ascii="宋体" w:hAnsi="宋体" w:cs="宋体"/>
          <w:bCs/>
          <w:color w:val="auto"/>
          <w:sz w:val="32"/>
          <w:szCs w:val="32"/>
          <w:highlight w:val="none"/>
          <w:u w:val="single"/>
        </w:rPr>
        <w:t xml:space="preserve">                  </w:t>
      </w:r>
    </w:p>
    <w:p w14:paraId="59D97A0E">
      <w:pPr>
        <w:pStyle w:val="44"/>
        <w:spacing w:after="0" w:line="360" w:lineRule="auto"/>
        <w:ind w:left="0" w:leftChars="0" w:firstLine="1280" w:firstLineChars="400"/>
        <w:jc w:val="left"/>
        <w:rPr>
          <w:color w:val="auto"/>
          <w:highlight w:val="none"/>
        </w:rPr>
      </w:pPr>
      <w:r>
        <w:rPr>
          <w:rFonts w:hint="eastAsia" w:ascii="宋体" w:hAnsi="宋体" w:cs="宋体"/>
          <w:bCs/>
          <w:color w:val="auto"/>
          <w:sz w:val="32"/>
          <w:szCs w:val="32"/>
          <w:highlight w:val="none"/>
        </w:rPr>
        <w:t>分     标：</w:t>
      </w:r>
      <w:r>
        <w:rPr>
          <w:rFonts w:hint="eastAsia" w:ascii="宋体" w:hAnsi="宋体" w:cs="宋体"/>
          <w:bCs/>
          <w:color w:val="auto"/>
          <w:sz w:val="32"/>
          <w:szCs w:val="32"/>
          <w:highlight w:val="none"/>
          <w:u w:val="single"/>
        </w:rPr>
        <w:t xml:space="preserve">                        </w:t>
      </w:r>
    </w:p>
    <w:p w14:paraId="072C5962">
      <w:pPr>
        <w:rPr>
          <w:color w:val="auto"/>
          <w:highlight w:val="none"/>
        </w:rPr>
      </w:pPr>
    </w:p>
    <w:p w14:paraId="4B6DC677">
      <w:pPr>
        <w:pStyle w:val="8"/>
        <w:snapToGrid w:val="0"/>
        <w:spacing w:line="360" w:lineRule="auto"/>
        <w:ind w:firstLine="1280" w:firstLineChars="400"/>
        <w:jc w:val="left"/>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r>
        <w:rPr>
          <w:rFonts w:hint="eastAsia" w:ascii="宋体" w:hAnsi="宋体" w:cs="宋体"/>
          <w:bCs/>
          <w:color w:val="auto"/>
          <w:sz w:val="32"/>
          <w:szCs w:val="32"/>
          <w:highlight w:val="none"/>
          <w:u w:val="single"/>
        </w:rPr>
        <w:t xml:space="preserve">                       </w:t>
      </w:r>
      <w:r>
        <w:rPr>
          <w:rFonts w:hint="eastAsia" w:ascii="宋体" w:hAnsi="宋体" w:cs="宋体"/>
          <w:bCs/>
          <w:color w:val="auto"/>
          <w:sz w:val="32"/>
          <w:szCs w:val="32"/>
          <w:highlight w:val="none"/>
        </w:rPr>
        <w:t xml:space="preserve"> </w:t>
      </w:r>
    </w:p>
    <w:p w14:paraId="4D63901B">
      <w:pPr>
        <w:pStyle w:val="8"/>
        <w:snapToGrid w:val="0"/>
        <w:spacing w:before="50" w:after="50"/>
        <w:ind w:firstLine="720" w:firstLineChars="225"/>
        <w:rPr>
          <w:rFonts w:ascii="宋体" w:hAnsi="宋体" w:cs="宋体"/>
          <w:bCs/>
          <w:color w:val="auto"/>
          <w:sz w:val="32"/>
          <w:szCs w:val="32"/>
          <w:highlight w:val="none"/>
        </w:rPr>
      </w:pPr>
    </w:p>
    <w:p w14:paraId="7F9C4395">
      <w:pPr>
        <w:pStyle w:val="8"/>
        <w:snapToGrid w:val="0"/>
        <w:spacing w:before="50" w:after="50"/>
        <w:ind w:firstLine="1280" w:firstLineChars="400"/>
        <w:rPr>
          <w:rFonts w:ascii="宋体" w:hAnsi="宋体" w:cs="宋体"/>
          <w:bCs/>
          <w:color w:val="auto"/>
          <w:sz w:val="32"/>
          <w:szCs w:val="32"/>
          <w:highlight w:val="none"/>
        </w:rPr>
      </w:pPr>
    </w:p>
    <w:p w14:paraId="28D99AEC">
      <w:pPr>
        <w:snapToGrid w:val="0"/>
        <w:spacing w:before="156"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3F1929E0">
      <w:pPr>
        <w:snapToGrid w:val="0"/>
        <w:spacing w:before="156" w:beforeLines="50" w:after="50" w:line="360" w:lineRule="auto"/>
        <w:ind w:left="142"/>
        <w:jc w:val="left"/>
        <w:rPr>
          <w:rFonts w:ascii="宋体" w:hAnsi="宋体" w:cs="宋体"/>
          <w:b/>
          <w:bCs/>
          <w:color w:val="auto"/>
          <w:sz w:val="24"/>
          <w:highlight w:val="none"/>
        </w:rPr>
      </w:pPr>
      <w:r>
        <w:rPr>
          <w:rFonts w:hint="eastAsia" w:ascii="宋体" w:hAnsi="宋体" w:cs="宋体"/>
          <w:color w:val="auto"/>
          <w:szCs w:val="21"/>
          <w:highlight w:val="none"/>
        </w:rPr>
        <w:br w:type="page"/>
      </w:r>
      <w:r>
        <w:rPr>
          <w:rFonts w:hint="eastAsia" w:ascii="宋体" w:hAnsi="宋体" w:cs="宋体"/>
          <w:b/>
          <w:bCs/>
          <w:color w:val="auto"/>
          <w:sz w:val="32"/>
          <w:szCs w:val="32"/>
          <w:highlight w:val="none"/>
        </w:rPr>
        <w:t>2.商务技术文件目录</w:t>
      </w:r>
    </w:p>
    <w:p w14:paraId="43683D8F">
      <w:pPr>
        <w:spacing w:line="520" w:lineRule="exact"/>
        <w:jc w:val="center"/>
        <w:rPr>
          <w:rFonts w:ascii="宋体" w:hAnsi="宋体" w:cs="宋体"/>
          <w:b/>
          <w:bCs/>
          <w:color w:val="auto"/>
          <w:sz w:val="32"/>
          <w:szCs w:val="32"/>
          <w:highlight w:val="none"/>
        </w:rPr>
      </w:pPr>
      <w:r>
        <w:rPr>
          <w:rFonts w:hint="eastAsia" w:ascii="宋体" w:hAnsi="宋体" w:cs="宋体"/>
          <w:color w:val="auto"/>
          <w:sz w:val="28"/>
          <w:szCs w:val="28"/>
          <w:highlight w:val="none"/>
        </w:rPr>
        <w:t>根据磋商文件规定及供应商提供的材料自行编写目录（部分格式后附）。</w:t>
      </w:r>
      <w:r>
        <w:rPr>
          <w:rFonts w:hint="eastAsia" w:ascii="宋体" w:hAnsi="宋体" w:cs="宋体"/>
          <w:b/>
          <w:bCs/>
          <w:color w:val="auto"/>
          <w:sz w:val="32"/>
          <w:szCs w:val="32"/>
          <w:highlight w:val="none"/>
        </w:rPr>
        <w:br w:type="page"/>
      </w:r>
    </w:p>
    <w:p w14:paraId="110E5FDC">
      <w:pPr>
        <w:rPr>
          <w:color w:val="auto"/>
          <w:highlight w:val="none"/>
        </w:rPr>
      </w:pPr>
    </w:p>
    <w:p w14:paraId="6F802448">
      <w:pPr>
        <w:spacing w:line="52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无串通竞标行为的承诺函</w:t>
      </w:r>
    </w:p>
    <w:p w14:paraId="21FCC230">
      <w:pPr>
        <w:rPr>
          <w:color w:val="auto"/>
          <w:highlight w:val="none"/>
        </w:rPr>
      </w:pPr>
    </w:p>
    <w:p w14:paraId="78B271CB">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一、我方承诺无下列相互串通竞标的情形：</w:t>
      </w:r>
    </w:p>
    <w:p w14:paraId="70C4681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 xml:space="preserve">1.不同供应商的响应文件由同一单位或者个人编制； </w:t>
      </w:r>
    </w:p>
    <w:p w14:paraId="39DA113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2.不同供应商委托同一单位或者个人办理竞标事宜；</w:t>
      </w:r>
    </w:p>
    <w:p w14:paraId="7DD2991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3.不同供应商的响应文件载明的项目管理员为同一个人；</w:t>
      </w:r>
    </w:p>
    <w:p w14:paraId="1347A66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4.不</w:t>
      </w:r>
      <w:r>
        <w:rPr>
          <w:rFonts w:hint="eastAsia" w:ascii="宋体" w:hAnsi="宋体" w:cs="宋体"/>
          <w:color w:val="auto"/>
          <w:spacing w:val="-6"/>
          <w:sz w:val="24"/>
          <w:highlight w:val="none"/>
        </w:rPr>
        <w:t>同供应商的响应文件异常一致或者竞标报价呈规律性差异；</w:t>
      </w:r>
    </w:p>
    <w:p w14:paraId="3EC6928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5.不同供应商的响应文件相互混装；</w:t>
      </w:r>
    </w:p>
    <w:p w14:paraId="62EF52B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6.不同供应商的磋商保证金从同一单位或者个人账户转出。</w:t>
      </w:r>
    </w:p>
    <w:p w14:paraId="12449631">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二、我方承诺无下列恶意串通的情形：</w:t>
      </w:r>
    </w:p>
    <w:p w14:paraId="6C427E4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14:paraId="4DF2AD7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14:paraId="71F5F2C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3.供</w:t>
      </w:r>
      <w:r>
        <w:rPr>
          <w:rFonts w:hint="eastAsia" w:ascii="宋体" w:hAnsi="宋体" w:cs="宋体"/>
          <w:color w:val="auto"/>
          <w:spacing w:val="-6"/>
          <w:sz w:val="24"/>
          <w:highlight w:val="none"/>
        </w:rPr>
        <w:t>应商之间协商报价、技术方案等响应文件的实质性内容；</w:t>
      </w:r>
    </w:p>
    <w:p w14:paraId="036F340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14:paraId="5C2CB17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39A0D46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14:paraId="6A02749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14:paraId="7B40F0D8">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以上情形一经核查属实，我方愿意承担一切后果，并不再寻求任何旨在减轻或者免除法律责任的辩解。</w:t>
      </w:r>
    </w:p>
    <w:p w14:paraId="05647CB1">
      <w:pPr>
        <w:spacing w:line="360" w:lineRule="auto"/>
        <w:contextualSpacing/>
        <w:rPr>
          <w:rFonts w:ascii="宋体" w:hAnsi="宋体" w:cs="宋体"/>
          <w:color w:val="auto"/>
          <w:sz w:val="24"/>
          <w:highlight w:val="none"/>
        </w:rPr>
      </w:pPr>
    </w:p>
    <w:p w14:paraId="7B104D44">
      <w:pPr>
        <w:spacing w:line="360" w:lineRule="auto"/>
        <w:ind w:firstLine="5520" w:firstLineChars="2300"/>
        <w:contextualSpacing/>
        <w:rPr>
          <w:rFonts w:ascii="宋体" w:hAnsi="宋体" w:cs="宋体"/>
          <w:color w:val="auto"/>
          <w:sz w:val="24"/>
          <w:highlight w:val="none"/>
        </w:rPr>
      </w:pPr>
      <w:r>
        <w:rPr>
          <w:rFonts w:hint="eastAsia" w:ascii="宋体" w:hAnsi="宋体" w:cs="宋体"/>
          <w:color w:val="auto"/>
          <w:sz w:val="24"/>
          <w:highlight w:val="none"/>
        </w:rPr>
        <w:t>供应商（电子签章）：</w:t>
      </w:r>
    </w:p>
    <w:p w14:paraId="3B712808">
      <w:pPr>
        <w:spacing w:line="360" w:lineRule="auto"/>
        <w:ind w:firstLine="480" w:firstLineChars="200"/>
        <w:contextualSpacing/>
        <w:jc w:val="center"/>
        <w:rPr>
          <w:rFonts w:ascii="宋体" w:hAnsi="宋体" w:cs="宋体"/>
          <w:color w:val="auto"/>
          <w:sz w:val="32"/>
          <w:szCs w:val="32"/>
          <w:highlight w:val="none"/>
        </w:rPr>
      </w:pPr>
      <w:r>
        <w:rPr>
          <w:rFonts w:hint="eastAsia" w:ascii="宋体" w:hAnsi="宋体" w:cs="宋体"/>
          <w:color w:val="auto"/>
          <w:sz w:val="24"/>
          <w:highlight w:val="none"/>
        </w:rPr>
        <w:t xml:space="preserve">                               年   月   日</w:t>
      </w:r>
    </w:p>
    <w:p w14:paraId="7F199E55">
      <w:pPr>
        <w:spacing w:line="520" w:lineRule="exact"/>
        <w:jc w:val="center"/>
        <w:rPr>
          <w:rFonts w:ascii="宋体" w:hAnsi="宋体" w:cs="宋体"/>
          <w:bCs/>
          <w:color w:val="auto"/>
          <w:sz w:val="44"/>
          <w:szCs w:val="44"/>
          <w:highlight w:val="none"/>
        </w:rPr>
      </w:pPr>
    </w:p>
    <w:p w14:paraId="14DC2482">
      <w:pPr>
        <w:spacing w:line="520" w:lineRule="exact"/>
        <w:jc w:val="center"/>
        <w:rPr>
          <w:rFonts w:ascii="宋体" w:hAnsi="宋体" w:cs="宋体"/>
          <w:bCs/>
          <w:color w:val="auto"/>
          <w:sz w:val="44"/>
          <w:szCs w:val="44"/>
          <w:highlight w:val="none"/>
        </w:rPr>
      </w:pPr>
    </w:p>
    <w:p w14:paraId="5C714BFE">
      <w:pPr>
        <w:rPr>
          <w:color w:val="auto"/>
          <w:highlight w:val="none"/>
        </w:rPr>
      </w:pPr>
    </w:p>
    <w:p w14:paraId="017D3508">
      <w:pPr>
        <w:spacing w:line="360" w:lineRule="auto"/>
        <w:contextualSpacing/>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法定代表人证明书</w:t>
      </w:r>
    </w:p>
    <w:p w14:paraId="3B681AA5">
      <w:pPr>
        <w:spacing w:line="360" w:lineRule="auto"/>
        <w:ind w:left="540"/>
        <w:contextualSpacing/>
        <w:rPr>
          <w:rFonts w:ascii="宋体" w:hAnsi="宋体" w:cs="宋体"/>
          <w:color w:val="auto"/>
          <w:sz w:val="32"/>
          <w:szCs w:val="32"/>
          <w:highlight w:val="none"/>
        </w:rPr>
      </w:pPr>
    </w:p>
    <w:p w14:paraId="23D30243">
      <w:pPr>
        <w:spacing w:line="480" w:lineRule="auto"/>
        <w:ind w:left="540"/>
        <w:contextualSpacing/>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p>
    <w:p w14:paraId="710A8CDE">
      <w:pPr>
        <w:spacing w:line="480" w:lineRule="auto"/>
        <w:ind w:left="540"/>
        <w:contextualSpacing/>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3CCB1A42">
      <w:pPr>
        <w:spacing w:line="480" w:lineRule="auto"/>
        <w:ind w:left="540"/>
        <w:contextualSpacing/>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56BB2852">
      <w:pPr>
        <w:spacing w:line="480" w:lineRule="auto"/>
        <w:ind w:left="540"/>
        <w:contextualSpacing/>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6506C387">
      <w:pPr>
        <w:spacing w:line="480" w:lineRule="auto"/>
        <w:ind w:left="540"/>
        <w:contextualSpacing/>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4F8807E8">
      <w:pPr>
        <w:spacing w:line="48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14:paraId="30A41E68">
      <w:pPr>
        <w:spacing w:line="480" w:lineRule="auto"/>
        <w:ind w:left="540"/>
        <w:contextualSpacing/>
        <w:rPr>
          <w:rFonts w:ascii="宋体" w:hAnsi="宋体" w:cs="宋体"/>
          <w:color w:val="auto"/>
          <w:sz w:val="24"/>
          <w:highlight w:val="none"/>
        </w:rPr>
      </w:pPr>
      <w:r>
        <w:rPr>
          <w:rFonts w:hint="eastAsia" w:ascii="宋体" w:hAnsi="宋体" w:cs="宋体"/>
          <w:color w:val="auto"/>
          <w:sz w:val="24"/>
          <w:highlight w:val="none"/>
        </w:rPr>
        <w:t>特此证明。</w:t>
      </w:r>
    </w:p>
    <w:p w14:paraId="232F4E6E">
      <w:pPr>
        <w:spacing w:line="360" w:lineRule="auto"/>
        <w:ind w:left="540"/>
        <w:contextualSpacing/>
        <w:rPr>
          <w:rFonts w:ascii="宋体" w:hAnsi="宋体" w:cs="宋体"/>
          <w:color w:val="auto"/>
          <w:sz w:val="24"/>
          <w:highlight w:val="none"/>
        </w:rPr>
      </w:pPr>
    </w:p>
    <w:p w14:paraId="68E092D9">
      <w:pPr>
        <w:spacing w:line="360" w:lineRule="auto"/>
        <w:contextualSpacing/>
        <w:rPr>
          <w:rFonts w:ascii="宋体" w:hAnsi="宋体" w:cs="宋体"/>
          <w:color w:val="auto"/>
          <w:sz w:val="24"/>
          <w:highlight w:val="none"/>
        </w:rPr>
      </w:pPr>
    </w:p>
    <w:p w14:paraId="0A6E7437">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4A6D0C3D">
      <w:pPr>
        <w:spacing w:line="360" w:lineRule="auto"/>
        <w:ind w:left="540"/>
        <w:contextualSpacing/>
        <w:rPr>
          <w:rFonts w:ascii="宋体" w:hAnsi="宋体" w:cs="宋体"/>
          <w:color w:val="auto"/>
          <w:sz w:val="24"/>
          <w:highlight w:val="none"/>
        </w:rPr>
      </w:pPr>
    </w:p>
    <w:p w14:paraId="547B6B15">
      <w:pPr>
        <w:spacing w:line="360" w:lineRule="auto"/>
        <w:ind w:left="540"/>
        <w:contextualSpacing/>
        <w:jc w:val="center"/>
        <w:rPr>
          <w:rFonts w:ascii="宋体" w:hAnsi="宋体" w:cs="宋体"/>
          <w:color w:val="auto"/>
          <w:sz w:val="24"/>
          <w:highlight w:val="none"/>
        </w:rPr>
      </w:pPr>
      <w:r>
        <w:rPr>
          <w:rFonts w:hint="eastAsia" w:ascii="宋体" w:hAnsi="宋体" w:cs="宋体"/>
          <w:color w:val="auto"/>
          <w:sz w:val="24"/>
          <w:highlight w:val="none"/>
        </w:rPr>
        <w:t>供应商（电子签章）：</w:t>
      </w:r>
      <w:r>
        <w:rPr>
          <w:rFonts w:hint="eastAsia" w:ascii="宋体" w:hAnsi="宋体" w:cs="宋体"/>
          <w:color w:val="auto"/>
          <w:sz w:val="24"/>
          <w:highlight w:val="none"/>
          <w:u w:val="single"/>
        </w:rPr>
        <w:t xml:space="preserve">                    </w:t>
      </w:r>
    </w:p>
    <w:p w14:paraId="1DC7E630">
      <w:pPr>
        <w:spacing w:line="360" w:lineRule="auto"/>
        <w:ind w:firstLine="5520" w:firstLineChars="2300"/>
        <w:contextualSpacing/>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8D685F3">
      <w:pPr>
        <w:spacing w:line="360" w:lineRule="auto"/>
        <w:contextualSpacing/>
        <w:jc w:val="center"/>
        <w:rPr>
          <w:rFonts w:ascii="宋体" w:hAnsi="宋体" w:cs="宋体"/>
          <w:b/>
          <w:color w:val="auto"/>
          <w:sz w:val="24"/>
          <w:highlight w:val="none"/>
        </w:rPr>
      </w:pPr>
    </w:p>
    <w:p w14:paraId="78DD6BD4">
      <w:pPr>
        <w:spacing w:line="360" w:lineRule="auto"/>
        <w:contextualSpacing/>
        <w:jc w:val="left"/>
        <w:rPr>
          <w:rFonts w:ascii="宋体" w:hAnsi="宋体" w:cs="宋体"/>
          <w:color w:val="auto"/>
          <w:sz w:val="24"/>
          <w:highlight w:val="none"/>
        </w:rPr>
      </w:pPr>
    </w:p>
    <w:p w14:paraId="617E98D4">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注：自然人竞标的无需提供，联合体竞标的只需牵头人出具。</w:t>
      </w:r>
    </w:p>
    <w:p w14:paraId="50B9DDBF">
      <w:pPr>
        <w:adjustRightInd w:val="0"/>
        <w:snapToGrid w:val="0"/>
        <w:spacing w:line="300" w:lineRule="auto"/>
        <w:jc w:val="left"/>
        <w:rPr>
          <w:rFonts w:ascii="宋体" w:hAnsi="宋体" w:cs="宋体"/>
          <w:b/>
          <w:color w:val="auto"/>
          <w:szCs w:val="21"/>
          <w:highlight w:val="none"/>
        </w:rPr>
      </w:pPr>
    </w:p>
    <w:p w14:paraId="057CD556">
      <w:pPr>
        <w:spacing w:line="50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color w:val="auto"/>
          <w:sz w:val="44"/>
          <w:szCs w:val="44"/>
          <w:highlight w:val="none"/>
        </w:rPr>
        <w:t xml:space="preserve"> </w:t>
      </w:r>
    </w:p>
    <w:p w14:paraId="2110FBC4">
      <w:pPr>
        <w:spacing w:line="520" w:lineRule="exact"/>
        <w:jc w:val="center"/>
        <w:rPr>
          <w:rFonts w:ascii="宋体" w:hAnsi="宋体" w:cs="宋体"/>
          <w:b/>
          <w:bCs/>
          <w:color w:val="auto"/>
          <w:sz w:val="32"/>
          <w:szCs w:val="32"/>
          <w:highlight w:val="none"/>
        </w:rPr>
      </w:pPr>
      <w:bookmarkStart w:id="77" w:name="_Hlk65853643"/>
      <w:r>
        <w:rPr>
          <w:rFonts w:hint="eastAsia" w:ascii="宋体" w:hAnsi="宋体" w:cs="宋体"/>
          <w:b/>
          <w:bCs/>
          <w:color w:val="auto"/>
          <w:sz w:val="32"/>
          <w:szCs w:val="32"/>
          <w:highlight w:val="none"/>
        </w:rPr>
        <w:t>授权委托书</w:t>
      </w:r>
    </w:p>
    <w:p w14:paraId="23975889">
      <w:pPr>
        <w:spacing w:line="52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（非联合体竞标格式）</w:t>
      </w:r>
    </w:p>
    <w:p w14:paraId="002C3A71">
      <w:pPr>
        <w:spacing w:line="52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（如有委托时）</w:t>
      </w:r>
    </w:p>
    <w:p w14:paraId="3BCABD25">
      <w:pPr>
        <w:spacing w:line="520" w:lineRule="exact"/>
        <w:rPr>
          <w:rFonts w:ascii="宋体" w:hAnsi="宋体" w:cs="宋体"/>
          <w:color w:val="auto"/>
          <w:sz w:val="32"/>
          <w:szCs w:val="32"/>
          <w:highlight w:val="none"/>
        </w:rPr>
      </w:pPr>
    </w:p>
    <w:p w14:paraId="6BC701D7">
      <w:pPr>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4C9E95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w:t>
      </w:r>
      <w:r>
        <w:rPr>
          <w:rFonts w:hint="eastAsia" w:ascii="宋体" w:hAnsi="宋体" w:cs="宋体"/>
          <w:color w:val="auto"/>
          <w:sz w:val="24"/>
          <w:highlight w:val="none"/>
          <w:u w:val="single"/>
        </w:rPr>
        <w:sym w:font="Wingdings 2" w:char="00A3"/>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项目（分标：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）的竞标活动，并代表我方全权办理针对上述项目的所有采购程序和环节的具体事务和签署相关文件。</w:t>
      </w:r>
    </w:p>
    <w:p w14:paraId="7AE128B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我方对委托代理人的签字或者电子签名事项负全部责任。</w:t>
      </w:r>
    </w:p>
    <w:p w14:paraId="2AE42C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0E866F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5668F1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附：法定代表人身份证明书及委托代理人有效身份证正反面复印件</w:t>
      </w:r>
    </w:p>
    <w:p w14:paraId="13105575">
      <w:pPr>
        <w:spacing w:line="360" w:lineRule="auto"/>
        <w:rPr>
          <w:rFonts w:ascii="宋体" w:hAnsi="宋体" w:cs="宋体"/>
          <w:color w:val="auto"/>
          <w:sz w:val="24"/>
          <w:highlight w:val="none"/>
        </w:rPr>
      </w:pPr>
    </w:p>
    <w:p w14:paraId="74AB2E23">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 xml:space="preserve">委托代理人（签字或者电子签名）：     法定代表人（签字或者盖章或者电子签名）：                    </w:t>
      </w:r>
    </w:p>
    <w:p w14:paraId="6615DD3D">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 xml:space="preserve">委托代理人身份证号码：                              </w:t>
      </w:r>
    </w:p>
    <w:p w14:paraId="6FD555FB">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 xml:space="preserve">                                </w:t>
      </w:r>
    </w:p>
    <w:p w14:paraId="665082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供应商（电子签章）：                      </w:t>
      </w:r>
    </w:p>
    <w:p w14:paraId="39B7062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3D7406E5">
      <w:pPr>
        <w:spacing w:line="360" w:lineRule="auto"/>
        <w:rPr>
          <w:rFonts w:ascii="宋体" w:hAnsi="宋体" w:cs="宋体"/>
          <w:color w:val="auto"/>
          <w:sz w:val="24"/>
          <w:highlight w:val="none"/>
        </w:rPr>
      </w:pPr>
    </w:p>
    <w:p w14:paraId="27395B48">
      <w:pPr>
        <w:spacing w:line="360" w:lineRule="auto"/>
        <w:rPr>
          <w:rFonts w:ascii="宋体" w:hAnsi="宋体" w:cs="宋体"/>
          <w:color w:val="auto"/>
          <w:sz w:val="24"/>
          <w:highlight w:val="none"/>
        </w:rPr>
      </w:pPr>
      <w:r>
        <w:rPr>
          <w:rFonts w:hint="eastAsia" w:ascii="宋体" w:hAnsi="宋体" w:cs="宋体"/>
          <w:color w:val="auto"/>
          <w:sz w:val="24"/>
          <w:highlight w:val="none"/>
        </w:rPr>
        <w:t>注：1. 法定代表人必须在授权委托书上签字或者盖章或者电子签名，委托代理人必须在授权委托书上签字或者电子签名，</w:t>
      </w:r>
      <w:r>
        <w:rPr>
          <w:rFonts w:hint="eastAsia" w:ascii="宋体" w:hAnsi="宋体" w:cs="宋体"/>
          <w:b/>
          <w:color w:val="auto"/>
          <w:sz w:val="24"/>
          <w:highlight w:val="none"/>
        </w:rPr>
        <w:t>否则其响应文件按无效响应处理。</w:t>
      </w:r>
    </w:p>
    <w:p w14:paraId="5E6F95B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bookmarkStart w:id="78" w:name="_Hlk65853109"/>
      <w:bookmarkStart w:id="79" w:name="_Hlk65853542"/>
      <w:r>
        <w:rPr>
          <w:rFonts w:hint="eastAsia" w:ascii="宋体" w:hAnsi="宋体" w:cs="宋体"/>
          <w:color w:val="auto"/>
          <w:sz w:val="24"/>
          <w:highlight w:val="none"/>
        </w:rPr>
        <w:t>法人、其他组织竞标时“我方”是指“我单位”，自然人竞标时“我方”是指“本人”。</w:t>
      </w:r>
      <w:bookmarkEnd w:id="78"/>
    </w:p>
    <w:bookmarkEnd w:id="79"/>
    <w:p w14:paraId="79CEC4DF">
      <w:pPr>
        <w:spacing w:line="360" w:lineRule="auto"/>
        <w:ind w:firstLine="420" w:firstLineChars="200"/>
        <w:jc w:val="left"/>
        <w:rPr>
          <w:rFonts w:ascii="宋体" w:hAnsi="宋体" w:cs="宋体"/>
          <w:color w:val="auto"/>
          <w:szCs w:val="21"/>
          <w:highlight w:val="none"/>
        </w:rPr>
      </w:pPr>
    </w:p>
    <w:p w14:paraId="0C639ED8">
      <w:pPr>
        <w:spacing w:line="500" w:lineRule="exact"/>
        <w:jc w:val="center"/>
        <w:rPr>
          <w:rFonts w:ascii="宋体" w:hAnsi="宋体" w:cs="宋体"/>
          <w:color w:val="auto"/>
          <w:szCs w:val="21"/>
          <w:highlight w:val="none"/>
        </w:rPr>
      </w:pPr>
      <w:r>
        <w:rPr>
          <w:rFonts w:hint="eastAsia" w:ascii="宋体" w:hAnsi="宋体" w:cs="宋体"/>
          <w:color w:val="auto"/>
          <w:szCs w:val="21"/>
          <w:highlight w:val="none"/>
        </w:rPr>
        <w:br w:type="page"/>
      </w:r>
    </w:p>
    <w:p w14:paraId="64D17372">
      <w:pPr>
        <w:rPr>
          <w:color w:val="auto"/>
          <w:highlight w:val="none"/>
        </w:rPr>
      </w:pPr>
    </w:p>
    <w:p w14:paraId="5246D858">
      <w:pPr>
        <w:spacing w:line="500" w:lineRule="exact"/>
        <w:jc w:val="center"/>
        <w:rPr>
          <w:rFonts w:ascii="宋体" w:hAnsi="宋体" w:cs="宋体"/>
          <w:b/>
          <w:bCs/>
          <w:color w:val="auto"/>
          <w:sz w:val="44"/>
          <w:szCs w:val="44"/>
          <w:highlight w:val="none"/>
        </w:rPr>
      </w:pPr>
      <w:r>
        <w:rPr>
          <w:rFonts w:hint="eastAsia" w:ascii="宋体" w:hAnsi="宋体" w:cs="宋体"/>
          <w:b/>
          <w:bCs/>
          <w:color w:val="auto"/>
          <w:sz w:val="32"/>
          <w:szCs w:val="32"/>
          <w:highlight w:val="none"/>
        </w:rPr>
        <w:t>授权委托书</w:t>
      </w:r>
    </w:p>
    <w:p w14:paraId="02E69272">
      <w:pPr>
        <w:spacing w:line="500" w:lineRule="exact"/>
        <w:jc w:val="center"/>
        <w:rPr>
          <w:rFonts w:ascii="宋体" w:hAnsi="宋体" w:cs="宋体"/>
          <w:b/>
          <w:bCs/>
          <w:color w:val="auto"/>
          <w:sz w:val="24"/>
          <w:highlight w:val="none"/>
        </w:rPr>
      </w:pPr>
      <w:r>
        <w:rPr>
          <w:rFonts w:hint="eastAsia" w:ascii="宋体" w:hAnsi="宋体" w:cs="宋体"/>
          <w:b/>
          <w:bCs/>
          <w:color w:val="auto"/>
          <w:sz w:val="24"/>
          <w:highlight w:val="none"/>
        </w:rPr>
        <w:t>（联合体竞标格式）</w:t>
      </w:r>
    </w:p>
    <w:p w14:paraId="628CD729">
      <w:pPr>
        <w:spacing w:line="500" w:lineRule="exact"/>
        <w:jc w:val="center"/>
        <w:rPr>
          <w:rFonts w:ascii="宋体" w:hAnsi="宋体" w:cs="宋体"/>
          <w:b/>
          <w:bCs/>
          <w:color w:val="auto"/>
          <w:sz w:val="24"/>
          <w:highlight w:val="none"/>
        </w:rPr>
      </w:pPr>
      <w:r>
        <w:rPr>
          <w:rFonts w:hint="eastAsia" w:ascii="宋体" w:hAnsi="宋体" w:cs="宋体"/>
          <w:b/>
          <w:bCs/>
          <w:color w:val="auto"/>
          <w:sz w:val="24"/>
          <w:highlight w:val="none"/>
        </w:rPr>
        <w:t>（如有委托时）</w:t>
      </w:r>
    </w:p>
    <w:p w14:paraId="50271F21">
      <w:pPr>
        <w:spacing w:line="500" w:lineRule="exact"/>
        <w:jc w:val="center"/>
        <w:rPr>
          <w:rFonts w:ascii="宋体" w:hAnsi="宋体" w:cs="宋体"/>
          <w:color w:val="auto"/>
          <w:sz w:val="44"/>
          <w:szCs w:val="44"/>
          <w:highlight w:val="none"/>
        </w:rPr>
      </w:pPr>
    </w:p>
    <w:p w14:paraId="07E220AA">
      <w:pPr>
        <w:spacing w:line="500" w:lineRule="exact"/>
        <w:jc w:val="center"/>
        <w:rPr>
          <w:rFonts w:ascii="宋体" w:hAnsi="宋体" w:cs="宋体"/>
          <w:color w:val="auto"/>
          <w:sz w:val="32"/>
          <w:szCs w:val="32"/>
          <w:highlight w:val="none"/>
        </w:rPr>
      </w:pPr>
    </w:p>
    <w:p w14:paraId="090BCDE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本授权委托书声明：根据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（联合体其他成员名称）签订的《联合体竞标协议书》的内容，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（牵头人名称）的法定代表人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（姓名）现授权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（姓名）为联合委托代理人，并代表我方全权办理针对上述项目的所有采购程序和环节的具体事务和签署相关文件。</w:t>
      </w:r>
    </w:p>
    <w:p w14:paraId="24E7274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我方对委托代理人的签字或者电子签名事项负全部责任。</w:t>
      </w:r>
    </w:p>
    <w:p w14:paraId="52DBB60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51E1EF9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63B19300">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 xml:space="preserve">    附：法定代表人身份证明书及委托代理人有效身份证正反面复印件</w:t>
      </w:r>
    </w:p>
    <w:p w14:paraId="2E615FB6">
      <w:pPr>
        <w:spacing w:line="360" w:lineRule="auto"/>
        <w:ind w:firstLine="480" w:firstLineChars="200"/>
        <w:contextualSpacing/>
        <w:rPr>
          <w:rFonts w:ascii="宋体" w:hAnsi="宋体" w:cs="宋体"/>
          <w:color w:val="auto"/>
          <w:sz w:val="24"/>
          <w:highlight w:val="none"/>
        </w:rPr>
      </w:pPr>
    </w:p>
    <w:p w14:paraId="68A1947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牵头人法定代表人（签字或者盖章或者电子签名）：</w:t>
      </w:r>
    </w:p>
    <w:p w14:paraId="19CA9BA3">
      <w:pPr>
        <w:spacing w:line="360" w:lineRule="auto"/>
        <w:ind w:firstLine="3120" w:firstLineChars="1300"/>
        <w:contextualSpacing/>
        <w:rPr>
          <w:rFonts w:ascii="宋体" w:hAnsi="宋体" w:cs="宋体"/>
          <w:color w:val="auto"/>
          <w:sz w:val="24"/>
          <w:highlight w:val="none"/>
        </w:rPr>
      </w:pPr>
    </w:p>
    <w:p w14:paraId="0CC18B58">
      <w:pPr>
        <w:spacing w:line="360" w:lineRule="auto"/>
        <w:ind w:firstLine="3120" w:firstLineChars="1300"/>
        <w:contextualSpacing/>
        <w:rPr>
          <w:rFonts w:ascii="宋体" w:hAnsi="宋体" w:cs="宋体"/>
          <w:color w:val="auto"/>
          <w:sz w:val="24"/>
          <w:highlight w:val="none"/>
        </w:rPr>
      </w:pPr>
      <w:r>
        <w:rPr>
          <w:rFonts w:hint="eastAsia" w:ascii="宋体" w:hAnsi="宋体" w:cs="宋体"/>
          <w:color w:val="auto"/>
          <w:sz w:val="24"/>
          <w:highlight w:val="none"/>
        </w:rPr>
        <w:t>牵头人（电子签章）：</w:t>
      </w:r>
    </w:p>
    <w:p w14:paraId="780B5B40">
      <w:pPr>
        <w:spacing w:line="360" w:lineRule="auto"/>
        <w:ind w:firstLine="3840" w:firstLineChars="1600"/>
        <w:contextualSpacing/>
        <w:rPr>
          <w:rFonts w:ascii="宋体" w:hAnsi="宋体" w:cs="宋体"/>
          <w:color w:val="auto"/>
          <w:sz w:val="24"/>
          <w:highlight w:val="none"/>
        </w:rPr>
      </w:pPr>
      <w:r>
        <w:rPr>
          <w:rFonts w:hint="eastAsia" w:ascii="宋体" w:hAnsi="宋体" w:cs="宋体"/>
          <w:color w:val="auto"/>
          <w:sz w:val="24"/>
          <w:highlight w:val="none"/>
        </w:rPr>
        <w:t>日期：    年   月   日</w:t>
      </w:r>
    </w:p>
    <w:p w14:paraId="66B88D80">
      <w:pPr>
        <w:spacing w:line="360" w:lineRule="auto"/>
        <w:contextualSpacing/>
        <w:rPr>
          <w:rFonts w:ascii="宋体" w:hAnsi="宋体" w:cs="宋体"/>
          <w:color w:val="auto"/>
          <w:sz w:val="24"/>
          <w:highlight w:val="none"/>
        </w:rPr>
      </w:pPr>
    </w:p>
    <w:p w14:paraId="51194D07">
      <w:pPr>
        <w:spacing w:line="360" w:lineRule="auto"/>
        <w:ind w:firstLine="3120" w:firstLineChars="1300"/>
        <w:contextualSpacing/>
        <w:rPr>
          <w:rFonts w:ascii="宋体" w:hAnsi="宋体" w:cs="宋体"/>
          <w:color w:val="auto"/>
          <w:sz w:val="24"/>
          <w:highlight w:val="none"/>
        </w:rPr>
      </w:pPr>
      <w:r>
        <w:rPr>
          <w:rFonts w:hint="eastAsia" w:ascii="宋体" w:hAnsi="宋体" w:cs="宋体"/>
          <w:color w:val="auto"/>
          <w:sz w:val="24"/>
          <w:highlight w:val="none"/>
        </w:rPr>
        <w:t>被授权人（签字或者电子签名）：</w:t>
      </w:r>
    </w:p>
    <w:p w14:paraId="52ACE41A">
      <w:pPr>
        <w:spacing w:line="360" w:lineRule="auto"/>
        <w:ind w:firstLine="3840" w:firstLineChars="1600"/>
        <w:contextualSpacing/>
        <w:rPr>
          <w:rFonts w:ascii="宋体" w:hAnsi="宋体" w:cs="宋体"/>
          <w:color w:val="auto"/>
          <w:sz w:val="24"/>
          <w:highlight w:val="none"/>
        </w:rPr>
      </w:pPr>
      <w:r>
        <w:rPr>
          <w:rFonts w:hint="eastAsia" w:ascii="宋体" w:hAnsi="宋体" w:cs="宋体"/>
          <w:color w:val="auto"/>
          <w:sz w:val="24"/>
          <w:highlight w:val="none"/>
        </w:rPr>
        <w:t>日期：    年   月   日</w:t>
      </w:r>
    </w:p>
    <w:p w14:paraId="4DB79C20">
      <w:pPr>
        <w:spacing w:line="360" w:lineRule="auto"/>
        <w:contextualSpacing/>
        <w:rPr>
          <w:rFonts w:ascii="宋体" w:hAnsi="宋体" w:cs="宋体"/>
          <w:color w:val="auto"/>
          <w:sz w:val="24"/>
          <w:highlight w:val="none"/>
        </w:rPr>
      </w:pPr>
    </w:p>
    <w:p w14:paraId="17ED59EF">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注：1. 法定代表人必须在授权委托书上签字或者盖章或者电子签名，委托代理人必须在授权委托书上签字或者电子签名，</w:t>
      </w:r>
      <w:r>
        <w:rPr>
          <w:rFonts w:hint="eastAsia" w:ascii="宋体" w:hAnsi="宋体" w:cs="宋体"/>
          <w:b/>
          <w:color w:val="auto"/>
          <w:sz w:val="24"/>
          <w:highlight w:val="none"/>
        </w:rPr>
        <w:t>否则其响应文件按无效响应处理。</w:t>
      </w:r>
    </w:p>
    <w:p w14:paraId="079FE54B">
      <w:pPr>
        <w:spacing w:line="360" w:lineRule="auto"/>
        <w:ind w:firstLine="480" w:firstLineChars="200"/>
        <w:jc w:val="left"/>
        <w:rPr>
          <w:rFonts w:ascii="宋体" w:hAnsi="宋体" w:cs="宋体"/>
          <w:color w:val="auto"/>
          <w:spacing w:val="-11"/>
          <w:sz w:val="24"/>
          <w:highlight w:val="none"/>
        </w:rPr>
      </w:pPr>
      <w:r>
        <w:rPr>
          <w:rFonts w:hint="eastAsia" w:ascii="宋体" w:hAnsi="宋体" w:cs="宋体"/>
          <w:color w:val="auto"/>
          <w:sz w:val="24"/>
          <w:highlight w:val="none"/>
        </w:rPr>
        <w:t>2.法人、其他组织竞标时“我方”是指“我单位”，自然人竞标时“我方”是指“本人”。</w:t>
      </w:r>
    </w:p>
    <w:bookmarkEnd w:id="77"/>
    <w:p w14:paraId="1C2C1BF4">
      <w:pPr>
        <w:spacing w:line="50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br w:type="page"/>
      </w:r>
    </w:p>
    <w:p w14:paraId="633931D6">
      <w:pPr>
        <w:rPr>
          <w:color w:val="auto"/>
          <w:highlight w:val="none"/>
        </w:rPr>
      </w:pPr>
    </w:p>
    <w:p w14:paraId="2439C28C">
      <w:pPr>
        <w:spacing w:line="5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商务要求偏离表格式</w:t>
      </w:r>
    </w:p>
    <w:p w14:paraId="56E94C99">
      <w:pPr>
        <w:spacing w:line="500" w:lineRule="exact"/>
        <w:jc w:val="center"/>
        <w:rPr>
          <w:rFonts w:ascii="宋体" w:hAnsi="宋体" w:cs="宋体"/>
          <w:b/>
          <w:i/>
          <w:color w:val="auto"/>
          <w:sz w:val="28"/>
          <w:szCs w:val="28"/>
          <w:highlight w:val="none"/>
        </w:rPr>
      </w:pPr>
      <w:r>
        <w:rPr>
          <w:rFonts w:hint="eastAsia" w:ascii="宋体" w:hAnsi="宋体" w:cs="宋体"/>
          <w:bCs/>
          <w:i/>
          <w:color w:val="auto"/>
          <w:sz w:val="28"/>
          <w:szCs w:val="28"/>
          <w:highlight w:val="none"/>
        </w:rPr>
        <w:t>（注：按采购需求具体条款修改）</w:t>
      </w:r>
    </w:p>
    <w:p w14:paraId="4F2C7E52">
      <w:pPr>
        <w:spacing w:line="360" w:lineRule="auto"/>
        <w:contextualSpacing/>
        <w:jc w:val="left"/>
        <w:rPr>
          <w:rFonts w:ascii="宋体" w:hAnsi="宋体" w:cs="宋体"/>
          <w:color w:val="auto"/>
          <w:sz w:val="24"/>
          <w:highlight w:val="none"/>
        </w:rPr>
      </w:pPr>
    </w:p>
    <w:p w14:paraId="78F6E97A">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single"/>
        </w:rPr>
        <w:t xml:space="preserve">                 </w:t>
      </w:r>
    </w:p>
    <w:p w14:paraId="3367D76B">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p>
    <w:p w14:paraId="31C00581">
      <w:pPr>
        <w:pStyle w:val="2"/>
        <w:ind w:firstLine="0" w:firstLineChars="0"/>
        <w:rPr>
          <w:rFonts w:ascii="宋体" w:hAnsi="宋体" w:eastAsia="宋体" w:cs="宋体"/>
          <w:color w:val="auto"/>
          <w:highlight w:val="none"/>
        </w:rPr>
      </w:pPr>
      <w:r>
        <w:rPr>
          <w:rFonts w:hint="eastAsia" w:ascii="宋体" w:hAnsi="宋体" w:eastAsia="宋体" w:cs="宋体"/>
          <w:color w:val="auto"/>
          <w:sz w:val="24"/>
          <w:highlight w:val="none"/>
        </w:rPr>
        <w:t>标项名称：</w:t>
      </w:r>
      <w:r>
        <w:rPr>
          <w:rFonts w:hint="eastAsia" w:ascii="宋体" w:hAnsi="宋体" w:eastAsia="宋体" w:cs="宋体"/>
          <w:color w:val="auto"/>
          <w:sz w:val="24"/>
          <w:highlight w:val="none"/>
          <w:u w:val="single"/>
        </w:rPr>
        <w:t xml:space="preserve">                    </w:t>
      </w:r>
    </w:p>
    <w:tbl>
      <w:tblPr>
        <w:tblStyle w:val="32"/>
        <w:tblpPr w:leftFromText="180" w:rightFromText="180" w:vertAnchor="text" w:horzAnchor="margin" w:tblpY="518"/>
        <w:tblOverlap w:val="never"/>
        <w:tblW w:w="489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1"/>
        <w:gridCol w:w="1531"/>
        <w:gridCol w:w="2700"/>
        <w:gridCol w:w="2376"/>
        <w:gridCol w:w="1935"/>
      </w:tblGrid>
      <w:tr w14:paraId="5DB2BF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359" w:type="pct"/>
            <w:tcBorders>
              <w:top w:val="single" w:color="auto" w:sz="12" w:space="0"/>
              <w:left w:val="single" w:color="auto" w:sz="12" w:space="0"/>
              <w:bottom w:val="single" w:color="auto" w:sz="4" w:space="0"/>
              <w:right w:val="single" w:color="auto" w:sz="4" w:space="0"/>
            </w:tcBorders>
            <w:vAlign w:val="center"/>
          </w:tcPr>
          <w:p w14:paraId="2E9FF357">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序号</w:t>
            </w:r>
          </w:p>
        </w:tc>
        <w:tc>
          <w:tcPr>
            <w:tcW w:w="832" w:type="pct"/>
            <w:tcBorders>
              <w:top w:val="single" w:color="auto" w:sz="12" w:space="0"/>
              <w:left w:val="single" w:color="auto" w:sz="4" w:space="0"/>
              <w:bottom w:val="single" w:color="auto" w:sz="4" w:space="0"/>
              <w:right w:val="single" w:color="auto" w:sz="4" w:space="0"/>
            </w:tcBorders>
            <w:vAlign w:val="center"/>
          </w:tcPr>
          <w:p w14:paraId="49472367">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项目</w:t>
            </w:r>
          </w:p>
        </w:tc>
        <w:tc>
          <w:tcPr>
            <w:tcW w:w="1466" w:type="pct"/>
            <w:tcBorders>
              <w:top w:val="single" w:color="auto" w:sz="12" w:space="0"/>
              <w:left w:val="single" w:color="auto" w:sz="4" w:space="0"/>
              <w:bottom w:val="single" w:color="auto" w:sz="4" w:space="0"/>
              <w:right w:val="single" w:color="auto" w:sz="4" w:space="0"/>
            </w:tcBorders>
            <w:vAlign w:val="center"/>
          </w:tcPr>
          <w:p w14:paraId="4925F53E">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磋商文件要求</w:t>
            </w:r>
          </w:p>
        </w:tc>
        <w:tc>
          <w:tcPr>
            <w:tcW w:w="1290" w:type="pct"/>
            <w:tcBorders>
              <w:top w:val="single" w:color="auto" w:sz="12" w:space="0"/>
              <w:left w:val="single" w:color="auto" w:sz="4" w:space="0"/>
              <w:bottom w:val="single" w:color="auto" w:sz="4" w:space="0"/>
              <w:right w:val="single" w:color="auto" w:sz="4" w:space="0"/>
            </w:tcBorders>
            <w:vAlign w:val="center"/>
          </w:tcPr>
          <w:p w14:paraId="503E28A9">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供应商的响应</w:t>
            </w:r>
          </w:p>
        </w:tc>
        <w:tc>
          <w:tcPr>
            <w:tcW w:w="1050" w:type="pct"/>
            <w:tcBorders>
              <w:top w:val="single" w:color="auto" w:sz="12" w:space="0"/>
              <w:left w:val="single" w:color="auto" w:sz="4" w:space="0"/>
              <w:bottom w:val="single" w:color="auto" w:sz="4" w:space="0"/>
              <w:right w:val="single" w:color="auto" w:sz="12" w:space="0"/>
            </w:tcBorders>
            <w:vAlign w:val="center"/>
          </w:tcPr>
          <w:p w14:paraId="7BAAACC3">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偏离说明</w:t>
            </w:r>
          </w:p>
        </w:tc>
      </w:tr>
      <w:tr w14:paraId="0D597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2" w:hRule="atLeast"/>
        </w:trPr>
        <w:tc>
          <w:tcPr>
            <w:tcW w:w="359" w:type="pct"/>
            <w:tcBorders>
              <w:top w:val="single" w:color="auto" w:sz="4" w:space="0"/>
              <w:left w:val="single" w:color="auto" w:sz="12" w:space="0"/>
              <w:bottom w:val="single" w:color="auto" w:sz="4" w:space="0"/>
              <w:right w:val="single" w:color="auto" w:sz="4" w:space="0"/>
            </w:tcBorders>
            <w:vAlign w:val="center"/>
          </w:tcPr>
          <w:p w14:paraId="2D59676A">
            <w:pPr>
              <w:jc w:val="center"/>
              <w:rPr>
                <w:rFonts w:ascii="宋体" w:hAnsi="宋体" w:cs="宋体"/>
                <w:color w:val="auto"/>
                <w:sz w:val="24"/>
                <w:highlight w:val="none"/>
              </w:rPr>
            </w:pPr>
          </w:p>
        </w:tc>
        <w:tc>
          <w:tcPr>
            <w:tcW w:w="832" w:type="pct"/>
            <w:tcBorders>
              <w:top w:val="single" w:color="auto" w:sz="4" w:space="0"/>
              <w:left w:val="single" w:color="auto" w:sz="4" w:space="0"/>
              <w:bottom w:val="single" w:color="auto" w:sz="4" w:space="0"/>
              <w:right w:val="single" w:color="auto" w:sz="4" w:space="0"/>
            </w:tcBorders>
            <w:vAlign w:val="center"/>
          </w:tcPr>
          <w:p w14:paraId="59E11EBB">
            <w:pPr>
              <w:jc w:val="center"/>
              <w:rPr>
                <w:rFonts w:ascii="宋体" w:hAnsi="宋体" w:cs="宋体"/>
                <w:color w:val="auto"/>
                <w:sz w:val="24"/>
                <w:highlight w:val="none"/>
              </w:rPr>
            </w:pPr>
          </w:p>
        </w:tc>
        <w:tc>
          <w:tcPr>
            <w:tcW w:w="1466" w:type="pct"/>
            <w:tcBorders>
              <w:top w:val="single" w:color="auto" w:sz="4" w:space="0"/>
              <w:left w:val="single" w:color="auto" w:sz="4" w:space="0"/>
              <w:bottom w:val="single" w:color="auto" w:sz="4" w:space="0"/>
              <w:right w:val="single" w:color="auto" w:sz="4" w:space="0"/>
            </w:tcBorders>
            <w:vAlign w:val="center"/>
          </w:tcPr>
          <w:p w14:paraId="2C64C1E1">
            <w:pPr>
              <w:spacing w:line="360" w:lineRule="atLeast"/>
              <w:rPr>
                <w:rFonts w:ascii="宋体" w:hAnsi="宋体" w:cs="宋体"/>
                <w:color w:val="auto"/>
                <w:szCs w:val="21"/>
                <w:highlight w:val="none"/>
              </w:rPr>
            </w:pPr>
          </w:p>
        </w:tc>
        <w:tc>
          <w:tcPr>
            <w:tcW w:w="1290" w:type="pct"/>
            <w:tcBorders>
              <w:top w:val="single" w:color="auto" w:sz="4" w:space="0"/>
              <w:left w:val="single" w:color="auto" w:sz="4" w:space="0"/>
              <w:bottom w:val="single" w:color="auto" w:sz="4" w:space="0"/>
              <w:right w:val="single" w:color="auto" w:sz="4" w:space="0"/>
            </w:tcBorders>
            <w:vAlign w:val="center"/>
          </w:tcPr>
          <w:p w14:paraId="306E9554">
            <w:pPr>
              <w:spacing w:line="360" w:lineRule="atLeast"/>
              <w:rPr>
                <w:rFonts w:ascii="宋体" w:hAnsi="宋体" w:cs="宋体"/>
                <w:color w:val="auto"/>
                <w:szCs w:val="21"/>
                <w:highlight w:val="none"/>
              </w:rPr>
            </w:pPr>
          </w:p>
        </w:tc>
        <w:tc>
          <w:tcPr>
            <w:tcW w:w="1050" w:type="pct"/>
            <w:tcBorders>
              <w:top w:val="single" w:color="auto" w:sz="4" w:space="0"/>
              <w:left w:val="single" w:color="auto" w:sz="4" w:space="0"/>
              <w:bottom w:val="single" w:color="auto" w:sz="4" w:space="0"/>
              <w:right w:val="single" w:color="auto" w:sz="12" w:space="0"/>
            </w:tcBorders>
            <w:vAlign w:val="center"/>
          </w:tcPr>
          <w:p w14:paraId="1D638106">
            <w:pPr>
              <w:spacing w:line="360" w:lineRule="auto"/>
              <w:contextualSpacing/>
              <w:jc w:val="center"/>
              <w:rPr>
                <w:rFonts w:ascii="宋体" w:hAnsi="宋体" w:cs="宋体"/>
                <w:color w:val="auto"/>
                <w:sz w:val="24"/>
                <w:highlight w:val="none"/>
              </w:rPr>
            </w:pPr>
          </w:p>
        </w:tc>
      </w:tr>
      <w:tr w14:paraId="40635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2" w:hRule="atLeast"/>
        </w:trPr>
        <w:tc>
          <w:tcPr>
            <w:tcW w:w="359" w:type="pct"/>
            <w:tcBorders>
              <w:top w:val="single" w:color="auto" w:sz="4" w:space="0"/>
              <w:left w:val="single" w:color="auto" w:sz="12" w:space="0"/>
              <w:bottom w:val="single" w:color="auto" w:sz="4" w:space="0"/>
              <w:right w:val="single" w:color="auto" w:sz="4" w:space="0"/>
            </w:tcBorders>
            <w:vAlign w:val="center"/>
          </w:tcPr>
          <w:p w14:paraId="3D40B029">
            <w:pPr>
              <w:jc w:val="center"/>
              <w:rPr>
                <w:rFonts w:ascii="宋体" w:hAnsi="宋体" w:cs="宋体"/>
                <w:color w:val="auto"/>
                <w:sz w:val="24"/>
                <w:highlight w:val="none"/>
              </w:rPr>
            </w:pPr>
          </w:p>
        </w:tc>
        <w:tc>
          <w:tcPr>
            <w:tcW w:w="832" w:type="pct"/>
            <w:tcBorders>
              <w:top w:val="single" w:color="auto" w:sz="4" w:space="0"/>
              <w:left w:val="single" w:color="auto" w:sz="4" w:space="0"/>
              <w:bottom w:val="single" w:color="auto" w:sz="4" w:space="0"/>
              <w:right w:val="single" w:color="auto" w:sz="4" w:space="0"/>
            </w:tcBorders>
            <w:vAlign w:val="center"/>
          </w:tcPr>
          <w:p w14:paraId="75B2DE2C">
            <w:pPr>
              <w:jc w:val="center"/>
              <w:rPr>
                <w:rFonts w:ascii="宋体" w:hAnsi="宋体" w:cs="宋体"/>
                <w:color w:val="auto"/>
                <w:sz w:val="24"/>
                <w:highlight w:val="none"/>
              </w:rPr>
            </w:pPr>
          </w:p>
        </w:tc>
        <w:tc>
          <w:tcPr>
            <w:tcW w:w="1466" w:type="pct"/>
            <w:tcBorders>
              <w:top w:val="single" w:color="auto" w:sz="4" w:space="0"/>
              <w:left w:val="single" w:color="auto" w:sz="4" w:space="0"/>
              <w:bottom w:val="single" w:color="auto" w:sz="4" w:space="0"/>
              <w:right w:val="single" w:color="auto" w:sz="4" w:space="0"/>
            </w:tcBorders>
            <w:vAlign w:val="center"/>
          </w:tcPr>
          <w:p w14:paraId="6A02308C">
            <w:pPr>
              <w:spacing w:line="360" w:lineRule="atLeast"/>
              <w:rPr>
                <w:rFonts w:ascii="宋体" w:hAnsi="宋体" w:cs="宋体"/>
                <w:color w:val="auto"/>
                <w:szCs w:val="21"/>
                <w:highlight w:val="none"/>
              </w:rPr>
            </w:pPr>
          </w:p>
        </w:tc>
        <w:tc>
          <w:tcPr>
            <w:tcW w:w="1290" w:type="pct"/>
            <w:tcBorders>
              <w:top w:val="single" w:color="auto" w:sz="4" w:space="0"/>
              <w:left w:val="single" w:color="auto" w:sz="4" w:space="0"/>
              <w:bottom w:val="single" w:color="auto" w:sz="4" w:space="0"/>
              <w:right w:val="single" w:color="auto" w:sz="4" w:space="0"/>
            </w:tcBorders>
            <w:vAlign w:val="center"/>
          </w:tcPr>
          <w:p w14:paraId="710D60B8">
            <w:pPr>
              <w:spacing w:line="360" w:lineRule="atLeast"/>
              <w:rPr>
                <w:rFonts w:ascii="宋体" w:hAnsi="宋体" w:cs="宋体"/>
                <w:color w:val="auto"/>
                <w:szCs w:val="21"/>
                <w:highlight w:val="none"/>
              </w:rPr>
            </w:pPr>
          </w:p>
        </w:tc>
        <w:tc>
          <w:tcPr>
            <w:tcW w:w="1050" w:type="pct"/>
            <w:tcBorders>
              <w:top w:val="single" w:color="auto" w:sz="4" w:space="0"/>
              <w:left w:val="single" w:color="auto" w:sz="4" w:space="0"/>
              <w:bottom w:val="single" w:color="auto" w:sz="4" w:space="0"/>
              <w:right w:val="single" w:color="auto" w:sz="12" w:space="0"/>
            </w:tcBorders>
            <w:vAlign w:val="center"/>
          </w:tcPr>
          <w:p w14:paraId="29446855">
            <w:pPr>
              <w:spacing w:line="360" w:lineRule="auto"/>
              <w:ind w:left="43"/>
              <w:contextualSpacing/>
              <w:jc w:val="center"/>
              <w:rPr>
                <w:rFonts w:ascii="宋体" w:hAnsi="宋体" w:cs="宋体"/>
                <w:color w:val="auto"/>
                <w:sz w:val="24"/>
                <w:highlight w:val="none"/>
              </w:rPr>
            </w:pPr>
          </w:p>
        </w:tc>
      </w:tr>
      <w:tr w14:paraId="604CB9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3" w:hRule="atLeast"/>
        </w:trPr>
        <w:tc>
          <w:tcPr>
            <w:tcW w:w="359" w:type="pct"/>
            <w:tcBorders>
              <w:top w:val="single" w:color="auto" w:sz="4" w:space="0"/>
              <w:left w:val="single" w:color="auto" w:sz="12" w:space="0"/>
              <w:bottom w:val="single" w:color="auto" w:sz="12" w:space="0"/>
              <w:right w:val="single" w:color="auto" w:sz="4" w:space="0"/>
            </w:tcBorders>
            <w:vAlign w:val="center"/>
          </w:tcPr>
          <w:p w14:paraId="3E2196EE">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w:t>
            </w:r>
          </w:p>
        </w:tc>
        <w:tc>
          <w:tcPr>
            <w:tcW w:w="832" w:type="pct"/>
            <w:tcBorders>
              <w:top w:val="single" w:color="auto" w:sz="4" w:space="0"/>
              <w:left w:val="single" w:color="auto" w:sz="4" w:space="0"/>
              <w:bottom w:val="single" w:color="auto" w:sz="12" w:space="0"/>
              <w:right w:val="single" w:color="auto" w:sz="4" w:space="0"/>
            </w:tcBorders>
            <w:vAlign w:val="center"/>
          </w:tcPr>
          <w:p w14:paraId="29A80DD7">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w:t>
            </w:r>
          </w:p>
        </w:tc>
        <w:tc>
          <w:tcPr>
            <w:tcW w:w="1466" w:type="pct"/>
            <w:tcBorders>
              <w:top w:val="single" w:color="auto" w:sz="4" w:space="0"/>
              <w:left w:val="single" w:color="auto" w:sz="4" w:space="0"/>
              <w:bottom w:val="single" w:color="auto" w:sz="12" w:space="0"/>
              <w:right w:val="single" w:color="auto" w:sz="4" w:space="0"/>
            </w:tcBorders>
            <w:vAlign w:val="center"/>
          </w:tcPr>
          <w:p w14:paraId="2F27C1BB">
            <w:pPr>
              <w:spacing w:line="360" w:lineRule="atLeast"/>
              <w:rPr>
                <w:rFonts w:ascii="宋体" w:hAnsi="宋体" w:cs="宋体"/>
                <w:color w:val="auto"/>
                <w:szCs w:val="21"/>
                <w:highlight w:val="none"/>
              </w:rPr>
            </w:pPr>
          </w:p>
        </w:tc>
        <w:tc>
          <w:tcPr>
            <w:tcW w:w="1290" w:type="pct"/>
            <w:tcBorders>
              <w:top w:val="single" w:color="auto" w:sz="4" w:space="0"/>
              <w:left w:val="single" w:color="auto" w:sz="4" w:space="0"/>
              <w:bottom w:val="single" w:color="auto" w:sz="12" w:space="0"/>
              <w:right w:val="single" w:color="auto" w:sz="4" w:space="0"/>
            </w:tcBorders>
            <w:vAlign w:val="center"/>
          </w:tcPr>
          <w:p w14:paraId="233FE77F">
            <w:pPr>
              <w:spacing w:line="360" w:lineRule="atLeast"/>
              <w:rPr>
                <w:rFonts w:ascii="宋体" w:hAnsi="宋体" w:cs="宋体"/>
                <w:color w:val="auto"/>
                <w:szCs w:val="21"/>
                <w:highlight w:val="none"/>
              </w:rPr>
            </w:pPr>
          </w:p>
        </w:tc>
        <w:tc>
          <w:tcPr>
            <w:tcW w:w="1050" w:type="pct"/>
            <w:tcBorders>
              <w:top w:val="single" w:color="auto" w:sz="4" w:space="0"/>
              <w:left w:val="single" w:color="auto" w:sz="4" w:space="0"/>
              <w:bottom w:val="single" w:color="auto" w:sz="12" w:space="0"/>
              <w:right w:val="single" w:color="auto" w:sz="12" w:space="0"/>
            </w:tcBorders>
            <w:vAlign w:val="center"/>
          </w:tcPr>
          <w:p w14:paraId="65A0AE54">
            <w:pPr>
              <w:spacing w:line="360" w:lineRule="auto"/>
              <w:contextualSpacing/>
              <w:jc w:val="center"/>
              <w:rPr>
                <w:rFonts w:ascii="宋体" w:hAnsi="宋体" w:cs="宋体"/>
                <w:color w:val="auto"/>
                <w:sz w:val="24"/>
                <w:highlight w:val="none"/>
              </w:rPr>
            </w:pPr>
          </w:p>
        </w:tc>
      </w:tr>
    </w:tbl>
    <w:p w14:paraId="7A70E1E1">
      <w:pPr>
        <w:pStyle w:val="13"/>
        <w:spacing w:after="0" w:line="360" w:lineRule="auto"/>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分标号：</w:t>
      </w:r>
      <w:r>
        <w:rPr>
          <w:rFonts w:hint="eastAsia" w:ascii="宋体" w:hAnsi="宋体" w:cs="宋体"/>
          <w:color w:val="auto"/>
          <w:sz w:val="24"/>
          <w:highlight w:val="none"/>
          <w:u w:val="single"/>
        </w:rPr>
        <w:t xml:space="preserve">                     </w:t>
      </w:r>
    </w:p>
    <w:p w14:paraId="5796698D">
      <w:pPr>
        <w:pStyle w:val="13"/>
        <w:spacing w:after="0" w:line="360" w:lineRule="auto"/>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 说明：应对照磋商文件“第三章 采购需求”中的商务要求逐条作出明确响应，并作出偏离说明。</w:t>
      </w:r>
    </w:p>
    <w:p w14:paraId="405C26F5">
      <w:pPr>
        <w:spacing w:line="360" w:lineRule="auto"/>
        <w:contextualSpacing/>
        <w:jc w:val="left"/>
        <w:rPr>
          <w:rFonts w:ascii="宋体" w:hAnsi="宋体" w:cs="宋体"/>
          <w:color w:val="auto"/>
          <w:sz w:val="24"/>
          <w:highlight w:val="none"/>
          <w:u w:val="single"/>
        </w:rPr>
      </w:pPr>
      <w:r>
        <w:rPr>
          <w:rFonts w:hint="eastAsia" w:ascii="宋体" w:hAnsi="宋体" w:cs="宋体"/>
          <w:color w:val="auto"/>
          <w:kern w:val="0"/>
          <w:sz w:val="24"/>
          <w:highlight w:val="none"/>
        </w:rPr>
        <w:t>2.供应商应根据自身的承诺，对照磋商文件要求在“偏离说明”中注明“正偏离”、“负偏离”或者“无偏离”。既不属于“正偏离”也不属于“负偏离”即为“无偏离”。</w:t>
      </w:r>
    </w:p>
    <w:p w14:paraId="2A4F4B97">
      <w:pPr>
        <w:spacing w:line="360" w:lineRule="auto"/>
        <w:ind w:right="-817" w:rightChars="-389"/>
        <w:contextualSpacing/>
        <w:rPr>
          <w:rFonts w:ascii="宋体" w:hAnsi="宋体" w:cs="宋体"/>
          <w:color w:val="auto"/>
          <w:sz w:val="24"/>
          <w:highlight w:val="none"/>
        </w:rPr>
      </w:pPr>
    </w:p>
    <w:p w14:paraId="3F139761">
      <w:pPr>
        <w:spacing w:line="480" w:lineRule="auto"/>
        <w:ind w:right="480"/>
        <w:contextualSpacing/>
        <w:jc w:val="center"/>
        <w:rPr>
          <w:rFonts w:ascii="宋体" w:hAnsi="宋体" w:cs="宋体"/>
          <w:color w:val="auto"/>
          <w:sz w:val="24"/>
          <w:highlight w:val="none"/>
          <w:u w:val="single"/>
        </w:rPr>
      </w:pPr>
      <w:r>
        <w:rPr>
          <w:rFonts w:hint="eastAsia" w:ascii="宋体" w:hAnsi="宋体" w:cs="宋体"/>
          <w:color w:val="auto"/>
          <w:sz w:val="24"/>
          <w:highlight w:val="none"/>
        </w:rPr>
        <w:t xml:space="preserve">   法定代表人或者委托代理人（签字或者盖章或者电子签名）：</w:t>
      </w:r>
      <w:r>
        <w:rPr>
          <w:rFonts w:hint="eastAsia" w:ascii="宋体" w:hAnsi="宋体" w:cs="宋体"/>
          <w:color w:val="auto"/>
          <w:sz w:val="24"/>
          <w:highlight w:val="none"/>
          <w:u w:val="single"/>
        </w:rPr>
        <w:t xml:space="preserve">      </w:t>
      </w:r>
    </w:p>
    <w:p w14:paraId="6DA32E91">
      <w:pPr>
        <w:spacing w:line="480" w:lineRule="auto"/>
        <w:ind w:right="480" w:firstLine="1200" w:firstLineChars="500"/>
        <w:contextualSpacing/>
        <w:rPr>
          <w:rFonts w:ascii="宋体" w:hAnsi="宋体" w:cs="宋体"/>
          <w:color w:val="auto"/>
          <w:sz w:val="24"/>
          <w:highlight w:val="none"/>
          <w:u w:val="single"/>
        </w:rPr>
      </w:pPr>
      <w:r>
        <w:rPr>
          <w:rFonts w:hint="eastAsia" w:ascii="宋体" w:hAnsi="宋体" w:cs="宋体"/>
          <w:color w:val="auto"/>
          <w:sz w:val="24"/>
          <w:highlight w:val="none"/>
        </w:rPr>
        <w:t xml:space="preserve">供应商（电子签章）： </w:t>
      </w:r>
      <w:r>
        <w:rPr>
          <w:rFonts w:hint="eastAsia" w:ascii="宋体" w:hAnsi="宋体" w:cs="宋体"/>
          <w:color w:val="auto"/>
          <w:sz w:val="24"/>
          <w:highlight w:val="none"/>
          <w:u w:val="single"/>
        </w:rPr>
        <w:t xml:space="preserve">                              </w:t>
      </w:r>
    </w:p>
    <w:p w14:paraId="283E51B6">
      <w:pPr>
        <w:spacing w:line="480" w:lineRule="auto"/>
        <w:ind w:firstLine="480" w:firstLineChars="200"/>
        <w:contextualSpacing/>
        <w:jc w:val="center"/>
        <w:rPr>
          <w:rFonts w:ascii="宋体" w:hAnsi="宋体" w:cs="宋体"/>
          <w:color w:val="auto"/>
          <w:sz w:val="28"/>
          <w:szCs w:val="28"/>
          <w:highlight w:val="none"/>
        </w:rPr>
      </w:pPr>
      <w:r>
        <w:rPr>
          <w:rFonts w:hint="eastAsia" w:ascii="宋体" w:hAnsi="宋体" w:cs="宋体"/>
          <w:color w:val="auto"/>
          <w:sz w:val="24"/>
          <w:highlight w:val="none"/>
        </w:rPr>
        <w:t>年    月    日</w:t>
      </w:r>
    </w:p>
    <w:p w14:paraId="79D16F48">
      <w:pPr>
        <w:rPr>
          <w:color w:val="auto"/>
          <w:highlight w:val="none"/>
        </w:rPr>
      </w:pPr>
    </w:p>
    <w:p w14:paraId="72A717E3">
      <w:pPr>
        <w:rPr>
          <w:rFonts w:ascii="宋体" w:hAnsi="宋体" w:cs="宋体"/>
          <w:bCs/>
          <w:color w:val="auto"/>
          <w:sz w:val="44"/>
          <w:szCs w:val="44"/>
          <w:highlight w:val="none"/>
        </w:rPr>
      </w:pPr>
      <w:r>
        <w:rPr>
          <w:rFonts w:hint="eastAsia" w:ascii="宋体" w:hAnsi="宋体" w:cs="宋体"/>
          <w:bCs/>
          <w:color w:val="auto"/>
          <w:sz w:val="44"/>
          <w:szCs w:val="44"/>
          <w:highlight w:val="none"/>
        </w:rPr>
        <w:br w:type="page"/>
      </w:r>
    </w:p>
    <w:p w14:paraId="0F4C4DB0">
      <w:pPr>
        <w:rPr>
          <w:color w:val="auto"/>
          <w:highlight w:val="none"/>
        </w:rPr>
      </w:pPr>
    </w:p>
    <w:p w14:paraId="7D4D13E7">
      <w:pPr>
        <w:adjustRightInd w:val="0"/>
        <w:snapToGrid w:val="0"/>
        <w:spacing w:line="30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技术要求偏离表</w:t>
      </w:r>
    </w:p>
    <w:p w14:paraId="11018340">
      <w:pPr>
        <w:spacing w:line="520" w:lineRule="exact"/>
        <w:rPr>
          <w:rFonts w:ascii="宋体" w:hAnsi="宋体" w:cs="宋体"/>
          <w:color w:val="auto"/>
          <w:sz w:val="32"/>
          <w:szCs w:val="32"/>
          <w:highlight w:val="none"/>
        </w:rPr>
      </w:pPr>
    </w:p>
    <w:p w14:paraId="0214EB52">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single"/>
        </w:rPr>
        <w:t xml:space="preserve">                 </w:t>
      </w:r>
    </w:p>
    <w:p w14:paraId="77945DAF">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p>
    <w:p w14:paraId="11DB0BEC">
      <w:pPr>
        <w:spacing w:line="360" w:lineRule="auto"/>
        <w:contextualSpacing/>
        <w:rPr>
          <w:rFonts w:ascii="宋体" w:hAnsi="宋体" w:cs="宋体"/>
          <w:color w:val="auto"/>
          <w:kern w:val="0"/>
          <w:sz w:val="24"/>
          <w:highlight w:val="none"/>
        </w:rPr>
      </w:pPr>
      <w:r>
        <w:rPr>
          <w:rFonts w:hint="eastAsia" w:hAnsi="宋体" w:cs="宋体"/>
          <w:color w:val="auto"/>
          <w:sz w:val="24"/>
          <w:highlight w:val="none"/>
        </w:rPr>
        <w:t>标项名称：</w:t>
      </w:r>
      <w:r>
        <w:rPr>
          <w:rFonts w:hint="eastAsia" w:hAnsi="宋体" w:cs="宋体"/>
          <w:color w:val="auto"/>
          <w:sz w:val="24"/>
          <w:highlight w:val="none"/>
          <w:u w:val="single"/>
        </w:rPr>
        <w:t xml:space="preserve">                    </w:t>
      </w:r>
    </w:p>
    <w:p w14:paraId="1B652531">
      <w:pPr>
        <w:spacing w:line="360" w:lineRule="auto"/>
        <w:contextualSpacing/>
        <w:rPr>
          <w:rFonts w:ascii="宋体" w:hAnsi="宋体" w:cs="宋体"/>
          <w:color w:val="auto"/>
          <w:sz w:val="24"/>
          <w:highlight w:val="none"/>
          <w:u w:val="single"/>
        </w:rPr>
      </w:pPr>
      <w:r>
        <w:rPr>
          <w:rFonts w:hint="eastAsia" w:ascii="宋体" w:hAnsi="宋体" w:cs="宋体"/>
          <w:color w:val="auto"/>
          <w:kern w:val="0"/>
          <w:sz w:val="24"/>
          <w:highlight w:val="none"/>
        </w:rPr>
        <w:t>分标号：</w:t>
      </w:r>
      <w:r>
        <w:rPr>
          <w:rFonts w:hint="eastAsia" w:ascii="宋体" w:hAnsi="宋体" w:cs="宋体"/>
          <w:color w:val="auto"/>
          <w:sz w:val="24"/>
          <w:highlight w:val="none"/>
          <w:u w:val="single"/>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29"/>
        <w:gridCol w:w="1189"/>
        <w:gridCol w:w="2926"/>
        <w:gridCol w:w="2730"/>
        <w:gridCol w:w="1489"/>
      </w:tblGrid>
      <w:tr w14:paraId="089DA8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79" w:hRule="atLeast"/>
          <w:jc w:val="center"/>
        </w:trPr>
        <w:tc>
          <w:tcPr>
            <w:tcW w:w="1229" w:type="dxa"/>
            <w:tcBorders>
              <w:top w:val="single" w:color="auto" w:sz="12" w:space="0"/>
              <w:left w:val="single" w:color="auto" w:sz="12" w:space="0"/>
              <w:bottom w:val="single" w:color="auto" w:sz="4" w:space="0"/>
              <w:right w:val="single" w:color="auto" w:sz="4" w:space="0"/>
            </w:tcBorders>
            <w:vAlign w:val="center"/>
          </w:tcPr>
          <w:p w14:paraId="12509515">
            <w:pPr>
              <w:pStyle w:val="15"/>
              <w:spacing w:line="360" w:lineRule="auto"/>
              <w:ind w:firstLine="0" w:firstLineChars="0"/>
              <w:contextualSpacing/>
              <w:jc w:val="center"/>
              <w:rPr>
                <w:rFonts w:ascii="宋体" w:hAnsi="宋体" w:eastAsia="宋体" w:cs="宋体"/>
                <w:color w:val="auto"/>
                <w:kern w:val="2"/>
                <w:sz w:val="24"/>
                <w:szCs w:val="24"/>
                <w:highlight w:val="none"/>
              </w:rPr>
            </w:pPr>
            <w:bookmarkStart w:id="80" w:name="_Toc173066401"/>
            <w:bookmarkStart w:id="81" w:name="_Toc373333689"/>
            <w:bookmarkStart w:id="82" w:name="_Toc295404981"/>
            <w:bookmarkStart w:id="83" w:name="_Toc254970588"/>
            <w:bookmarkStart w:id="84" w:name="_Toc297193185"/>
            <w:bookmarkStart w:id="85" w:name="_Toc301781611"/>
            <w:bookmarkStart w:id="86" w:name="_Toc254970729"/>
            <w:bookmarkStart w:id="87" w:name="_Toc383699906"/>
            <w:bookmarkStart w:id="88" w:name="_Toc173211900"/>
            <w:r>
              <w:rPr>
                <w:rFonts w:hint="eastAsia" w:ascii="宋体" w:hAnsi="宋体" w:eastAsia="宋体" w:cs="宋体"/>
                <w:color w:val="auto"/>
                <w:kern w:val="2"/>
                <w:sz w:val="24"/>
                <w:szCs w:val="24"/>
                <w:highlight w:val="none"/>
              </w:rPr>
              <w:t>序号</w:t>
            </w:r>
            <w:bookmarkEnd w:id="80"/>
            <w:bookmarkEnd w:id="81"/>
            <w:bookmarkEnd w:id="82"/>
            <w:bookmarkEnd w:id="83"/>
            <w:bookmarkEnd w:id="84"/>
            <w:bookmarkEnd w:id="85"/>
            <w:bookmarkEnd w:id="86"/>
            <w:bookmarkEnd w:id="87"/>
            <w:bookmarkEnd w:id="88"/>
          </w:p>
        </w:tc>
        <w:tc>
          <w:tcPr>
            <w:tcW w:w="1189" w:type="dxa"/>
            <w:tcBorders>
              <w:top w:val="single" w:color="auto" w:sz="12" w:space="0"/>
              <w:left w:val="single" w:color="auto" w:sz="4" w:space="0"/>
              <w:bottom w:val="single" w:color="auto" w:sz="4" w:space="0"/>
              <w:right w:val="single" w:color="auto" w:sz="4" w:space="0"/>
            </w:tcBorders>
            <w:vAlign w:val="center"/>
          </w:tcPr>
          <w:p w14:paraId="3873F6A9">
            <w:pPr>
              <w:pStyle w:val="15"/>
              <w:spacing w:line="360" w:lineRule="auto"/>
              <w:ind w:firstLine="0" w:firstLineChars="0"/>
              <w:contextualSpacing/>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名称</w:t>
            </w:r>
          </w:p>
        </w:tc>
        <w:tc>
          <w:tcPr>
            <w:tcW w:w="2926" w:type="dxa"/>
            <w:tcBorders>
              <w:top w:val="single" w:color="auto" w:sz="12" w:space="0"/>
              <w:left w:val="single" w:color="auto" w:sz="4" w:space="0"/>
              <w:bottom w:val="single" w:color="auto" w:sz="4" w:space="0"/>
              <w:right w:val="single" w:color="auto" w:sz="4" w:space="0"/>
            </w:tcBorders>
            <w:vAlign w:val="center"/>
          </w:tcPr>
          <w:p w14:paraId="53CA756E">
            <w:pPr>
              <w:pStyle w:val="15"/>
              <w:spacing w:line="360" w:lineRule="auto"/>
              <w:ind w:firstLine="0" w:firstLineChars="0"/>
              <w:contextualSpacing/>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磋商文件技术要求</w:t>
            </w:r>
          </w:p>
        </w:tc>
        <w:tc>
          <w:tcPr>
            <w:tcW w:w="2730" w:type="dxa"/>
            <w:tcBorders>
              <w:top w:val="single" w:color="auto" w:sz="12" w:space="0"/>
              <w:left w:val="single" w:color="auto" w:sz="4" w:space="0"/>
              <w:bottom w:val="single" w:color="auto" w:sz="4" w:space="0"/>
              <w:right w:val="single" w:color="auto" w:sz="4" w:space="0"/>
            </w:tcBorders>
            <w:vAlign w:val="center"/>
          </w:tcPr>
          <w:p w14:paraId="1907D41B">
            <w:pPr>
              <w:pStyle w:val="15"/>
              <w:spacing w:line="360" w:lineRule="auto"/>
              <w:ind w:firstLine="0" w:firstLineChars="0"/>
              <w:contextualSpacing/>
              <w:jc w:val="center"/>
              <w:rPr>
                <w:rFonts w:ascii="宋体" w:hAnsi="宋体" w:eastAsia="宋体" w:cs="宋体"/>
                <w:color w:val="auto"/>
                <w:kern w:val="2"/>
                <w:sz w:val="24"/>
                <w:szCs w:val="24"/>
                <w:highlight w:val="none"/>
              </w:rPr>
            </w:pPr>
            <w:bookmarkStart w:id="89" w:name="_Toc295404983"/>
            <w:bookmarkStart w:id="90" w:name="_Toc254970590"/>
            <w:bookmarkStart w:id="91" w:name="_Toc173066403"/>
            <w:bookmarkStart w:id="92" w:name="_Toc373333691"/>
            <w:bookmarkStart w:id="93" w:name="_Toc173211902"/>
            <w:bookmarkStart w:id="94" w:name="_Toc254970731"/>
            <w:bookmarkStart w:id="95" w:name="_Toc383699908"/>
            <w:bookmarkStart w:id="96" w:name="_Toc301781613"/>
            <w:bookmarkStart w:id="97" w:name="_Toc297193187"/>
            <w:r>
              <w:rPr>
                <w:rFonts w:hint="eastAsia" w:ascii="宋体" w:hAnsi="宋体" w:eastAsia="宋体" w:cs="宋体"/>
                <w:color w:val="auto"/>
                <w:kern w:val="2"/>
                <w:sz w:val="24"/>
                <w:szCs w:val="24"/>
                <w:highlight w:val="none"/>
              </w:rPr>
              <w:t>竞标响应</w:t>
            </w:r>
            <w:bookmarkEnd w:id="89"/>
            <w:bookmarkEnd w:id="90"/>
            <w:bookmarkEnd w:id="91"/>
            <w:bookmarkEnd w:id="92"/>
            <w:bookmarkEnd w:id="93"/>
            <w:bookmarkEnd w:id="94"/>
            <w:bookmarkEnd w:id="95"/>
            <w:bookmarkEnd w:id="96"/>
            <w:bookmarkEnd w:id="97"/>
          </w:p>
        </w:tc>
        <w:tc>
          <w:tcPr>
            <w:tcW w:w="1489" w:type="dxa"/>
            <w:tcBorders>
              <w:top w:val="single" w:color="auto" w:sz="12" w:space="0"/>
              <w:left w:val="single" w:color="auto" w:sz="4" w:space="0"/>
              <w:bottom w:val="single" w:color="auto" w:sz="4" w:space="0"/>
              <w:right w:val="single" w:color="auto" w:sz="12" w:space="0"/>
            </w:tcBorders>
            <w:vAlign w:val="center"/>
          </w:tcPr>
          <w:p w14:paraId="5C60CCCC">
            <w:pPr>
              <w:pStyle w:val="15"/>
              <w:spacing w:line="360" w:lineRule="auto"/>
              <w:ind w:firstLine="0" w:firstLineChars="0"/>
              <w:contextualSpacing/>
              <w:jc w:val="center"/>
              <w:rPr>
                <w:rFonts w:ascii="宋体" w:hAnsi="宋体" w:eastAsia="宋体" w:cs="宋体"/>
                <w:color w:val="auto"/>
                <w:kern w:val="2"/>
                <w:sz w:val="24"/>
                <w:szCs w:val="24"/>
                <w:highlight w:val="none"/>
              </w:rPr>
            </w:pPr>
            <w:bookmarkStart w:id="98" w:name="_Toc383699909"/>
            <w:bookmarkStart w:id="99" w:name="_Toc301781614"/>
            <w:bookmarkStart w:id="100" w:name="_Toc295404984"/>
            <w:bookmarkStart w:id="101" w:name="_Toc297193188"/>
            <w:bookmarkStart w:id="102" w:name="_Toc173211903"/>
            <w:bookmarkStart w:id="103" w:name="_Toc373333692"/>
            <w:bookmarkStart w:id="104" w:name="_Toc254970732"/>
            <w:bookmarkStart w:id="105" w:name="_Toc254970591"/>
            <w:bookmarkStart w:id="106" w:name="_Toc173066404"/>
            <w:r>
              <w:rPr>
                <w:rFonts w:hint="eastAsia" w:ascii="宋体" w:hAnsi="宋体" w:eastAsia="宋体" w:cs="宋体"/>
                <w:color w:val="auto"/>
                <w:kern w:val="2"/>
                <w:sz w:val="24"/>
                <w:szCs w:val="24"/>
                <w:highlight w:val="none"/>
              </w:rPr>
              <w:t>偏离</w:t>
            </w:r>
            <w:bookmarkEnd w:id="98"/>
            <w:bookmarkEnd w:id="99"/>
            <w:bookmarkEnd w:id="100"/>
            <w:bookmarkEnd w:id="101"/>
            <w:bookmarkEnd w:id="102"/>
            <w:bookmarkEnd w:id="103"/>
            <w:bookmarkEnd w:id="104"/>
            <w:bookmarkEnd w:id="105"/>
            <w:bookmarkEnd w:id="106"/>
            <w:bookmarkStart w:id="107" w:name="_Toc295404985"/>
            <w:bookmarkStart w:id="108" w:name="_Toc254970592"/>
            <w:bookmarkStart w:id="109" w:name="_Toc301781615"/>
            <w:bookmarkStart w:id="110" w:name="_Toc173066405"/>
            <w:bookmarkStart w:id="111" w:name="_Toc173211904"/>
            <w:bookmarkStart w:id="112" w:name="_Toc383699910"/>
            <w:bookmarkStart w:id="113" w:name="_Toc373333693"/>
            <w:bookmarkStart w:id="114" w:name="_Toc297193189"/>
            <w:bookmarkStart w:id="115" w:name="_Toc254970733"/>
            <w:r>
              <w:rPr>
                <w:rFonts w:hint="eastAsia" w:ascii="宋体" w:hAnsi="宋体" w:eastAsia="宋体" w:cs="宋体"/>
                <w:color w:val="auto"/>
                <w:kern w:val="2"/>
                <w:sz w:val="24"/>
                <w:szCs w:val="24"/>
                <w:highlight w:val="none"/>
              </w:rPr>
              <w:t>说明</w:t>
            </w:r>
            <w:bookmarkEnd w:id="107"/>
            <w:bookmarkEnd w:id="108"/>
            <w:bookmarkEnd w:id="109"/>
            <w:bookmarkEnd w:id="110"/>
            <w:bookmarkEnd w:id="111"/>
            <w:bookmarkEnd w:id="112"/>
            <w:bookmarkEnd w:id="113"/>
            <w:bookmarkEnd w:id="114"/>
            <w:bookmarkEnd w:id="115"/>
          </w:p>
        </w:tc>
      </w:tr>
      <w:tr w14:paraId="5C6A82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6" w:hRule="atLeast"/>
          <w:jc w:val="center"/>
        </w:trPr>
        <w:tc>
          <w:tcPr>
            <w:tcW w:w="1229" w:type="dxa"/>
            <w:tcBorders>
              <w:top w:val="single" w:color="auto" w:sz="4" w:space="0"/>
              <w:left w:val="single" w:color="auto" w:sz="12" w:space="0"/>
              <w:bottom w:val="single" w:color="auto" w:sz="4" w:space="0"/>
              <w:right w:val="single" w:color="auto" w:sz="4" w:space="0"/>
            </w:tcBorders>
            <w:vAlign w:val="center"/>
          </w:tcPr>
          <w:p w14:paraId="23604E4E">
            <w:pPr>
              <w:pStyle w:val="15"/>
              <w:spacing w:line="360" w:lineRule="auto"/>
              <w:ind w:firstLine="0" w:firstLineChars="0"/>
              <w:contextualSpacing/>
              <w:jc w:val="center"/>
              <w:rPr>
                <w:rFonts w:ascii="宋体" w:hAnsi="宋体" w:eastAsia="宋体" w:cs="宋体"/>
                <w:color w:val="auto"/>
                <w:kern w:val="2"/>
                <w:sz w:val="24"/>
                <w:szCs w:val="24"/>
                <w:highlight w:val="none"/>
              </w:rPr>
            </w:pPr>
            <w:bookmarkStart w:id="116" w:name="_Toc254970593"/>
            <w:bookmarkStart w:id="117" w:name="_Toc173211905"/>
            <w:bookmarkStart w:id="118" w:name="_Toc173066406"/>
            <w:bookmarkStart w:id="119" w:name="_Toc301781616"/>
            <w:bookmarkStart w:id="120" w:name="_Toc383699911"/>
            <w:bookmarkStart w:id="121" w:name="_Toc254970734"/>
            <w:bookmarkStart w:id="122" w:name="_Toc295404986"/>
            <w:bookmarkStart w:id="123" w:name="_Toc297193190"/>
            <w:bookmarkStart w:id="124" w:name="_Toc373333694"/>
            <w:r>
              <w:rPr>
                <w:rFonts w:hint="eastAsia" w:ascii="宋体" w:hAnsi="宋体" w:eastAsia="宋体" w:cs="宋体"/>
                <w:color w:val="auto"/>
                <w:kern w:val="2"/>
                <w:sz w:val="24"/>
                <w:szCs w:val="24"/>
                <w:highlight w:val="none"/>
              </w:rPr>
              <w:t>1</w:t>
            </w:r>
            <w:bookmarkEnd w:id="116"/>
            <w:bookmarkEnd w:id="117"/>
            <w:bookmarkEnd w:id="118"/>
            <w:bookmarkEnd w:id="119"/>
            <w:bookmarkEnd w:id="120"/>
            <w:bookmarkEnd w:id="121"/>
            <w:bookmarkEnd w:id="122"/>
            <w:bookmarkEnd w:id="123"/>
            <w:bookmarkEnd w:id="124"/>
          </w:p>
        </w:tc>
        <w:tc>
          <w:tcPr>
            <w:tcW w:w="1189" w:type="dxa"/>
            <w:tcBorders>
              <w:top w:val="single" w:color="auto" w:sz="4" w:space="0"/>
              <w:left w:val="single" w:color="auto" w:sz="4" w:space="0"/>
              <w:bottom w:val="single" w:color="auto" w:sz="4" w:space="0"/>
              <w:right w:val="single" w:color="auto" w:sz="4" w:space="0"/>
            </w:tcBorders>
            <w:vAlign w:val="center"/>
          </w:tcPr>
          <w:p w14:paraId="40A8DDC7">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2926" w:type="dxa"/>
            <w:tcBorders>
              <w:top w:val="single" w:color="auto" w:sz="4" w:space="0"/>
              <w:left w:val="single" w:color="auto" w:sz="4" w:space="0"/>
              <w:bottom w:val="single" w:color="auto" w:sz="4" w:space="0"/>
              <w:right w:val="single" w:color="auto" w:sz="4" w:space="0"/>
            </w:tcBorders>
            <w:vAlign w:val="center"/>
          </w:tcPr>
          <w:p w14:paraId="2950F429">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2730" w:type="dxa"/>
            <w:tcBorders>
              <w:top w:val="single" w:color="auto" w:sz="4" w:space="0"/>
              <w:left w:val="single" w:color="auto" w:sz="4" w:space="0"/>
              <w:bottom w:val="single" w:color="auto" w:sz="4" w:space="0"/>
              <w:right w:val="single" w:color="auto" w:sz="4" w:space="0"/>
            </w:tcBorders>
            <w:vAlign w:val="center"/>
          </w:tcPr>
          <w:p w14:paraId="21B38CB5">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1489" w:type="dxa"/>
            <w:tcBorders>
              <w:top w:val="single" w:color="auto" w:sz="4" w:space="0"/>
              <w:left w:val="single" w:color="auto" w:sz="4" w:space="0"/>
              <w:bottom w:val="single" w:color="auto" w:sz="4" w:space="0"/>
              <w:right w:val="single" w:color="auto" w:sz="12" w:space="0"/>
            </w:tcBorders>
            <w:vAlign w:val="center"/>
          </w:tcPr>
          <w:p w14:paraId="0029BDFF">
            <w:pPr>
              <w:pStyle w:val="15"/>
              <w:spacing w:line="360" w:lineRule="auto"/>
              <w:ind w:firstLine="0" w:firstLineChars="0"/>
              <w:contextualSpacing/>
              <w:jc w:val="center"/>
              <w:rPr>
                <w:rFonts w:ascii="宋体" w:hAnsi="宋体" w:eastAsia="宋体" w:cs="宋体"/>
                <w:color w:val="auto"/>
                <w:kern w:val="2"/>
                <w:sz w:val="24"/>
                <w:szCs w:val="24"/>
                <w:highlight w:val="none"/>
              </w:rPr>
            </w:pPr>
          </w:p>
        </w:tc>
      </w:tr>
      <w:tr w14:paraId="09ECAB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6" w:hRule="atLeast"/>
          <w:jc w:val="center"/>
        </w:trPr>
        <w:tc>
          <w:tcPr>
            <w:tcW w:w="1229" w:type="dxa"/>
            <w:tcBorders>
              <w:top w:val="single" w:color="auto" w:sz="4" w:space="0"/>
              <w:left w:val="single" w:color="auto" w:sz="12" w:space="0"/>
              <w:bottom w:val="single" w:color="auto" w:sz="4" w:space="0"/>
              <w:right w:val="single" w:color="auto" w:sz="4" w:space="0"/>
            </w:tcBorders>
            <w:vAlign w:val="center"/>
          </w:tcPr>
          <w:p w14:paraId="7D222DA8">
            <w:pPr>
              <w:pStyle w:val="15"/>
              <w:spacing w:line="360" w:lineRule="auto"/>
              <w:ind w:firstLine="0" w:firstLineChars="0"/>
              <w:contextualSpacing/>
              <w:jc w:val="center"/>
              <w:rPr>
                <w:rFonts w:ascii="宋体" w:hAnsi="宋体" w:eastAsia="宋体" w:cs="宋体"/>
                <w:color w:val="auto"/>
                <w:kern w:val="2"/>
                <w:sz w:val="24"/>
                <w:szCs w:val="24"/>
                <w:highlight w:val="none"/>
              </w:rPr>
            </w:pPr>
            <w:bookmarkStart w:id="125" w:name="_Toc301781617"/>
            <w:bookmarkStart w:id="126" w:name="_Toc173211906"/>
            <w:bookmarkStart w:id="127" w:name="_Toc295404987"/>
            <w:bookmarkStart w:id="128" w:name="_Toc373333695"/>
            <w:bookmarkStart w:id="129" w:name="_Toc254970594"/>
            <w:bookmarkStart w:id="130" w:name="_Toc297193191"/>
            <w:bookmarkStart w:id="131" w:name="_Toc254970735"/>
            <w:bookmarkStart w:id="132" w:name="_Toc383699912"/>
            <w:bookmarkStart w:id="133" w:name="_Toc173066407"/>
            <w:r>
              <w:rPr>
                <w:rFonts w:hint="eastAsia" w:ascii="宋体" w:hAnsi="宋体" w:eastAsia="宋体" w:cs="宋体"/>
                <w:color w:val="auto"/>
                <w:kern w:val="2"/>
                <w:sz w:val="24"/>
                <w:szCs w:val="24"/>
                <w:highlight w:val="none"/>
              </w:rPr>
              <w:t>2</w:t>
            </w:r>
            <w:bookmarkEnd w:id="125"/>
            <w:bookmarkEnd w:id="126"/>
            <w:bookmarkEnd w:id="127"/>
            <w:bookmarkEnd w:id="128"/>
            <w:bookmarkEnd w:id="129"/>
            <w:bookmarkEnd w:id="130"/>
            <w:bookmarkEnd w:id="131"/>
            <w:bookmarkEnd w:id="132"/>
            <w:bookmarkEnd w:id="133"/>
          </w:p>
        </w:tc>
        <w:tc>
          <w:tcPr>
            <w:tcW w:w="1189" w:type="dxa"/>
            <w:tcBorders>
              <w:top w:val="single" w:color="auto" w:sz="4" w:space="0"/>
              <w:left w:val="single" w:color="auto" w:sz="4" w:space="0"/>
              <w:bottom w:val="single" w:color="auto" w:sz="4" w:space="0"/>
              <w:right w:val="single" w:color="auto" w:sz="4" w:space="0"/>
            </w:tcBorders>
            <w:vAlign w:val="center"/>
          </w:tcPr>
          <w:p w14:paraId="233E8616">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2926" w:type="dxa"/>
            <w:tcBorders>
              <w:top w:val="single" w:color="auto" w:sz="4" w:space="0"/>
              <w:left w:val="single" w:color="auto" w:sz="4" w:space="0"/>
              <w:bottom w:val="single" w:color="auto" w:sz="4" w:space="0"/>
              <w:right w:val="single" w:color="auto" w:sz="4" w:space="0"/>
            </w:tcBorders>
            <w:vAlign w:val="center"/>
          </w:tcPr>
          <w:p w14:paraId="30AABDCE">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2730" w:type="dxa"/>
            <w:tcBorders>
              <w:top w:val="single" w:color="auto" w:sz="4" w:space="0"/>
              <w:left w:val="single" w:color="auto" w:sz="4" w:space="0"/>
              <w:bottom w:val="single" w:color="auto" w:sz="4" w:space="0"/>
              <w:right w:val="single" w:color="auto" w:sz="4" w:space="0"/>
            </w:tcBorders>
            <w:vAlign w:val="center"/>
          </w:tcPr>
          <w:p w14:paraId="21404A13">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1489" w:type="dxa"/>
            <w:tcBorders>
              <w:top w:val="single" w:color="auto" w:sz="4" w:space="0"/>
              <w:left w:val="single" w:color="auto" w:sz="4" w:space="0"/>
              <w:bottom w:val="single" w:color="auto" w:sz="4" w:space="0"/>
              <w:right w:val="single" w:color="auto" w:sz="12" w:space="0"/>
            </w:tcBorders>
            <w:vAlign w:val="center"/>
          </w:tcPr>
          <w:p w14:paraId="3A668442">
            <w:pPr>
              <w:pStyle w:val="15"/>
              <w:spacing w:line="360" w:lineRule="auto"/>
              <w:ind w:firstLine="0" w:firstLineChars="0"/>
              <w:contextualSpacing/>
              <w:jc w:val="center"/>
              <w:rPr>
                <w:rFonts w:ascii="宋体" w:hAnsi="宋体" w:eastAsia="宋体" w:cs="宋体"/>
                <w:color w:val="auto"/>
                <w:kern w:val="2"/>
                <w:sz w:val="24"/>
                <w:szCs w:val="24"/>
                <w:highlight w:val="none"/>
              </w:rPr>
            </w:pPr>
          </w:p>
        </w:tc>
      </w:tr>
      <w:tr w14:paraId="17C867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6" w:hRule="atLeast"/>
          <w:jc w:val="center"/>
        </w:trPr>
        <w:tc>
          <w:tcPr>
            <w:tcW w:w="1229" w:type="dxa"/>
            <w:tcBorders>
              <w:top w:val="single" w:color="auto" w:sz="4" w:space="0"/>
              <w:left w:val="single" w:color="auto" w:sz="12" w:space="0"/>
              <w:bottom w:val="single" w:color="auto" w:sz="4" w:space="0"/>
              <w:right w:val="single" w:color="auto" w:sz="4" w:space="0"/>
            </w:tcBorders>
            <w:vAlign w:val="center"/>
          </w:tcPr>
          <w:p w14:paraId="576E9C1B">
            <w:pPr>
              <w:pStyle w:val="15"/>
              <w:spacing w:line="360" w:lineRule="auto"/>
              <w:ind w:firstLine="0" w:firstLineChars="0"/>
              <w:contextualSpacing/>
              <w:jc w:val="center"/>
              <w:rPr>
                <w:rFonts w:ascii="宋体" w:hAnsi="宋体" w:eastAsia="宋体" w:cs="宋体"/>
                <w:color w:val="auto"/>
                <w:kern w:val="2"/>
                <w:sz w:val="24"/>
                <w:szCs w:val="24"/>
                <w:highlight w:val="none"/>
              </w:rPr>
            </w:pPr>
            <w:bookmarkStart w:id="134" w:name="_Toc297193192"/>
            <w:bookmarkStart w:id="135" w:name="_Toc173211907"/>
            <w:bookmarkStart w:id="136" w:name="_Toc373333696"/>
            <w:bookmarkStart w:id="137" w:name="_Toc173066408"/>
            <w:bookmarkStart w:id="138" w:name="_Toc254970595"/>
            <w:bookmarkStart w:id="139" w:name="_Toc295404988"/>
            <w:bookmarkStart w:id="140" w:name="_Toc254970736"/>
            <w:bookmarkStart w:id="141" w:name="_Toc301781618"/>
            <w:bookmarkStart w:id="142" w:name="_Toc383699913"/>
            <w:r>
              <w:rPr>
                <w:rFonts w:hint="eastAsia" w:ascii="宋体" w:hAnsi="宋体" w:eastAsia="宋体" w:cs="宋体"/>
                <w:color w:val="auto"/>
                <w:kern w:val="2"/>
                <w:sz w:val="24"/>
                <w:szCs w:val="24"/>
                <w:highlight w:val="none"/>
              </w:rPr>
              <w:t>3</w:t>
            </w:r>
            <w:bookmarkEnd w:id="134"/>
            <w:bookmarkEnd w:id="135"/>
            <w:bookmarkEnd w:id="136"/>
            <w:bookmarkEnd w:id="137"/>
            <w:bookmarkEnd w:id="138"/>
            <w:bookmarkEnd w:id="139"/>
            <w:bookmarkEnd w:id="140"/>
            <w:bookmarkEnd w:id="141"/>
            <w:bookmarkEnd w:id="142"/>
          </w:p>
        </w:tc>
        <w:tc>
          <w:tcPr>
            <w:tcW w:w="1189" w:type="dxa"/>
            <w:tcBorders>
              <w:top w:val="single" w:color="auto" w:sz="4" w:space="0"/>
              <w:left w:val="single" w:color="auto" w:sz="4" w:space="0"/>
              <w:bottom w:val="single" w:color="auto" w:sz="4" w:space="0"/>
              <w:right w:val="single" w:color="auto" w:sz="4" w:space="0"/>
            </w:tcBorders>
            <w:vAlign w:val="center"/>
          </w:tcPr>
          <w:p w14:paraId="4967A6B4">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2926" w:type="dxa"/>
            <w:tcBorders>
              <w:top w:val="single" w:color="auto" w:sz="4" w:space="0"/>
              <w:left w:val="single" w:color="auto" w:sz="4" w:space="0"/>
              <w:bottom w:val="single" w:color="auto" w:sz="4" w:space="0"/>
              <w:right w:val="single" w:color="auto" w:sz="4" w:space="0"/>
            </w:tcBorders>
            <w:vAlign w:val="center"/>
          </w:tcPr>
          <w:p w14:paraId="28731AA3">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2730" w:type="dxa"/>
            <w:tcBorders>
              <w:top w:val="single" w:color="auto" w:sz="4" w:space="0"/>
              <w:left w:val="single" w:color="auto" w:sz="4" w:space="0"/>
              <w:bottom w:val="single" w:color="auto" w:sz="4" w:space="0"/>
              <w:right w:val="single" w:color="auto" w:sz="4" w:space="0"/>
            </w:tcBorders>
            <w:vAlign w:val="center"/>
          </w:tcPr>
          <w:p w14:paraId="62D1B17C">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1489" w:type="dxa"/>
            <w:tcBorders>
              <w:top w:val="single" w:color="auto" w:sz="4" w:space="0"/>
              <w:left w:val="single" w:color="auto" w:sz="4" w:space="0"/>
              <w:bottom w:val="single" w:color="auto" w:sz="4" w:space="0"/>
              <w:right w:val="single" w:color="auto" w:sz="12" w:space="0"/>
            </w:tcBorders>
            <w:vAlign w:val="center"/>
          </w:tcPr>
          <w:p w14:paraId="2192CCD2">
            <w:pPr>
              <w:pStyle w:val="15"/>
              <w:spacing w:line="360" w:lineRule="auto"/>
              <w:ind w:firstLine="0" w:firstLineChars="0"/>
              <w:contextualSpacing/>
              <w:jc w:val="center"/>
              <w:rPr>
                <w:rFonts w:ascii="宋体" w:hAnsi="宋体" w:eastAsia="宋体" w:cs="宋体"/>
                <w:color w:val="auto"/>
                <w:kern w:val="2"/>
                <w:sz w:val="24"/>
                <w:szCs w:val="24"/>
                <w:highlight w:val="none"/>
              </w:rPr>
            </w:pPr>
          </w:p>
        </w:tc>
      </w:tr>
      <w:tr w14:paraId="79E3ED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6" w:hRule="atLeast"/>
          <w:jc w:val="center"/>
        </w:trPr>
        <w:tc>
          <w:tcPr>
            <w:tcW w:w="1229" w:type="dxa"/>
            <w:tcBorders>
              <w:top w:val="single" w:color="auto" w:sz="4" w:space="0"/>
              <w:left w:val="single" w:color="auto" w:sz="12" w:space="0"/>
              <w:bottom w:val="single" w:color="auto" w:sz="4" w:space="0"/>
              <w:right w:val="single" w:color="auto" w:sz="4" w:space="0"/>
            </w:tcBorders>
            <w:vAlign w:val="center"/>
          </w:tcPr>
          <w:p w14:paraId="7E472464">
            <w:pPr>
              <w:pStyle w:val="15"/>
              <w:spacing w:line="360" w:lineRule="auto"/>
              <w:ind w:firstLine="0" w:firstLineChars="0"/>
              <w:contextualSpacing/>
              <w:jc w:val="center"/>
              <w:rPr>
                <w:rFonts w:ascii="宋体" w:hAnsi="宋体" w:eastAsia="宋体" w:cs="宋体"/>
                <w:color w:val="auto"/>
                <w:kern w:val="2"/>
                <w:sz w:val="24"/>
                <w:szCs w:val="24"/>
                <w:highlight w:val="none"/>
              </w:rPr>
            </w:pPr>
            <w:bookmarkStart w:id="143" w:name="_Toc295404989"/>
            <w:bookmarkStart w:id="144" w:name="_Toc297193193"/>
            <w:bookmarkStart w:id="145" w:name="_Toc254970596"/>
            <w:bookmarkStart w:id="146" w:name="_Toc383699914"/>
            <w:bookmarkStart w:id="147" w:name="_Toc301781619"/>
            <w:bookmarkStart w:id="148" w:name="_Toc373333697"/>
            <w:bookmarkStart w:id="149" w:name="_Toc254970737"/>
            <w:bookmarkStart w:id="150" w:name="_Toc173211908"/>
            <w:bookmarkStart w:id="151" w:name="_Toc173066409"/>
            <w:r>
              <w:rPr>
                <w:rFonts w:hint="eastAsia" w:ascii="宋体" w:hAnsi="宋体" w:eastAsia="宋体" w:cs="宋体"/>
                <w:color w:val="auto"/>
                <w:kern w:val="2"/>
                <w:sz w:val="24"/>
                <w:szCs w:val="24"/>
                <w:highlight w:val="none"/>
              </w:rPr>
              <w:t>4</w:t>
            </w:r>
            <w:bookmarkEnd w:id="143"/>
            <w:bookmarkEnd w:id="144"/>
            <w:bookmarkEnd w:id="145"/>
            <w:bookmarkEnd w:id="146"/>
            <w:bookmarkEnd w:id="147"/>
            <w:bookmarkEnd w:id="148"/>
            <w:bookmarkEnd w:id="149"/>
            <w:bookmarkEnd w:id="150"/>
            <w:bookmarkEnd w:id="151"/>
          </w:p>
        </w:tc>
        <w:tc>
          <w:tcPr>
            <w:tcW w:w="1189" w:type="dxa"/>
            <w:tcBorders>
              <w:top w:val="single" w:color="auto" w:sz="4" w:space="0"/>
              <w:left w:val="single" w:color="auto" w:sz="4" w:space="0"/>
              <w:bottom w:val="single" w:color="auto" w:sz="4" w:space="0"/>
              <w:right w:val="single" w:color="auto" w:sz="4" w:space="0"/>
            </w:tcBorders>
            <w:vAlign w:val="center"/>
          </w:tcPr>
          <w:p w14:paraId="0A4C0CDD">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2926" w:type="dxa"/>
            <w:tcBorders>
              <w:top w:val="single" w:color="auto" w:sz="4" w:space="0"/>
              <w:left w:val="single" w:color="auto" w:sz="4" w:space="0"/>
              <w:bottom w:val="single" w:color="auto" w:sz="4" w:space="0"/>
              <w:right w:val="single" w:color="auto" w:sz="4" w:space="0"/>
            </w:tcBorders>
            <w:vAlign w:val="center"/>
          </w:tcPr>
          <w:p w14:paraId="22962991">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2730" w:type="dxa"/>
            <w:tcBorders>
              <w:top w:val="single" w:color="auto" w:sz="4" w:space="0"/>
              <w:left w:val="single" w:color="auto" w:sz="4" w:space="0"/>
              <w:bottom w:val="single" w:color="auto" w:sz="4" w:space="0"/>
              <w:right w:val="single" w:color="auto" w:sz="4" w:space="0"/>
            </w:tcBorders>
            <w:vAlign w:val="center"/>
          </w:tcPr>
          <w:p w14:paraId="75C56AC0">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1489" w:type="dxa"/>
            <w:tcBorders>
              <w:top w:val="single" w:color="auto" w:sz="4" w:space="0"/>
              <w:left w:val="single" w:color="auto" w:sz="4" w:space="0"/>
              <w:bottom w:val="single" w:color="auto" w:sz="4" w:space="0"/>
              <w:right w:val="single" w:color="auto" w:sz="12" w:space="0"/>
            </w:tcBorders>
            <w:vAlign w:val="center"/>
          </w:tcPr>
          <w:p w14:paraId="319D481A">
            <w:pPr>
              <w:pStyle w:val="15"/>
              <w:spacing w:line="360" w:lineRule="auto"/>
              <w:ind w:firstLine="0" w:firstLineChars="0"/>
              <w:contextualSpacing/>
              <w:jc w:val="center"/>
              <w:rPr>
                <w:rFonts w:ascii="宋体" w:hAnsi="宋体" w:eastAsia="宋体" w:cs="宋体"/>
                <w:color w:val="auto"/>
                <w:kern w:val="2"/>
                <w:sz w:val="24"/>
                <w:szCs w:val="24"/>
                <w:highlight w:val="none"/>
              </w:rPr>
            </w:pPr>
          </w:p>
        </w:tc>
      </w:tr>
      <w:tr w14:paraId="143F7A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6" w:hRule="atLeast"/>
          <w:jc w:val="center"/>
        </w:trPr>
        <w:tc>
          <w:tcPr>
            <w:tcW w:w="1229" w:type="dxa"/>
            <w:tcBorders>
              <w:top w:val="single" w:color="auto" w:sz="4" w:space="0"/>
              <w:left w:val="single" w:color="auto" w:sz="12" w:space="0"/>
              <w:bottom w:val="single" w:color="auto" w:sz="4" w:space="0"/>
              <w:right w:val="single" w:color="auto" w:sz="4" w:space="0"/>
            </w:tcBorders>
            <w:vAlign w:val="center"/>
          </w:tcPr>
          <w:p w14:paraId="380CE31B">
            <w:pPr>
              <w:pStyle w:val="15"/>
              <w:spacing w:line="360" w:lineRule="auto"/>
              <w:ind w:firstLine="0" w:firstLineChars="0"/>
              <w:contextualSpacing/>
              <w:jc w:val="center"/>
              <w:rPr>
                <w:rFonts w:ascii="宋体" w:hAnsi="宋体" w:eastAsia="宋体" w:cs="宋体"/>
                <w:color w:val="auto"/>
                <w:kern w:val="2"/>
                <w:sz w:val="24"/>
                <w:szCs w:val="24"/>
                <w:highlight w:val="none"/>
              </w:rPr>
            </w:pPr>
            <w:bookmarkStart w:id="152" w:name="_Toc297193194"/>
            <w:bookmarkStart w:id="153" w:name="_Toc383699915"/>
            <w:bookmarkStart w:id="154" w:name="_Toc173066410"/>
            <w:bookmarkStart w:id="155" w:name="_Toc173211909"/>
            <w:bookmarkStart w:id="156" w:name="_Toc373333698"/>
            <w:bookmarkStart w:id="157" w:name="_Toc254970597"/>
            <w:bookmarkStart w:id="158" w:name="_Toc254970738"/>
            <w:bookmarkStart w:id="159" w:name="_Toc301781620"/>
            <w:bookmarkStart w:id="160" w:name="_Toc295404990"/>
            <w:r>
              <w:rPr>
                <w:rFonts w:hint="eastAsia" w:ascii="宋体" w:hAnsi="宋体" w:eastAsia="宋体" w:cs="宋体"/>
                <w:color w:val="auto"/>
                <w:kern w:val="2"/>
                <w:sz w:val="24"/>
                <w:szCs w:val="24"/>
                <w:highlight w:val="none"/>
              </w:rPr>
              <w:t>5</w:t>
            </w:r>
            <w:bookmarkEnd w:id="152"/>
            <w:bookmarkEnd w:id="153"/>
            <w:bookmarkEnd w:id="154"/>
            <w:bookmarkEnd w:id="155"/>
            <w:bookmarkEnd w:id="156"/>
            <w:bookmarkEnd w:id="157"/>
            <w:bookmarkEnd w:id="158"/>
            <w:bookmarkEnd w:id="159"/>
            <w:bookmarkEnd w:id="160"/>
          </w:p>
        </w:tc>
        <w:tc>
          <w:tcPr>
            <w:tcW w:w="1189" w:type="dxa"/>
            <w:tcBorders>
              <w:top w:val="single" w:color="auto" w:sz="4" w:space="0"/>
              <w:left w:val="single" w:color="auto" w:sz="4" w:space="0"/>
              <w:bottom w:val="single" w:color="auto" w:sz="4" w:space="0"/>
              <w:right w:val="single" w:color="auto" w:sz="4" w:space="0"/>
            </w:tcBorders>
            <w:vAlign w:val="center"/>
          </w:tcPr>
          <w:p w14:paraId="61714DA9">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2926" w:type="dxa"/>
            <w:tcBorders>
              <w:top w:val="single" w:color="auto" w:sz="4" w:space="0"/>
              <w:left w:val="single" w:color="auto" w:sz="4" w:space="0"/>
              <w:bottom w:val="single" w:color="auto" w:sz="4" w:space="0"/>
              <w:right w:val="single" w:color="auto" w:sz="4" w:space="0"/>
            </w:tcBorders>
            <w:vAlign w:val="center"/>
          </w:tcPr>
          <w:p w14:paraId="52BD37D7">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2730" w:type="dxa"/>
            <w:tcBorders>
              <w:top w:val="single" w:color="auto" w:sz="4" w:space="0"/>
              <w:left w:val="single" w:color="auto" w:sz="4" w:space="0"/>
              <w:bottom w:val="single" w:color="auto" w:sz="4" w:space="0"/>
              <w:right w:val="single" w:color="auto" w:sz="4" w:space="0"/>
            </w:tcBorders>
            <w:vAlign w:val="center"/>
          </w:tcPr>
          <w:p w14:paraId="40141F14">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1489" w:type="dxa"/>
            <w:tcBorders>
              <w:top w:val="single" w:color="auto" w:sz="4" w:space="0"/>
              <w:left w:val="single" w:color="auto" w:sz="4" w:space="0"/>
              <w:bottom w:val="single" w:color="auto" w:sz="4" w:space="0"/>
              <w:right w:val="single" w:color="auto" w:sz="12" w:space="0"/>
            </w:tcBorders>
            <w:vAlign w:val="center"/>
          </w:tcPr>
          <w:p w14:paraId="5EF9124A">
            <w:pPr>
              <w:pStyle w:val="15"/>
              <w:spacing w:line="360" w:lineRule="auto"/>
              <w:ind w:firstLine="0" w:firstLineChars="0"/>
              <w:contextualSpacing/>
              <w:jc w:val="center"/>
              <w:rPr>
                <w:rFonts w:ascii="宋体" w:hAnsi="宋体" w:eastAsia="宋体" w:cs="宋体"/>
                <w:color w:val="auto"/>
                <w:kern w:val="2"/>
                <w:sz w:val="24"/>
                <w:szCs w:val="24"/>
                <w:highlight w:val="none"/>
              </w:rPr>
            </w:pPr>
          </w:p>
        </w:tc>
      </w:tr>
      <w:tr w14:paraId="7B8653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1229" w:type="dxa"/>
            <w:tcBorders>
              <w:top w:val="single" w:color="auto" w:sz="4" w:space="0"/>
              <w:left w:val="single" w:color="auto" w:sz="12" w:space="0"/>
              <w:bottom w:val="single" w:color="auto" w:sz="12" w:space="0"/>
              <w:right w:val="single" w:color="auto" w:sz="4" w:space="0"/>
            </w:tcBorders>
            <w:vAlign w:val="center"/>
          </w:tcPr>
          <w:p w14:paraId="62485D65">
            <w:pPr>
              <w:pStyle w:val="15"/>
              <w:spacing w:line="360" w:lineRule="auto"/>
              <w:ind w:firstLine="0" w:firstLineChars="0"/>
              <w:contextualSpacing/>
              <w:jc w:val="center"/>
              <w:rPr>
                <w:rFonts w:ascii="宋体" w:hAnsi="宋体" w:eastAsia="宋体" w:cs="宋体"/>
                <w:color w:val="auto"/>
                <w:kern w:val="2"/>
                <w:sz w:val="24"/>
                <w:szCs w:val="24"/>
                <w:highlight w:val="none"/>
              </w:rPr>
            </w:pPr>
            <w:bookmarkStart w:id="161" w:name="_Toc254970602"/>
            <w:bookmarkStart w:id="162" w:name="_Toc173211914"/>
            <w:bookmarkStart w:id="163" w:name="_Toc295404991"/>
            <w:bookmarkStart w:id="164" w:name="_Toc383699916"/>
            <w:bookmarkStart w:id="165" w:name="_Toc297193195"/>
            <w:bookmarkStart w:id="166" w:name="_Toc254970743"/>
            <w:bookmarkStart w:id="167" w:name="_Toc173066415"/>
            <w:bookmarkStart w:id="168" w:name="_Toc301781621"/>
            <w:bookmarkStart w:id="169" w:name="_Toc373333699"/>
            <w:r>
              <w:rPr>
                <w:rFonts w:hint="eastAsia" w:ascii="宋体" w:hAnsi="宋体" w:eastAsia="宋体" w:cs="宋体"/>
                <w:color w:val="auto"/>
                <w:kern w:val="2"/>
                <w:sz w:val="24"/>
                <w:szCs w:val="24"/>
                <w:highlight w:val="none"/>
              </w:rPr>
              <w:t>…</w:t>
            </w:r>
            <w:bookmarkEnd w:id="161"/>
            <w:bookmarkEnd w:id="162"/>
            <w:bookmarkEnd w:id="163"/>
            <w:bookmarkEnd w:id="164"/>
            <w:bookmarkEnd w:id="165"/>
            <w:bookmarkEnd w:id="166"/>
            <w:bookmarkEnd w:id="167"/>
            <w:bookmarkEnd w:id="168"/>
            <w:bookmarkEnd w:id="169"/>
          </w:p>
        </w:tc>
        <w:tc>
          <w:tcPr>
            <w:tcW w:w="1189" w:type="dxa"/>
            <w:tcBorders>
              <w:top w:val="single" w:color="auto" w:sz="4" w:space="0"/>
              <w:left w:val="single" w:color="auto" w:sz="4" w:space="0"/>
              <w:bottom w:val="single" w:color="auto" w:sz="12" w:space="0"/>
              <w:right w:val="single" w:color="auto" w:sz="4" w:space="0"/>
            </w:tcBorders>
            <w:vAlign w:val="center"/>
          </w:tcPr>
          <w:p w14:paraId="0D33D592">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2926" w:type="dxa"/>
            <w:tcBorders>
              <w:top w:val="single" w:color="auto" w:sz="4" w:space="0"/>
              <w:left w:val="single" w:color="auto" w:sz="4" w:space="0"/>
              <w:bottom w:val="single" w:color="auto" w:sz="12" w:space="0"/>
              <w:right w:val="single" w:color="auto" w:sz="4" w:space="0"/>
            </w:tcBorders>
            <w:vAlign w:val="center"/>
          </w:tcPr>
          <w:p w14:paraId="1894E868">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2730" w:type="dxa"/>
            <w:tcBorders>
              <w:top w:val="single" w:color="auto" w:sz="4" w:space="0"/>
              <w:left w:val="single" w:color="auto" w:sz="4" w:space="0"/>
              <w:bottom w:val="single" w:color="auto" w:sz="12" w:space="0"/>
              <w:right w:val="single" w:color="auto" w:sz="4" w:space="0"/>
            </w:tcBorders>
            <w:vAlign w:val="center"/>
          </w:tcPr>
          <w:p w14:paraId="23A49142">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1489" w:type="dxa"/>
            <w:tcBorders>
              <w:top w:val="single" w:color="auto" w:sz="4" w:space="0"/>
              <w:left w:val="single" w:color="auto" w:sz="4" w:space="0"/>
              <w:bottom w:val="single" w:color="auto" w:sz="12" w:space="0"/>
              <w:right w:val="single" w:color="auto" w:sz="12" w:space="0"/>
            </w:tcBorders>
            <w:vAlign w:val="center"/>
          </w:tcPr>
          <w:p w14:paraId="7B6562A5">
            <w:pPr>
              <w:pStyle w:val="15"/>
              <w:spacing w:line="360" w:lineRule="auto"/>
              <w:ind w:firstLine="0" w:firstLineChars="0"/>
              <w:contextualSpacing/>
              <w:jc w:val="center"/>
              <w:rPr>
                <w:rFonts w:ascii="宋体" w:hAnsi="宋体" w:eastAsia="宋体" w:cs="宋体"/>
                <w:color w:val="auto"/>
                <w:kern w:val="2"/>
                <w:sz w:val="24"/>
                <w:szCs w:val="24"/>
                <w:highlight w:val="none"/>
              </w:rPr>
            </w:pPr>
          </w:p>
        </w:tc>
      </w:tr>
    </w:tbl>
    <w:p w14:paraId="6B45A1F6">
      <w:pPr>
        <w:pStyle w:val="15"/>
        <w:spacing w:line="360" w:lineRule="auto"/>
        <w:ind w:firstLine="0" w:firstLineChars="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69635386">
      <w:pPr>
        <w:pStyle w:val="15"/>
        <w:spacing w:line="360" w:lineRule="auto"/>
        <w:ind w:firstLine="0" w:firstLineChars="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 说明：应对照磋商文件“第三章 采购需求”中的技术要求逐条作出明确响应，并作出偏离说明。</w:t>
      </w:r>
    </w:p>
    <w:p w14:paraId="228830F2">
      <w:pPr>
        <w:pStyle w:val="15"/>
        <w:spacing w:line="360" w:lineRule="auto"/>
        <w:ind w:firstLine="0" w:firstLineChars="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2.供应商应根据自身的承诺，对照磋商文件要求，在“偏离说明”中注明“正偏离”、“负偏离”或者“无偏离”。既不属于“正偏离”也不属于“负偏离”即为“无偏离”。</w:t>
      </w:r>
    </w:p>
    <w:p w14:paraId="5DCA71A7">
      <w:pPr>
        <w:spacing w:line="360" w:lineRule="auto"/>
        <w:ind w:right="-817" w:rightChars="-389"/>
        <w:contextualSpacing/>
        <w:rPr>
          <w:rFonts w:ascii="宋体" w:hAnsi="宋体" w:cs="宋体"/>
          <w:color w:val="auto"/>
          <w:sz w:val="24"/>
          <w:highlight w:val="none"/>
        </w:rPr>
      </w:pPr>
    </w:p>
    <w:p w14:paraId="3A770748">
      <w:pPr>
        <w:spacing w:line="480" w:lineRule="auto"/>
        <w:ind w:right="480"/>
        <w:contextualSpacing/>
        <w:jc w:val="center"/>
        <w:rPr>
          <w:rFonts w:ascii="宋体" w:hAnsi="宋体" w:cs="宋体"/>
          <w:color w:val="auto"/>
          <w:sz w:val="24"/>
          <w:highlight w:val="none"/>
          <w:u w:val="single"/>
        </w:rPr>
      </w:pPr>
      <w:r>
        <w:rPr>
          <w:rFonts w:hint="eastAsia" w:ascii="宋体" w:hAnsi="宋体" w:cs="宋体"/>
          <w:color w:val="auto"/>
          <w:sz w:val="24"/>
          <w:highlight w:val="none"/>
        </w:rPr>
        <w:t xml:space="preserve">   法定代表人或者委托代理人（签字或者盖章或者电子签名）：</w:t>
      </w:r>
      <w:r>
        <w:rPr>
          <w:rFonts w:hint="eastAsia" w:ascii="宋体" w:hAnsi="宋体" w:cs="宋体"/>
          <w:color w:val="auto"/>
          <w:sz w:val="24"/>
          <w:highlight w:val="none"/>
          <w:u w:val="single"/>
        </w:rPr>
        <w:t xml:space="preserve">      </w:t>
      </w:r>
    </w:p>
    <w:p w14:paraId="035F396A">
      <w:pPr>
        <w:spacing w:line="480" w:lineRule="auto"/>
        <w:ind w:right="480" w:firstLine="1200" w:firstLineChars="500"/>
        <w:contextualSpacing/>
        <w:rPr>
          <w:rFonts w:ascii="宋体" w:hAnsi="宋体" w:cs="宋体"/>
          <w:color w:val="auto"/>
          <w:sz w:val="24"/>
          <w:highlight w:val="none"/>
          <w:u w:val="single"/>
        </w:rPr>
      </w:pPr>
      <w:r>
        <w:rPr>
          <w:rFonts w:hint="eastAsia" w:ascii="宋体" w:hAnsi="宋体" w:cs="宋体"/>
          <w:color w:val="auto"/>
          <w:sz w:val="24"/>
          <w:highlight w:val="none"/>
        </w:rPr>
        <w:t xml:space="preserve">供应商（电子签章）： </w:t>
      </w:r>
      <w:r>
        <w:rPr>
          <w:rFonts w:hint="eastAsia" w:ascii="宋体" w:hAnsi="宋体" w:cs="宋体"/>
          <w:color w:val="auto"/>
          <w:sz w:val="24"/>
          <w:highlight w:val="none"/>
          <w:u w:val="single"/>
        </w:rPr>
        <w:t xml:space="preserve">                              </w:t>
      </w:r>
    </w:p>
    <w:p w14:paraId="772A4C54">
      <w:pPr>
        <w:spacing w:line="480" w:lineRule="auto"/>
        <w:ind w:firstLine="480" w:firstLineChars="200"/>
        <w:contextualSpacing/>
        <w:jc w:val="center"/>
        <w:rPr>
          <w:rFonts w:ascii="宋体" w:hAnsi="宋体" w:cs="宋体"/>
          <w:color w:val="auto"/>
          <w:sz w:val="28"/>
          <w:szCs w:val="28"/>
          <w:highlight w:val="none"/>
        </w:rPr>
      </w:pPr>
      <w:r>
        <w:rPr>
          <w:rFonts w:hint="eastAsia" w:ascii="宋体" w:hAnsi="宋体" w:cs="宋体"/>
          <w:color w:val="auto"/>
          <w:sz w:val="24"/>
          <w:highlight w:val="none"/>
        </w:rPr>
        <w:t>年    月    日</w:t>
      </w:r>
    </w:p>
    <w:p w14:paraId="2CBF34E4">
      <w:pPr>
        <w:snapToGrid w:val="0"/>
        <w:spacing w:before="156" w:beforeLines="50" w:after="50"/>
        <w:ind w:left="142"/>
        <w:jc w:val="left"/>
        <w:rPr>
          <w:rFonts w:ascii="宋体" w:hAnsi="宋体" w:cs="宋体"/>
          <w:b/>
          <w:color w:val="auto"/>
          <w:sz w:val="24"/>
          <w:highlight w:val="none"/>
        </w:rPr>
      </w:pPr>
      <w:r>
        <w:rPr>
          <w:rFonts w:hint="eastAsia" w:ascii="宋体" w:hAnsi="宋体" w:cs="宋体"/>
          <w:color w:val="auto"/>
          <w:sz w:val="24"/>
          <w:highlight w:val="none"/>
        </w:rPr>
        <w:br w:type="page"/>
      </w:r>
    </w:p>
    <w:p w14:paraId="3E5CEAC4">
      <w:pPr>
        <w:spacing w:line="360" w:lineRule="auto"/>
        <w:ind w:left="142"/>
        <w:contextualSpacing/>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项目实施人员一览表（格式）</w:t>
      </w:r>
    </w:p>
    <w:p w14:paraId="0DA7362D">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single"/>
        </w:rPr>
        <w:t xml:space="preserve">                 </w:t>
      </w:r>
    </w:p>
    <w:p w14:paraId="62D60F13">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p>
    <w:p w14:paraId="490D249E">
      <w:pPr>
        <w:pStyle w:val="18"/>
        <w:spacing w:line="360" w:lineRule="auto"/>
        <w:contextualSpacing/>
        <w:rPr>
          <w:rFonts w:hAnsi="宋体" w:cs="宋体"/>
          <w:color w:val="auto"/>
          <w:sz w:val="24"/>
          <w:highlight w:val="none"/>
          <w:u w:val="single"/>
        </w:rPr>
      </w:pPr>
      <w:r>
        <w:rPr>
          <w:rFonts w:hint="eastAsia" w:hAnsi="宋体" w:cs="宋体"/>
          <w:color w:val="auto"/>
          <w:sz w:val="24"/>
          <w:highlight w:val="none"/>
        </w:rPr>
        <w:t>标项名称：</w:t>
      </w:r>
      <w:r>
        <w:rPr>
          <w:rFonts w:hint="eastAsia" w:hAnsi="宋体" w:cs="宋体"/>
          <w:color w:val="auto"/>
          <w:sz w:val="24"/>
          <w:highlight w:val="none"/>
          <w:u w:val="single"/>
        </w:rPr>
        <w:t xml:space="preserve">                    </w:t>
      </w:r>
    </w:p>
    <w:p w14:paraId="18429DA3">
      <w:pPr>
        <w:rPr>
          <w:color w:val="auto"/>
          <w:highlight w:val="none"/>
          <w:u w:val="single"/>
        </w:rPr>
      </w:pPr>
      <w:r>
        <w:rPr>
          <w:rFonts w:hint="eastAsia" w:ascii="宋体" w:hAnsi="宋体" w:cs="宋体"/>
          <w:color w:val="auto"/>
          <w:sz w:val="24"/>
          <w:highlight w:val="none"/>
        </w:rPr>
        <w:t>分 标：</w:t>
      </w:r>
      <w:r>
        <w:rPr>
          <w:rFonts w:hint="eastAsia" w:ascii="宋体" w:hAnsi="宋体" w:cs="宋体"/>
          <w:color w:val="auto"/>
          <w:sz w:val="24"/>
          <w:highlight w:val="none"/>
          <w:u w:val="single"/>
        </w:rPr>
        <w:t xml:space="preserve">                      </w:t>
      </w:r>
    </w:p>
    <w:tbl>
      <w:tblPr>
        <w:tblStyle w:val="32"/>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160"/>
        <w:gridCol w:w="2789"/>
        <w:gridCol w:w="1332"/>
        <w:gridCol w:w="1481"/>
        <w:gridCol w:w="938"/>
      </w:tblGrid>
      <w:tr w14:paraId="49BB9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1538" w:type="dxa"/>
            <w:tcBorders>
              <w:top w:val="single" w:color="auto" w:sz="12" w:space="0"/>
              <w:left w:val="single" w:color="auto" w:sz="12" w:space="0"/>
            </w:tcBorders>
            <w:vAlign w:val="center"/>
          </w:tcPr>
          <w:p w14:paraId="4EA640B1">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姓名</w:t>
            </w:r>
          </w:p>
        </w:tc>
        <w:tc>
          <w:tcPr>
            <w:tcW w:w="1160" w:type="dxa"/>
            <w:tcBorders>
              <w:top w:val="single" w:color="auto" w:sz="12" w:space="0"/>
            </w:tcBorders>
            <w:vAlign w:val="center"/>
          </w:tcPr>
          <w:p w14:paraId="5B0CB545">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职务</w:t>
            </w:r>
          </w:p>
        </w:tc>
        <w:tc>
          <w:tcPr>
            <w:tcW w:w="2789" w:type="dxa"/>
            <w:tcBorders>
              <w:top w:val="single" w:color="auto" w:sz="12" w:space="0"/>
            </w:tcBorders>
            <w:vAlign w:val="center"/>
          </w:tcPr>
          <w:p w14:paraId="1192F249">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专业技术资格（职称）或者职业资格或者执业资格证或者其他证书</w:t>
            </w:r>
          </w:p>
        </w:tc>
        <w:tc>
          <w:tcPr>
            <w:tcW w:w="1332" w:type="dxa"/>
            <w:tcBorders>
              <w:top w:val="single" w:color="auto" w:sz="12" w:space="0"/>
            </w:tcBorders>
            <w:vAlign w:val="center"/>
          </w:tcPr>
          <w:p w14:paraId="4D65824E">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证书编号</w:t>
            </w:r>
          </w:p>
        </w:tc>
        <w:tc>
          <w:tcPr>
            <w:tcW w:w="1481" w:type="dxa"/>
            <w:tcBorders>
              <w:top w:val="single" w:color="auto" w:sz="12" w:space="0"/>
            </w:tcBorders>
            <w:vAlign w:val="center"/>
          </w:tcPr>
          <w:p w14:paraId="4A44D57C">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参加本单位</w:t>
            </w:r>
          </w:p>
          <w:p w14:paraId="4DBEC625">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工作时间</w:t>
            </w:r>
          </w:p>
        </w:tc>
        <w:tc>
          <w:tcPr>
            <w:tcW w:w="938" w:type="dxa"/>
            <w:tcBorders>
              <w:top w:val="single" w:color="auto" w:sz="12" w:space="0"/>
              <w:right w:val="single" w:color="auto" w:sz="12" w:space="0"/>
            </w:tcBorders>
            <w:vAlign w:val="center"/>
          </w:tcPr>
          <w:p w14:paraId="2AC459F3">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备注</w:t>
            </w:r>
          </w:p>
        </w:tc>
      </w:tr>
      <w:tr w14:paraId="1E1BC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538" w:type="dxa"/>
            <w:tcBorders>
              <w:left w:val="single" w:color="auto" w:sz="12" w:space="0"/>
            </w:tcBorders>
            <w:vAlign w:val="center"/>
          </w:tcPr>
          <w:p w14:paraId="3CA8E8AD">
            <w:pPr>
              <w:spacing w:line="360" w:lineRule="auto"/>
              <w:contextualSpacing/>
              <w:jc w:val="center"/>
              <w:rPr>
                <w:rFonts w:ascii="宋体" w:hAnsi="宋体" w:cs="宋体"/>
                <w:color w:val="auto"/>
                <w:sz w:val="24"/>
                <w:szCs w:val="20"/>
                <w:highlight w:val="none"/>
              </w:rPr>
            </w:pPr>
          </w:p>
        </w:tc>
        <w:tc>
          <w:tcPr>
            <w:tcW w:w="1160" w:type="dxa"/>
            <w:vAlign w:val="center"/>
          </w:tcPr>
          <w:p w14:paraId="36F2FE0E">
            <w:pPr>
              <w:spacing w:line="360" w:lineRule="auto"/>
              <w:contextualSpacing/>
              <w:jc w:val="center"/>
              <w:rPr>
                <w:rFonts w:ascii="宋体" w:hAnsi="宋体" w:cs="宋体"/>
                <w:color w:val="auto"/>
                <w:sz w:val="24"/>
                <w:szCs w:val="20"/>
                <w:highlight w:val="none"/>
              </w:rPr>
            </w:pPr>
          </w:p>
        </w:tc>
        <w:tc>
          <w:tcPr>
            <w:tcW w:w="2789" w:type="dxa"/>
            <w:vAlign w:val="center"/>
          </w:tcPr>
          <w:p w14:paraId="23092452">
            <w:pPr>
              <w:spacing w:line="360" w:lineRule="auto"/>
              <w:contextualSpacing/>
              <w:jc w:val="center"/>
              <w:rPr>
                <w:rFonts w:ascii="宋体" w:hAnsi="宋体" w:cs="宋体"/>
                <w:color w:val="auto"/>
                <w:sz w:val="24"/>
                <w:szCs w:val="20"/>
                <w:highlight w:val="none"/>
              </w:rPr>
            </w:pPr>
          </w:p>
        </w:tc>
        <w:tc>
          <w:tcPr>
            <w:tcW w:w="1332" w:type="dxa"/>
            <w:vAlign w:val="center"/>
          </w:tcPr>
          <w:p w14:paraId="30C33156">
            <w:pPr>
              <w:spacing w:line="360" w:lineRule="auto"/>
              <w:contextualSpacing/>
              <w:jc w:val="center"/>
              <w:rPr>
                <w:rFonts w:ascii="宋体" w:hAnsi="宋体" w:cs="宋体"/>
                <w:color w:val="auto"/>
                <w:sz w:val="24"/>
                <w:szCs w:val="20"/>
                <w:highlight w:val="none"/>
              </w:rPr>
            </w:pPr>
          </w:p>
        </w:tc>
        <w:tc>
          <w:tcPr>
            <w:tcW w:w="1481" w:type="dxa"/>
            <w:vAlign w:val="center"/>
          </w:tcPr>
          <w:p w14:paraId="4B487806">
            <w:pPr>
              <w:spacing w:line="360" w:lineRule="auto"/>
              <w:contextualSpacing/>
              <w:jc w:val="center"/>
              <w:rPr>
                <w:rFonts w:ascii="宋体" w:hAnsi="宋体" w:cs="宋体"/>
                <w:color w:val="auto"/>
                <w:sz w:val="24"/>
                <w:szCs w:val="20"/>
                <w:highlight w:val="none"/>
              </w:rPr>
            </w:pPr>
          </w:p>
        </w:tc>
        <w:tc>
          <w:tcPr>
            <w:tcW w:w="938" w:type="dxa"/>
            <w:tcBorders>
              <w:right w:val="single" w:color="auto" w:sz="12" w:space="0"/>
            </w:tcBorders>
            <w:vAlign w:val="center"/>
          </w:tcPr>
          <w:p w14:paraId="36315878">
            <w:pPr>
              <w:spacing w:line="360" w:lineRule="auto"/>
              <w:contextualSpacing/>
              <w:jc w:val="center"/>
              <w:rPr>
                <w:rFonts w:ascii="宋体" w:hAnsi="宋体" w:cs="宋体"/>
                <w:color w:val="auto"/>
                <w:sz w:val="24"/>
                <w:szCs w:val="20"/>
                <w:highlight w:val="none"/>
              </w:rPr>
            </w:pPr>
          </w:p>
        </w:tc>
      </w:tr>
      <w:tr w14:paraId="6C41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538" w:type="dxa"/>
            <w:tcBorders>
              <w:left w:val="single" w:color="auto" w:sz="12" w:space="0"/>
            </w:tcBorders>
            <w:vAlign w:val="center"/>
          </w:tcPr>
          <w:p w14:paraId="2AEFD525">
            <w:pPr>
              <w:spacing w:line="360" w:lineRule="auto"/>
              <w:contextualSpacing/>
              <w:jc w:val="center"/>
              <w:rPr>
                <w:rFonts w:ascii="宋体" w:hAnsi="宋体" w:cs="宋体"/>
                <w:color w:val="auto"/>
                <w:sz w:val="24"/>
                <w:szCs w:val="20"/>
                <w:highlight w:val="none"/>
              </w:rPr>
            </w:pPr>
          </w:p>
        </w:tc>
        <w:tc>
          <w:tcPr>
            <w:tcW w:w="1160" w:type="dxa"/>
            <w:vAlign w:val="center"/>
          </w:tcPr>
          <w:p w14:paraId="4DD0BCEA">
            <w:pPr>
              <w:spacing w:line="360" w:lineRule="auto"/>
              <w:contextualSpacing/>
              <w:jc w:val="center"/>
              <w:rPr>
                <w:rFonts w:ascii="宋体" w:hAnsi="宋体" w:cs="宋体"/>
                <w:color w:val="auto"/>
                <w:sz w:val="24"/>
                <w:szCs w:val="20"/>
                <w:highlight w:val="none"/>
              </w:rPr>
            </w:pPr>
          </w:p>
        </w:tc>
        <w:tc>
          <w:tcPr>
            <w:tcW w:w="2789" w:type="dxa"/>
            <w:vAlign w:val="center"/>
          </w:tcPr>
          <w:p w14:paraId="5BEC39FE">
            <w:pPr>
              <w:spacing w:line="360" w:lineRule="auto"/>
              <w:contextualSpacing/>
              <w:jc w:val="center"/>
              <w:rPr>
                <w:rFonts w:ascii="宋体" w:hAnsi="宋体" w:cs="宋体"/>
                <w:color w:val="auto"/>
                <w:sz w:val="24"/>
                <w:szCs w:val="20"/>
                <w:highlight w:val="none"/>
              </w:rPr>
            </w:pPr>
          </w:p>
        </w:tc>
        <w:tc>
          <w:tcPr>
            <w:tcW w:w="1332" w:type="dxa"/>
            <w:vAlign w:val="center"/>
          </w:tcPr>
          <w:p w14:paraId="1079AF13">
            <w:pPr>
              <w:spacing w:line="360" w:lineRule="auto"/>
              <w:contextualSpacing/>
              <w:jc w:val="center"/>
              <w:rPr>
                <w:rFonts w:ascii="宋体" w:hAnsi="宋体" w:cs="宋体"/>
                <w:color w:val="auto"/>
                <w:sz w:val="24"/>
                <w:szCs w:val="20"/>
                <w:highlight w:val="none"/>
              </w:rPr>
            </w:pPr>
          </w:p>
        </w:tc>
        <w:tc>
          <w:tcPr>
            <w:tcW w:w="1481" w:type="dxa"/>
            <w:vAlign w:val="center"/>
          </w:tcPr>
          <w:p w14:paraId="273E31AA">
            <w:pPr>
              <w:spacing w:line="360" w:lineRule="auto"/>
              <w:contextualSpacing/>
              <w:jc w:val="center"/>
              <w:rPr>
                <w:rFonts w:ascii="宋体" w:hAnsi="宋体" w:cs="宋体"/>
                <w:color w:val="auto"/>
                <w:sz w:val="24"/>
                <w:szCs w:val="20"/>
                <w:highlight w:val="none"/>
              </w:rPr>
            </w:pPr>
          </w:p>
        </w:tc>
        <w:tc>
          <w:tcPr>
            <w:tcW w:w="938" w:type="dxa"/>
            <w:tcBorders>
              <w:right w:val="single" w:color="auto" w:sz="12" w:space="0"/>
            </w:tcBorders>
            <w:vAlign w:val="center"/>
          </w:tcPr>
          <w:p w14:paraId="1803FE5B">
            <w:pPr>
              <w:spacing w:line="360" w:lineRule="auto"/>
              <w:contextualSpacing/>
              <w:jc w:val="center"/>
              <w:rPr>
                <w:rFonts w:ascii="宋体" w:hAnsi="宋体" w:cs="宋体"/>
                <w:color w:val="auto"/>
                <w:sz w:val="24"/>
                <w:szCs w:val="20"/>
                <w:highlight w:val="none"/>
              </w:rPr>
            </w:pPr>
          </w:p>
        </w:tc>
      </w:tr>
      <w:tr w14:paraId="627F2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538" w:type="dxa"/>
            <w:tcBorders>
              <w:left w:val="single" w:color="auto" w:sz="12" w:space="0"/>
              <w:bottom w:val="single" w:color="auto" w:sz="12" w:space="0"/>
            </w:tcBorders>
            <w:vAlign w:val="center"/>
          </w:tcPr>
          <w:p w14:paraId="309711F9">
            <w:pPr>
              <w:spacing w:line="360" w:lineRule="auto"/>
              <w:contextualSpacing/>
              <w:jc w:val="center"/>
              <w:rPr>
                <w:rFonts w:ascii="宋体" w:hAnsi="宋体" w:cs="宋体"/>
                <w:color w:val="auto"/>
                <w:sz w:val="24"/>
                <w:szCs w:val="20"/>
                <w:highlight w:val="none"/>
              </w:rPr>
            </w:pPr>
          </w:p>
        </w:tc>
        <w:tc>
          <w:tcPr>
            <w:tcW w:w="1160" w:type="dxa"/>
            <w:tcBorders>
              <w:bottom w:val="single" w:color="auto" w:sz="12" w:space="0"/>
            </w:tcBorders>
            <w:vAlign w:val="center"/>
          </w:tcPr>
          <w:p w14:paraId="2E9939ED">
            <w:pPr>
              <w:spacing w:line="360" w:lineRule="auto"/>
              <w:contextualSpacing/>
              <w:jc w:val="center"/>
              <w:rPr>
                <w:rFonts w:ascii="宋体" w:hAnsi="宋体" w:cs="宋体"/>
                <w:color w:val="auto"/>
                <w:sz w:val="24"/>
                <w:szCs w:val="20"/>
                <w:highlight w:val="none"/>
              </w:rPr>
            </w:pPr>
          </w:p>
        </w:tc>
        <w:tc>
          <w:tcPr>
            <w:tcW w:w="2789" w:type="dxa"/>
            <w:tcBorders>
              <w:bottom w:val="single" w:color="auto" w:sz="12" w:space="0"/>
            </w:tcBorders>
            <w:vAlign w:val="center"/>
          </w:tcPr>
          <w:p w14:paraId="475002FA">
            <w:pPr>
              <w:spacing w:line="360" w:lineRule="auto"/>
              <w:contextualSpacing/>
              <w:jc w:val="center"/>
              <w:rPr>
                <w:rFonts w:ascii="宋体" w:hAnsi="宋体" w:cs="宋体"/>
                <w:color w:val="auto"/>
                <w:sz w:val="24"/>
                <w:szCs w:val="20"/>
                <w:highlight w:val="none"/>
              </w:rPr>
            </w:pPr>
          </w:p>
        </w:tc>
        <w:tc>
          <w:tcPr>
            <w:tcW w:w="1332" w:type="dxa"/>
            <w:tcBorders>
              <w:bottom w:val="single" w:color="auto" w:sz="12" w:space="0"/>
            </w:tcBorders>
            <w:vAlign w:val="center"/>
          </w:tcPr>
          <w:p w14:paraId="638F0E67">
            <w:pPr>
              <w:spacing w:line="360" w:lineRule="auto"/>
              <w:contextualSpacing/>
              <w:jc w:val="center"/>
              <w:rPr>
                <w:rFonts w:ascii="宋体" w:hAnsi="宋体" w:cs="宋体"/>
                <w:color w:val="auto"/>
                <w:sz w:val="24"/>
                <w:szCs w:val="20"/>
                <w:highlight w:val="none"/>
              </w:rPr>
            </w:pPr>
          </w:p>
        </w:tc>
        <w:tc>
          <w:tcPr>
            <w:tcW w:w="1481" w:type="dxa"/>
            <w:tcBorders>
              <w:bottom w:val="single" w:color="auto" w:sz="12" w:space="0"/>
            </w:tcBorders>
            <w:vAlign w:val="center"/>
          </w:tcPr>
          <w:p w14:paraId="0228809B">
            <w:pPr>
              <w:spacing w:line="360" w:lineRule="auto"/>
              <w:contextualSpacing/>
              <w:jc w:val="center"/>
              <w:rPr>
                <w:rFonts w:ascii="宋体" w:hAnsi="宋体" w:cs="宋体"/>
                <w:color w:val="auto"/>
                <w:sz w:val="24"/>
                <w:szCs w:val="20"/>
                <w:highlight w:val="none"/>
              </w:rPr>
            </w:pPr>
          </w:p>
        </w:tc>
        <w:tc>
          <w:tcPr>
            <w:tcW w:w="938" w:type="dxa"/>
            <w:tcBorders>
              <w:bottom w:val="single" w:color="auto" w:sz="12" w:space="0"/>
              <w:right w:val="single" w:color="auto" w:sz="12" w:space="0"/>
            </w:tcBorders>
            <w:vAlign w:val="center"/>
          </w:tcPr>
          <w:p w14:paraId="66DA5F19">
            <w:pPr>
              <w:spacing w:line="360" w:lineRule="auto"/>
              <w:contextualSpacing/>
              <w:jc w:val="center"/>
              <w:rPr>
                <w:rFonts w:ascii="宋体" w:hAnsi="宋体" w:cs="宋体"/>
                <w:color w:val="auto"/>
                <w:sz w:val="24"/>
                <w:szCs w:val="20"/>
                <w:highlight w:val="none"/>
              </w:rPr>
            </w:pPr>
          </w:p>
        </w:tc>
      </w:tr>
    </w:tbl>
    <w:p w14:paraId="42702920">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注：</w:t>
      </w:r>
    </w:p>
    <w:p w14:paraId="63E67914">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1.在填写时，如本表格不适合供应商的实际情况，可根据本表格式自行制表填写。</w:t>
      </w:r>
    </w:p>
    <w:p w14:paraId="1BBFE6E9">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2.供应商应当附本表所列证书的复印件并加盖供应商电子签章。</w:t>
      </w:r>
    </w:p>
    <w:p w14:paraId="2C0A28AD">
      <w:pPr>
        <w:pStyle w:val="22"/>
        <w:rPr>
          <w:rFonts w:ascii="宋体" w:hAnsi="宋体" w:cs="宋体"/>
          <w:color w:val="auto"/>
          <w:sz w:val="24"/>
          <w:szCs w:val="20"/>
          <w:highlight w:val="none"/>
        </w:rPr>
      </w:pPr>
    </w:p>
    <w:p w14:paraId="1CC738E3">
      <w:pPr>
        <w:pStyle w:val="22"/>
        <w:rPr>
          <w:rFonts w:ascii="宋体" w:hAnsi="宋体" w:cs="宋体"/>
          <w:color w:val="auto"/>
          <w:sz w:val="24"/>
          <w:szCs w:val="20"/>
          <w:highlight w:val="none"/>
        </w:rPr>
      </w:pPr>
    </w:p>
    <w:p w14:paraId="21DE0D3F">
      <w:pPr>
        <w:spacing w:line="480" w:lineRule="auto"/>
        <w:ind w:right="480"/>
        <w:contextualSpacing/>
        <w:jc w:val="center"/>
        <w:rPr>
          <w:rFonts w:ascii="宋体" w:hAnsi="宋体" w:cs="宋体"/>
          <w:color w:val="auto"/>
          <w:sz w:val="24"/>
          <w:highlight w:val="none"/>
          <w:u w:val="single"/>
        </w:rPr>
      </w:pPr>
      <w:r>
        <w:rPr>
          <w:rFonts w:hint="eastAsia" w:ascii="宋体" w:hAnsi="宋体" w:cs="宋体"/>
          <w:color w:val="auto"/>
          <w:sz w:val="24"/>
          <w:highlight w:val="none"/>
        </w:rPr>
        <w:t xml:space="preserve">   法定代表人或者委托代理人（签字或者盖章或者电子签名）：</w:t>
      </w:r>
      <w:r>
        <w:rPr>
          <w:rFonts w:hint="eastAsia" w:ascii="宋体" w:hAnsi="宋体" w:cs="宋体"/>
          <w:color w:val="auto"/>
          <w:sz w:val="24"/>
          <w:highlight w:val="none"/>
          <w:u w:val="single"/>
        </w:rPr>
        <w:t xml:space="preserve">      </w:t>
      </w:r>
    </w:p>
    <w:p w14:paraId="5EAEE6E0">
      <w:pPr>
        <w:spacing w:line="480" w:lineRule="auto"/>
        <w:ind w:right="480" w:firstLine="1200" w:firstLineChars="500"/>
        <w:contextualSpacing/>
        <w:rPr>
          <w:rFonts w:ascii="宋体" w:hAnsi="宋体" w:cs="宋体"/>
          <w:color w:val="auto"/>
          <w:sz w:val="24"/>
          <w:highlight w:val="none"/>
          <w:u w:val="single"/>
        </w:rPr>
      </w:pPr>
      <w:r>
        <w:rPr>
          <w:rFonts w:hint="eastAsia" w:ascii="宋体" w:hAnsi="宋体" w:cs="宋体"/>
          <w:color w:val="auto"/>
          <w:sz w:val="24"/>
          <w:highlight w:val="none"/>
        </w:rPr>
        <w:t xml:space="preserve">供应商（电子签章）： </w:t>
      </w:r>
      <w:r>
        <w:rPr>
          <w:rFonts w:hint="eastAsia" w:ascii="宋体" w:hAnsi="宋体" w:cs="宋体"/>
          <w:color w:val="auto"/>
          <w:sz w:val="24"/>
          <w:highlight w:val="none"/>
          <w:u w:val="single"/>
        </w:rPr>
        <w:t xml:space="preserve">                              </w:t>
      </w:r>
    </w:p>
    <w:p w14:paraId="76DC1A08">
      <w:pPr>
        <w:spacing w:line="480" w:lineRule="auto"/>
        <w:ind w:firstLine="480" w:firstLineChars="200"/>
        <w:contextualSpacing/>
        <w:jc w:val="center"/>
        <w:rPr>
          <w:rFonts w:ascii="宋体" w:hAnsi="宋体" w:cs="宋体"/>
          <w:color w:val="auto"/>
          <w:sz w:val="24"/>
          <w:highlight w:val="none"/>
        </w:rPr>
      </w:pPr>
      <w:r>
        <w:rPr>
          <w:rFonts w:hint="eastAsia" w:ascii="宋体" w:hAnsi="宋体" w:cs="宋体"/>
          <w:color w:val="auto"/>
          <w:sz w:val="24"/>
          <w:highlight w:val="none"/>
        </w:rPr>
        <w:t>年    月    日</w:t>
      </w:r>
    </w:p>
    <w:p w14:paraId="74DF8C01">
      <w:pPr>
        <w:rPr>
          <w:rFonts w:ascii="宋体" w:hAnsi="宋体" w:cs="宋体"/>
          <w:color w:val="auto"/>
          <w:sz w:val="24"/>
          <w:highlight w:val="none"/>
        </w:rPr>
      </w:pPr>
      <w:r>
        <w:rPr>
          <w:rFonts w:hint="eastAsia" w:ascii="宋体" w:hAnsi="宋体" w:cs="宋体"/>
          <w:color w:val="auto"/>
          <w:sz w:val="24"/>
          <w:highlight w:val="none"/>
        </w:rPr>
        <w:br w:type="page"/>
      </w:r>
    </w:p>
    <w:p w14:paraId="3F0B002B">
      <w:pPr>
        <w:rPr>
          <w:rFonts w:ascii="宋体" w:hAnsi="宋体" w:cs="宋体"/>
          <w:b/>
          <w:color w:val="auto"/>
          <w:sz w:val="32"/>
          <w:szCs w:val="32"/>
          <w:highlight w:val="none"/>
        </w:rPr>
      </w:pPr>
      <w:r>
        <w:rPr>
          <w:rFonts w:hint="eastAsia" w:ascii="宋体" w:hAnsi="宋体" w:cs="宋体"/>
          <w:b/>
          <w:color w:val="auto"/>
          <w:sz w:val="32"/>
          <w:szCs w:val="32"/>
          <w:highlight w:val="none"/>
        </w:rPr>
        <w:t>四、其他文书、文件格式</w:t>
      </w:r>
    </w:p>
    <w:p w14:paraId="24124A90">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中小企业声明函（服务）</w:t>
      </w:r>
    </w:p>
    <w:p w14:paraId="6CC34117">
      <w:pPr>
        <w:spacing w:before="2" w:line="500" w:lineRule="exact"/>
        <w:ind w:firstLine="708" w:firstLineChars="294"/>
        <w:rPr>
          <w:rFonts w:ascii="宋体" w:hAnsi="宋体" w:cs="宋体"/>
          <w:b/>
          <w:bCs/>
          <w:color w:val="auto"/>
          <w:sz w:val="24"/>
          <w:highlight w:val="none"/>
        </w:rPr>
      </w:pPr>
    </w:p>
    <w:p w14:paraId="19A4F3D6">
      <w:pPr>
        <w:pStyle w:val="14"/>
        <w:spacing w:line="360" w:lineRule="auto"/>
        <w:ind w:right="142" w:firstLine="705" w:firstLineChars="294"/>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682B228B">
      <w:pPr>
        <w:tabs>
          <w:tab w:val="left" w:pos="1384"/>
          <w:tab w:val="left" w:pos="4562"/>
          <w:tab w:val="left" w:pos="6803"/>
        </w:tabs>
        <w:spacing w:before="13" w:line="360" w:lineRule="auto"/>
        <w:ind w:right="142" w:firstLine="772" w:firstLineChars="322"/>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59D92B7A">
      <w:pPr>
        <w:tabs>
          <w:tab w:val="left" w:pos="1065"/>
          <w:tab w:val="left" w:pos="4262"/>
          <w:tab w:val="left" w:pos="6477"/>
        </w:tabs>
        <w:spacing w:before="20" w:line="360" w:lineRule="auto"/>
        <w:ind w:right="84" w:firstLine="772" w:firstLineChars="322"/>
        <w:rPr>
          <w:rFonts w:ascii="宋体" w:hAnsi="宋体" w:cs="宋体"/>
          <w:color w:val="auto"/>
          <w:sz w:val="24"/>
          <w:highlight w:val="none"/>
          <w:u w:val="singl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7B65C042">
      <w:pPr>
        <w:pStyle w:val="14"/>
        <w:spacing w:before="34" w:line="360" w:lineRule="auto"/>
        <w:ind w:right="142" w:firstLine="705" w:firstLineChars="294"/>
        <w:rPr>
          <w:rFonts w:ascii="宋体" w:hAnsi="宋体" w:cs="宋体"/>
          <w:color w:val="auto"/>
          <w:sz w:val="24"/>
          <w:highlight w:val="none"/>
        </w:rPr>
      </w:pPr>
      <w:r>
        <w:rPr>
          <w:rFonts w:hint="eastAsia" w:ascii="宋体" w:hAnsi="宋体" w:cs="宋体"/>
          <w:color w:val="auto"/>
          <w:sz w:val="24"/>
          <w:highlight w:val="none"/>
        </w:rPr>
        <w:t xml:space="preserve">…… </w:t>
      </w:r>
    </w:p>
    <w:p w14:paraId="098D951F">
      <w:pPr>
        <w:pStyle w:val="14"/>
        <w:spacing w:before="34" w:line="360" w:lineRule="auto"/>
        <w:ind w:right="142" w:firstLine="705" w:firstLineChars="294"/>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79E8488">
      <w:pPr>
        <w:pStyle w:val="14"/>
        <w:spacing w:before="25" w:line="360" w:lineRule="auto"/>
        <w:ind w:right="142" w:firstLine="705" w:firstLineChars="294"/>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74F06B6">
      <w:pPr>
        <w:pStyle w:val="14"/>
        <w:spacing w:before="56" w:line="500" w:lineRule="exact"/>
        <w:ind w:right="1808" w:firstLine="705" w:firstLineChars="294"/>
        <w:rPr>
          <w:rFonts w:ascii="宋体" w:hAnsi="宋体" w:cs="宋体"/>
          <w:color w:val="auto"/>
          <w:sz w:val="24"/>
          <w:highlight w:val="none"/>
        </w:rPr>
      </w:pPr>
    </w:p>
    <w:p w14:paraId="6DC13B85">
      <w:pPr>
        <w:pStyle w:val="14"/>
        <w:spacing w:before="56" w:line="500" w:lineRule="exact"/>
        <w:ind w:right="650" w:firstLine="5625" w:firstLineChars="2344"/>
        <w:rPr>
          <w:rFonts w:ascii="宋体" w:hAnsi="宋体" w:cs="宋体"/>
          <w:color w:val="auto"/>
          <w:sz w:val="24"/>
          <w:highlight w:val="none"/>
        </w:rPr>
      </w:pPr>
      <w:r>
        <w:rPr>
          <w:rFonts w:hint="eastAsia" w:ascii="宋体" w:hAnsi="宋体" w:cs="宋体"/>
          <w:color w:val="auto"/>
          <w:sz w:val="24"/>
          <w:highlight w:val="none"/>
        </w:rPr>
        <w:t xml:space="preserve">企业名称（章）： </w:t>
      </w:r>
    </w:p>
    <w:p w14:paraId="2915617E">
      <w:pPr>
        <w:pStyle w:val="14"/>
        <w:spacing w:before="56" w:line="500" w:lineRule="exact"/>
        <w:ind w:right="1808" w:firstLine="5625" w:firstLineChars="2344"/>
        <w:rPr>
          <w:rFonts w:ascii="宋体" w:hAnsi="宋体" w:cs="宋体"/>
          <w:color w:val="auto"/>
          <w:sz w:val="24"/>
          <w:highlight w:val="none"/>
        </w:rPr>
      </w:pPr>
      <w:r>
        <w:rPr>
          <w:rFonts w:hint="eastAsia" w:ascii="宋体" w:hAnsi="宋体" w:cs="宋体"/>
          <w:color w:val="auto"/>
          <w:sz w:val="24"/>
          <w:highlight w:val="none"/>
        </w:rPr>
        <w:t>日 期：</w:t>
      </w:r>
    </w:p>
    <w:p w14:paraId="3449E223">
      <w:pPr>
        <w:spacing w:line="52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注：</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享受《政府采购促进中小企业发展管理办法》（财库〔2020〕46号）规定的中小企业扶持政策的，采购人、采购代理机构应当随成交结果公开成交供应商的《中小企业声明函》。</w:t>
      </w:r>
      <w:r>
        <w:rPr>
          <w:rFonts w:hint="eastAsia" w:ascii="宋体" w:hAnsi="宋体" w:eastAsia="宋体" w:cs="宋体"/>
          <w:color w:val="auto"/>
          <w:sz w:val="21"/>
          <w:szCs w:val="21"/>
          <w:highlight w:val="none"/>
        </w:rPr>
        <w:t>从业人员、营业收入、资产总额填报上一年度数据，无上一年度数据的新成立企业参照国务院批准的中小企业划分标准，根据企业自身情况如实判断。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11751782">
      <w:pPr>
        <w:spacing w:line="520" w:lineRule="exact"/>
        <w:jc w:val="center"/>
        <w:rPr>
          <w:rFonts w:ascii="宋体" w:hAnsi="宋体" w:cs="宋体"/>
          <w:color w:val="auto"/>
          <w:sz w:val="24"/>
          <w:highlight w:val="none"/>
        </w:rPr>
      </w:pPr>
      <w:r>
        <w:rPr>
          <w:rFonts w:hint="eastAsia" w:ascii="宋体" w:hAnsi="宋体" w:cs="宋体"/>
          <w:color w:val="auto"/>
          <w:sz w:val="24"/>
          <w:highlight w:val="none"/>
        </w:rPr>
        <w:br w:type="page"/>
      </w:r>
    </w:p>
    <w:p w14:paraId="541391F2">
      <w:pPr>
        <w:rPr>
          <w:color w:val="auto"/>
          <w:highlight w:val="none"/>
        </w:rPr>
      </w:pPr>
    </w:p>
    <w:p w14:paraId="0DD2C1D7">
      <w:pPr>
        <w:spacing w:line="52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残疾人福利性单位声明函</w:t>
      </w:r>
    </w:p>
    <w:p w14:paraId="69630F2C">
      <w:pPr>
        <w:spacing w:line="360" w:lineRule="auto"/>
        <w:contextualSpacing/>
        <w:rPr>
          <w:rFonts w:ascii="宋体" w:hAnsi="宋体" w:cs="宋体"/>
          <w:color w:val="auto"/>
          <w:sz w:val="32"/>
          <w:szCs w:val="32"/>
          <w:highlight w:val="none"/>
        </w:rPr>
      </w:pPr>
    </w:p>
    <w:p w14:paraId="184A026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A4BB13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4DB605A">
      <w:pPr>
        <w:spacing w:line="360" w:lineRule="auto"/>
        <w:contextualSpacing/>
        <w:rPr>
          <w:rFonts w:ascii="宋体" w:hAnsi="宋体" w:cs="宋体"/>
          <w:color w:val="auto"/>
          <w:sz w:val="24"/>
          <w:highlight w:val="none"/>
        </w:rPr>
      </w:pPr>
    </w:p>
    <w:p w14:paraId="1F0C4BD1">
      <w:pPr>
        <w:spacing w:line="360" w:lineRule="auto"/>
        <w:contextualSpacing/>
        <w:rPr>
          <w:rFonts w:ascii="宋体" w:hAnsi="宋体" w:cs="宋体"/>
          <w:color w:val="auto"/>
          <w:sz w:val="24"/>
          <w:highlight w:val="none"/>
        </w:rPr>
      </w:pPr>
    </w:p>
    <w:p w14:paraId="35C552CA">
      <w:pPr>
        <w:spacing w:line="360" w:lineRule="auto"/>
        <w:contextualSpacing/>
        <w:rPr>
          <w:rFonts w:ascii="宋体" w:hAnsi="宋体" w:cs="宋体"/>
          <w:color w:val="auto"/>
          <w:sz w:val="24"/>
          <w:highlight w:val="none"/>
        </w:rPr>
      </w:pPr>
    </w:p>
    <w:p w14:paraId="6E05DC42">
      <w:pPr>
        <w:spacing w:line="360" w:lineRule="auto"/>
        <w:ind w:firstLine="2400" w:firstLineChars="1000"/>
        <w:contextualSpacing/>
        <w:rPr>
          <w:rFonts w:ascii="宋体" w:hAnsi="宋体" w:cs="宋体"/>
          <w:color w:val="auto"/>
          <w:sz w:val="24"/>
          <w:highlight w:val="none"/>
        </w:rPr>
      </w:pPr>
      <w:r>
        <w:rPr>
          <w:rFonts w:hint="eastAsia" w:ascii="宋体" w:hAnsi="宋体" w:cs="宋体"/>
          <w:color w:val="auto"/>
          <w:sz w:val="24"/>
          <w:highlight w:val="none"/>
        </w:rPr>
        <w:t>单位名称（盖章）：</w:t>
      </w:r>
    </w:p>
    <w:p w14:paraId="71DFB7C0">
      <w:pPr>
        <w:spacing w:line="360" w:lineRule="auto"/>
        <w:ind w:firstLine="3600" w:firstLineChars="1500"/>
        <w:contextualSpacing/>
        <w:rPr>
          <w:rFonts w:ascii="宋体" w:hAnsi="宋体" w:cs="宋体"/>
          <w:color w:val="auto"/>
          <w:sz w:val="24"/>
          <w:highlight w:val="none"/>
        </w:rPr>
      </w:pPr>
      <w:r>
        <w:rPr>
          <w:rFonts w:hint="eastAsia" w:ascii="宋体" w:hAnsi="宋体" w:cs="宋体"/>
          <w:color w:val="auto"/>
          <w:sz w:val="24"/>
          <w:highlight w:val="none"/>
        </w:rPr>
        <w:t>日  期：</w:t>
      </w:r>
    </w:p>
    <w:p w14:paraId="2E99309F">
      <w:pPr>
        <w:spacing w:line="360" w:lineRule="auto"/>
        <w:contextualSpacing/>
        <w:rPr>
          <w:rFonts w:ascii="宋体" w:hAnsi="宋体" w:cs="宋体"/>
          <w:color w:val="auto"/>
          <w:sz w:val="24"/>
          <w:highlight w:val="none"/>
        </w:rPr>
      </w:pPr>
    </w:p>
    <w:p w14:paraId="45EAFE95">
      <w:pPr>
        <w:spacing w:line="360" w:lineRule="auto"/>
        <w:contextualSpacing/>
        <w:rPr>
          <w:rFonts w:ascii="宋体" w:hAnsi="宋体" w:cs="宋体"/>
          <w:color w:val="auto"/>
          <w:sz w:val="24"/>
          <w:highlight w:val="none"/>
        </w:rPr>
      </w:pPr>
    </w:p>
    <w:p w14:paraId="63356428">
      <w:pPr>
        <w:spacing w:line="360" w:lineRule="auto"/>
        <w:contextualSpacing/>
        <w:rPr>
          <w:rFonts w:ascii="宋体" w:hAnsi="宋体" w:cs="宋体"/>
          <w:color w:val="auto"/>
          <w:sz w:val="24"/>
          <w:highlight w:val="none"/>
        </w:rPr>
      </w:pPr>
    </w:p>
    <w:p w14:paraId="12503E0E">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2B696BAA">
      <w:pPr>
        <w:spacing w:line="480" w:lineRule="auto"/>
        <w:contextualSpacing/>
        <w:rPr>
          <w:rFonts w:ascii="宋体" w:hAnsi="宋体" w:cs="宋体"/>
          <w:color w:val="auto"/>
          <w:sz w:val="24"/>
          <w:highlight w:val="none"/>
        </w:rPr>
      </w:pPr>
    </w:p>
    <w:p w14:paraId="065424AA">
      <w:pPr>
        <w:snapToGrid w:val="0"/>
        <w:spacing w:before="50" w:after="156" w:afterLines="50"/>
        <w:jc w:val="left"/>
        <w:rPr>
          <w:rFonts w:ascii="宋体" w:hAnsi="宋体" w:cs="宋体"/>
          <w:color w:val="auto"/>
          <w:sz w:val="24"/>
          <w:szCs w:val="20"/>
          <w:highlight w:val="none"/>
        </w:rPr>
      </w:pPr>
    </w:p>
    <w:p w14:paraId="650F414E">
      <w:pPr>
        <w:snapToGrid w:val="0"/>
        <w:spacing w:before="50" w:after="50" w:line="360" w:lineRule="auto"/>
        <w:ind w:right="-817" w:rightChars="-389" w:firstLine="5461" w:firstLineChars="1700"/>
        <w:rPr>
          <w:rFonts w:ascii="宋体" w:hAnsi="宋体" w:cs="宋体"/>
          <w:b/>
          <w:color w:val="auto"/>
          <w:sz w:val="32"/>
          <w:szCs w:val="32"/>
          <w:highlight w:val="none"/>
        </w:rPr>
      </w:pPr>
    </w:p>
    <w:p w14:paraId="15494C58">
      <w:pPr>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br w:type="page"/>
      </w:r>
    </w:p>
    <w:p w14:paraId="38027AE0">
      <w:pPr>
        <w:rPr>
          <w:color w:val="auto"/>
          <w:highlight w:val="none"/>
        </w:rPr>
      </w:pPr>
    </w:p>
    <w:p w14:paraId="5230B1F9">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质疑函（格式）</w:t>
      </w:r>
    </w:p>
    <w:p w14:paraId="31288C0D">
      <w:pPr>
        <w:pStyle w:val="18"/>
        <w:spacing w:line="360" w:lineRule="auto"/>
        <w:ind w:firstLine="482" w:firstLineChars="200"/>
        <w:contextualSpacing/>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7B91AC74">
      <w:pPr>
        <w:pStyle w:val="18"/>
        <w:spacing w:line="360" w:lineRule="auto"/>
        <w:ind w:firstLine="480" w:firstLineChars="200"/>
        <w:contextualSpacing/>
        <w:rPr>
          <w:rFonts w:hAnsi="宋体" w:cs="宋体"/>
          <w:bCs/>
          <w:color w:val="auto"/>
          <w:sz w:val="24"/>
          <w:szCs w:val="24"/>
          <w:highlight w:val="none"/>
          <w:u w:val="single"/>
        </w:rPr>
      </w:pPr>
      <w:r>
        <w:rPr>
          <w:rFonts w:hint="eastAsia" w:hAnsi="宋体" w:cs="宋体"/>
          <w:bCs/>
          <w:color w:val="auto"/>
          <w:sz w:val="24"/>
          <w:szCs w:val="24"/>
          <w:highlight w:val="none"/>
        </w:rPr>
        <w:t>质疑供应商：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1E91E743">
      <w:pPr>
        <w:pStyle w:val="18"/>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5E61B866">
      <w:pPr>
        <w:pStyle w:val="18"/>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65EC10B2">
      <w:pPr>
        <w:pStyle w:val="18"/>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p>
    <w:p w14:paraId="2C496F3B">
      <w:pPr>
        <w:pStyle w:val="18"/>
        <w:spacing w:line="360" w:lineRule="auto"/>
        <w:ind w:firstLine="480" w:firstLineChars="200"/>
        <w:contextualSpacing/>
        <w:rPr>
          <w:rFonts w:hAnsi="宋体" w:cs="宋体"/>
          <w:bCs/>
          <w:color w:val="auto"/>
          <w:sz w:val="24"/>
          <w:szCs w:val="24"/>
          <w:highlight w:val="none"/>
          <w:u w:val="singl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183CF9DC">
      <w:pPr>
        <w:pStyle w:val="18"/>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764A3513">
      <w:pPr>
        <w:pStyle w:val="18"/>
        <w:spacing w:line="360" w:lineRule="auto"/>
        <w:ind w:firstLine="482" w:firstLineChars="200"/>
        <w:contextualSpacing/>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14:paraId="17E31709">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14:paraId="7DF774EE">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194DC54D">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14:paraId="5796D1BE">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w:t>
      </w:r>
    </w:p>
    <w:p w14:paraId="4FF95DC2">
      <w:pPr>
        <w:pStyle w:val="18"/>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□采购文件   采购文件获取日期：</w:t>
      </w:r>
      <w:r>
        <w:rPr>
          <w:rFonts w:hint="eastAsia" w:hAnsi="宋体" w:cs="宋体"/>
          <w:bCs/>
          <w:color w:val="auto"/>
          <w:sz w:val="24"/>
          <w:szCs w:val="24"/>
          <w:highlight w:val="none"/>
          <w:u w:val="single"/>
        </w:rPr>
        <w:t xml:space="preserve">                                   </w:t>
      </w:r>
    </w:p>
    <w:p w14:paraId="2C8EBF5C">
      <w:pPr>
        <w:pStyle w:val="18"/>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 xml:space="preserve">□采购过程   </w:t>
      </w:r>
    </w:p>
    <w:p w14:paraId="7B4FE4C4">
      <w:pPr>
        <w:pStyle w:val="18"/>
        <w:spacing w:line="360" w:lineRule="auto"/>
        <w:ind w:left="25" w:leftChars="12" w:firstLine="352" w:firstLineChars="147"/>
        <w:contextualSpacing/>
        <w:rPr>
          <w:rFonts w:hAnsi="宋体" w:cs="宋体"/>
          <w:bCs/>
          <w:color w:val="auto"/>
          <w:sz w:val="24"/>
          <w:szCs w:val="24"/>
          <w:highlight w:val="none"/>
          <w:u w:val="single"/>
        </w:rPr>
      </w:pPr>
      <w:r>
        <w:rPr>
          <w:rFonts w:hint="eastAsia" w:hAnsi="宋体" w:cs="宋体"/>
          <w:color w:val="auto"/>
          <w:sz w:val="24"/>
          <w:szCs w:val="24"/>
          <w:highlight w:val="none"/>
        </w:rPr>
        <w:t xml:space="preserve">□成交结果   </w:t>
      </w:r>
    </w:p>
    <w:p w14:paraId="430823D2">
      <w:pPr>
        <w:pStyle w:val="18"/>
        <w:spacing w:line="360" w:lineRule="auto"/>
        <w:ind w:left="25" w:leftChars="12" w:firstLine="472" w:firstLineChars="196"/>
        <w:contextualSpacing/>
        <w:rPr>
          <w:rFonts w:hAnsi="宋体" w:cs="宋体"/>
          <w:b/>
          <w:color w:val="auto"/>
          <w:sz w:val="24"/>
          <w:szCs w:val="24"/>
          <w:highlight w:val="none"/>
        </w:rPr>
      </w:pPr>
      <w:r>
        <w:rPr>
          <w:rFonts w:hint="eastAsia" w:hAnsi="宋体" w:cs="宋体"/>
          <w:b/>
          <w:color w:val="auto"/>
          <w:sz w:val="24"/>
          <w:szCs w:val="24"/>
          <w:highlight w:val="none"/>
        </w:rPr>
        <w:t>三、质疑事项具体内容</w:t>
      </w:r>
    </w:p>
    <w:p w14:paraId="2A53096E">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质疑事项1：</w:t>
      </w:r>
      <w:r>
        <w:rPr>
          <w:rFonts w:hint="eastAsia" w:hAnsi="宋体" w:cs="宋体"/>
          <w:bCs/>
          <w:color w:val="auto"/>
          <w:sz w:val="24"/>
          <w:szCs w:val="24"/>
          <w:highlight w:val="none"/>
          <w:u w:val="single"/>
        </w:rPr>
        <w:t xml:space="preserve">                                                                    </w:t>
      </w:r>
    </w:p>
    <w:p w14:paraId="4E9D8824">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事实依据：</w:t>
      </w:r>
      <w:r>
        <w:rPr>
          <w:rFonts w:hint="eastAsia" w:hAnsi="宋体" w:cs="宋体"/>
          <w:bCs/>
          <w:color w:val="auto"/>
          <w:sz w:val="24"/>
          <w:szCs w:val="24"/>
          <w:highlight w:val="none"/>
          <w:u w:val="single"/>
        </w:rPr>
        <w:t xml:space="preserve">                                                                      </w:t>
      </w:r>
    </w:p>
    <w:p w14:paraId="0C7CBC5A">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法律依据：</w:t>
      </w:r>
      <w:r>
        <w:rPr>
          <w:rFonts w:hint="eastAsia" w:hAnsi="宋体" w:cs="宋体"/>
          <w:color w:val="auto"/>
          <w:sz w:val="24"/>
          <w:szCs w:val="24"/>
          <w:highlight w:val="none"/>
          <w:u w:val="single"/>
        </w:rPr>
        <w:t xml:space="preserve">                                                        </w:t>
      </w:r>
      <w:r>
        <w:rPr>
          <w:rFonts w:hint="eastAsia" w:hAnsi="宋体" w:cs="宋体"/>
          <w:bCs/>
          <w:color w:val="auto"/>
          <w:sz w:val="24"/>
          <w:szCs w:val="24"/>
          <w:highlight w:val="none"/>
          <w:u w:val="single"/>
        </w:rPr>
        <w:t xml:space="preserve">               </w:t>
      </w:r>
    </w:p>
    <w:p w14:paraId="2852720F">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质疑事项2</w:t>
      </w:r>
    </w:p>
    <w:p w14:paraId="7DEE671D">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w:t>
      </w:r>
    </w:p>
    <w:p w14:paraId="3DF6B02F">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四、与质疑事项相关的质疑请求：</w:t>
      </w:r>
    </w:p>
    <w:p w14:paraId="3BD1BD3D">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78558F8B">
      <w:pPr>
        <w:pStyle w:val="18"/>
        <w:spacing w:line="360" w:lineRule="auto"/>
        <w:ind w:left="25" w:leftChars="12" w:firstLine="352" w:firstLineChars="147"/>
        <w:contextualSpacing/>
        <w:rPr>
          <w:rFonts w:hAnsi="宋体" w:cs="宋体"/>
          <w:color w:val="auto"/>
          <w:sz w:val="24"/>
          <w:szCs w:val="24"/>
          <w:highlight w:val="none"/>
        </w:rPr>
      </w:pPr>
    </w:p>
    <w:p w14:paraId="0570C528">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签字（签章）：                                       公章：</w:t>
      </w:r>
    </w:p>
    <w:p w14:paraId="5248342C">
      <w:pPr>
        <w:pStyle w:val="18"/>
        <w:spacing w:line="360" w:lineRule="auto"/>
        <w:ind w:firstLine="480" w:firstLineChars="200"/>
        <w:contextualSpacing/>
        <w:rPr>
          <w:rFonts w:hAnsi="宋体" w:cs="宋体"/>
          <w:b/>
          <w:color w:val="auto"/>
          <w:sz w:val="24"/>
          <w:szCs w:val="24"/>
          <w:highlight w:val="none"/>
        </w:rPr>
      </w:pPr>
      <w:r>
        <w:rPr>
          <w:rFonts w:hint="eastAsia" w:hAnsi="宋体" w:cs="宋体"/>
          <w:color w:val="auto"/>
          <w:sz w:val="24"/>
          <w:szCs w:val="24"/>
          <w:highlight w:val="none"/>
        </w:rPr>
        <w:t>日期：</w:t>
      </w:r>
    </w:p>
    <w:p w14:paraId="37064F01">
      <w:pPr>
        <w:pStyle w:val="18"/>
        <w:spacing w:line="360" w:lineRule="auto"/>
        <w:contextualSpacing/>
        <w:rPr>
          <w:rFonts w:hAnsi="宋体" w:cs="宋体"/>
          <w:b/>
          <w:color w:val="auto"/>
          <w:sz w:val="24"/>
          <w:szCs w:val="24"/>
          <w:highlight w:val="none"/>
        </w:rPr>
      </w:pPr>
      <w:r>
        <w:rPr>
          <w:rFonts w:hint="eastAsia" w:hAnsi="宋体" w:cs="宋体"/>
          <w:b/>
          <w:color w:val="auto"/>
          <w:sz w:val="24"/>
          <w:szCs w:val="24"/>
          <w:highlight w:val="none"/>
        </w:rPr>
        <w:t>说明：</w:t>
      </w:r>
    </w:p>
    <w:p w14:paraId="0811BD19">
      <w:pPr>
        <w:pStyle w:val="18"/>
        <w:spacing w:line="360" w:lineRule="auto"/>
        <w:ind w:left="25" w:leftChars="12" w:firstLine="354" w:firstLineChars="147"/>
        <w:contextualSpacing/>
        <w:rPr>
          <w:rFonts w:hAnsi="宋体" w:cs="宋体"/>
          <w:b/>
          <w:bCs/>
          <w:color w:val="auto"/>
          <w:sz w:val="24"/>
          <w:szCs w:val="24"/>
          <w:highlight w:val="none"/>
        </w:rPr>
      </w:pPr>
      <w:r>
        <w:rPr>
          <w:rFonts w:hint="eastAsia" w:hAnsi="宋体" w:cs="宋体"/>
          <w:b/>
          <w:color w:val="auto"/>
          <w:sz w:val="24"/>
          <w:szCs w:val="24"/>
          <w:highlight w:val="none"/>
        </w:rPr>
        <w:t>1.供应商提出质疑时，应提交质疑函和必要的证明材料</w:t>
      </w:r>
      <w:r>
        <w:rPr>
          <w:rFonts w:hint="eastAsia" w:hAnsi="宋体" w:cs="宋体"/>
          <w:b/>
          <w:bCs/>
          <w:color w:val="auto"/>
          <w:sz w:val="24"/>
          <w:szCs w:val="24"/>
          <w:highlight w:val="none"/>
        </w:rPr>
        <w:t>。</w:t>
      </w:r>
    </w:p>
    <w:p w14:paraId="2B90127E">
      <w:pPr>
        <w:pStyle w:val="18"/>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1223E45">
      <w:pPr>
        <w:pStyle w:val="18"/>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3.质疑函的质疑事项应具体、明确，并有必要的事实依据和法律依据。</w:t>
      </w:r>
    </w:p>
    <w:p w14:paraId="29BBB662">
      <w:pPr>
        <w:pStyle w:val="18"/>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4.质疑函的质疑请求应与质疑事项相关。</w:t>
      </w:r>
    </w:p>
    <w:p w14:paraId="215094DC">
      <w:pPr>
        <w:pStyle w:val="18"/>
        <w:spacing w:line="360" w:lineRule="auto"/>
        <w:ind w:left="25" w:leftChars="12" w:firstLine="354" w:firstLineChars="147"/>
        <w:contextualSpacing/>
        <w:rPr>
          <w:rFonts w:hAnsi="宋体" w:cs="宋体"/>
          <w:b/>
          <w:color w:val="auto"/>
          <w:highlight w:val="none"/>
        </w:rPr>
      </w:pPr>
      <w:r>
        <w:rPr>
          <w:rFonts w:hint="eastAsia" w:hAnsi="宋体" w:cs="宋体"/>
          <w:b/>
          <w:color w:val="auto"/>
          <w:sz w:val="24"/>
          <w:szCs w:val="24"/>
          <w:highlight w:val="none"/>
        </w:rPr>
        <w:t>5.质疑供应商为法人或者其他组织的，质疑函应由法定代表人、主要负责人，或者其授权代表签字或者盖章，并加盖公章。</w:t>
      </w:r>
    </w:p>
    <w:p w14:paraId="2B6B8BCC">
      <w:pPr>
        <w:pStyle w:val="18"/>
        <w:snapToGrid w:val="0"/>
        <w:rPr>
          <w:rFonts w:hAnsi="宋体" w:cs="宋体"/>
          <w:b/>
          <w:color w:val="auto"/>
          <w:sz w:val="24"/>
          <w:szCs w:val="24"/>
          <w:highlight w:val="none"/>
        </w:rPr>
      </w:pPr>
    </w:p>
    <w:p w14:paraId="57DEDCB6">
      <w:pPr>
        <w:rPr>
          <w:rFonts w:ascii="宋体" w:hAnsi="宋体" w:cs="宋体"/>
          <w:color w:val="auto"/>
          <w:sz w:val="32"/>
          <w:szCs w:val="40"/>
          <w:highlight w:val="none"/>
        </w:rPr>
      </w:pPr>
    </w:p>
    <w:p w14:paraId="1BC61686">
      <w:pPr>
        <w:rPr>
          <w:rFonts w:ascii="宋体" w:hAnsi="宋体" w:cs="宋体"/>
          <w:color w:val="auto"/>
          <w:sz w:val="32"/>
          <w:szCs w:val="40"/>
          <w:highlight w:val="none"/>
        </w:rPr>
      </w:pPr>
    </w:p>
    <w:p w14:paraId="195AD572">
      <w:pPr>
        <w:rPr>
          <w:rFonts w:ascii="宋体" w:hAnsi="宋体" w:cs="宋体"/>
          <w:color w:val="auto"/>
          <w:sz w:val="32"/>
          <w:szCs w:val="40"/>
          <w:highlight w:val="none"/>
        </w:rPr>
      </w:pPr>
    </w:p>
    <w:p w14:paraId="4CBB23D2">
      <w:pPr>
        <w:rPr>
          <w:rFonts w:ascii="宋体" w:hAnsi="宋体" w:cs="宋体"/>
          <w:color w:val="auto"/>
          <w:sz w:val="32"/>
          <w:szCs w:val="40"/>
          <w:highlight w:val="none"/>
        </w:rPr>
      </w:pPr>
    </w:p>
    <w:p w14:paraId="425A0BFA">
      <w:pPr>
        <w:rPr>
          <w:rFonts w:ascii="宋体" w:hAnsi="宋体" w:cs="宋体"/>
          <w:color w:val="auto"/>
          <w:sz w:val="32"/>
          <w:szCs w:val="40"/>
          <w:highlight w:val="none"/>
        </w:rPr>
      </w:pPr>
    </w:p>
    <w:p w14:paraId="138A43C0">
      <w:pPr>
        <w:rPr>
          <w:rFonts w:ascii="宋体" w:hAnsi="宋体" w:cs="宋体"/>
          <w:color w:val="auto"/>
          <w:sz w:val="32"/>
          <w:szCs w:val="40"/>
          <w:highlight w:val="none"/>
        </w:rPr>
      </w:pPr>
    </w:p>
    <w:p w14:paraId="3A55CCA1">
      <w:pPr>
        <w:rPr>
          <w:rFonts w:ascii="宋体" w:hAnsi="宋体" w:cs="宋体"/>
          <w:color w:val="auto"/>
          <w:sz w:val="32"/>
          <w:szCs w:val="40"/>
          <w:highlight w:val="none"/>
        </w:rPr>
      </w:pPr>
    </w:p>
    <w:p w14:paraId="089818F4">
      <w:pPr>
        <w:pStyle w:val="17"/>
        <w:rPr>
          <w:rFonts w:ascii="宋体" w:hAnsi="宋体" w:cs="宋体"/>
          <w:color w:val="auto"/>
          <w:sz w:val="32"/>
          <w:szCs w:val="40"/>
          <w:highlight w:val="none"/>
        </w:rPr>
      </w:pPr>
    </w:p>
    <w:p w14:paraId="4E0201A9">
      <w:pPr>
        <w:pStyle w:val="17"/>
        <w:rPr>
          <w:rFonts w:ascii="宋体" w:hAnsi="宋体" w:cs="宋体"/>
          <w:color w:val="auto"/>
          <w:sz w:val="32"/>
          <w:szCs w:val="40"/>
          <w:highlight w:val="none"/>
        </w:rPr>
      </w:pPr>
    </w:p>
    <w:p w14:paraId="3E069300">
      <w:pPr>
        <w:pStyle w:val="17"/>
        <w:rPr>
          <w:rFonts w:ascii="宋体" w:hAnsi="宋体" w:cs="宋体"/>
          <w:color w:val="auto"/>
          <w:sz w:val="32"/>
          <w:szCs w:val="40"/>
          <w:highlight w:val="none"/>
        </w:rPr>
      </w:pPr>
    </w:p>
    <w:p w14:paraId="1D424257">
      <w:pPr>
        <w:rPr>
          <w:rFonts w:ascii="宋体" w:hAnsi="宋体" w:cs="宋体"/>
          <w:color w:val="auto"/>
          <w:sz w:val="32"/>
          <w:szCs w:val="40"/>
          <w:highlight w:val="none"/>
        </w:rPr>
      </w:pPr>
    </w:p>
    <w:p w14:paraId="11F7C732">
      <w:pPr>
        <w:rPr>
          <w:rFonts w:ascii="宋体" w:hAnsi="宋体" w:cs="宋体"/>
          <w:color w:val="auto"/>
          <w:sz w:val="32"/>
          <w:szCs w:val="40"/>
          <w:highlight w:val="none"/>
        </w:rPr>
      </w:pPr>
    </w:p>
    <w:p w14:paraId="69A1767E">
      <w:pPr>
        <w:rPr>
          <w:rFonts w:ascii="宋体" w:hAnsi="宋体" w:cs="宋体"/>
          <w:color w:val="auto"/>
          <w:sz w:val="32"/>
          <w:szCs w:val="40"/>
          <w:highlight w:val="none"/>
        </w:rPr>
      </w:pPr>
    </w:p>
    <w:p w14:paraId="724BBBDA">
      <w:pPr>
        <w:rPr>
          <w:rFonts w:ascii="宋体" w:hAnsi="宋体" w:cs="宋体"/>
          <w:color w:val="auto"/>
          <w:sz w:val="32"/>
          <w:szCs w:val="40"/>
          <w:highlight w:val="none"/>
        </w:rPr>
      </w:pPr>
    </w:p>
    <w:p w14:paraId="5E72929B">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6C6F1A40">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投诉书（格式）</w:t>
      </w:r>
    </w:p>
    <w:p w14:paraId="7D4EF033">
      <w:pPr>
        <w:rPr>
          <w:color w:val="auto"/>
          <w:highlight w:val="none"/>
        </w:rPr>
      </w:pPr>
    </w:p>
    <w:p w14:paraId="5861C48B">
      <w:pPr>
        <w:pStyle w:val="18"/>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39BDF79E">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47D12A2F">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3E4C3959">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法定代表人/主要负责人：</w:t>
      </w:r>
      <w:r>
        <w:rPr>
          <w:rFonts w:hint="eastAsia" w:hAnsi="宋体" w:cs="宋体"/>
          <w:bCs/>
          <w:color w:val="auto"/>
          <w:sz w:val="24"/>
          <w:szCs w:val="24"/>
          <w:highlight w:val="none"/>
          <w:u w:val="single"/>
        </w:rPr>
        <w:t xml:space="preserve">                                                         </w:t>
      </w:r>
    </w:p>
    <w:p w14:paraId="0D40D0DE">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0A999DB5">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4243E00D">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40F72E83">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65C01E9F">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被投诉人1：</w:t>
      </w:r>
    </w:p>
    <w:p w14:paraId="16639B19">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0641BFB0">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23637FDB">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3B2CC1E3">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被投诉人2：</w:t>
      </w:r>
    </w:p>
    <w:p w14:paraId="3F16E653">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w:t>
      </w:r>
    </w:p>
    <w:p w14:paraId="6C8ED537">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相关供应商：</w:t>
      </w:r>
      <w:r>
        <w:rPr>
          <w:rFonts w:hint="eastAsia" w:hAnsi="宋体" w:cs="宋体"/>
          <w:bCs/>
          <w:color w:val="auto"/>
          <w:sz w:val="24"/>
          <w:szCs w:val="24"/>
          <w:highlight w:val="none"/>
          <w:u w:val="single"/>
        </w:rPr>
        <w:t xml:space="preserve">                                                                       </w:t>
      </w:r>
    </w:p>
    <w:p w14:paraId="3E96A1BB">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p>
    <w:p w14:paraId="33C75B6D">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020B2BEF">
      <w:pPr>
        <w:pStyle w:val="18"/>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14:paraId="01A1204F">
      <w:pPr>
        <w:pStyle w:val="18"/>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14:paraId="1D6117D3">
      <w:pPr>
        <w:pStyle w:val="18"/>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30DBA8B4">
      <w:pPr>
        <w:pStyle w:val="18"/>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14:paraId="75E3CAC8">
      <w:pPr>
        <w:pStyle w:val="18"/>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r>
        <w:rPr>
          <w:rFonts w:hint="eastAsia" w:hAnsi="宋体" w:cs="宋体"/>
          <w:bCs/>
          <w:color w:val="auto"/>
          <w:sz w:val="24"/>
          <w:szCs w:val="24"/>
          <w:highlight w:val="none"/>
          <w:u w:val="single"/>
        </w:rPr>
        <w:t xml:space="preserve">                                                                      </w:t>
      </w:r>
    </w:p>
    <w:p w14:paraId="3EE7447E">
      <w:pPr>
        <w:pStyle w:val="18"/>
        <w:spacing w:line="360" w:lineRule="auto"/>
        <w:ind w:left="25" w:leftChars="12"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采购文件公告：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493B724F">
      <w:pPr>
        <w:pStyle w:val="18"/>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089D270E">
      <w:pPr>
        <w:pStyle w:val="18"/>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14:paraId="0FEFFC36">
      <w:pPr>
        <w:pStyle w:val="1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投诉人于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日，向</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提出质疑，质疑事项为：</w:t>
      </w:r>
    </w:p>
    <w:p w14:paraId="04AB58F8">
      <w:pPr>
        <w:pStyle w:val="18"/>
        <w:spacing w:line="360" w:lineRule="auto"/>
        <w:ind w:firstLine="241"/>
        <w:rPr>
          <w:rFonts w:hAnsi="宋体" w:cs="宋体"/>
          <w:bCs/>
          <w:color w:val="auto"/>
          <w:sz w:val="24"/>
          <w:szCs w:val="24"/>
          <w:highlight w:val="none"/>
          <w:u w:val="single"/>
        </w:rPr>
      </w:pP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3C80E228">
      <w:pPr>
        <w:pStyle w:val="18"/>
        <w:spacing w:line="360" w:lineRule="auto"/>
        <w:ind w:firstLine="241"/>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3770FDFC">
      <w:pPr>
        <w:pStyle w:val="18"/>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bCs/>
          <w:color w:val="auto"/>
          <w:sz w:val="24"/>
          <w:szCs w:val="24"/>
          <w:highlight w:val="none"/>
        </w:rPr>
        <w:t xml:space="preserve">就质疑事项作出了答复/没有在法定期限内作出答复。                                                                                             </w:t>
      </w:r>
    </w:p>
    <w:p w14:paraId="04CC8424">
      <w:pPr>
        <w:pStyle w:val="18"/>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14:paraId="34F61984">
      <w:pPr>
        <w:pStyle w:val="18"/>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投诉事项1：</w:t>
      </w:r>
      <w:r>
        <w:rPr>
          <w:rFonts w:hint="eastAsia" w:hAnsi="宋体" w:cs="宋体"/>
          <w:bCs/>
          <w:color w:val="auto"/>
          <w:sz w:val="24"/>
          <w:szCs w:val="24"/>
          <w:highlight w:val="none"/>
          <w:u w:val="single"/>
        </w:rPr>
        <w:t xml:space="preserve">                                                                           </w:t>
      </w:r>
    </w:p>
    <w:p w14:paraId="603DBEE2">
      <w:pPr>
        <w:pStyle w:val="18"/>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3BD0CD74">
      <w:pPr>
        <w:pStyle w:val="18"/>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u w:val="single"/>
        </w:rPr>
        <w:t xml:space="preserve">                                                                                        </w:t>
      </w:r>
    </w:p>
    <w:p w14:paraId="54669D74">
      <w:pPr>
        <w:pStyle w:val="18"/>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7FB33B76">
      <w:pPr>
        <w:pStyle w:val="18"/>
        <w:spacing w:line="360" w:lineRule="auto"/>
        <w:ind w:left="25" w:leftChars="12" w:firstLine="352" w:firstLineChars="147"/>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19FD1348">
      <w:pPr>
        <w:pStyle w:val="18"/>
        <w:spacing w:line="360" w:lineRule="auto"/>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 xml:space="preserve">投诉事项2  </w:t>
      </w:r>
      <w:r>
        <w:rPr>
          <w:rFonts w:hint="eastAsia" w:hAnsi="宋体" w:cs="宋体"/>
          <w:bCs/>
          <w:color w:val="auto"/>
          <w:sz w:val="24"/>
          <w:szCs w:val="24"/>
          <w:highlight w:val="none"/>
        </w:rPr>
        <w:t xml:space="preserve">   </w:t>
      </w:r>
    </w:p>
    <w:p w14:paraId="1CD97CE9">
      <w:pPr>
        <w:pStyle w:val="18"/>
        <w:spacing w:line="360" w:lineRule="auto"/>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14:paraId="5E99C29F">
      <w:pPr>
        <w:pStyle w:val="18"/>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4BCC2EA5">
      <w:pPr>
        <w:pStyle w:val="1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73264475">
      <w:pPr>
        <w:pStyle w:val="1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1E1D3883">
      <w:pPr>
        <w:pStyle w:val="1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620DC4BE">
      <w:pPr>
        <w:pStyle w:val="18"/>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 xml:space="preserve">                                                                                 </w:t>
      </w:r>
    </w:p>
    <w:p w14:paraId="45418DFB">
      <w:pPr>
        <w:pStyle w:val="18"/>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7EF0B1AB">
      <w:pPr>
        <w:pStyle w:val="18"/>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14:paraId="72DCE501">
      <w:pPr>
        <w:pStyle w:val="18"/>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F4A492F">
      <w:pPr>
        <w:pStyle w:val="18"/>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3.投诉书应简要列明质疑事项，质疑函、质疑答复等作为附件材料提供。</w:t>
      </w:r>
    </w:p>
    <w:p w14:paraId="7FE64040">
      <w:pPr>
        <w:pStyle w:val="18"/>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4.投诉书的投诉事项应具体、明确，并有必要的事实依据和法律依据。</w:t>
      </w:r>
    </w:p>
    <w:p w14:paraId="3F3BCF96">
      <w:pPr>
        <w:pStyle w:val="18"/>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5.投诉书的投诉请求应与投诉事项相关。</w:t>
      </w:r>
    </w:p>
    <w:p w14:paraId="74977C8A">
      <w:pPr>
        <w:pStyle w:val="18"/>
        <w:spacing w:line="360" w:lineRule="auto"/>
        <w:ind w:left="25" w:leftChars="12" w:firstLine="354" w:firstLineChars="147"/>
        <w:rPr>
          <w:rFonts w:hAnsi="宋体" w:cs="宋体"/>
          <w:color w:val="auto"/>
          <w:highlight w:val="none"/>
        </w:rPr>
      </w:pPr>
      <w:r>
        <w:rPr>
          <w:rFonts w:hint="eastAsia" w:hAnsi="宋体" w:cs="宋体"/>
          <w:b/>
          <w:color w:val="auto"/>
          <w:sz w:val="24"/>
          <w:szCs w:val="24"/>
          <w:highlight w:val="none"/>
        </w:rPr>
        <w:t>6.投诉人为法人或者其他组织的，投诉书应由法定代表人、主要负责人，或者其授权代表签字或者盖章，并加盖公章。</w:t>
      </w:r>
    </w:p>
    <w:p w14:paraId="7291AC2C">
      <w:pPr>
        <w:jc w:val="center"/>
        <w:rPr>
          <w:rFonts w:ascii="宋体" w:hAnsi="宋体" w:cs="宋体"/>
          <w:color w:val="auto"/>
          <w:highlight w:val="none"/>
        </w:rPr>
      </w:pPr>
    </w:p>
    <w:p w14:paraId="5986FF81">
      <w:pPr>
        <w:rPr>
          <w:color w:val="auto"/>
          <w:highlight w:val="none"/>
        </w:rPr>
      </w:pPr>
    </w:p>
    <w:p w14:paraId="2B04EAE1">
      <w:pPr>
        <w:rPr>
          <w:rFonts w:ascii="宋体" w:hAnsi="宋体" w:cs="宋体"/>
          <w:b/>
          <w:bCs/>
          <w:color w:val="auto"/>
          <w:kern w:val="44"/>
          <w:sz w:val="44"/>
          <w:szCs w:val="44"/>
          <w:highlight w:val="none"/>
        </w:rPr>
      </w:pPr>
      <w:r>
        <w:rPr>
          <w:rFonts w:hint="eastAsia" w:ascii="宋体" w:hAnsi="宋体" w:cs="宋体"/>
          <w:b/>
          <w:bCs/>
          <w:color w:val="auto"/>
          <w:kern w:val="44"/>
          <w:sz w:val="44"/>
          <w:szCs w:val="44"/>
          <w:highlight w:val="none"/>
        </w:rPr>
        <w:br w:type="page"/>
      </w:r>
    </w:p>
    <w:p w14:paraId="76B38C9B">
      <w:pPr>
        <w:rPr>
          <w:color w:val="auto"/>
          <w:highlight w:val="none"/>
        </w:rPr>
      </w:pPr>
    </w:p>
    <w:p w14:paraId="61261277">
      <w:pPr>
        <w:spacing w:line="600" w:lineRule="auto"/>
        <w:jc w:val="center"/>
        <w:outlineLvl w:val="0"/>
        <w:rPr>
          <w:rFonts w:ascii="宋体" w:hAnsi="宋体" w:cs="宋体"/>
          <w:b/>
          <w:bCs/>
          <w:color w:val="auto"/>
          <w:kern w:val="44"/>
          <w:sz w:val="44"/>
          <w:szCs w:val="44"/>
          <w:highlight w:val="none"/>
        </w:rPr>
      </w:pPr>
      <w:bookmarkStart w:id="170" w:name="_Toc20715"/>
      <w:r>
        <w:rPr>
          <w:rFonts w:hint="eastAsia" w:ascii="宋体" w:hAnsi="宋体" w:cs="宋体"/>
          <w:b/>
          <w:bCs/>
          <w:color w:val="auto"/>
          <w:kern w:val="44"/>
          <w:sz w:val="44"/>
          <w:szCs w:val="44"/>
          <w:highlight w:val="none"/>
        </w:rPr>
        <w:t>第六章 合同文本</w:t>
      </w:r>
      <w:bookmarkEnd w:id="170"/>
    </w:p>
    <w:p w14:paraId="0C9F3853">
      <w:pPr>
        <w:pStyle w:val="17"/>
        <w:ind w:left="0"/>
        <w:rPr>
          <w:rFonts w:ascii="宋体" w:hAnsi="宋体" w:cs="宋体"/>
          <w:color w:val="auto"/>
          <w:sz w:val="22"/>
          <w:szCs w:val="22"/>
          <w:highlight w:val="none"/>
        </w:rPr>
      </w:pPr>
    </w:p>
    <w:p w14:paraId="53407A81">
      <w:pPr>
        <w:pStyle w:val="17"/>
        <w:ind w:left="0"/>
        <w:rPr>
          <w:rFonts w:ascii="宋体" w:hAnsi="宋体" w:cs="宋体"/>
          <w:b/>
          <w:bCs/>
          <w:color w:val="auto"/>
          <w:sz w:val="22"/>
          <w:szCs w:val="22"/>
          <w:highlight w:val="none"/>
        </w:rPr>
      </w:pPr>
    </w:p>
    <w:p w14:paraId="6BA88319">
      <w:pPr>
        <w:pStyle w:val="17"/>
        <w:ind w:left="0"/>
        <w:rPr>
          <w:rFonts w:ascii="宋体" w:hAnsi="宋体" w:cs="宋体"/>
          <w:b/>
          <w:bCs/>
          <w:color w:val="auto"/>
          <w:sz w:val="22"/>
          <w:szCs w:val="22"/>
          <w:highlight w:val="none"/>
        </w:rPr>
      </w:pPr>
    </w:p>
    <w:p w14:paraId="3ABA46ED">
      <w:pPr>
        <w:pStyle w:val="17"/>
        <w:ind w:left="0"/>
        <w:rPr>
          <w:rFonts w:ascii="宋体" w:hAnsi="宋体" w:cs="宋体"/>
          <w:b/>
          <w:bCs/>
          <w:color w:val="auto"/>
          <w:sz w:val="22"/>
          <w:szCs w:val="22"/>
          <w:highlight w:val="none"/>
        </w:rPr>
      </w:pPr>
    </w:p>
    <w:p w14:paraId="173FBADB">
      <w:pPr>
        <w:pStyle w:val="17"/>
        <w:ind w:left="0"/>
        <w:rPr>
          <w:rFonts w:ascii="宋体" w:hAnsi="宋体" w:cs="宋体"/>
          <w:color w:val="auto"/>
          <w:highlight w:val="none"/>
        </w:rPr>
      </w:pPr>
      <w:r>
        <w:rPr>
          <w:rFonts w:hint="eastAsia" w:ascii="宋体" w:hAnsi="宋体" w:cs="宋体"/>
          <w:b/>
          <w:bCs/>
          <w:color w:val="auto"/>
          <w:sz w:val="22"/>
          <w:szCs w:val="22"/>
          <w:highlight w:val="none"/>
        </w:rPr>
        <w:t>合同编号：</w:t>
      </w:r>
    </w:p>
    <w:p w14:paraId="02F0255A">
      <w:pPr>
        <w:spacing w:line="600" w:lineRule="auto"/>
        <w:jc w:val="center"/>
        <w:rPr>
          <w:rFonts w:ascii="宋体" w:hAnsi="宋体" w:cs="宋体"/>
          <w:color w:val="auto"/>
          <w:sz w:val="40"/>
          <w:szCs w:val="40"/>
          <w:highlight w:val="none"/>
          <w:u w:val="single"/>
        </w:rPr>
      </w:pPr>
    </w:p>
    <w:p w14:paraId="51D58D3D">
      <w:pPr>
        <w:spacing w:line="600" w:lineRule="auto"/>
        <w:jc w:val="center"/>
        <w:rPr>
          <w:rFonts w:ascii="宋体" w:hAnsi="宋体" w:cs="宋体"/>
          <w:b/>
          <w:bCs/>
          <w:color w:val="auto"/>
          <w:sz w:val="44"/>
          <w:szCs w:val="44"/>
          <w:highlight w:val="none"/>
          <w:u w:val="single"/>
        </w:rPr>
      </w:pPr>
      <w:r>
        <w:rPr>
          <w:rFonts w:hint="eastAsia" w:ascii="宋体" w:hAnsi="宋体" w:cs="宋体"/>
          <w:b/>
          <w:bCs/>
          <w:color w:val="auto"/>
          <w:sz w:val="40"/>
          <w:szCs w:val="40"/>
          <w:highlight w:val="none"/>
          <w:u w:val="single"/>
        </w:rPr>
        <w:t xml:space="preserve">         （项目名称）      </w:t>
      </w:r>
      <w:r>
        <w:rPr>
          <w:rFonts w:hint="eastAsia" w:ascii="宋体" w:hAnsi="宋体" w:cs="宋体"/>
          <w:b/>
          <w:bCs/>
          <w:color w:val="auto"/>
          <w:sz w:val="40"/>
          <w:szCs w:val="40"/>
          <w:highlight w:val="none"/>
        </w:rPr>
        <w:t>合同</w:t>
      </w:r>
    </w:p>
    <w:p w14:paraId="08984910">
      <w:pPr>
        <w:jc w:val="center"/>
        <w:rPr>
          <w:rFonts w:ascii="宋体" w:hAnsi="宋体" w:cs="宋体"/>
          <w:color w:val="auto"/>
          <w:sz w:val="36"/>
          <w:szCs w:val="36"/>
          <w:highlight w:val="none"/>
        </w:rPr>
      </w:pPr>
    </w:p>
    <w:p w14:paraId="5537A482">
      <w:pPr>
        <w:jc w:val="center"/>
        <w:rPr>
          <w:rFonts w:ascii="宋体" w:hAnsi="宋体" w:cs="宋体"/>
          <w:color w:val="auto"/>
          <w:sz w:val="36"/>
          <w:szCs w:val="36"/>
          <w:highlight w:val="none"/>
        </w:rPr>
      </w:pPr>
    </w:p>
    <w:p w14:paraId="52AEE3D2">
      <w:pPr>
        <w:rPr>
          <w:rFonts w:ascii="宋体" w:hAnsi="宋体" w:cs="宋体"/>
          <w:color w:val="auto"/>
          <w:sz w:val="36"/>
          <w:szCs w:val="36"/>
          <w:highlight w:val="none"/>
        </w:rPr>
      </w:pPr>
    </w:p>
    <w:p w14:paraId="1A66CBE7">
      <w:pPr>
        <w:jc w:val="center"/>
        <w:rPr>
          <w:rFonts w:ascii="宋体" w:hAnsi="宋体" w:cs="宋体"/>
          <w:color w:val="auto"/>
          <w:sz w:val="36"/>
          <w:szCs w:val="36"/>
          <w:highlight w:val="none"/>
        </w:rPr>
      </w:pPr>
    </w:p>
    <w:p w14:paraId="74A923DF">
      <w:pPr>
        <w:jc w:val="center"/>
        <w:rPr>
          <w:rFonts w:ascii="宋体" w:hAnsi="宋体" w:cs="宋体"/>
          <w:color w:val="auto"/>
          <w:sz w:val="36"/>
          <w:szCs w:val="36"/>
          <w:highlight w:val="none"/>
        </w:rPr>
      </w:pPr>
    </w:p>
    <w:p w14:paraId="17D222BE">
      <w:pPr>
        <w:pStyle w:val="14"/>
        <w:rPr>
          <w:rFonts w:ascii="宋体" w:hAnsi="宋体" w:cs="宋体"/>
          <w:color w:val="auto"/>
          <w:sz w:val="36"/>
          <w:szCs w:val="36"/>
          <w:highlight w:val="none"/>
        </w:rPr>
      </w:pPr>
    </w:p>
    <w:p w14:paraId="738B88E5">
      <w:pPr>
        <w:pStyle w:val="26"/>
        <w:rPr>
          <w:rFonts w:ascii="宋体" w:hAnsi="宋体" w:cs="宋体"/>
          <w:color w:val="auto"/>
          <w:highlight w:val="none"/>
        </w:rPr>
      </w:pPr>
    </w:p>
    <w:p w14:paraId="4B0FAA08">
      <w:pPr>
        <w:rPr>
          <w:rFonts w:ascii="宋体" w:hAnsi="宋体" w:cs="宋体"/>
          <w:color w:val="auto"/>
          <w:sz w:val="36"/>
          <w:szCs w:val="36"/>
          <w:highlight w:val="none"/>
        </w:rPr>
      </w:pPr>
    </w:p>
    <w:p w14:paraId="32FAE407">
      <w:pPr>
        <w:ind w:firstLine="1800" w:firstLineChars="500"/>
        <w:rPr>
          <w:rFonts w:ascii="宋体" w:hAnsi="宋体" w:cs="宋体"/>
          <w:color w:val="auto"/>
          <w:sz w:val="36"/>
          <w:szCs w:val="36"/>
          <w:highlight w:val="none"/>
        </w:rPr>
      </w:pPr>
      <w:r>
        <w:rPr>
          <w:rFonts w:hint="eastAsia" w:ascii="宋体" w:hAnsi="宋体" w:cs="宋体"/>
          <w:color w:val="auto"/>
          <w:sz w:val="36"/>
          <w:szCs w:val="36"/>
          <w:highlight w:val="none"/>
        </w:rPr>
        <w:t>采购人：</w:t>
      </w:r>
      <w:r>
        <w:rPr>
          <w:rFonts w:hint="eastAsia" w:ascii="宋体" w:hAnsi="宋体" w:cs="宋体"/>
          <w:color w:val="auto"/>
          <w:sz w:val="36"/>
          <w:szCs w:val="36"/>
          <w:highlight w:val="none"/>
          <w:u w:val="single"/>
        </w:rPr>
        <w:t xml:space="preserve">                      </w:t>
      </w:r>
    </w:p>
    <w:p w14:paraId="5E0AA254">
      <w:pPr>
        <w:jc w:val="center"/>
        <w:rPr>
          <w:rFonts w:ascii="宋体" w:hAnsi="宋体" w:cs="宋体"/>
          <w:color w:val="auto"/>
          <w:sz w:val="36"/>
          <w:szCs w:val="36"/>
          <w:highlight w:val="none"/>
        </w:rPr>
      </w:pPr>
    </w:p>
    <w:p w14:paraId="59025CC9">
      <w:pPr>
        <w:ind w:firstLine="1800" w:firstLineChars="500"/>
        <w:rPr>
          <w:rFonts w:ascii="宋体" w:hAnsi="宋体" w:cs="宋体"/>
          <w:color w:val="auto"/>
          <w:sz w:val="36"/>
          <w:szCs w:val="36"/>
          <w:highlight w:val="none"/>
          <w:u w:val="single"/>
        </w:rPr>
      </w:pPr>
      <w:r>
        <w:rPr>
          <w:rFonts w:hint="eastAsia" w:ascii="宋体" w:hAnsi="宋体" w:cs="宋体"/>
          <w:color w:val="auto"/>
          <w:sz w:val="36"/>
          <w:szCs w:val="36"/>
          <w:highlight w:val="none"/>
        </w:rPr>
        <w:t>成交供应商：</w:t>
      </w:r>
      <w:r>
        <w:rPr>
          <w:rFonts w:hint="eastAsia" w:ascii="宋体" w:hAnsi="宋体" w:cs="宋体"/>
          <w:color w:val="auto"/>
          <w:sz w:val="36"/>
          <w:szCs w:val="36"/>
          <w:highlight w:val="none"/>
          <w:u w:val="single"/>
        </w:rPr>
        <w:t xml:space="preserve">                    </w:t>
      </w:r>
    </w:p>
    <w:p w14:paraId="4AAE76EA">
      <w:pPr>
        <w:rPr>
          <w:rFonts w:ascii="宋体" w:hAnsi="宋体" w:cs="宋体"/>
          <w:color w:val="auto"/>
          <w:highlight w:val="none"/>
        </w:rPr>
      </w:pPr>
    </w:p>
    <w:p w14:paraId="2214DE6E">
      <w:pPr>
        <w:rPr>
          <w:rFonts w:ascii="宋体" w:hAnsi="宋体" w:cs="宋体"/>
          <w:color w:val="auto"/>
          <w:highlight w:val="none"/>
        </w:rPr>
      </w:pPr>
    </w:p>
    <w:p w14:paraId="15A5D943">
      <w:pPr>
        <w:rPr>
          <w:rFonts w:ascii="宋体" w:hAnsi="宋体" w:cs="宋体"/>
          <w:color w:val="auto"/>
          <w:sz w:val="24"/>
          <w:highlight w:val="none"/>
        </w:rPr>
      </w:pPr>
    </w:p>
    <w:p w14:paraId="168C94C4">
      <w:pPr>
        <w:rPr>
          <w:rFonts w:ascii="宋体" w:hAnsi="宋体" w:cs="宋体"/>
          <w:color w:val="auto"/>
          <w:sz w:val="24"/>
          <w:highlight w:val="none"/>
        </w:rPr>
      </w:pPr>
    </w:p>
    <w:p w14:paraId="2A33EA3D">
      <w:pPr>
        <w:rPr>
          <w:rFonts w:ascii="宋体" w:hAnsi="宋体" w:cs="宋体"/>
          <w:color w:val="auto"/>
          <w:szCs w:val="21"/>
          <w:highlight w:val="none"/>
        </w:rPr>
      </w:pPr>
      <w:r>
        <w:rPr>
          <w:rFonts w:hint="eastAsia" w:ascii="宋体" w:hAnsi="宋体" w:cs="宋体"/>
          <w:color w:val="auto"/>
          <w:szCs w:val="21"/>
          <w:highlight w:val="none"/>
        </w:rPr>
        <w:br w:type="page"/>
      </w:r>
    </w:p>
    <w:p w14:paraId="24ADE121">
      <w:pPr>
        <w:rPr>
          <w:color w:val="auto"/>
          <w:highlight w:val="none"/>
        </w:rPr>
      </w:pPr>
    </w:p>
    <w:p w14:paraId="3DA286F4">
      <w:pPr>
        <w:spacing w:line="480" w:lineRule="auto"/>
        <w:rPr>
          <w:rFonts w:ascii="宋体" w:hAnsi="宋体" w:cs="宋体"/>
          <w:color w:val="auto"/>
          <w:szCs w:val="21"/>
          <w:highlight w:val="none"/>
          <w:u w:val="singl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供应商（乙方）：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F2021EC">
      <w:pPr>
        <w:spacing w:line="480" w:lineRule="auto"/>
        <w:rPr>
          <w:rFonts w:ascii="宋体" w:hAnsi="宋体" w:cs="宋体"/>
          <w:color w:val="auto"/>
          <w:szCs w:val="21"/>
          <w:highlight w:val="none"/>
          <w:u w:val="singl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br w:type="textWrapping"/>
      </w:r>
      <w:r>
        <w:rPr>
          <w:rFonts w:hint="eastAsia" w:ascii="宋体" w:hAnsi="宋体" w:cs="宋体"/>
          <w:color w:val="auto"/>
          <w:szCs w:val="21"/>
          <w:highlight w:val="none"/>
        </w:rPr>
        <w:t>分标名称：</w:t>
      </w:r>
      <w:r>
        <w:rPr>
          <w:rFonts w:hint="eastAsia" w:ascii="宋体" w:hAnsi="宋体" w:cs="宋体"/>
          <w:color w:val="auto"/>
          <w:szCs w:val="21"/>
          <w:highlight w:val="none"/>
          <w:u w:val="single"/>
        </w:rPr>
        <w:t xml:space="preserve">                          </w:t>
      </w:r>
    </w:p>
    <w:p w14:paraId="2EC22810">
      <w:pPr>
        <w:spacing w:line="480" w:lineRule="auto"/>
        <w:rPr>
          <w:rFonts w:ascii="宋体" w:hAnsi="宋体" w:cs="宋体"/>
          <w:color w:val="auto"/>
          <w:szCs w:val="21"/>
          <w:highlight w:val="none"/>
          <w:u w:val="singl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p>
    <w:p w14:paraId="6987B2AB">
      <w:pPr>
        <w:spacing w:line="480" w:lineRule="auto"/>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14:paraId="15DE478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磋商文件规定条款和成交供应商响应文件承诺，甲、乙双方在平等自愿的情况下，经协商一致，就甲方接受乙方提供健康体检服务（以下简称体检） 事项，达成本合同。</w:t>
      </w:r>
    </w:p>
    <w:p w14:paraId="0B6BC89D">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第一条 合同标的</w:t>
      </w:r>
    </w:p>
    <w:p w14:paraId="40FBE116">
      <w:pPr>
        <w:spacing w:before="1" w:line="227" w:lineRule="auto"/>
        <w:ind w:left="544"/>
        <w:rPr>
          <w:rFonts w:ascii="宋体" w:hAnsi="宋体" w:cs="宋体"/>
          <w:color w:val="auto"/>
          <w:szCs w:val="21"/>
          <w:highlight w:val="none"/>
        </w:rPr>
      </w:pPr>
      <w:r>
        <w:rPr>
          <w:rFonts w:hint="eastAsia" w:ascii="宋体" w:hAnsi="宋体" w:cs="宋体"/>
          <w:color w:val="auto"/>
          <w:spacing w:val="6"/>
          <w:szCs w:val="21"/>
          <w:highlight w:val="none"/>
        </w:rPr>
        <w:t>1、</w:t>
      </w:r>
      <w:r>
        <w:rPr>
          <w:rFonts w:hint="eastAsia" w:ascii="宋体" w:hAnsi="宋体" w:cs="宋体"/>
          <w:color w:val="auto"/>
          <w:spacing w:val="7"/>
          <w:szCs w:val="21"/>
          <w:highlight w:val="none"/>
        </w:rPr>
        <w:t>项目一览表</w:t>
      </w:r>
    </w:p>
    <w:tbl>
      <w:tblPr>
        <w:tblStyle w:val="33"/>
        <w:tblW w:w="8907"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880"/>
        <w:gridCol w:w="1369"/>
        <w:gridCol w:w="1367"/>
        <w:gridCol w:w="1880"/>
        <w:gridCol w:w="1733"/>
      </w:tblGrid>
      <w:tr w14:paraId="172A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678" w:type="dxa"/>
            <w:tcBorders>
              <w:top w:val="single" w:color="auto" w:sz="4" w:space="0"/>
              <w:left w:val="single" w:color="auto" w:sz="4" w:space="0"/>
              <w:bottom w:val="single" w:color="auto" w:sz="4" w:space="0"/>
              <w:right w:val="single" w:color="auto" w:sz="4" w:space="0"/>
            </w:tcBorders>
            <w:vAlign w:val="center"/>
          </w:tcPr>
          <w:p w14:paraId="19F6EFB9">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880" w:type="dxa"/>
            <w:tcBorders>
              <w:top w:val="single" w:color="auto" w:sz="4" w:space="0"/>
              <w:left w:val="single" w:color="auto" w:sz="4" w:space="0"/>
              <w:bottom w:val="single" w:color="auto" w:sz="4" w:space="0"/>
              <w:right w:val="single" w:color="auto" w:sz="4" w:space="0"/>
            </w:tcBorders>
            <w:vAlign w:val="center"/>
          </w:tcPr>
          <w:p w14:paraId="315740CF">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体检项目</w:t>
            </w:r>
          </w:p>
        </w:tc>
        <w:tc>
          <w:tcPr>
            <w:tcW w:w="1369" w:type="dxa"/>
            <w:tcBorders>
              <w:top w:val="single" w:color="auto" w:sz="4" w:space="0"/>
              <w:left w:val="single" w:color="auto" w:sz="4" w:space="0"/>
              <w:bottom w:val="single" w:color="auto" w:sz="4" w:space="0"/>
              <w:right w:val="single" w:color="auto" w:sz="4" w:space="0"/>
            </w:tcBorders>
            <w:vAlign w:val="center"/>
          </w:tcPr>
          <w:p w14:paraId="7B5E0C4E">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数量①</w:t>
            </w:r>
          </w:p>
        </w:tc>
        <w:tc>
          <w:tcPr>
            <w:tcW w:w="1367" w:type="dxa"/>
            <w:tcBorders>
              <w:top w:val="single" w:color="auto" w:sz="4" w:space="0"/>
              <w:left w:val="single" w:color="auto" w:sz="4" w:space="0"/>
              <w:bottom w:val="single" w:color="auto" w:sz="4" w:space="0"/>
              <w:right w:val="single" w:color="auto" w:sz="4" w:space="0"/>
            </w:tcBorders>
            <w:vAlign w:val="center"/>
          </w:tcPr>
          <w:p w14:paraId="620AF4A2">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单价（元）</w:t>
            </w:r>
          </w:p>
          <w:p w14:paraId="5957E50F">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②</w:t>
            </w:r>
          </w:p>
        </w:tc>
        <w:tc>
          <w:tcPr>
            <w:tcW w:w="1880" w:type="dxa"/>
            <w:tcBorders>
              <w:top w:val="single" w:color="auto" w:sz="4" w:space="0"/>
              <w:left w:val="single" w:color="auto" w:sz="4" w:space="0"/>
              <w:bottom w:val="single" w:color="auto" w:sz="4" w:space="0"/>
              <w:right w:val="single" w:color="auto" w:sz="4" w:space="0"/>
            </w:tcBorders>
            <w:vAlign w:val="center"/>
          </w:tcPr>
          <w:p w14:paraId="1BFB541B">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单项合价（元）</w:t>
            </w:r>
          </w:p>
          <w:p w14:paraId="13D6599E">
            <w:pPr>
              <w:spacing w:line="4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③＝①×②</w:t>
            </w:r>
          </w:p>
        </w:tc>
        <w:tc>
          <w:tcPr>
            <w:tcW w:w="1733" w:type="dxa"/>
            <w:tcBorders>
              <w:top w:val="single" w:color="auto" w:sz="4" w:space="0"/>
              <w:left w:val="single" w:color="auto" w:sz="4" w:space="0"/>
              <w:bottom w:val="single" w:color="auto" w:sz="4" w:space="0"/>
              <w:right w:val="single" w:color="auto" w:sz="4" w:space="0"/>
            </w:tcBorders>
            <w:vAlign w:val="center"/>
          </w:tcPr>
          <w:p w14:paraId="2138B2A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6F6F8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78" w:type="dxa"/>
            <w:tcBorders>
              <w:top w:val="single" w:color="auto" w:sz="4" w:space="0"/>
              <w:left w:val="single" w:color="auto" w:sz="4" w:space="0"/>
              <w:bottom w:val="single" w:color="auto" w:sz="4" w:space="0"/>
              <w:right w:val="single" w:color="auto" w:sz="4" w:space="0"/>
            </w:tcBorders>
            <w:vAlign w:val="center"/>
          </w:tcPr>
          <w:p w14:paraId="55EDF073">
            <w:pPr>
              <w:spacing w:line="440" w:lineRule="exact"/>
              <w:jc w:val="center"/>
              <w:rPr>
                <w:rFonts w:ascii="宋体" w:hAnsi="宋体" w:cs="宋体"/>
                <w:color w:val="auto"/>
                <w:szCs w:val="21"/>
                <w:highlight w:val="none"/>
              </w:rPr>
            </w:pPr>
          </w:p>
        </w:tc>
        <w:tc>
          <w:tcPr>
            <w:tcW w:w="1880" w:type="dxa"/>
            <w:tcBorders>
              <w:top w:val="single" w:color="auto" w:sz="4" w:space="0"/>
              <w:left w:val="single" w:color="auto" w:sz="4" w:space="0"/>
              <w:bottom w:val="single" w:color="auto" w:sz="4" w:space="0"/>
              <w:right w:val="single" w:color="auto" w:sz="4" w:space="0"/>
            </w:tcBorders>
            <w:vAlign w:val="center"/>
          </w:tcPr>
          <w:p w14:paraId="242E5042">
            <w:pPr>
              <w:spacing w:line="440" w:lineRule="exact"/>
              <w:jc w:val="center"/>
              <w:rPr>
                <w:rFonts w:ascii="宋体" w:hAnsi="宋体" w:cs="宋体"/>
                <w:color w:val="auto"/>
                <w:szCs w:val="21"/>
                <w:highlight w:val="none"/>
              </w:rPr>
            </w:pPr>
          </w:p>
        </w:tc>
        <w:tc>
          <w:tcPr>
            <w:tcW w:w="1369" w:type="dxa"/>
            <w:tcBorders>
              <w:top w:val="single" w:color="auto" w:sz="4" w:space="0"/>
              <w:left w:val="single" w:color="auto" w:sz="4" w:space="0"/>
              <w:bottom w:val="single" w:color="auto" w:sz="4" w:space="0"/>
              <w:right w:val="single" w:color="auto" w:sz="4" w:space="0"/>
            </w:tcBorders>
            <w:vAlign w:val="center"/>
          </w:tcPr>
          <w:p w14:paraId="1FC9BDB5">
            <w:pPr>
              <w:spacing w:line="440" w:lineRule="exact"/>
              <w:jc w:val="center"/>
              <w:rPr>
                <w:rFonts w:ascii="宋体" w:hAnsi="宋体" w:cs="宋体"/>
                <w:color w:val="auto"/>
                <w:szCs w:val="21"/>
                <w:highlight w:val="none"/>
              </w:rPr>
            </w:pPr>
          </w:p>
        </w:tc>
        <w:tc>
          <w:tcPr>
            <w:tcW w:w="1367" w:type="dxa"/>
            <w:tcBorders>
              <w:top w:val="single" w:color="auto" w:sz="4" w:space="0"/>
              <w:left w:val="single" w:color="auto" w:sz="4" w:space="0"/>
              <w:bottom w:val="single" w:color="auto" w:sz="4" w:space="0"/>
              <w:right w:val="single" w:color="auto" w:sz="4" w:space="0"/>
            </w:tcBorders>
            <w:vAlign w:val="center"/>
          </w:tcPr>
          <w:p w14:paraId="197F9868">
            <w:pPr>
              <w:spacing w:line="440" w:lineRule="exact"/>
              <w:jc w:val="center"/>
              <w:rPr>
                <w:rFonts w:ascii="宋体" w:hAnsi="宋体" w:cs="宋体"/>
                <w:color w:val="auto"/>
                <w:szCs w:val="21"/>
                <w:highlight w:val="none"/>
              </w:rPr>
            </w:pPr>
          </w:p>
        </w:tc>
        <w:tc>
          <w:tcPr>
            <w:tcW w:w="1880" w:type="dxa"/>
            <w:tcBorders>
              <w:top w:val="single" w:color="auto" w:sz="4" w:space="0"/>
              <w:left w:val="single" w:color="auto" w:sz="4" w:space="0"/>
              <w:bottom w:val="single" w:color="auto" w:sz="4" w:space="0"/>
              <w:right w:val="single" w:color="auto" w:sz="4" w:space="0"/>
            </w:tcBorders>
            <w:vAlign w:val="center"/>
          </w:tcPr>
          <w:p w14:paraId="4F06847A">
            <w:pPr>
              <w:spacing w:line="440" w:lineRule="exact"/>
              <w:ind w:firstLine="210" w:firstLineChars="100"/>
              <w:rPr>
                <w:rFonts w:ascii="宋体" w:hAnsi="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48152D16">
            <w:pPr>
              <w:spacing w:line="440" w:lineRule="exact"/>
              <w:jc w:val="center"/>
              <w:rPr>
                <w:rFonts w:ascii="宋体" w:hAnsi="宋体" w:cs="宋体"/>
                <w:color w:val="auto"/>
                <w:szCs w:val="21"/>
                <w:highlight w:val="none"/>
              </w:rPr>
            </w:pPr>
          </w:p>
        </w:tc>
      </w:tr>
      <w:tr w14:paraId="58E9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907" w:type="dxa"/>
            <w:gridSpan w:val="6"/>
            <w:tcBorders>
              <w:top w:val="single" w:color="auto" w:sz="4" w:space="0"/>
              <w:left w:val="single" w:color="auto" w:sz="4" w:space="0"/>
              <w:bottom w:val="single" w:color="auto" w:sz="4" w:space="0"/>
              <w:right w:val="single" w:color="auto" w:sz="4" w:space="0"/>
            </w:tcBorders>
            <w:vAlign w:val="center"/>
          </w:tcPr>
          <w:p w14:paraId="2580CA9C">
            <w:pPr>
              <w:spacing w:line="440" w:lineRule="exact"/>
              <w:rPr>
                <w:rFonts w:ascii="宋体" w:hAnsi="宋体" w:cs="宋体"/>
                <w:color w:val="auto"/>
                <w:szCs w:val="21"/>
                <w:highlight w:val="none"/>
              </w:rPr>
            </w:pPr>
            <w:r>
              <w:rPr>
                <w:rFonts w:hint="eastAsia" w:ascii="宋体" w:hAnsi="宋体" w:cs="宋体"/>
                <w:color w:val="auto"/>
                <w:szCs w:val="21"/>
                <w:highlight w:val="none"/>
              </w:rPr>
              <w:t>人民币合计金额：（大写）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tc>
      </w:tr>
    </w:tbl>
    <w:p w14:paraId="135A33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2、体检时间及地点：体检时间：</w:t>
      </w:r>
      <w:r>
        <w:rPr>
          <w:rFonts w:hint="eastAsia" w:ascii="宋体" w:hAnsi="宋体" w:cs="宋体"/>
          <w:color w:val="auto"/>
          <w:spacing w:val="5"/>
          <w:sz w:val="20"/>
          <w:szCs w:val="20"/>
          <w:highlight w:val="none"/>
          <w:u w:val="single"/>
        </w:rPr>
        <w:t xml:space="preserve">            </w:t>
      </w:r>
      <w:r>
        <w:rPr>
          <w:rFonts w:hint="eastAsia" w:ascii="宋体" w:hAnsi="宋体" w:cs="宋体"/>
          <w:color w:val="auto"/>
          <w:spacing w:val="5"/>
          <w:sz w:val="20"/>
          <w:szCs w:val="20"/>
          <w:highlight w:val="none"/>
        </w:rPr>
        <w:t>；体检地点：</w:t>
      </w:r>
      <w:r>
        <w:rPr>
          <w:rFonts w:hint="eastAsia" w:ascii="宋体" w:hAnsi="宋体" w:cs="宋体"/>
          <w:color w:val="auto"/>
          <w:spacing w:val="5"/>
          <w:sz w:val="20"/>
          <w:szCs w:val="20"/>
          <w:highlight w:val="none"/>
          <w:u w:val="single"/>
        </w:rPr>
        <w:t xml:space="preserve">            </w:t>
      </w:r>
    </w:p>
    <w:p w14:paraId="0687F8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3、体检项目收费标准</w:t>
      </w:r>
    </w:p>
    <w:p w14:paraId="294A81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本项目为固定综合单价合同，项目合同暂定总金额为： （大写）人民币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元）。当实际体检人数与计划人数不一致时，按实际体检人数乘以乙方的最终成交单价结算。</w:t>
      </w:r>
    </w:p>
    <w:p w14:paraId="2A5F2F9C">
      <w:pPr>
        <w:numPr>
          <w:ilvl w:val="0"/>
          <w:numId w:val="3"/>
        </w:numPr>
        <w:spacing w:line="360" w:lineRule="auto"/>
        <w:ind w:firstLine="480"/>
        <w:rPr>
          <w:rFonts w:ascii="宋体" w:hAnsi="宋体" w:cs="宋体"/>
          <w:b/>
          <w:bCs/>
          <w:color w:val="auto"/>
          <w:szCs w:val="21"/>
          <w:highlight w:val="none"/>
        </w:rPr>
      </w:pPr>
      <w:r>
        <w:rPr>
          <w:rFonts w:hint="eastAsia" w:ascii="宋体" w:hAnsi="宋体" w:cs="宋体"/>
          <w:b/>
          <w:bCs/>
          <w:color w:val="auto"/>
          <w:szCs w:val="21"/>
          <w:highlight w:val="none"/>
        </w:rPr>
        <w:t>质量保证</w:t>
      </w:r>
    </w:p>
    <w:p w14:paraId="20B23D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乙方所提供的服务及服务内容必须与响应文件承诺相一致，具有国家强制性标准的，还必须符合国家强制性标准的规定，没有国家强制性标准但有其他强制性标准的，必须符合其他强制性标准的规定。</w:t>
      </w:r>
    </w:p>
    <w:p w14:paraId="70E4A853">
      <w:pPr>
        <w:numPr>
          <w:ilvl w:val="0"/>
          <w:numId w:val="3"/>
        </w:numPr>
        <w:spacing w:line="360" w:lineRule="auto"/>
        <w:ind w:firstLine="480"/>
        <w:rPr>
          <w:rFonts w:ascii="宋体" w:hAnsi="宋体" w:cs="宋体"/>
          <w:b/>
          <w:bCs/>
          <w:color w:val="auto"/>
          <w:szCs w:val="21"/>
          <w:highlight w:val="none"/>
        </w:rPr>
      </w:pPr>
      <w:r>
        <w:rPr>
          <w:rFonts w:hint="eastAsia" w:ascii="宋体" w:hAnsi="宋体" w:cs="宋体"/>
          <w:b/>
          <w:bCs/>
          <w:color w:val="auto"/>
          <w:szCs w:val="21"/>
          <w:highlight w:val="none"/>
        </w:rPr>
        <w:t xml:space="preserve"> 甲方权利与义务</w:t>
      </w:r>
    </w:p>
    <w:p w14:paraId="0F1A5D7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甲方有权享有本体检合同约定的由乙方提供的体检服务。甲方在接受体检服务前，应提前告知单位员工所有的体检项目及体检须知，就体检信息开放和隐私保护等问题与参检人员达成一致。如有特殊要求的，应当在签订本合同前向乙方提出，由双方进行协商解决。</w:t>
      </w:r>
    </w:p>
    <w:p w14:paraId="01801B2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2、甲方负责组织好单位员工，按时到本合同约定的时间及地点体检，并应当提前告知参加体检人员按照乙方体检现场的提示、服务人员的指引按顺序文明参加体检，以保障体检工作顺利进行。</w:t>
      </w:r>
    </w:p>
    <w:p w14:paraId="2A9EBC94">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3、甲方指定</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名工作人员为体检联络员，其电话、微信、QQ 等通讯工具可作为体检信息发送使用，并负责体检人员安排和协调工作。</w:t>
      </w:r>
    </w:p>
    <w:p w14:paraId="26B5349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4、甲方体检联络员应提前</w:t>
      </w:r>
      <w:r>
        <w:rPr>
          <w:rFonts w:hint="eastAsia" w:ascii="宋体" w:hAnsi="宋体" w:cs="宋体"/>
          <w:color w:val="auto"/>
          <w:szCs w:val="21"/>
          <w:highlight w:val="none"/>
          <w:u w:val="single"/>
        </w:rPr>
        <w:t xml:space="preserve"> 7 </w:t>
      </w:r>
      <w:r>
        <w:rPr>
          <w:rFonts w:hint="eastAsia" w:ascii="宋体" w:hAnsi="宋体" w:cs="宋体"/>
          <w:color w:val="auto"/>
          <w:szCs w:val="21"/>
          <w:highlight w:val="none"/>
        </w:rPr>
        <w:t>个工作日，按照乙方要求的内容及格式提供完整的体检人员名册，并保证信息的真实性和合法性。乙方实行实名制体检，如因甲方前来体检的员工与甲方提供的体检人员名册身份不符，乙方可拒绝为其体检；如因甲方员工隐瞒既往病史或自行放弃检查项目可能导致其体检结果不全或错误的，甲方不得追究乙方责任。</w:t>
      </w:r>
    </w:p>
    <w:p w14:paraId="10AF340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5、单位员工体检结果为员工个人隐私，甲方及甲方体检联络员有依法对待该个人隐私的义务。</w:t>
      </w:r>
    </w:p>
    <w:p w14:paraId="2C6B9DF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6、甲方应当按照本合同的约定支付体检费用。</w:t>
      </w:r>
    </w:p>
    <w:p w14:paraId="3798BFE6">
      <w:pPr>
        <w:numPr>
          <w:ilvl w:val="0"/>
          <w:numId w:val="3"/>
        </w:numPr>
        <w:spacing w:line="360" w:lineRule="auto"/>
        <w:ind w:firstLine="480"/>
        <w:rPr>
          <w:rFonts w:ascii="宋体" w:hAnsi="宋体" w:cs="宋体"/>
          <w:b/>
          <w:bCs/>
          <w:color w:val="auto"/>
          <w:szCs w:val="21"/>
          <w:highlight w:val="none"/>
        </w:rPr>
      </w:pPr>
      <w:r>
        <w:rPr>
          <w:rFonts w:hint="eastAsia" w:ascii="宋体" w:hAnsi="宋体" w:cs="宋体"/>
          <w:b/>
          <w:bCs/>
          <w:color w:val="auto"/>
          <w:szCs w:val="21"/>
          <w:highlight w:val="none"/>
        </w:rPr>
        <w:t>乙方权利与义务</w:t>
      </w:r>
    </w:p>
    <w:p w14:paraId="7A06B99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1、乙方应按本合同约定的体检项目要求，安排相应的医师、专业人员以及相关设施、设备提供体检服务，不得使用过期或报废仪器、设备。</w:t>
      </w:r>
    </w:p>
    <w:p w14:paraId="6F0B1F6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2、乙方指定</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名工作人员为体检联络员，其电话、微信、QQ 等通讯工具可作为体检信息发送使用，并负责与甲方联络员进行工作对接，统一安排和协调甲方人员的体检工作。</w:t>
      </w:r>
    </w:p>
    <w:p w14:paraId="18C0F0A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3、负责体检的医师应当根据执业规范认真完成体检，优先做好甲方或甲方员工体检相关服务。</w:t>
      </w:r>
    </w:p>
    <w:p w14:paraId="3CDD646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4、如在体检中发现较为重大的疾病，甲方体检人员提出需要进一步检查或专科治疗的，乙方可以提供相关医疗服务的联系与指导。</w:t>
      </w:r>
    </w:p>
    <w:p w14:paraId="14628C0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5、对体检报告负责，若在规定体检项目和应有技术水平范围内，因工作缺陷或医疗器材问题造成体检质量问题（即应发现而未发现的严重恶性病变），应负责给予体检当事人适当补救措施。</w:t>
      </w:r>
    </w:p>
    <w:p w14:paraId="23A3C27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6、对有争议的标本，溶血标本以及院方责任引起的误差标本，应予以复查。</w:t>
      </w:r>
    </w:p>
    <w:p w14:paraId="5C69013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7、《体检报告》为甲方或甲方员工的个人隐私，除甲方指定的联络员或法律另有规定外，乙方不得向第三方提供涉及甲方或甲方受检人员的任何体检信息资料和体检报告内容。</w:t>
      </w:r>
    </w:p>
    <w:p w14:paraId="4361541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8、自体检结束之日起</w:t>
      </w:r>
      <w:r>
        <w:rPr>
          <w:rFonts w:hint="eastAsia" w:ascii="宋体" w:hAnsi="宋体" w:cs="宋体"/>
          <w:color w:val="auto"/>
          <w:szCs w:val="21"/>
          <w:highlight w:val="none"/>
          <w:u w:val="single"/>
        </w:rPr>
        <w:t xml:space="preserve"> 15 </w:t>
      </w:r>
      <w:r>
        <w:rPr>
          <w:rFonts w:hint="eastAsia" w:ascii="宋体" w:hAnsi="宋体" w:cs="宋体"/>
          <w:color w:val="auto"/>
          <w:szCs w:val="21"/>
          <w:highlight w:val="none"/>
        </w:rPr>
        <w:t>个工作日内，乙方将体检结果形成书面报告（个人体检报告、体检总结报告）。个人体检报告独立密封，由乙方或乙方指定联络员交付给甲方或甲方指定联络员。</w:t>
      </w:r>
    </w:p>
    <w:p w14:paraId="07E46C9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9、乙方为甲方职工（在职、离退休）建立职工体检健康档案，实行电脑化管理。</w:t>
      </w:r>
    </w:p>
    <w:p w14:paraId="6125F1EE">
      <w:pPr>
        <w:numPr>
          <w:ilvl w:val="0"/>
          <w:numId w:val="3"/>
        </w:numPr>
        <w:spacing w:line="360" w:lineRule="auto"/>
        <w:ind w:firstLine="480"/>
        <w:rPr>
          <w:rFonts w:ascii="宋体" w:hAnsi="宋体" w:cs="宋体"/>
          <w:b/>
          <w:bCs/>
          <w:color w:val="auto"/>
          <w:szCs w:val="21"/>
          <w:highlight w:val="none"/>
        </w:rPr>
      </w:pPr>
      <w:r>
        <w:rPr>
          <w:rFonts w:hint="eastAsia" w:ascii="宋体" w:hAnsi="宋体" w:cs="宋体"/>
          <w:b/>
          <w:bCs/>
          <w:color w:val="auto"/>
          <w:szCs w:val="21"/>
          <w:highlight w:val="none"/>
        </w:rPr>
        <w:t xml:space="preserve"> 服务承诺</w:t>
      </w:r>
    </w:p>
    <w:p w14:paraId="07BF2F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乙方应按照国家有关法律法规和本合同所附的《服务承诺》要求为甲方提供相应的服务。</w:t>
      </w:r>
    </w:p>
    <w:p w14:paraId="4C9F33C0">
      <w:pPr>
        <w:numPr>
          <w:ilvl w:val="0"/>
          <w:numId w:val="3"/>
        </w:numPr>
        <w:spacing w:line="360" w:lineRule="auto"/>
        <w:ind w:firstLine="480"/>
        <w:rPr>
          <w:rFonts w:ascii="宋体" w:hAnsi="宋体" w:cs="宋体"/>
          <w:b/>
          <w:bCs/>
          <w:color w:val="auto"/>
          <w:szCs w:val="21"/>
          <w:highlight w:val="none"/>
        </w:rPr>
      </w:pPr>
      <w:r>
        <w:rPr>
          <w:rFonts w:hint="eastAsia" w:ascii="宋体" w:hAnsi="宋体" w:cs="宋体"/>
          <w:b/>
          <w:bCs/>
          <w:color w:val="auto"/>
          <w:szCs w:val="21"/>
          <w:highlight w:val="none"/>
        </w:rPr>
        <w:t>付款方式</w:t>
      </w:r>
    </w:p>
    <w:p w14:paraId="129128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甲乙双方同意本合同金额的支付按以下第</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项约定执行：</w:t>
      </w:r>
    </w:p>
    <w:p w14:paraId="65CFDD09">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1、一次性支付：</w:t>
      </w:r>
      <w:r>
        <w:rPr>
          <w:rFonts w:hint="eastAsia" w:ascii="宋体" w:hAnsi="宋体"/>
          <w:bCs/>
          <w:color w:val="auto"/>
          <w:szCs w:val="21"/>
          <w:highlight w:val="none"/>
          <w:u w:val="single"/>
        </w:rPr>
        <w:t>甲方在收到完整版体检资料后，按双方确认的实际体检人数乘以乙方的最终成交单价结算体检费用，甲方在收到乙方开具发票的10个工作日内通过转账方式一次性支付体检费用款项给乙方。如未按国家要求开具发票或未按合同履约的，视为违约，甲方有权暂缓支付体检费用直至收到等额正式发票之日止，并不承担逾期付款的违约责任。如</w:t>
      </w:r>
      <w:r>
        <w:rPr>
          <w:rFonts w:hint="eastAsia" w:ascii="宋体" w:hAnsi="宋体"/>
          <w:color w:val="auto"/>
          <w:szCs w:val="21"/>
          <w:highlight w:val="none"/>
          <w:u w:val="single"/>
        </w:rPr>
        <w:t>造成法律规定的损害的，</w:t>
      </w:r>
      <w:r>
        <w:rPr>
          <w:rFonts w:hint="eastAsia" w:ascii="宋体" w:hAnsi="宋体"/>
          <w:bCs/>
          <w:color w:val="auto"/>
          <w:szCs w:val="21"/>
          <w:highlight w:val="none"/>
          <w:u w:val="single"/>
        </w:rPr>
        <w:t>甲方有权</w:t>
      </w:r>
      <w:r>
        <w:rPr>
          <w:rFonts w:hint="eastAsia" w:ascii="宋体" w:hAnsi="宋体"/>
          <w:bCs/>
          <w:color w:val="auto"/>
          <w:szCs w:val="21"/>
          <w:highlight w:val="none"/>
          <w:u w:val="single"/>
          <w:lang w:val="en-US" w:eastAsia="zh-CN"/>
        </w:rPr>
        <w:t>追究</w:t>
      </w:r>
      <w:r>
        <w:rPr>
          <w:rFonts w:hint="eastAsia" w:ascii="宋体" w:hAnsi="宋体"/>
          <w:bCs/>
          <w:color w:val="auto"/>
          <w:szCs w:val="21"/>
          <w:highlight w:val="none"/>
          <w:u w:val="single"/>
        </w:rPr>
        <w:t>乙方法律责任。</w:t>
      </w:r>
      <w:r>
        <w:rPr>
          <w:rFonts w:hint="eastAsia" w:ascii="宋体" w:hAnsi="宋体" w:cs="宋体"/>
          <w:color w:val="auto"/>
          <w:szCs w:val="21"/>
          <w:highlight w:val="none"/>
          <w:u w:val="single"/>
        </w:rPr>
        <w:t xml:space="preserve"> </w:t>
      </w:r>
    </w:p>
    <w:p w14:paraId="725F7F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2、分期支付：</w:t>
      </w:r>
      <w:r>
        <w:rPr>
          <w:rFonts w:hint="eastAsia" w:ascii="宋体" w:hAnsi="宋体" w:cs="宋体"/>
          <w:color w:val="auto"/>
          <w:szCs w:val="21"/>
          <w:highlight w:val="none"/>
          <w:u w:val="single"/>
        </w:rPr>
        <w:t xml:space="preserve">        /         </w:t>
      </w:r>
    </w:p>
    <w:p w14:paraId="54AA6A06">
      <w:pPr>
        <w:numPr>
          <w:ilvl w:val="0"/>
          <w:numId w:val="3"/>
        </w:numPr>
        <w:spacing w:line="360" w:lineRule="auto"/>
        <w:ind w:firstLine="480"/>
        <w:rPr>
          <w:rFonts w:ascii="宋体" w:hAnsi="宋体" w:cs="宋体"/>
          <w:color w:val="auto"/>
          <w:szCs w:val="21"/>
          <w:highlight w:val="none"/>
          <w:u w:val="single"/>
        </w:rPr>
      </w:pPr>
      <w:r>
        <w:rPr>
          <w:rFonts w:hint="eastAsia" w:ascii="宋体" w:hAnsi="宋体" w:cs="宋体"/>
          <w:b/>
          <w:bCs/>
          <w:color w:val="auto"/>
          <w:szCs w:val="21"/>
          <w:highlight w:val="none"/>
        </w:rPr>
        <w:t>履约保证金：</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u w:val="single"/>
        </w:rPr>
        <w:t xml:space="preserve">无 </w:t>
      </w:r>
    </w:p>
    <w:p w14:paraId="28B24804">
      <w:pPr>
        <w:numPr>
          <w:ilvl w:val="0"/>
          <w:numId w:val="3"/>
        </w:numPr>
        <w:spacing w:line="360" w:lineRule="auto"/>
        <w:ind w:firstLine="480"/>
        <w:rPr>
          <w:rFonts w:ascii="宋体" w:hAnsi="宋体" w:cs="宋体"/>
          <w:b/>
          <w:bCs/>
          <w:color w:val="auto"/>
          <w:szCs w:val="21"/>
          <w:highlight w:val="none"/>
        </w:rPr>
      </w:pPr>
      <w:r>
        <w:rPr>
          <w:rFonts w:hint="eastAsia" w:ascii="宋体" w:hAnsi="宋体" w:cs="宋体"/>
          <w:b/>
          <w:bCs/>
          <w:color w:val="auto"/>
          <w:szCs w:val="21"/>
          <w:highlight w:val="none"/>
        </w:rPr>
        <w:t>税费</w:t>
      </w:r>
    </w:p>
    <w:p w14:paraId="5A8181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35442B0E">
      <w:pPr>
        <w:numPr>
          <w:ilvl w:val="0"/>
          <w:numId w:val="3"/>
        </w:numPr>
        <w:spacing w:line="360" w:lineRule="auto"/>
        <w:ind w:firstLine="480"/>
        <w:rPr>
          <w:rFonts w:ascii="宋体" w:hAnsi="宋体" w:cs="宋体"/>
          <w:b/>
          <w:bCs/>
          <w:color w:val="auto"/>
          <w:szCs w:val="21"/>
          <w:highlight w:val="none"/>
        </w:rPr>
      </w:pPr>
      <w:r>
        <w:rPr>
          <w:rFonts w:hint="eastAsia" w:ascii="宋体" w:hAnsi="宋体" w:cs="宋体"/>
          <w:b/>
          <w:bCs/>
          <w:color w:val="auto"/>
          <w:szCs w:val="21"/>
          <w:highlight w:val="none"/>
        </w:rPr>
        <w:t>违约责任</w:t>
      </w:r>
    </w:p>
    <w:p w14:paraId="13347DEC">
      <w:pPr>
        <w:spacing w:line="440" w:lineRule="exact"/>
        <w:ind w:firstLine="540"/>
        <w:rPr>
          <w:rFonts w:ascii="宋体" w:hAnsi="宋体" w:cs="宋体"/>
          <w:color w:val="auto"/>
          <w:szCs w:val="21"/>
          <w:highlight w:val="none"/>
        </w:rPr>
      </w:pPr>
      <w:r>
        <w:rPr>
          <w:rFonts w:hint="eastAsia" w:ascii="宋体" w:hAnsi="宋体" w:cs="宋体"/>
          <w:color w:val="auto"/>
          <w:szCs w:val="21"/>
          <w:highlight w:val="none"/>
        </w:rPr>
        <w:t>1、乙方在履行本合同过程中存在重大过错，被确定为医疗事故的，应当依法承担赔偿责任。该行为属于严重违约，甲方有权解除本合同并要求乙方按合同金额</w:t>
      </w:r>
      <w:r>
        <w:rPr>
          <w:rFonts w:hint="eastAsia" w:ascii="宋体" w:hAnsi="宋体" w:cs="宋体"/>
          <w:color w:val="auto"/>
          <w:szCs w:val="21"/>
          <w:highlight w:val="none"/>
          <w:u w:val="single"/>
        </w:rPr>
        <w:t xml:space="preserve"> 20 </w:t>
      </w:r>
      <w:r>
        <w:rPr>
          <w:rFonts w:hint="eastAsia" w:ascii="宋体" w:hAnsi="宋体" w:cs="宋体"/>
          <w:color w:val="auto"/>
          <w:szCs w:val="21"/>
          <w:highlight w:val="none"/>
        </w:rPr>
        <w:t>%支付违约金。</w:t>
      </w:r>
    </w:p>
    <w:p w14:paraId="5FCF854C">
      <w:pPr>
        <w:spacing w:line="440" w:lineRule="exact"/>
        <w:ind w:firstLine="540"/>
        <w:rPr>
          <w:rFonts w:ascii="宋体" w:hAnsi="宋体" w:cs="宋体"/>
          <w:color w:val="auto"/>
          <w:szCs w:val="21"/>
          <w:highlight w:val="none"/>
        </w:rPr>
      </w:pPr>
      <w:r>
        <w:rPr>
          <w:rFonts w:hint="eastAsia" w:ascii="宋体" w:hAnsi="宋体" w:cs="宋体"/>
          <w:color w:val="auto"/>
          <w:szCs w:val="21"/>
          <w:highlight w:val="none"/>
        </w:rPr>
        <w:t>2、由于甲方不能提供适宜的工作条件或不能积极配合乙方的工作而使乙方无法正常开展工作造成损失的，甲方应赔偿乙方相应的损失。</w:t>
      </w:r>
    </w:p>
    <w:p w14:paraId="3739A826">
      <w:pPr>
        <w:spacing w:line="440" w:lineRule="exact"/>
        <w:ind w:firstLine="540"/>
        <w:rPr>
          <w:rFonts w:ascii="宋体" w:hAnsi="宋体" w:cs="宋体"/>
          <w:color w:val="auto"/>
          <w:szCs w:val="21"/>
          <w:highlight w:val="none"/>
        </w:rPr>
      </w:pPr>
      <w:r>
        <w:rPr>
          <w:rFonts w:hint="eastAsia" w:ascii="宋体" w:hAnsi="宋体" w:cs="宋体"/>
          <w:color w:val="auto"/>
          <w:szCs w:val="21"/>
          <w:highlight w:val="none"/>
        </w:rPr>
        <w:t>3、甲方未按照本合同约定的时间支付体检费的，除应当继续负有支付体检费的责任外，还应当承担按照逾期支付总金额每日万分之五的数额向乙方支付违约金的责任。</w:t>
      </w:r>
    </w:p>
    <w:p w14:paraId="39F49717">
      <w:pPr>
        <w:spacing w:line="440" w:lineRule="exact"/>
        <w:ind w:firstLine="540"/>
        <w:rPr>
          <w:rFonts w:ascii="宋体" w:hAnsi="宋体" w:cs="宋体"/>
          <w:color w:val="auto"/>
          <w:szCs w:val="21"/>
          <w:highlight w:val="none"/>
        </w:rPr>
      </w:pPr>
      <w:r>
        <w:rPr>
          <w:rFonts w:hint="eastAsia" w:ascii="宋体" w:hAnsi="宋体" w:cs="宋体"/>
          <w:color w:val="auto"/>
          <w:szCs w:val="21"/>
          <w:highlight w:val="none"/>
        </w:rPr>
        <w:t>4、乙方逾期</w:t>
      </w:r>
      <w:r>
        <w:rPr>
          <w:rFonts w:hint="eastAsia" w:ascii="宋体" w:hAnsi="宋体" w:cs="宋体"/>
          <w:color w:val="auto"/>
          <w:szCs w:val="21"/>
          <w:highlight w:val="none"/>
          <w:u w:val="single"/>
        </w:rPr>
        <w:t xml:space="preserve"> 5 </w:t>
      </w:r>
      <w:r>
        <w:rPr>
          <w:rFonts w:hint="eastAsia" w:ascii="宋体" w:hAnsi="宋体" w:cs="宋体"/>
          <w:color w:val="auto"/>
          <w:szCs w:val="21"/>
          <w:highlight w:val="none"/>
        </w:rPr>
        <w:t>天提供体检服务或提供体检服务不符合合同约定、体检服务质量不符合国家、行业标准的，乙方已收取的体检费应当退回并应按合同金额</w:t>
      </w:r>
      <w:r>
        <w:rPr>
          <w:rFonts w:hint="eastAsia" w:ascii="宋体" w:hAnsi="宋体" w:cs="宋体"/>
          <w:color w:val="auto"/>
          <w:szCs w:val="21"/>
          <w:highlight w:val="none"/>
          <w:u w:val="single"/>
        </w:rPr>
        <w:t xml:space="preserve"> 10 </w:t>
      </w:r>
      <w:r>
        <w:rPr>
          <w:rFonts w:hint="eastAsia" w:ascii="宋体" w:hAnsi="宋体" w:cs="宋体"/>
          <w:color w:val="auto"/>
          <w:szCs w:val="21"/>
          <w:highlight w:val="none"/>
        </w:rPr>
        <w:t>%向甲方支付违约金。</w:t>
      </w:r>
    </w:p>
    <w:p w14:paraId="77552CA9">
      <w:pPr>
        <w:spacing w:line="440" w:lineRule="exact"/>
        <w:ind w:firstLine="540"/>
        <w:rPr>
          <w:color w:val="auto"/>
          <w:highlight w:val="none"/>
        </w:rPr>
      </w:pPr>
      <w:r>
        <w:rPr>
          <w:rFonts w:hint="eastAsia" w:ascii="宋体" w:hAnsi="宋体" w:cs="宋体"/>
          <w:color w:val="auto"/>
          <w:szCs w:val="21"/>
          <w:highlight w:val="none"/>
        </w:rPr>
        <w:t>5、任何一方违约，最终导致仲裁的，违约方的赔偿责任包括但不限于：支付违约金、赔偿损失、提起仲裁产生的仲裁费、律师费、财产保全费、诉讼财产保全责任保险费、鉴定费、评估费、差旅费等相关费用。</w:t>
      </w:r>
    </w:p>
    <w:p w14:paraId="199F5166">
      <w:pPr>
        <w:numPr>
          <w:ilvl w:val="0"/>
          <w:numId w:val="3"/>
        </w:numPr>
        <w:spacing w:line="360" w:lineRule="auto"/>
        <w:ind w:firstLine="480"/>
        <w:rPr>
          <w:rFonts w:ascii="宋体" w:hAnsi="宋体" w:cs="宋体"/>
          <w:b/>
          <w:bCs/>
          <w:color w:val="auto"/>
          <w:szCs w:val="21"/>
          <w:highlight w:val="none"/>
        </w:rPr>
      </w:pPr>
      <w:r>
        <w:rPr>
          <w:rFonts w:hint="eastAsia" w:ascii="宋体" w:hAnsi="宋体" w:cs="宋体"/>
          <w:b/>
          <w:bCs/>
          <w:color w:val="auto"/>
          <w:szCs w:val="21"/>
          <w:highlight w:val="none"/>
        </w:rPr>
        <w:t>不可抗力事件处理</w:t>
      </w:r>
    </w:p>
    <w:p w14:paraId="10026F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4871CE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510240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3、不可抗力事件延续一百二十天以上，双方应通过友好协商，确定是否继续履行合同。若双方协商解除合同，则甲方应当按照乙方实际工作量进行结算。</w:t>
      </w:r>
    </w:p>
    <w:p w14:paraId="5E6B5AAA">
      <w:pPr>
        <w:numPr>
          <w:ilvl w:val="0"/>
          <w:numId w:val="3"/>
        </w:numPr>
        <w:spacing w:line="360" w:lineRule="auto"/>
        <w:ind w:firstLine="480"/>
        <w:rPr>
          <w:rFonts w:ascii="宋体" w:hAnsi="宋体" w:cs="宋体"/>
          <w:b/>
          <w:bCs/>
          <w:color w:val="auto"/>
          <w:szCs w:val="21"/>
          <w:highlight w:val="none"/>
        </w:rPr>
      </w:pPr>
      <w:r>
        <w:rPr>
          <w:rFonts w:hint="eastAsia" w:ascii="宋体" w:hAnsi="宋体" w:cs="宋体"/>
          <w:b/>
          <w:bCs/>
          <w:color w:val="auto"/>
          <w:szCs w:val="21"/>
          <w:highlight w:val="none"/>
        </w:rPr>
        <w:t xml:space="preserve"> 合同争议解决</w:t>
      </w:r>
    </w:p>
    <w:p w14:paraId="57821E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1、因履行本合同引起的或者与本合同有关的争议，甲乙双方应首先通过友好协商解决，如果协商不能解决，可向甲方所在地有管辖权的人民法院提起诉讼。</w:t>
      </w:r>
    </w:p>
    <w:p w14:paraId="35E364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2、诉讼期间，本合同继续履行。</w:t>
      </w:r>
    </w:p>
    <w:p w14:paraId="6F9EE243">
      <w:pPr>
        <w:numPr>
          <w:ilvl w:val="0"/>
          <w:numId w:val="3"/>
        </w:numPr>
        <w:spacing w:line="360" w:lineRule="auto"/>
        <w:ind w:firstLine="480"/>
        <w:rPr>
          <w:rFonts w:ascii="宋体" w:hAnsi="宋体" w:cs="宋体"/>
          <w:b/>
          <w:bCs/>
          <w:color w:val="auto"/>
          <w:szCs w:val="21"/>
          <w:highlight w:val="none"/>
        </w:rPr>
      </w:pPr>
      <w:r>
        <w:rPr>
          <w:rFonts w:hint="eastAsia" w:ascii="宋体" w:hAnsi="宋体" w:cs="宋体"/>
          <w:b/>
          <w:bCs/>
          <w:color w:val="auto"/>
          <w:szCs w:val="21"/>
          <w:highlight w:val="none"/>
        </w:rPr>
        <w:t>合同生效及其他</w:t>
      </w:r>
    </w:p>
    <w:p w14:paraId="3D5B23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1、合同经双方法定代表人或者授权代表签字并加盖单位公章后生效（委托代理人签字的需后附法定代表人授权委托书，格式自拟）。</w:t>
      </w:r>
    </w:p>
    <w:p w14:paraId="6C761B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2、本合同未尽事宜，遵照《中华人民共和国民法典》有关条文执行。 </w:t>
      </w:r>
    </w:p>
    <w:p w14:paraId="0A0D5038">
      <w:pPr>
        <w:numPr>
          <w:ilvl w:val="0"/>
          <w:numId w:val="3"/>
        </w:numPr>
        <w:spacing w:line="360" w:lineRule="auto"/>
        <w:ind w:firstLine="480"/>
        <w:rPr>
          <w:rFonts w:ascii="宋体" w:hAnsi="宋体" w:cs="宋体"/>
          <w:b/>
          <w:bCs/>
          <w:color w:val="auto"/>
          <w:szCs w:val="21"/>
          <w:highlight w:val="none"/>
        </w:rPr>
      </w:pPr>
      <w:r>
        <w:rPr>
          <w:rFonts w:hint="eastAsia" w:ascii="宋体" w:hAnsi="宋体" w:cs="宋体"/>
          <w:b/>
          <w:bCs/>
          <w:color w:val="auto"/>
          <w:szCs w:val="21"/>
          <w:highlight w:val="none"/>
        </w:rPr>
        <w:t>合同的变更、终止与转让</w:t>
      </w:r>
    </w:p>
    <w:p w14:paraId="3BCB18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14:paraId="796D8F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7B34D17F">
      <w:pPr>
        <w:numPr>
          <w:ilvl w:val="0"/>
          <w:numId w:val="3"/>
        </w:numPr>
        <w:spacing w:line="360" w:lineRule="auto"/>
        <w:ind w:firstLine="480"/>
        <w:rPr>
          <w:rFonts w:ascii="宋体" w:hAnsi="宋体" w:cs="宋体"/>
          <w:b/>
          <w:bCs/>
          <w:color w:val="auto"/>
          <w:szCs w:val="21"/>
          <w:highlight w:val="none"/>
        </w:rPr>
      </w:pPr>
      <w:r>
        <w:rPr>
          <w:rFonts w:hint="eastAsia" w:ascii="宋体" w:hAnsi="宋体" w:cs="宋体"/>
          <w:b/>
          <w:bCs/>
          <w:color w:val="auto"/>
          <w:szCs w:val="21"/>
          <w:highlight w:val="none"/>
        </w:rPr>
        <w:t>签订本合同依据</w:t>
      </w:r>
    </w:p>
    <w:p w14:paraId="3455E8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1、成交通知书；</w:t>
      </w:r>
    </w:p>
    <w:p w14:paraId="5EC932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2、竞标报价表（含最后报价）；</w:t>
      </w:r>
    </w:p>
    <w:p w14:paraId="679CF7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3、商务条款偏离表和技术需求偏离表；</w:t>
      </w:r>
    </w:p>
    <w:p w14:paraId="0BD525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4、服务承诺；</w:t>
      </w:r>
    </w:p>
    <w:p w14:paraId="0B14E7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5、响应文件中的其他相关文件；</w:t>
      </w:r>
    </w:p>
    <w:p w14:paraId="3BF663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6、上述合同文件互相补充和解释。如果合同文件之间存在矛盾或者不一致之处，以上述文件的排列顺序在先者为准。</w:t>
      </w:r>
    </w:p>
    <w:p w14:paraId="76605663">
      <w:pPr>
        <w:numPr>
          <w:ilvl w:val="0"/>
          <w:numId w:val="3"/>
        </w:numPr>
        <w:spacing w:line="360" w:lineRule="auto"/>
        <w:ind w:firstLine="480"/>
        <w:rPr>
          <w:rFonts w:ascii="宋体" w:hAnsi="宋体" w:cs="宋体"/>
          <w:color w:val="auto"/>
          <w:szCs w:val="21"/>
          <w:highlight w:val="none"/>
        </w:rPr>
      </w:pPr>
    </w:p>
    <w:p w14:paraId="68DF11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本合同一式五份，具有同等法律效力，采购代理机构一份，甲乙双方各二份，具有同等法律效力。</w:t>
      </w:r>
    </w:p>
    <w:p w14:paraId="50B98B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本合同自签订之日起2个工作日内，甲方或采购代理机构应当将采购合同在广西壮族自治区财政厅指定的媒体上公告。</w:t>
      </w:r>
    </w:p>
    <w:tbl>
      <w:tblPr>
        <w:tblStyle w:val="33"/>
        <w:tblW w:w="0" w:type="auto"/>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6"/>
        <w:gridCol w:w="4453"/>
      </w:tblGrid>
      <w:tr w14:paraId="253B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3" w:hRule="atLeast"/>
        </w:trPr>
        <w:tc>
          <w:tcPr>
            <w:tcW w:w="4792" w:type="dxa"/>
            <w:tcBorders>
              <w:top w:val="single" w:color="auto" w:sz="12" w:space="0"/>
              <w:left w:val="single" w:color="auto" w:sz="12" w:space="0"/>
            </w:tcBorders>
          </w:tcPr>
          <w:p w14:paraId="7929C500">
            <w:pPr>
              <w:rPr>
                <w:rFonts w:ascii="宋体" w:hAnsi="宋体" w:cs="宋体"/>
                <w:color w:val="auto"/>
                <w:szCs w:val="21"/>
                <w:highlight w:val="none"/>
              </w:rPr>
            </w:pPr>
          </w:p>
          <w:p w14:paraId="52779BD7">
            <w:pPr>
              <w:rPr>
                <w:rFonts w:ascii="宋体" w:hAnsi="宋体" w:cs="宋体"/>
                <w:color w:val="auto"/>
                <w:szCs w:val="21"/>
                <w:highlight w:val="none"/>
              </w:rPr>
            </w:pPr>
            <w:r>
              <w:rPr>
                <w:rFonts w:hint="eastAsia" w:ascii="宋体" w:hAnsi="宋体" w:cs="宋体"/>
                <w:color w:val="auto"/>
                <w:szCs w:val="21"/>
                <w:highlight w:val="none"/>
              </w:rPr>
              <w:t>甲方：（章）</w:t>
            </w:r>
          </w:p>
          <w:p w14:paraId="51A27746">
            <w:pPr>
              <w:rPr>
                <w:rFonts w:ascii="宋体" w:hAnsi="宋体" w:cs="宋体"/>
                <w:color w:val="auto"/>
                <w:szCs w:val="21"/>
                <w:highlight w:val="none"/>
              </w:rPr>
            </w:pPr>
          </w:p>
          <w:p w14:paraId="60C68F0C">
            <w:pPr>
              <w:rPr>
                <w:rFonts w:ascii="宋体" w:hAnsi="宋体" w:cs="宋体"/>
                <w:color w:val="auto"/>
                <w:szCs w:val="21"/>
                <w:highlight w:val="none"/>
              </w:rPr>
            </w:pPr>
          </w:p>
          <w:p w14:paraId="3C6A984D">
            <w:pPr>
              <w:rPr>
                <w:rFonts w:ascii="宋体" w:hAnsi="宋体" w:cs="宋体"/>
                <w:color w:val="auto"/>
                <w:szCs w:val="21"/>
                <w:highlight w:val="none"/>
              </w:rPr>
            </w:pPr>
            <w:r>
              <w:rPr>
                <w:rFonts w:hint="eastAsia" w:ascii="宋体" w:hAnsi="宋体" w:cs="宋体"/>
                <w:color w:val="auto"/>
                <w:szCs w:val="21"/>
                <w:highlight w:val="none"/>
              </w:rPr>
              <w:t xml:space="preserve">                        年   月    日</w:t>
            </w:r>
          </w:p>
        </w:tc>
        <w:tc>
          <w:tcPr>
            <w:tcW w:w="4467" w:type="dxa"/>
            <w:tcBorders>
              <w:top w:val="single" w:color="auto" w:sz="12" w:space="0"/>
              <w:right w:val="single" w:color="auto" w:sz="12" w:space="0"/>
            </w:tcBorders>
          </w:tcPr>
          <w:p w14:paraId="60618CC0">
            <w:pPr>
              <w:rPr>
                <w:rFonts w:ascii="宋体" w:hAnsi="宋体" w:cs="宋体"/>
                <w:color w:val="auto"/>
                <w:szCs w:val="21"/>
                <w:highlight w:val="none"/>
              </w:rPr>
            </w:pPr>
          </w:p>
          <w:p w14:paraId="1961863B">
            <w:pPr>
              <w:rPr>
                <w:rFonts w:ascii="宋体" w:hAnsi="宋体" w:cs="宋体"/>
                <w:color w:val="auto"/>
                <w:szCs w:val="21"/>
                <w:highlight w:val="none"/>
              </w:rPr>
            </w:pPr>
            <w:r>
              <w:rPr>
                <w:rFonts w:hint="eastAsia" w:ascii="宋体" w:hAnsi="宋体" w:cs="宋体"/>
                <w:color w:val="auto"/>
                <w:szCs w:val="21"/>
                <w:highlight w:val="none"/>
              </w:rPr>
              <w:t>乙方：（章）</w:t>
            </w:r>
          </w:p>
          <w:p w14:paraId="4D674F2A">
            <w:pPr>
              <w:rPr>
                <w:rFonts w:ascii="宋体" w:hAnsi="宋体" w:cs="宋体"/>
                <w:color w:val="auto"/>
                <w:szCs w:val="21"/>
                <w:highlight w:val="none"/>
              </w:rPr>
            </w:pPr>
          </w:p>
          <w:p w14:paraId="0F54CDE9">
            <w:pPr>
              <w:rPr>
                <w:rFonts w:ascii="宋体" w:hAnsi="宋体" w:cs="宋体"/>
                <w:color w:val="auto"/>
                <w:szCs w:val="21"/>
                <w:highlight w:val="none"/>
              </w:rPr>
            </w:pPr>
          </w:p>
          <w:p w14:paraId="436C1A58">
            <w:pPr>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2144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2" w:type="dxa"/>
            <w:tcBorders>
              <w:left w:val="single" w:color="auto" w:sz="12" w:space="0"/>
            </w:tcBorders>
            <w:vAlign w:val="center"/>
          </w:tcPr>
          <w:p w14:paraId="73B96082">
            <w:pPr>
              <w:rPr>
                <w:rFonts w:ascii="宋体" w:hAnsi="宋体" w:cs="宋体"/>
                <w:color w:val="auto"/>
                <w:szCs w:val="21"/>
                <w:highlight w:val="none"/>
              </w:rPr>
            </w:pPr>
            <w:r>
              <w:rPr>
                <w:rFonts w:hint="eastAsia" w:ascii="宋体" w:hAnsi="宋体" w:cs="宋体"/>
                <w:color w:val="auto"/>
                <w:szCs w:val="21"/>
                <w:highlight w:val="none"/>
              </w:rPr>
              <w:t>单位地址：</w:t>
            </w:r>
          </w:p>
        </w:tc>
        <w:tc>
          <w:tcPr>
            <w:tcW w:w="4467" w:type="dxa"/>
            <w:tcBorders>
              <w:right w:val="single" w:color="auto" w:sz="12" w:space="0"/>
            </w:tcBorders>
            <w:vAlign w:val="center"/>
          </w:tcPr>
          <w:p w14:paraId="29B85FED">
            <w:pPr>
              <w:rPr>
                <w:rFonts w:ascii="宋体" w:hAnsi="宋体" w:cs="宋体"/>
                <w:color w:val="auto"/>
                <w:szCs w:val="21"/>
                <w:highlight w:val="none"/>
              </w:rPr>
            </w:pPr>
            <w:r>
              <w:rPr>
                <w:rFonts w:hint="eastAsia" w:ascii="宋体" w:hAnsi="宋体" w:cs="宋体"/>
                <w:color w:val="auto"/>
                <w:szCs w:val="21"/>
                <w:highlight w:val="none"/>
              </w:rPr>
              <w:t>单位地址：</w:t>
            </w:r>
          </w:p>
        </w:tc>
      </w:tr>
      <w:tr w14:paraId="625EF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2" w:type="dxa"/>
            <w:tcBorders>
              <w:left w:val="single" w:color="auto" w:sz="12" w:space="0"/>
            </w:tcBorders>
            <w:vAlign w:val="center"/>
          </w:tcPr>
          <w:p w14:paraId="68AA3D8D">
            <w:pPr>
              <w:rPr>
                <w:rFonts w:ascii="宋体" w:hAnsi="宋体" w:cs="宋体"/>
                <w:color w:val="auto"/>
                <w:szCs w:val="21"/>
                <w:highlight w:val="none"/>
              </w:rPr>
            </w:pPr>
            <w:r>
              <w:rPr>
                <w:rFonts w:hint="eastAsia" w:ascii="宋体" w:hAnsi="宋体" w:cs="宋体"/>
                <w:color w:val="auto"/>
                <w:szCs w:val="21"/>
                <w:highlight w:val="none"/>
              </w:rPr>
              <w:t>法定代表人：</w:t>
            </w:r>
          </w:p>
        </w:tc>
        <w:tc>
          <w:tcPr>
            <w:tcW w:w="4467" w:type="dxa"/>
            <w:tcBorders>
              <w:right w:val="single" w:color="auto" w:sz="12" w:space="0"/>
            </w:tcBorders>
            <w:vAlign w:val="center"/>
          </w:tcPr>
          <w:p w14:paraId="66082ACE">
            <w:pPr>
              <w:rPr>
                <w:rFonts w:ascii="宋体" w:hAnsi="宋体" w:cs="宋体"/>
                <w:color w:val="auto"/>
                <w:szCs w:val="21"/>
                <w:highlight w:val="none"/>
              </w:rPr>
            </w:pPr>
            <w:r>
              <w:rPr>
                <w:rFonts w:hint="eastAsia" w:ascii="宋体" w:hAnsi="宋体" w:cs="宋体"/>
                <w:color w:val="auto"/>
                <w:szCs w:val="21"/>
                <w:highlight w:val="none"/>
              </w:rPr>
              <w:t>法定代表人：</w:t>
            </w:r>
          </w:p>
        </w:tc>
      </w:tr>
      <w:tr w14:paraId="1207E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2" w:type="dxa"/>
            <w:tcBorders>
              <w:left w:val="single" w:color="auto" w:sz="12" w:space="0"/>
            </w:tcBorders>
            <w:vAlign w:val="center"/>
          </w:tcPr>
          <w:p w14:paraId="7189E798">
            <w:pPr>
              <w:rPr>
                <w:rFonts w:ascii="宋体" w:hAnsi="宋体" w:cs="宋体"/>
                <w:color w:val="auto"/>
                <w:szCs w:val="21"/>
                <w:highlight w:val="none"/>
              </w:rPr>
            </w:pPr>
            <w:r>
              <w:rPr>
                <w:rFonts w:hint="eastAsia" w:ascii="宋体" w:hAnsi="宋体" w:cs="宋体"/>
                <w:color w:val="auto"/>
                <w:szCs w:val="21"/>
                <w:highlight w:val="none"/>
              </w:rPr>
              <w:t>委托代理人：</w:t>
            </w:r>
          </w:p>
        </w:tc>
        <w:tc>
          <w:tcPr>
            <w:tcW w:w="4467" w:type="dxa"/>
            <w:tcBorders>
              <w:right w:val="single" w:color="auto" w:sz="12" w:space="0"/>
            </w:tcBorders>
            <w:vAlign w:val="center"/>
          </w:tcPr>
          <w:p w14:paraId="5286A229">
            <w:pPr>
              <w:rPr>
                <w:rFonts w:ascii="宋体" w:hAnsi="宋体" w:cs="宋体"/>
                <w:color w:val="auto"/>
                <w:szCs w:val="21"/>
                <w:highlight w:val="none"/>
              </w:rPr>
            </w:pPr>
            <w:r>
              <w:rPr>
                <w:rFonts w:hint="eastAsia" w:ascii="宋体" w:hAnsi="宋体" w:cs="宋体"/>
                <w:color w:val="auto"/>
                <w:szCs w:val="21"/>
                <w:highlight w:val="none"/>
              </w:rPr>
              <w:t>委托代理人：</w:t>
            </w:r>
          </w:p>
        </w:tc>
      </w:tr>
      <w:tr w14:paraId="3DD77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2" w:type="dxa"/>
            <w:tcBorders>
              <w:left w:val="single" w:color="auto" w:sz="12" w:space="0"/>
            </w:tcBorders>
            <w:vAlign w:val="center"/>
          </w:tcPr>
          <w:p w14:paraId="543A5D23">
            <w:pPr>
              <w:rPr>
                <w:rFonts w:ascii="宋体" w:hAnsi="宋体" w:cs="宋体"/>
                <w:color w:val="auto"/>
                <w:szCs w:val="21"/>
                <w:highlight w:val="none"/>
              </w:rPr>
            </w:pPr>
            <w:r>
              <w:rPr>
                <w:rFonts w:hint="eastAsia" w:ascii="宋体" w:hAnsi="宋体" w:cs="宋体"/>
                <w:color w:val="auto"/>
                <w:szCs w:val="21"/>
                <w:highlight w:val="none"/>
              </w:rPr>
              <w:t>电话：</w:t>
            </w:r>
          </w:p>
        </w:tc>
        <w:tc>
          <w:tcPr>
            <w:tcW w:w="4467" w:type="dxa"/>
            <w:tcBorders>
              <w:right w:val="single" w:color="auto" w:sz="12" w:space="0"/>
            </w:tcBorders>
            <w:vAlign w:val="center"/>
          </w:tcPr>
          <w:p w14:paraId="5E13EF7D">
            <w:pPr>
              <w:rPr>
                <w:rFonts w:ascii="宋体" w:hAnsi="宋体" w:cs="宋体"/>
                <w:color w:val="auto"/>
                <w:szCs w:val="21"/>
                <w:highlight w:val="none"/>
              </w:rPr>
            </w:pPr>
            <w:r>
              <w:rPr>
                <w:rFonts w:hint="eastAsia" w:ascii="宋体" w:hAnsi="宋体" w:cs="宋体"/>
                <w:color w:val="auto"/>
                <w:szCs w:val="21"/>
                <w:highlight w:val="none"/>
              </w:rPr>
              <w:t>电话：</w:t>
            </w:r>
          </w:p>
        </w:tc>
      </w:tr>
      <w:tr w14:paraId="07EC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2" w:type="dxa"/>
            <w:tcBorders>
              <w:left w:val="single" w:color="auto" w:sz="12" w:space="0"/>
            </w:tcBorders>
            <w:vAlign w:val="center"/>
          </w:tcPr>
          <w:p w14:paraId="0F116B08">
            <w:pPr>
              <w:rPr>
                <w:rFonts w:ascii="宋体" w:hAnsi="宋体" w:cs="宋体"/>
                <w:color w:val="auto"/>
                <w:szCs w:val="21"/>
                <w:highlight w:val="none"/>
              </w:rPr>
            </w:pPr>
            <w:r>
              <w:rPr>
                <w:rFonts w:hint="eastAsia" w:ascii="宋体" w:hAnsi="宋体" w:cs="宋体"/>
                <w:color w:val="auto"/>
                <w:szCs w:val="21"/>
                <w:highlight w:val="none"/>
              </w:rPr>
              <w:t>开户银行：</w:t>
            </w:r>
          </w:p>
        </w:tc>
        <w:tc>
          <w:tcPr>
            <w:tcW w:w="4467" w:type="dxa"/>
            <w:tcBorders>
              <w:right w:val="single" w:color="auto" w:sz="12" w:space="0"/>
            </w:tcBorders>
            <w:vAlign w:val="center"/>
          </w:tcPr>
          <w:p w14:paraId="2A43D917">
            <w:pPr>
              <w:rPr>
                <w:rFonts w:ascii="宋体" w:hAnsi="宋体" w:cs="宋体"/>
                <w:color w:val="auto"/>
                <w:szCs w:val="21"/>
                <w:highlight w:val="none"/>
              </w:rPr>
            </w:pPr>
            <w:r>
              <w:rPr>
                <w:rFonts w:hint="eastAsia" w:ascii="宋体" w:hAnsi="宋体" w:cs="宋体"/>
                <w:color w:val="auto"/>
                <w:szCs w:val="21"/>
                <w:highlight w:val="none"/>
              </w:rPr>
              <w:t>开户银行：</w:t>
            </w:r>
          </w:p>
        </w:tc>
      </w:tr>
      <w:tr w14:paraId="42902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2" w:type="dxa"/>
            <w:tcBorders>
              <w:left w:val="single" w:color="auto" w:sz="12" w:space="0"/>
            </w:tcBorders>
            <w:vAlign w:val="center"/>
          </w:tcPr>
          <w:p w14:paraId="0638AA11">
            <w:pPr>
              <w:rPr>
                <w:rFonts w:ascii="宋体" w:hAnsi="宋体" w:cs="宋体"/>
                <w:color w:val="auto"/>
                <w:szCs w:val="21"/>
                <w:highlight w:val="none"/>
              </w:rPr>
            </w:pPr>
            <w:r>
              <w:rPr>
                <w:rFonts w:hint="eastAsia" w:ascii="宋体" w:hAnsi="宋体" w:cs="宋体"/>
                <w:color w:val="auto"/>
                <w:szCs w:val="21"/>
                <w:highlight w:val="none"/>
              </w:rPr>
              <w:t>账号：</w:t>
            </w:r>
          </w:p>
        </w:tc>
        <w:tc>
          <w:tcPr>
            <w:tcW w:w="4467" w:type="dxa"/>
            <w:tcBorders>
              <w:right w:val="single" w:color="auto" w:sz="12" w:space="0"/>
            </w:tcBorders>
            <w:vAlign w:val="center"/>
          </w:tcPr>
          <w:p w14:paraId="46E10BD7">
            <w:pPr>
              <w:rPr>
                <w:rFonts w:ascii="宋体" w:hAnsi="宋体" w:cs="宋体"/>
                <w:color w:val="auto"/>
                <w:szCs w:val="21"/>
                <w:highlight w:val="none"/>
              </w:rPr>
            </w:pPr>
            <w:r>
              <w:rPr>
                <w:rFonts w:hint="eastAsia" w:ascii="宋体" w:hAnsi="宋体" w:cs="宋体"/>
                <w:color w:val="auto"/>
                <w:szCs w:val="21"/>
                <w:highlight w:val="none"/>
              </w:rPr>
              <w:t>账号：</w:t>
            </w:r>
          </w:p>
        </w:tc>
      </w:tr>
      <w:tr w14:paraId="3B83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2" w:type="dxa"/>
            <w:tcBorders>
              <w:left w:val="single" w:color="auto" w:sz="12" w:space="0"/>
              <w:bottom w:val="single" w:color="auto" w:sz="12" w:space="0"/>
            </w:tcBorders>
            <w:vAlign w:val="center"/>
          </w:tcPr>
          <w:p w14:paraId="2EB86520">
            <w:pPr>
              <w:rPr>
                <w:rFonts w:ascii="宋体" w:hAnsi="宋体" w:cs="宋体"/>
                <w:color w:val="auto"/>
                <w:szCs w:val="21"/>
                <w:highlight w:val="none"/>
              </w:rPr>
            </w:pPr>
            <w:r>
              <w:rPr>
                <w:rFonts w:hint="eastAsia" w:ascii="宋体" w:hAnsi="宋体" w:cs="宋体"/>
                <w:color w:val="auto"/>
                <w:szCs w:val="21"/>
                <w:highlight w:val="none"/>
              </w:rPr>
              <w:t>邮政编码：</w:t>
            </w:r>
          </w:p>
        </w:tc>
        <w:tc>
          <w:tcPr>
            <w:tcW w:w="4467" w:type="dxa"/>
            <w:tcBorders>
              <w:bottom w:val="single" w:color="auto" w:sz="12" w:space="0"/>
              <w:right w:val="single" w:color="auto" w:sz="12" w:space="0"/>
            </w:tcBorders>
            <w:vAlign w:val="center"/>
          </w:tcPr>
          <w:p w14:paraId="730C576F">
            <w:pPr>
              <w:rPr>
                <w:rFonts w:ascii="宋体" w:hAnsi="宋体" w:cs="宋体"/>
                <w:color w:val="auto"/>
                <w:szCs w:val="21"/>
                <w:highlight w:val="none"/>
              </w:rPr>
            </w:pPr>
            <w:r>
              <w:rPr>
                <w:rFonts w:hint="eastAsia" w:ascii="宋体" w:hAnsi="宋体" w:cs="宋体"/>
                <w:color w:val="auto"/>
                <w:szCs w:val="21"/>
                <w:highlight w:val="none"/>
              </w:rPr>
              <w:t>邮政编码：</w:t>
            </w:r>
          </w:p>
        </w:tc>
      </w:tr>
    </w:tbl>
    <w:p w14:paraId="35B6ABF6">
      <w:pPr>
        <w:spacing w:line="400" w:lineRule="exact"/>
        <w:rPr>
          <w:rFonts w:ascii="宋体" w:hAnsi="宋体" w:cs="宋体"/>
          <w:b/>
          <w:bCs/>
          <w:color w:val="auto"/>
          <w:sz w:val="24"/>
          <w:highlight w:val="none"/>
        </w:rPr>
      </w:pPr>
    </w:p>
    <w:sectPr>
      <w:footerReference r:id="rId11" w:type="first"/>
      <w:headerReference r:id="rId9" w:type="default"/>
      <w:footerReference r:id="rId10" w:type="default"/>
      <w:pgSz w:w="11906" w:h="16838"/>
      <w:pgMar w:top="1304" w:right="1361" w:bottom="1304" w:left="1361" w:header="1020"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8B233">
    <w:pPr>
      <w:pStyle w:val="22"/>
      <w:tabs>
        <w:tab w:val="center" w:pos="4439"/>
        <w:tab w:val="clear" w:pos="4153"/>
      </w:tabs>
      <w:jc w:val="both"/>
    </w:pPr>
  </w:p>
  <w:p w14:paraId="723933D4">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336C9">
    <w:pPr>
      <w:pStyle w:val="22"/>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02868D"/>
                      </w:txbxContent>
                    </wps:txbx>
                    <wps:bodyPr wrap="none" lIns="0" tIns="0" rIns="0" bIns="0">
                      <a:spAutoFit/>
                    </wps:bodyPr>
                  </wps:wsp>
                </a:graphicData>
              </a:graphic>
            </wp:anchor>
          </w:drawing>
        </mc:Choice>
        <mc:Fallback>
          <w:pict>
            <v:shape id="文本框 51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GyIKacQBAACQAwAADgAAAAAAAAABACAAAAAeAQAAZHJzL2Uyb0RvYy54bWxQ&#10;SwUGAAAAAAYABgBZAQAAVAUAAAAA&#10;">
              <v:fill on="f" focussize="0,0"/>
              <v:stroke on="f"/>
              <v:imagedata o:title=""/>
              <o:lock v:ext="edit" aspectratio="f"/>
              <v:textbox inset="0mm,0mm,0mm,0mm" style="mso-fit-shape-to-text:t;">
                <w:txbxContent>
                  <w:p w14:paraId="4C02868D"/>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2086D">
    <w:pPr>
      <w:pStyle w:val="22"/>
      <w:tabs>
        <w:tab w:val="center" w:pos="4439"/>
        <w:tab w:val="clear" w:pos="4153"/>
      </w:tabs>
      <w:jc w:val="both"/>
    </w:pPr>
  </w:p>
  <w:p w14:paraId="3DDA1B42">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5BC3D">
    <w:pPr>
      <w:pStyle w:val="22"/>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9AE514"/>
                      </w:txbxContent>
                    </wps:txbx>
                    <wps:bodyPr wrap="none" lIns="0" tIns="0" rIns="0" bIns="0">
                      <a:spAutoFit/>
                    </wps:bodyPr>
                  </wps:wsp>
                </a:graphicData>
              </a:graphic>
            </wp:anchor>
          </w:drawing>
        </mc:Choice>
        <mc:Fallback>
          <w:pict>
            <v:shape id="文本框 51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yicX3FAQAAkAMAAA4AAAAAAAAAAQAgAAAAHgEAAGRycy9lMm9Eb2MueG1s&#10;UEsFBgAAAAAGAAYAWQEAAFUFAAAAAA==&#10;">
              <v:fill on="f" focussize="0,0"/>
              <v:stroke on="f"/>
              <v:imagedata o:title=""/>
              <o:lock v:ext="edit" aspectratio="f"/>
              <v:textbox inset="0mm,0mm,0mm,0mm" style="mso-fit-shape-to-text:t;">
                <w:txbxContent>
                  <w:p w14:paraId="089AE514"/>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C9A0F">
    <w:pPr>
      <w:pStyle w:val="22"/>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EF3EF3">
                          <w:pPr>
                            <w:pStyle w:val="22"/>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EEF3EF3">
                    <w:pPr>
                      <w:pStyle w:val="22"/>
                    </w:pPr>
                    <w:r>
                      <w:fldChar w:fldCharType="begin"/>
                    </w:r>
                    <w:r>
                      <w:instrText xml:space="preserve"> PAGE  \* MERGEFORMAT </w:instrText>
                    </w:r>
                    <w:r>
                      <w:fldChar w:fldCharType="separate"/>
                    </w:r>
                    <w:r>
                      <w:t>54</w:t>
                    </w:r>
                    <w:r>
                      <w:fldChar w:fldCharType="end"/>
                    </w:r>
                  </w:p>
                </w:txbxContent>
              </v:textbox>
            </v:shape>
          </w:pict>
        </mc:Fallback>
      </mc:AlternateContent>
    </w:r>
  </w:p>
  <w:p w14:paraId="562F1CAC">
    <w:pPr>
      <w:pStyle w:val="2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0029D">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19BD9D">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63</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68</w:t>
                          </w:r>
                          <w:r>
                            <w:rPr>
                              <w:rFonts w:hint="eastAsia"/>
                            </w:rPr>
                            <w:fldChar w:fldCharType="end"/>
                          </w:r>
                          <w:r>
                            <w:rPr>
                              <w:rFonts w:hint="eastAsia"/>
                            </w:rPr>
                            <w:t xml:space="preserve"> 页</w:t>
                          </w:r>
                        </w:p>
                      </w:txbxContent>
                    </wps:txbx>
                    <wps:bodyPr vert="horz" wrap="none" lIns="0" tIns="0" rIns="0" bIns="0" anchor="t" anchorCtr="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OeR8M/aAQAAtQMAAA4AAAAAAAAAAQAg&#10;AAAAHgEAAGRycy9lMm9Eb2MueG1sUEsFBgAAAAAGAAYAWQEAAGoFAAAAAA==&#10;">
              <v:fill on="f" focussize="0,0"/>
              <v:stroke on="f"/>
              <v:imagedata o:title=""/>
              <o:lock v:ext="edit" aspectratio="f"/>
              <v:textbox inset="0mm,0mm,0mm,0mm" style="mso-fit-shape-to-text:t;">
                <w:txbxContent>
                  <w:p w14:paraId="3F19BD9D">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63</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68</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8698C">
    <w:pPr>
      <w:pStyle w:val="23"/>
      <w:pBdr>
        <w:bottom w:val="single" w:color="auto" w:sz="4" w:space="0"/>
      </w:pBdr>
      <w:ind w:firstLine="3420" w:firstLineChars="1900"/>
      <w:jc w:val="both"/>
    </w:pPr>
    <w:r>
      <w:rPr>
        <w:rFonts w:hint="eastAsia" w:ascii="宋体" w:hAnsi="宋体" w:cs="宋体"/>
      </w:rPr>
      <w:drawing>
        <wp:inline distT="0" distB="0" distL="114300" distR="114300">
          <wp:extent cx="202565" cy="195580"/>
          <wp:effectExtent l="0" t="0" r="6985" b="1397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
                  <a:stretch>
                    <a:fillRect/>
                  </a:stretch>
                </pic:blipFill>
                <pic:spPr>
                  <a:xfrm>
                    <a:off x="0" y="0"/>
                    <a:ext cx="202565" cy="195580"/>
                  </a:xfrm>
                  <a:prstGeom prst="rect">
                    <a:avLst/>
                  </a:prstGeom>
                  <a:noFill/>
                  <a:ln>
                    <a:noFill/>
                  </a:ln>
                </pic:spPr>
              </pic:pic>
            </a:graphicData>
          </a:graphic>
        </wp:inline>
      </w:drawing>
    </w:r>
    <w:r>
      <w:rPr>
        <w:rFonts w:hint="eastAsia"/>
      </w:rPr>
      <w:t>广西金证招标代理有限公司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9EE07">
    <w:pPr>
      <w:pStyle w:val="2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A68F4">
    <w:r>
      <mc:AlternateContent>
        <mc:Choice Requires="wps">
          <w:drawing>
            <wp:anchor distT="0" distB="0" distL="114300" distR="114300" simplePos="0" relativeHeight="251660288" behindDoc="0" locked="0" layoutInCell="1" allowOverlap="1">
              <wp:simplePos x="0" y="0"/>
              <wp:positionH relativeFrom="page">
                <wp:posOffset>0</wp:posOffset>
              </wp:positionH>
              <wp:positionV relativeFrom="page">
                <wp:posOffset>0</wp:posOffset>
              </wp:positionV>
              <wp:extent cx="635" cy="0"/>
              <wp:effectExtent l="0" t="0" r="0" b="0"/>
              <wp:wrapNone/>
              <wp:docPr id="4"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wps:spPr>
                    <wps:txbx>
                      <w:txbxContent>
                        <w:p w14:paraId="6C7D86E1">
                          <w:r>
                            <w:t>&lt;root&gt;&lt;sender&gt;2511884646@qq.com&lt;/sender&gt;&lt;type&gt;2&lt;/type&gt;&lt;subject&gt;2023年广西壮族自治区政府网站绩效评估分报告——自治区财政厅&lt;/subject&gt;&lt;attachmentName&gt;2023年广西壮族自治区政府网站绩效评估分报告——自治区财政厅.docx&lt;/attachmentName&gt;&lt;addressee&gt;xxzx@czt.gxzf.gov.cn&lt;/addressee&gt;&lt;mailSec&gt;无密级&lt;/mailSec&gt;&lt;sendTime&gt;2023-11-20 18:05:26&lt;/sendTime&gt;&lt;loadTime&gt;2023-11-21 13:07:03&lt;/loadTime&gt;&lt;/root&gt;</w:t>
                          </w:r>
                        </w:p>
                      </w:txbxContent>
                    </wps:txbx>
                    <wps:bodyPr wrap="square"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60288;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6Kh+bs0AAAD/AAAADwAAAAAAAAABACAAAAAi&#10;AAAAZHJzL2Rvd25yZXYueG1sUEsBAhQAFAAAAAgAh07iQLy6uKSjAQAAVQMAAA4AAAAAAAAAAQAg&#10;AAAAHAEAAGRycy9lMm9Eb2MueG1sUEsFBgAAAAAGAAYAWQEAADEFAAAAAA==&#10;">
              <v:fill on="f" focussize="0,0"/>
              <v:stroke on="f"/>
              <v:imagedata o:title=""/>
              <o:lock v:ext="edit" aspectratio="f"/>
              <v:textbox>
                <w:txbxContent>
                  <w:p w14:paraId="6C7D86E1">
                    <w:r>
                      <w:t>&lt;root&gt;&lt;sender&gt;2511884646@qq.com&lt;/sender&gt;&lt;type&gt;2&lt;/type&gt;&lt;subject&gt;2023年广西壮族自治区政府网站绩效评估分报告——自治区财政厅&lt;/subject&gt;&lt;attachmentName&gt;2023年广西壮族自治区政府网站绩效评估分报告——自治区财政厅.docx&lt;/attachmentName&gt;&lt;addressee&gt;xxzx@czt.gxzf.gov.cn&lt;/addressee&gt;&lt;mailSec&gt;无密级&lt;/mailSec&gt;&lt;sendTime&gt;2023-11-20 18:05:26&lt;/sendTime&gt;&lt;loadTime&gt;2023-11-21 13:07:03&lt;/loadTime&gt;&lt;/root&gt;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7FC26"/>
    <w:multiLevelType w:val="singleLevel"/>
    <w:tmpl w:val="AC87FC26"/>
    <w:lvl w:ilvl="0" w:tentative="0">
      <w:start w:val="1"/>
      <w:numFmt w:val="decimal"/>
      <w:suff w:val="nothing"/>
      <w:lvlText w:val="（%1）"/>
      <w:lvlJc w:val="left"/>
    </w:lvl>
  </w:abstractNum>
  <w:abstractNum w:abstractNumId="1">
    <w:nsid w:val="1F33CA56"/>
    <w:multiLevelType w:val="singleLevel"/>
    <w:tmpl w:val="1F33CA56"/>
    <w:lvl w:ilvl="0" w:tentative="0">
      <w:start w:val="2"/>
      <w:numFmt w:val="chineseCounting"/>
      <w:suff w:val="space"/>
      <w:lvlText w:val="第%1条"/>
      <w:lvlJc w:val="left"/>
      <w:pPr>
        <w:ind w:left="-60"/>
      </w:pPr>
      <w:rPr>
        <w:rFonts w:hint="eastAsia"/>
        <w:b/>
        <w:bCs/>
      </w:rPr>
    </w:lvl>
  </w:abstractNum>
  <w:abstractNum w:abstractNumId="2">
    <w:nsid w:val="50A215E7"/>
    <w:multiLevelType w:val="singleLevel"/>
    <w:tmpl w:val="50A215E7"/>
    <w:lvl w:ilvl="0" w:tentative="0">
      <w:start w:val="4"/>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RhNTQyYmU1NzMwODg0Mzk4NGIzYzZlMmEyZGFkNjAifQ=="/>
  </w:docVars>
  <w:rsids>
    <w:rsidRoot w:val="00F34B14"/>
    <w:rsid w:val="000002E0"/>
    <w:rsid w:val="00000672"/>
    <w:rsid w:val="00001013"/>
    <w:rsid w:val="00001799"/>
    <w:rsid w:val="00001AF2"/>
    <w:rsid w:val="00001ECA"/>
    <w:rsid w:val="00002D29"/>
    <w:rsid w:val="00003B93"/>
    <w:rsid w:val="0000474D"/>
    <w:rsid w:val="00005FDF"/>
    <w:rsid w:val="0000644A"/>
    <w:rsid w:val="000070B3"/>
    <w:rsid w:val="000076B8"/>
    <w:rsid w:val="000109DC"/>
    <w:rsid w:val="00010B9E"/>
    <w:rsid w:val="00010D39"/>
    <w:rsid w:val="0001172C"/>
    <w:rsid w:val="00011BC9"/>
    <w:rsid w:val="00012854"/>
    <w:rsid w:val="00012D36"/>
    <w:rsid w:val="00012EA6"/>
    <w:rsid w:val="00013359"/>
    <w:rsid w:val="00013654"/>
    <w:rsid w:val="000139CF"/>
    <w:rsid w:val="00013AA4"/>
    <w:rsid w:val="00013DFE"/>
    <w:rsid w:val="000141EA"/>
    <w:rsid w:val="00016ABC"/>
    <w:rsid w:val="000177DB"/>
    <w:rsid w:val="000179C9"/>
    <w:rsid w:val="00017CCC"/>
    <w:rsid w:val="00020227"/>
    <w:rsid w:val="00020263"/>
    <w:rsid w:val="00020455"/>
    <w:rsid w:val="00020813"/>
    <w:rsid w:val="000215D0"/>
    <w:rsid w:val="000220B2"/>
    <w:rsid w:val="0002264C"/>
    <w:rsid w:val="00022731"/>
    <w:rsid w:val="00022792"/>
    <w:rsid w:val="00024463"/>
    <w:rsid w:val="00025461"/>
    <w:rsid w:val="00025636"/>
    <w:rsid w:val="00025E36"/>
    <w:rsid w:val="00026855"/>
    <w:rsid w:val="00026886"/>
    <w:rsid w:val="0002785D"/>
    <w:rsid w:val="000307BE"/>
    <w:rsid w:val="000329E0"/>
    <w:rsid w:val="000352E9"/>
    <w:rsid w:val="00035494"/>
    <w:rsid w:val="00036125"/>
    <w:rsid w:val="00036A07"/>
    <w:rsid w:val="0003780B"/>
    <w:rsid w:val="00040571"/>
    <w:rsid w:val="00040973"/>
    <w:rsid w:val="0004156E"/>
    <w:rsid w:val="00041713"/>
    <w:rsid w:val="0004440C"/>
    <w:rsid w:val="00046B5E"/>
    <w:rsid w:val="000470CB"/>
    <w:rsid w:val="000509D9"/>
    <w:rsid w:val="000512AF"/>
    <w:rsid w:val="00051ACB"/>
    <w:rsid w:val="000533E7"/>
    <w:rsid w:val="00055D41"/>
    <w:rsid w:val="00056037"/>
    <w:rsid w:val="00056EF6"/>
    <w:rsid w:val="00057CD6"/>
    <w:rsid w:val="00060DCE"/>
    <w:rsid w:val="000610E3"/>
    <w:rsid w:val="000614F3"/>
    <w:rsid w:val="000623B4"/>
    <w:rsid w:val="00062405"/>
    <w:rsid w:val="000634A7"/>
    <w:rsid w:val="00063B0B"/>
    <w:rsid w:val="00063F81"/>
    <w:rsid w:val="00064847"/>
    <w:rsid w:val="00065E08"/>
    <w:rsid w:val="000673E2"/>
    <w:rsid w:val="00067EF1"/>
    <w:rsid w:val="0007063F"/>
    <w:rsid w:val="000707FD"/>
    <w:rsid w:val="00070949"/>
    <w:rsid w:val="000710E3"/>
    <w:rsid w:val="000711E4"/>
    <w:rsid w:val="00071E9B"/>
    <w:rsid w:val="000720A1"/>
    <w:rsid w:val="000724D9"/>
    <w:rsid w:val="00072AED"/>
    <w:rsid w:val="00073F47"/>
    <w:rsid w:val="0007492F"/>
    <w:rsid w:val="00074ED8"/>
    <w:rsid w:val="00075B7E"/>
    <w:rsid w:val="00077ACA"/>
    <w:rsid w:val="00077C70"/>
    <w:rsid w:val="000813B5"/>
    <w:rsid w:val="0008191E"/>
    <w:rsid w:val="00081BA3"/>
    <w:rsid w:val="00081D2E"/>
    <w:rsid w:val="00081F89"/>
    <w:rsid w:val="00082619"/>
    <w:rsid w:val="00082D02"/>
    <w:rsid w:val="0008381A"/>
    <w:rsid w:val="00083871"/>
    <w:rsid w:val="00083B91"/>
    <w:rsid w:val="0008473C"/>
    <w:rsid w:val="0008520B"/>
    <w:rsid w:val="000857DE"/>
    <w:rsid w:val="000860BD"/>
    <w:rsid w:val="000871B8"/>
    <w:rsid w:val="00087B0A"/>
    <w:rsid w:val="000916DA"/>
    <w:rsid w:val="00091AAB"/>
    <w:rsid w:val="00092442"/>
    <w:rsid w:val="000929EF"/>
    <w:rsid w:val="00092C26"/>
    <w:rsid w:val="000933BE"/>
    <w:rsid w:val="000955C7"/>
    <w:rsid w:val="0009560F"/>
    <w:rsid w:val="0009588E"/>
    <w:rsid w:val="000959EE"/>
    <w:rsid w:val="00096DB9"/>
    <w:rsid w:val="00096E5E"/>
    <w:rsid w:val="00097183"/>
    <w:rsid w:val="000972CB"/>
    <w:rsid w:val="00097608"/>
    <w:rsid w:val="000A0F35"/>
    <w:rsid w:val="000A1175"/>
    <w:rsid w:val="000A13F3"/>
    <w:rsid w:val="000A23B1"/>
    <w:rsid w:val="000A2B0E"/>
    <w:rsid w:val="000A398F"/>
    <w:rsid w:val="000A448C"/>
    <w:rsid w:val="000A509C"/>
    <w:rsid w:val="000A54A7"/>
    <w:rsid w:val="000A5A17"/>
    <w:rsid w:val="000A6007"/>
    <w:rsid w:val="000A65A6"/>
    <w:rsid w:val="000A70E3"/>
    <w:rsid w:val="000A7275"/>
    <w:rsid w:val="000A7A12"/>
    <w:rsid w:val="000A7A72"/>
    <w:rsid w:val="000B1202"/>
    <w:rsid w:val="000B1801"/>
    <w:rsid w:val="000B1D0C"/>
    <w:rsid w:val="000B2273"/>
    <w:rsid w:val="000B2BC6"/>
    <w:rsid w:val="000B2D03"/>
    <w:rsid w:val="000B37F2"/>
    <w:rsid w:val="000B3815"/>
    <w:rsid w:val="000B3C7B"/>
    <w:rsid w:val="000B3E68"/>
    <w:rsid w:val="000B4321"/>
    <w:rsid w:val="000B6281"/>
    <w:rsid w:val="000B6A6B"/>
    <w:rsid w:val="000B6C95"/>
    <w:rsid w:val="000B79FC"/>
    <w:rsid w:val="000C1679"/>
    <w:rsid w:val="000C1EE3"/>
    <w:rsid w:val="000C3AE7"/>
    <w:rsid w:val="000C3CC9"/>
    <w:rsid w:val="000C59C6"/>
    <w:rsid w:val="000C6DE4"/>
    <w:rsid w:val="000C7202"/>
    <w:rsid w:val="000D0A89"/>
    <w:rsid w:val="000D1389"/>
    <w:rsid w:val="000D14B3"/>
    <w:rsid w:val="000D1798"/>
    <w:rsid w:val="000D2626"/>
    <w:rsid w:val="000D411D"/>
    <w:rsid w:val="000D4589"/>
    <w:rsid w:val="000D4809"/>
    <w:rsid w:val="000D73DD"/>
    <w:rsid w:val="000E1C51"/>
    <w:rsid w:val="000E28AB"/>
    <w:rsid w:val="000E2E3E"/>
    <w:rsid w:val="000E3583"/>
    <w:rsid w:val="000E3AF0"/>
    <w:rsid w:val="000E4E04"/>
    <w:rsid w:val="000E693B"/>
    <w:rsid w:val="000E6D5C"/>
    <w:rsid w:val="000E6EC9"/>
    <w:rsid w:val="000E70B4"/>
    <w:rsid w:val="000E7B62"/>
    <w:rsid w:val="000F0E1E"/>
    <w:rsid w:val="000F1A1B"/>
    <w:rsid w:val="000F2A95"/>
    <w:rsid w:val="000F3281"/>
    <w:rsid w:val="000F32FD"/>
    <w:rsid w:val="000F3733"/>
    <w:rsid w:val="000F5F8B"/>
    <w:rsid w:val="000F6153"/>
    <w:rsid w:val="000F64AA"/>
    <w:rsid w:val="000F7AF4"/>
    <w:rsid w:val="000F7C33"/>
    <w:rsid w:val="000F7F0C"/>
    <w:rsid w:val="001004D6"/>
    <w:rsid w:val="0010095E"/>
    <w:rsid w:val="00101668"/>
    <w:rsid w:val="00101D1B"/>
    <w:rsid w:val="00102676"/>
    <w:rsid w:val="00103646"/>
    <w:rsid w:val="00103918"/>
    <w:rsid w:val="00104897"/>
    <w:rsid w:val="00104EDE"/>
    <w:rsid w:val="00104F54"/>
    <w:rsid w:val="00105CDA"/>
    <w:rsid w:val="00106BEE"/>
    <w:rsid w:val="0010711C"/>
    <w:rsid w:val="00107368"/>
    <w:rsid w:val="00107BDF"/>
    <w:rsid w:val="00107C74"/>
    <w:rsid w:val="0011091C"/>
    <w:rsid w:val="00111266"/>
    <w:rsid w:val="001112EB"/>
    <w:rsid w:val="0011247D"/>
    <w:rsid w:val="00113678"/>
    <w:rsid w:val="00113A7D"/>
    <w:rsid w:val="00113C3E"/>
    <w:rsid w:val="00114D15"/>
    <w:rsid w:val="00115E11"/>
    <w:rsid w:val="00115EEE"/>
    <w:rsid w:val="00115F56"/>
    <w:rsid w:val="001169D9"/>
    <w:rsid w:val="00116CA9"/>
    <w:rsid w:val="00116F38"/>
    <w:rsid w:val="001170A4"/>
    <w:rsid w:val="00117AE7"/>
    <w:rsid w:val="00117B85"/>
    <w:rsid w:val="00117CBD"/>
    <w:rsid w:val="0012006A"/>
    <w:rsid w:val="00121979"/>
    <w:rsid w:val="00122064"/>
    <w:rsid w:val="00124341"/>
    <w:rsid w:val="00124492"/>
    <w:rsid w:val="00124B12"/>
    <w:rsid w:val="001250A0"/>
    <w:rsid w:val="001263B8"/>
    <w:rsid w:val="00130217"/>
    <w:rsid w:val="00130783"/>
    <w:rsid w:val="00130A47"/>
    <w:rsid w:val="00130FB0"/>
    <w:rsid w:val="00132B47"/>
    <w:rsid w:val="001337F8"/>
    <w:rsid w:val="001348B4"/>
    <w:rsid w:val="001351CB"/>
    <w:rsid w:val="00135530"/>
    <w:rsid w:val="00135947"/>
    <w:rsid w:val="001359A2"/>
    <w:rsid w:val="00135F92"/>
    <w:rsid w:val="00136020"/>
    <w:rsid w:val="00136445"/>
    <w:rsid w:val="00136A9C"/>
    <w:rsid w:val="00137389"/>
    <w:rsid w:val="00140132"/>
    <w:rsid w:val="00141C9C"/>
    <w:rsid w:val="0014277F"/>
    <w:rsid w:val="00142877"/>
    <w:rsid w:val="001434BE"/>
    <w:rsid w:val="00143AAD"/>
    <w:rsid w:val="00144050"/>
    <w:rsid w:val="00144369"/>
    <w:rsid w:val="0014479F"/>
    <w:rsid w:val="00144EC4"/>
    <w:rsid w:val="001452B4"/>
    <w:rsid w:val="00145320"/>
    <w:rsid w:val="001476D3"/>
    <w:rsid w:val="001509CF"/>
    <w:rsid w:val="00150D1D"/>
    <w:rsid w:val="0015167D"/>
    <w:rsid w:val="001525AA"/>
    <w:rsid w:val="001528F9"/>
    <w:rsid w:val="00152A87"/>
    <w:rsid w:val="00152AC1"/>
    <w:rsid w:val="00153BB5"/>
    <w:rsid w:val="00153C0C"/>
    <w:rsid w:val="0015439E"/>
    <w:rsid w:val="00154518"/>
    <w:rsid w:val="00156359"/>
    <w:rsid w:val="00156DD6"/>
    <w:rsid w:val="0016086E"/>
    <w:rsid w:val="001609B9"/>
    <w:rsid w:val="00160D0C"/>
    <w:rsid w:val="00160DD1"/>
    <w:rsid w:val="00161172"/>
    <w:rsid w:val="00161998"/>
    <w:rsid w:val="00161E65"/>
    <w:rsid w:val="00162597"/>
    <w:rsid w:val="001629AF"/>
    <w:rsid w:val="001629FD"/>
    <w:rsid w:val="00162A65"/>
    <w:rsid w:val="0016428A"/>
    <w:rsid w:val="001647C9"/>
    <w:rsid w:val="00165627"/>
    <w:rsid w:val="001661A3"/>
    <w:rsid w:val="00167226"/>
    <w:rsid w:val="0016782B"/>
    <w:rsid w:val="0016784D"/>
    <w:rsid w:val="00167853"/>
    <w:rsid w:val="00167887"/>
    <w:rsid w:val="00170ECF"/>
    <w:rsid w:val="00172CA8"/>
    <w:rsid w:val="00173256"/>
    <w:rsid w:val="00173B0E"/>
    <w:rsid w:val="00173E03"/>
    <w:rsid w:val="0017512C"/>
    <w:rsid w:val="001756AF"/>
    <w:rsid w:val="0017586A"/>
    <w:rsid w:val="00175BA6"/>
    <w:rsid w:val="00176CA7"/>
    <w:rsid w:val="00176D0C"/>
    <w:rsid w:val="00176F8E"/>
    <w:rsid w:val="001778C5"/>
    <w:rsid w:val="00177E56"/>
    <w:rsid w:val="00177F0A"/>
    <w:rsid w:val="00180DA0"/>
    <w:rsid w:val="00181EAD"/>
    <w:rsid w:val="00182862"/>
    <w:rsid w:val="00184F57"/>
    <w:rsid w:val="00185091"/>
    <w:rsid w:val="00185544"/>
    <w:rsid w:val="00185617"/>
    <w:rsid w:val="00186FE1"/>
    <w:rsid w:val="00187A14"/>
    <w:rsid w:val="0019100E"/>
    <w:rsid w:val="0019171E"/>
    <w:rsid w:val="00192368"/>
    <w:rsid w:val="001923A0"/>
    <w:rsid w:val="001928B1"/>
    <w:rsid w:val="00193537"/>
    <w:rsid w:val="00193846"/>
    <w:rsid w:val="00195424"/>
    <w:rsid w:val="001955FF"/>
    <w:rsid w:val="00197EDD"/>
    <w:rsid w:val="001A02B3"/>
    <w:rsid w:val="001A04BB"/>
    <w:rsid w:val="001A08D0"/>
    <w:rsid w:val="001A1B39"/>
    <w:rsid w:val="001A2120"/>
    <w:rsid w:val="001A28C6"/>
    <w:rsid w:val="001A2E69"/>
    <w:rsid w:val="001A3C34"/>
    <w:rsid w:val="001A3EDE"/>
    <w:rsid w:val="001A4222"/>
    <w:rsid w:val="001A50EA"/>
    <w:rsid w:val="001A5E24"/>
    <w:rsid w:val="001A661D"/>
    <w:rsid w:val="001A6795"/>
    <w:rsid w:val="001A6B27"/>
    <w:rsid w:val="001A6D8B"/>
    <w:rsid w:val="001A6DAA"/>
    <w:rsid w:val="001A7717"/>
    <w:rsid w:val="001A793A"/>
    <w:rsid w:val="001B125A"/>
    <w:rsid w:val="001B1EBA"/>
    <w:rsid w:val="001B2142"/>
    <w:rsid w:val="001B2F2B"/>
    <w:rsid w:val="001B327A"/>
    <w:rsid w:val="001B35DE"/>
    <w:rsid w:val="001B3A13"/>
    <w:rsid w:val="001B3F5C"/>
    <w:rsid w:val="001B57C9"/>
    <w:rsid w:val="001B59FF"/>
    <w:rsid w:val="001B6512"/>
    <w:rsid w:val="001B65D7"/>
    <w:rsid w:val="001B6752"/>
    <w:rsid w:val="001B6768"/>
    <w:rsid w:val="001B6F1F"/>
    <w:rsid w:val="001B7ECC"/>
    <w:rsid w:val="001C025B"/>
    <w:rsid w:val="001C115F"/>
    <w:rsid w:val="001C1EAB"/>
    <w:rsid w:val="001C25A7"/>
    <w:rsid w:val="001C2775"/>
    <w:rsid w:val="001C2EFC"/>
    <w:rsid w:val="001C318C"/>
    <w:rsid w:val="001C35C4"/>
    <w:rsid w:val="001C4287"/>
    <w:rsid w:val="001C4479"/>
    <w:rsid w:val="001C5190"/>
    <w:rsid w:val="001C6081"/>
    <w:rsid w:val="001C73EB"/>
    <w:rsid w:val="001C7B48"/>
    <w:rsid w:val="001D0CFB"/>
    <w:rsid w:val="001D1A0D"/>
    <w:rsid w:val="001D343C"/>
    <w:rsid w:val="001D56E2"/>
    <w:rsid w:val="001D58A1"/>
    <w:rsid w:val="001D58C2"/>
    <w:rsid w:val="001D5A8A"/>
    <w:rsid w:val="001D61CA"/>
    <w:rsid w:val="001D6E87"/>
    <w:rsid w:val="001D735E"/>
    <w:rsid w:val="001D73C8"/>
    <w:rsid w:val="001D7BC6"/>
    <w:rsid w:val="001D7C7E"/>
    <w:rsid w:val="001E129E"/>
    <w:rsid w:val="001E175C"/>
    <w:rsid w:val="001E1918"/>
    <w:rsid w:val="001E19D4"/>
    <w:rsid w:val="001E1B0E"/>
    <w:rsid w:val="001E3B63"/>
    <w:rsid w:val="001E5A94"/>
    <w:rsid w:val="001F13FD"/>
    <w:rsid w:val="001F2A2E"/>
    <w:rsid w:val="001F3356"/>
    <w:rsid w:val="001F3C63"/>
    <w:rsid w:val="001F4460"/>
    <w:rsid w:val="001F6C96"/>
    <w:rsid w:val="001F711A"/>
    <w:rsid w:val="001F75B0"/>
    <w:rsid w:val="0020057C"/>
    <w:rsid w:val="0020083C"/>
    <w:rsid w:val="00200CE5"/>
    <w:rsid w:val="00200F7C"/>
    <w:rsid w:val="002014DB"/>
    <w:rsid w:val="0020150B"/>
    <w:rsid w:val="00201E12"/>
    <w:rsid w:val="00202295"/>
    <w:rsid w:val="002033B5"/>
    <w:rsid w:val="0020382C"/>
    <w:rsid w:val="0020437A"/>
    <w:rsid w:val="0020454C"/>
    <w:rsid w:val="00204740"/>
    <w:rsid w:val="00205129"/>
    <w:rsid w:val="0020521F"/>
    <w:rsid w:val="0020532C"/>
    <w:rsid w:val="002114C7"/>
    <w:rsid w:val="002122ED"/>
    <w:rsid w:val="0021302C"/>
    <w:rsid w:val="00213474"/>
    <w:rsid w:val="00213B1C"/>
    <w:rsid w:val="00213F1E"/>
    <w:rsid w:val="00214202"/>
    <w:rsid w:val="002148E3"/>
    <w:rsid w:val="0021552D"/>
    <w:rsid w:val="00215561"/>
    <w:rsid w:val="002156AE"/>
    <w:rsid w:val="00215E99"/>
    <w:rsid w:val="0022054D"/>
    <w:rsid w:val="0022107B"/>
    <w:rsid w:val="00223DDB"/>
    <w:rsid w:val="00223FA4"/>
    <w:rsid w:val="00223FB0"/>
    <w:rsid w:val="00223FE6"/>
    <w:rsid w:val="0022405A"/>
    <w:rsid w:val="00224067"/>
    <w:rsid w:val="0022421C"/>
    <w:rsid w:val="00224C4A"/>
    <w:rsid w:val="00224E83"/>
    <w:rsid w:val="00225664"/>
    <w:rsid w:val="002260A4"/>
    <w:rsid w:val="0022663D"/>
    <w:rsid w:val="00227C56"/>
    <w:rsid w:val="00227F2D"/>
    <w:rsid w:val="00231851"/>
    <w:rsid w:val="002319FB"/>
    <w:rsid w:val="00231B89"/>
    <w:rsid w:val="00231F11"/>
    <w:rsid w:val="00231F5E"/>
    <w:rsid w:val="00233A5A"/>
    <w:rsid w:val="002346B4"/>
    <w:rsid w:val="00234F6E"/>
    <w:rsid w:val="002355BE"/>
    <w:rsid w:val="002358EA"/>
    <w:rsid w:val="00236578"/>
    <w:rsid w:val="00236DE9"/>
    <w:rsid w:val="00237342"/>
    <w:rsid w:val="00237D5A"/>
    <w:rsid w:val="00240D75"/>
    <w:rsid w:val="002415AE"/>
    <w:rsid w:val="00241D3C"/>
    <w:rsid w:val="00242109"/>
    <w:rsid w:val="00243189"/>
    <w:rsid w:val="002439AB"/>
    <w:rsid w:val="00243C19"/>
    <w:rsid w:val="00244AE8"/>
    <w:rsid w:val="00244DC9"/>
    <w:rsid w:val="00245587"/>
    <w:rsid w:val="00245F2B"/>
    <w:rsid w:val="002466CD"/>
    <w:rsid w:val="0024675A"/>
    <w:rsid w:val="00247F3A"/>
    <w:rsid w:val="00250122"/>
    <w:rsid w:val="0025024D"/>
    <w:rsid w:val="00250755"/>
    <w:rsid w:val="00251043"/>
    <w:rsid w:val="00251C4A"/>
    <w:rsid w:val="0025271C"/>
    <w:rsid w:val="0025277A"/>
    <w:rsid w:val="002533CD"/>
    <w:rsid w:val="002535EA"/>
    <w:rsid w:val="00254EAB"/>
    <w:rsid w:val="002557AF"/>
    <w:rsid w:val="0025589C"/>
    <w:rsid w:val="00255B62"/>
    <w:rsid w:val="00256319"/>
    <w:rsid w:val="002566B1"/>
    <w:rsid w:val="002575E3"/>
    <w:rsid w:val="00257A74"/>
    <w:rsid w:val="00257C5D"/>
    <w:rsid w:val="002603C1"/>
    <w:rsid w:val="002609A1"/>
    <w:rsid w:val="002612B1"/>
    <w:rsid w:val="00262C42"/>
    <w:rsid w:val="00263BC4"/>
    <w:rsid w:val="00265A12"/>
    <w:rsid w:val="00266165"/>
    <w:rsid w:val="00266A2B"/>
    <w:rsid w:val="00266F2C"/>
    <w:rsid w:val="0027125E"/>
    <w:rsid w:val="00271767"/>
    <w:rsid w:val="00272293"/>
    <w:rsid w:val="002723C8"/>
    <w:rsid w:val="00273C2A"/>
    <w:rsid w:val="00273CBE"/>
    <w:rsid w:val="002746B1"/>
    <w:rsid w:val="00274BAD"/>
    <w:rsid w:val="0027513D"/>
    <w:rsid w:val="002807B0"/>
    <w:rsid w:val="00282D56"/>
    <w:rsid w:val="002835B0"/>
    <w:rsid w:val="00283C74"/>
    <w:rsid w:val="0028407E"/>
    <w:rsid w:val="0028410F"/>
    <w:rsid w:val="00284572"/>
    <w:rsid w:val="002850AA"/>
    <w:rsid w:val="00285221"/>
    <w:rsid w:val="00286FB5"/>
    <w:rsid w:val="00287763"/>
    <w:rsid w:val="00290606"/>
    <w:rsid w:val="002909B2"/>
    <w:rsid w:val="00291D6D"/>
    <w:rsid w:val="00291FF1"/>
    <w:rsid w:val="00292AA2"/>
    <w:rsid w:val="00293361"/>
    <w:rsid w:val="00294F10"/>
    <w:rsid w:val="002952B1"/>
    <w:rsid w:val="00295A50"/>
    <w:rsid w:val="00295D11"/>
    <w:rsid w:val="00296FB6"/>
    <w:rsid w:val="002A0001"/>
    <w:rsid w:val="002A0BD9"/>
    <w:rsid w:val="002A0C3A"/>
    <w:rsid w:val="002A0DF8"/>
    <w:rsid w:val="002A0F1C"/>
    <w:rsid w:val="002A1130"/>
    <w:rsid w:val="002A1880"/>
    <w:rsid w:val="002A23B7"/>
    <w:rsid w:val="002A3A57"/>
    <w:rsid w:val="002A4B4F"/>
    <w:rsid w:val="002A57A8"/>
    <w:rsid w:val="002A6DEF"/>
    <w:rsid w:val="002A770B"/>
    <w:rsid w:val="002B013E"/>
    <w:rsid w:val="002B058D"/>
    <w:rsid w:val="002B0C16"/>
    <w:rsid w:val="002B2456"/>
    <w:rsid w:val="002B2AC5"/>
    <w:rsid w:val="002B3528"/>
    <w:rsid w:val="002B3539"/>
    <w:rsid w:val="002B379B"/>
    <w:rsid w:val="002B4395"/>
    <w:rsid w:val="002B4532"/>
    <w:rsid w:val="002B4DD9"/>
    <w:rsid w:val="002B5042"/>
    <w:rsid w:val="002B69CC"/>
    <w:rsid w:val="002B6D71"/>
    <w:rsid w:val="002C03AE"/>
    <w:rsid w:val="002C0C1C"/>
    <w:rsid w:val="002C41BF"/>
    <w:rsid w:val="002C54C2"/>
    <w:rsid w:val="002C5D34"/>
    <w:rsid w:val="002C60BB"/>
    <w:rsid w:val="002C60C6"/>
    <w:rsid w:val="002C661A"/>
    <w:rsid w:val="002D0D6F"/>
    <w:rsid w:val="002D25FC"/>
    <w:rsid w:val="002D4AC6"/>
    <w:rsid w:val="002D59BF"/>
    <w:rsid w:val="002D5BF5"/>
    <w:rsid w:val="002D5EE8"/>
    <w:rsid w:val="002D7360"/>
    <w:rsid w:val="002D7648"/>
    <w:rsid w:val="002D7C80"/>
    <w:rsid w:val="002E109C"/>
    <w:rsid w:val="002E193E"/>
    <w:rsid w:val="002E1A94"/>
    <w:rsid w:val="002E1D55"/>
    <w:rsid w:val="002E26C4"/>
    <w:rsid w:val="002E2734"/>
    <w:rsid w:val="002E30A5"/>
    <w:rsid w:val="002E47E4"/>
    <w:rsid w:val="002E4BF9"/>
    <w:rsid w:val="002E4D61"/>
    <w:rsid w:val="002E68A7"/>
    <w:rsid w:val="002E6E6C"/>
    <w:rsid w:val="002F016E"/>
    <w:rsid w:val="002F0522"/>
    <w:rsid w:val="002F16DD"/>
    <w:rsid w:val="002F199D"/>
    <w:rsid w:val="002F1E3C"/>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2EFC"/>
    <w:rsid w:val="00303243"/>
    <w:rsid w:val="00303BCC"/>
    <w:rsid w:val="00303F2B"/>
    <w:rsid w:val="00303F8D"/>
    <w:rsid w:val="0030572D"/>
    <w:rsid w:val="0030586A"/>
    <w:rsid w:val="00305CE7"/>
    <w:rsid w:val="0030622D"/>
    <w:rsid w:val="00306811"/>
    <w:rsid w:val="00306F32"/>
    <w:rsid w:val="003074C5"/>
    <w:rsid w:val="00307A3C"/>
    <w:rsid w:val="00307FA4"/>
    <w:rsid w:val="00310290"/>
    <w:rsid w:val="00310CC1"/>
    <w:rsid w:val="00312504"/>
    <w:rsid w:val="00312B89"/>
    <w:rsid w:val="00313026"/>
    <w:rsid w:val="00313913"/>
    <w:rsid w:val="0031421F"/>
    <w:rsid w:val="00314B31"/>
    <w:rsid w:val="00315A65"/>
    <w:rsid w:val="003165D7"/>
    <w:rsid w:val="0031666B"/>
    <w:rsid w:val="00316ABE"/>
    <w:rsid w:val="00317BA7"/>
    <w:rsid w:val="00320BE2"/>
    <w:rsid w:val="00321886"/>
    <w:rsid w:val="00321EDC"/>
    <w:rsid w:val="00323694"/>
    <w:rsid w:val="00323BE7"/>
    <w:rsid w:val="00324C3A"/>
    <w:rsid w:val="00324D63"/>
    <w:rsid w:val="003255AF"/>
    <w:rsid w:val="003256EB"/>
    <w:rsid w:val="003259DB"/>
    <w:rsid w:val="0032795B"/>
    <w:rsid w:val="003303CD"/>
    <w:rsid w:val="00330650"/>
    <w:rsid w:val="003314D9"/>
    <w:rsid w:val="00331653"/>
    <w:rsid w:val="00331A48"/>
    <w:rsid w:val="00331BCC"/>
    <w:rsid w:val="003330C9"/>
    <w:rsid w:val="0033364C"/>
    <w:rsid w:val="00334415"/>
    <w:rsid w:val="00335EA1"/>
    <w:rsid w:val="0033691E"/>
    <w:rsid w:val="00336A6A"/>
    <w:rsid w:val="00336CCB"/>
    <w:rsid w:val="003407BB"/>
    <w:rsid w:val="003411D1"/>
    <w:rsid w:val="003416BA"/>
    <w:rsid w:val="00342148"/>
    <w:rsid w:val="00342F99"/>
    <w:rsid w:val="0034575A"/>
    <w:rsid w:val="00345F57"/>
    <w:rsid w:val="00350458"/>
    <w:rsid w:val="00350E6C"/>
    <w:rsid w:val="003518A6"/>
    <w:rsid w:val="00351E7F"/>
    <w:rsid w:val="00352953"/>
    <w:rsid w:val="00354062"/>
    <w:rsid w:val="0035459E"/>
    <w:rsid w:val="00354AE9"/>
    <w:rsid w:val="00355039"/>
    <w:rsid w:val="00355C0D"/>
    <w:rsid w:val="003566A9"/>
    <w:rsid w:val="00356988"/>
    <w:rsid w:val="003569D3"/>
    <w:rsid w:val="00356CE9"/>
    <w:rsid w:val="003570BB"/>
    <w:rsid w:val="00357128"/>
    <w:rsid w:val="0035755E"/>
    <w:rsid w:val="00357A80"/>
    <w:rsid w:val="00361441"/>
    <w:rsid w:val="00361B8B"/>
    <w:rsid w:val="00363F39"/>
    <w:rsid w:val="003640FC"/>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91A"/>
    <w:rsid w:val="00374E79"/>
    <w:rsid w:val="0037529A"/>
    <w:rsid w:val="00375388"/>
    <w:rsid w:val="00375559"/>
    <w:rsid w:val="00375FB9"/>
    <w:rsid w:val="00376170"/>
    <w:rsid w:val="00376851"/>
    <w:rsid w:val="00376FA2"/>
    <w:rsid w:val="00377133"/>
    <w:rsid w:val="00377A3B"/>
    <w:rsid w:val="00377E3C"/>
    <w:rsid w:val="00380874"/>
    <w:rsid w:val="00380BBE"/>
    <w:rsid w:val="0038163D"/>
    <w:rsid w:val="00381D70"/>
    <w:rsid w:val="003821C6"/>
    <w:rsid w:val="0038235E"/>
    <w:rsid w:val="003829D0"/>
    <w:rsid w:val="0038326A"/>
    <w:rsid w:val="0038444F"/>
    <w:rsid w:val="003861F0"/>
    <w:rsid w:val="00387051"/>
    <w:rsid w:val="00387ECF"/>
    <w:rsid w:val="0039021B"/>
    <w:rsid w:val="00390429"/>
    <w:rsid w:val="003906A0"/>
    <w:rsid w:val="003923D5"/>
    <w:rsid w:val="003931AF"/>
    <w:rsid w:val="0039366C"/>
    <w:rsid w:val="00393EC8"/>
    <w:rsid w:val="00395E42"/>
    <w:rsid w:val="00396409"/>
    <w:rsid w:val="00396A2D"/>
    <w:rsid w:val="00396FC3"/>
    <w:rsid w:val="003A1431"/>
    <w:rsid w:val="003A1A94"/>
    <w:rsid w:val="003A204E"/>
    <w:rsid w:val="003A2D25"/>
    <w:rsid w:val="003A3880"/>
    <w:rsid w:val="003A4211"/>
    <w:rsid w:val="003A5101"/>
    <w:rsid w:val="003A5728"/>
    <w:rsid w:val="003A60E7"/>
    <w:rsid w:val="003A7092"/>
    <w:rsid w:val="003A72A1"/>
    <w:rsid w:val="003A7611"/>
    <w:rsid w:val="003A7D1F"/>
    <w:rsid w:val="003B0B6A"/>
    <w:rsid w:val="003B22F7"/>
    <w:rsid w:val="003B29CF"/>
    <w:rsid w:val="003B3A90"/>
    <w:rsid w:val="003B3D01"/>
    <w:rsid w:val="003B534F"/>
    <w:rsid w:val="003B7A79"/>
    <w:rsid w:val="003C0FE1"/>
    <w:rsid w:val="003C10DC"/>
    <w:rsid w:val="003C151A"/>
    <w:rsid w:val="003C350C"/>
    <w:rsid w:val="003C3733"/>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50C9"/>
    <w:rsid w:val="003D5561"/>
    <w:rsid w:val="003D7109"/>
    <w:rsid w:val="003D7CE8"/>
    <w:rsid w:val="003E0514"/>
    <w:rsid w:val="003E1032"/>
    <w:rsid w:val="003E1904"/>
    <w:rsid w:val="003E285E"/>
    <w:rsid w:val="003E3124"/>
    <w:rsid w:val="003E3300"/>
    <w:rsid w:val="003E43D3"/>
    <w:rsid w:val="003E48E1"/>
    <w:rsid w:val="003E50F4"/>
    <w:rsid w:val="003E59BB"/>
    <w:rsid w:val="003E6225"/>
    <w:rsid w:val="003E65AC"/>
    <w:rsid w:val="003E66AE"/>
    <w:rsid w:val="003E72B9"/>
    <w:rsid w:val="003E7612"/>
    <w:rsid w:val="003E7ED4"/>
    <w:rsid w:val="003F0E52"/>
    <w:rsid w:val="003F0F6B"/>
    <w:rsid w:val="003F1FC6"/>
    <w:rsid w:val="003F1FE3"/>
    <w:rsid w:val="003F2359"/>
    <w:rsid w:val="003F3232"/>
    <w:rsid w:val="003F3865"/>
    <w:rsid w:val="003F38AC"/>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1CA"/>
    <w:rsid w:val="00404681"/>
    <w:rsid w:val="00405445"/>
    <w:rsid w:val="00405AC1"/>
    <w:rsid w:val="00406923"/>
    <w:rsid w:val="0040763D"/>
    <w:rsid w:val="00410D17"/>
    <w:rsid w:val="00412AA9"/>
    <w:rsid w:val="00413442"/>
    <w:rsid w:val="00413821"/>
    <w:rsid w:val="00413BA5"/>
    <w:rsid w:val="004141A3"/>
    <w:rsid w:val="00414909"/>
    <w:rsid w:val="0041582F"/>
    <w:rsid w:val="00416112"/>
    <w:rsid w:val="00417A1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6823"/>
    <w:rsid w:val="004371D5"/>
    <w:rsid w:val="0044006B"/>
    <w:rsid w:val="0044033F"/>
    <w:rsid w:val="00440630"/>
    <w:rsid w:val="00441F0F"/>
    <w:rsid w:val="00442965"/>
    <w:rsid w:val="004432B6"/>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25F"/>
    <w:rsid w:val="0045444D"/>
    <w:rsid w:val="0045463A"/>
    <w:rsid w:val="00454AC9"/>
    <w:rsid w:val="00455050"/>
    <w:rsid w:val="004554A3"/>
    <w:rsid w:val="00455A6E"/>
    <w:rsid w:val="00455EAD"/>
    <w:rsid w:val="00455F8E"/>
    <w:rsid w:val="004578EB"/>
    <w:rsid w:val="004604D5"/>
    <w:rsid w:val="00460697"/>
    <w:rsid w:val="0046117B"/>
    <w:rsid w:val="00461FC2"/>
    <w:rsid w:val="00464AB7"/>
    <w:rsid w:val="00465DE5"/>
    <w:rsid w:val="00467EF8"/>
    <w:rsid w:val="00471AC3"/>
    <w:rsid w:val="00472429"/>
    <w:rsid w:val="004725E5"/>
    <w:rsid w:val="00472751"/>
    <w:rsid w:val="00473128"/>
    <w:rsid w:val="00475078"/>
    <w:rsid w:val="00475767"/>
    <w:rsid w:val="004779A0"/>
    <w:rsid w:val="004808E3"/>
    <w:rsid w:val="00481016"/>
    <w:rsid w:val="0048204C"/>
    <w:rsid w:val="004821BB"/>
    <w:rsid w:val="0048237A"/>
    <w:rsid w:val="004826FE"/>
    <w:rsid w:val="004827D5"/>
    <w:rsid w:val="00482AF2"/>
    <w:rsid w:val="004830C9"/>
    <w:rsid w:val="00483347"/>
    <w:rsid w:val="00483E2E"/>
    <w:rsid w:val="00484B69"/>
    <w:rsid w:val="00485406"/>
    <w:rsid w:val="0048590F"/>
    <w:rsid w:val="00486D60"/>
    <w:rsid w:val="00491FA1"/>
    <w:rsid w:val="00492A25"/>
    <w:rsid w:val="00493853"/>
    <w:rsid w:val="004938A3"/>
    <w:rsid w:val="00494D8C"/>
    <w:rsid w:val="0049558B"/>
    <w:rsid w:val="00496350"/>
    <w:rsid w:val="0049797C"/>
    <w:rsid w:val="004A1405"/>
    <w:rsid w:val="004A15BD"/>
    <w:rsid w:val="004A1E28"/>
    <w:rsid w:val="004A1FC6"/>
    <w:rsid w:val="004A2E5F"/>
    <w:rsid w:val="004A38C2"/>
    <w:rsid w:val="004A3C03"/>
    <w:rsid w:val="004A3DB7"/>
    <w:rsid w:val="004A463B"/>
    <w:rsid w:val="004A5088"/>
    <w:rsid w:val="004A5255"/>
    <w:rsid w:val="004A6B28"/>
    <w:rsid w:val="004A6CB0"/>
    <w:rsid w:val="004A70FF"/>
    <w:rsid w:val="004A7EDE"/>
    <w:rsid w:val="004B0D93"/>
    <w:rsid w:val="004B1FA4"/>
    <w:rsid w:val="004B29AC"/>
    <w:rsid w:val="004B35DF"/>
    <w:rsid w:val="004B3627"/>
    <w:rsid w:val="004B4922"/>
    <w:rsid w:val="004B57DF"/>
    <w:rsid w:val="004B5976"/>
    <w:rsid w:val="004B722E"/>
    <w:rsid w:val="004B72E8"/>
    <w:rsid w:val="004C01A5"/>
    <w:rsid w:val="004C0412"/>
    <w:rsid w:val="004C2138"/>
    <w:rsid w:val="004C25BD"/>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B2B"/>
    <w:rsid w:val="004D4F35"/>
    <w:rsid w:val="004D51EE"/>
    <w:rsid w:val="004D5D45"/>
    <w:rsid w:val="004D618D"/>
    <w:rsid w:val="004D62A9"/>
    <w:rsid w:val="004D6FC3"/>
    <w:rsid w:val="004D7476"/>
    <w:rsid w:val="004D7716"/>
    <w:rsid w:val="004E0306"/>
    <w:rsid w:val="004E0572"/>
    <w:rsid w:val="004E1641"/>
    <w:rsid w:val="004E1818"/>
    <w:rsid w:val="004E1990"/>
    <w:rsid w:val="004E23B3"/>
    <w:rsid w:val="004E25A8"/>
    <w:rsid w:val="004E3930"/>
    <w:rsid w:val="004E3ED9"/>
    <w:rsid w:val="004E4DE3"/>
    <w:rsid w:val="004E5866"/>
    <w:rsid w:val="004E6097"/>
    <w:rsid w:val="004E61EF"/>
    <w:rsid w:val="004E63C6"/>
    <w:rsid w:val="004E76A7"/>
    <w:rsid w:val="004E7B03"/>
    <w:rsid w:val="004F0064"/>
    <w:rsid w:val="004F06AC"/>
    <w:rsid w:val="004F0E50"/>
    <w:rsid w:val="004F1D2A"/>
    <w:rsid w:val="004F243F"/>
    <w:rsid w:val="004F252C"/>
    <w:rsid w:val="004F36A3"/>
    <w:rsid w:val="004F3E0C"/>
    <w:rsid w:val="004F4308"/>
    <w:rsid w:val="004F7160"/>
    <w:rsid w:val="00500258"/>
    <w:rsid w:val="00500B2D"/>
    <w:rsid w:val="00501A99"/>
    <w:rsid w:val="00503180"/>
    <w:rsid w:val="005038A4"/>
    <w:rsid w:val="005048AC"/>
    <w:rsid w:val="00504CD4"/>
    <w:rsid w:val="0050524B"/>
    <w:rsid w:val="00505450"/>
    <w:rsid w:val="00505FC6"/>
    <w:rsid w:val="005100B7"/>
    <w:rsid w:val="00510340"/>
    <w:rsid w:val="005105DE"/>
    <w:rsid w:val="005113C9"/>
    <w:rsid w:val="00512050"/>
    <w:rsid w:val="00512055"/>
    <w:rsid w:val="0051280C"/>
    <w:rsid w:val="00512842"/>
    <w:rsid w:val="005128BE"/>
    <w:rsid w:val="0051356F"/>
    <w:rsid w:val="00513E7C"/>
    <w:rsid w:val="005140BB"/>
    <w:rsid w:val="00514FBE"/>
    <w:rsid w:val="00514FD9"/>
    <w:rsid w:val="0051550A"/>
    <w:rsid w:val="0051608F"/>
    <w:rsid w:val="00516480"/>
    <w:rsid w:val="005201FB"/>
    <w:rsid w:val="00520EF8"/>
    <w:rsid w:val="005210F7"/>
    <w:rsid w:val="00521753"/>
    <w:rsid w:val="0052239D"/>
    <w:rsid w:val="005224EE"/>
    <w:rsid w:val="00522879"/>
    <w:rsid w:val="00523BB1"/>
    <w:rsid w:val="00524B23"/>
    <w:rsid w:val="0052570E"/>
    <w:rsid w:val="005260CD"/>
    <w:rsid w:val="00526265"/>
    <w:rsid w:val="0052655D"/>
    <w:rsid w:val="005265E0"/>
    <w:rsid w:val="00526BC3"/>
    <w:rsid w:val="00530064"/>
    <w:rsid w:val="00531761"/>
    <w:rsid w:val="0053248F"/>
    <w:rsid w:val="005327AB"/>
    <w:rsid w:val="0053332A"/>
    <w:rsid w:val="0053358A"/>
    <w:rsid w:val="0053434C"/>
    <w:rsid w:val="00534668"/>
    <w:rsid w:val="00534DDD"/>
    <w:rsid w:val="00535291"/>
    <w:rsid w:val="00535A94"/>
    <w:rsid w:val="0053721D"/>
    <w:rsid w:val="00537874"/>
    <w:rsid w:val="0053795F"/>
    <w:rsid w:val="00537D3D"/>
    <w:rsid w:val="00540511"/>
    <w:rsid w:val="00540578"/>
    <w:rsid w:val="00540808"/>
    <w:rsid w:val="0054080E"/>
    <w:rsid w:val="00540D1A"/>
    <w:rsid w:val="00540DE5"/>
    <w:rsid w:val="00540EA1"/>
    <w:rsid w:val="00541E5A"/>
    <w:rsid w:val="0054358E"/>
    <w:rsid w:val="00543AF4"/>
    <w:rsid w:val="00543F53"/>
    <w:rsid w:val="00544191"/>
    <w:rsid w:val="0054440C"/>
    <w:rsid w:val="005448EC"/>
    <w:rsid w:val="00544C0A"/>
    <w:rsid w:val="00544F39"/>
    <w:rsid w:val="005457FB"/>
    <w:rsid w:val="00546B96"/>
    <w:rsid w:val="00546F90"/>
    <w:rsid w:val="00547EFB"/>
    <w:rsid w:val="00550192"/>
    <w:rsid w:val="005522F2"/>
    <w:rsid w:val="005531DF"/>
    <w:rsid w:val="00553874"/>
    <w:rsid w:val="00553DCE"/>
    <w:rsid w:val="00554577"/>
    <w:rsid w:val="00554AD8"/>
    <w:rsid w:val="00554F78"/>
    <w:rsid w:val="0055548E"/>
    <w:rsid w:val="00555DA1"/>
    <w:rsid w:val="0055608A"/>
    <w:rsid w:val="00556BF7"/>
    <w:rsid w:val="00556E53"/>
    <w:rsid w:val="00557F60"/>
    <w:rsid w:val="00561730"/>
    <w:rsid w:val="00561B97"/>
    <w:rsid w:val="00562149"/>
    <w:rsid w:val="00563A18"/>
    <w:rsid w:val="005640EB"/>
    <w:rsid w:val="005666A4"/>
    <w:rsid w:val="00567B5D"/>
    <w:rsid w:val="00570757"/>
    <w:rsid w:val="00570E4D"/>
    <w:rsid w:val="00573733"/>
    <w:rsid w:val="00573F8B"/>
    <w:rsid w:val="00574554"/>
    <w:rsid w:val="00574E06"/>
    <w:rsid w:val="005751BB"/>
    <w:rsid w:val="00576089"/>
    <w:rsid w:val="005764B1"/>
    <w:rsid w:val="00576852"/>
    <w:rsid w:val="00576D06"/>
    <w:rsid w:val="005779E4"/>
    <w:rsid w:val="00580EC7"/>
    <w:rsid w:val="00581E3D"/>
    <w:rsid w:val="0058289C"/>
    <w:rsid w:val="005836C7"/>
    <w:rsid w:val="0058408E"/>
    <w:rsid w:val="005844C3"/>
    <w:rsid w:val="00585374"/>
    <w:rsid w:val="005854CA"/>
    <w:rsid w:val="00585FAB"/>
    <w:rsid w:val="00590B77"/>
    <w:rsid w:val="00590D9A"/>
    <w:rsid w:val="005913A3"/>
    <w:rsid w:val="00591A5A"/>
    <w:rsid w:val="005940D4"/>
    <w:rsid w:val="00594A7B"/>
    <w:rsid w:val="0059580E"/>
    <w:rsid w:val="00595D90"/>
    <w:rsid w:val="00596A6F"/>
    <w:rsid w:val="00596FCE"/>
    <w:rsid w:val="005A11BC"/>
    <w:rsid w:val="005A1525"/>
    <w:rsid w:val="005A1E17"/>
    <w:rsid w:val="005A252B"/>
    <w:rsid w:val="005A2A8F"/>
    <w:rsid w:val="005A3008"/>
    <w:rsid w:val="005A3204"/>
    <w:rsid w:val="005A3341"/>
    <w:rsid w:val="005A3C3D"/>
    <w:rsid w:val="005A46EC"/>
    <w:rsid w:val="005A5EAE"/>
    <w:rsid w:val="005A6407"/>
    <w:rsid w:val="005A726C"/>
    <w:rsid w:val="005A7B0C"/>
    <w:rsid w:val="005B0266"/>
    <w:rsid w:val="005B07EC"/>
    <w:rsid w:val="005B18FD"/>
    <w:rsid w:val="005B2B11"/>
    <w:rsid w:val="005B32A4"/>
    <w:rsid w:val="005B3371"/>
    <w:rsid w:val="005B338D"/>
    <w:rsid w:val="005B33A1"/>
    <w:rsid w:val="005B3852"/>
    <w:rsid w:val="005B3BAF"/>
    <w:rsid w:val="005B4DA3"/>
    <w:rsid w:val="005B5BEE"/>
    <w:rsid w:val="005B77D2"/>
    <w:rsid w:val="005B7A8C"/>
    <w:rsid w:val="005C0195"/>
    <w:rsid w:val="005C019B"/>
    <w:rsid w:val="005C08D0"/>
    <w:rsid w:val="005C1AED"/>
    <w:rsid w:val="005C2136"/>
    <w:rsid w:val="005C30F5"/>
    <w:rsid w:val="005C3840"/>
    <w:rsid w:val="005C51A5"/>
    <w:rsid w:val="005C557A"/>
    <w:rsid w:val="005C566F"/>
    <w:rsid w:val="005C5C47"/>
    <w:rsid w:val="005C61DD"/>
    <w:rsid w:val="005C6438"/>
    <w:rsid w:val="005C6B8B"/>
    <w:rsid w:val="005C727F"/>
    <w:rsid w:val="005D02E3"/>
    <w:rsid w:val="005D1F34"/>
    <w:rsid w:val="005D2C1F"/>
    <w:rsid w:val="005D34B2"/>
    <w:rsid w:val="005D3B54"/>
    <w:rsid w:val="005D40CD"/>
    <w:rsid w:val="005D6B59"/>
    <w:rsid w:val="005D784B"/>
    <w:rsid w:val="005E03E4"/>
    <w:rsid w:val="005E0454"/>
    <w:rsid w:val="005E05F6"/>
    <w:rsid w:val="005E142E"/>
    <w:rsid w:val="005E1B9D"/>
    <w:rsid w:val="005E1BDA"/>
    <w:rsid w:val="005E2233"/>
    <w:rsid w:val="005E2442"/>
    <w:rsid w:val="005E3111"/>
    <w:rsid w:val="005E3CA0"/>
    <w:rsid w:val="005E3F85"/>
    <w:rsid w:val="005E4A5F"/>
    <w:rsid w:val="005E516A"/>
    <w:rsid w:val="005E57B0"/>
    <w:rsid w:val="005E5B01"/>
    <w:rsid w:val="005E6D3B"/>
    <w:rsid w:val="005F009E"/>
    <w:rsid w:val="005F0D0D"/>
    <w:rsid w:val="005F0DF1"/>
    <w:rsid w:val="005F1516"/>
    <w:rsid w:val="005F1A6F"/>
    <w:rsid w:val="005F229E"/>
    <w:rsid w:val="005F2564"/>
    <w:rsid w:val="005F3822"/>
    <w:rsid w:val="005F4635"/>
    <w:rsid w:val="005F4900"/>
    <w:rsid w:val="005F4E52"/>
    <w:rsid w:val="005F6D58"/>
    <w:rsid w:val="005F7383"/>
    <w:rsid w:val="0060058E"/>
    <w:rsid w:val="00602A3C"/>
    <w:rsid w:val="00603EFD"/>
    <w:rsid w:val="0060475B"/>
    <w:rsid w:val="00604BED"/>
    <w:rsid w:val="00604FB6"/>
    <w:rsid w:val="00605387"/>
    <w:rsid w:val="00606302"/>
    <w:rsid w:val="006076FD"/>
    <w:rsid w:val="00610811"/>
    <w:rsid w:val="0061143F"/>
    <w:rsid w:val="006114D8"/>
    <w:rsid w:val="00613553"/>
    <w:rsid w:val="00613601"/>
    <w:rsid w:val="00613791"/>
    <w:rsid w:val="006148E9"/>
    <w:rsid w:val="006150D6"/>
    <w:rsid w:val="00615245"/>
    <w:rsid w:val="0061590D"/>
    <w:rsid w:val="00617EEE"/>
    <w:rsid w:val="00620A1F"/>
    <w:rsid w:val="0062169D"/>
    <w:rsid w:val="0062181E"/>
    <w:rsid w:val="0062211B"/>
    <w:rsid w:val="00622BB7"/>
    <w:rsid w:val="00622C1E"/>
    <w:rsid w:val="00623389"/>
    <w:rsid w:val="00623DAA"/>
    <w:rsid w:val="00623FAF"/>
    <w:rsid w:val="006265C4"/>
    <w:rsid w:val="0062678A"/>
    <w:rsid w:val="006270AF"/>
    <w:rsid w:val="00634367"/>
    <w:rsid w:val="00635486"/>
    <w:rsid w:val="00636CE3"/>
    <w:rsid w:val="00640082"/>
    <w:rsid w:val="00640291"/>
    <w:rsid w:val="00640EFE"/>
    <w:rsid w:val="00641D6D"/>
    <w:rsid w:val="00641FAC"/>
    <w:rsid w:val="00643664"/>
    <w:rsid w:val="00643CAA"/>
    <w:rsid w:val="00644F16"/>
    <w:rsid w:val="006455EB"/>
    <w:rsid w:val="006456C2"/>
    <w:rsid w:val="00645A65"/>
    <w:rsid w:val="00646959"/>
    <w:rsid w:val="006477F0"/>
    <w:rsid w:val="006478E4"/>
    <w:rsid w:val="006513F3"/>
    <w:rsid w:val="0065171A"/>
    <w:rsid w:val="00652680"/>
    <w:rsid w:val="00653CDE"/>
    <w:rsid w:val="00654585"/>
    <w:rsid w:val="0065566E"/>
    <w:rsid w:val="00655AB6"/>
    <w:rsid w:val="00655EFA"/>
    <w:rsid w:val="00656061"/>
    <w:rsid w:val="00656281"/>
    <w:rsid w:val="0065636A"/>
    <w:rsid w:val="00656C66"/>
    <w:rsid w:val="00657003"/>
    <w:rsid w:val="00660238"/>
    <w:rsid w:val="006602EF"/>
    <w:rsid w:val="00661277"/>
    <w:rsid w:val="0066177A"/>
    <w:rsid w:val="006619E0"/>
    <w:rsid w:val="00662395"/>
    <w:rsid w:val="00663FEA"/>
    <w:rsid w:val="00664803"/>
    <w:rsid w:val="006657C5"/>
    <w:rsid w:val="006658F1"/>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6D97"/>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3302"/>
    <w:rsid w:val="006A3B28"/>
    <w:rsid w:val="006A4FEE"/>
    <w:rsid w:val="006A5549"/>
    <w:rsid w:val="006A703E"/>
    <w:rsid w:val="006A7BE3"/>
    <w:rsid w:val="006A7D32"/>
    <w:rsid w:val="006B01D1"/>
    <w:rsid w:val="006B0DF4"/>
    <w:rsid w:val="006B16EA"/>
    <w:rsid w:val="006B1780"/>
    <w:rsid w:val="006B21DC"/>
    <w:rsid w:val="006B224E"/>
    <w:rsid w:val="006B2DFB"/>
    <w:rsid w:val="006B376E"/>
    <w:rsid w:val="006B4589"/>
    <w:rsid w:val="006B5157"/>
    <w:rsid w:val="006B5DA7"/>
    <w:rsid w:val="006B610E"/>
    <w:rsid w:val="006B6805"/>
    <w:rsid w:val="006B6C07"/>
    <w:rsid w:val="006B6DE0"/>
    <w:rsid w:val="006C16C3"/>
    <w:rsid w:val="006C2187"/>
    <w:rsid w:val="006C27D9"/>
    <w:rsid w:val="006C32F4"/>
    <w:rsid w:val="006C3C54"/>
    <w:rsid w:val="006C4B6B"/>
    <w:rsid w:val="006C4CE1"/>
    <w:rsid w:val="006C4F9F"/>
    <w:rsid w:val="006C60D8"/>
    <w:rsid w:val="006C6988"/>
    <w:rsid w:val="006C71A2"/>
    <w:rsid w:val="006C73EC"/>
    <w:rsid w:val="006D0C1D"/>
    <w:rsid w:val="006D28F3"/>
    <w:rsid w:val="006D2E9D"/>
    <w:rsid w:val="006D4A4E"/>
    <w:rsid w:val="006D4C42"/>
    <w:rsid w:val="006D5389"/>
    <w:rsid w:val="006D53A2"/>
    <w:rsid w:val="006D5809"/>
    <w:rsid w:val="006D607E"/>
    <w:rsid w:val="006D6E12"/>
    <w:rsid w:val="006D70CB"/>
    <w:rsid w:val="006D715C"/>
    <w:rsid w:val="006D7363"/>
    <w:rsid w:val="006D774E"/>
    <w:rsid w:val="006E0754"/>
    <w:rsid w:val="006E2668"/>
    <w:rsid w:val="006E2D39"/>
    <w:rsid w:val="006E2FE9"/>
    <w:rsid w:val="006E32B0"/>
    <w:rsid w:val="006E348E"/>
    <w:rsid w:val="006E3512"/>
    <w:rsid w:val="006E396A"/>
    <w:rsid w:val="006E3D63"/>
    <w:rsid w:val="006E58BF"/>
    <w:rsid w:val="006E5DD8"/>
    <w:rsid w:val="006E5EA1"/>
    <w:rsid w:val="006E6DEE"/>
    <w:rsid w:val="006E7D4B"/>
    <w:rsid w:val="006F018A"/>
    <w:rsid w:val="006F0760"/>
    <w:rsid w:val="006F11E2"/>
    <w:rsid w:val="006F2574"/>
    <w:rsid w:val="006F3231"/>
    <w:rsid w:val="006F3DE3"/>
    <w:rsid w:val="006F4787"/>
    <w:rsid w:val="006F61D8"/>
    <w:rsid w:val="006F62B7"/>
    <w:rsid w:val="006F70BC"/>
    <w:rsid w:val="006F726C"/>
    <w:rsid w:val="006F7E7C"/>
    <w:rsid w:val="0070174E"/>
    <w:rsid w:val="007018DB"/>
    <w:rsid w:val="00701DE6"/>
    <w:rsid w:val="00702740"/>
    <w:rsid w:val="0070381B"/>
    <w:rsid w:val="0070796C"/>
    <w:rsid w:val="007109BB"/>
    <w:rsid w:val="00710EBF"/>
    <w:rsid w:val="007110B8"/>
    <w:rsid w:val="00711E36"/>
    <w:rsid w:val="0071209F"/>
    <w:rsid w:val="007125A2"/>
    <w:rsid w:val="00713C1B"/>
    <w:rsid w:val="00713DD9"/>
    <w:rsid w:val="00713F79"/>
    <w:rsid w:val="007148A8"/>
    <w:rsid w:val="00716AC8"/>
    <w:rsid w:val="00716E54"/>
    <w:rsid w:val="007200AE"/>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09E"/>
    <w:rsid w:val="00731434"/>
    <w:rsid w:val="00731E59"/>
    <w:rsid w:val="007323E0"/>
    <w:rsid w:val="00732911"/>
    <w:rsid w:val="00733721"/>
    <w:rsid w:val="00733DE2"/>
    <w:rsid w:val="0073414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89C"/>
    <w:rsid w:val="00747DE2"/>
    <w:rsid w:val="007502D0"/>
    <w:rsid w:val="007504BF"/>
    <w:rsid w:val="007506CD"/>
    <w:rsid w:val="0075267F"/>
    <w:rsid w:val="007526EC"/>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153"/>
    <w:rsid w:val="007777CC"/>
    <w:rsid w:val="00777B32"/>
    <w:rsid w:val="0078051E"/>
    <w:rsid w:val="00781089"/>
    <w:rsid w:val="007838F3"/>
    <w:rsid w:val="007856FE"/>
    <w:rsid w:val="00785F46"/>
    <w:rsid w:val="007865F4"/>
    <w:rsid w:val="00786D5C"/>
    <w:rsid w:val="00786E96"/>
    <w:rsid w:val="00787BB6"/>
    <w:rsid w:val="00787DFF"/>
    <w:rsid w:val="00787F93"/>
    <w:rsid w:val="00791E6D"/>
    <w:rsid w:val="00791EB5"/>
    <w:rsid w:val="00792B7F"/>
    <w:rsid w:val="0079343F"/>
    <w:rsid w:val="00793696"/>
    <w:rsid w:val="007955DA"/>
    <w:rsid w:val="00796F65"/>
    <w:rsid w:val="007A11C2"/>
    <w:rsid w:val="007A18BB"/>
    <w:rsid w:val="007A27DD"/>
    <w:rsid w:val="007A41BF"/>
    <w:rsid w:val="007A490A"/>
    <w:rsid w:val="007A6E8E"/>
    <w:rsid w:val="007A7B95"/>
    <w:rsid w:val="007B0297"/>
    <w:rsid w:val="007B02FA"/>
    <w:rsid w:val="007B0F53"/>
    <w:rsid w:val="007B21AE"/>
    <w:rsid w:val="007B2570"/>
    <w:rsid w:val="007B3113"/>
    <w:rsid w:val="007B3304"/>
    <w:rsid w:val="007B3BF0"/>
    <w:rsid w:val="007B7490"/>
    <w:rsid w:val="007C0525"/>
    <w:rsid w:val="007C13F7"/>
    <w:rsid w:val="007C1D77"/>
    <w:rsid w:val="007C218D"/>
    <w:rsid w:val="007C2D28"/>
    <w:rsid w:val="007C3E22"/>
    <w:rsid w:val="007C58C1"/>
    <w:rsid w:val="007C6218"/>
    <w:rsid w:val="007C6484"/>
    <w:rsid w:val="007C66B8"/>
    <w:rsid w:val="007C67C6"/>
    <w:rsid w:val="007C78BE"/>
    <w:rsid w:val="007C7A5D"/>
    <w:rsid w:val="007C7E59"/>
    <w:rsid w:val="007D0476"/>
    <w:rsid w:val="007D0B91"/>
    <w:rsid w:val="007D0FE7"/>
    <w:rsid w:val="007D1452"/>
    <w:rsid w:val="007D1563"/>
    <w:rsid w:val="007D3DCB"/>
    <w:rsid w:val="007D460C"/>
    <w:rsid w:val="007D4996"/>
    <w:rsid w:val="007D4AD3"/>
    <w:rsid w:val="007D5D19"/>
    <w:rsid w:val="007D5FDC"/>
    <w:rsid w:val="007D6176"/>
    <w:rsid w:val="007D69CD"/>
    <w:rsid w:val="007D6D68"/>
    <w:rsid w:val="007E194F"/>
    <w:rsid w:val="007E32DA"/>
    <w:rsid w:val="007E4998"/>
    <w:rsid w:val="007E4A9C"/>
    <w:rsid w:val="007E6914"/>
    <w:rsid w:val="007E6E57"/>
    <w:rsid w:val="007E7F78"/>
    <w:rsid w:val="007F0179"/>
    <w:rsid w:val="007F189E"/>
    <w:rsid w:val="007F2C13"/>
    <w:rsid w:val="007F2CEC"/>
    <w:rsid w:val="007F2ED1"/>
    <w:rsid w:val="007F30BE"/>
    <w:rsid w:val="007F334A"/>
    <w:rsid w:val="007F3435"/>
    <w:rsid w:val="007F505D"/>
    <w:rsid w:val="007F531B"/>
    <w:rsid w:val="007F55DE"/>
    <w:rsid w:val="007F762D"/>
    <w:rsid w:val="007F78F0"/>
    <w:rsid w:val="007F78FF"/>
    <w:rsid w:val="008001C5"/>
    <w:rsid w:val="00800F6C"/>
    <w:rsid w:val="00801065"/>
    <w:rsid w:val="00802C0B"/>
    <w:rsid w:val="00805040"/>
    <w:rsid w:val="008051FC"/>
    <w:rsid w:val="008055A9"/>
    <w:rsid w:val="008056C4"/>
    <w:rsid w:val="008057FD"/>
    <w:rsid w:val="00805D8B"/>
    <w:rsid w:val="0081010F"/>
    <w:rsid w:val="00810BB6"/>
    <w:rsid w:val="00810E8E"/>
    <w:rsid w:val="00811D1D"/>
    <w:rsid w:val="00812C44"/>
    <w:rsid w:val="00812DF7"/>
    <w:rsid w:val="008135E1"/>
    <w:rsid w:val="00813779"/>
    <w:rsid w:val="00813E26"/>
    <w:rsid w:val="0081481D"/>
    <w:rsid w:val="00814BE8"/>
    <w:rsid w:val="00814F6E"/>
    <w:rsid w:val="00815B84"/>
    <w:rsid w:val="00816342"/>
    <w:rsid w:val="008166F6"/>
    <w:rsid w:val="00816BE9"/>
    <w:rsid w:val="00817D10"/>
    <w:rsid w:val="00822518"/>
    <w:rsid w:val="008226F5"/>
    <w:rsid w:val="00823FC6"/>
    <w:rsid w:val="00824306"/>
    <w:rsid w:val="00825C74"/>
    <w:rsid w:val="00825CFA"/>
    <w:rsid w:val="00826AB9"/>
    <w:rsid w:val="00826E0E"/>
    <w:rsid w:val="00827D11"/>
    <w:rsid w:val="00827E0F"/>
    <w:rsid w:val="00827F6E"/>
    <w:rsid w:val="00831758"/>
    <w:rsid w:val="008317D9"/>
    <w:rsid w:val="00831AEC"/>
    <w:rsid w:val="0083279F"/>
    <w:rsid w:val="00832CE9"/>
    <w:rsid w:val="008334DB"/>
    <w:rsid w:val="00833B7F"/>
    <w:rsid w:val="00833E8E"/>
    <w:rsid w:val="00834906"/>
    <w:rsid w:val="00836075"/>
    <w:rsid w:val="00836417"/>
    <w:rsid w:val="00837526"/>
    <w:rsid w:val="00837B49"/>
    <w:rsid w:val="008405D4"/>
    <w:rsid w:val="008407A7"/>
    <w:rsid w:val="0084322B"/>
    <w:rsid w:val="00843F81"/>
    <w:rsid w:val="00844087"/>
    <w:rsid w:val="008448F1"/>
    <w:rsid w:val="0084519E"/>
    <w:rsid w:val="00845CAE"/>
    <w:rsid w:val="008462C5"/>
    <w:rsid w:val="008462FA"/>
    <w:rsid w:val="00846370"/>
    <w:rsid w:val="00846873"/>
    <w:rsid w:val="008477E7"/>
    <w:rsid w:val="00847C2B"/>
    <w:rsid w:val="00850272"/>
    <w:rsid w:val="008506B9"/>
    <w:rsid w:val="0085086F"/>
    <w:rsid w:val="00851822"/>
    <w:rsid w:val="00851C16"/>
    <w:rsid w:val="008532BF"/>
    <w:rsid w:val="008539B2"/>
    <w:rsid w:val="00853BF4"/>
    <w:rsid w:val="00854294"/>
    <w:rsid w:val="00854295"/>
    <w:rsid w:val="00854DE8"/>
    <w:rsid w:val="0085572E"/>
    <w:rsid w:val="0085723E"/>
    <w:rsid w:val="00857354"/>
    <w:rsid w:val="0085788B"/>
    <w:rsid w:val="00857A9E"/>
    <w:rsid w:val="00857DE2"/>
    <w:rsid w:val="0086003D"/>
    <w:rsid w:val="0086037C"/>
    <w:rsid w:val="008615AE"/>
    <w:rsid w:val="00862567"/>
    <w:rsid w:val="00863A8E"/>
    <w:rsid w:val="0086407F"/>
    <w:rsid w:val="008645E3"/>
    <w:rsid w:val="00864E79"/>
    <w:rsid w:val="00865540"/>
    <w:rsid w:val="0086572B"/>
    <w:rsid w:val="00866615"/>
    <w:rsid w:val="0086661F"/>
    <w:rsid w:val="00866A0D"/>
    <w:rsid w:val="00866DB5"/>
    <w:rsid w:val="0086701D"/>
    <w:rsid w:val="0086702B"/>
    <w:rsid w:val="008672E2"/>
    <w:rsid w:val="0086784E"/>
    <w:rsid w:val="0087121C"/>
    <w:rsid w:val="00871FD2"/>
    <w:rsid w:val="00872084"/>
    <w:rsid w:val="00872827"/>
    <w:rsid w:val="00872A32"/>
    <w:rsid w:val="00874911"/>
    <w:rsid w:val="00874F0F"/>
    <w:rsid w:val="008754E4"/>
    <w:rsid w:val="00876EAE"/>
    <w:rsid w:val="00880106"/>
    <w:rsid w:val="00880F95"/>
    <w:rsid w:val="00882B44"/>
    <w:rsid w:val="008838AD"/>
    <w:rsid w:val="00885BC9"/>
    <w:rsid w:val="008864B3"/>
    <w:rsid w:val="008865E5"/>
    <w:rsid w:val="008871B0"/>
    <w:rsid w:val="00890B57"/>
    <w:rsid w:val="008916BA"/>
    <w:rsid w:val="0089217C"/>
    <w:rsid w:val="00892790"/>
    <w:rsid w:val="00893671"/>
    <w:rsid w:val="008955C6"/>
    <w:rsid w:val="00895838"/>
    <w:rsid w:val="00895A1E"/>
    <w:rsid w:val="00895A72"/>
    <w:rsid w:val="00895CDF"/>
    <w:rsid w:val="00896679"/>
    <w:rsid w:val="00896D8C"/>
    <w:rsid w:val="00896FF0"/>
    <w:rsid w:val="008A0FC9"/>
    <w:rsid w:val="008A1956"/>
    <w:rsid w:val="008A1A7C"/>
    <w:rsid w:val="008A2CE2"/>
    <w:rsid w:val="008A40D3"/>
    <w:rsid w:val="008A469C"/>
    <w:rsid w:val="008A50FB"/>
    <w:rsid w:val="008A51D1"/>
    <w:rsid w:val="008A5DCE"/>
    <w:rsid w:val="008A75D3"/>
    <w:rsid w:val="008B05DD"/>
    <w:rsid w:val="008B07B8"/>
    <w:rsid w:val="008B0DB8"/>
    <w:rsid w:val="008B17E8"/>
    <w:rsid w:val="008B2C45"/>
    <w:rsid w:val="008B2E7C"/>
    <w:rsid w:val="008B399A"/>
    <w:rsid w:val="008B45F0"/>
    <w:rsid w:val="008B4A70"/>
    <w:rsid w:val="008B502F"/>
    <w:rsid w:val="008B6DFC"/>
    <w:rsid w:val="008B7227"/>
    <w:rsid w:val="008C02FB"/>
    <w:rsid w:val="008C04E0"/>
    <w:rsid w:val="008C191C"/>
    <w:rsid w:val="008C1DA4"/>
    <w:rsid w:val="008C2138"/>
    <w:rsid w:val="008C29B0"/>
    <w:rsid w:val="008C2CD5"/>
    <w:rsid w:val="008C3618"/>
    <w:rsid w:val="008C39E7"/>
    <w:rsid w:val="008C43AD"/>
    <w:rsid w:val="008C6118"/>
    <w:rsid w:val="008C6341"/>
    <w:rsid w:val="008C653D"/>
    <w:rsid w:val="008C731F"/>
    <w:rsid w:val="008C74D9"/>
    <w:rsid w:val="008D2050"/>
    <w:rsid w:val="008D3B2D"/>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227"/>
    <w:rsid w:val="008E562C"/>
    <w:rsid w:val="008E581B"/>
    <w:rsid w:val="008E6540"/>
    <w:rsid w:val="008E77D4"/>
    <w:rsid w:val="008E7ADD"/>
    <w:rsid w:val="008F091F"/>
    <w:rsid w:val="008F17B2"/>
    <w:rsid w:val="008F22B3"/>
    <w:rsid w:val="008F357B"/>
    <w:rsid w:val="008F44CA"/>
    <w:rsid w:val="008F49D3"/>
    <w:rsid w:val="008F6519"/>
    <w:rsid w:val="008F7012"/>
    <w:rsid w:val="008F7ADA"/>
    <w:rsid w:val="008F7B17"/>
    <w:rsid w:val="00900042"/>
    <w:rsid w:val="0090034B"/>
    <w:rsid w:val="0090087C"/>
    <w:rsid w:val="00901121"/>
    <w:rsid w:val="00902623"/>
    <w:rsid w:val="00902A67"/>
    <w:rsid w:val="00902C5E"/>
    <w:rsid w:val="00904BE4"/>
    <w:rsid w:val="0090504A"/>
    <w:rsid w:val="009051F5"/>
    <w:rsid w:val="00905221"/>
    <w:rsid w:val="00905664"/>
    <w:rsid w:val="00905A7C"/>
    <w:rsid w:val="00905D7E"/>
    <w:rsid w:val="00907037"/>
    <w:rsid w:val="00907259"/>
    <w:rsid w:val="00910C5D"/>
    <w:rsid w:val="0091112C"/>
    <w:rsid w:val="0091160A"/>
    <w:rsid w:val="00912E04"/>
    <w:rsid w:val="00913258"/>
    <w:rsid w:val="00913851"/>
    <w:rsid w:val="00913BB0"/>
    <w:rsid w:val="0091456C"/>
    <w:rsid w:val="00914C58"/>
    <w:rsid w:val="00914D78"/>
    <w:rsid w:val="0091564D"/>
    <w:rsid w:val="009156DA"/>
    <w:rsid w:val="00915774"/>
    <w:rsid w:val="00916BC5"/>
    <w:rsid w:val="0091726A"/>
    <w:rsid w:val="00917C01"/>
    <w:rsid w:val="00920184"/>
    <w:rsid w:val="009205CD"/>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21B1"/>
    <w:rsid w:val="009327F0"/>
    <w:rsid w:val="00932ED7"/>
    <w:rsid w:val="0093422D"/>
    <w:rsid w:val="0093483B"/>
    <w:rsid w:val="00934CF9"/>
    <w:rsid w:val="00934DD7"/>
    <w:rsid w:val="00935CB2"/>
    <w:rsid w:val="00936709"/>
    <w:rsid w:val="009369A9"/>
    <w:rsid w:val="00936CF7"/>
    <w:rsid w:val="00937783"/>
    <w:rsid w:val="00937EAD"/>
    <w:rsid w:val="00937F28"/>
    <w:rsid w:val="00940FE1"/>
    <w:rsid w:val="00941474"/>
    <w:rsid w:val="00942306"/>
    <w:rsid w:val="009424B8"/>
    <w:rsid w:val="009432E2"/>
    <w:rsid w:val="00944668"/>
    <w:rsid w:val="00944DC6"/>
    <w:rsid w:val="009458B0"/>
    <w:rsid w:val="00945B52"/>
    <w:rsid w:val="00945B7A"/>
    <w:rsid w:val="00945F05"/>
    <w:rsid w:val="00946348"/>
    <w:rsid w:val="00947224"/>
    <w:rsid w:val="00947797"/>
    <w:rsid w:val="009478A2"/>
    <w:rsid w:val="009533BD"/>
    <w:rsid w:val="009536FB"/>
    <w:rsid w:val="00953808"/>
    <w:rsid w:val="009539A6"/>
    <w:rsid w:val="00954032"/>
    <w:rsid w:val="00954537"/>
    <w:rsid w:val="0095472D"/>
    <w:rsid w:val="00955342"/>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70F18"/>
    <w:rsid w:val="00971CF1"/>
    <w:rsid w:val="00971F5D"/>
    <w:rsid w:val="009721E9"/>
    <w:rsid w:val="00972A2A"/>
    <w:rsid w:val="00973772"/>
    <w:rsid w:val="0097560A"/>
    <w:rsid w:val="00975E1E"/>
    <w:rsid w:val="00975E70"/>
    <w:rsid w:val="009761DE"/>
    <w:rsid w:val="009766FA"/>
    <w:rsid w:val="00977CD6"/>
    <w:rsid w:val="0098048B"/>
    <w:rsid w:val="00980908"/>
    <w:rsid w:val="00980DF9"/>
    <w:rsid w:val="00981CD8"/>
    <w:rsid w:val="0098243D"/>
    <w:rsid w:val="00982D26"/>
    <w:rsid w:val="00982F3F"/>
    <w:rsid w:val="00983B6E"/>
    <w:rsid w:val="00983FE5"/>
    <w:rsid w:val="009849E9"/>
    <w:rsid w:val="00984AFF"/>
    <w:rsid w:val="009859E4"/>
    <w:rsid w:val="00985D7F"/>
    <w:rsid w:val="00987812"/>
    <w:rsid w:val="00990225"/>
    <w:rsid w:val="00991307"/>
    <w:rsid w:val="00991FAA"/>
    <w:rsid w:val="00992A13"/>
    <w:rsid w:val="00994AAD"/>
    <w:rsid w:val="00995150"/>
    <w:rsid w:val="00995D67"/>
    <w:rsid w:val="00997613"/>
    <w:rsid w:val="009A013B"/>
    <w:rsid w:val="009A02F4"/>
    <w:rsid w:val="009A06BF"/>
    <w:rsid w:val="009A0D17"/>
    <w:rsid w:val="009A2494"/>
    <w:rsid w:val="009A32B1"/>
    <w:rsid w:val="009A33A3"/>
    <w:rsid w:val="009A36F2"/>
    <w:rsid w:val="009A40C3"/>
    <w:rsid w:val="009A40D5"/>
    <w:rsid w:val="009A5268"/>
    <w:rsid w:val="009A52FD"/>
    <w:rsid w:val="009A550F"/>
    <w:rsid w:val="009A57D0"/>
    <w:rsid w:val="009A6559"/>
    <w:rsid w:val="009A68FC"/>
    <w:rsid w:val="009A6CE4"/>
    <w:rsid w:val="009A7514"/>
    <w:rsid w:val="009A7E7A"/>
    <w:rsid w:val="009B0354"/>
    <w:rsid w:val="009B0925"/>
    <w:rsid w:val="009B1584"/>
    <w:rsid w:val="009B18F0"/>
    <w:rsid w:val="009B1F4C"/>
    <w:rsid w:val="009B2471"/>
    <w:rsid w:val="009B314F"/>
    <w:rsid w:val="009B439C"/>
    <w:rsid w:val="009B49A1"/>
    <w:rsid w:val="009B4A6C"/>
    <w:rsid w:val="009B4DA8"/>
    <w:rsid w:val="009B519A"/>
    <w:rsid w:val="009B620C"/>
    <w:rsid w:val="009B6753"/>
    <w:rsid w:val="009B676C"/>
    <w:rsid w:val="009B6A26"/>
    <w:rsid w:val="009B77AC"/>
    <w:rsid w:val="009C079D"/>
    <w:rsid w:val="009C0D70"/>
    <w:rsid w:val="009C13D1"/>
    <w:rsid w:val="009C2913"/>
    <w:rsid w:val="009C2BD4"/>
    <w:rsid w:val="009C3746"/>
    <w:rsid w:val="009C4F1E"/>
    <w:rsid w:val="009C5AFE"/>
    <w:rsid w:val="009C6606"/>
    <w:rsid w:val="009C6CE5"/>
    <w:rsid w:val="009C6D50"/>
    <w:rsid w:val="009C7547"/>
    <w:rsid w:val="009D05EC"/>
    <w:rsid w:val="009D061F"/>
    <w:rsid w:val="009D18D4"/>
    <w:rsid w:val="009D1FCF"/>
    <w:rsid w:val="009D2F60"/>
    <w:rsid w:val="009D3A2E"/>
    <w:rsid w:val="009D5ADE"/>
    <w:rsid w:val="009D5BAC"/>
    <w:rsid w:val="009D5C56"/>
    <w:rsid w:val="009D6265"/>
    <w:rsid w:val="009D64BD"/>
    <w:rsid w:val="009D6CB1"/>
    <w:rsid w:val="009E0223"/>
    <w:rsid w:val="009E0286"/>
    <w:rsid w:val="009E153F"/>
    <w:rsid w:val="009E18C5"/>
    <w:rsid w:val="009E322A"/>
    <w:rsid w:val="009E393E"/>
    <w:rsid w:val="009E444E"/>
    <w:rsid w:val="009E45F3"/>
    <w:rsid w:val="009E4968"/>
    <w:rsid w:val="009E663C"/>
    <w:rsid w:val="009E684A"/>
    <w:rsid w:val="009E6BB1"/>
    <w:rsid w:val="009E6E14"/>
    <w:rsid w:val="009E724E"/>
    <w:rsid w:val="009E794A"/>
    <w:rsid w:val="009E7C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1DA8"/>
    <w:rsid w:val="00A02C66"/>
    <w:rsid w:val="00A02C84"/>
    <w:rsid w:val="00A0464C"/>
    <w:rsid w:val="00A050BB"/>
    <w:rsid w:val="00A0521B"/>
    <w:rsid w:val="00A054E0"/>
    <w:rsid w:val="00A05D91"/>
    <w:rsid w:val="00A0740B"/>
    <w:rsid w:val="00A07ED3"/>
    <w:rsid w:val="00A10CA8"/>
    <w:rsid w:val="00A11042"/>
    <w:rsid w:val="00A12579"/>
    <w:rsid w:val="00A12CDC"/>
    <w:rsid w:val="00A133D8"/>
    <w:rsid w:val="00A15655"/>
    <w:rsid w:val="00A160B0"/>
    <w:rsid w:val="00A168F8"/>
    <w:rsid w:val="00A1740C"/>
    <w:rsid w:val="00A17904"/>
    <w:rsid w:val="00A20069"/>
    <w:rsid w:val="00A2244D"/>
    <w:rsid w:val="00A2253D"/>
    <w:rsid w:val="00A2267F"/>
    <w:rsid w:val="00A22CDB"/>
    <w:rsid w:val="00A247B8"/>
    <w:rsid w:val="00A2495A"/>
    <w:rsid w:val="00A24C7A"/>
    <w:rsid w:val="00A24D8F"/>
    <w:rsid w:val="00A25B8B"/>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1CA0"/>
    <w:rsid w:val="00A42B8F"/>
    <w:rsid w:val="00A42D8E"/>
    <w:rsid w:val="00A43254"/>
    <w:rsid w:val="00A43896"/>
    <w:rsid w:val="00A43951"/>
    <w:rsid w:val="00A43A26"/>
    <w:rsid w:val="00A447A0"/>
    <w:rsid w:val="00A459F5"/>
    <w:rsid w:val="00A45FC0"/>
    <w:rsid w:val="00A46B74"/>
    <w:rsid w:val="00A47BF7"/>
    <w:rsid w:val="00A47ECC"/>
    <w:rsid w:val="00A50171"/>
    <w:rsid w:val="00A504FA"/>
    <w:rsid w:val="00A5102E"/>
    <w:rsid w:val="00A5132E"/>
    <w:rsid w:val="00A51375"/>
    <w:rsid w:val="00A51533"/>
    <w:rsid w:val="00A51F95"/>
    <w:rsid w:val="00A52573"/>
    <w:rsid w:val="00A531D4"/>
    <w:rsid w:val="00A54572"/>
    <w:rsid w:val="00A575B8"/>
    <w:rsid w:val="00A619BB"/>
    <w:rsid w:val="00A61C60"/>
    <w:rsid w:val="00A61ECB"/>
    <w:rsid w:val="00A6410C"/>
    <w:rsid w:val="00A647B1"/>
    <w:rsid w:val="00A64AFB"/>
    <w:rsid w:val="00A64DEF"/>
    <w:rsid w:val="00A654D2"/>
    <w:rsid w:val="00A665DF"/>
    <w:rsid w:val="00A67FCC"/>
    <w:rsid w:val="00A70612"/>
    <w:rsid w:val="00A70AA5"/>
    <w:rsid w:val="00A70C03"/>
    <w:rsid w:val="00A71256"/>
    <w:rsid w:val="00A7217B"/>
    <w:rsid w:val="00A722D7"/>
    <w:rsid w:val="00A723A3"/>
    <w:rsid w:val="00A73861"/>
    <w:rsid w:val="00A739A6"/>
    <w:rsid w:val="00A740ED"/>
    <w:rsid w:val="00A74C29"/>
    <w:rsid w:val="00A74C62"/>
    <w:rsid w:val="00A75EF9"/>
    <w:rsid w:val="00A7657C"/>
    <w:rsid w:val="00A8311C"/>
    <w:rsid w:val="00A835D0"/>
    <w:rsid w:val="00A84C5F"/>
    <w:rsid w:val="00A85930"/>
    <w:rsid w:val="00A863F7"/>
    <w:rsid w:val="00A86604"/>
    <w:rsid w:val="00A87519"/>
    <w:rsid w:val="00A91052"/>
    <w:rsid w:val="00A9246D"/>
    <w:rsid w:val="00A92CCA"/>
    <w:rsid w:val="00A93BD0"/>
    <w:rsid w:val="00A93CC2"/>
    <w:rsid w:val="00A94D4B"/>
    <w:rsid w:val="00A974CC"/>
    <w:rsid w:val="00AA2001"/>
    <w:rsid w:val="00AA2B5C"/>
    <w:rsid w:val="00AA32D2"/>
    <w:rsid w:val="00AA3B8B"/>
    <w:rsid w:val="00AA3CEC"/>
    <w:rsid w:val="00AA4016"/>
    <w:rsid w:val="00AA4C1F"/>
    <w:rsid w:val="00AA5328"/>
    <w:rsid w:val="00AA5393"/>
    <w:rsid w:val="00AA63D4"/>
    <w:rsid w:val="00AB03FD"/>
    <w:rsid w:val="00AB07ED"/>
    <w:rsid w:val="00AB09A1"/>
    <w:rsid w:val="00AB2000"/>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5E9"/>
    <w:rsid w:val="00AC7D6D"/>
    <w:rsid w:val="00AD0091"/>
    <w:rsid w:val="00AD23EF"/>
    <w:rsid w:val="00AD2662"/>
    <w:rsid w:val="00AD307B"/>
    <w:rsid w:val="00AD4014"/>
    <w:rsid w:val="00AD41B3"/>
    <w:rsid w:val="00AD4C9C"/>
    <w:rsid w:val="00AD5721"/>
    <w:rsid w:val="00AD69F0"/>
    <w:rsid w:val="00AD7127"/>
    <w:rsid w:val="00AD730C"/>
    <w:rsid w:val="00AE123A"/>
    <w:rsid w:val="00AE1539"/>
    <w:rsid w:val="00AE287B"/>
    <w:rsid w:val="00AE28A7"/>
    <w:rsid w:val="00AE2A98"/>
    <w:rsid w:val="00AE2CF2"/>
    <w:rsid w:val="00AE3012"/>
    <w:rsid w:val="00AE3297"/>
    <w:rsid w:val="00AE33A6"/>
    <w:rsid w:val="00AE3513"/>
    <w:rsid w:val="00AE3729"/>
    <w:rsid w:val="00AE4A3E"/>
    <w:rsid w:val="00AE4CCE"/>
    <w:rsid w:val="00AE5C6A"/>
    <w:rsid w:val="00AE7280"/>
    <w:rsid w:val="00AF01FA"/>
    <w:rsid w:val="00AF033A"/>
    <w:rsid w:val="00AF1658"/>
    <w:rsid w:val="00AF1699"/>
    <w:rsid w:val="00AF1FD3"/>
    <w:rsid w:val="00AF21C7"/>
    <w:rsid w:val="00AF2910"/>
    <w:rsid w:val="00AF34B8"/>
    <w:rsid w:val="00AF3896"/>
    <w:rsid w:val="00AF39C9"/>
    <w:rsid w:val="00AF3FC2"/>
    <w:rsid w:val="00AF4DEC"/>
    <w:rsid w:val="00AF537D"/>
    <w:rsid w:val="00B003FF"/>
    <w:rsid w:val="00B0098A"/>
    <w:rsid w:val="00B00A5F"/>
    <w:rsid w:val="00B0210E"/>
    <w:rsid w:val="00B029B8"/>
    <w:rsid w:val="00B02F60"/>
    <w:rsid w:val="00B02F94"/>
    <w:rsid w:val="00B032B8"/>
    <w:rsid w:val="00B04721"/>
    <w:rsid w:val="00B04B15"/>
    <w:rsid w:val="00B04B46"/>
    <w:rsid w:val="00B0534D"/>
    <w:rsid w:val="00B05685"/>
    <w:rsid w:val="00B05F9F"/>
    <w:rsid w:val="00B06368"/>
    <w:rsid w:val="00B068DA"/>
    <w:rsid w:val="00B06A00"/>
    <w:rsid w:val="00B06FC6"/>
    <w:rsid w:val="00B071AB"/>
    <w:rsid w:val="00B074C9"/>
    <w:rsid w:val="00B07D9D"/>
    <w:rsid w:val="00B11AE5"/>
    <w:rsid w:val="00B12FE6"/>
    <w:rsid w:val="00B1303F"/>
    <w:rsid w:val="00B135F4"/>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78B"/>
    <w:rsid w:val="00B31825"/>
    <w:rsid w:val="00B31A5C"/>
    <w:rsid w:val="00B32265"/>
    <w:rsid w:val="00B3276D"/>
    <w:rsid w:val="00B33B06"/>
    <w:rsid w:val="00B33C19"/>
    <w:rsid w:val="00B35A15"/>
    <w:rsid w:val="00B35B45"/>
    <w:rsid w:val="00B36165"/>
    <w:rsid w:val="00B36A99"/>
    <w:rsid w:val="00B412C2"/>
    <w:rsid w:val="00B42264"/>
    <w:rsid w:val="00B434B2"/>
    <w:rsid w:val="00B43D45"/>
    <w:rsid w:val="00B459AF"/>
    <w:rsid w:val="00B468F2"/>
    <w:rsid w:val="00B469DE"/>
    <w:rsid w:val="00B47286"/>
    <w:rsid w:val="00B47EB4"/>
    <w:rsid w:val="00B50234"/>
    <w:rsid w:val="00B51AB4"/>
    <w:rsid w:val="00B51BF4"/>
    <w:rsid w:val="00B52C68"/>
    <w:rsid w:val="00B5372B"/>
    <w:rsid w:val="00B542FE"/>
    <w:rsid w:val="00B55A1B"/>
    <w:rsid w:val="00B561DB"/>
    <w:rsid w:val="00B56DF9"/>
    <w:rsid w:val="00B56E80"/>
    <w:rsid w:val="00B571F1"/>
    <w:rsid w:val="00B600BD"/>
    <w:rsid w:val="00B60E4E"/>
    <w:rsid w:val="00B61274"/>
    <w:rsid w:val="00B61DCE"/>
    <w:rsid w:val="00B62188"/>
    <w:rsid w:val="00B62F79"/>
    <w:rsid w:val="00B62F82"/>
    <w:rsid w:val="00B6306A"/>
    <w:rsid w:val="00B635E3"/>
    <w:rsid w:val="00B662FF"/>
    <w:rsid w:val="00B66679"/>
    <w:rsid w:val="00B70145"/>
    <w:rsid w:val="00B71A92"/>
    <w:rsid w:val="00B721D8"/>
    <w:rsid w:val="00B730CA"/>
    <w:rsid w:val="00B732EA"/>
    <w:rsid w:val="00B73747"/>
    <w:rsid w:val="00B747C5"/>
    <w:rsid w:val="00B747EE"/>
    <w:rsid w:val="00B74861"/>
    <w:rsid w:val="00B74F2F"/>
    <w:rsid w:val="00B753ED"/>
    <w:rsid w:val="00B7665F"/>
    <w:rsid w:val="00B769BC"/>
    <w:rsid w:val="00B770F7"/>
    <w:rsid w:val="00B77349"/>
    <w:rsid w:val="00B7761E"/>
    <w:rsid w:val="00B80A3D"/>
    <w:rsid w:val="00B80B04"/>
    <w:rsid w:val="00B821E4"/>
    <w:rsid w:val="00B823E0"/>
    <w:rsid w:val="00B8260D"/>
    <w:rsid w:val="00B82B78"/>
    <w:rsid w:val="00B845B4"/>
    <w:rsid w:val="00B84662"/>
    <w:rsid w:val="00B84C74"/>
    <w:rsid w:val="00B84CE9"/>
    <w:rsid w:val="00B85191"/>
    <w:rsid w:val="00B858A1"/>
    <w:rsid w:val="00B85FEC"/>
    <w:rsid w:val="00B864A3"/>
    <w:rsid w:val="00B86C2A"/>
    <w:rsid w:val="00B902A5"/>
    <w:rsid w:val="00B90420"/>
    <w:rsid w:val="00B90848"/>
    <w:rsid w:val="00B91146"/>
    <w:rsid w:val="00B913E4"/>
    <w:rsid w:val="00B91DB9"/>
    <w:rsid w:val="00B91FF3"/>
    <w:rsid w:val="00B925F8"/>
    <w:rsid w:val="00B93EFE"/>
    <w:rsid w:val="00B944B9"/>
    <w:rsid w:val="00B94956"/>
    <w:rsid w:val="00B94C7F"/>
    <w:rsid w:val="00B94E93"/>
    <w:rsid w:val="00B956B5"/>
    <w:rsid w:val="00B95956"/>
    <w:rsid w:val="00B96DF2"/>
    <w:rsid w:val="00B96E18"/>
    <w:rsid w:val="00B96F5A"/>
    <w:rsid w:val="00BA0B39"/>
    <w:rsid w:val="00BA0CB2"/>
    <w:rsid w:val="00BA0E26"/>
    <w:rsid w:val="00BA138B"/>
    <w:rsid w:val="00BA2BB2"/>
    <w:rsid w:val="00BA305B"/>
    <w:rsid w:val="00BA31BF"/>
    <w:rsid w:val="00BA3C0F"/>
    <w:rsid w:val="00BA3FC7"/>
    <w:rsid w:val="00BA478B"/>
    <w:rsid w:val="00BA5224"/>
    <w:rsid w:val="00BA575E"/>
    <w:rsid w:val="00BA76B7"/>
    <w:rsid w:val="00BA7E3B"/>
    <w:rsid w:val="00BB078D"/>
    <w:rsid w:val="00BB079C"/>
    <w:rsid w:val="00BB0D7A"/>
    <w:rsid w:val="00BB10E1"/>
    <w:rsid w:val="00BB2471"/>
    <w:rsid w:val="00BB3035"/>
    <w:rsid w:val="00BB39C1"/>
    <w:rsid w:val="00BB3DF5"/>
    <w:rsid w:val="00BB3EA7"/>
    <w:rsid w:val="00BB5D16"/>
    <w:rsid w:val="00BB6180"/>
    <w:rsid w:val="00BB69E6"/>
    <w:rsid w:val="00BB7323"/>
    <w:rsid w:val="00BB7BE5"/>
    <w:rsid w:val="00BC08BD"/>
    <w:rsid w:val="00BC11E8"/>
    <w:rsid w:val="00BC1B7A"/>
    <w:rsid w:val="00BC2C17"/>
    <w:rsid w:val="00BC3ACD"/>
    <w:rsid w:val="00BC3B20"/>
    <w:rsid w:val="00BC3EE4"/>
    <w:rsid w:val="00BC588C"/>
    <w:rsid w:val="00BC6E73"/>
    <w:rsid w:val="00BC74D3"/>
    <w:rsid w:val="00BD0014"/>
    <w:rsid w:val="00BD01D8"/>
    <w:rsid w:val="00BD255F"/>
    <w:rsid w:val="00BD2895"/>
    <w:rsid w:val="00BD4236"/>
    <w:rsid w:val="00BD483B"/>
    <w:rsid w:val="00BD51F9"/>
    <w:rsid w:val="00BD5CD4"/>
    <w:rsid w:val="00BD5E52"/>
    <w:rsid w:val="00BD65D9"/>
    <w:rsid w:val="00BD6DF3"/>
    <w:rsid w:val="00BD6E09"/>
    <w:rsid w:val="00BD6EF9"/>
    <w:rsid w:val="00BD7760"/>
    <w:rsid w:val="00BE0546"/>
    <w:rsid w:val="00BE0ACB"/>
    <w:rsid w:val="00BE2260"/>
    <w:rsid w:val="00BE327E"/>
    <w:rsid w:val="00BE3917"/>
    <w:rsid w:val="00BE50FD"/>
    <w:rsid w:val="00BE51CA"/>
    <w:rsid w:val="00BE537F"/>
    <w:rsid w:val="00BE5D77"/>
    <w:rsid w:val="00BE6D47"/>
    <w:rsid w:val="00BE7032"/>
    <w:rsid w:val="00BE7330"/>
    <w:rsid w:val="00BF01C5"/>
    <w:rsid w:val="00BF061A"/>
    <w:rsid w:val="00BF066A"/>
    <w:rsid w:val="00BF14CC"/>
    <w:rsid w:val="00BF1821"/>
    <w:rsid w:val="00BF22E9"/>
    <w:rsid w:val="00BF4342"/>
    <w:rsid w:val="00BF4704"/>
    <w:rsid w:val="00BF4FFC"/>
    <w:rsid w:val="00BF5050"/>
    <w:rsid w:val="00BF50D1"/>
    <w:rsid w:val="00BF5422"/>
    <w:rsid w:val="00BF59B1"/>
    <w:rsid w:val="00BF6625"/>
    <w:rsid w:val="00BF6A78"/>
    <w:rsid w:val="00BF7695"/>
    <w:rsid w:val="00BF79B4"/>
    <w:rsid w:val="00BF7C61"/>
    <w:rsid w:val="00C01427"/>
    <w:rsid w:val="00C014C7"/>
    <w:rsid w:val="00C031CF"/>
    <w:rsid w:val="00C036A5"/>
    <w:rsid w:val="00C047AB"/>
    <w:rsid w:val="00C058AF"/>
    <w:rsid w:val="00C075B6"/>
    <w:rsid w:val="00C124C1"/>
    <w:rsid w:val="00C128AE"/>
    <w:rsid w:val="00C12BA8"/>
    <w:rsid w:val="00C12DAE"/>
    <w:rsid w:val="00C13094"/>
    <w:rsid w:val="00C133E9"/>
    <w:rsid w:val="00C136D6"/>
    <w:rsid w:val="00C13D5B"/>
    <w:rsid w:val="00C141D7"/>
    <w:rsid w:val="00C170B0"/>
    <w:rsid w:val="00C1711B"/>
    <w:rsid w:val="00C17AE2"/>
    <w:rsid w:val="00C20140"/>
    <w:rsid w:val="00C20F27"/>
    <w:rsid w:val="00C215CF"/>
    <w:rsid w:val="00C21EF8"/>
    <w:rsid w:val="00C2244B"/>
    <w:rsid w:val="00C22711"/>
    <w:rsid w:val="00C2280A"/>
    <w:rsid w:val="00C22B0D"/>
    <w:rsid w:val="00C22BFF"/>
    <w:rsid w:val="00C23522"/>
    <w:rsid w:val="00C240C1"/>
    <w:rsid w:val="00C244A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4619"/>
    <w:rsid w:val="00C348D9"/>
    <w:rsid w:val="00C35A50"/>
    <w:rsid w:val="00C35D01"/>
    <w:rsid w:val="00C360B3"/>
    <w:rsid w:val="00C37027"/>
    <w:rsid w:val="00C373BF"/>
    <w:rsid w:val="00C37B19"/>
    <w:rsid w:val="00C37D51"/>
    <w:rsid w:val="00C41349"/>
    <w:rsid w:val="00C413CB"/>
    <w:rsid w:val="00C42752"/>
    <w:rsid w:val="00C42973"/>
    <w:rsid w:val="00C46B95"/>
    <w:rsid w:val="00C4712A"/>
    <w:rsid w:val="00C5034F"/>
    <w:rsid w:val="00C50830"/>
    <w:rsid w:val="00C52479"/>
    <w:rsid w:val="00C5266E"/>
    <w:rsid w:val="00C52C59"/>
    <w:rsid w:val="00C5349E"/>
    <w:rsid w:val="00C539FF"/>
    <w:rsid w:val="00C544BD"/>
    <w:rsid w:val="00C54D3D"/>
    <w:rsid w:val="00C55A30"/>
    <w:rsid w:val="00C56384"/>
    <w:rsid w:val="00C57FFC"/>
    <w:rsid w:val="00C60F8C"/>
    <w:rsid w:val="00C61424"/>
    <w:rsid w:val="00C61794"/>
    <w:rsid w:val="00C62A48"/>
    <w:rsid w:val="00C62AC4"/>
    <w:rsid w:val="00C62B59"/>
    <w:rsid w:val="00C62F96"/>
    <w:rsid w:val="00C631E1"/>
    <w:rsid w:val="00C638D8"/>
    <w:rsid w:val="00C63A43"/>
    <w:rsid w:val="00C63AE7"/>
    <w:rsid w:val="00C63D26"/>
    <w:rsid w:val="00C6540A"/>
    <w:rsid w:val="00C668A1"/>
    <w:rsid w:val="00C67223"/>
    <w:rsid w:val="00C67EEA"/>
    <w:rsid w:val="00C707B8"/>
    <w:rsid w:val="00C712AC"/>
    <w:rsid w:val="00C71C15"/>
    <w:rsid w:val="00C71F3D"/>
    <w:rsid w:val="00C72D14"/>
    <w:rsid w:val="00C72F53"/>
    <w:rsid w:val="00C74035"/>
    <w:rsid w:val="00C748EA"/>
    <w:rsid w:val="00C77818"/>
    <w:rsid w:val="00C8063F"/>
    <w:rsid w:val="00C80BDD"/>
    <w:rsid w:val="00C81282"/>
    <w:rsid w:val="00C827B4"/>
    <w:rsid w:val="00C83214"/>
    <w:rsid w:val="00C8329F"/>
    <w:rsid w:val="00C8342B"/>
    <w:rsid w:val="00C84F8A"/>
    <w:rsid w:val="00C85BA4"/>
    <w:rsid w:val="00C8618F"/>
    <w:rsid w:val="00C8625D"/>
    <w:rsid w:val="00C90372"/>
    <w:rsid w:val="00C9041F"/>
    <w:rsid w:val="00C9166B"/>
    <w:rsid w:val="00C91945"/>
    <w:rsid w:val="00C91A45"/>
    <w:rsid w:val="00C91FB4"/>
    <w:rsid w:val="00C92150"/>
    <w:rsid w:val="00C92328"/>
    <w:rsid w:val="00C92D42"/>
    <w:rsid w:val="00C938C2"/>
    <w:rsid w:val="00C93F8A"/>
    <w:rsid w:val="00C94EA1"/>
    <w:rsid w:val="00C95745"/>
    <w:rsid w:val="00C95902"/>
    <w:rsid w:val="00C962E3"/>
    <w:rsid w:val="00C978E2"/>
    <w:rsid w:val="00C97997"/>
    <w:rsid w:val="00CA080F"/>
    <w:rsid w:val="00CA10A2"/>
    <w:rsid w:val="00CA1D83"/>
    <w:rsid w:val="00CA25C0"/>
    <w:rsid w:val="00CA30B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010"/>
    <w:rsid w:val="00CB53E8"/>
    <w:rsid w:val="00CB594A"/>
    <w:rsid w:val="00CB5CB2"/>
    <w:rsid w:val="00CB6979"/>
    <w:rsid w:val="00CB7D3B"/>
    <w:rsid w:val="00CB7DDE"/>
    <w:rsid w:val="00CC0A3D"/>
    <w:rsid w:val="00CC2FF0"/>
    <w:rsid w:val="00CC3C53"/>
    <w:rsid w:val="00CC3D24"/>
    <w:rsid w:val="00CC3F91"/>
    <w:rsid w:val="00CC47EE"/>
    <w:rsid w:val="00CC4ACD"/>
    <w:rsid w:val="00CC4B0A"/>
    <w:rsid w:val="00CC544A"/>
    <w:rsid w:val="00CC57EA"/>
    <w:rsid w:val="00CC5954"/>
    <w:rsid w:val="00CC629B"/>
    <w:rsid w:val="00CC6614"/>
    <w:rsid w:val="00CC6684"/>
    <w:rsid w:val="00CC6C4E"/>
    <w:rsid w:val="00CD009D"/>
    <w:rsid w:val="00CD05A2"/>
    <w:rsid w:val="00CD29D4"/>
    <w:rsid w:val="00CD2B5C"/>
    <w:rsid w:val="00CD2FF3"/>
    <w:rsid w:val="00CD3323"/>
    <w:rsid w:val="00CD38F5"/>
    <w:rsid w:val="00CD3BF2"/>
    <w:rsid w:val="00CD437E"/>
    <w:rsid w:val="00CD5DAD"/>
    <w:rsid w:val="00CD72C5"/>
    <w:rsid w:val="00CD79A7"/>
    <w:rsid w:val="00CD7FAD"/>
    <w:rsid w:val="00CE0789"/>
    <w:rsid w:val="00CE0E8D"/>
    <w:rsid w:val="00CE1A03"/>
    <w:rsid w:val="00CE2346"/>
    <w:rsid w:val="00CE25B2"/>
    <w:rsid w:val="00CE3529"/>
    <w:rsid w:val="00CE35C8"/>
    <w:rsid w:val="00CE3962"/>
    <w:rsid w:val="00CE4D0A"/>
    <w:rsid w:val="00CE4D1A"/>
    <w:rsid w:val="00CE4E8A"/>
    <w:rsid w:val="00CE5105"/>
    <w:rsid w:val="00CE56BD"/>
    <w:rsid w:val="00CE5EC0"/>
    <w:rsid w:val="00CE68AD"/>
    <w:rsid w:val="00CE6F9F"/>
    <w:rsid w:val="00CE781A"/>
    <w:rsid w:val="00CE7B08"/>
    <w:rsid w:val="00CE7D52"/>
    <w:rsid w:val="00CF0AB7"/>
    <w:rsid w:val="00CF1D74"/>
    <w:rsid w:val="00CF2508"/>
    <w:rsid w:val="00CF2BE2"/>
    <w:rsid w:val="00CF3DEB"/>
    <w:rsid w:val="00CF55F9"/>
    <w:rsid w:val="00CF7074"/>
    <w:rsid w:val="00CF7495"/>
    <w:rsid w:val="00D00181"/>
    <w:rsid w:val="00D01CF9"/>
    <w:rsid w:val="00D0334D"/>
    <w:rsid w:val="00D0374D"/>
    <w:rsid w:val="00D06D7B"/>
    <w:rsid w:val="00D06DA5"/>
    <w:rsid w:val="00D07191"/>
    <w:rsid w:val="00D07F1D"/>
    <w:rsid w:val="00D10558"/>
    <w:rsid w:val="00D1075B"/>
    <w:rsid w:val="00D11D4D"/>
    <w:rsid w:val="00D11DB1"/>
    <w:rsid w:val="00D126DC"/>
    <w:rsid w:val="00D12B03"/>
    <w:rsid w:val="00D13E70"/>
    <w:rsid w:val="00D13EE7"/>
    <w:rsid w:val="00D15FCD"/>
    <w:rsid w:val="00D16C58"/>
    <w:rsid w:val="00D17019"/>
    <w:rsid w:val="00D17FC8"/>
    <w:rsid w:val="00D2015B"/>
    <w:rsid w:val="00D20B44"/>
    <w:rsid w:val="00D21168"/>
    <w:rsid w:val="00D2234D"/>
    <w:rsid w:val="00D2438C"/>
    <w:rsid w:val="00D2585A"/>
    <w:rsid w:val="00D259B0"/>
    <w:rsid w:val="00D259C2"/>
    <w:rsid w:val="00D26C3F"/>
    <w:rsid w:val="00D27185"/>
    <w:rsid w:val="00D3028A"/>
    <w:rsid w:val="00D31F4D"/>
    <w:rsid w:val="00D33488"/>
    <w:rsid w:val="00D33AB3"/>
    <w:rsid w:val="00D33F24"/>
    <w:rsid w:val="00D34160"/>
    <w:rsid w:val="00D346B8"/>
    <w:rsid w:val="00D34DCA"/>
    <w:rsid w:val="00D35AC8"/>
    <w:rsid w:val="00D36F87"/>
    <w:rsid w:val="00D37E4E"/>
    <w:rsid w:val="00D417D8"/>
    <w:rsid w:val="00D41F78"/>
    <w:rsid w:val="00D42E6C"/>
    <w:rsid w:val="00D4351C"/>
    <w:rsid w:val="00D43B80"/>
    <w:rsid w:val="00D44988"/>
    <w:rsid w:val="00D45B4C"/>
    <w:rsid w:val="00D45BA4"/>
    <w:rsid w:val="00D471AF"/>
    <w:rsid w:val="00D471E2"/>
    <w:rsid w:val="00D4724F"/>
    <w:rsid w:val="00D50519"/>
    <w:rsid w:val="00D50779"/>
    <w:rsid w:val="00D51601"/>
    <w:rsid w:val="00D51ECB"/>
    <w:rsid w:val="00D5264C"/>
    <w:rsid w:val="00D52BBC"/>
    <w:rsid w:val="00D537FE"/>
    <w:rsid w:val="00D53CC9"/>
    <w:rsid w:val="00D54A6A"/>
    <w:rsid w:val="00D54B8F"/>
    <w:rsid w:val="00D5583B"/>
    <w:rsid w:val="00D55848"/>
    <w:rsid w:val="00D55951"/>
    <w:rsid w:val="00D559F0"/>
    <w:rsid w:val="00D5650F"/>
    <w:rsid w:val="00D57EB6"/>
    <w:rsid w:val="00D60158"/>
    <w:rsid w:val="00D608C0"/>
    <w:rsid w:val="00D60D6D"/>
    <w:rsid w:val="00D6128C"/>
    <w:rsid w:val="00D626C5"/>
    <w:rsid w:val="00D63B22"/>
    <w:rsid w:val="00D63E69"/>
    <w:rsid w:val="00D66D8B"/>
    <w:rsid w:val="00D70849"/>
    <w:rsid w:val="00D72297"/>
    <w:rsid w:val="00D72A1C"/>
    <w:rsid w:val="00D7308F"/>
    <w:rsid w:val="00D7313E"/>
    <w:rsid w:val="00D73580"/>
    <w:rsid w:val="00D73802"/>
    <w:rsid w:val="00D73C2C"/>
    <w:rsid w:val="00D73D52"/>
    <w:rsid w:val="00D745E7"/>
    <w:rsid w:val="00D74F65"/>
    <w:rsid w:val="00D75FDA"/>
    <w:rsid w:val="00D774ED"/>
    <w:rsid w:val="00D777C3"/>
    <w:rsid w:val="00D7797C"/>
    <w:rsid w:val="00D77C44"/>
    <w:rsid w:val="00D77F88"/>
    <w:rsid w:val="00D81AFA"/>
    <w:rsid w:val="00D81EAA"/>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6D47"/>
    <w:rsid w:val="00D8710C"/>
    <w:rsid w:val="00D873C6"/>
    <w:rsid w:val="00D9074A"/>
    <w:rsid w:val="00D9099E"/>
    <w:rsid w:val="00D90C9D"/>
    <w:rsid w:val="00D9193A"/>
    <w:rsid w:val="00D923B2"/>
    <w:rsid w:val="00D92463"/>
    <w:rsid w:val="00D93E64"/>
    <w:rsid w:val="00D93F64"/>
    <w:rsid w:val="00D94CA4"/>
    <w:rsid w:val="00D95E99"/>
    <w:rsid w:val="00D965D5"/>
    <w:rsid w:val="00D97708"/>
    <w:rsid w:val="00D97DA2"/>
    <w:rsid w:val="00DA0485"/>
    <w:rsid w:val="00DA17B9"/>
    <w:rsid w:val="00DA1A3A"/>
    <w:rsid w:val="00DA2351"/>
    <w:rsid w:val="00DA249E"/>
    <w:rsid w:val="00DA2D3D"/>
    <w:rsid w:val="00DA3855"/>
    <w:rsid w:val="00DA39BA"/>
    <w:rsid w:val="00DA4C30"/>
    <w:rsid w:val="00DA6A44"/>
    <w:rsid w:val="00DA6C96"/>
    <w:rsid w:val="00DA7A3C"/>
    <w:rsid w:val="00DB145E"/>
    <w:rsid w:val="00DB1A94"/>
    <w:rsid w:val="00DB1D52"/>
    <w:rsid w:val="00DB1E2B"/>
    <w:rsid w:val="00DB1F62"/>
    <w:rsid w:val="00DB21E7"/>
    <w:rsid w:val="00DB2E03"/>
    <w:rsid w:val="00DB3742"/>
    <w:rsid w:val="00DB3E9B"/>
    <w:rsid w:val="00DB3F4B"/>
    <w:rsid w:val="00DB5375"/>
    <w:rsid w:val="00DB6219"/>
    <w:rsid w:val="00DB67C1"/>
    <w:rsid w:val="00DB6C0B"/>
    <w:rsid w:val="00DB70F4"/>
    <w:rsid w:val="00DB748A"/>
    <w:rsid w:val="00DC1056"/>
    <w:rsid w:val="00DC1442"/>
    <w:rsid w:val="00DC21D8"/>
    <w:rsid w:val="00DC282A"/>
    <w:rsid w:val="00DC2DE8"/>
    <w:rsid w:val="00DC34DC"/>
    <w:rsid w:val="00DC3780"/>
    <w:rsid w:val="00DC39C2"/>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453F"/>
    <w:rsid w:val="00DD61E8"/>
    <w:rsid w:val="00DD62C0"/>
    <w:rsid w:val="00DD64DE"/>
    <w:rsid w:val="00DD66DE"/>
    <w:rsid w:val="00DD7859"/>
    <w:rsid w:val="00DD7B41"/>
    <w:rsid w:val="00DE0784"/>
    <w:rsid w:val="00DE0A1D"/>
    <w:rsid w:val="00DE15B2"/>
    <w:rsid w:val="00DE1A9A"/>
    <w:rsid w:val="00DE3D2C"/>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267"/>
    <w:rsid w:val="00DF53F0"/>
    <w:rsid w:val="00DF5F38"/>
    <w:rsid w:val="00DF6608"/>
    <w:rsid w:val="00DF6CCC"/>
    <w:rsid w:val="00DF6D0C"/>
    <w:rsid w:val="00DF6F64"/>
    <w:rsid w:val="00DF721E"/>
    <w:rsid w:val="00DF7549"/>
    <w:rsid w:val="00DF7B8A"/>
    <w:rsid w:val="00DF7C87"/>
    <w:rsid w:val="00E009B0"/>
    <w:rsid w:val="00E00A12"/>
    <w:rsid w:val="00E00B39"/>
    <w:rsid w:val="00E00C49"/>
    <w:rsid w:val="00E01C9C"/>
    <w:rsid w:val="00E0219D"/>
    <w:rsid w:val="00E04C0F"/>
    <w:rsid w:val="00E0570B"/>
    <w:rsid w:val="00E069C5"/>
    <w:rsid w:val="00E10913"/>
    <w:rsid w:val="00E10B87"/>
    <w:rsid w:val="00E121CE"/>
    <w:rsid w:val="00E12209"/>
    <w:rsid w:val="00E1478B"/>
    <w:rsid w:val="00E14FAC"/>
    <w:rsid w:val="00E15007"/>
    <w:rsid w:val="00E16277"/>
    <w:rsid w:val="00E16EC7"/>
    <w:rsid w:val="00E17DCC"/>
    <w:rsid w:val="00E20877"/>
    <w:rsid w:val="00E219CE"/>
    <w:rsid w:val="00E21D53"/>
    <w:rsid w:val="00E21D93"/>
    <w:rsid w:val="00E22D2A"/>
    <w:rsid w:val="00E24071"/>
    <w:rsid w:val="00E24DCA"/>
    <w:rsid w:val="00E24EBC"/>
    <w:rsid w:val="00E2522C"/>
    <w:rsid w:val="00E2552F"/>
    <w:rsid w:val="00E2599B"/>
    <w:rsid w:val="00E2710C"/>
    <w:rsid w:val="00E272BD"/>
    <w:rsid w:val="00E27428"/>
    <w:rsid w:val="00E305B4"/>
    <w:rsid w:val="00E31AFA"/>
    <w:rsid w:val="00E31CB7"/>
    <w:rsid w:val="00E324EE"/>
    <w:rsid w:val="00E34DB1"/>
    <w:rsid w:val="00E35931"/>
    <w:rsid w:val="00E359FF"/>
    <w:rsid w:val="00E35AC9"/>
    <w:rsid w:val="00E3699A"/>
    <w:rsid w:val="00E402C5"/>
    <w:rsid w:val="00E402F4"/>
    <w:rsid w:val="00E405F1"/>
    <w:rsid w:val="00E417DB"/>
    <w:rsid w:val="00E43054"/>
    <w:rsid w:val="00E43655"/>
    <w:rsid w:val="00E44440"/>
    <w:rsid w:val="00E46013"/>
    <w:rsid w:val="00E47099"/>
    <w:rsid w:val="00E47284"/>
    <w:rsid w:val="00E477C3"/>
    <w:rsid w:val="00E50F81"/>
    <w:rsid w:val="00E51A8E"/>
    <w:rsid w:val="00E51E16"/>
    <w:rsid w:val="00E52DED"/>
    <w:rsid w:val="00E53730"/>
    <w:rsid w:val="00E5438D"/>
    <w:rsid w:val="00E54511"/>
    <w:rsid w:val="00E54E50"/>
    <w:rsid w:val="00E55288"/>
    <w:rsid w:val="00E57577"/>
    <w:rsid w:val="00E62043"/>
    <w:rsid w:val="00E626B9"/>
    <w:rsid w:val="00E627C9"/>
    <w:rsid w:val="00E630F3"/>
    <w:rsid w:val="00E6332F"/>
    <w:rsid w:val="00E637C9"/>
    <w:rsid w:val="00E6402D"/>
    <w:rsid w:val="00E64FDA"/>
    <w:rsid w:val="00E6680A"/>
    <w:rsid w:val="00E66F0D"/>
    <w:rsid w:val="00E70615"/>
    <w:rsid w:val="00E714EC"/>
    <w:rsid w:val="00E7161E"/>
    <w:rsid w:val="00E7207B"/>
    <w:rsid w:val="00E7347A"/>
    <w:rsid w:val="00E75A47"/>
    <w:rsid w:val="00E75BB6"/>
    <w:rsid w:val="00E75D8C"/>
    <w:rsid w:val="00E777F2"/>
    <w:rsid w:val="00E802C9"/>
    <w:rsid w:val="00E80BFB"/>
    <w:rsid w:val="00E80EC2"/>
    <w:rsid w:val="00E80F0A"/>
    <w:rsid w:val="00E815D4"/>
    <w:rsid w:val="00E8291B"/>
    <w:rsid w:val="00E82E70"/>
    <w:rsid w:val="00E82F92"/>
    <w:rsid w:val="00E830AE"/>
    <w:rsid w:val="00E8395F"/>
    <w:rsid w:val="00E8410F"/>
    <w:rsid w:val="00E849D7"/>
    <w:rsid w:val="00E85E41"/>
    <w:rsid w:val="00E85EA1"/>
    <w:rsid w:val="00E86703"/>
    <w:rsid w:val="00E870F1"/>
    <w:rsid w:val="00E900DA"/>
    <w:rsid w:val="00E91044"/>
    <w:rsid w:val="00E910D3"/>
    <w:rsid w:val="00E9209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4A3D"/>
    <w:rsid w:val="00EA60BF"/>
    <w:rsid w:val="00EA7365"/>
    <w:rsid w:val="00EA763F"/>
    <w:rsid w:val="00EA77E9"/>
    <w:rsid w:val="00EB05D0"/>
    <w:rsid w:val="00EB1151"/>
    <w:rsid w:val="00EB1D49"/>
    <w:rsid w:val="00EB23D9"/>
    <w:rsid w:val="00EB2DED"/>
    <w:rsid w:val="00EB39A0"/>
    <w:rsid w:val="00EB430A"/>
    <w:rsid w:val="00EB51DE"/>
    <w:rsid w:val="00EB559F"/>
    <w:rsid w:val="00EB566C"/>
    <w:rsid w:val="00EB5A18"/>
    <w:rsid w:val="00EB5F3D"/>
    <w:rsid w:val="00EB6C97"/>
    <w:rsid w:val="00EC1CEB"/>
    <w:rsid w:val="00EC1DC0"/>
    <w:rsid w:val="00EC1DC2"/>
    <w:rsid w:val="00EC1E09"/>
    <w:rsid w:val="00EC210E"/>
    <w:rsid w:val="00EC21EC"/>
    <w:rsid w:val="00EC24B8"/>
    <w:rsid w:val="00EC268C"/>
    <w:rsid w:val="00EC3753"/>
    <w:rsid w:val="00EC4E71"/>
    <w:rsid w:val="00EC5F1C"/>
    <w:rsid w:val="00ED0365"/>
    <w:rsid w:val="00ED0865"/>
    <w:rsid w:val="00ED0C1C"/>
    <w:rsid w:val="00ED1C60"/>
    <w:rsid w:val="00ED2EB9"/>
    <w:rsid w:val="00ED3722"/>
    <w:rsid w:val="00ED3A31"/>
    <w:rsid w:val="00ED4469"/>
    <w:rsid w:val="00ED5424"/>
    <w:rsid w:val="00ED5F23"/>
    <w:rsid w:val="00ED6DC0"/>
    <w:rsid w:val="00ED7A7A"/>
    <w:rsid w:val="00EE0327"/>
    <w:rsid w:val="00EE038C"/>
    <w:rsid w:val="00EE0DD4"/>
    <w:rsid w:val="00EE28C5"/>
    <w:rsid w:val="00EE2F09"/>
    <w:rsid w:val="00EE47C5"/>
    <w:rsid w:val="00EE490C"/>
    <w:rsid w:val="00EE4E57"/>
    <w:rsid w:val="00EE5738"/>
    <w:rsid w:val="00EE58BD"/>
    <w:rsid w:val="00EE5E59"/>
    <w:rsid w:val="00EE73D0"/>
    <w:rsid w:val="00EE7CB0"/>
    <w:rsid w:val="00EF08A8"/>
    <w:rsid w:val="00EF167B"/>
    <w:rsid w:val="00EF2496"/>
    <w:rsid w:val="00EF41A8"/>
    <w:rsid w:val="00EF44FB"/>
    <w:rsid w:val="00EF5122"/>
    <w:rsid w:val="00EF5554"/>
    <w:rsid w:val="00EF5AD8"/>
    <w:rsid w:val="00EF6B90"/>
    <w:rsid w:val="00EF7807"/>
    <w:rsid w:val="00EF79F7"/>
    <w:rsid w:val="00F006C0"/>
    <w:rsid w:val="00F0125F"/>
    <w:rsid w:val="00F019AA"/>
    <w:rsid w:val="00F0267E"/>
    <w:rsid w:val="00F02686"/>
    <w:rsid w:val="00F0305B"/>
    <w:rsid w:val="00F030C0"/>
    <w:rsid w:val="00F03291"/>
    <w:rsid w:val="00F03A85"/>
    <w:rsid w:val="00F0459B"/>
    <w:rsid w:val="00F04E15"/>
    <w:rsid w:val="00F05DF3"/>
    <w:rsid w:val="00F06829"/>
    <w:rsid w:val="00F069EA"/>
    <w:rsid w:val="00F070E5"/>
    <w:rsid w:val="00F07DDE"/>
    <w:rsid w:val="00F11675"/>
    <w:rsid w:val="00F123DA"/>
    <w:rsid w:val="00F12557"/>
    <w:rsid w:val="00F13599"/>
    <w:rsid w:val="00F13B28"/>
    <w:rsid w:val="00F14A2F"/>
    <w:rsid w:val="00F156A0"/>
    <w:rsid w:val="00F15730"/>
    <w:rsid w:val="00F176A6"/>
    <w:rsid w:val="00F202C2"/>
    <w:rsid w:val="00F212F6"/>
    <w:rsid w:val="00F21945"/>
    <w:rsid w:val="00F22756"/>
    <w:rsid w:val="00F23248"/>
    <w:rsid w:val="00F23890"/>
    <w:rsid w:val="00F2504D"/>
    <w:rsid w:val="00F260B2"/>
    <w:rsid w:val="00F2637F"/>
    <w:rsid w:val="00F268F7"/>
    <w:rsid w:val="00F3083C"/>
    <w:rsid w:val="00F30B83"/>
    <w:rsid w:val="00F30BDB"/>
    <w:rsid w:val="00F30CF8"/>
    <w:rsid w:val="00F31EDF"/>
    <w:rsid w:val="00F32CDE"/>
    <w:rsid w:val="00F32D4C"/>
    <w:rsid w:val="00F3320A"/>
    <w:rsid w:val="00F3327E"/>
    <w:rsid w:val="00F338C3"/>
    <w:rsid w:val="00F34B14"/>
    <w:rsid w:val="00F34F58"/>
    <w:rsid w:val="00F35DA7"/>
    <w:rsid w:val="00F36712"/>
    <w:rsid w:val="00F36A6A"/>
    <w:rsid w:val="00F40101"/>
    <w:rsid w:val="00F404F7"/>
    <w:rsid w:val="00F4082E"/>
    <w:rsid w:val="00F40CCA"/>
    <w:rsid w:val="00F42D97"/>
    <w:rsid w:val="00F42FCF"/>
    <w:rsid w:val="00F436B2"/>
    <w:rsid w:val="00F43813"/>
    <w:rsid w:val="00F43FEE"/>
    <w:rsid w:val="00F4492F"/>
    <w:rsid w:val="00F45A72"/>
    <w:rsid w:val="00F46723"/>
    <w:rsid w:val="00F4706D"/>
    <w:rsid w:val="00F476E1"/>
    <w:rsid w:val="00F47D1D"/>
    <w:rsid w:val="00F47F29"/>
    <w:rsid w:val="00F50016"/>
    <w:rsid w:val="00F5118A"/>
    <w:rsid w:val="00F51A21"/>
    <w:rsid w:val="00F52614"/>
    <w:rsid w:val="00F5276E"/>
    <w:rsid w:val="00F52E9F"/>
    <w:rsid w:val="00F53304"/>
    <w:rsid w:val="00F53B81"/>
    <w:rsid w:val="00F540FE"/>
    <w:rsid w:val="00F5459A"/>
    <w:rsid w:val="00F556FF"/>
    <w:rsid w:val="00F55D12"/>
    <w:rsid w:val="00F5687F"/>
    <w:rsid w:val="00F56D3F"/>
    <w:rsid w:val="00F575C7"/>
    <w:rsid w:val="00F57FD0"/>
    <w:rsid w:val="00F60305"/>
    <w:rsid w:val="00F61B12"/>
    <w:rsid w:val="00F61C70"/>
    <w:rsid w:val="00F63264"/>
    <w:rsid w:val="00F634E4"/>
    <w:rsid w:val="00F6379E"/>
    <w:rsid w:val="00F64047"/>
    <w:rsid w:val="00F65171"/>
    <w:rsid w:val="00F6560D"/>
    <w:rsid w:val="00F67844"/>
    <w:rsid w:val="00F67CE7"/>
    <w:rsid w:val="00F70799"/>
    <w:rsid w:val="00F70A8B"/>
    <w:rsid w:val="00F70B8D"/>
    <w:rsid w:val="00F71936"/>
    <w:rsid w:val="00F724FB"/>
    <w:rsid w:val="00F726B8"/>
    <w:rsid w:val="00F72A26"/>
    <w:rsid w:val="00F733C3"/>
    <w:rsid w:val="00F746A1"/>
    <w:rsid w:val="00F74820"/>
    <w:rsid w:val="00F756DD"/>
    <w:rsid w:val="00F77C72"/>
    <w:rsid w:val="00F77F4E"/>
    <w:rsid w:val="00F80047"/>
    <w:rsid w:val="00F800C7"/>
    <w:rsid w:val="00F8104D"/>
    <w:rsid w:val="00F8153F"/>
    <w:rsid w:val="00F81587"/>
    <w:rsid w:val="00F8288F"/>
    <w:rsid w:val="00F8376E"/>
    <w:rsid w:val="00F83C52"/>
    <w:rsid w:val="00F84802"/>
    <w:rsid w:val="00F85B72"/>
    <w:rsid w:val="00F86540"/>
    <w:rsid w:val="00F865CE"/>
    <w:rsid w:val="00F8766F"/>
    <w:rsid w:val="00F90282"/>
    <w:rsid w:val="00F91082"/>
    <w:rsid w:val="00F9116D"/>
    <w:rsid w:val="00F91342"/>
    <w:rsid w:val="00F91A9A"/>
    <w:rsid w:val="00F92634"/>
    <w:rsid w:val="00F933F3"/>
    <w:rsid w:val="00F93ABB"/>
    <w:rsid w:val="00F94D79"/>
    <w:rsid w:val="00F94F6A"/>
    <w:rsid w:val="00F9658C"/>
    <w:rsid w:val="00F96EEB"/>
    <w:rsid w:val="00F97A7F"/>
    <w:rsid w:val="00F97CD0"/>
    <w:rsid w:val="00FA02AD"/>
    <w:rsid w:val="00FA0889"/>
    <w:rsid w:val="00FA16E7"/>
    <w:rsid w:val="00FA31C7"/>
    <w:rsid w:val="00FA472D"/>
    <w:rsid w:val="00FA681F"/>
    <w:rsid w:val="00FB0CBF"/>
    <w:rsid w:val="00FB18F6"/>
    <w:rsid w:val="00FB2A52"/>
    <w:rsid w:val="00FB3F92"/>
    <w:rsid w:val="00FB52C7"/>
    <w:rsid w:val="00FB57DC"/>
    <w:rsid w:val="00FB6979"/>
    <w:rsid w:val="00FB6E19"/>
    <w:rsid w:val="00FB71F6"/>
    <w:rsid w:val="00FC07AF"/>
    <w:rsid w:val="00FC0AF8"/>
    <w:rsid w:val="00FC0B69"/>
    <w:rsid w:val="00FC1483"/>
    <w:rsid w:val="00FC1C47"/>
    <w:rsid w:val="00FC3102"/>
    <w:rsid w:val="00FC39ED"/>
    <w:rsid w:val="00FC4419"/>
    <w:rsid w:val="00FC47E2"/>
    <w:rsid w:val="00FC4AA5"/>
    <w:rsid w:val="00FC4B88"/>
    <w:rsid w:val="00FC4BB8"/>
    <w:rsid w:val="00FC5148"/>
    <w:rsid w:val="00FC6524"/>
    <w:rsid w:val="00FC6B58"/>
    <w:rsid w:val="00FC75AC"/>
    <w:rsid w:val="00FC7984"/>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78E5"/>
    <w:rsid w:val="012C5FAF"/>
    <w:rsid w:val="01353714"/>
    <w:rsid w:val="0156352C"/>
    <w:rsid w:val="01586F89"/>
    <w:rsid w:val="015B4FE6"/>
    <w:rsid w:val="01616971"/>
    <w:rsid w:val="01655E68"/>
    <w:rsid w:val="017F3E01"/>
    <w:rsid w:val="018A6C3C"/>
    <w:rsid w:val="018F22FB"/>
    <w:rsid w:val="018F6A3E"/>
    <w:rsid w:val="0195456A"/>
    <w:rsid w:val="01AF3D99"/>
    <w:rsid w:val="01B82438"/>
    <w:rsid w:val="01C90086"/>
    <w:rsid w:val="01C901A1"/>
    <w:rsid w:val="01EE7C08"/>
    <w:rsid w:val="01F92E49"/>
    <w:rsid w:val="02007ABC"/>
    <w:rsid w:val="02033711"/>
    <w:rsid w:val="021A46A5"/>
    <w:rsid w:val="023557DF"/>
    <w:rsid w:val="02510197"/>
    <w:rsid w:val="02511F9D"/>
    <w:rsid w:val="028265A2"/>
    <w:rsid w:val="028505AB"/>
    <w:rsid w:val="02A62DED"/>
    <w:rsid w:val="02C2561F"/>
    <w:rsid w:val="02DC0E1D"/>
    <w:rsid w:val="030303EC"/>
    <w:rsid w:val="030D0562"/>
    <w:rsid w:val="030E6646"/>
    <w:rsid w:val="030F6088"/>
    <w:rsid w:val="0320364A"/>
    <w:rsid w:val="033B4CE2"/>
    <w:rsid w:val="03411FB9"/>
    <w:rsid w:val="0343346C"/>
    <w:rsid w:val="034675D0"/>
    <w:rsid w:val="036C7100"/>
    <w:rsid w:val="03A314B8"/>
    <w:rsid w:val="03B44E81"/>
    <w:rsid w:val="03CD109D"/>
    <w:rsid w:val="03D82B98"/>
    <w:rsid w:val="03DD6186"/>
    <w:rsid w:val="03E15B6C"/>
    <w:rsid w:val="03F83E8B"/>
    <w:rsid w:val="043302F1"/>
    <w:rsid w:val="043E3147"/>
    <w:rsid w:val="04402271"/>
    <w:rsid w:val="04425FE9"/>
    <w:rsid w:val="04451541"/>
    <w:rsid w:val="044A30F0"/>
    <w:rsid w:val="045126D0"/>
    <w:rsid w:val="04734E4F"/>
    <w:rsid w:val="0490144A"/>
    <w:rsid w:val="04934A97"/>
    <w:rsid w:val="04AF6FE7"/>
    <w:rsid w:val="04B64ED6"/>
    <w:rsid w:val="04B80F46"/>
    <w:rsid w:val="04BF54A2"/>
    <w:rsid w:val="04DE21B6"/>
    <w:rsid w:val="04E6383E"/>
    <w:rsid w:val="04EB48D3"/>
    <w:rsid w:val="04EE7063"/>
    <w:rsid w:val="050140F6"/>
    <w:rsid w:val="050470A8"/>
    <w:rsid w:val="05063607"/>
    <w:rsid w:val="050D6668"/>
    <w:rsid w:val="0512539C"/>
    <w:rsid w:val="05654685"/>
    <w:rsid w:val="05790B59"/>
    <w:rsid w:val="057E74F5"/>
    <w:rsid w:val="058663AA"/>
    <w:rsid w:val="05962A91"/>
    <w:rsid w:val="05A7040A"/>
    <w:rsid w:val="05A864A3"/>
    <w:rsid w:val="05B366E0"/>
    <w:rsid w:val="05C15910"/>
    <w:rsid w:val="05C56868"/>
    <w:rsid w:val="05CA273A"/>
    <w:rsid w:val="05D76C05"/>
    <w:rsid w:val="05E174AE"/>
    <w:rsid w:val="060D2627"/>
    <w:rsid w:val="061E65E2"/>
    <w:rsid w:val="06320490"/>
    <w:rsid w:val="066B5CCB"/>
    <w:rsid w:val="067032E2"/>
    <w:rsid w:val="0671705A"/>
    <w:rsid w:val="067F52D3"/>
    <w:rsid w:val="068F347F"/>
    <w:rsid w:val="069227DA"/>
    <w:rsid w:val="06982838"/>
    <w:rsid w:val="06B43B46"/>
    <w:rsid w:val="06C477F9"/>
    <w:rsid w:val="06D46400"/>
    <w:rsid w:val="06E70564"/>
    <w:rsid w:val="06ED33E1"/>
    <w:rsid w:val="06F15E58"/>
    <w:rsid w:val="07283BBC"/>
    <w:rsid w:val="073D792E"/>
    <w:rsid w:val="07524CC5"/>
    <w:rsid w:val="075E138C"/>
    <w:rsid w:val="076B5898"/>
    <w:rsid w:val="07723089"/>
    <w:rsid w:val="078551A1"/>
    <w:rsid w:val="07A33243"/>
    <w:rsid w:val="07A539BD"/>
    <w:rsid w:val="07A656A9"/>
    <w:rsid w:val="07B72767"/>
    <w:rsid w:val="07C37441"/>
    <w:rsid w:val="07C458B8"/>
    <w:rsid w:val="07C82CA9"/>
    <w:rsid w:val="07CF5DE6"/>
    <w:rsid w:val="07D96C64"/>
    <w:rsid w:val="07F37741"/>
    <w:rsid w:val="08077E72"/>
    <w:rsid w:val="082C4FE6"/>
    <w:rsid w:val="082E5202"/>
    <w:rsid w:val="08373478"/>
    <w:rsid w:val="083C5675"/>
    <w:rsid w:val="08417091"/>
    <w:rsid w:val="086A6183"/>
    <w:rsid w:val="08882DD0"/>
    <w:rsid w:val="089B35AD"/>
    <w:rsid w:val="08B03E69"/>
    <w:rsid w:val="08DD0FFE"/>
    <w:rsid w:val="0905084D"/>
    <w:rsid w:val="09104908"/>
    <w:rsid w:val="09265ED9"/>
    <w:rsid w:val="093662C9"/>
    <w:rsid w:val="094658E2"/>
    <w:rsid w:val="09640931"/>
    <w:rsid w:val="09683374"/>
    <w:rsid w:val="096915D0"/>
    <w:rsid w:val="097F013F"/>
    <w:rsid w:val="097F55EA"/>
    <w:rsid w:val="098D5F93"/>
    <w:rsid w:val="09AD2157"/>
    <w:rsid w:val="09CC2AAC"/>
    <w:rsid w:val="09E16072"/>
    <w:rsid w:val="09F00067"/>
    <w:rsid w:val="09FC0C2A"/>
    <w:rsid w:val="0A2A37A7"/>
    <w:rsid w:val="0A2C751F"/>
    <w:rsid w:val="0A4E014A"/>
    <w:rsid w:val="0A5A0455"/>
    <w:rsid w:val="0A652D3E"/>
    <w:rsid w:val="0A814C71"/>
    <w:rsid w:val="0A862807"/>
    <w:rsid w:val="0A870BFA"/>
    <w:rsid w:val="0A9E7D8F"/>
    <w:rsid w:val="0AA01CBB"/>
    <w:rsid w:val="0AAC0660"/>
    <w:rsid w:val="0AC57974"/>
    <w:rsid w:val="0AC91212"/>
    <w:rsid w:val="0ADD6A6C"/>
    <w:rsid w:val="0AF01C5B"/>
    <w:rsid w:val="0AF410E0"/>
    <w:rsid w:val="0AF448C5"/>
    <w:rsid w:val="0AF70675"/>
    <w:rsid w:val="0AFF4C18"/>
    <w:rsid w:val="0B016BFE"/>
    <w:rsid w:val="0B0C10FF"/>
    <w:rsid w:val="0B1F52D6"/>
    <w:rsid w:val="0B30303F"/>
    <w:rsid w:val="0B326F2A"/>
    <w:rsid w:val="0B4F2283"/>
    <w:rsid w:val="0B7A250D"/>
    <w:rsid w:val="0BAD4690"/>
    <w:rsid w:val="0BB52F5E"/>
    <w:rsid w:val="0BC639A4"/>
    <w:rsid w:val="0BC65752"/>
    <w:rsid w:val="0BF64289"/>
    <w:rsid w:val="0BF95B27"/>
    <w:rsid w:val="0C061FF2"/>
    <w:rsid w:val="0C1E2888"/>
    <w:rsid w:val="0C5B757D"/>
    <w:rsid w:val="0C6236CC"/>
    <w:rsid w:val="0C670CE3"/>
    <w:rsid w:val="0C92213C"/>
    <w:rsid w:val="0CA35A93"/>
    <w:rsid w:val="0CC2027E"/>
    <w:rsid w:val="0CC954FA"/>
    <w:rsid w:val="0CD85286"/>
    <w:rsid w:val="0CF34325"/>
    <w:rsid w:val="0D10137A"/>
    <w:rsid w:val="0D172029"/>
    <w:rsid w:val="0D197DA7"/>
    <w:rsid w:val="0D1C7D1F"/>
    <w:rsid w:val="0D230698"/>
    <w:rsid w:val="0D2C5A88"/>
    <w:rsid w:val="0D314E4D"/>
    <w:rsid w:val="0D402F77"/>
    <w:rsid w:val="0D463414"/>
    <w:rsid w:val="0D5C45C0"/>
    <w:rsid w:val="0D6C4F89"/>
    <w:rsid w:val="0D7116ED"/>
    <w:rsid w:val="0D7703F8"/>
    <w:rsid w:val="0D786450"/>
    <w:rsid w:val="0D84032B"/>
    <w:rsid w:val="0D8D230D"/>
    <w:rsid w:val="0D9E5A0B"/>
    <w:rsid w:val="0DA675E9"/>
    <w:rsid w:val="0DAA336D"/>
    <w:rsid w:val="0DB029F1"/>
    <w:rsid w:val="0DD203DE"/>
    <w:rsid w:val="0DF12AD3"/>
    <w:rsid w:val="0DFA2535"/>
    <w:rsid w:val="0DFE11D3"/>
    <w:rsid w:val="0E0279EF"/>
    <w:rsid w:val="0E2179FD"/>
    <w:rsid w:val="0E574D87"/>
    <w:rsid w:val="0E681446"/>
    <w:rsid w:val="0E6D6ACF"/>
    <w:rsid w:val="0E7C659C"/>
    <w:rsid w:val="0E8F6661"/>
    <w:rsid w:val="0E90419B"/>
    <w:rsid w:val="0EAB7C71"/>
    <w:rsid w:val="0EC52635"/>
    <w:rsid w:val="0ECF4488"/>
    <w:rsid w:val="0ED5231D"/>
    <w:rsid w:val="0EE16D35"/>
    <w:rsid w:val="0EF820C6"/>
    <w:rsid w:val="0F017011"/>
    <w:rsid w:val="0F0A1DF9"/>
    <w:rsid w:val="0F16079E"/>
    <w:rsid w:val="0F184516"/>
    <w:rsid w:val="0F274759"/>
    <w:rsid w:val="0F2A74C4"/>
    <w:rsid w:val="0F30541C"/>
    <w:rsid w:val="0F457F59"/>
    <w:rsid w:val="0F5D461F"/>
    <w:rsid w:val="0F655282"/>
    <w:rsid w:val="0F762E75"/>
    <w:rsid w:val="0F8751F8"/>
    <w:rsid w:val="0F9C3831"/>
    <w:rsid w:val="0FB55D2C"/>
    <w:rsid w:val="0FBF6009"/>
    <w:rsid w:val="0FC401FA"/>
    <w:rsid w:val="0FDC366F"/>
    <w:rsid w:val="0FE07845"/>
    <w:rsid w:val="0FFA187E"/>
    <w:rsid w:val="0FFA3C1C"/>
    <w:rsid w:val="10005705"/>
    <w:rsid w:val="100131FC"/>
    <w:rsid w:val="10046849"/>
    <w:rsid w:val="100B5262"/>
    <w:rsid w:val="102852E9"/>
    <w:rsid w:val="10323FEC"/>
    <w:rsid w:val="104238F8"/>
    <w:rsid w:val="105B2CB4"/>
    <w:rsid w:val="105D7981"/>
    <w:rsid w:val="1069219C"/>
    <w:rsid w:val="10831E63"/>
    <w:rsid w:val="108967FA"/>
    <w:rsid w:val="109E6C9D"/>
    <w:rsid w:val="10A27F31"/>
    <w:rsid w:val="10BC5375"/>
    <w:rsid w:val="10CD1330"/>
    <w:rsid w:val="10D30CA5"/>
    <w:rsid w:val="10F845FF"/>
    <w:rsid w:val="10FC4F9D"/>
    <w:rsid w:val="110F1949"/>
    <w:rsid w:val="111F0A1A"/>
    <w:rsid w:val="112E1DCF"/>
    <w:rsid w:val="112F78F5"/>
    <w:rsid w:val="11391A19"/>
    <w:rsid w:val="11486BC7"/>
    <w:rsid w:val="115C10B1"/>
    <w:rsid w:val="11603F53"/>
    <w:rsid w:val="116274B9"/>
    <w:rsid w:val="116779EF"/>
    <w:rsid w:val="11685F57"/>
    <w:rsid w:val="11691059"/>
    <w:rsid w:val="11927058"/>
    <w:rsid w:val="1199004D"/>
    <w:rsid w:val="11A76A18"/>
    <w:rsid w:val="11AA5D0A"/>
    <w:rsid w:val="12015736"/>
    <w:rsid w:val="120E171E"/>
    <w:rsid w:val="121543C9"/>
    <w:rsid w:val="12241424"/>
    <w:rsid w:val="125B7169"/>
    <w:rsid w:val="125E1917"/>
    <w:rsid w:val="12706417"/>
    <w:rsid w:val="127E0B34"/>
    <w:rsid w:val="12B5207C"/>
    <w:rsid w:val="12C7754E"/>
    <w:rsid w:val="12E50BB3"/>
    <w:rsid w:val="12E7492B"/>
    <w:rsid w:val="130059ED"/>
    <w:rsid w:val="133B4C77"/>
    <w:rsid w:val="13497394"/>
    <w:rsid w:val="135B46A9"/>
    <w:rsid w:val="13877EBC"/>
    <w:rsid w:val="13AF4F03"/>
    <w:rsid w:val="13B011C1"/>
    <w:rsid w:val="143264D6"/>
    <w:rsid w:val="14373691"/>
    <w:rsid w:val="14394D22"/>
    <w:rsid w:val="14460456"/>
    <w:rsid w:val="145C7FB0"/>
    <w:rsid w:val="14736E66"/>
    <w:rsid w:val="147F458F"/>
    <w:rsid w:val="14813629"/>
    <w:rsid w:val="149317B6"/>
    <w:rsid w:val="14A90B69"/>
    <w:rsid w:val="14B051F1"/>
    <w:rsid w:val="14C12F5A"/>
    <w:rsid w:val="14FE316A"/>
    <w:rsid w:val="15023C9F"/>
    <w:rsid w:val="15080666"/>
    <w:rsid w:val="15122DCD"/>
    <w:rsid w:val="151B08BC"/>
    <w:rsid w:val="15262373"/>
    <w:rsid w:val="1534169A"/>
    <w:rsid w:val="153C0833"/>
    <w:rsid w:val="15406575"/>
    <w:rsid w:val="15470C94"/>
    <w:rsid w:val="156C2EC6"/>
    <w:rsid w:val="156F6E5A"/>
    <w:rsid w:val="157210C4"/>
    <w:rsid w:val="157A2BEB"/>
    <w:rsid w:val="158D55F1"/>
    <w:rsid w:val="159A6FF2"/>
    <w:rsid w:val="15B9135E"/>
    <w:rsid w:val="15C03E03"/>
    <w:rsid w:val="15D415AE"/>
    <w:rsid w:val="15E72E94"/>
    <w:rsid w:val="162A25EB"/>
    <w:rsid w:val="16337E88"/>
    <w:rsid w:val="164C518B"/>
    <w:rsid w:val="16534075"/>
    <w:rsid w:val="166D339A"/>
    <w:rsid w:val="16735895"/>
    <w:rsid w:val="167633A1"/>
    <w:rsid w:val="16A448E1"/>
    <w:rsid w:val="16AF74D3"/>
    <w:rsid w:val="16B0772A"/>
    <w:rsid w:val="16B965DF"/>
    <w:rsid w:val="16BC60CF"/>
    <w:rsid w:val="16D2144F"/>
    <w:rsid w:val="16E91B23"/>
    <w:rsid w:val="16F92E7F"/>
    <w:rsid w:val="16FD2A55"/>
    <w:rsid w:val="170159C0"/>
    <w:rsid w:val="17067C1A"/>
    <w:rsid w:val="17167A9F"/>
    <w:rsid w:val="171750B3"/>
    <w:rsid w:val="1721356C"/>
    <w:rsid w:val="172D2B29"/>
    <w:rsid w:val="172F68A1"/>
    <w:rsid w:val="17366761"/>
    <w:rsid w:val="173C5F78"/>
    <w:rsid w:val="17451C21"/>
    <w:rsid w:val="17457E73"/>
    <w:rsid w:val="174D7C33"/>
    <w:rsid w:val="17654071"/>
    <w:rsid w:val="176A1687"/>
    <w:rsid w:val="177C01F0"/>
    <w:rsid w:val="177D5F83"/>
    <w:rsid w:val="1783099B"/>
    <w:rsid w:val="17936E30"/>
    <w:rsid w:val="17946704"/>
    <w:rsid w:val="179E3EFA"/>
    <w:rsid w:val="17B46B8E"/>
    <w:rsid w:val="17C22731"/>
    <w:rsid w:val="17CA481C"/>
    <w:rsid w:val="17CE6630"/>
    <w:rsid w:val="17CF3494"/>
    <w:rsid w:val="17D3547E"/>
    <w:rsid w:val="17E23913"/>
    <w:rsid w:val="17F01275"/>
    <w:rsid w:val="17F83137"/>
    <w:rsid w:val="180C43D8"/>
    <w:rsid w:val="1820443C"/>
    <w:rsid w:val="1821268E"/>
    <w:rsid w:val="183028D1"/>
    <w:rsid w:val="183B1275"/>
    <w:rsid w:val="18494F2A"/>
    <w:rsid w:val="1863237E"/>
    <w:rsid w:val="18717FA7"/>
    <w:rsid w:val="1890511D"/>
    <w:rsid w:val="189D783A"/>
    <w:rsid w:val="18A67EC5"/>
    <w:rsid w:val="18A94677"/>
    <w:rsid w:val="18B43EE8"/>
    <w:rsid w:val="18C1391B"/>
    <w:rsid w:val="18CE5C46"/>
    <w:rsid w:val="18D73988"/>
    <w:rsid w:val="18DF7E53"/>
    <w:rsid w:val="18F41B50"/>
    <w:rsid w:val="18FB79BF"/>
    <w:rsid w:val="18FF04F5"/>
    <w:rsid w:val="1902223E"/>
    <w:rsid w:val="19116D08"/>
    <w:rsid w:val="1912647A"/>
    <w:rsid w:val="19214221"/>
    <w:rsid w:val="192C5AB5"/>
    <w:rsid w:val="194E3890"/>
    <w:rsid w:val="19621804"/>
    <w:rsid w:val="19781F04"/>
    <w:rsid w:val="1980089F"/>
    <w:rsid w:val="19911600"/>
    <w:rsid w:val="19A30E80"/>
    <w:rsid w:val="19A370D2"/>
    <w:rsid w:val="19B968F6"/>
    <w:rsid w:val="19BB266E"/>
    <w:rsid w:val="19E33051"/>
    <w:rsid w:val="19E33973"/>
    <w:rsid w:val="19EA4D01"/>
    <w:rsid w:val="19F31E08"/>
    <w:rsid w:val="1A075D39"/>
    <w:rsid w:val="1A0C4C78"/>
    <w:rsid w:val="1A156586"/>
    <w:rsid w:val="1A3366A8"/>
    <w:rsid w:val="1ABF1CEA"/>
    <w:rsid w:val="1AC76B94"/>
    <w:rsid w:val="1AC92E23"/>
    <w:rsid w:val="1AD5150D"/>
    <w:rsid w:val="1AE11B49"/>
    <w:rsid w:val="1AFF0AFE"/>
    <w:rsid w:val="1B0D17E8"/>
    <w:rsid w:val="1B2F1E81"/>
    <w:rsid w:val="1B3F5087"/>
    <w:rsid w:val="1B4F19F8"/>
    <w:rsid w:val="1B5C1C2F"/>
    <w:rsid w:val="1B925650"/>
    <w:rsid w:val="1B937A0D"/>
    <w:rsid w:val="1BA10668"/>
    <w:rsid w:val="1BC577D4"/>
    <w:rsid w:val="1BF257E6"/>
    <w:rsid w:val="1C0962AC"/>
    <w:rsid w:val="1C0A3439"/>
    <w:rsid w:val="1C2F586E"/>
    <w:rsid w:val="1C550B58"/>
    <w:rsid w:val="1CA53161"/>
    <w:rsid w:val="1CAB4C1C"/>
    <w:rsid w:val="1CB02232"/>
    <w:rsid w:val="1CCF2131"/>
    <w:rsid w:val="1CD6156D"/>
    <w:rsid w:val="1CEC0D90"/>
    <w:rsid w:val="1CEF2AF2"/>
    <w:rsid w:val="1CFB5567"/>
    <w:rsid w:val="1D390424"/>
    <w:rsid w:val="1D4247B4"/>
    <w:rsid w:val="1D5030CD"/>
    <w:rsid w:val="1D5254AA"/>
    <w:rsid w:val="1D531D9D"/>
    <w:rsid w:val="1D540E0F"/>
    <w:rsid w:val="1D6628F1"/>
    <w:rsid w:val="1D69418F"/>
    <w:rsid w:val="1D6C3BDE"/>
    <w:rsid w:val="1D7B475F"/>
    <w:rsid w:val="1D7F39B2"/>
    <w:rsid w:val="1D9D5E6A"/>
    <w:rsid w:val="1DA229EC"/>
    <w:rsid w:val="1DA63635"/>
    <w:rsid w:val="1DAD40FD"/>
    <w:rsid w:val="1DC046F7"/>
    <w:rsid w:val="1DCE360E"/>
    <w:rsid w:val="1DD67A76"/>
    <w:rsid w:val="1DD956C2"/>
    <w:rsid w:val="1E040426"/>
    <w:rsid w:val="1E2C3B3A"/>
    <w:rsid w:val="1E62755C"/>
    <w:rsid w:val="1E780B2E"/>
    <w:rsid w:val="1E8D6AC5"/>
    <w:rsid w:val="1ECC44FA"/>
    <w:rsid w:val="1ED33FB6"/>
    <w:rsid w:val="1EE21E23"/>
    <w:rsid w:val="1EF17168"/>
    <w:rsid w:val="1EF76886"/>
    <w:rsid w:val="1F063325"/>
    <w:rsid w:val="1F170346"/>
    <w:rsid w:val="1F2214FB"/>
    <w:rsid w:val="1F2D7B6A"/>
    <w:rsid w:val="1F464788"/>
    <w:rsid w:val="1F664E2A"/>
    <w:rsid w:val="1F6E53CE"/>
    <w:rsid w:val="1F745799"/>
    <w:rsid w:val="1F8026FF"/>
    <w:rsid w:val="1F817EB6"/>
    <w:rsid w:val="1FB70254"/>
    <w:rsid w:val="1FBC0EEE"/>
    <w:rsid w:val="1FBC5DF5"/>
    <w:rsid w:val="1FDB75C6"/>
    <w:rsid w:val="1FE03E5A"/>
    <w:rsid w:val="1FE062A5"/>
    <w:rsid w:val="1FEF1B6A"/>
    <w:rsid w:val="1FF90588"/>
    <w:rsid w:val="20230B67"/>
    <w:rsid w:val="20256A93"/>
    <w:rsid w:val="2039253E"/>
    <w:rsid w:val="204A07A7"/>
    <w:rsid w:val="20592EC7"/>
    <w:rsid w:val="20692E24"/>
    <w:rsid w:val="20914128"/>
    <w:rsid w:val="209812E5"/>
    <w:rsid w:val="20AF45AF"/>
    <w:rsid w:val="20B76E0E"/>
    <w:rsid w:val="20BD58C2"/>
    <w:rsid w:val="20BF1705"/>
    <w:rsid w:val="20C3623F"/>
    <w:rsid w:val="20D02EA3"/>
    <w:rsid w:val="20D9162C"/>
    <w:rsid w:val="20D91DBA"/>
    <w:rsid w:val="20EC6894"/>
    <w:rsid w:val="20F10454"/>
    <w:rsid w:val="20F9026B"/>
    <w:rsid w:val="20FD74DF"/>
    <w:rsid w:val="21156B08"/>
    <w:rsid w:val="213F3B84"/>
    <w:rsid w:val="21415D13"/>
    <w:rsid w:val="21556F04"/>
    <w:rsid w:val="21781212"/>
    <w:rsid w:val="217952E8"/>
    <w:rsid w:val="21937A2C"/>
    <w:rsid w:val="219414EF"/>
    <w:rsid w:val="21B511BB"/>
    <w:rsid w:val="21B83F86"/>
    <w:rsid w:val="21CA4568"/>
    <w:rsid w:val="21CD73E2"/>
    <w:rsid w:val="21DB7441"/>
    <w:rsid w:val="21E53641"/>
    <w:rsid w:val="21EC6796"/>
    <w:rsid w:val="21ED7C79"/>
    <w:rsid w:val="21F11323"/>
    <w:rsid w:val="221178A8"/>
    <w:rsid w:val="221213CF"/>
    <w:rsid w:val="22284619"/>
    <w:rsid w:val="22327A92"/>
    <w:rsid w:val="22585F18"/>
    <w:rsid w:val="227026FD"/>
    <w:rsid w:val="22806203"/>
    <w:rsid w:val="228D108E"/>
    <w:rsid w:val="22B24CD8"/>
    <w:rsid w:val="22C73CB9"/>
    <w:rsid w:val="22CE1281"/>
    <w:rsid w:val="22DB168B"/>
    <w:rsid w:val="231D53A2"/>
    <w:rsid w:val="23201794"/>
    <w:rsid w:val="232674C5"/>
    <w:rsid w:val="232A4770"/>
    <w:rsid w:val="232C638A"/>
    <w:rsid w:val="233542AE"/>
    <w:rsid w:val="233D3EC6"/>
    <w:rsid w:val="2355143D"/>
    <w:rsid w:val="23610BBF"/>
    <w:rsid w:val="23693D95"/>
    <w:rsid w:val="236D5383"/>
    <w:rsid w:val="239B071B"/>
    <w:rsid w:val="23A979DB"/>
    <w:rsid w:val="23B7504C"/>
    <w:rsid w:val="23BA7032"/>
    <w:rsid w:val="23BD1E38"/>
    <w:rsid w:val="23C6233B"/>
    <w:rsid w:val="23C640E9"/>
    <w:rsid w:val="23E2116D"/>
    <w:rsid w:val="23F30C15"/>
    <w:rsid w:val="24076056"/>
    <w:rsid w:val="24221E6A"/>
    <w:rsid w:val="24240693"/>
    <w:rsid w:val="24242BA7"/>
    <w:rsid w:val="242724C0"/>
    <w:rsid w:val="242B5451"/>
    <w:rsid w:val="243F23FA"/>
    <w:rsid w:val="24444377"/>
    <w:rsid w:val="244A0F81"/>
    <w:rsid w:val="245416F5"/>
    <w:rsid w:val="24571307"/>
    <w:rsid w:val="24575689"/>
    <w:rsid w:val="246833F2"/>
    <w:rsid w:val="248E2746"/>
    <w:rsid w:val="24B52FA9"/>
    <w:rsid w:val="24B86128"/>
    <w:rsid w:val="24C53F42"/>
    <w:rsid w:val="24CD362C"/>
    <w:rsid w:val="24DC16EA"/>
    <w:rsid w:val="24DD54EC"/>
    <w:rsid w:val="24F341BB"/>
    <w:rsid w:val="24F353B2"/>
    <w:rsid w:val="25110A2A"/>
    <w:rsid w:val="251D3F18"/>
    <w:rsid w:val="25315EDA"/>
    <w:rsid w:val="256162F1"/>
    <w:rsid w:val="256C0944"/>
    <w:rsid w:val="25893AAA"/>
    <w:rsid w:val="25900E53"/>
    <w:rsid w:val="259C15A5"/>
    <w:rsid w:val="259E34B5"/>
    <w:rsid w:val="259F45C7"/>
    <w:rsid w:val="25B84492"/>
    <w:rsid w:val="25CB1E8B"/>
    <w:rsid w:val="25D16D75"/>
    <w:rsid w:val="25E036DD"/>
    <w:rsid w:val="25E46AA9"/>
    <w:rsid w:val="25F3318F"/>
    <w:rsid w:val="26027740"/>
    <w:rsid w:val="26106539"/>
    <w:rsid w:val="261F4AA3"/>
    <w:rsid w:val="26247AFA"/>
    <w:rsid w:val="2630659C"/>
    <w:rsid w:val="263E08AF"/>
    <w:rsid w:val="263F10D4"/>
    <w:rsid w:val="26446DE3"/>
    <w:rsid w:val="26552AA8"/>
    <w:rsid w:val="2657371E"/>
    <w:rsid w:val="265771B1"/>
    <w:rsid w:val="26877DFE"/>
    <w:rsid w:val="269669E7"/>
    <w:rsid w:val="26A02953"/>
    <w:rsid w:val="26A270C1"/>
    <w:rsid w:val="26A30712"/>
    <w:rsid w:val="26D7699F"/>
    <w:rsid w:val="26DE1F7E"/>
    <w:rsid w:val="26E03277"/>
    <w:rsid w:val="26E86A6C"/>
    <w:rsid w:val="26ED7BDF"/>
    <w:rsid w:val="26EF01C1"/>
    <w:rsid w:val="26F92A28"/>
    <w:rsid w:val="26FD42C6"/>
    <w:rsid w:val="27075144"/>
    <w:rsid w:val="270C4AA5"/>
    <w:rsid w:val="27174C5C"/>
    <w:rsid w:val="272D447F"/>
    <w:rsid w:val="27316FF2"/>
    <w:rsid w:val="2757651E"/>
    <w:rsid w:val="27735B86"/>
    <w:rsid w:val="27764078"/>
    <w:rsid w:val="278E2A94"/>
    <w:rsid w:val="278E3170"/>
    <w:rsid w:val="27AA33F7"/>
    <w:rsid w:val="27B679A1"/>
    <w:rsid w:val="27CB23A0"/>
    <w:rsid w:val="27CE6E7A"/>
    <w:rsid w:val="27D03788"/>
    <w:rsid w:val="281F026C"/>
    <w:rsid w:val="282253E5"/>
    <w:rsid w:val="28971D25"/>
    <w:rsid w:val="289B3D96"/>
    <w:rsid w:val="289E5635"/>
    <w:rsid w:val="28A30E9D"/>
    <w:rsid w:val="28C50E13"/>
    <w:rsid w:val="28C826B1"/>
    <w:rsid w:val="28CA642A"/>
    <w:rsid w:val="28E62172"/>
    <w:rsid w:val="28EA0627"/>
    <w:rsid w:val="28F214DC"/>
    <w:rsid w:val="28F7286F"/>
    <w:rsid w:val="28F954E4"/>
    <w:rsid w:val="2900009D"/>
    <w:rsid w:val="29240B17"/>
    <w:rsid w:val="293F6744"/>
    <w:rsid w:val="294A1318"/>
    <w:rsid w:val="2953641F"/>
    <w:rsid w:val="2959735E"/>
    <w:rsid w:val="296248B4"/>
    <w:rsid w:val="29680470"/>
    <w:rsid w:val="2973086F"/>
    <w:rsid w:val="29894B6D"/>
    <w:rsid w:val="29923B03"/>
    <w:rsid w:val="29972948"/>
    <w:rsid w:val="29A51AC7"/>
    <w:rsid w:val="29AC55DD"/>
    <w:rsid w:val="29AC6EB1"/>
    <w:rsid w:val="29BA527F"/>
    <w:rsid w:val="29C9048F"/>
    <w:rsid w:val="29C96938"/>
    <w:rsid w:val="29D75F7F"/>
    <w:rsid w:val="29DD3332"/>
    <w:rsid w:val="29E16E5C"/>
    <w:rsid w:val="29F84734"/>
    <w:rsid w:val="2A005E7B"/>
    <w:rsid w:val="2A087F95"/>
    <w:rsid w:val="2A314CF9"/>
    <w:rsid w:val="2A331DAD"/>
    <w:rsid w:val="2A385615"/>
    <w:rsid w:val="2A4960C6"/>
    <w:rsid w:val="2A4A348B"/>
    <w:rsid w:val="2A614B6C"/>
    <w:rsid w:val="2A7F3244"/>
    <w:rsid w:val="2AAA6513"/>
    <w:rsid w:val="2AD24247"/>
    <w:rsid w:val="2AD34292"/>
    <w:rsid w:val="2AD96DF8"/>
    <w:rsid w:val="2B125E66"/>
    <w:rsid w:val="2B1B2F6C"/>
    <w:rsid w:val="2B3C521A"/>
    <w:rsid w:val="2B4C75CA"/>
    <w:rsid w:val="2B774624"/>
    <w:rsid w:val="2B7B1C5D"/>
    <w:rsid w:val="2BB02516"/>
    <w:rsid w:val="2BB50367"/>
    <w:rsid w:val="2BB5167F"/>
    <w:rsid w:val="2BB54CC8"/>
    <w:rsid w:val="2BB5659B"/>
    <w:rsid w:val="2BCE073A"/>
    <w:rsid w:val="2BF44DCD"/>
    <w:rsid w:val="2BFE6AE3"/>
    <w:rsid w:val="2C1B5CED"/>
    <w:rsid w:val="2C22657D"/>
    <w:rsid w:val="2C271DEC"/>
    <w:rsid w:val="2C2916B9"/>
    <w:rsid w:val="2C442C87"/>
    <w:rsid w:val="2C6208C4"/>
    <w:rsid w:val="2C7A72BE"/>
    <w:rsid w:val="2C836BD0"/>
    <w:rsid w:val="2C8763E0"/>
    <w:rsid w:val="2C9A7D75"/>
    <w:rsid w:val="2C9C00DD"/>
    <w:rsid w:val="2CB2444D"/>
    <w:rsid w:val="2CC17412"/>
    <w:rsid w:val="2CD80FD7"/>
    <w:rsid w:val="2CD82830"/>
    <w:rsid w:val="2CDA6E57"/>
    <w:rsid w:val="2CEB2E12"/>
    <w:rsid w:val="2CEC4651"/>
    <w:rsid w:val="2CF02482"/>
    <w:rsid w:val="2CF65B93"/>
    <w:rsid w:val="2CFA5AB0"/>
    <w:rsid w:val="2CFD667A"/>
    <w:rsid w:val="2D0D0FDB"/>
    <w:rsid w:val="2D101B40"/>
    <w:rsid w:val="2D1302BF"/>
    <w:rsid w:val="2D1C121E"/>
    <w:rsid w:val="2D265EC5"/>
    <w:rsid w:val="2D391DD0"/>
    <w:rsid w:val="2D3B78F6"/>
    <w:rsid w:val="2D5F3CAF"/>
    <w:rsid w:val="2D5F7AEE"/>
    <w:rsid w:val="2D7C1E99"/>
    <w:rsid w:val="2D8114FB"/>
    <w:rsid w:val="2D8B3D08"/>
    <w:rsid w:val="2D8C3A3D"/>
    <w:rsid w:val="2DB57F33"/>
    <w:rsid w:val="2DC21DC5"/>
    <w:rsid w:val="2DD12008"/>
    <w:rsid w:val="2DD85145"/>
    <w:rsid w:val="2DE37CCC"/>
    <w:rsid w:val="2DF33D2D"/>
    <w:rsid w:val="2E3C1E59"/>
    <w:rsid w:val="2E556795"/>
    <w:rsid w:val="2E610457"/>
    <w:rsid w:val="2E692241"/>
    <w:rsid w:val="2E7035CF"/>
    <w:rsid w:val="2E8B21B7"/>
    <w:rsid w:val="2E8E614B"/>
    <w:rsid w:val="2E952879"/>
    <w:rsid w:val="2E9976CE"/>
    <w:rsid w:val="2EA63495"/>
    <w:rsid w:val="2EBC030F"/>
    <w:rsid w:val="2EC103C3"/>
    <w:rsid w:val="2EC61441"/>
    <w:rsid w:val="2ECA229B"/>
    <w:rsid w:val="2ED964C1"/>
    <w:rsid w:val="2EDB6DBC"/>
    <w:rsid w:val="2EF01DEE"/>
    <w:rsid w:val="2F053A45"/>
    <w:rsid w:val="2F10348F"/>
    <w:rsid w:val="2F1E74CF"/>
    <w:rsid w:val="2F266384"/>
    <w:rsid w:val="2F2A7C22"/>
    <w:rsid w:val="2F350375"/>
    <w:rsid w:val="2F372803"/>
    <w:rsid w:val="2F3A3BDD"/>
    <w:rsid w:val="2F3C5086"/>
    <w:rsid w:val="2F401D3C"/>
    <w:rsid w:val="2F5B24E1"/>
    <w:rsid w:val="2F5E78CC"/>
    <w:rsid w:val="2F707AA7"/>
    <w:rsid w:val="2F761BF9"/>
    <w:rsid w:val="2FA95C88"/>
    <w:rsid w:val="2FB41BE1"/>
    <w:rsid w:val="2FED29FE"/>
    <w:rsid w:val="2FF7AF4D"/>
    <w:rsid w:val="2FFF3589"/>
    <w:rsid w:val="300817B1"/>
    <w:rsid w:val="30200038"/>
    <w:rsid w:val="30240B15"/>
    <w:rsid w:val="30274161"/>
    <w:rsid w:val="3038011D"/>
    <w:rsid w:val="3041370F"/>
    <w:rsid w:val="30451D6D"/>
    <w:rsid w:val="304D5978"/>
    <w:rsid w:val="30601421"/>
    <w:rsid w:val="306F7A17"/>
    <w:rsid w:val="30877251"/>
    <w:rsid w:val="30902F79"/>
    <w:rsid w:val="3098002B"/>
    <w:rsid w:val="309C1849"/>
    <w:rsid w:val="309F7DCB"/>
    <w:rsid w:val="30A42599"/>
    <w:rsid w:val="30AE03DF"/>
    <w:rsid w:val="30B87FED"/>
    <w:rsid w:val="30D86127"/>
    <w:rsid w:val="30DA11D4"/>
    <w:rsid w:val="30E3452C"/>
    <w:rsid w:val="30F32296"/>
    <w:rsid w:val="31090BBE"/>
    <w:rsid w:val="31102E48"/>
    <w:rsid w:val="31197F4E"/>
    <w:rsid w:val="312B50A3"/>
    <w:rsid w:val="314C0BF0"/>
    <w:rsid w:val="31526393"/>
    <w:rsid w:val="31552F50"/>
    <w:rsid w:val="31772CB5"/>
    <w:rsid w:val="31894FD2"/>
    <w:rsid w:val="319475D5"/>
    <w:rsid w:val="31B23EFF"/>
    <w:rsid w:val="31D04895"/>
    <w:rsid w:val="31DA7378"/>
    <w:rsid w:val="31F26461"/>
    <w:rsid w:val="31F42F27"/>
    <w:rsid w:val="31FA3731"/>
    <w:rsid w:val="320D162A"/>
    <w:rsid w:val="32130E41"/>
    <w:rsid w:val="32453A27"/>
    <w:rsid w:val="324F382C"/>
    <w:rsid w:val="3263064A"/>
    <w:rsid w:val="326F1DF0"/>
    <w:rsid w:val="32717916"/>
    <w:rsid w:val="328B3846"/>
    <w:rsid w:val="328C4750"/>
    <w:rsid w:val="329B25B1"/>
    <w:rsid w:val="32A0644D"/>
    <w:rsid w:val="32A43132"/>
    <w:rsid w:val="32AC0C06"/>
    <w:rsid w:val="32C15A1E"/>
    <w:rsid w:val="32E620AA"/>
    <w:rsid w:val="32E751E1"/>
    <w:rsid w:val="32F21496"/>
    <w:rsid w:val="32F34C0D"/>
    <w:rsid w:val="32FA3D24"/>
    <w:rsid w:val="331A1F09"/>
    <w:rsid w:val="33344EF5"/>
    <w:rsid w:val="33370B5F"/>
    <w:rsid w:val="3341576D"/>
    <w:rsid w:val="3346382A"/>
    <w:rsid w:val="334B460B"/>
    <w:rsid w:val="334E7C57"/>
    <w:rsid w:val="33900F53"/>
    <w:rsid w:val="339972BC"/>
    <w:rsid w:val="339E473B"/>
    <w:rsid w:val="33AD7074"/>
    <w:rsid w:val="33C94AF8"/>
    <w:rsid w:val="33DD504C"/>
    <w:rsid w:val="33F8511C"/>
    <w:rsid w:val="33FB2EFA"/>
    <w:rsid w:val="34030A42"/>
    <w:rsid w:val="341823ED"/>
    <w:rsid w:val="34283B84"/>
    <w:rsid w:val="345C4FB9"/>
    <w:rsid w:val="347656B7"/>
    <w:rsid w:val="348C7C8B"/>
    <w:rsid w:val="34A845B2"/>
    <w:rsid w:val="34D74D9B"/>
    <w:rsid w:val="34E619A8"/>
    <w:rsid w:val="34F673A3"/>
    <w:rsid w:val="3504373E"/>
    <w:rsid w:val="35102E57"/>
    <w:rsid w:val="35142EB6"/>
    <w:rsid w:val="35154ED0"/>
    <w:rsid w:val="352444F1"/>
    <w:rsid w:val="3537750C"/>
    <w:rsid w:val="3537798C"/>
    <w:rsid w:val="354C204F"/>
    <w:rsid w:val="355703E8"/>
    <w:rsid w:val="3566592E"/>
    <w:rsid w:val="35795822"/>
    <w:rsid w:val="357B3059"/>
    <w:rsid w:val="35921367"/>
    <w:rsid w:val="35960FF3"/>
    <w:rsid w:val="35BB22C5"/>
    <w:rsid w:val="35BD7FBE"/>
    <w:rsid w:val="35C13FC9"/>
    <w:rsid w:val="35C3492C"/>
    <w:rsid w:val="35CF32D1"/>
    <w:rsid w:val="35EB3743"/>
    <w:rsid w:val="35F03248"/>
    <w:rsid w:val="3600792F"/>
    <w:rsid w:val="360F1920"/>
    <w:rsid w:val="362A675A"/>
    <w:rsid w:val="36372B05"/>
    <w:rsid w:val="36415851"/>
    <w:rsid w:val="364257B6"/>
    <w:rsid w:val="366A6525"/>
    <w:rsid w:val="366C0BDF"/>
    <w:rsid w:val="367125DA"/>
    <w:rsid w:val="3673394A"/>
    <w:rsid w:val="36D731B4"/>
    <w:rsid w:val="36DA1DD6"/>
    <w:rsid w:val="36DD65D8"/>
    <w:rsid w:val="36F9612C"/>
    <w:rsid w:val="371A057C"/>
    <w:rsid w:val="37321D6A"/>
    <w:rsid w:val="37495673"/>
    <w:rsid w:val="375A306E"/>
    <w:rsid w:val="375A75FC"/>
    <w:rsid w:val="377365B8"/>
    <w:rsid w:val="377E0E2E"/>
    <w:rsid w:val="378A2E2C"/>
    <w:rsid w:val="378E0F6A"/>
    <w:rsid w:val="37A13306"/>
    <w:rsid w:val="37A97B52"/>
    <w:rsid w:val="37EA5922"/>
    <w:rsid w:val="37EF1FD3"/>
    <w:rsid w:val="37F012DD"/>
    <w:rsid w:val="37F34464"/>
    <w:rsid w:val="37F708BD"/>
    <w:rsid w:val="381622AB"/>
    <w:rsid w:val="38276B93"/>
    <w:rsid w:val="382E58B8"/>
    <w:rsid w:val="384C6A06"/>
    <w:rsid w:val="38527D25"/>
    <w:rsid w:val="386E1270"/>
    <w:rsid w:val="387B2BB3"/>
    <w:rsid w:val="388C7258"/>
    <w:rsid w:val="388D2FD0"/>
    <w:rsid w:val="389E51DD"/>
    <w:rsid w:val="38A87E0A"/>
    <w:rsid w:val="38AC3431"/>
    <w:rsid w:val="38BB5C89"/>
    <w:rsid w:val="38CE051B"/>
    <w:rsid w:val="38E70932"/>
    <w:rsid w:val="38EC419A"/>
    <w:rsid w:val="38F52C52"/>
    <w:rsid w:val="38F6638B"/>
    <w:rsid w:val="38FD1F03"/>
    <w:rsid w:val="391536F1"/>
    <w:rsid w:val="392F2E16"/>
    <w:rsid w:val="393777E0"/>
    <w:rsid w:val="39423DBA"/>
    <w:rsid w:val="395320CF"/>
    <w:rsid w:val="395802C9"/>
    <w:rsid w:val="395F496C"/>
    <w:rsid w:val="39731517"/>
    <w:rsid w:val="39742645"/>
    <w:rsid w:val="39795162"/>
    <w:rsid w:val="397D3044"/>
    <w:rsid w:val="397E4523"/>
    <w:rsid w:val="398F400C"/>
    <w:rsid w:val="39904614"/>
    <w:rsid w:val="39981C2C"/>
    <w:rsid w:val="39A14F85"/>
    <w:rsid w:val="39B93CB5"/>
    <w:rsid w:val="39CE564E"/>
    <w:rsid w:val="39D3547C"/>
    <w:rsid w:val="39E00529"/>
    <w:rsid w:val="39E144D4"/>
    <w:rsid w:val="39ED35A8"/>
    <w:rsid w:val="39FA4695"/>
    <w:rsid w:val="3A0B64A7"/>
    <w:rsid w:val="3A196427"/>
    <w:rsid w:val="3A347BA7"/>
    <w:rsid w:val="3A371445"/>
    <w:rsid w:val="3A4F2C33"/>
    <w:rsid w:val="3A551420"/>
    <w:rsid w:val="3A574DDA"/>
    <w:rsid w:val="3A655FB2"/>
    <w:rsid w:val="3A6F6E31"/>
    <w:rsid w:val="3A92490E"/>
    <w:rsid w:val="3A9E7716"/>
    <w:rsid w:val="3AD3075A"/>
    <w:rsid w:val="3AF74C02"/>
    <w:rsid w:val="3AF92B9E"/>
    <w:rsid w:val="3B105C75"/>
    <w:rsid w:val="3B2D1FB4"/>
    <w:rsid w:val="3B2E03FE"/>
    <w:rsid w:val="3B31058A"/>
    <w:rsid w:val="3B3836C7"/>
    <w:rsid w:val="3B39113B"/>
    <w:rsid w:val="3B554279"/>
    <w:rsid w:val="3B5A714C"/>
    <w:rsid w:val="3B6BDBA2"/>
    <w:rsid w:val="3B730DDD"/>
    <w:rsid w:val="3B8A5BD4"/>
    <w:rsid w:val="3B8D5759"/>
    <w:rsid w:val="3BA0301A"/>
    <w:rsid w:val="3BC75E7D"/>
    <w:rsid w:val="3BCC7363"/>
    <w:rsid w:val="3BE3142E"/>
    <w:rsid w:val="3BED2703"/>
    <w:rsid w:val="3BF91CF9"/>
    <w:rsid w:val="3BFC46F4"/>
    <w:rsid w:val="3BFF2436"/>
    <w:rsid w:val="3C0059A5"/>
    <w:rsid w:val="3C134E78"/>
    <w:rsid w:val="3C1A2DCC"/>
    <w:rsid w:val="3C291261"/>
    <w:rsid w:val="3C6329C5"/>
    <w:rsid w:val="3C797AF3"/>
    <w:rsid w:val="3C945361"/>
    <w:rsid w:val="3CA37266"/>
    <w:rsid w:val="3CA628B2"/>
    <w:rsid w:val="3CA8487C"/>
    <w:rsid w:val="3CB74ABF"/>
    <w:rsid w:val="3CD25303"/>
    <w:rsid w:val="3CED6733"/>
    <w:rsid w:val="3CFA0510"/>
    <w:rsid w:val="3D1C6419"/>
    <w:rsid w:val="3D1E68EC"/>
    <w:rsid w:val="3D390535"/>
    <w:rsid w:val="3D3D6D72"/>
    <w:rsid w:val="3D521C65"/>
    <w:rsid w:val="3D563BC5"/>
    <w:rsid w:val="3D6E1622"/>
    <w:rsid w:val="3D9F561D"/>
    <w:rsid w:val="3DA45043"/>
    <w:rsid w:val="3DC54FBA"/>
    <w:rsid w:val="3DD35929"/>
    <w:rsid w:val="3DDDDD5E"/>
    <w:rsid w:val="3DE0464F"/>
    <w:rsid w:val="3DE43692"/>
    <w:rsid w:val="3DEC5E98"/>
    <w:rsid w:val="3DF02630"/>
    <w:rsid w:val="3DF6345D"/>
    <w:rsid w:val="3DF72340"/>
    <w:rsid w:val="3E0E4BB3"/>
    <w:rsid w:val="3E13220D"/>
    <w:rsid w:val="3E2B5515"/>
    <w:rsid w:val="3E403C43"/>
    <w:rsid w:val="3E42660A"/>
    <w:rsid w:val="3E4D4F28"/>
    <w:rsid w:val="3E7419A8"/>
    <w:rsid w:val="3E7D5CE0"/>
    <w:rsid w:val="3E864749"/>
    <w:rsid w:val="3EBE3EE3"/>
    <w:rsid w:val="3EC67F79"/>
    <w:rsid w:val="3ECF153C"/>
    <w:rsid w:val="3ECF4342"/>
    <w:rsid w:val="3ED25BE0"/>
    <w:rsid w:val="3ED92EC4"/>
    <w:rsid w:val="3EE13701"/>
    <w:rsid w:val="3EE566AC"/>
    <w:rsid w:val="3EF141B2"/>
    <w:rsid w:val="3F11495A"/>
    <w:rsid w:val="3F1955CF"/>
    <w:rsid w:val="3F1A4BB3"/>
    <w:rsid w:val="3F4A7E6C"/>
    <w:rsid w:val="3F566811"/>
    <w:rsid w:val="3F5C1110"/>
    <w:rsid w:val="3F6251B6"/>
    <w:rsid w:val="3F6D20B1"/>
    <w:rsid w:val="3F6D76B7"/>
    <w:rsid w:val="3F6E1B8A"/>
    <w:rsid w:val="3F850EA5"/>
    <w:rsid w:val="3F8C3FE1"/>
    <w:rsid w:val="3F9D61EE"/>
    <w:rsid w:val="3FABA82E"/>
    <w:rsid w:val="3FAF1A7E"/>
    <w:rsid w:val="3FE36B3D"/>
    <w:rsid w:val="3FE61943"/>
    <w:rsid w:val="3FF73B50"/>
    <w:rsid w:val="40192BA6"/>
    <w:rsid w:val="401A783F"/>
    <w:rsid w:val="403B1563"/>
    <w:rsid w:val="40464190"/>
    <w:rsid w:val="405F5F96"/>
    <w:rsid w:val="406E36E7"/>
    <w:rsid w:val="407A6FBB"/>
    <w:rsid w:val="407F3B46"/>
    <w:rsid w:val="408435C0"/>
    <w:rsid w:val="40932503"/>
    <w:rsid w:val="4095198B"/>
    <w:rsid w:val="40C5117F"/>
    <w:rsid w:val="40CF543F"/>
    <w:rsid w:val="40E907ED"/>
    <w:rsid w:val="40F24318"/>
    <w:rsid w:val="41032081"/>
    <w:rsid w:val="41281AE7"/>
    <w:rsid w:val="413B4605"/>
    <w:rsid w:val="415A13AB"/>
    <w:rsid w:val="41614FF9"/>
    <w:rsid w:val="416239DC"/>
    <w:rsid w:val="41652D3C"/>
    <w:rsid w:val="41670862"/>
    <w:rsid w:val="41686388"/>
    <w:rsid w:val="41766EA9"/>
    <w:rsid w:val="418015D5"/>
    <w:rsid w:val="418331C2"/>
    <w:rsid w:val="41A32FDB"/>
    <w:rsid w:val="41A35612"/>
    <w:rsid w:val="41B4781F"/>
    <w:rsid w:val="41BD0482"/>
    <w:rsid w:val="41BD44E6"/>
    <w:rsid w:val="41C2018E"/>
    <w:rsid w:val="41F95258"/>
    <w:rsid w:val="42025DE2"/>
    <w:rsid w:val="42241D3D"/>
    <w:rsid w:val="42246753"/>
    <w:rsid w:val="423E2453"/>
    <w:rsid w:val="424C5CAA"/>
    <w:rsid w:val="42550A18"/>
    <w:rsid w:val="4277488A"/>
    <w:rsid w:val="42975177"/>
    <w:rsid w:val="429D496A"/>
    <w:rsid w:val="42A97C5A"/>
    <w:rsid w:val="42B01875"/>
    <w:rsid w:val="42C615B8"/>
    <w:rsid w:val="42DC761B"/>
    <w:rsid w:val="42DD037E"/>
    <w:rsid w:val="42EC3CA8"/>
    <w:rsid w:val="42F473A1"/>
    <w:rsid w:val="43040332"/>
    <w:rsid w:val="430A74A2"/>
    <w:rsid w:val="430E0B5B"/>
    <w:rsid w:val="430F11B1"/>
    <w:rsid w:val="433A3D54"/>
    <w:rsid w:val="434370AD"/>
    <w:rsid w:val="4349610D"/>
    <w:rsid w:val="434A3F97"/>
    <w:rsid w:val="434D5FD8"/>
    <w:rsid w:val="435A1303"/>
    <w:rsid w:val="435C20A1"/>
    <w:rsid w:val="435C3CCA"/>
    <w:rsid w:val="4367175F"/>
    <w:rsid w:val="436919C3"/>
    <w:rsid w:val="437217EA"/>
    <w:rsid w:val="43747266"/>
    <w:rsid w:val="43A53A1F"/>
    <w:rsid w:val="43AB7156"/>
    <w:rsid w:val="43CD4BC8"/>
    <w:rsid w:val="43EE7018"/>
    <w:rsid w:val="44150A49"/>
    <w:rsid w:val="441E62C0"/>
    <w:rsid w:val="44337121"/>
    <w:rsid w:val="44715D6A"/>
    <w:rsid w:val="44781760"/>
    <w:rsid w:val="448332A2"/>
    <w:rsid w:val="448F51CB"/>
    <w:rsid w:val="449D459A"/>
    <w:rsid w:val="44D06997"/>
    <w:rsid w:val="44E44DA0"/>
    <w:rsid w:val="44FF7003"/>
    <w:rsid w:val="45183B01"/>
    <w:rsid w:val="45325D14"/>
    <w:rsid w:val="45351094"/>
    <w:rsid w:val="45594965"/>
    <w:rsid w:val="45616F96"/>
    <w:rsid w:val="45682DFA"/>
    <w:rsid w:val="45772895"/>
    <w:rsid w:val="45811C7C"/>
    <w:rsid w:val="4587613C"/>
    <w:rsid w:val="45906116"/>
    <w:rsid w:val="45931B8C"/>
    <w:rsid w:val="45943EE9"/>
    <w:rsid w:val="45A26CAD"/>
    <w:rsid w:val="45C145AC"/>
    <w:rsid w:val="45EB2A2A"/>
    <w:rsid w:val="45EF2552"/>
    <w:rsid w:val="45F31C83"/>
    <w:rsid w:val="460C7C2A"/>
    <w:rsid w:val="46113D93"/>
    <w:rsid w:val="46335612"/>
    <w:rsid w:val="4637074F"/>
    <w:rsid w:val="464A71CF"/>
    <w:rsid w:val="46565349"/>
    <w:rsid w:val="465B3245"/>
    <w:rsid w:val="4662784A"/>
    <w:rsid w:val="46657CCF"/>
    <w:rsid w:val="46765596"/>
    <w:rsid w:val="467D0B27"/>
    <w:rsid w:val="468772B0"/>
    <w:rsid w:val="468B3EFB"/>
    <w:rsid w:val="46A52BE4"/>
    <w:rsid w:val="46C878DD"/>
    <w:rsid w:val="46E60C47"/>
    <w:rsid w:val="46EC205C"/>
    <w:rsid w:val="46F2090A"/>
    <w:rsid w:val="470A6193"/>
    <w:rsid w:val="4710374A"/>
    <w:rsid w:val="472B2331"/>
    <w:rsid w:val="472F1E22"/>
    <w:rsid w:val="47360BFD"/>
    <w:rsid w:val="47385210"/>
    <w:rsid w:val="475510F8"/>
    <w:rsid w:val="476A10AC"/>
    <w:rsid w:val="476E221E"/>
    <w:rsid w:val="477C0DDF"/>
    <w:rsid w:val="478D6B48"/>
    <w:rsid w:val="479223B1"/>
    <w:rsid w:val="479C6D8B"/>
    <w:rsid w:val="47BA10BB"/>
    <w:rsid w:val="47BE1ECD"/>
    <w:rsid w:val="47D429C9"/>
    <w:rsid w:val="47DC4F5C"/>
    <w:rsid w:val="47DE73A4"/>
    <w:rsid w:val="47E50732"/>
    <w:rsid w:val="47F37FD3"/>
    <w:rsid w:val="47F72214"/>
    <w:rsid w:val="48021647"/>
    <w:rsid w:val="480F3A01"/>
    <w:rsid w:val="482267B4"/>
    <w:rsid w:val="484463CF"/>
    <w:rsid w:val="48517B76"/>
    <w:rsid w:val="48547666"/>
    <w:rsid w:val="48677399"/>
    <w:rsid w:val="487675DC"/>
    <w:rsid w:val="487A3570"/>
    <w:rsid w:val="489728C0"/>
    <w:rsid w:val="48A151D9"/>
    <w:rsid w:val="48AC1250"/>
    <w:rsid w:val="48AE0D54"/>
    <w:rsid w:val="48B11D15"/>
    <w:rsid w:val="48B40671"/>
    <w:rsid w:val="48C4659A"/>
    <w:rsid w:val="48C742DC"/>
    <w:rsid w:val="48C75233"/>
    <w:rsid w:val="48D36AED"/>
    <w:rsid w:val="48D43BCE"/>
    <w:rsid w:val="48D779D2"/>
    <w:rsid w:val="48D83DF3"/>
    <w:rsid w:val="48DDE656"/>
    <w:rsid w:val="48E36F8F"/>
    <w:rsid w:val="48F03833"/>
    <w:rsid w:val="48F138B6"/>
    <w:rsid w:val="48F470A3"/>
    <w:rsid w:val="48FA1FBB"/>
    <w:rsid w:val="490948F4"/>
    <w:rsid w:val="490E5A67"/>
    <w:rsid w:val="492B4235"/>
    <w:rsid w:val="492E6109"/>
    <w:rsid w:val="49355C90"/>
    <w:rsid w:val="493A685C"/>
    <w:rsid w:val="493C2BF3"/>
    <w:rsid w:val="4955712F"/>
    <w:rsid w:val="496E4757"/>
    <w:rsid w:val="49950CFF"/>
    <w:rsid w:val="49990697"/>
    <w:rsid w:val="49995C33"/>
    <w:rsid w:val="499B5738"/>
    <w:rsid w:val="499F244D"/>
    <w:rsid w:val="49A445FA"/>
    <w:rsid w:val="49B02FC2"/>
    <w:rsid w:val="49B21896"/>
    <w:rsid w:val="49BD710E"/>
    <w:rsid w:val="49C1138B"/>
    <w:rsid w:val="49C55F0E"/>
    <w:rsid w:val="49E306C4"/>
    <w:rsid w:val="49E3107C"/>
    <w:rsid w:val="49E669E4"/>
    <w:rsid w:val="4A065DD3"/>
    <w:rsid w:val="4A2467C7"/>
    <w:rsid w:val="4A77763C"/>
    <w:rsid w:val="4A7E303F"/>
    <w:rsid w:val="4A800BE6"/>
    <w:rsid w:val="4A882185"/>
    <w:rsid w:val="4A973F3F"/>
    <w:rsid w:val="4AB90145"/>
    <w:rsid w:val="4AC00FE3"/>
    <w:rsid w:val="4AD30D16"/>
    <w:rsid w:val="4AE271AB"/>
    <w:rsid w:val="4AE27323"/>
    <w:rsid w:val="4AE9678B"/>
    <w:rsid w:val="4AF96BC7"/>
    <w:rsid w:val="4B5931D4"/>
    <w:rsid w:val="4B5E0F27"/>
    <w:rsid w:val="4B616322"/>
    <w:rsid w:val="4B76388E"/>
    <w:rsid w:val="4B862A85"/>
    <w:rsid w:val="4B88164A"/>
    <w:rsid w:val="4BB24960"/>
    <w:rsid w:val="4BB52448"/>
    <w:rsid w:val="4BBE19C6"/>
    <w:rsid w:val="4BD25472"/>
    <w:rsid w:val="4BD8479F"/>
    <w:rsid w:val="4BE40D01"/>
    <w:rsid w:val="4BF076A6"/>
    <w:rsid w:val="4BF50D13"/>
    <w:rsid w:val="4BF60879"/>
    <w:rsid w:val="4C0B44E0"/>
    <w:rsid w:val="4C0F3FD0"/>
    <w:rsid w:val="4C5B45B9"/>
    <w:rsid w:val="4C6F310B"/>
    <w:rsid w:val="4C6F72AB"/>
    <w:rsid w:val="4C7B4571"/>
    <w:rsid w:val="4C8675DB"/>
    <w:rsid w:val="4C8A7283"/>
    <w:rsid w:val="4C8B4E9D"/>
    <w:rsid w:val="4CBD44DF"/>
    <w:rsid w:val="4CC14D6A"/>
    <w:rsid w:val="4CC34266"/>
    <w:rsid w:val="4CC85C08"/>
    <w:rsid w:val="4CCB7595"/>
    <w:rsid w:val="4CDE27F3"/>
    <w:rsid w:val="4CEF36E2"/>
    <w:rsid w:val="4CEF4DC5"/>
    <w:rsid w:val="4CF84BDB"/>
    <w:rsid w:val="4CF91DE4"/>
    <w:rsid w:val="4D0437FE"/>
    <w:rsid w:val="4D152EA6"/>
    <w:rsid w:val="4D1B6B47"/>
    <w:rsid w:val="4D1F46E6"/>
    <w:rsid w:val="4D2D3C7C"/>
    <w:rsid w:val="4D317F76"/>
    <w:rsid w:val="4D340066"/>
    <w:rsid w:val="4D427081"/>
    <w:rsid w:val="4D435026"/>
    <w:rsid w:val="4D453A21"/>
    <w:rsid w:val="4D551EB6"/>
    <w:rsid w:val="4D60140A"/>
    <w:rsid w:val="4D866514"/>
    <w:rsid w:val="4D87403A"/>
    <w:rsid w:val="4D987FF5"/>
    <w:rsid w:val="4DB34E2F"/>
    <w:rsid w:val="4DDC25D7"/>
    <w:rsid w:val="4DE9461C"/>
    <w:rsid w:val="4E013DEC"/>
    <w:rsid w:val="4E1F7847"/>
    <w:rsid w:val="4E21623C"/>
    <w:rsid w:val="4E231FB4"/>
    <w:rsid w:val="4E257655"/>
    <w:rsid w:val="4E327823"/>
    <w:rsid w:val="4E50518F"/>
    <w:rsid w:val="4E7E71EB"/>
    <w:rsid w:val="4E8552BC"/>
    <w:rsid w:val="4E870795"/>
    <w:rsid w:val="4E906B49"/>
    <w:rsid w:val="4E992106"/>
    <w:rsid w:val="4EB22E8E"/>
    <w:rsid w:val="4EDC0C29"/>
    <w:rsid w:val="4EE23C1E"/>
    <w:rsid w:val="4EE61CDA"/>
    <w:rsid w:val="4F086930"/>
    <w:rsid w:val="4F0A0A7E"/>
    <w:rsid w:val="4F11005F"/>
    <w:rsid w:val="4F166E11"/>
    <w:rsid w:val="4F372380"/>
    <w:rsid w:val="4F372FFB"/>
    <w:rsid w:val="4F5A7C58"/>
    <w:rsid w:val="4F601D00"/>
    <w:rsid w:val="4F665BD9"/>
    <w:rsid w:val="4F6C3FA5"/>
    <w:rsid w:val="4F744F7F"/>
    <w:rsid w:val="4FAE3B00"/>
    <w:rsid w:val="4FB35587"/>
    <w:rsid w:val="4FB629B4"/>
    <w:rsid w:val="4FCB559C"/>
    <w:rsid w:val="4FDD43E5"/>
    <w:rsid w:val="4FDE263F"/>
    <w:rsid w:val="4FF79FC8"/>
    <w:rsid w:val="4FFF6F93"/>
    <w:rsid w:val="501F44E6"/>
    <w:rsid w:val="502437DE"/>
    <w:rsid w:val="5025116D"/>
    <w:rsid w:val="50275978"/>
    <w:rsid w:val="50355FCF"/>
    <w:rsid w:val="50492324"/>
    <w:rsid w:val="504D72A9"/>
    <w:rsid w:val="504E670A"/>
    <w:rsid w:val="506568B4"/>
    <w:rsid w:val="50901457"/>
    <w:rsid w:val="50924ECA"/>
    <w:rsid w:val="509B22D6"/>
    <w:rsid w:val="509B4084"/>
    <w:rsid w:val="50B9651C"/>
    <w:rsid w:val="50BB00C4"/>
    <w:rsid w:val="50BB2978"/>
    <w:rsid w:val="50D13F4A"/>
    <w:rsid w:val="50E00577"/>
    <w:rsid w:val="50E0418D"/>
    <w:rsid w:val="50E7376D"/>
    <w:rsid w:val="50E81293"/>
    <w:rsid w:val="50E83041"/>
    <w:rsid w:val="50F14B6C"/>
    <w:rsid w:val="513A1AEF"/>
    <w:rsid w:val="51453C9F"/>
    <w:rsid w:val="51764AF1"/>
    <w:rsid w:val="518C1C1F"/>
    <w:rsid w:val="518C4620"/>
    <w:rsid w:val="51F021AD"/>
    <w:rsid w:val="51F31E36"/>
    <w:rsid w:val="51F872B4"/>
    <w:rsid w:val="52040801"/>
    <w:rsid w:val="520C5011"/>
    <w:rsid w:val="52291B63"/>
    <w:rsid w:val="5237039D"/>
    <w:rsid w:val="52395ECD"/>
    <w:rsid w:val="525F44BB"/>
    <w:rsid w:val="526D31C8"/>
    <w:rsid w:val="527F1783"/>
    <w:rsid w:val="52846D9A"/>
    <w:rsid w:val="528648C0"/>
    <w:rsid w:val="52B93420"/>
    <w:rsid w:val="52BB0A89"/>
    <w:rsid w:val="52BF08F6"/>
    <w:rsid w:val="52C10D75"/>
    <w:rsid w:val="52C61B2D"/>
    <w:rsid w:val="52D548A2"/>
    <w:rsid w:val="52E76441"/>
    <w:rsid w:val="52F87798"/>
    <w:rsid w:val="532B3328"/>
    <w:rsid w:val="533755F4"/>
    <w:rsid w:val="533E33EC"/>
    <w:rsid w:val="536C338D"/>
    <w:rsid w:val="538057B3"/>
    <w:rsid w:val="53912714"/>
    <w:rsid w:val="539B581E"/>
    <w:rsid w:val="53B645B0"/>
    <w:rsid w:val="53C27FF8"/>
    <w:rsid w:val="53D31D87"/>
    <w:rsid w:val="53E06252"/>
    <w:rsid w:val="53E81E61"/>
    <w:rsid w:val="53E82A87"/>
    <w:rsid w:val="54011C4D"/>
    <w:rsid w:val="54047EF9"/>
    <w:rsid w:val="540E1011"/>
    <w:rsid w:val="540F674D"/>
    <w:rsid w:val="543547EF"/>
    <w:rsid w:val="545E2D84"/>
    <w:rsid w:val="547F7727"/>
    <w:rsid w:val="548026BD"/>
    <w:rsid w:val="54806794"/>
    <w:rsid w:val="549359C2"/>
    <w:rsid w:val="5497165C"/>
    <w:rsid w:val="54976AA9"/>
    <w:rsid w:val="54990098"/>
    <w:rsid w:val="549E1A80"/>
    <w:rsid w:val="54A43723"/>
    <w:rsid w:val="54AD25D8"/>
    <w:rsid w:val="54C658F4"/>
    <w:rsid w:val="54D67D81"/>
    <w:rsid w:val="54E87AB4"/>
    <w:rsid w:val="550C4BD7"/>
    <w:rsid w:val="551709E9"/>
    <w:rsid w:val="554C1D56"/>
    <w:rsid w:val="554D29FD"/>
    <w:rsid w:val="555667CB"/>
    <w:rsid w:val="55572986"/>
    <w:rsid w:val="555E38D2"/>
    <w:rsid w:val="555E7D76"/>
    <w:rsid w:val="556C6C12"/>
    <w:rsid w:val="55756C7C"/>
    <w:rsid w:val="55766E6E"/>
    <w:rsid w:val="55AA6BB4"/>
    <w:rsid w:val="55B654BC"/>
    <w:rsid w:val="55CB21FF"/>
    <w:rsid w:val="55CF47D0"/>
    <w:rsid w:val="55D63DB0"/>
    <w:rsid w:val="55D87BCE"/>
    <w:rsid w:val="55DA38A0"/>
    <w:rsid w:val="55DB4F23"/>
    <w:rsid w:val="55E24503"/>
    <w:rsid w:val="55FC09B8"/>
    <w:rsid w:val="562A5269"/>
    <w:rsid w:val="562F1EBA"/>
    <w:rsid w:val="563733B5"/>
    <w:rsid w:val="563805C7"/>
    <w:rsid w:val="56526E48"/>
    <w:rsid w:val="565340FA"/>
    <w:rsid w:val="56554D73"/>
    <w:rsid w:val="566214A4"/>
    <w:rsid w:val="56706851"/>
    <w:rsid w:val="5671307A"/>
    <w:rsid w:val="56951575"/>
    <w:rsid w:val="56AD5F59"/>
    <w:rsid w:val="56B0015D"/>
    <w:rsid w:val="56B66BD3"/>
    <w:rsid w:val="56C60774"/>
    <w:rsid w:val="56E12653"/>
    <w:rsid w:val="56EA18C1"/>
    <w:rsid w:val="56F3629C"/>
    <w:rsid w:val="56FE6056"/>
    <w:rsid w:val="570C203C"/>
    <w:rsid w:val="570F1328"/>
    <w:rsid w:val="57236B81"/>
    <w:rsid w:val="57281580"/>
    <w:rsid w:val="575136EE"/>
    <w:rsid w:val="576A046C"/>
    <w:rsid w:val="576B029A"/>
    <w:rsid w:val="576E6E75"/>
    <w:rsid w:val="57776ECD"/>
    <w:rsid w:val="577F138D"/>
    <w:rsid w:val="578F1707"/>
    <w:rsid w:val="57B12A52"/>
    <w:rsid w:val="57D13A15"/>
    <w:rsid w:val="57D909D8"/>
    <w:rsid w:val="57E8072D"/>
    <w:rsid w:val="57F44ABA"/>
    <w:rsid w:val="57FCA5C9"/>
    <w:rsid w:val="5813309A"/>
    <w:rsid w:val="58213C58"/>
    <w:rsid w:val="58351A8B"/>
    <w:rsid w:val="584E5E80"/>
    <w:rsid w:val="585D299D"/>
    <w:rsid w:val="58810003"/>
    <w:rsid w:val="58871392"/>
    <w:rsid w:val="588D0533"/>
    <w:rsid w:val="58AB6E2E"/>
    <w:rsid w:val="58C63C68"/>
    <w:rsid w:val="58DE4364"/>
    <w:rsid w:val="58E04ED5"/>
    <w:rsid w:val="58E511CB"/>
    <w:rsid w:val="5917019C"/>
    <w:rsid w:val="59170968"/>
    <w:rsid w:val="591A2206"/>
    <w:rsid w:val="591B677F"/>
    <w:rsid w:val="59324022"/>
    <w:rsid w:val="594159E5"/>
    <w:rsid w:val="59626281"/>
    <w:rsid w:val="597436C4"/>
    <w:rsid w:val="59796F2C"/>
    <w:rsid w:val="59A4601D"/>
    <w:rsid w:val="59A85A64"/>
    <w:rsid w:val="59AC10B0"/>
    <w:rsid w:val="59B92C6F"/>
    <w:rsid w:val="59E36424"/>
    <w:rsid w:val="59E972F0"/>
    <w:rsid w:val="5A0013FC"/>
    <w:rsid w:val="5A024B69"/>
    <w:rsid w:val="5A0A227A"/>
    <w:rsid w:val="5A2F2CC8"/>
    <w:rsid w:val="5A41700C"/>
    <w:rsid w:val="5A467051"/>
    <w:rsid w:val="5A4A2677"/>
    <w:rsid w:val="5A5A0B0C"/>
    <w:rsid w:val="5A5C34F4"/>
    <w:rsid w:val="5A825D14"/>
    <w:rsid w:val="5A9A7A80"/>
    <w:rsid w:val="5AB6087B"/>
    <w:rsid w:val="5AB864BE"/>
    <w:rsid w:val="5ABD5454"/>
    <w:rsid w:val="5AC95C92"/>
    <w:rsid w:val="5AE1122D"/>
    <w:rsid w:val="5AE26D53"/>
    <w:rsid w:val="5AFE2CF6"/>
    <w:rsid w:val="5B061086"/>
    <w:rsid w:val="5B13515F"/>
    <w:rsid w:val="5B1C7B22"/>
    <w:rsid w:val="5B1F705C"/>
    <w:rsid w:val="5B372BFB"/>
    <w:rsid w:val="5B57504B"/>
    <w:rsid w:val="5B61411C"/>
    <w:rsid w:val="5B6D0D13"/>
    <w:rsid w:val="5B7976B8"/>
    <w:rsid w:val="5B8027F4"/>
    <w:rsid w:val="5BA3015F"/>
    <w:rsid w:val="5BAD0F91"/>
    <w:rsid w:val="5BBB7CD0"/>
    <w:rsid w:val="5BBC1352"/>
    <w:rsid w:val="5BBD57F6"/>
    <w:rsid w:val="5BD91F04"/>
    <w:rsid w:val="5BF3746A"/>
    <w:rsid w:val="5C044B1C"/>
    <w:rsid w:val="5C10702D"/>
    <w:rsid w:val="5C1403C9"/>
    <w:rsid w:val="5C152601"/>
    <w:rsid w:val="5C2C2C43"/>
    <w:rsid w:val="5C2E04A2"/>
    <w:rsid w:val="5C4177F7"/>
    <w:rsid w:val="5C4A2E02"/>
    <w:rsid w:val="5C5129B6"/>
    <w:rsid w:val="5C591F03"/>
    <w:rsid w:val="5C6E3A41"/>
    <w:rsid w:val="5C7452DD"/>
    <w:rsid w:val="5C82259C"/>
    <w:rsid w:val="5C8A1B2F"/>
    <w:rsid w:val="5C8A3B89"/>
    <w:rsid w:val="5C907043"/>
    <w:rsid w:val="5C992ACA"/>
    <w:rsid w:val="5D03621E"/>
    <w:rsid w:val="5D1A27D4"/>
    <w:rsid w:val="5D3769D6"/>
    <w:rsid w:val="5D3C6BEF"/>
    <w:rsid w:val="5D3F46CF"/>
    <w:rsid w:val="5D4246D2"/>
    <w:rsid w:val="5D697AF7"/>
    <w:rsid w:val="5D706898"/>
    <w:rsid w:val="5D7243BE"/>
    <w:rsid w:val="5D7A7717"/>
    <w:rsid w:val="5D9702C9"/>
    <w:rsid w:val="5DCF5083"/>
    <w:rsid w:val="5DD044BF"/>
    <w:rsid w:val="5DDF63AB"/>
    <w:rsid w:val="5DE5287F"/>
    <w:rsid w:val="5DE60909"/>
    <w:rsid w:val="5DFE3EA4"/>
    <w:rsid w:val="5E142BAD"/>
    <w:rsid w:val="5E285F9C"/>
    <w:rsid w:val="5E2D4789"/>
    <w:rsid w:val="5E3302BC"/>
    <w:rsid w:val="5E7128C8"/>
    <w:rsid w:val="5E9465B6"/>
    <w:rsid w:val="5EA80D79"/>
    <w:rsid w:val="5EB6652D"/>
    <w:rsid w:val="5ECB647C"/>
    <w:rsid w:val="5ED44C3F"/>
    <w:rsid w:val="5EDD0AA7"/>
    <w:rsid w:val="5EFA28BD"/>
    <w:rsid w:val="5F0712C0"/>
    <w:rsid w:val="5F073611"/>
    <w:rsid w:val="5F0B6879"/>
    <w:rsid w:val="5F1C6CD8"/>
    <w:rsid w:val="5F2142EE"/>
    <w:rsid w:val="5F225970"/>
    <w:rsid w:val="5F337B7D"/>
    <w:rsid w:val="5F54617E"/>
    <w:rsid w:val="5F561B72"/>
    <w:rsid w:val="5F5A7800"/>
    <w:rsid w:val="5F700DD2"/>
    <w:rsid w:val="5F954394"/>
    <w:rsid w:val="5F9745B0"/>
    <w:rsid w:val="5FA016B7"/>
    <w:rsid w:val="5FB52C88"/>
    <w:rsid w:val="5FC50757"/>
    <w:rsid w:val="5FD4310E"/>
    <w:rsid w:val="5FDA624B"/>
    <w:rsid w:val="5FFF2FBA"/>
    <w:rsid w:val="600357A2"/>
    <w:rsid w:val="60252F1B"/>
    <w:rsid w:val="60265063"/>
    <w:rsid w:val="606007BB"/>
    <w:rsid w:val="607B1FFF"/>
    <w:rsid w:val="60972534"/>
    <w:rsid w:val="60AC7F66"/>
    <w:rsid w:val="60B620AE"/>
    <w:rsid w:val="60EA0710"/>
    <w:rsid w:val="61045C75"/>
    <w:rsid w:val="61140DCF"/>
    <w:rsid w:val="612A4D6D"/>
    <w:rsid w:val="61446072"/>
    <w:rsid w:val="614620E8"/>
    <w:rsid w:val="61604106"/>
    <w:rsid w:val="61661BB6"/>
    <w:rsid w:val="618172C6"/>
    <w:rsid w:val="618B5A4F"/>
    <w:rsid w:val="619863BE"/>
    <w:rsid w:val="61A94127"/>
    <w:rsid w:val="61BF0397"/>
    <w:rsid w:val="61BF10D9"/>
    <w:rsid w:val="61C92675"/>
    <w:rsid w:val="61F37E6F"/>
    <w:rsid w:val="61F658B1"/>
    <w:rsid w:val="623205C0"/>
    <w:rsid w:val="623F0EEA"/>
    <w:rsid w:val="62593D9F"/>
    <w:rsid w:val="625D5A54"/>
    <w:rsid w:val="626764BC"/>
    <w:rsid w:val="62742987"/>
    <w:rsid w:val="62854B94"/>
    <w:rsid w:val="628D67DA"/>
    <w:rsid w:val="62905878"/>
    <w:rsid w:val="62AB5051"/>
    <w:rsid w:val="62AC0373"/>
    <w:rsid w:val="62AC22DC"/>
    <w:rsid w:val="62C840EB"/>
    <w:rsid w:val="62DD677E"/>
    <w:rsid w:val="62EE79FF"/>
    <w:rsid w:val="62FB30A8"/>
    <w:rsid w:val="630A766E"/>
    <w:rsid w:val="63100901"/>
    <w:rsid w:val="63383EFC"/>
    <w:rsid w:val="638210D3"/>
    <w:rsid w:val="63835311"/>
    <w:rsid w:val="63A22BFD"/>
    <w:rsid w:val="63A454EE"/>
    <w:rsid w:val="63AF495F"/>
    <w:rsid w:val="63DE2E00"/>
    <w:rsid w:val="63E1404C"/>
    <w:rsid w:val="63F37BA1"/>
    <w:rsid w:val="63F5294F"/>
    <w:rsid w:val="63F57AF7"/>
    <w:rsid w:val="63FA3360"/>
    <w:rsid w:val="63FD075A"/>
    <w:rsid w:val="63FF94EE"/>
    <w:rsid w:val="64063AB3"/>
    <w:rsid w:val="640D584B"/>
    <w:rsid w:val="64155AA4"/>
    <w:rsid w:val="6416019A"/>
    <w:rsid w:val="6429154F"/>
    <w:rsid w:val="642A2733"/>
    <w:rsid w:val="642B176B"/>
    <w:rsid w:val="642C7C4F"/>
    <w:rsid w:val="64395C36"/>
    <w:rsid w:val="64416899"/>
    <w:rsid w:val="64431AB2"/>
    <w:rsid w:val="644349B2"/>
    <w:rsid w:val="645760BC"/>
    <w:rsid w:val="64813139"/>
    <w:rsid w:val="64970BAF"/>
    <w:rsid w:val="64992B79"/>
    <w:rsid w:val="64B61035"/>
    <w:rsid w:val="64CF4A13"/>
    <w:rsid w:val="64DD3878"/>
    <w:rsid w:val="64DD55CE"/>
    <w:rsid w:val="64E45EF7"/>
    <w:rsid w:val="64F031D4"/>
    <w:rsid w:val="650A312E"/>
    <w:rsid w:val="650C50F9"/>
    <w:rsid w:val="651D2067"/>
    <w:rsid w:val="65273BAA"/>
    <w:rsid w:val="65313307"/>
    <w:rsid w:val="653D1756"/>
    <w:rsid w:val="65B92576"/>
    <w:rsid w:val="65C53356"/>
    <w:rsid w:val="65DB5B8A"/>
    <w:rsid w:val="65E86F33"/>
    <w:rsid w:val="65EC1148"/>
    <w:rsid w:val="65EF248D"/>
    <w:rsid w:val="66066051"/>
    <w:rsid w:val="661C136B"/>
    <w:rsid w:val="661C580F"/>
    <w:rsid w:val="661E3335"/>
    <w:rsid w:val="66284FBB"/>
    <w:rsid w:val="662D57F5"/>
    <w:rsid w:val="663756F4"/>
    <w:rsid w:val="6639539F"/>
    <w:rsid w:val="66434B4A"/>
    <w:rsid w:val="66442670"/>
    <w:rsid w:val="6646047D"/>
    <w:rsid w:val="665130D7"/>
    <w:rsid w:val="665925BF"/>
    <w:rsid w:val="665B1DD8"/>
    <w:rsid w:val="666B22F3"/>
    <w:rsid w:val="66777934"/>
    <w:rsid w:val="667B0788"/>
    <w:rsid w:val="667E5B82"/>
    <w:rsid w:val="6691014E"/>
    <w:rsid w:val="66A5036A"/>
    <w:rsid w:val="66BA782E"/>
    <w:rsid w:val="66C87CCE"/>
    <w:rsid w:val="66CC058C"/>
    <w:rsid w:val="66D5184E"/>
    <w:rsid w:val="66F50313"/>
    <w:rsid w:val="66FE3167"/>
    <w:rsid w:val="67065B78"/>
    <w:rsid w:val="67313B0C"/>
    <w:rsid w:val="67322330"/>
    <w:rsid w:val="6736645D"/>
    <w:rsid w:val="67371FE2"/>
    <w:rsid w:val="675B7394"/>
    <w:rsid w:val="677435B2"/>
    <w:rsid w:val="67955879"/>
    <w:rsid w:val="67A23AF2"/>
    <w:rsid w:val="67AD2607"/>
    <w:rsid w:val="67AD6DE0"/>
    <w:rsid w:val="67C95523"/>
    <w:rsid w:val="67CF0C61"/>
    <w:rsid w:val="67DFD7D6"/>
    <w:rsid w:val="67E2197B"/>
    <w:rsid w:val="67EF75F1"/>
    <w:rsid w:val="68016A6B"/>
    <w:rsid w:val="68093B71"/>
    <w:rsid w:val="68356714"/>
    <w:rsid w:val="68381798"/>
    <w:rsid w:val="6840654A"/>
    <w:rsid w:val="684F4F11"/>
    <w:rsid w:val="687F152B"/>
    <w:rsid w:val="68A5387D"/>
    <w:rsid w:val="68B65AA7"/>
    <w:rsid w:val="68B97345"/>
    <w:rsid w:val="68BA0C4C"/>
    <w:rsid w:val="68C1435D"/>
    <w:rsid w:val="68C1734A"/>
    <w:rsid w:val="68C71DD3"/>
    <w:rsid w:val="68C76C42"/>
    <w:rsid w:val="68C913D0"/>
    <w:rsid w:val="68F16ADF"/>
    <w:rsid w:val="690D143F"/>
    <w:rsid w:val="69100ED1"/>
    <w:rsid w:val="69124F16"/>
    <w:rsid w:val="691B1DAE"/>
    <w:rsid w:val="691D5B26"/>
    <w:rsid w:val="69224EEB"/>
    <w:rsid w:val="693A3851"/>
    <w:rsid w:val="69472BA3"/>
    <w:rsid w:val="695E7EED"/>
    <w:rsid w:val="698E2580"/>
    <w:rsid w:val="698F00A6"/>
    <w:rsid w:val="699E7743"/>
    <w:rsid w:val="69B11CDD"/>
    <w:rsid w:val="69B813AB"/>
    <w:rsid w:val="69BB6293"/>
    <w:rsid w:val="69CD5C14"/>
    <w:rsid w:val="69CF0D33"/>
    <w:rsid w:val="69EF12C4"/>
    <w:rsid w:val="69F75FC1"/>
    <w:rsid w:val="6A040A94"/>
    <w:rsid w:val="6A0942FC"/>
    <w:rsid w:val="6A1507F1"/>
    <w:rsid w:val="6A186779"/>
    <w:rsid w:val="6A3D7B02"/>
    <w:rsid w:val="6A44016D"/>
    <w:rsid w:val="6A587F2A"/>
    <w:rsid w:val="6A8B4D12"/>
    <w:rsid w:val="6A8D0A8A"/>
    <w:rsid w:val="6AB029CA"/>
    <w:rsid w:val="6AB2229E"/>
    <w:rsid w:val="6AB9187F"/>
    <w:rsid w:val="6AE15C4A"/>
    <w:rsid w:val="6AE803E5"/>
    <w:rsid w:val="6AFE12CB"/>
    <w:rsid w:val="6B00125C"/>
    <w:rsid w:val="6B056872"/>
    <w:rsid w:val="6B2313EE"/>
    <w:rsid w:val="6B2D3CFD"/>
    <w:rsid w:val="6B4078AA"/>
    <w:rsid w:val="6B5042B7"/>
    <w:rsid w:val="6B520023"/>
    <w:rsid w:val="6B557CE2"/>
    <w:rsid w:val="6B5D1AC1"/>
    <w:rsid w:val="6B735ED1"/>
    <w:rsid w:val="6B8D6867"/>
    <w:rsid w:val="6B96396E"/>
    <w:rsid w:val="6B9946B3"/>
    <w:rsid w:val="6BAD2A66"/>
    <w:rsid w:val="6BAD67E9"/>
    <w:rsid w:val="6BBE52E8"/>
    <w:rsid w:val="6BCF0C2E"/>
    <w:rsid w:val="6BD10CDE"/>
    <w:rsid w:val="6BE518DA"/>
    <w:rsid w:val="6BFA8410"/>
    <w:rsid w:val="6C105B45"/>
    <w:rsid w:val="6C2418FA"/>
    <w:rsid w:val="6C276F3A"/>
    <w:rsid w:val="6C3E625E"/>
    <w:rsid w:val="6C465D4B"/>
    <w:rsid w:val="6C5D26DE"/>
    <w:rsid w:val="6C7007C7"/>
    <w:rsid w:val="6C822AAB"/>
    <w:rsid w:val="6C823EF2"/>
    <w:rsid w:val="6C97174C"/>
    <w:rsid w:val="6CA125CA"/>
    <w:rsid w:val="6CBF168D"/>
    <w:rsid w:val="6CFA1CDB"/>
    <w:rsid w:val="6D064B23"/>
    <w:rsid w:val="6D1742B3"/>
    <w:rsid w:val="6D1A3CAC"/>
    <w:rsid w:val="6D2D3A36"/>
    <w:rsid w:val="6D2D797C"/>
    <w:rsid w:val="6D617EE0"/>
    <w:rsid w:val="6D631F76"/>
    <w:rsid w:val="6D6C1076"/>
    <w:rsid w:val="6D8C36B9"/>
    <w:rsid w:val="6D8E3802"/>
    <w:rsid w:val="6D8F4B19"/>
    <w:rsid w:val="6D940A73"/>
    <w:rsid w:val="6DA305C4"/>
    <w:rsid w:val="6DA57E98"/>
    <w:rsid w:val="6DCC18C9"/>
    <w:rsid w:val="6DDC0947"/>
    <w:rsid w:val="6DE2733E"/>
    <w:rsid w:val="6DE76850"/>
    <w:rsid w:val="6DF36E56"/>
    <w:rsid w:val="6E04145B"/>
    <w:rsid w:val="6E155830"/>
    <w:rsid w:val="6E1F40EF"/>
    <w:rsid w:val="6E2C680B"/>
    <w:rsid w:val="6E3851B0"/>
    <w:rsid w:val="6E4B4EE4"/>
    <w:rsid w:val="6E5D69C5"/>
    <w:rsid w:val="6E775CD9"/>
    <w:rsid w:val="6E8012D9"/>
    <w:rsid w:val="6E924F45"/>
    <w:rsid w:val="6EA51B79"/>
    <w:rsid w:val="6EA72C59"/>
    <w:rsid w:val="6EBF31DC"/>
    <w:rsid w:val="6ED22050"/>
    <w:rsid w:val="6EFF048C"/>
    <w:rsid w:val="6EFF6962"/>
    <w:rsid w:val="6F183AD6"/>
    <w:rsid w:val="6F493C6C"/>
    <w:rsid w:val="6F857F81"/>
    <w:rsid w:val="6F8E4176"/>
    <w:rsid w:val="6FA67EF8"/>
    <w:rsid w:val="6FAA5C3A"/>
    <w:rsid w:val="6FAC3760"/>
    <w:rsid w:val="6FB20BD4"/>
    <w:rsid w:val="6FB839EA"/>
    <w:rsid w:val="6FBA59BE"/>
    <w:rsid w:val="6FCC5336"/>
    <w:rsid w:val="6FF05F69"/>
    <w:rsid w:val="6FF869A5"/>
    <w:rsid w:val="6FFB46E7"/>
    <w:rsid w:val="701B2694"/>
    <w:rsid w:val="70292675"/>
    <w:rsid w:val="70296B3E"/>
    <w:rsid w:val="702E4C81"/>
    <w:rsid w:val="70427B87"/>
    <w:rsid w:val="70572D5C"/>
    <w:rsid w:val="705D4A5A"/>
    <w:rsid w:val="70611204"/>
    <w:rsid w:val="709F5073"/>
    <w:rsid w:val="70B54896"/>
    <w:rsid w:val="70BB1D85"/>
    <w:rsid w:val="70C1503A"/>
    <w:rsid w:val="70C41CD4"/>
    <w:rsid w:val="70CD6084"/>
    <w:rsid w:val="70D07EC3"/>
    <w:rsid w:val="70DE203F"/>
    <w:rsid w:val="70E13C67"/>
    <w:rsid w:val="70F87AA8"/>
    <w:rsid w:val="710650F2"/>
    <w:rsid w:val="71185364"/>
    <w:rsid w:val="713954C7"/>
    <w:rsid w:val="714A76D4"/>
    <w:rsid w:val="71537F87"/>
    <w:rsid w:val="7165620F"/>
    <w:rsid w:val="717039F8"/>
    <w:rsid w:val="717670E7"/>
    <w:rsid w:val="717A57AC"/>
    <w:rsid w:val="717B5AE0"/>
    <w:rsid w:val="71997D14"/>
    <w:rsid w:val="71BB7512"/>
    <w:rsid w:val="71BD6F35"/>
    <w:rsid w:val="71C45D0B"/>
    <w:rsid w:val="71C75632"/>
    <w:rsid w:val="71E44313"/>
    <w:rsid w:val="71E82A49"/>
    <w:rsid w:val="71F370EC"/>
    <w:rsid w:val="722868FE"/>
    <w:rsid w:val="726B0FE8"/>
    <w:rsid w:val="72C442EE"/>
    <w:rsid w:val="72E22405"/>
    <w:rsid w:val="731D4D85"/>
    <w:rsid w:val="73303624"/>
    <w:rsid w:val="733B457E"/>
    <w:rsid w:val="73495B3B"/>
    <w:rsid w:val="734C660F"/>
    <w:rsid w:val="735755EA"/>
    <w:rsid w:val="7358775B"/>
    <w:rsid w:val="73652AD4"/>
    <w:rsid w:val="73730BF1"/>
    <w:rsid w:val="737A3B75"/>
    <w:rsid w:val="73C13552"/>
    <w:rsid w:val="73D03795"/>
    <w:rsid w:val="73D509D0"/>
    <w:rsid w:val="73EB2AF2"/>
    <w:rsid w:val="73F71F01"/>
    <w:rsid w:val="73FC27DC"/>
    <w:rsid w:val="741B7106"/>
    <w:rsid w:val="741E6BF6"/>
    <w:rsid w:val="74275AAB"/>
    <w:rsid w:val="745443C6"/>
    <w:rsid w:val="746C0790"/>
    <w:rsid w:val="74844CAB"/>
    <w:rsid w:val="749C0A23"/>
    <w:rsid w:val="74B207DC"/>
    <w:rsid w:val="74D13AD5"/>
    <w:rsid w:val="74D976E2"/>
    <w:rsid w:val="74DD3CC3"/>
    <w:rsid w:val="74F57957"/>
    <w:rsid w:val="74FA2C30"/>
    <w:rsid w:val="750A1AC5"/>
    <w:rsid w:val="750B34BD"/>
    <w:rsid w:val="75104791"/>
    <w:rsid w:val="7511559E"/>
    <w:rsid w:val="7531081E"/>
    <w:rsid w:val="75383CE8"/>
    <w:rsid w:val="753D4E5A"/>
    <w:rsid w:val="754D5C4B"/>
    <w:rsid w:val="75690ED6"/>
    <w:rsid w:val="75750C7F"/>
    <w:rsid w:val="757C3BD5"/>
    <w:rsid w:val="75812C05"/>
    <w:rsid w:val="75877F73"/>
    <w:rsid w:val="759C4277"/>
    <w:rsid w:val="75BA018C"/>
    <w:rsid w:val="75BE90FB"/>
    <w:rsid w:val="75C21B99"/>
    <w:rsid w:val="75D67789"/>
    <w:rsid w:val="75F4143F"/>
    <w:rsid w:val="75F67D5C"/>
    <w:rsid w:val="75F6E9C2"/>
    <w:rsid w:val="75F92AF3"/>
    <w:rsid w:val="760032A4"/>
    <w:rsid w:val="76393874"/>
    <w:rsid w:val="764D505D"/>
    <w:rsid w:val="765869B8"/>
    <w:rsid w:val="767F38B3"/>
    <w:rsid w:val="769407DF"/>
    <w:rsid w:val="76A258BD"/>
    <w:rsid w:val="76A519F0"/>
    <w:rsid w:val="76AC7D36"/>
    <w:rsid w:val="76BF021D"/>
    <w:rsid w:val="76C240A7"/>
    <w:rsid w:val="76CB6F68"/>
    <w:rsid w:val="76D63136"/>
    <w:rsid w:val="76D8308D"/>
    <w:rsid w:val="76DA416A"/>
    <w:rsid w:val="76F3D3A8"/>
    <w:rsid w:val="77114BA1"/>
    <w:rsid w:val="771172FD"/>
    <w:rsid w:val="7712703F"/>
    <w:rsid w:val="773D6051"/>
    <w:rsid w:val="77412409"/>
    <w:rsid w:val="775246B7"/>
    <w:rsid w:val="778A1F2E"/>
    <w:rsid w:val="778B00FF"/>
    <w:rsid w:val="778C3E77"/>
    <w:rsid w:val="778E71C9"/>
    <w:rsid w:val="77C0257D"/>
    <w:rsid w:val="77D66A2A"/>
    <w:rsid w:val="77E463A8"/>
    <w:rsid w:val="77F53A38"/>
    <w:rsid w:val="77FD66CF"/>
    <w:rsid w:val="78191561"/>
    <w:rsid w:val="781E69D1"/>
    <w:rsid w:val="7824245F"/>
    <w:rsid w:val="78802095"/>
    <w:rsid w:val="78904441"/>
    <w:rsid w:val="78991B88"/>
    <w:rsid w:val="78A64125"/>
    <w:rsid w:val="78A82F32"/>
    <w:rsid w:val="78BE62B2"/>
    <w:rsid w:val="78C67481"/>
    <w:rsid w:val="78C733B9"/>
    <w:rsid w:val="78CA4C57"/>
    <w:rsid w:val="78D67AA0"/>
    <w:rsid w:val="78EB6A81"/>
    <w:rsid w:val="7901747F"/>
    <w:rsid w:val="790E2D96"/>
    <w:rsid w:val="791C753D"/>
    <w:rsid w:val="792B7DEB"/>
    <w:rsid w:val="793622EC"/>
    <w:rsid w:val="793D367B"/>
    <w:rsid w:val="795B7FA5"/>
    <w:rsid w:val="7961380D"/>
    <w:rsid w:val="796450AB"/>
    <w:rsid w:val="796B468C"/>
    <w:rsid w:val="797E31CB"/>
    <w:rsid w:val="79823784"/>
    <w:rsid w:val="79AC25AE"/>
    <w:rsid w:val="79B3128B"/>
    <w:rsid w:val="79D7D698"/>
    <w:rsid w:val="79DA35C0"/>
    <w:rsid w:val="79DF0BD6"/>
    <w:rsid w:val="79E4787A"/>
    <w:rsid w:val="79F5A33C"/>
    <w:rsid w:val="7A0128FA"/>
    <w:rsid w:val="7A1545F8"/>
    <w:rsid w:val="7A263B6B"/>
    <w:rsid w:val="7A28257D"/>
    <w:rsid w:val="7A316DFD"/>
    <w:rsid w:val="7A6A04A0"/>
    <w:rsid w:val="7A6A66F1"/>
    <w:rsid w:val="7A7E20E7"/>
    <w:rsid w:val="7A8772A3"/>
    <w:rsid w:val="7A9C0875"/>
    <w:rsid w:val="7ACF0183"/>
    <w:rsid w:val="7AD973D3"/>
    <w:rsid w:val="7AF46346"/>
    <w:rsid w:val="7AFB1A3F"/>
    <w:rsid w:val="7AFF8B48"/>
    <w:rsid w:val="7B0F5EBF"/>
    <w:rsid w:val="7B130FB9"/>
    <w:rsid w:val="7B1706C7"/>
    <w:rsid w:val="7B29035B"/>
    <w:rsid w:val="7B3D4807"/>
    <w:rsid w:val="7B486307"/>
    <w:rsid w:val="7B752AA7"/>
    <w:rsid w:val="7B7F9B57"/>
    <w:rsid w:val="7B8F1DB2"/>
    <w:rsid w:val="7BBC0D0C"/>
    <w:rsid w:val="7BBE04B6"/>
    <w:rsid w:val="7BBF0CBF"/>
    <w:rsid w:val="7BC2430B"/>
    <w:rsid w:val="7BCD1344"/>
    <w:rsid w:val="7BCD6162"/>
    <w:rsid w:val="7BD71E38"/>
    <w:rsid w:val="7BD8369B"/>
    <w:rsid w:val="7BE41515"/>
    <w:rsid w:val="7BE61DA8"/>
    <w:rsid w:val="7BF64EDE"/>
    <w:rsid w:val="7BFE43AD"/>
    <w:rsid w:val="7C230571"/>
    <w:rsid w:val="7C321491"/>
    <w:rsid w:val="7C400C1E"/>
    <w:rsid w:val="7C444D20"/>
    <w:rsid w:val="7C52777D"/>
    <w:rsid w:val="7C541895"/>
    <w:rsid w:val="7C6559F4"/>
    <w:rsid w:val="7C693FA0"/>
    <w:rsid w:val="7C72188D"/>
    <w:rsid w:val="7C7E46D6"/>
    <w:rsid w:val="7C972F41"/>
    <w:rsid w:val="7CA7205A"/>
    <w:rsid w:val="7CAA1027"/>
    <w:rsid w:val="7CB108B1"/>
    <w:rsid w:val="7CC77E2B"/>
    <w:rsid w:val="7CC85951"/>
    <w:rsid w:val="7CC97586"/>
    <w:rsid w:val="7CE107C1"/>
    <w:rsid w:val="7D0351B8"/>
    <w:rsid w:val="7D1D5C9D"/>
    <w:rsid w:val="7D463234"/>
    <w:rsid w:val="7D515947"/>
    <w:rsid w:val="7D547D83"/>
    <w:rsid w:val="7D6531A0"/>
    <w:rsid w:val="7D8F646F"/>
    <w:rsid w:val="7D972EFD"/>
    <w:rsid w:val="7D976246"/>
    <w:rsid w:val="7DB165DA"/>
    <w:rsid w:val="7DC4563E"/>
    <w:rsid w:val="7DCC3AD8"/>
    <w:rsid w:val="7DD11708"/>
    <w:rsid w:val="7DD36FE2"/>
    <w:rsid w:val="7DEE4A4F"/>
    <w:rsid w:val="7DEF11E8"/>
    <w:rsid w:val="7DF715D0"/>
    <w:rsid w:val="7DF84014"/>
    <w:rsid w:val="7E0335F8"/>
    <w:rsid w:val="7E066731"/>
    <w:rsid w:val="7E1641B0"/>
    <w:rsid w:val="7E186464"/>
    <w:rsid w:val="7E340261"/>
    <w:rsid w:val="7E3E2DA3"/>
    <w:rsid w:val="7E730D4D"/>
    <w:rsid w:val="7E7F0292"/>
    <w:rsid w:val="7EA83C8C"/>
    <w:rsid w:val="7EAE6230"/>
    <w:rsid w:val="7EBD579E"/>
    <w:rsid w:val="7EC167BD"/>
    <w:rsid w:val="7EC16AFC"/>
    <w:rsid w:val="7EF33673"/>
    <w:rsid w:val="7F272D9E"/>
    <w:rsid w:val="7F3D1BB8"/>
    <w:rsid w:val="7F482D79"/>
    <w:rsid w:val="7F5A0D58"/>
    <w:rsid w:val="7F631961"/>
    <w:rsid w:val="7F6E41B1"/>
    <w:rsid w:val="7F761695"/>
    <w:rsid w:val="7F7D2A23"/>
    <w:rsid w:val="7F7F98B3"/>
    <w:rsid w:val="7F833DB1"/>
    <w:rsid w:val="7F8C56AF"/>
    <w:rsid w:val="7F9D5773"/>
    <w:rsid w:val="7FAC50B6"/>
    <w:rsid w:val="7FB36445"/>
    <w:rsid w:val="7FB36FE0"/>
    <w:rsid w:val="7FC06DB4"/>
    <w:rsid w:val="7FC22B2C"/>
    <w:rsid w:val="7FDB8F6B"/>
    <w:rsid w:val="7FE64DA5"/>
    <w:rsid w:val="7FE7AEE8"/>
    <w:rsid w:val="7FF865EC"/>
    <w:rsid w:val="7FFB5844"/>
    <w:rsid w:val="9F7634ED"/>
    <w:rsid w:val="AEBDC020"/>
    <w:rsid w:val="B2CFCADB"/>
    <w:rsid w:val="B5E7D7AB"/>
    <w:rsid w:val="B97FD18B"/>
    <w:rsid w:val="B9FF0A9C"/>
    <w:rsid w:val="BB99FB9D"/>
    <w:rsid w:val="BFD609A3"/>
    <w:rsid w:val="BFE9BE20"/>
    <w:rsid w:val="C7FE6993"/>
    <w:rsid w:val="D71EAF6F"/>
    <w:rsid w:val="DBB1FF65"/>
    <w:rsid w:val="DCFF0C47"/>
    <w:rsid w:val="DD5F4C6C"/>
    <w:rsid w:val="DFFB32A1"/>
    <w:rsid w:val="DFFF3B75"/>
    <w:rsid w:val="E3AF32CA"/>
    <w:rsid w:val="E7EB0B55"/>
    <w:rsid w:val="EBB056C9"/>
    <w:rsid w:val="ED7FDC7A"/>
    <w:rsid w:val="EDEBB27B"/>
    <w:rsid w:val="EEFF231B"/>
    <w:rsid w:val="EF4FCDE7"/>
    <w:rsid w:val="F1F967B5"/>
    <w:rsid w:val="F2BECCEA"/>
    <w:rsid w:val="F5EF9FE7"/>
    <w:rsid w:val="F67F514C"/>
    <w:rsid w:val="F6CFFBBC"/>
    <w:rsid w:val="F75D31AD"/>
    <w:rsid w:val="F7B731E4"/>
    <w:rsid w:val="F7EF5AD0"/>
    <w:rsid w:val="F7FF51EA"/>
    <w:rsid w:val="F9BFE548"/>
    <w:rsid w:val="FB3EF73C"/>
    <w:rsid w:val="FBFB38D7"/>
    <w:rsid w:val="FD7D4260"/>
    <w:rsid w:val="FED56599"/>
    <w:rsid w:val="FEDF39BE"/>
    <w:rsid w:val="FF367B17"/>
    <w:rsid w:val="FF5F40FA"/>
    <w:rsid w:val="FF5FEA04"/>
    <w:rsid w:val="FFAB3173"/>
    <w:rsid w:val="FFBF5A83"/>
    <w:rsid w:val="FFD918E2"/>
    <w:rsid w:val="FFEF0F76"/>
    <w:rsid w:val="FFF71AFC"/>
    <w:rsid w:val="FFF9C3C2"/>
    <w:rsid w:val="FFFBEEC8"/>
    <w:rsid w:val="FFFF1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uiPriority="99" w:name="Body Text Indent 3"/>
    <w:lsdException w:qFormat="1" w:unhideWhenUsed="0" w:uiPriority="99"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9"/>
    <w:pPr>
      <w:keepNext/>
      <w:keepLines/>
      <w:spacing w:before="30" w:after="30" w:line="360" w:lineRule="auto"/>
      <w:outlineLvl w:val="0"/>
    </w:pPr>
    <w:rPr>
      <w:b/>
      <w:bCs/>
      <w:kern w:val="44"/>
      <w:sz w:val="44"/>
      <w:szCs w:val="44"/>
    </w:rPr>
  </w:style>
  <w:style w:type="paragraph" w:styleId="4">
    <w:name w:val="heading 2"/>
    <w:basedOn w:val="1"/>
    <w:next w:val="1"/>
    <w:link w:val="47"/>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rFonts w:ascii="Calibri" w:hAnsi="Calibri"/>
      <w:b/>
      <w:bCs/>
      <w:kern w:val="0"/>
      <w:sz w:val="32"/>
      <w:szCs w:val="32"/>
    </w:rPr>
  </w:style>
  <w:style w:type="paragraph" w:styleId="6">
    <w:name w:val="heading 4"/>
    <w:basedOn w:val="1"/>
    <w:next w:val="1"/>
    <w:qFormat/>
    <w:uiPriority w:val="0"/>
    <w:pPr>
      <w:tabs>
        <w:tab w:val="left" w:pos="2155"/>
      </w:tabs>
      <w:spacing w:before="120" w:line="360" w:lineRule="auto"/>
      <w:ind w:left="2155" w:hanging="1078"/>
      <w:textAlignment w:val="baseline"/>
      <w:outlineLvl w:val="3"/>
    </w:pPr>
    <w:rPr>
      <w:rFonts w:ascii="Arial" w:eastAsia="黑体"/>
      <w:sz w:val="28"/>
      <w:szCs w:val="20"/>
    </w:rPr>
  </w:style>
  <w:style w:type="paragraph" w:styleId="7">
    <w:name w:val="heading 5"/>
    <w:basedOn w:val="1"/>
    <w:next w:val="8"/>
    <w:link w:val="48"/>
    <w:qFormat/>
    <w:uiPriority w:val="9"/>
    <w:pPr>
      <w:keepNext/>
      <w:keepLines/>
      <w:spacing w:before="280" w:after="290" w:line="376" w:lineRule="auto"/>
      <w:outlineLvl w:val="4"/>
    </w:pPr>
    <w:rPr>
      <w:b/>
      <w:bCs/>
      <w:sz w:val="28"/>
      <w:szCs w:val="28"/>
    </w:rPr>
  </w:style>
  <w:style w:type="paragraph" w:styleId="9">
    <w:name w:val="heading 8"/>
    <w:basedOn w:val="1"/>
    <w:next w:val="1"/>
    <w:link w:val="49"/>
    <w:qFormat/>
    <w:uiPriority w:val="9"/>
    <w:pPr>
      <w:keepNext/>
      <w:keepLines/>
      <w:spacing w:before="240" w:after="64" w:line="320" w:lineRule="auto"/>
      <w:outlineLvl w:val="7"/>
    </w:pPr>
    <w:rPr>
      <w:rFonts w:ascii="等线 Light" w:hAnsi="等线 Light" w:eastAsia="等线 Light"/>
      <w:sz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rPr>
      <w:rFonts w:ascii="等线" w:hAnsi="等线" w:eastAsia="等线"/>
    </w:rPr>
  </w:style>
  <w:style w:type="paragraph" w:styleId="8">
    <w:name w:val="Normal Indent"/>
    <w:basedOn w:val="1"/>
    <w:qFormat/>
    <w:uiPriority w:val="0"/>
    <w:pPr>
      <w:ind w:firstLine="420"/>
    </w:pPr>
    <w:rPr>
      <w:szCs w:val="20"/>
    </w:rPr>
  </w:style>
  <w:style w:type="paragraph" w:styleId="10">
    <w:name w:val="index 8"/>
    <w:basedOn w:val="1"/>
    <w:next w:val="1"/>
    <w:unhideWhenUsed/>
    <w:qFormat/>
    <w:uiPriority w:val="99"/>
    <w:pPr>
      <w:ind w:left="1400" w:leftChars="1400"/>
    </w:pPr>
  </w:style>
  <w:style w:type="paragraph" w:styleId="11">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2">
    <w:name w:val="annotation text"/>
    <w:basedOn w:val="1"/>
    <w:link w:val="50"/>
    <w:qFormat/>
    <w:uiPriority w:val="0"/>
    <w:pPr>
      <w:jc w:val="left"/>
    </w:pPr>
  </w:style>
  <w:style w:type="paragraph" w:styleId="13">
    <w:name w:val="Body Text 3"/>
    <w:basedOn w:val="1"/>
    <w:link w:val="51"/>
    <w:unhideWhenUsed/>
    <w:qFormat/>
    <w:uiPriority w:val="99"/>
    <w:pPr>
      <w:spacing w:after="120"/>
    </w:pPr>
    <w:rPr>
      <w:sz w:val="16"/>
      <w:szCs w:val="16"/>
    </w:rPr>
  </w:style>
  <w:style w:type="paragraph" w:styleId="14">
    <w:name w:val="Body Text"/>
    <w:basedOn w:val="1"/>
    <w:link w:val="52"/>
    <w:unhideWhenUsed/>
    <w:qFormat/>
    <w:uiPriority w:val="0"/>
    <w:pPr>
      <w:spacing w:after="120"/>
    </w:pPr>
  </w:style>
  <w:style w:type="paragraph" w:styleId="15">
    <w:name w:val="Body Text Indent"/>
    <w:basedOn w:val="1"/>
    <w:link w:val="53"/>
    <w:qFormat/>
    <w:uiPriority w:val="0"/>
    <w:pPr>
      <w:ind w:firstLine="830" w:firstLineChars="352"/>
    </w:pPr>
    <w:rPr>
      <w:rFonts w:ascii="仿宋_GB2312" w:eastAsia="仿宋_GB2312"/>
      <w:kern w:val="0"/>
      <w:sz w:val="32"/>
      <w:szCs w:val="20"/>
    </w:rPr>
  </w:style>
  <w:style w:type="paragraph" w:styleId="16">
    <w:name w:val="List 2"/>
    <w:basedOn w:val="1"/>
    <w:unhideWhenUsed/>
    <w:qFormat/>
    <w:uiPriority w:val="99"/>
    <w:pPr>
      <w:ind w:left="100" w:leftChars="200" w:hanging="200" w:hangingChars="200"/>
      <w:contextualSpacing/>
    </w:pPr>
  </w:style>
  <w:style w:type="paragraph" w:styleId="17">
    <w:name w:val="Block Text"/>
    <w:basedOn w:val="1"/>
    <w:qFormat/>
    <w:uiPriority w:val="99"/>
    <w:pPr>
      <w:adjustRightInd w:val="0"/>
      <w:ind w:left="420" w:right="33"/>
      <w:jc w:val="left"/>
      <w:textAlignment w:val="baseline"/>
    </w:pPr>
    <w:rPr>
      <w:kern w:val="0"/>
      <w:szCs w:val="20"/>
    </w:rPr>
  </w:style>
  <w:style w:type="paragraph" w:styleId="18">
    <w:name w:val="Plain Text"/>
    <w:basedOn w:val="1"/>
    <w:next w:val="1"/>
    <w:link w:val="54"/>
    <w:qFormat/>
    <w:uiPriority w:val="0"/>
    <w:rPr>
      <w:rFonts w:ascii="宋体" w:hAnsi="Courier New"/>
      <w:kern w:val="0"/>
      <w:sz w:val="20"/>
      <w:szCs w:val="21"/>
    </w:rPr>
  </w:style>
  <w:style w:type="paragraph" w:styleId="19">
    <w:name w:val="Date"/>
    <w:basedOn w:val="1"/>
    <w:next w:val="1"/>
    <w:link w:val="55"/>
    <w:unhideWhenUsed/>
    <w:qFormat/>
    <w:uiPriority w:val="99"/>
    <w:pPr>
      <w:ind w:left="100" w:leftChars="2500"/>
    </w:pPr>
  </w:style>
  <w:style w:type="paragraph" w:styleId="20">
    <w:name w:val="Body Text Indent 2"/>
    <w:basedOn w:val="1"/>
    <w:qFormat/>
    <w:uiPriority w:val="0"/>
    <w:pPr>
      <w:ind w:firstLine="630"/>
    </w:pPr>
    <w:rPr>
      <w:rFonts w:ascii="Calibri" w:hAnsi="Calibri"/>
      <w:sz w:val="32"/>
      <w:szCs w:val="20"/>
    </w:rPr>
  </w:style>
  <w:style w:type="paragraph" w:styleId="21">
    <w:name w:val="Balloon Text"/>
    <w:basedOn w:val="1"/>
    <w:semiHidden/>
    <w:qFormat/>
    <w:uiPriority w:val="0"/>
    <w:rPr>
      <w:sz w:val="18"/>
      <w:szCs w:val="18"/>
    </w:rPr>
  </w:style>
  <w:style w:type="paragraph" w:styleId="22">
    <w:name w:val="footer"/>
    <w:basedOn w:val="1"/>
    <w:link w:val="56"/>
    <w:unhideWhenUsed/>
    <w:qFormat/>
    <w:uiPriority w:val="99"/>
    <w:pPr>
      <w:tabs>
        <w:tab w:val="center" w:pos="4153"/>
        <w:tab w:val="right" w:pos="8306"/>
      </w:tabs>
      <w:snapToGrid w:val="0"/>
      <w:jc w:val="left"/>
    </w:pPr>
    <w:rPr>
      <w:kern w:val="0"/>
      <w:sz w:val="18"/>
      <w:szCs w:val="18"/>
    </w:rPr>
  </w:style>
  <w:style w:type="paragraph" w:styleId="23">
    <w:name w:val="header"/>
    <w:basedOn w:val="1"/>
    <w:link w:val="5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4">
    <w:name w:val="toc 1"/>
    <w:basedOn w:val="1"/>
    <w:next w:val="1"/>
    <w:unhideWhenUsed/>
    <w:qFormat/>
    <w:uiPriority w:val="39"/>
  </w:style>
  <w:style w:type="paragraph" w:styleId="25">
    <w:name w:val="toc 2"/>
    <w:basedOn w:val="1"/>
    <w:next w:val="1"/>
    <w:unhideWhenUsed/>
    <w:qFormat/>
    <w:uiPriority w:val="39"/>
    <w:pPr>
      <w:tabs>
        <w:tab w:val="right" w:leader="dot" w:pos="8296"/>
      </w:tabs>
      <w:ind w:left="420" w:leftChars="200"/>
    </w:pPr>
  </w:style>
  <w:style w:type="paragraph" w:styleId="26">
    <w:name w:val="Body Text 2"/>
    <w:basedOn w:val="1"/>
    <w:next w:val="14"/>
    <w:qFormat/>
    <w:uiPriority w:val="0"/>
    <w:pPr>
      <w:spacing w:after="120" w:line="480" w:lineRule="auto"/>
    </w:pPr>
  </w:style>
  <w:style w:type="paragraph" w:styleId="27">
    <w:name w:val="Normal (Web)"/>
    <w:basedOn w:val="1"/>
    <w:unhideWhenUsed/>
    <w:qFormat/>
    <w:uiPriority w:val="99"/>
    <w:rPr>
      <w:rFonts w:ascii="Calibri" w:hAnsi="Calibri"/>
      <w:kern w:val="0"/>
      <w:sz w:val="24"/>
    </w:rPr>
  </w:style>
  <w:style w:type="paragraph" w:styleId="28">
    <w:name w:val="Title"/>
    <w:basedOn w:val="1"/>
    <w:next w:val="1"/>
    <w:qFormat/>
    <w:uiPriority w:val="0"/>
    <w:pPr>
      <w:widowControl/>
      <w:overflowPunct w:val="0"/>
      <w:autoSpaceDE w:val="0"/>
      <w:autoSpaceDN w:val="0"/>
      <w:adjustRightInd w:val="0"/>
      <w:jc w:val="center"/>
      <w:textAlignment w:val="baseline"/>
    </w:pPr>
    <w:rPr>
      <w:rFonts w:ascii="Cambria" w:hAnsi="Cambria"/>
      <w:b/>
      <w:bCs/>
      <w:sz w:val="32"/>
      <w:szCs w:val="32"/>
    </w:rPr>
  </w:style>
  <w:style w:type="paragraph" w:styleId="29">
    <w:name w:val="annotation subject"/>
    <w:basedOn w:val="12"/>
    <w:next w:val="12"/>
    <w:link w:val="58"/>
    <w:qFormat/>
    <w:uiPriority w:val="99"/>
    <w:rPr>
      <w:b/>
      <w:bCs/>
    </w:rPr>
  </w:style>
  <w:style w:type="paragraph" w:styleId="30">
    <w:name w:val="Body Text First Indent"/>
    <w:basedOn w:val="14"/>
    <w:qFormat/>
    <w:uiPriority w:val="0"/>
    <w:pPr>
      <w:ind w:firstLine="420" w:firstLineChars="100"/>
    </w:pPr>
  </w:style>
  <w:style w:type="paragraph" w:styleId="31">
    <w:name w:val="Body Text First Indent 2"/>
    <w:basedOn w:val="15"/>
    <w:next w:val="1"/>
    <w:qFormat/>
    <w:uiPriority w:val="0"/>
    <w:pPr>
      <w:spacing w:line="360" w:lineRule="auto"/>
      <w:ind w:firstLine="0"/>
    </w:pPr>
    <w:rPr>
      <w:sz w:val="24"/>
    </w:rPr>
  </w:style>
  <w:style w:type="table" w:styleId="33">
    <w:name w:val="Table Grid"/>
    <w:basedOn w:val="3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Strong"/>
    <w:qFormat/>
    <w:uiPriority w:val="22"/>
    <w:rPr>
      <w:b/>
      <w:bCs/>
    </w:rPr>
  </w:style>
  <w:style w:type="character" w:styleId="36">
    <w:name w:val="endnote reference"/>
    <w:unhideWhenUsed/>
    <w:qFormat/>
    <w:uiPriority w:val="99"/>
    <w:rPr>
      <w:vertAlign w:val="superscript"/>
    </w:rPr>
  </w:style>
  <w:style w:type="character" w:styleId="37">
    <w:name w:val="FollowedHyperlink"/>
    <w:unhideWhenUsed/>
    <w:qFormat/>
    <w:uiPriority w:val="99"/>
    <w:rPr>
      <w:color w:val="3177FD"/>
      <w:u w:val="none"/>
    </w:rPr>
  </w:style>
  <w:style w:type="character" w:styleId="38">
    <w:name w:val="HTML Definition"/>
    <w:unhideWhenUsed/>
    <w:qFormat/>
    <w:uiPriority w:val="99"/>
    <w:rPr>
      <w:i/>
      <w:iCs/>
    </w:rPr>
  </w:style>
  <w:style w:type="character" w:styleId="39">
    <w:name w:val="Hyperlink"/>
    <w:unhideWhenUsed/>
    <w:qFormat/>
    <w:uiPriority w:val="99"/>
    <w:rPr>
      <w:color w:val="3177FD"/>
      <w:u w:val="none"/>
    </w:rPr>
  </w:style>
  <w:style w:type="character" w:styleId="40">
    <w:name w:val="HTML Code"/>
    <w:unhideWhenUsed/>
    <w:qFormat/>
    <w:uiPriority w:val="99"/>
    <w:rPr>
      <w:rFonts w:hint="default" w:ascii="Consolas" w:hAnsi="Consolas" w:eastAsia="Consolas" w:cs="Consolas"/>
      <w:sz w:val="21"/>
      <w:szCs w:val="21"/>
    </w:rPr>
  </w:style>
  <w:style w:type="character" w:styleId="41">
    <w:name w:val="annotation reference"/>
    <w:qFormat/>
    <w:uiPriority w:val="0"/>
    <w:rPr>
      <w:sz w:val="21"/>
      <w:szCs w:val="21"/>
    </w:rPr>
  </w:style>
  <w:style w:type="character" w:styleId="42">
    <w:name w:val="HTML Keyboard"/>
    <w:unhideWhenUsed/>
    <w:qFormat/>
    <w:uiPriority w:val="99"/>
    <w:rPr>
      <w:rFonts w:ascii="Consolas" w:hAnsi="Consolas" w:eastAsia="Consolas" w:cs="Consolas"/>
      <w:sz w:val="21"/>
      <w:szCs w:val="21"/>
    </w:rPr>
  </w:style>
  <w:style w:type="character" w:styleId="43">
    <w:name w:val="HTML Sample"/>
    <w:unhideWhenUsed/>
    <w:qFormat/>
    <w:uiPriority w:val="99"/>
    <w:rPr>
      <w:rFonts w:hint="default" w:ascii="Consolas" w:hAnsi="Consolas" w:eastAsia="Consolas" w:cs="Consolas"/>
      <w:sz w:val="21"/>
      <w:szCs w:val="21"/>
    </w:rPr>
  </w:style>
  <w:style w:type="paragraph" w:customStyle="1" w:styleId="44">
    <w:name w:val="正文首行缩进 21"/>
    <w:basedOn w:val="45"/>
    <w:qFormat/>
    <w:uiPriority w:val="0"/>
    <w:pPr>
      <w:ind w:firstLine="420" w:firstLineChars="200"/>
    </w:pPr>
    <w:rPr>
      <w:rFonts w:ascii="Calibri" w:hAnsi="Calibri"/>
      <w:szCs w:val="22"/>
    </w:rPr>
  </w:style>
  <w:style w:type="paragraph" w:customStyle="1" w:styleId="45">
    <w:name w:val="Body Text Indent1"/>
    <w:basedOn w:val="1"/>
    <w:qFormat/>
    <w:uiPriority w:val="0"/>
    <w:pPr>
      <w:spacing w:after="120"/>
      <w:ind w:left="420" w:leftChars="200"/>
    </w:pPr>
  </w:style>
  <w:style w:type="character" w:customStyle="1" w:styleId="46">
    <w:name w:val="标题 1 字符"/>
    <w:link w:val="3"/>
    <w:qFormat/>
    <w:uiPriority w:val="9"/>
    <w:rPr>
      <w:rFonts w:ascii="Times New Roman" w:hAnsi="Times New Roman" w:eastAsia="宋体"/>
      <w:b/>
      <w:bCs/>
      <w:kern w:val="44"/>
      <w:sz w:val="44"/>
      <w:szCs w:val="44"/>
    </w:rPr>
  </w:style>
  <w:style w:type="character" w:customStyle="1" w:styleId="47">
    <w:name w:val="标题 2 字符"/>
    <w:link w:val="4"/>
    <w:qFormat/>
    <w:uiPriority w:val="9"/>
    <w:rPr>
      <w:rFonts w:ascii="Cambria" w:hAnsi="Cambria" w:eastAsia="宋体" w:cs="Times New Roman"/>
      <w:b/>
      <w:bCs/>
      <w:kern w:val="2"/>
      <w:sz w:val="32"/>
      <w:szCs w:val="32"/>
    </w:rPr>
  </w:style>
  <w:style w:type="character" w:customStyle="1" w:styleId="48">
    <w:name w:val="标题 5 字符"/>
    <w:link w:val="7"/>
    <w:semiHidden/>
    <w:qFormat/>
    <w:uiPriority w:val="9"/>
    <w:rPr>
      <w:rFonts w:ascii="Times New Roman" w:hAnsi="Times New Roman"/>
      <w:b/>
      <w:bCs/>
      <w:kern w:val="2"/>
      <w:sz w:val="28"/>
      <w:szCs w:val="28"/>
    </w:rPr>
  </w:style>
  <w:style w:type="character" w:customStyle="1" w:styleId="49">
    <w:name w:val="标题 8 字符"/>
    <w:link w:val="9"/>
    <w:semiHidden/>
    <w:qFormat/>
    <w:uiPriority w:val="9"/>
    <w:rPr>
      <w:rFonts w:ascii="等线 Light" w:hAnsi="等线 Light" w:eastAsia="等线 Light" w:cs="Times New Roman"/>
      <w:kern w:val="2"/>
      <w:sz w:val="24"/>
      <w:szCs w:val="24"/>
    </w:rPr>
  </w:style>
  <w:style w:type="character" w:customStyle="1" w:styleId="50">
    <w:name w:val="批注文字 字符2"/>
    <w:link w:val="12"/>
    <w:qFormat/>
    <w:uiPriority w:val="0"/>
    <w:rPr>
      <w:rFonts w:ascii="Times New Roman" w:hAnsi="Times New Roman"/>
      <w:kern w:val="2"/>
      <w:sz w:val="21"/>
      <w:szCs w:val="24"/>
    </w:rPr>
  </w:style>
  <w:style w:type="character" w:customStyle="1" w:styleId="51">
    <w:name w:val="正文文本 3 字符"/>
    <w:link w:val="13"/>
    <w:semiHidden/>
    <w:qFormat/>
    <w:uiPriority w:val="99"/>
    <w:rPr>
      <w:kern w:val="2"/>
      <w:sz w:val="16"/>
      <w:szCs w:val="16"/>
    </w:rPr>
  </w:style>
  <w:style w:type="character" w:customStyle="1" w:styleId="52">
    <w:name w:val="正文文本 字符1"/>
    <w:link w:val="14"/>
    <w:qFormat/>
    <w:uiPriority w:val="0"/>
    <w:rPr>
      <w:rFonts w:ascii="Times New Roman" w:hAnsi="Times New Roman"/>
      <w:kern w:val="2"/>
      <w:sz w:val="21"/>
      <w:szCs w:val="24"/>
    </w:rPr>
  </w:style>
  <w:style w:type="character" w:customStyle="1" w:styleId="53">
    <w:name w:val="正文文本缩进 字符"/>
    <w:link w:val="15"/>
    <w:qFormat/>
    <w:uiPriority w:val="0"/>
    <w:rPr>
      <w:rFonts w:ascii="仿宋_GB2312" w:hAnsi="Times New Roman" w:eastAsia="仿宋_GB2312" w:cs="Times New Roman"/>
      <w:sz w:val="32"/>
      <w:szCs w:val="20"/>
    </w:rPr>
  </w:style>
  <w:style w:type="character" w:customStyle="1" w:styleId="54">
    <w:name w:val="纯文本 字符3"/>
    <w:link w:val="18"/>
    <w:qFormat/>
    <w:uiPriority w:val="0"/>
    <w:rPr>
      <w:rFonts w:ascii="宋体" w:hAnsi="Courier New" w:eastAsia="宋体" w:cs="Courier New"/>
      <w:szCs w:val="21"/>
    </w:rPr>
  </w:style>
  <w:style w:type="character" w:customStyle="1" w:styleId="55">
    <w:name w:val="日期 字符"/>
    <w:link w:val="19"/>
    <w:semiHidden/>
    <w:qFormat/>
    <w:uiPriority w:val="99"/>
    <w:rPr>
      <w:rFonts w:ascii="Times New Roman" w:hAnsi="Times New Roman"/>
      <w:kern w:val="2"/>
      <w:sz w:val="21"/>
      <w:szCs w:val="24"/>
    </w:rPr>
  </w:style>
  <w:style w:type="character" w:customStyle="1" w:styleId="56">
    <w:name w:val="页脚 字符"/>
    <w:link w:val="22"/>
    <w:qFormat/>
    <w:uiPriority w:val="99"/>
    <w:rPr>
      <w:sz w:val="18"/>
      <w:szCs w:val="18"/>
    </w:rPr>
  </w:style>
  <w:style w:type="character" w:customStyle="1" w:styleId="57">
    <w:name w:val="页眉 字符"/>
    <w:link w:val="23"/>
    <w:qFormat/>
    <w:uiPriority w:val="99"/>
    <w:rPr>
      <w:sz w:val="18"/>
      <w:szCs w:val="18"/>
    </w:rPr>
  </w:style>
  <w:style w:type="character" w:customStyle="1" w:styleId="58">
    <w:name w:val="批注主题 字符"/>
    <w:link w:val="29"/>
    <w:qFormat/>
    <w:uiPriority w:val="99"/>
    <w:rPr>
      <w:rFonts w:ascii="Times New Roman" w:hAnsi="Times New Roman"/>
      <w:b/>
      <w:bCs/>
      <w:kern w:val="2"/>
      <w:sz w:val="21"/>
      <w:szCs w:val="24"/>
    </w:rPr>
  </w:style>
  <w:style w:type="character" w:customStyle="1" w:styleId="59">
    <w:name w:val="批注文字 Char2"/>
    <w:qFormat/>
    <w:uiPriority w:val="0"/>
    <w:rPr>
      <w:rFonts w:ascii="Times New Roman" w:hAnsi="Times New Roman"/>
      <w:kern w:val="2"/>
      <w:sz w:val="21"/>
      <w:szCs w:val="24"/>
    </w:rPr>
  </w:style>
  <w:style w:type="character" w:customStyle="1" w:styleId="60">
    <w:name w:val="nc-lang-cnt2"/>
    <w:qFormat/>
    <w:uiPriority w:val="0"/>
  </w:style>
  <w:style w:type="character" w:customStyle="1" w:styleId="61">
    <w:name w:val="ant-radio+*1"/>
    <w:qFormat/>
    <w:uiPriority w:val="0"/>
  </w:style>
  <w:style w:type="character" w:customStyle="1" w:styleId="62">
    <w:name w:val="纯文本 字符1"/>
    <w:qFormat/>
    <w:uiPriority w:val="0"/>
    <w:rPr>
      <w:rFonts w:ascii="宋体" w:hAnsi="Courier New"/>
    </w:rPr>
  </w:style>
  <w:style w:type="character" w:customStyle="1" w:styleId="63">
    <w:name w:val="ant-radio+*"/>
    <w:qFormat/>
    <w:uiPriority w:val="0"/>
  </w:style>
  <w:style w:type="character" w:customStyle="1" w:styleId="64">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5">
    <w:name w:val="标题 8 Char"/>
    <w:qFormat/>
    <w:uiPriority w:val="0"/>
    <w:rPr>
      <w:rFonts w:ascii="Arial" w:hAnsi="Arial" w:eastAsia="黑体"/>
      <w:kern w:val="2"/>
      <w:sz w:val="24"/>
      <w:szCs w:val="24"/>
    </w:rPr>
  </w:style>
  <w:style w:type="character" w:customStyle="1" w:styleId="66">
    <w:name w:val="last-child1"/>
    <w:qFormat/>
    <w:uiPriority w:val="0"/>
  </w:style>
  <w:style w:type="character" w:customStyle="1" w:styleId="67">
    <w:name w:val="nc-lang-cnt"/>
    <w:qFormat/>
    <w:uiPriority w:val="0"/>
    <w:rPr>
      <w:rFonts w:hint="cs"/>
      <w:rtl/>
      <w:cs/>
    </w:rPr>
  </w:style>
  <w:style w:type="character" w:customStyle="1" w:styleId="68">
    <w:name w:val="ant-input28"/>
    <w:qFormat/>
    <w:uiPriority w:val="0"/>
  </w:style>
  <w:style w:type="character" w:customStyle="1" w:styleId="69">
    <w:name w:val="nc-lang-cnt4"/>
    <w:qFormat/>
    <w:uiPriority w:val="0"/>
    <w:rPr>
      <w:rFonts w:hint="cs"/>
      <w:rtl/>
      <w:cs/>
    </w:rPr>
  </w:style>
  <w:style w:type="character" w:customStyle="1" w:styleId="70">
    <w:name w:val="ant-select-tree-checkbox2"/>
    <w:qFormat/>
    <w:uiPriority w:val="0"/>
  </w:style>
  <w:style w:type="character" w:customStyle="1" w:styleId="71">
    <w:name w:val="nc-lang-cnt6"/>
    <w:qFormat/>
    <w:uiPriority w:val="0"/>
  </w:style>
  <w:style w:type="character" w:customStyle="1" w:styleId="72">
    <w:name w:val="批注文字 Char"/>
    <w:qFormat/>
    <w:uiPriority w:val="0"/>
    <w:rPr>
      <w:rFonts w:ascii="Times New Roman" w:hAnsi="Times New Roman"/>
      <w:kern w:val="2"/>
      <w:sz w:val="21"/>
      <w:szCs w:val="24"/>
    </w:rPr>
  </w:style>
  <w:style w:type="character" w:customStyle="1" w:styleId="73">
    <w:name w:val="正文文本 字符"/>
    <w:qFormat/>
    <w:uiPriority w:val="0"/>
    <w:rPr>
      <w:rFonts w:ascii="Times New Roman" w:hAnsi="Times New Roman"/>
      <w:kern w:val="2"/>
      <w:sz w:val="21"/>
      <w:szCs w:val="24"/>
    </w:rPr>
  </w:style>
  <w:style w:type="character" w:customStyle="1" w:styleId="74">
    <w:name w:val="apple-style-span"/>
    <w:qFormat/>
    <w:uiPriority w:val="0"/>
  </w:style>
  <w:style w:type="character" w:customStyle="1" w:styleId="75">
    <w:name w:val="批注文字 字符1"/>
    <w:qFormat/>
    <w:uiPriority w:val="0"/>
    <w:rPr>
      <w:rFonts w:ascii="Times New Roman" w:hAnsi="Times New Roman"/>
      <w:kern w:val="2"/>
      <w:sz w:val="21"/>
      <w:szCs w:val="24"/>
    </w:rPr>
  </w:style>
  <w:style w:type="character" w:customStyle="1" w:styleId="76">
    <w:name w:val="标题 1 字符1"/>
    <w:qFormat/>
    <w:uiPriority w:val="0"/>
    <w:rPr>
      <w:b/>
      <w:bCs/>
      <w:kern w:val="44"/>
      <w:sz w:val="44"/>
      <w:szCs w:val="44"/>
    </w:rPr>
  </w:style>
  <w:style w:type="character" w:customStyle="1" w:styleId="77">
    <w:name w:val="正文文本 Char"/>
    <w:qFormat/>
    <w:uiPriority w:val="0"/>
    <w:rPr>
      <w:rFonts w:ascii="Times New Roman" w:hAnsi="Times New Roman"/>
      <w:kern w:val="2"/>
      <w:sz w:val="21"/>
      <w:szCs w:val="24"/>
    </w:rPr>
  </w:style>
  <w:style w:type="character" w:customStyle="1" w:styleId="78">
    <w:name w:val="纯文本 Char"/>
    <w:qFormat/>
    <w:uiPriority w:val="0"/>
    <w:rPr>
      <w:rFonts w:ascii="宋体" w:hAnsi="Courier New" w:eastAsia="宋体" w:cs="Courier New"/>
      <w:szCs w:val="21"/>
    </w:rPr>
  </w:style>
  <w:style w:type="character" w:customStyle="1" w:styleId="79">
    <w:name w:val="textcontents"/>
    <w:qFormat/>
    <w:uiPriority w:val="0"/>
  </w:style>
  <w:style w:type="character" w:customStyle="1" w:styleId="80">
    <w:name w:val="纯文本 字符"/>
    <w:qFormat/>
    <w:uiPriority w:val="0"/>
    <w:rPr>
      <w:rFonts w:ascii="宋体" w:hAnsi="Courier New" w:eastAsia="宋体" w:cs="Courier New"/>
      <w:szCs w:val="21"/>
    </w:rPr>
  </w:style>
  <w:style w:type="character" w:customStyle="1" w:styleId="81">
    <w:name w:val="正文2 Char Char"/>
    <w:link w:val="82"/>
    <w:qFormat/>
    <w:uiPriority w:val="0"/>
    <w:rPr>
      <w:kern w:val="2"/>
      <w:sz w:val="24"/>
    </w:rPr>
  </w:style>
  <w:style w:type="paragraph" w:customStyle="1" w:styleId="82">
    <w:name w:val="正文2"/>
    <w:basedOn w:val="1"/>
    <w:link w:val="81"/>
    <w:qFormat/>
    <w:uiPriority w:val="0"/>
    <w:pPr>
      <w:adjustRightInd w:val="0"/>
      <w:spacing w:before="156" w:line="360" w:lineRule="auto"/>
      <w:ind w:firstLine="510" w:firstLineChars="200"/>
    </w:pPr>
    <w:rPr>
      <w:sz w:val="24"/>
      <w:szCs w:val="20"/>
    </w:rPr>
  </w:style>
  <w:style w:type="character" w:customStyle="1" w:styleId="83">
    <w:name w:val="批注文字 字符"/>
    <w:qFormat/>
    <w:uiPriority w:val="0"/>
    <w:rPr>
      <w:rFonts w:ascii="Times New Roman" w:hAnsi="Times New Roman"/>
      <w:kern w:val="2"/>
      <w:sz w:val="21"/>
      <w:szCs w:val="24"/>
    </w:rPr>
  </w:style>
  <w:style w:type="character" w:customStyle="1" w:styleId="84">
    <w:name w:val="纯文本 字符2"/>
    <w:qFormat/>
    <w:uiPriority w:val="0"/>
    <w:rPr>
      <w:rFonts w:ascii="宋体" w:hAnsi="Courier New" w:eastAsia="宋体" w:cs="Courier New"/>
      <w:szCs w:val="21"/>
    </w:rPr>
  </w:style>
  <w:style w:type="character" w:customStyle="1" w:styleId="85">
    <w:name w:val="标题 2 Char"/>
    <w:qFormat/>
    <w:uiPriority w:val="9"/>
    <w:rPr>
      <w:rFonts w:ascii="Cambria" w:hAnsi="Cambria" w:eastAsia="宋体" w:cs="Times New Roman"/>
      <w:b/>
      <w:bCs/>
      <w:kern w:val="2"/>
      <w:sz w:val="32"/>
      <w:szCs w:val="32"/>
    </w:rPr>
  </w:style>
  <w:style w:type="character" w:customStyle="1" w:styleId="86">
    <w:name w:val="first-child"/>
    <w:qFormat/>
    <w:uiPriority w:val="0"/>
  </w:style>
  <w:style w:type="character" w:customStyle="1" w:styleId="87">
    <w:name w:val="nc-lang-cnt1"/>
    <w:qFormat/>
    <w:uiPriority w:val="0"/>
    <w:rPr>
      <w:rFonts w:hint="cs"/>
      <w:rtl/>
      <w:cs/>
    </w:rPr>
  </w:style>
  <w:style w:type="character" w:customStyle="1" w:styleId="88">
    <w:name w:val="nc-lang-cnt3"/>
    <w:qFormat/>
    <w:uiPriority w:val="0"/>
  </w:style>
  <w:style w:type="character" w:customStyle="1" w:styleId="89">
    <w:name w:val="nc-lang-cnt5"/>
    <w:qFormat/>
    <w:uiPriority w:val="0"/>
    <w:rPr>
      <w:rFonts w:hint="cs"/>
      <w:rtl/>
      <w:cs/>
    </w:rPr>
  </w:style>
  <w:style w:type="character" w:customStyle="1" w:styleId="90">
    <w:name w:val="last-child2"/>
    <w:qFormat/>
    <w:uiPriority w:val="0"/>
  </w:style>
  <w:style w:type="character" w:customStyle="1" w:styleId="91">
    <w:name w:val="ant-select-tree-checkbox"/>
    <w:qFormat/>
    <w:uiPriority w:val="0"/>
  </w:style>
  <w:style w:type="character" w:customStyle="1" w:styleId="92">
    <w:name w:val="ant-select-tree-iconele"/>
    <w:qFormat/>
    <w:uiPriority w:val="0"/>
  </w:style>
  <w:style w:type="character" w:customStyle="1" w:styleId="93">
    <w:name w:val="ant-select-tree-switcher"/>
    <w:qFormat/>
    <w:uiPriority w:val="0"/>
  </w:style>
  <w:style w:type="character" w:customStyle="1" w:styleId="94">
    <w:name w:val="title1"/>
    <w:qFormat/>
    <w:uiPriority w:val="0"/>
    <w:rPr>
      <w:rFonts w:ascii="Calibri" w:hAnsi="Calibri" w:eastAsia="宋体" w:cs="Times New Roman"/>
      <w:color w:val="000000"/>
      <w:sz w:val="27"/>
      <w:szCs w:val="27"/>
    </w:rPr>
  </w:style>
  <w:style w:type="paragraph" w:customStyle="1" w:styleId="95">
    <w:name w:val="TOC 标题1"/>
    <w:basedOn w:val="3"/>
    <w:next w:val="1"/>
    <w:unhideWhenUsed/>
    <w:qFormat/>
    <w:uiPriority w:val="39"/>
    <w:pPr>
      <w:spacing w:before="240" w:after="0" w:line="259" w:lineRule="auto"/>
      <w:outlineLvl w:val="9"/>
    </w:pPr>
    <w:rPr>
      <w:rFonts w:ascii="Cambria" w:hAnsi="Cambria"/>
      <w:b w:val="0"/>
      <w:bCs w:val="0"/>
      <w:color w:val="366091"/>
      <w:kern w:val="0"/>
      <w:sz w:val="32"/>
      <w:szCs w:val="32"/>
    </w:rPr>
  </w:style>
  <w:style w:type="paragraph" w:customStyle="1" w:styleId="96">
    <w:name w:val="正文-建设方案"/>
    <w:basedOn w:val="1"/>
    <w:qFormat/>
    <w:uiPriority w:val="0"/>
    <w:pPr>
      <w:spacing w:line="360" w:lineRule="auto"/>
      <w:ind w:firstLine="640" w:firstLineChars="200"/>
    </w:pPr>
    <w:rPr>
      <w:rFonts w:ascii="仿宋_GB2312" w:eastAsia="仿宋_GB2312"/>
      <w:sz w:val="32"/>
      <w:szCs w:val="32"/>
    </w:rPr>
  </w:style>
  <w:style w:type="paragraph" w:customStyle="1" w:styleId="97">
    <w:name w:val="正文-公1"/>
    <w:basedOn w:val="1"/>
    <w:qFormat/>
    <w:uiPriority w:val="0"/>
    <w:pPr>
      <w:ind w:firstLine="200" w:firstLineChars="200"/>
      <w:jc w:val="left"/>
    </w:pPr>
    <w:rPr>
      <w:rFonts w:eastAsia="仿宋_GB2312"/>
    </w:rPr>
  </w:style>
  <w:style w:type="paragraph" w:customStyle="1" w:styleId="98">
    <w:name w:val="标题2"/>
    <w:basedOn w:val="4"/>
    <w:next w:val="1"/>
    <w:qFormat/>
    <w:uiPriority w:val="0"/>
    <w:pPr>
      <w:jc w:val="center"/>
    </w:pPr>
    <w:rPr>
      <w:rFonts w:ascii="宋体" w:hAnsi="宋体"/>
      <w:sz w:val="36"/>
      <w:szCs w:val="44"/>
    </w:rPr>
  </w:style>
  <w:style w:type="paragraph" w:customStyle="1" w:styleId="99">
    <w:name w:val="样式 (符号) 宋体 四号"/>
    <w:basedOn w:val="1"/>
    <w:qFormat/>
    <w:uiPriority w:val="0"/>
    <w:pPr>
      <w:spacing w:line="360" w:lineRule="auto"/>
      <w:ind w:firstLine="200" w:firstLineChars="200"/>
    </w:pPr>
    <w:rPr>
      <w:rFonts w:hAnsi="宋体" w:cs="宋体"/>
      <w:szCs w:val="20"/>
    </w:rPr>
  </w:style>
  <w:style w:type="paragraph" w:customStyle="1" w:styleId="100">
    <w:name w:val="默认段落字体 Para Char Char Char Char Char Char Char Char Char1 Char Char Char Char"/>
    <w:basedOn w:val="1"/>
    <w:qFormat/>
    <w:uiPriority w:val="0"/>
    <w:rPr>
      <w:rFonts w:ascii="Tahoma" w:hAnsi="Tahoma"/>
      <w:sz w:val="24"/>
      <w:szCs w:val="20"/>
    </w:rPr>
  </w:style>
  <w:style w:type="paragraph" w:customStyle="1" w:styleId="101">
    <w:name w:val="Body text|1"/>
    <w:basedOn w:val="1"/>
    <w:qFormat/>
    <w:uiPriority w:val="0"/>
    <w:pPr>
      <w:spacing w:line="353" w:lineRule="auto"/>
      <w:ind w:firstLine="400"/>
    </w:pPr>
    <w:rPr>
      <w:rFonts w:ascii="宋体" w:hAnsi="宋体" w:cs="宋体"/>
      <w:sz w:val="22"/>
      <w:szCs w:val="22"/>
      <w:lang w:val="zh-TW" w:eastAsia="zh-TW" w:bidi="zh-TW"/>
    </w:rPr>
  </w:style>
  <w:style w:type="paragraph" w:customStyle="1" w:styleId="10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03">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4">
    <w:name w:val="标题 3-Symantec"/>
    <w:basedOn w:val="5"/>
    <w:next w:val="1"/>
    <w:qFormat/>
    <w:uiPriority w:val="0"/>
    <w:pPr>
      <w:tabs>
        <w:tab w:val="left" w:pos="960"/>
      </w:tabs>
      <w:spacing w:line="412" w:lineRule="auto"/>
      <w:jc w:val="left"/>
    </w:pPr>
    <w:rPr>
      <w:rFonts w:ascii="Arial" w:hAnsi="Arial" w:eastAsia="黑体"/>
      <w:bCs w:val="0"/>
      <w:sz w:val="30"/>
      <w:szCs w:val="30"/>
    </w:rPr>
  </w:style>
  <w:style w:type="paragraph" w:styleId="105">
    <w:name w:val="List Paragraph"/>
    <w:basedOn w:val="1"/>
    <w:qFormat/>
    <w:uiPriority w:val="34"/>
    <w:pPr>
      <w:ind w:firstLine="420" w:firstLineChars="200"/>
    </w:pPr>
  </w:style>
  <w:style w:type="paragraph" w:customStyle="1" w:styleId="106">
    <w:name w:val="Table Paragraph"/>
    <w:basedOn w:val="1"/>
    <w:qFormat/>
    <w:uiPriority w:val="1"/>
    <w:pPr>
      <w:jc w:val="left"/>
    </w:pPr>
    <w:rPr>
      <w:rFonts w:ascii="Calibri" w:hAnsi="Calibri"/>
      <w:kern w:val="0"/>
      <w:sz w:val="22"/>
      <w:szCs w:val="22"/>
      <w:lang w:eastAsia="en-US"/>
    </w:rPr>
  </w:style>
  <w:style w:type="paragraph" w:customStyle="1" w:styleId="107">
    <w:name w:val="p0"/>
    <w:basedOn w:val="1"/>
    <w:qFormat/>
    <w:uiPriority w:val="0"/>
    <w:pPr>
      <w:widowControl/>
    </w:pPr>
    <w:rPr>
      <w:kern w:val="0"/>
      <w:szCs w:val="21"/>
    </w:rPr>
  </w:style>
  <w:style w:type="paragraph" w:customStyle="1" w:styleId="108">
    <w:name w:val="正文1"/>
    <w:basedOn w:val="1"/>
    <w:qFormat/>
    <w:uiPriority w:val="0"/>
    <w:pPr>
      <w:spacing w:line="360" w:lineRule="auto"/>
    </w:pPr>
    <w:rPr>
      <w:rFonts w:eastAsia="仿宋_GB2312"/>
      <w:sz w:val="24"/>
      <w:szCs w:val="20"/>
    </w:rPr>
  </w:style>
  <w:style w:type="paragraph" w:customStyle="1" w:styleId="109">
    <w:name w:val="WPSOffice手动目录 1"/>
    <w:qFormat/>
    <w:uiPriority w:val="0"/>
    <w:rPr>
      <w:rFonts w:ascii="Times New Roman" w:hAnsi="Times New Roman" w:eastAsia="宋体" w:cs="Times New Roman"/>
      <w:lang w:val="en-US" w:eastAsia="zh-CN" w:bidi="ar-SA"/>
    </w:rPr>
  </w:style>
  <w:style w:type="paragraph" w:customStyle="1" w:styleId="11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11">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12">
    <w:name w:val="Table Text"/>
    <w:basedOn w:val="1"/>
    <w:semiHidden/>
    <w:qFormat/>
    <w:uiPriority w:val="0"/>
    <w:rPr>
      <w:rFonts w:ascii="宋体" w:hAnsi="宋体" w:cs="宋体"/>
      <w:sz w:val="20"/>
      <w:szCs w:val="20"/>
      <w:lang w:eastAsia="en-US"/>
    </w:rPr>
  </w:style>
  <w:style w:type="table" w:customStyle="1" w:styleId="113">
    <w:name w:val="Table Normal"/>
    <w:semiHidden/>
    <w:unhideWhenUsed/>
    <w:qFormat/>
    <w:uiPriority w:val="0"/>
    <w:tblPr>
      <w:tblCellMar>
        <w:top w:w="0" w:type="dxa"/>
        <w:left w:w="0" w:type="dxa"/>
        <w:bottom w:w="0" w:type="dxa"/>
        <w:right w:w="0" w:type="dxa"/>
      </w:tblCellMar>
    </w:tblPr>
  </w:style>
  <w:style w:type="character" w:customStyle="1" w:styleId="114">
    <w:name w:val="NormalCharacter"/>
    <w:qFormat/>
    <w:uiPriority w:val="99"/>
  </w:style>
  <w:style w:type="paragraph" w:customStyle="1" w:styleId="115">
    <w:name w:val="表格文字"/>
    <w:basedOn w:val="116"/>
    <w:next w:val="14"/>
    <w:qFormat/>
    <w:uiPriority w:val="0"/>
    <w:pPr>
      <w:adjustRightInd w:val="0"/>
      <w:spacing w:line="420" w:lineRule="atLeast"/>
      <w:jc w:val="left"/>
      <w:textAlignment w:val="baseline"/>
    </w:pPr>
    <w:rPr>
      <w:kern w:val="0"/>
    </w:rPr>
  </w:style>
  <w:style w:type="paragraph" w:customStyle="1" w:styleId="116">
    <w:name w:val="正文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84</Pages>
  <Words>20263</Words>
  <Characters>21678</Characters>
  <Lines>426</Lines>
  <Paragraphs>120</Paragraphs>
  <TotalTime>0</TotalTime>
  <ScaleCrop>false</ScaleCrop>
  <LinksUpToDate>false</LinksUpToDate>
  <CharactersWithSpaces>21902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2025-07-02T02:24:00Z</dcterms:created>
  <dc:creator>唐冰</dc:creator>
  <cp:lastModifiedBy>吕小忙</cp:lastModifiedBy>
  <cp:lastPrinted>2022-06-09T08:29:00Z</cp:lastPrinted>
  <dcterms:modified xsi:type="dcterms:W3CDTF">2025-08-04T07:32:15Z</dcterms:modified>
  <dc:title>竞争性谈判文件规范</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9BF413D8F992429193652AC16EE7EE16_13</vt:lpwstr>
  </property>
  <property fmtid="{D5CDD505-2E9C-101B-9397-08002B2CF9AE}" pid="4" name="KSOTemplateDocerSaveRecord">
    <vt:lpwstr>eyJoZGlkIjoiOTQxMzQ5MTJhMjVlMjg5OTdlMGMwMGE4MDJmODM5ZWUiLCJ1c2VySWQiOiIxNTY2NzM1MDQxIn0=</vt:lpwstr>
  </property>
</Properties>
</file>