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9FF7E">
      <w:pPr>
        <w:spacing w:line="600" w:lineRule="exact"/>
        <w:jc w:val="center"/>
        <w:rPr>
          <w:rFonts w:ascii="宋体" w:hAnsi="宋体" w:cs="宋体"/>
          <w:color w:val="auto"/>
          <w:sz w:val="52"/>
          <w:szCs w:val="52"/>
          <w:highlight w:val="none"/>
        </w:rPr>
      </w:pPr>
      <w:bookmarkStart w:id="0" w:name="_Toc7014_WPSOffice_Level1"/>
      <w:bookmarkStart w:id="1" w:name="_Toc10319"/>
      <w:r>
        <w:rPr>
          <w:rFonts w:hint="eastAsia" w:ascii="宋体" w:hAnsi="宋体" w:cs="宋体"/>
          <w:b/>
          <w:bCs/>
          <w:color w:val="auto"/>
          <w:spacing w:val="80"/>
          <w:sz w:val="52"/>
          <w:szCs w:val="52"/>
          <w:highlight w:val="none"/>
        </w:rPr>
        <w:t>广西鼎策工程顾问有限责任公司</w:t>
      </w:r>
      <w:r>
        <w:rPr>
          <w:rFonts w:hint="eastAsia" w:ascii="宋体" w:hAnsi="宋体" w:cs="宋体"/>
          <w:b/>
          <w:bCs/>
          <w:color w:val="auto"/>
          <w:spacing w:val="80"/>
          <w:sz w:val="56"/>
          <w:szCs w:val="56"/>
          <w:highlight w:val="none"/>
        </w:rPr>
        <w:cr/>
      </w:r>
    </w:p>
    <w:p w14:paraId="019B9364">
      <w:pPr>
        <w:jc w:val="center"/>
        <w:rPr>
          <w:color w:val="auto"/>
          <w:highlight w:val="none"/>
        </w:rPr>
      </w:pPr>
      <w:r>
        <w:rPr>
          <w:color w:val="auto"/>
          <w:highlight w:val="none"/>
        </w:rPr>
        <w:drawing>
          <wp:inline distT="0" distB="0" distL="114300" distR="114300">
            <wp:extent cx="1410335" cy="1693545"/>
            <wp:effectExtent l="0" t="0" r="18415" b="1905"/>
            <wp:docPr id="1" name="图片 1" descr="wps_clip_image-3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_clip_image-31599"/>
                    <pic:cNvPicPr>
                      <a:picLocks noChangeAspect="1"/>
                    </pic:cNvPicPr>
                  </pic:nvPicPr>
                  <pic:blipFill>
                    <a:blip r:embed="rId12"/>
                    <a:stretch>
                      <a:fillRect/>
                    </a:stretch>
                  </pic:blipFill>
                  <pic:spPr>
                    <a:xfrm>
                      <a:off x="0" y="0"/>
                      <a:ext cx="1410335" cy="1693545"/>
                    </a:xfrm>
                    <a:prstGeom prst="rect">
                      <a:avLst/>
                    </a:prstGeom>
                    <a:noFill/>
                    <a:ln>
                      <a:noFill/>
                    </a:ln>
                  </pic:spPr>
                </pic:pic>
              </a:graphicData>
            </a:graphic>
          </wp:inline>
        </w:drawing>
      </w:r>
    </w:p>
    <w:p w14:paraId="330BCD47">
      <w:pPr>
        <w:pStyle w:val="2"/>
        <w:rPr>
          <w:color w:val="auto"/>
          <w:highlight w:val="none"/>
        </w:rPr>
      </w:pPr>
    </w:p>
    <w:p w14:paraId="314CC6D9">
      <w:pPr>
        <w:spacing w:line="840" w:lineRule="exact"/>
        <w:jc w:val="center"/>
        <w:rPr>
          <w:rFonts w:hint="eastAsia" w:ascii="宋体" w:hAnsi="宋体" w:eastAsia="宋体" w:cs="宋体"/>
          <w:b/>
          <w:color w:val="auto"/>
          <w:sz w:val="72"/>
          <w:szCs w:val="72"/>
          <w:highlight w:val="none"/>
        </w:rPr>
      </w:pPr>
    </w:p>
    <w:p w14:paraId="580A1F1B">
      <w:pPr>
        <w:spacing w:line="840" w:lineRule="exact"/>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竞争性磋商文件</w:t>
      </w:r>
    </w:p>
    <w:p w14:paraId="0FC0B9F7">
      <w:pPr>
        <w:spacing w:line="840" w:lineRule="exact"/>
        <w:jc w:val="both"/>
        <w:rPr>
          <w:rFonts w:hint="eastAsia" w:ascii="宋体" w:hAnsi="宋体" w:eastAsia="宋体" w:cs="宋体"/>
          <w:b/>
          <w:color w:val="auto"/>
          <w:sz w:val="72"/>
          <w:szCs w:val="72"/>
          <w:highlight w:val="none"/>
        </w:rPr>
      </w:pPr>
    </w:p>
    <w:p w14:paraId="471335AA">
      <w:pPr>
        <w:pStyle w:val="22"/>
        <w:rPr>
          <w:rFonts w:hint="eastAsia" w:ascii="宋体" w:hAnsi="宋体" w:eastAsia="宋体" w:cs="宋体"/>
          <w:color w:val="auto"/>
          <w:highlight w:val="none"/>
        </w:rPr>
      </w:pPr>
    </w:p>
    <w:p w14:paraId="2B2E57BA">
      <w:pPr>
        <w:ind w:firstLine="964" w:firstLineChars="300"/>
        <w:jc w:val="both"/>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项目名称：</w:t>
      </w:r>
      <w:r>
        <w:rPr>
          <w:rFonts w:hint="eastAsia" w:ascii="宋体" w:hAnsi="宋体" w:cs="宋体"/>
          <w:b/>
          <w:bCs/>
          <w:color w:val="auto"/>
          <w:kern w:val="2"/>
          <w:sz w:val="32"/>
          <w:szCs w:val="32"/>
          <w:highlight w:val="none"/>
          <w:lang w:val="en-US" w:eastAsia="zh-CN" w:bidi="ar-SA"/>
        </w:rPr>
        <w:t>汇通小学预制板房维修改造工程项目</w:t>
      </w:r>
    </w:p>
    <w:p w14:paraId="2DE45D8B">
      <w:pPr>
        <w:ind w:firstLine="964" w:firstLineChars="300"/>
        <w:jc w:val="both"/>
        <w:rPr>
          <w:rFonts w:hint="eastAsia" w:ascii="宋体" w:hAnsi="宋体" w:eastAsia="宋体" w:cs="宋体"/>
          <w:b/>
          <w:bCs/>
          <w:color w:val="auto"/>
          <w:kern w:val="2"/>
          <w:sz w:val="32"/>
          <w:szCs w:val="32"/>
          <w:highlight w:val="none"/>
          <w:lang w:val="en-US" w:eastAsia="zh-CN" w:bidi="ar-SA"/>
        </w:rPr>
      </w:pPr>
    </w:p>
    <w:p w14:paraId="738BF09E">
      <w:pPr>
        <w:ind w:firstLine="964" w:firstLineChars="300"/>
        <w:jc w:val="both"/>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项目编号：</w:t>
      </w:r>
      <w:bookmarkStart w:id="2" w:name="_Toc30253"/>
      <w:r>
        <w:rPr>
          <w:rFonts w:hint="eastAsia" w:ascii="宋体" w:hAnsi="宋体" w:eastAsia="宋体" w:cs="宋体"/>
          <w:b/>
          <w:bCs/>
          <w:color w:val="auto"/>
          <w:kern w:val="2"/>
          <w:sz w:val="32"/>
          <w:szCs w:val="32"/>
          <w:highlight w:val="none"/>
          <w:lang w:val="en-US" w:eastAsia="zh-CN" w:bidi="ar-SA"/>
        </w:rPr>
        <w:t xml:space="preserve">GLZC2025-C2-990305-GXDC </w:t>
      </w:r>
    </w:p>
    <w:p w14:paraId="5899A287">
      <w:pPr>
        <w:ind w:firstLine="964" w:firstLineChars="300"/>
        <w:jc w:val="both"/>
        <w:rPr>
          <w:rFonts w:hint="eastAsia" w:ascii="宋体" w:hAnsi="宋体" w:eastAsia="宋体" w:cs="宋体"/>
          <w:b/>
          <w:bCs/>
          <w:color w:val="auto"/>
          <w:kern w:val="2"/>
          <w:sz w:val="32"/>
          <w:szCs w:val="32"/>
          <w:highlight w:val="none"/>
          <w:lang w:val="en-US" w:eastAsia="zh-CN" w:bidi="ar-SA"/>
        </w:rPr>
      </w:pPr>
    </w:p>
    <w:p w14:paraId="7122DD07">
      <w:pPr>
        <w:ind w:firstLine="964" w:firstLineChars="300"/>
        <w:jc w:val="both"/>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采购人：</w:t>
      </w:r>
      <w:bookmarkEnd w:id="2"/>
      <w:r>
        <w:rPr>
          <w:rFonts w:hint="eastAsia" w:ascii="宋体" w:hAnsi="宋体" w:eastAsia="宋体" w:cs="宋体"/>
          <w:b/>
          <w:bCs/>
          <w:color w:val="auto"/>
          <w:kern w:val="2"/>
          <w:sz w:val="32"/>
          <w:szCs w:val="32"/>
          <w:highlight w:val="none"/>
          <w:lang w:val="en-US" w:eastAsia="zh-CN" w:bidi="ar-SA"/>
        </w:rPr>
        <w:t>桂林市七星区教育局</w:t>
      </w:r>
    </w:p>
    <w:p w14:paraId="08EBF09D">
      <w:pPr>
        <w:ind w:firstLine="964" w:firstLineChars="300"/>
        <w:jc w:val="both"/>
        <w:rPr>
          <w:rFonts w:hint="eastAsia" w:ascii="宋体" w:hAnsi="宋体" w:eastAsia="宋体" w:cs="宋体"/>
          <w:b/>
          <w:bCs/>
          <w:color w:val="auto"/>
          <w:kern w:val="2"/>
          <w:sz w:val="32"/>
          <w:szCs w:val="32"/>
          <w:highlight w:val="none"/>
          <w:lang w:val="en-US" w:eastAsia="zh-CN" w:bidi="ar-SA"/>
        </w:rPr>
      </w:pPr>
    </w:p>
    <w:p w14:paraId="15CC0956">
      <w:pPr>
        <w:ind w:firstLine="964" w:firstLineChars="300"/>
        <w:jc w:val="both"/>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采购代理机构：</w:t>
      </w:r>
      <w:bookmarkStart w:id="3" w:name="_Toc25897"/>
      <w:r>
        <w:rPr>
          <w:rFonts w:hint="eastAsia" w:ascii="宋体" w:hAnsi="宋体" w:cs="宋体"/>
          <w:b/>
          <w:bCs/>
          <w:color w:val="auto"/>
          <w:kern w:val="2"/>
          <w:sz w:val="32"/>
          <w:szCs w:val="32"/>
          <w:highlight w:val="none"/>
          <w:lang w:val="en-US" w:eastAsia="zh-CN" w:bidi="ar-SA"/>
        </w:rPr>
        <w:t>广西鼎策工程顾问有限责任公司</w:t>
      </w:r>
    </w:p>
    <w:p w14:paraId="0DD10EA7">
      <w:pPr>
        <w:ind w:left="1890" w:leftChars="900" w:firstLine="643" w:firstLineChars="200"/>
        <w:rPr>
          <w:rFonts w:hint="eastAsia" w:ascii="宋体" w:hAnsi="宋体" w:eastAsia="宋体" w:cs="宋体"/>
          <w:b/>
          <w:bCs/>
          <w:color w:val="auto"/>
          <w:sz w:val="32"/>
          <w:highlight w:val="none"/>
        </w:rPr>
      </w:pPr>
    </w:p>
    <w:p w14:paraId="7287E490">
      <w:pPr>
        <w:jc w:val="center"/>
        <w:rPr>
          <w:rFonts w:hint="eastAsia" w:ascii="宋体" w:hAnsi="宋体" w:eastAsia="宋体" w:cs="宋体"/>
          <w:b w:val="0"/>
          <w:bCs w:val="0"/>
          <w:color w:val="auto"/>
          <w:sz w:val="32"/>
          <w:highlight w:val="none"/>
        </w:rPr>
      </w:pPr>
    </w:p>
    <w:p w14:paraId="0E2D05AF">
      <w:pPr>
        <w:jc w:val="center"/>
        <w:rPr>
          <w:rFonts w:hint="eastAsia" w:ascii="宋体" w:hAnsi="宋体" w:eastAsia="宋体" w:cs="宋体"/>
          <w:b w:val="0"/>
          <w:bCs w:val="0"/>
          <w:color w:val="auto"/>
          <w:sz w:val="32"/>
          <w:highlight w:val="none"/>
        </w:rPr>
      </w:pPr>
      <w:r>
        <w:rPr>
          <w:rFonts w:hint="eastAsia" w:ascii="宋体" w:hAnsi="宋体" w:eastAsia="宋体" w:cs="宋体"/>
          <w:b/>
          <w:bCs/>
          <w:color w:val="auto"/>
          <w:sz w:val="32"/>
          <w:highlight w:val="none"/>
        </w:rPr>
        <w:t>日期：2025年</w:t>
      </w:r>
      <w:bookmarkEnd w:id="3"/>
      <w:r>
        <w:rPr>
          <w:rFonts w:hint="eastAsia" w:ascii="宋体" w:hAnsi="宋体" w:eastAsia="宋体" w:cs="宋体"/>
          <w:b/>
          <w:bCs/>
          <w:color w:val="auto"/>
          <w:sz w:val="32"/>
          <w:highlight w:val="none"/>
          <w:lang w:val="en-US" w:eastAsia="zh-CN"/>
        </w:rPr>
        <w:t xml:space="preserve"> </w:t>
      </w:r>
      <w:r>
        <w:rPr>
          <w:rFonts w:hint="eastAsia" w:ascii="宋体" w:hAnsi="宋体" w:cs="宋体"/>
          <w:b/>
          <w:bCs/>
          <w:color w:val="auto"/>
          <w:sz w:val="32"/>
          <w:highlight w:val="none"/>
          <w:lang w:val="en-US" w:eastAsia="zh-CN"/>
        </w:rPr>
        <w:t>7</w:t>
      </w:r>
      <w:r>
        <w:rPr>
          <w:rFonts w:hint="eastAsia" w:ascii="宋体" w:hAnsi="宋体" w:eastAsia="宋体" w:cs="宋体"/>
          <w:b/>
          <w:bCs/>
          <w:color w:val="auto"/>
          <w:sz w:val="32"/>
          <w:highlight w:val="none"/>
          <w:lang w:val="en-US" w:eastAsia="zh-CN"/>
        </w:rPr>
        <w:t xml:space="preserve"> 月 </w:t>
      </w:r>
      <w:r>
        <w:rPr>
          <w:rFonts w:hint="eastAsia" w:ascii="宋体" w:hAnsi="宋体" w:cs="宋体"/>
          <w:b/>
          <w:bCs/>
          <w:color w:val="auto"/>
          <w:sz w:val="32"/>
          <w:highlight w:val="none"/>
          <w:lang w:val="en-US" w:eastAsia="zh-CN"/>
        </w:rPr>
        <w:t>14</w:t>
      </w:r>
      <w:r>
        <w:rPr>
          <w:rFonts w:hint="eastAsia" w:ascii="宋体" w:hAnsi="宋体" w:eastAsia="宋体" w:cs="宋体"/>
          <w:b/>
          <w:bCs/>
          <w:color w:val="auto"/>
          <w:sz w:val="32"/>
          <w:highlight w:val="none"/>
          <w:lang w:val="en-US" w:eastAsia="zh-CN"/>
        </w:rPr>
        <w:t xml:space="preserve"> 日</w:t>
      </w:r>
    </w:p>
    <w:p w14:paraId="6A421C4C">
      <w:pPr>
        <w:pStyle w:val="28"/>
        <w:tabs>
          <w:tab w:val="right" w:leader="dot" w:pos="9660"/>
        </w:tabs>
        <w:spacing w:line="360" w:lineRule="auto"/>
        <w:jc w:val="center"/>
        <w:rPr>
          <w:rFonts w:hint="eastAsia" w:ascii="宋体" w:hAnsi="宋体" w:eastAsia="宋体" w:cs="宋体"/>
          <w:b w:val="0"/>
          <w:bCs w:val="0"/>
          <w:color w:val="auto"/>
          <w:spacing w:val="-6"/>
          <w:kern w:val="0"/>
          <w:sz w:val="44"/>
          <w:szCs w:val="44"/>
          <w:highlight w:val="none"/>
        </w:rPr>
      </w:pPr>
    </w:p>
    <w:p w14:paraId="7A4A1F46">
      <w:pPr>
        <w:pStyle w:val="28"/>
        <w:tabs>
          <w:tab w:val="right" w:leader="dot" w:pos="9660"/>
        </w:tabs>
        <w:spacing w:line="360" w:lineRule="auto"/>
        <w:jc w:val="center"/>
        <w:rPr>
          <w:rFonts w:hint="eastAsia" w:ascii="宋体" w:hAnsi="宋体" w:eastAsia="宋体" w:cs="宋体"/>
          <w:b/>
          <w:color w:val="auto"/>
          <w:spacing w:val="-6"/>
          <w:kern w:val="0"/>
          <w:sz w:val="44"/>
          <w:szCs w:val="44"/>
          <w:highlight w:val="none"/>
        </w:rPr>
        <w:sectPr>
          <w:footerReference r:id="rId3" w:type="default"/>
          <w:pgSz w:w="11906" w:h="16839"/>
          <w:pgMar w:top="1222" w:right="1059" w:bottom="1156" w:left="1139" w:header="0" w:footer="994" w:gutter="0"/>
          <w:pgNumType w:fmt="decimal"/>
          <w:cols w:space="720" w:num="1"/>
        </w:sectPr>
      </w:pPr>
    </w:p>
    <w:p w14:paraId="40A2B234">
      <w:pPr>
        <w:jc w:val="center"/>
        <w:rPr>
          <w:rFonts w:hint="eastAsia" w:ascii="宋体" w:hAnsi="宋体" w:eastAsia="宋体" w:cs="宋体"/>
          <w:b/>
          <w:bCs/>
          <w:color w:val="000000"/>
          <w:sz w:val="36"/>
          <w:szCs w:val="36"/>
          <w:highlight w:val="none"/>
          <w:shd w:val="clear" w:color="auto" w:fill="auto"/>
          <w:lang w:val="zh-CN"/>
        </w:rPr>
      </w:pPr>
      <w:r>
        <w:rPr>
          <w:rFonts w:hint="eastAsia" w:ascii="宋体" w:hAnsi="宋体" w:eastAsia="宋体" w:cs="宋体"/>
          <w:b/>
          <w:bCs/>
          <w:color w:val="000000"/>
          <w:sz w:val="36"/>
          <w:szCs w:val="36"/>
          <w:highlight w:val="none"/>
          <w:shd w:val="clear" w:color="auto" w:fill="auto"/>
          <w:lang w:val="zh-CN"/>
        </w:rPr>
        <w:t>目</w:t>
      </w:r>
      <w:r>
        <w:rPr>
          <w:rFonts w:hint="eastAsia" w:ascii="宋体" w:hAnsi="宋体" w:eastAsia="宋体" w:cs="宋体"/>
          <w:b/>
          <w:bCs/>
          <w:color w:val="000000"/>
          <w:sz w:val="36"/>
          <w:szCs w:val="36"/>
          <w:highlight w:val="none"/>
          <w:shd w:val="clear" w:color="auto" w:fill="auto"/>
        </w:rPr>
        <w:t xml:space="preserve"> </w:t>
      </w:r>
      <w:r>
        <w:rPr>
          <w:rFonts w:hint="eastAsia" w:ascii="宋体" w:hAnsi="宋体" w:eastAsia="宋体" w:cs="宋体"/>
          <w:b/>
          <w:bCs/>
          <w:color w:val="000000"/>
          <w:sz w:val="36"/>
          <w:szCs w:val="36"/>
          <w:highlight w:val="none"/>
          <w:shd w:val="clear" w:color="auto" w:fill="auto"/>
          <w:lang w:val="en-US" w:eastAsia="zh-CN"/>
        </w:rPr>
        <w:t xml:space="preserve"> </w:t>
      </w:r>
      <w:r>
        <w:rPr>
          <w:rFonts w:hint="eastAsia" w:ascii="宋体" w:hAnsi="宋体" w:eastAsia="宋体" w:cs="宋体"/>
          <w:b/>
          <w:bCs/>
          <w:color w:val="000000"/>
          <w:sz w:val="36"/>
          <w:szCs w:val="36"/>
          <w:highlight w:val="none"/>
          <w:shd w:val="clear" w:color="auto" w:fill="auto"/>
        </w:rPr>
        <w:t xml:space="preserve"> </w:t>
      </w:r>
      <w:r>
        <w:rPr>
          <w:rFonts w:hint="eastAsia" w:ascii="宋体" w:hAnsi="宋体" w:eastAsia="宋体" w:cs="宋体"/>
          <w:b/>
          <w:bCs/>
          <w:color w:val="000000"/>
          <w:sz w:val="36"/>
          <w:szCs w:val="36"/>
          <w:highlight w:val="none"/>
          <w:shd w:val="clear" w:color="auto" w:fill="auto"/>
          <w:lang w:val="zh-CN"/>
        </w:rPr>
        <w:t>录</w:t>
      </w:r>
    </w:p>
    <w:p w14:paraId="0DA8BAF2">
      <w:pPr>
        <w:pStyle w:val="2"/>
        <w:rPr>
          <w:rFonts w:hint="eastAsia" w:ascii="宋体" w:hAnsi="宋体" w:eastAsia="宋体" w:cs="宋体"/>
          <w:color w:val="000000"/>
          <w:highlight w:val="none"/>
          <w:shd w:val="clear" w:color="auto" w:fill="auto"/>
          <w:lang w:val="zh-CN"/>
        </w:rPr>
      </w:pPr>
    </w:p>
    <w:p w14:paraId="4288FB88">
      <w:pPr>
        <w:rPr>
          <w:rFonts w:hint="eastAsia" w:ascii="宋体" w:hAnsi="宋体" w:eastAsia="宋体" w:cs="宋体"/>
          <w:color w:val="000000"/>
          <w:highlight w:val="none"/>
          <w:shd w:val="clear" w:color="auto" w:fill="auto"/>
          <w:lang w:val="zh-CN"/>
        </w:rPr>
      </w:pPr>
    </w:p>
    <w:p w14:paraId="659B2BCB">
      <w:pPr>
        <w:pStyle w:val="28"/>
        <w:tabs>
          <w:tab w:val="right" w:leader="dot" w:pos="9746"/>
        </w:tabs>
        <w:spacing w:line="720" w:lineRule="auto"/>
        <w:rPr>
          <w:rFonts w:hint="eastAsia" w:ascii="宋体" w:hAnsi="宋体" w:eastAsia="宋体" w:cs="宋体"/>
          <w:color w:val="000000"/>
          <w:sz w:val="28"/>
          <w:szCs w:val="28"/>
          <w:highlight w:val="none"/>
          <w:shd w:val="clear" w:color="auto" w:fill="auto"/>
        </w:rPr>
      </w:pPr>
      <w:r>
        <w:rPr>
          <w:rFonts w:hint="eastAsia" w:ascii="宋体" w:hAnsi="宋体" w:eastAsia="宋体" w:cs="宋体"/>
          <w:b/>
          <w:bCs/>
          <w:color w:val="000000"/>
          <w:sz w:val="32"/>
          <w:szCs w:val="32"/>
          <w:highlight w:val="none"/>
          <w:shd w:val="clear" w:color="auto" w:fill="auto"/>
        </w:rPr>
        <w:fldChar w:fldCharType="begin"/>
      </w:r>
      <w:r>
        <w:rPr>
          <w:rFonts w:hint="eastAsia" w:ascii="宋体" w:hAnsi="宋体" w:eastAsia="宋体" w:cs="宋体"/>
          <w:b/>
          <w:bCs/>
          <w:color w:val="000000"/>
          <w:sz w:val="32"/>
          <w:szCs w:val="32"/>
          <w:highlight w:val="none"/>
          <w:shd w:val="clear" w:color="auto" w:fill="auto"/>
        </w:rPr>
        <w:instrText xml:space="preserve">TOC \o "1-1" \h \u </w:instrText>
      </w:r>
      <w:r>
        <w:rPr>
          <w:rFonts w:hint="eastAsia" w:ascii="宋体" w:hAnsi="宋体" w:eastAsia="宋体" w:cs="宋体"/>
          <w:b/>
          <w:bCs/>
          <w:color w:val="000000"/>
          <w:sz w:val="32"/>
          <w:szCs w:val="32"/>
          <w:highlight w:val="none"/>
          <w:shd w:val="clear" w:color="auto" w:fill="auto"/>
        </w:rPr>
        <w:fldChar w:fldCharType="separate"/>
      </w:r>
      <w:r>
        <w:rPr>
          <w:rFonts w:hint="eastAsia" w:ascii="宋体" w:hAnsi="宋体" w:eastAsia="宋体" w:cs="宋体"/>
          <w:color w:val="000000"/>
          <w:highlight w:val="none"/>
          <w:shd w:val="clear" w:color="auto" w:fill="auto"/>
        </w:rPr>
        <w:fldChar w:fldCharType="begin"/>
      </w:r>
      <w:r>
        <w:rPr>
          <w:rFonts w:hint="eastAsia" w:ascii="宋体" w:hAnsi="宋体" w:eastAsia="宋体" w:cs="宋体"/>
          <w:color w:val="000000"/>
          <w:highlight w:val="none"/>
          <w:shd w:val="clear" w:color="auto" w:fill="auto"/>
        </w:rPr>
        <w:instrText xml:space="preserve">HYPERLINK \l "_Toc29698"</w:instrText>
      </w:r>
      <w:r>
        <w:rPr>
          <w:rFonts w:hint="eastAsia" w:ascii="宋体" w:hAnsi="宋体" w:eastAsia="宋体" w:cs="宋体"/>
          <w:color w:val="000000"/>
          <w:highlight w:val="none"/>
          <w:shd w:val="clear" w:color="auto" w:fill="auto"/>
        </w:rPr>
        <w:fldChar w:fldCharType="separate"/>
      </w:r>
      <w:r>
        <w:rPr>
          <w:rFonts w:hint="eastAsia" w:ascii="宋体" w:hAnsi="宋体" w:eastAsia="宋体" w:cs="宋体"/>
          <w:bCs/>
          <w:color w:val="000000"/>
          <w:sz w:val="28"/>
          <w:szCs w:val="28"/>
          <w:highlight w:val="none"/>
          <w:shd w:val="clear" w:color="auto" w:fill="auto"/>
        </w:rPr>
        <w:t>第一章  竞争性磋商公告</w:t>
      </w:r>
      <w:r>
        <w:rPr>
          <w:rFonts w:hint="eastAsia" w:ascii="宋体" w:hAnsi="宋体" w:eastAsia="宋体" w:cs="宋体"/>
          <w:color w:val="000000"/>
          <w:sz w:val="28"/>
          <w:szCs w:val="28"/>
          <w:highlight w:val="none"/>
          <w:shd w:val="clear" w:color="auto" w:fill="auto"/>
        </w:rPr>
        <w:tab/>
      </w:r>
      <w:r>
        <w:rPr>
          <w:rFonts w:hint="eastAsia" w:ascii="宋体" w:hAnsi="宋体" w:eastAsia="宋体" w:cs="宋体"/>
          <w:color w:val="000000"/>
          <w:sz w:val="28"/>
          <w:szCs w:val="28"/>
          <w:highlight w:val="none"/>
          <w:shd w:val="clear" w:color="auto" w:fill="auto"/>
        </w:rPr>
        <w:fldChar w:fldCharType="begin"/>
      </w:r>
      <w:r>
        <w:rPr>
          <w:rFonts w:hint="eastAsia" w:ascii="宋体" w:hAnsi="宋体" w:eastAsia="宋体" w:cs="宋体"/>
          <w:color w:val="000000"/>
          <w:sz w:val="28"/>
          <w:szCs w:val="28"/>
          <w:highlight w:val="none"/>
          <w:shd w:val="clear" w:color="auto" w:fill="auto"/>
        </w:rPr>
        <w:instrText xml:space="preserve"> PAGEREF _Toc29698 \h </w:instrText>
      </w:r>
      <w:r>
        <w:rPr>
          <w:rFonts w:hint="eastAsia" w:ascii="宋体" w:hAnsi="宋体" w:eastAsia="宋体" w:cs="宋体"/>
          <w:color w:val="000000"/>
          <w:sz w:val="28"/>
          <w:szCs w:val="28"/>
          <w:highlight w:val="none"/>
          <w:shd w:val="clear" w:color="auto" w:fill="auto"/>
        </w:rPr>
        <w:fldChar w:fldCharType="separate"/>
      </w:r>
      <w:r>
        <w:rPr>
          <w:rFonts w:hint="eastAsia" w:ascii="宋体" w:hAnsi="宋体" w:eastAsia="宋体" w:cs="宋体"/>
          <w:color w:val="000000"/>
          <w:sz w:val="28"/>
          <w:szCs w:val="28"/>
          <w:highlight w:val="none"/>
          <w:shd w:val="clear" w:color="auto" w:fill="auto"/>
        </w:rPr>
        <w:t>1</w:t>
      </w:r>
      <w:r>
        <w:rPr>
          <w:rFonts w:hint="eastAsia" w:ascii="宋体" w:hAnsi="宋体" w:eastAsia="宋体" w:cs="宋体"/>
          <w:color w:val="000000"/>
          <w:sz w:val="28"/>
          <w:szCs w:val="28"/>
          <w:highlight w:val="none"/>
          <w:shd w:val="clear" w:color="auto" w:fill="auto"/>
        </w:rPr>
        <w:fldChar w:fldCharType="end"/>
      </w:r>
      <w:r>
        <w:rPr>
          <w:rFonts w:hint="eastAsia" w:ascii="宋体" w:hAnsi="宋体" w:eastAsia="宋体" w:cs="宋体"/>
          <w:color w:val="000000"/>
          <w:highlight w:val="none"/>
          <w:shd w:val="clear" w:color="auto" w:fill="auto"/>
        </w:rPr>
        <w:fldChar w:fldCharType="end"/>
      </w:r>
    </w:p>
    <w:p w14:paraId="742BB3A1">
      <w:pPr>
        <w:pStyle w:val="28"/>
        <w:tabs>
          <w:tab w:val="right" w:leader="dot" w:pos="9746"/>
        </w:tabs>
        <w:spacing w:line="720" w:lineRule="auto"/>
        <w:rPr>
          <w:rFonts w:hint="eastAsia" w:ascii="宋体" w:hAnsi="宋体" w:eastAsia="宋体" w:cs="宋体"/>
          <w:color w:val="000000"/>
          <w:sz w:val="28"/>
          <w:szCs w:val="28"/>
          <w:highlight w:val="none"/>
          <w:shd w:val="clear" w:color="auto" w:fill="auto"/>
        </w:rPr>
      </w:pPr>
      <w:r>
        <w:rPr>
          <w:rFonts w:hint="eastAsia" w:ascii="宋体" w:hAnsi="宋体" w:eastAsia="宋体" w:cs="宋体"/>
          <w:color w:val="000000"/>
          <w:sz w:val="28"/>
          <w:szCs w:val="28"/>
          <w:highlight w:val="none"/>
          <w:shd w:val="clear" w:color="auto" w:fill="auto"/>
        </w:rPr>
        <w:fldChar w:fldCharType="begin"/>
      </w:r>
      <w:r>
        <w:rPr>
          <w:rFonts w:hint="eastAsia" w:ascii="宋体" w:hAnsi="宋体" w:eastAsia="宋体" w:cs="宋体"/>
          <w:color w:val="000000"/>
          <w:sz w:val="28"/>
          <w:szCs w:val="28"/>
          <w:highlight w:val="none"/>
          <w:shd w:val="clear" w:color="auto" w:fill="auto"/>
        </w:rPr>
        <w:instrText xml:space="preserve">HYPERLINK \l "_Toc27017"</w:instrText>
      </w:r>
      <w:r>
        <w:rPr>
          <w:rFonts w:hint="eastAsia" w:ascii="宋体" w:hAnsi="宋体" w:eastAsia="宋体" w:cs="宋体"/>
          <w:color w:val="000000"/>
          <w:sz w:val="28"/>
          <w:szCs w:val="28"/>
          <w:highlight w:val="none"/>
          <w:shd w:val="clear" w:color="auto" w:fill="auto"/>
        </w:rPr>
        <w:fldChar w:fldCharType="separate"/>
      </w:r>
      <w:r>
        <w:rPr>
          <w:rFonts w:hint="eastAsia" w:ascii="宋体" w:hAnsi="宋体" w:eastAsia="宋体" w:cs="宋体"/>
          <w:bCs/>
          <w:color w:val="000000"/>
          <w:sz w:val="28"/>
          <w:szCs w:val="28"/>
          <w:highlight w:val="none"/>
          <w:shd w:val="clear" w:color="auto" w:fill="auto"/>
        </w:rPr>
        <w:t>第二章  供应商须知</w:t>
      </w:r>
      <w:r>
        <w:rPr>
          <w:rFonts w:hint="eastAsia" w:ascii="宋体" w:hAnsi="宋体" w:eastAsia="宋体" w:cs="宋体"/>
          <w:color w:val="000000"/>
          <w:sz w:val="28"/>
          <w:szCs w:val="28"/>
          <w:highlight w:val="none"/>
          <w:shd w:val="clear" w:color="auto" w:fill="auto"/>
        </w:rPr>
        <w:tab/>
      </w:r>
      <w:r>
        <w:rPr>
          <w:rFonts w:hint="eastAsia" w:ascii="宋体" w:hAnsi="宋体" w:eastAsia="宋体" w:cs="宋体"/>
          <w:color w:val="000000"/>
          <w:sz w:val="28"/>
          <w:szCs w:val="28"/>
          <w:highlight w:val="none"/>
          <w:shd w:val="clear" w:color="auto" w:fill="auto"/>
        </w:rPr>
        <w:fldChar w:fldCharType="begin"/>
      </w:r>
      <w:r>
        <w:rPr>
          <w:rFonts w:hint="eastAsia" w:ascii="宋体" w:hAnsi="宋体" w:eastAsia="宋体" w:cs="宋体"/>
          <w:color w:val="000000"/>
          <w:sz w:val="28"/>
          <w:szCs w:val="28"/>
          <w:highlight w:val="none"/>
          <w:shd w:val="clear" w:color="auto" w:fill="auto"/>
        </w:rPr>
        <w:instrText xml:space="preserve"> PAGEREF _Toc27017 \h </w:instrText>
      </w:r>
      <w:r>
        <w:rPr>
          <w:rFonts w:hint="eastAsia" w:ascii="宋体" w:hAnsi="宋体" w:eastAsia="宋体" w:cs="宋体"/>
          <w:color w:val="000000"/>
          <w:sz w:val="28"/>
          <w:szCs w:val="28"/>
          <w:highlight w:val="none"/>
          <w:shd w:val="clear" w:color="auto" w:fill="auto"/>
        </w:rPr>
        <w:fldChar w:fldCharType="separate"/>
      </w:r>
      <w:r>
        <w:rPr>
          <w:rFonts w:hint="eastAsia" w:ascii="宋体" w:hAnsi="宋体" w:eastAsia="宋体" w:cs="宋体"/>
          <w:color w:val="000000"/>
          <w:sz w:val="28"/>
          <w:szCs w:val="28"/>
          <w:highlight w:val="none"/>
          <w:shd w:val="clear" w:color="auto" w:fill="auto"/>
        </w:rPr>
        <w:t>4</w:t>
      </w:r>
      <w:r>
        <w:rPr>
          <w:rFonts w:hint="eastAsia" w:ascii="宋体" w:hAnsi="宋体" w:eastAsia="宋体" w:cs="宋体"/>
          <w:color w:val="000000"/>
          <w:sz w:val="28"/>
          <w:szCs w:val="28"/>
          <w:highlight w:val="none"/>
          <w:shd w:val="clear" w:color="auto" w:fill="auto"/>
        </w:rPr>
        <w:fldChar w:fldCharType="end"/>
      </w:r>
      <w:r>
        <w:rPr>
          <w:rFonts w:hint="eastAsia" w:ascii="宋体" w:hAnsi="宋体" w:eastAsia="宋体" w:cs="宋体"/>
          <w:color w:val="000000"/>
          <w:sz w:val="28"/>
          <w:szCs w:val="28"/>
          <w:highlight w:val="none"/>
          <w:shd w:val="clear" w:color="auto" w:fill="auto"/>
        </w:rPr>
        <w:fldChar w:fldCharType="end"/>
      </w:r>
    </w:p>
    <w:p w14:paraId="6D73F2AC">
      <w:pPr>
        <w:pStyle w:val="28"/>
        <w:tabs>
          <w:tab w:val="right" w:leader="dot" w:pos="9746"/>
        </w:tabs>
        <w:spacing w:line="720" w:lineRule="auto"/>
        <w:rPr>
          <w:rFonts w:hint="eastAsia" w:ascii="宋体" w:hAnsi="宋体" w:eastAsia="宋体" w:cs="宋体"/>
          <w:color w:val="000000"/>
          <w:sz w:val="28"/>
          <w:szCs w:val="28"/>
          <w:highlight w:val="none"/>
          <w:shd w:val="clear" w:color="auto" w:fill="auto"/>
          <w:lang w:val="en-US" w:eastAsia="zh-CN"/>
        </w:rPr>
      </w:pPr>
      <w:r>
        <w:rPr>
          <w:rFonts w:hint="eastAsia" w:ascii="宋体" w:hAnsi="宋体" w:eastAsia="宋体" w:cs="宋体"/>
          <w:color w:val="000000"/>
          <w:sz w:val="28"/>
          <w:szCs w:val="28"/>
          <w:highlight w:val="none"/>
          <w:shd w:val="clear" w:color="auto" w:fill="auto"/>
        </w:rPr>
        <w:fldChar w:fldCharType="begin"/>
      </w:r>
      <w:r>
        <w:rPr>
          <w:rFonts w:hint="eastAsia" w:ascii="宋体" w:hAnsi="宋体" w:eastAsia="宋体" w:cs="宋体"/>
          <w:color w:val="000000"/>
          <w:sz w:val="28"/>
          <w:szCs w:val="28"/>
          <w:highlight w:val="none"/>
          <w:shd w:val="clear" w:color="auto" w:fill="auto"/>
        </w:rPr>
        <w:instrText xml:space="preserve">HYPERLINK \l "_Toc2725"</w:instrText>
      </w:r>
      <w:r>
        <w:rPr>
          <w:rFonts w:hint="eastAsia" w:ascii="宋体" w:hAnsi="宋体" w:eastAsia="宋体" w:cs="宋体"/>
          <w:color w:val="000000"/>
          <w:sz w:val="28"/>
          <w:szCs w:val="28"/>
          <w:highlight w:val="none"/>
          <w:shd w:val="clear" w:color="auto" w:fill="auto"/>
        </w:rPr>
        <w:fldChar w:fldCharType="separate"/>
      </w:r>
      <w:r>
        <w:rPr>
          <w:rFonts w:hint="eastAsia" w:ascii="宋体" w:hAnsi="宋体" w:eastAsia="宋体" w:cs="宋体"/>
          <w:bCs/>
          <w:color w:val="000000"/>
          <w:sz w:val="28"/>
          <w:szCs w:val="28"/>
          <w:highlight w:val="none"/>
          <w:shd w:val="clear" w:color="auto" w:fill="auto"/>
        </w:rPr>
        <w:t xml:space="preserve">第三章  </w:t>
      </w:r>
      <w:r>
        <w:rPr>
          <w:rFonts w:hint="eastAsia" w:ascii="宋体" w:hAnsi="宋体" w:eastAsia="宋体" w:cs="宋体"/>
          <w:color w:val="000000"/>
          <w:sz w:val="28"/>
          <w:szCs w:val="28"/>
          <w:highlight w:val="none"/>
          <w:shd w:val="clear" w:color="auto" w:fill="auto"/>
        </w:rPr>
        <w:t>工程量清单</w:t>
      </w:r>
      <w:r>
        <w:rPr>
          <w:rFonts w:hint="eastAsia" w:ascii="宋体" w:hAnsi="宋体" w:eastAsia="宋体" w:cs="宋体"/>
          <w:color w:val="000000"/>
          <w:sz w:val="28"/>
          <w:szCs w:val="28"/>
          <w:highlight w:val="none"/>
          <w:shd w:val="clear" w:color="auto" w:fill="auto"/>
        </w:rPr>
        <w:tab/>
      </w:r>
      <w:r>
        <w:rPr>
          <w:rFonts w:hint="eastAsia" w:ascii="宋体" w:hAnsi="宋体" w:cs="宋体"/>
          <w:color w:val="000000"/>
          <w:sz w:val="28"/>
          <w:szCs w:val="28"/>
          <w:highlight w:val="none"/>
          <w:shd w:val="clear" w:color="auto" w:fill="auto"/>
          <w:lang w:val="en-US" w:eastAsia="zh-CN"/>
        </w:rPr>
        <w:t>2</w:t>
      </w:r>
      <w:r>
        <w:rPr>
          <w:rFonts w:hint="eastAsia" w:ascii="宋体" w:hAnsi="宋体" w:eastAsia="宋体" w:cs="宋体"/>
          <w:color w:val="000000"/>
          <w:sz w:val="28"/>
          <w:szCs w:val="28"/>
          <w:highlight w:val="none"/>
          <w:shd w:val="clear" w:color="auto" w:fill="auto"/>
        </w:rPr>
        <w:fldChar w:fldCharType="end"/>
      </w:r>
      <w:r>
        <w:rPr>
          <w:rFonts w:hint="eastAsia" w:ascii="宋体" w:hAnsi="宋体" w:cs="宋体"/>
          <w:color w:val="000000"/>
          <w:sz w:val="28"/>
          <w:szCs w:val="28"/>
          <w:highlight w:val="none"/>
          <w:shd w:val="clear" w:color="auto" w:fill="auto"/>
          <w:lang w:val="en-US" w:eastAsia="zh-CN"/>
        </w:rPr>
        <w:t>7</w:t>
      </w:r>
    </w:p>
    <w:p w14:paraId="572111EB">
      <w:pPr>
        <w:pStyle w:val="28"/>
        <w:tabs>
          <w:tab w:val="right" w:leader="dot" w:pos="9746"/>
        </w:tabs>
        <w:spacing w:line="720" w:lineRule="auto"/>
        <w:rPr>
          <w:rFonts w:hint="eastAsia" w:ascii="宋体" w:hAnsi="宋体" w:eastAsia="宋体" w:cs="宋体"/>
          <w:color w:val="000000"/>
          <w:sz w:val="28"/>
          <w:szCs w:val="28"/>
          <w:highlight w:val="none"/>
          <w:shd w:val="clear" w:color="auto" w:fill="auto"/>
          <w:lang w:val="en-US" w:eastAsia="zh-CN"/>
        </w:rPr>
      </w:pPr>
      <w:r>
        <w:rPr>
          <w:rFonts w:hint="eastAsia" w:ascii="宋体" w:hAnsi="宋体" w:eastAsia="宋体" w:cs="宋体"/>
          <w:color w:val="000000"/>
          <w:sz w:val="28"/>
          <w:szCs w:val="28"/>
          <w:highlight w:val="none"/>
          <w:shd w:val="clear" w:color="auto" w:fill="auto"/>
        </w:rPr>
        <w:fldChar w:fldCharType="begin"/>
      </w:r>
      <w:r>
        <w:rPr>
          <w:rFonts w:hint="eastAsia" w:ascii="宋体" w:hAnsi="宋体" w:eastAsia="宋体" w:cs="宋体"/>
          <w:color w:val="000000"/>
          <w:sz w:val="28"/>
          <w:szCs w:val="28"/>
          <w:highlight w:val="none"/>
          <w:shd w:val="clear" w:color="auto" w:fill="auto"/>
        </w:rPr>
        <w:instrText xml:space="preserve">HYPERLINK \l "_Toc10473"</w:instrText>
      </w:r>
      <w:r>
        <w:rPr>
          <w:rFonts w:hint="eastAsia" w:ascii="宋体" w:hAnsi="宋体" w:eastAsia="宋体" w:cs="宋体"/>
          <w:color w:val="000000"/>
          <w:sz w:val="28"/>
          <w:szCs w:val="28"/>
          <w:highlight w:val="none"/>
          <w:shd w:val="clear" w:color="auto" w:fill="auto"/>
        </w:rPr>
        <w:fldChar w:fldCharType="separate"/>
      </w:r>
      <w:r>
        <w:rPr>
          <w:rFonts w:hint="eastAsia" w:ascii="宋体" w:hAnsi="宋体" w:eastAsia="宋体" w:cs="宋体"/>
          <w:color w:val="000000"/>
          <w:sz w:val="28"/>
          <w:szCs w:val="28"/>
          <w:highlight w:val="none"/>
          <w:shd w:val="clear" w:color="auto" w:fill="auto"/>
        </w:rPr>
        <w:t xml:space="preserve">第四章  </w:t>
      </w:r>
      <w:r>
        <w:rPr>
          <w:rFonts w:hint="eastAsia" w:ascii="宋体" w:hAnsi="宋体" w:eastAsia="宋体" w:cs="宋体"/>
          <w:bCs/>
          <w:color w:val="000000"/>
          <w:sz w:val="28"/>
          <w:szCs w:val="28"/>
          <w:highlight w:val="none"/>
          <w:shd w:val="clear" w:color="auto" w:fill="auto"/>
        </w:rPr>
        <w:t>评审办法</w:t>
      </w:r>
      <w:r>
        <w:rPr>
          <w:rFonts w:hint="eastAsia" w:ascii="宋体" w:hAnsi="宋体" w:eastAsia="宋体" w:cs="宋体"/>
          <w:color w:val="000000"/>
          <w:sz w:val="28"/>
          <w:szCs w:val="28"/>
          <w:highlight w:val="none"/>
          <w:shd w:val="clear" w:color="auto" w:fill="auto"/>
        </w:rPr>
        <w:tab/>
      </w:r>
      <w:r>
        <w:rPr>
          <w:rFonts w:hint="eastAsia" w:ascii="宋体" w:hAnsi="宋体" w:cs="宋体"/>
          <w:color w:val="000000"/>
          <w:sz w:val="28"/>
          <w:szCs w:val="28"/>
          <w:highlight w:val="none"/>
          <w:shd w:val="clear" w:color="auto" w:fill="auto"/>
          <w:lang w:val="en-US" w:eastAsia="zh-CN"/>
        </w:rPr>
        <w:t>2</w:t>
      </w:r>
      <w:r>
        <w:rPr>
          <w:rFonts w:hint="eastAsia" w:ascii="宋体" w:hAnsi="宋体" w:eastAsia="宋体" w:cs="宋体"/>
          <w:color w:val="000000"/>
          <w:sz w:val="28"/>
          <w:szCs w:val="28"/>
          <w:highlight w:val="none"/>
          <w:shd w:val="clear" w:color="auto" w:fill="auto"/>
        </w:rPr>
        <w:fldChar w:fldCharType="end"/>
      </w:r>
      <w:r>
        <w:rPr>
          <w:rFonts w:hint="eastAsia" w:ascii="宋体" w:hAnsi="宋体" w:cs="宋体"/>
          <w:color w:val="000000"/>
          <w:sz w:val="28"/>
          <w:szCs w:val="28"/>
          <w:highlight w:val="none"/>
          <w:shd w:val="clear" w:color="auto" w:fill="auto"/>
          <w:lang w:val="en-US" w:eastAsia="zh-CN"/>
        </w:rPr>
        <w:t>8</w:t>
      </w:r>
    </w:p>
    <w:p w14:paraId="6E47E443">
      <w:pPr>
        <w:pStyle w:val="28"/>
        <w:tabs>
          <w:tab w:val="right" w:leader="dot" w:pos="9746"/>
        </w:tabs>
        <w:spacing w:line="720" w:lineRule="auto"/>
        <w:rPr>
          <w:rFonts w:hint="eastAsia" w:ascii="宋体" w:hAnsi="宋体" w:eastAsia="宋体" w:cs="宋体"/>
          <w:color w:val="000000"/>
          <w:sz w:val="28"/>
          <w:szCs w:val="28"/>
          <w:highlight w:val="none"/>
          <w:shd w:val="clear" w:color="auto" w:fill="auto"/>
        </w:rPr>
      </w:pPr>
      <w:r>
        <w:rPr>
          <w:rFonts w:hint="eastAsia" w:ascii="宋体" w:hAnsi="宋体" w:eastAsia="宋体" w:cs="宋体"/>
          <w:color w:val="000000"/>
          <w:sz w:val="28"/>
          <w:szCs w:val="28"/>
          <w:highlight w:val="none"/>
          <w:shd w:val="clear" w:color="auto" w:fill="auto"/>
        </w:rPr>
        <w:fldChar w:fldCharType="begin"/>
      </w:r>
      <w:r>
        <w:rPr>
          <w:rFonts w:hint="eastAsia" w:ascii="宋体" w:hAnsi="宋体" w:eastAsia="宋体" w:cs="宋体"/>
          <w:color w:val="000000"/>
          <w:sz w:val="28"/>
          <w:szCs w:val="28"/>
          <w:highlight w:val="none"/>
          <w:shd w:val="clear" w:color="auto" w:fill="auto"/>
        </w:rPr>
        <w:instrText xml:space="preserve">HYPERLINK \l "_Toc30015"</w:instrText>
      </w:r>
      <w:r>
        <w:rPr>
          <w:rFonts w:hint="eastAsia" w:ascii="宋体" w:hAnsi="宋体" w:eastAsia="宋体" w:cs="宋体"/>
          <w:color w:val="000000"/>
          <w:sz w:val="28"/>
          <w:szCs w:val="28"/>
          <w:highlight w:val="none"/>
          <w:shd w:val="clear" w:color="auto" w:fill="auto"/>
        </w:rPr>
        <w:fldChar w:fldCharType="separate"/>
      </w:r>
      <w:r>
        <w:rPr>
          <w:rFonts w:hint="eastAsia" w:ascii="宋体" w:hAnsi="宋体" w:eastAsia="宋体" w:cs="宋体"/>
          <w:color w:val="000000"/>
          <w:sz w:val="28"/>
          <w:szCs w:val="28"/>
          <w:highlight w:val="none"/>
          <w:shd w:val="clear" w:color="auto" w:fill="auto"/>
        </w:rPr>
        <w:t>第五章  合同条款及格式</w:t>
      </w:r>
      <w:r>
        <w:rPr>
          <w:rFonts w:hint="eastAsia" w:ascii="宋体" w:hAnsi="宋体" w:eastAsia="宋体" w:cs="宋体"/>
          <w:color w:val="000000"/>
          <w:sz w:val="28"/>
          <w:szCs w:val="28"/>
          <w:highlight w:val="none"/>
          <w:shd w:val="clear" w:color="auto" w:fill="auto"/>
        </w:rPr>
        <w:tab/>
      </w:r>
      <w:r>
        <w:rPr>
          <w:rFonts w:hint="eastAsia" w:ascii="宋体" w:hAnsi="宋体" w:eastAsia="宋体" w:cs="宋体"/>
          <w:color w:val="000000"/>
          <w:sz w:val="28"/>
          <w:szCs w:val="28"/>
          <w:highlight w:val="none"/>
          <w:shd w:val="clear" w:color="auto" w:fill="auto"/>
        </w:rPr>
        <w:fldChar w:fldCharType="begin"/>
      </w:r>
      <w:r>
        <w:rPr>
          <w:rFonts w:hint="eastAsia" w:ascii="宋体" w:hAnsi="宋体" w:eastAsia="宋体" w:cs="宋体"/>
          <w:color w:val="000000"/>
          <w:sz w:val="28"/>
          <w:szCs w:val="28"/>
          <w:highlight w:val="none"/>
          <w:shd w:val="clear" w:color="auto" w:fill="auto"/>
        </w:rPr>
        <w:instrText xml:space="preserve"> PAGEREF _Toc30015 \h </w:instrText>
      </w:r>
      <w:r>
        <w:rPr>
          <w:rFonts w:hint="eastAsia" w:ascii="宋体" w:hAnsi="宋体" w:eastAsia="宋体" w:cs="宋体"/>
          <w:color w:val="000000"/>
          <w:sz w:val="28"/>
          <w:szCs w:val="28"/>
          <w:highlight w:val="none"/>
          <w:shd w:val="clear" w:color="auto" w:fill="auto"/>
        </w:rPr>
        <w:fldChar w:fldCharType="separate"/>
      </w:r>
      <w:r>
        <w:rPr>
          <w:rFonts w:hint="eastAsia" w:ascii="宋体" w:hAnsi="宋体" w:eastAsia="宋体" w:cs="宋体"/>
          <w:color w:val="000000"/>
          <w:sz w:val="28"/>
          <w:szCs w:val="28"/>
          <w:highlight w:val="none"/>
          <w:shd w:val="clear" w:color="auto" w:fill="auto"/>
        </w:rPr>
        <w:t>32</w:t>
      </w:r>
      <w:r>
        <w:rPr>
          <w:rFonts w:hint="eastAsia" w:ascii="宋体" w:hAnsi="宋体" w:eastAsia="宋体" w:cs="宋体"/>
          <w:color w:val="000000"/>
          <w:sz w:val="28"/>
          <w:szCs w:val="28"/>
          <w:highlight w:val="none"/>
          <w:shd w:val="clear" w:color="auto" w:fill="auto"/>
        </w:rPr>
        <w:fldChar w:fldCharType="end"/>
      </w:r>
      <w:r>
        <w:rPr>
          <w:rFonts w:hint="eastAsia" w:ascii="宋体" w:hAnsi="宋体" w:eastAsia="宋体" w:cs="宋体"/>
          <w:color w:val="000000"/>
          <w:sz w:val="28"/>
          <w:szCs w:val="28"/>
          <w:highlight w:val="none"/>
          <w:shd w:val="clear" w:color="auto" w:fill="auto"/>
        </w:rPr>
        <w:fldChar w:fldCharType="end"/>
      </w:r>
    </w:p>
    <w:p w14:paraId="319A28EB">
      <w:pPr>
        <w:pStyle w:val="28"/>
        <w:tabs>
          <w:tab w:val="right" w:leader="dot" w:pos="9746"/>
        </w:tabs>
        <w:spacing w:line="720" w:lineRule="auto"/>
        <w:rPr>
          <w:rFonts w:hint="default" w:ascii="宋体" w:hAnsi="宋体" w:eastAsia="宋体" w:cs="宋体"/>
          <w:color w:val="000000"/>
          <w:sz w:val="28"/>
          <w:szCs w:val="28"/>
          <w:highlight w:val="none"/>
          <w:shd w:val="clear" w:color="auto" w:fill="auto"/>
          <w:lang w:val="en-US" w:eastAsia="zh-CN"/>
        </w:rPr>
      </w:pPr>
      <w:r>
        <w:rPr>
          <w:rFonts w:hint="eastAsia" w:ascii="宋体" w:hAnsi="宋体" w:eastAsia="宋体" w:cs="宋体"/>
          <w:color w:val="000000"/>
          <w:highlight w:val="none"/>
          <w:shd w:val="clear" w:color="auto" w:fill="auto"/>
        </w:rPr>
        <w:fldChar w:fldCharType="begin"/>
      </w:r>
      <w:r>
        <w:rPr>
          <w:rFonts w:hint="eastAsia" w:ascii="宋体" w:hAnsi="宋体" w:eastAsia="宋体" w:cs="宋体"/>
          <w:color w:val="000000"/>
          <w:highlight w:val="none"/>
          <w:shd w:val="clear" w:color="auto" w:fill="auto"/>
        </w:rPr>
        <w:instrText xml:space="preserve">HYPERLINK \l "_Toc22282"</w:instrText>
      </w:r>
      <w:r>
        <w:rPr>
          <w:rFonts w:hint="eastAsia" w:ascii="宋体" w:hAnsi="宋体" w:eastAsia="宋体" w:cs="宋体"/>
          <w:color w:val="000000"/>
          <w:highlight w:val="none"/>
          <w:shd w:val="clear" w:color="auto" w:fill="auto"/>
        </w:rPr>
        <w:fldChar w:fldCharType="separate"/>
      </w:r>
      <w:r>
        <w:rPr>
          <w:rFonts w:hint="eastAsia" w:ascii="宋体" w:hAnsi="宋体" w:eastAsia="宋体" w:cs="宋体"/>
          <w:color w:val="000000"/>
          <w:kern w:val="0"/>
          <w:sz w:val="28"/>
          <w:szCs w:val="28"/>
          <w:highlight w:val="none"/>
          <w:shd w:val="clear" w:color="auto" w:fill="auto"/>
        </w:rPr>
        <w:t xml:space="preserve">第六章  </w:t>
      </w:r>
      <w:r>
        <w:rPr>
          <w:rFonts w:hint="eastAsia" w:ascii="宋体" w:hAnsi="宋体" w:eastAsia="宋体" w:cs="宋体"/>
          <w:color w:val="000000"/>
          <w:highlight w:val="none"/>
          <w:shd w:val="clear" w:color="auto" w:fill="auto"/>
        </w:rPr>
        <w:fldChar w:fldCharType="end"/>
      </w:r>
      <w:r>
        <w:rPr>
          <w:rFonts w:hint="eastAsia" w:ascii="宋体" w:hAnsi="宋体" w:eastAsia="宋体" w:cs="宋体"/>
          <w:color w:val="000000"/>
          <w:kern w:val="0"/>
          <w:sz w:val="28"/>
          <w:szCs w:val="28"/>
          <w:highlight w:val="none"/>
          <w:shd w:val="clear" w:color="auto" w:fill="auto"/>
        </w:rPr>
        <w:t>响应文件格式</w:t>
      </w:r>
      <w:r>
        <w:rPr>
          <w:rFonts w:hint="eastAsia" w:ascii="宋体" w:hAnsi="宋体" w:eastAsia="宋体" w:cs="宋体"/>
          <w:color w:val="000000"/>
          <w:sz w:val="28"/>
          <w:szCs w:val="28"/>
          <w:highlight w:val="none"/>
          <w:shd w:val="clear" w:color="auto" w:fill="auto"/>
        </w:rPr>
        <w:tab/>
      </w:r>
      <w:r>
        <w:rPr>
          <w:rFonts w:hint="eastAsia" w:ascii="宋体" w:hAnsi="宋体" w:eastAsia="宋体" w:cs="宋体"/>
          <w:color w:val="000000"/>
          <w:sz w:val="28"/>
          <w:szCs w:val="28"/>
          <w:highlight w:val="none"/>
          <w:shd w:val="clear" w:color="auto" w:fill="auto"/>
          <w:lang w:val="en-US" w:eastAsia="zh-CN"/>
        </w:rPr>
        <w:t>61</w:t>
      </w:r>
    </w:p>
    <w:p w14:paraId="7C47A6EA">
      <w:pPr>
        <w:pStyle w:val="28"/>
        <w:tabs>
          <w:tab w:val="right" w:leader="dot" w:pos="9746"/>
        </w:tabs>
        <w:spacing w:line="720" w:lineRule="auto"/>
        <w:rPr>
          <w:rFonts w:hint="default" w:ascii="宋体" w:hAnsi="宋体" w:eastAsia="宋体" w:cs="宋体"/>
          <w:color w:val="000000"/>
          <w:highlight w:val="none"/>
          <w:shd w:val="clear" w:color="auto" w:fill="auto"/>
          <w:lang w:val="en-US"/>
        </w:rPr>
      </w:pPr>
      <w:r>
        <w:rPr>
          <w:rFonts w:hint="eastAsia" w:ascii="宋体" w:hAnsi="宋体" w:eastAsia="宋体" w:cs="宋体"/>
          <w:color w:val="000000"/>
          <w:highlight w:val="none"/>
          <w:shd w:val="clear" w:color="auto" w:fill="auto"/>
        </w:rPr>
        <w:fldChar w:fldCharType="begin"/>
      </w:r>
      <w:r>
        <w:rPr>
          <w:rFonts w:hint="eastAsia" w:ascii="宋体" w:hAnsi="宋体" w:eastAsia="宋体" w:cs="宋体"/>
          <w:color w:val="000000"/>
          <w:highlight w:val="none"/>
          <w:shd w:val="clear" w:color="auto" w:fill="auto"/>
        </w:rPr>
        <w:instrText xml:space="preserve">HYPERLINK \l "_Toc22282"</w:instrText>
      </w:r>
      <w:r>
        <w:rPr>
          <w:rFonts w:hint="eastAsia" w:ascii="宋体" w:hAnsi="宋体" w:eastAsia="宋体" w:cs="宋体"/>
          <w:color w:val="000000"/>
          <w:highlight w:val="none"/>
          <w:shd w:val="clear" w:color="auto" w:fill="auto"/>
        </w:rPr>
        <w:fldChar w:fldCharType="separate"/>
      </w:r>
      <w:r>
        <w:rPr>
          <w:rFonts w:hint="eastAsia" w:ascii="宋体" w:hAnsi="宋体" w:eastAsia="宋体" w:cs="宋体"/>
          <w:color w:val="000000"/>
          <w:kern w:val="0"/>
          <w:sz w:val="28"/>
          <w:szCs w:val="28"/>
          <w:highlight w:val="none"/>
          <w:shd w:val="clear" w:color="auto" w:fill="auto"/>
        </w:rPr>
        <w:t>第</w:t>
      </w:r>
      <w:r>
        <w:rPr>
          <w:rFonts w:hint="eastAsia" w:ascii="宋体" w:hAnsi="宋体" w:eastAsia="宋体" w:cs="宋体"/>
          <w:color w:val="000000"/>
          <w:kern w:val="0"/>
          <w:sz w:val="28"/>
          <w:szCs w:val="28"/>
          <w:highlight w:val="none"/>
          <w:shd w:val="clear" w:color="auto" w:fill="auto"/>
          <w:lang w:eastAsia="zh-CN"/>
        </w:rPr>
        <w:t>七</w:t>
      </w:r>
      <w:r>
        <w:rPr>
          <w:rFonts w:hint="eastAsia" w:ascii="宋体" w:hAnsi="宋体" w:eastAsia="宋体" w:cs="宋体"/>
          <w:color w:val="000000"/>
          <w:kern w:val="0"/>
          <w:sz w:val="28"/>
          <w:szCs w:val="28"/>
          <w:highlight w:val="none"/>
          <w:shd w:val="clear" w:color="auto" w:fill="auto"/>
        </w:rPr>
        <w:t xml:space="preserve">章  </w:t>
      </w:r>
      <w:r>
        <w:rPr>
          <w:rFonts w:hint="eastAsia" w:ascii="宋体" w:hAnsi="宋体" w:eastAsia="宋体" w:cs="宋体"/>
          <w:color w:val="000000"/>
          <w:highlight w:val="none"/>
          <w:shd w:val="clear" w:color="auto" w:fill="auto"/>
        </w:rPr>
        <w:fldChar w:fldCharType="end"/>
      </w:r>
      <w:r>
        <w:rPr>
          <w:rFonts w:hint="eastAsia" w:ascii="宋体" w:hAnsi="宋体" w:eastAsia="宋体" w:cs="宋体"/>
          <w:color w:val="000000"/>
          <w:kern w:val="0"/>
          <w:sz w:val="28"/>
          <w:szCs w:val="28"/>
          <w:highlight w:val="none"/>
          <w:shd w:val="clear" w:color="auto" w:fill="auto"/>
          <w:lang w:eastAsia="zh-CN"/>
        </w:rPr>
        <w:t>图纸</w:t>
      </w:r>
      <w:r>
        <w:rPr>
          <w:rFonts w:hint="eastAsia" w:ascii="宋体" w:hAnsi="宋体" w:eastAsia="宋体" w:cs="宋体"/>
          <w:color w:val="000000"/>
          <w:sz w:val="28"/>
          <w:szCs w:val="28"/>
          <w:highlight w:val="none"/>
          <w:shd w:val="clear" w:color="auto" w:fill="auto"/>
        </w:rPr>
        <w:tab/>
      </w:r>
      <w:r>
        <w:rPr>
          <w:rFonts w:hint="eastAsia" w:ascii="宋体" w:hAnsi="宋体" w:eastAsia="宋体" w:cs="宋体"/>
          <w:color w:val="000000"/>
          <w:sz w:val="28"/>
          <w:szCs w:val="28"/>
          <w:highlight w:val="none"/>
          <w:shd w:val="clear" w:color="auto" w:fill="auto"/>
          <w:lang w:val="en-US" w:eastAsia="zh-CN"/>
        </w:rPr>
        <w:t>85</w:t>
      </w:r>
    </w:p>
    <w:p w14:paraId="48F775FE">
      <w:pPr>
        <w:spacing w:line="720" w:lineRule="auto"/>
        <w:jc w:val="center"/>
        <w:rPr>
          <w:rFonts w:hint="eastAsia" w:ascii="宋体" w:hAnsi="宋体" w:eastAsia="宋体" w:cs="宋体"/>
          <w:b/>
          <w:bCs/>
          <w:color w:val="000000"/>
          <w:sz w:val="32"/>
          <w:szCs w:val="32"/>
          <w:highlight w:val="none"/>
          <w:shd w:val="clear" w:color="auto" w:fill="auto"/>
        </w:rPr>
      </w:pPr>
      <w:r>
        <w:rPr>
          <w:rFonts w:hint="eastAsia" w:ascii="宋体" w:hAnsi="宋体" w:eastAsia="宋体" w:cs="宋体"/>
          <w:bCs/>
          <w:color w:val="000000"/>
          <w:szCs w:val="32"/>
          <w:highlight w:val="none"/>
          <w:shd w:val="clear" w:color="auto" w:fill="auto"/>
        </w:rPr>
        <w:fldChar w:fldCharType="end"/>
      </w:r>
    </w:p>
    <w:p w14:paraId="3CA74B81">
      <w:pPr>
        <w:spacing w:line="460" w:lineRule="exact"/>
        <w:jc w:val="center"/>
        <w:rPr>
          <w:rFonts w:hint="eastAsia" w:ascii="宋体" w:hAnsi="宋体" w:eastAsia="宋体" w:cs="宋体"/>
          <w:b/>
          <w:bCs/>
          <w:color w:val="000000"/>
          <w:sz w:val="32"/>
          <w:szCs w:val="32"/>
          <w:highlight w:val="none"/>
          <w:shd w:val="clear" w:color="auto" w:fill="auto"/>
        </w:rPr>
        <w:sectPr>
          <w:pgSz w:w="11906" w:h="16838"/>
          <w:pgMar w:top="1440" w:right="1080" w:bottom="1440" w:left="1080" w:header="851" w:footer="992" w:gutter="0"/>
          <w:pgBorders>
            <w:top w:val="none" w:sz="0" w:space="0"/>
            <w:left w:val="none" w:sz="0" w:space="0"/>
            <w:bottom w:val="none" w:sz="0" w:space="0"/>
            <w:right w:val="none" w:sz="0" w:space="0"/>
          </w:pgBorders>
          <w:pgNumType w:start="1"/>
          <w:cols w:space="720" w:num="1"/>
          <w:docGrid w:type="linesAndChars" w:linePitch="312" w:charSpace="0"/>
        </w:sectPr>
      </w:pPr>
    </w:p>
    <w:p w14:paraId="66586C9F">
      <w:pPr>
        <w:spacing w:line="360" w:lineRule="auto"/>
        <w:jc w:val="center"/>
        <w:outlineLvl w:val="0"/>
        <w:rPr>
          <w:rFonts w:hint="eastAsia" w:ascii="宋体" w:hAnsi="宋体" w:eastAsia="宋体" w:cs="宋体"/>
          <w:b/>
          <w:bCs/>
          <w:color w:val="000000"/>
          <w:sz w:val="32"/>
          <w:szCs w:val="32"/>
          <w:highlight w:val="none"/>
          <w:shd w:val="clear" w:color="auto" w:fill="auto"/>
        </w:rPr>
      </w:pPr>
      <w:bookmarkStart w:id="4" w:name="_Toc29698"/>
      <w:bookmarkStart w:id="5" w:name="_Toc30170"/>
      <w:bookmarkStart w:id="6" w:name="_Toc28359011"/>
      <w:bookmarkStart w:id="7" w:name="_Toc26809"/>
      <w:bookmarkStart w:id="8" w:name="_Toc1521"/>
      <w:bookmarkStart w:id="9" w:name="_Toc32295"/>
      <w:bookmarkStart w:id="10" w:name="_Toc35393797"/>
      <w:r>
        <w:rPr>
          <w:rFonts w:hint="eastAsia" w:ascii="宋体" w:hAnsi="宋体" w:eastAsia="宋体" w:cs="宋体"/>
          <w:b/>
          <w:bCs/>
          <w:color w:val="000000"/>
          <w:sz w:val="32"/>
          <w:szCs w:val="32"/>
          <w:highlight w:val="none"/>
          <w:shd w:val="clear" w:color="auto" w:fill="auto"/>
        </w:rPr>
        <w:t>第一章  竞争性磋商公告</w:t>
      </w:r>
      <w:bookmarkEnd w:id="4"/>
      <w:bookmarkEnd w:id="5"/>
      <w:bookmarkEnd w:id="6"/>
      <w:bookmarkEnd w:id="7"/>
      <w:bookmarkEnd w:id="8"/>
      <w:bookmarkEnd w:id="9"/>
      <w:bookmarkEnd w:id="10"/>
    </w:p>
    <w:tbl>
      <w:tblPr>
        <w:tblStyle w:val="36"/>
        <w:tblpPr w:leftFromText="180" w:rightFromText="180" w:vertAnchor="text" w:tblpX="70" w:tblpY="1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0"/>
      </w:tblGrid>
      <w:tr w14:paraId="41DAE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20" w:type="dxa"/>
            <w:noWrap w:val="0"/>
            <w:vAlign w:val="top"/>
          </w:tcPr>
          <w:p w14:paraId="178B48FD">
            <w:pPr>
              <w:keepNext w:val="0"/>
              <w:keepLines w:val="0"/>
              <w:pageBreakBefore w:val="0"/>
              <w:kinsoku/>
              <w:wordWrap/>
              <w:overflowPunct/>
              <w:topLinePunct w:val="0"/>
              <w:bidi w:val="0"/>
              <w:spacing w:line="360" w:lineRule="auto"/>
              <w:ind w:firstLine="422" w:firstLineChars="200"/>
              <w:rPr>
                <w:rFonts w:hint="eastAsia" w:ascii="宋体" w:hAnsi="宋体" w:eastAsia="宋体" w:cs="宋体"/>
                <w:b/>
                <w:bCs/>
                <w:color w:val="000000"/>
                <w:sz w:val="21"/>
                <w:szCs w:val="21"/>
                <w:highlight w:val="none"/>
                <w:shd w:val="clear" w:color="auto" w:fill="auto"/>
              </w:rPr>
            </w:pPr>
            <w:r>
              <w:rPr>
                <w:rFonts w:hint="eastAsia" w:ascii="宋体" w:hAnsi="宋体" w:eastAsia="宋体" w:cs="宋体"/>
                <w:b/>
                <w:bCs/>
                <w:color w:val="000000"/>
                <w:sz w:val="21"/>
                <w:szCs w:val="21"/>
                <w:highlight w:val="none"/>
                <w:shd w:val="clear" w:color="auto" w:fill="auto"/>
              </w:rPr>
              <w:t>项目概况</w:t>
            </w:r>
          </w:p>
          <w:p w14:paraId="7A738894">
            <w:pPr>
              <w:keepNext w:val="0"/>
              <w:keepLines w:val="0"/>
              <w:pageBreakBefore w:val="0"/>
              <w:kinsoku/>
              <w:wordWrap/>
              <w:overflowPunct/>
              <w:topLinePunct w:val="0"/>
              <w:bidi w:val="0"/>
              <w:spacing w:line="360" w:lineRule="auto"/>
              <w:ind w:left="420" w:leftChars="200" w:firstLine="0" w:firstLineChars="0"/>
              <w:rPr>
                <w:rFonts w:hint="eastAsia" w:ascii="宋体" w:hAnsi="宋体" w:eastAsia="宋体" w:cs="宋体"/>
                <w:color w:val="000000"/>
                <w:sz w:val="21"/>
                <w:szCs w:val="21"/>
                <w:highlight w:val="none"/>
                <w:shd w:val="clear" w:color="auto" w:fill="auto"/>
              </w:rPr>
            </w:pPr>
            <w:r>
              <w:rPr>
                <w:rFonts w:hint="eastAsia" w:ascii="宋体" w:hAnsi="宋体" w:cs="宋体"/>
                <w:color w:val="000000"/>
                <w:sz w:val="21"/>
                <w:szCs w:val="21"/>
                <w:highlight w:val="none"/>
                <w:u w:val="single"/>
                <w:lang w:eastAsia="zh-CN"/>
              </w:rPr>
              <w:t>汇通小学预制板房维修改造工程项目</w:t>
            </w:r>
            <w:r>
              <w:rPr>
                <w:rFonts w:hint="eastAsia" w:ascii="宋体" w:hAnsi="宋体" w:eastAsia="宋体" w:cs="宋体"/>
                <w:color w:val="000000"/>
                <w:sz w:val="21"/>
                <w:szCs w:val="21"/>
                <w:highlight w:val="none"/>
                <w:shd w:val="clear" w:color="auto" w:fill="auto"/>
              </w:rPr>
              <w:t>的潜在供应商应</w:t>
            </w:r>
            <w:r>
              <w:rPr>
                <w:rFonts w:hint="eastAsia" w:ascii="宋体" w:hAnsi="宋体" w:eastAsia="宋体" w:cs="宋体"/>
                <w:color w:val="000000"/>
                <w:sz w:val="21"/>
                <w:szCs w:val="21"/>
                <w:highlight w:val="none"/>
                <w:shd w:val="clear" w:color="auto" w:fill="auto"/>
                <w:lang w:val="en-US" w:eastAsia="zh-CN"/>
              </w:rPr>
              <w:t>在</w:t>
            </w:r>
            <w:r>
              <w:rPr>
                <w:rFonts w:hint="eastAsia" w:ascii="宋体" w:hAnsi="宋体" w:eastAsia="宋体" w:cs="宋体"/>
                <w:color w:val="000000"/>
                <w:sz w:val="21"/>
                <w:szCs w:val="21"/>
                <w:highlight w:val="none"/>
                <w:shd w:val="clear" w:color="auto" w:fill="auto"/>
                <w:lang w:eastAsia="zh-CN"/>
              </w:rPr>
              <w:t>广西政府采购云平台</w:t>
            </w:r>
            <w:r>
              <w:rPr>
                <w:rFonts w:hint="eastAsia" w:ascii="宋体" w:hAnsi="宋体" w:eastAsia="宋体" w:cs="宋体"/>
                <w:color w:val="000000"/>
                <w:sz w:val="21"/>
                <w:szCs w:val="21"/>
                <w:highlight w:val="none"/>
                <w:shd w:val="clear" w:color="auto" w:fill="auto"/>
              </w:rPr>
              <w:t>获取采购文件，</w:t>
            </w:r>
            <w:r>
              <w:rPr>
                <w:rFonts w:hint="eastAsia" w:ascii="宋体" w:hAnsi="宋体" w:eastAsia="宋体" w:cs="宋体"/>
                <w:color w:val="000000"/>
                <w:sz w:val="21"/>
                <w:szCs w:val="21"/>
                <w:highlight w:val="none"/>
                <w:shd w:val="clear" w:color="auto" w:fill="auto"/>
                <w:lang w:val="en-US" w:eastAsia="zh-CN"/>
              </w:rPr>
              <w:t>并于2025年07月</w:t>
            </w:r>
            <w:r>
              <w:rPr>
                <w:rFonts w:hint="eastAsia" w:ascii="宋体" w:hAnsi="宋体" w:cs="宋体"/>
                <w:bCs/>
                <w:color w:val="000000"/>
                <w:sz w:val="21"/>
                <w:szCs w:val="21"/>
                <w:highlight w:val="none"/>
                <w:shd w:val="clear" w:color="auto" w:fill="auto"/>
                <w:lang w:val="en-US" w:eastAsia="zh-CN"/>
              </w:rPr>
              <w:t>25</w:t>
            </w:r>
            <w:r>
              <w:rPr>
                <w:rFonts w:hint="eastAsia" w:ascii="宋体" w:hAnsi="宋体" w:eastAsia="宋体" w:cs="宋体"/>
                <w:bCs/>
                <w:color w:val="000000"/>
                <w:sz w:val="21"/>
                <w:szCs w:val="21"/>
                <w:highlight w:val="none"/>
                <w:shd w:val="clear" w:color="auto" w:fill="auto"/>
                <w:lang w:val="en-US" w:eastAsia="zh-CN"/>
              </w:rPr>
              <w:t xml:space="preserve"> </w:t>
            </w:r>
            <w:r>
              <w:rPr>
                <w:rFonts w:hint="eastAsia" w:ascii="宋体" w:hAnsi="宋体" w:eastAsia="宋体" w:cs="宋体"/>
                <w:color w:val="000000"/>
                <w:sz w:val="21"/>
                <w:szCs w:val="21"/>
                <w:highlight w:val="none"/>
                <w:shd w:val="clear" w:color="auto" w:fill="auto"/>
                <w:lang w:val="en-US" w:eastAsia="zh-CN"/>
              </w:rPr>
              <w:t>日09</w:t>
            </w:r>
            <w:r>
              <w:rPr>
                <w:rFonts w:hint="eastAsia" w:ascii="宋体" w:hAnsi="宋体" w:eastAsia="宋体" w:cs="宋体"/>
                <w:color w:val="000000"/>
                <w:sz w:val="21"/>
                <w:szCs w:val="21"/>
                <w:highlight w:val="none"/>
                <w:shd w:val="clear" w:color="auto" w:fill="auto"/>
              </w:rPr>
              <w:t>时30分（北京时间）前递交投标文件。</w:t>
            </w:r>
          </w:p>
        </w:tc>
      </w:tr>
    </w:tbl>
    <w:p w14:paraId="2119CC40">
      <w:pPr>
        <w:keepNext w:val="0"/>
        <w:keepLines w:val="0"/>
        <w:pageBreakBefore w:val="0"/>
        <w:kinsoku/>
        <w:wordWrap/>
        <w:overflowPunct/>
        <w:topLinePunct w:val="0"/>
        <w:bidi w:val="0"/>
        <w:spacing w:line="360" w:lineRule="auto"/>
        <w:ind w:left="0" w:right="0"/>
        <w:jc w:val="both"/>
        <w:outlineLvl w:val="1"/>
        <w:rPr>
          <w:rFonts w:hint="eastAsia" w:ascii="宋体" w:hAnsi="宋体" w:eastAsia="宋体" w:cs="宋体"/>
          <w:color w:val="000000"/>
          <w:sz w:val="21"/>
          <w:szCs w:val="21"/>
          <w:highlight w:val="none"/>
          <w:shd w:val="clear" w:color="auto" w:fill="auto"/>
        </w:rPr>
      </w:pPr>
      <w:bookmarkStart w:id="11" w:name="_Toc28359012"/>
      <w:bookmarkStart w:id="12" w:name="_Toc35393798"/>
      <w:bookmarkStart w:id="13" w:name="_Toc18337"/>
      <w:bookmarkStart w:id="14" w:name="_Toc28359089"/>
      <w:bookmarkStart w:id="15" w:name="_Toc35393629"/>
      <w:bookmarkStart w:id="16" w:name="_Toc16171"/>
      <w:r>
        <w:rPr>
          <w:rFonts w:hint="eastAsia" w:ascii="宋体" w:hAnsi="宋体" w:eastAsia="宋体" w:cs="宋体"/>
          <w:b/>
          <w:bCs/>
          <w:color w:val="000000"/>
          <w:sz w:val="21"/>
          <w:szCs w:val="21"/>
          <w:highlight w:val="none"/>
          <w:shd w:val="clear" w:color="auto" w:fill="auto"/>
        </w:rPr>
        <w:t>一、项目基本情况</w:t>
      </w:r>
      <w:bookmarkEnd w:id="11"/>
      <w:bookmarkEnd w:id="12"/>
      <w:bookmarkEnd w:id="13"/>
      <w:bookmarkEnd w:id="14"/>
      <w:bookmarkEnd w:id="15"/>
      <w:bookmarkEnd w:id="16"/>
    </w:p>
    <w:p w14:paraId="65857F4B">
      <w:pPr>
        <w:keepNext w:val="0"/>
        <w:keepLines w:val="0"/>
        <w:pageBreakBefore w:val="0"/>
        <w:kinsoku/>
        <w:wordWrap/>
        <w:overflowPunct/>
        <w:topLinePunct w:val="0"/>
        <w:bidi w:val="0"/>
        <w:spacing w:line="360" w:lineRule="auto"/>
        <w:ind w:left="0" w:right="0" w:firstLine="420" w:firstLineChars="200"/>
        <w:jc w:val="both"/>
        <w:rPr>
          <w:rFonts w:hint="eastAsia" w:ascii="宋体" w:hAnsi="宋体" w:eastAsia="宋体" w:cs="宋体"/>
          <w:color w:val="000000"/>
          <w:sz w:val="21"/>
          <w:szCs w:val="21"/>
          <w:highlight w:val="none"/>
          <w:shd w:val="clear" w:color="auto" w:fill="auto"/>
          <w:lang w:val="en-US" w:eastAsia="zh-CN"/>
        </w:rPr>
      </w:pPr>
      <w:r>
        <w:rPr>
          <w:rFonts w:hint="eastAsia" w:ascii="宋体" w:hAnsi="宋体" w:eastAsia="宋体" w:cs="宋体"/>
          <w:color w:val="000000"/>
          <w:sz w:val="21"/>
          <w:szCs w:val="21"/>
          <w:highlight w:val="none"/>
          <w:shd w:val="clear" w:color="auto" w:fill="auto"/>
        </w:rPr>
        <w:t>1、项目编号：GLZC2025-C2-990305-GXDC</w:t>
      </w:r>
      <w:r>
        <w:rPr>
          <w:rFonts w:hint="eastAsia" w:ascii="宋体" w:hAnsi="宋体" w:eastAsia="宋体" w:cs="宋体"/>
          <w:color w:val="000000"/>
          <w:sz w:val="21"/>
          <w:szCs w:val="21"/>
          <w:highlight w:val="none"/>
          <w:shd w:val="clear" w:color="auto" w:fill="auto"/>
          <w:lang w:val="en-US" w:eastAsia="zh-CN"/>
        </w:rPr>
        <w:t xml:space="preserve"> </w:t>
      </w:r>
    </w:p>
    <w:p w14:paraId="1B80A162">
      <w:pPr>
        <w:keepNext w:val="0"/>
        <w:keepLines w:val="0"/>
        <w:pageBreakBefore w:val="0"/>
        <w:kinsoku/>
        <w:wordWrap/>
        <w:overflowPunct/>
        <w:topLinePunct w:val="0"/>
        <w:bidi w:val="0"/>
        <w:spacing w:line="360" w:lineRule="auto"/>
        <w:ind w:left="0" w:right="0" w:firstLine="420" w:firstLineChars="200"/>
        <w:jc w:val="both"/>
        <w:rPr>
          <w:rFonts w:hint="eastAsia" w:ascii="宋体" w:hAnsi="宋体" w:eastAsia="宋体" w:cs="宋体"/>
          <w:color w:val="000000"/>
          <w:sz w:val="21"/>
          <w:szCs w:val="21"/>
          <w:highlight w:val="none"/>
          <w:shd w:val="clear" w:color="auto" w:fill="auto"/>
          <w:lang w:eastAsia="zh-CN"/>
        </w:rPr>
      </w:pPr>
      <w:r>
        <w:rPr>
          <w:rFonts w:hint="eastAsia" w:ascii="宋体" w:hAnsi="宋体" w:eastAsia="宋体" w:cs="宋体"/>
          <w:color w:val="000000"/>
          <w:sz w:val="21"/>
          <w:szCs w:val="21"/>
          <w:highlight w:val="none"/>
          <w:shd w:val="clear" w:color="auto" w:fill="auto"/>
        </w:rPr>
        <w:t>2、项目名称：</w:t>
      </w:r>
      <w:r>
        <w:rPr>
          <w:rFonts w:hint="eastAsia" w:ascii="宋体" w:hAnsi="宋体" w:cs="宋体"/>
          <w:color w:val="000000"/>
          <w:sz w:val="21"/>
          <w:szCs w:val="21"/>
          <w:highlight w:val="none"/>
          <w:lang w:eastAsia="zh-CN"/>
        </w:rPr>
        <w:t>汇通小学预制板房维修改造工程项目</w:t>
      </w:r>
    </w:p>
    <w:p w14:paraId="50464597">
      <w:pPr>
        <w:keepNext w:val="0"/>
        <w:keepLines w:val="0"/>
        <w:pageBreakBefore w:val="0"/>
        <w:kinsoku/>
        <w:wordWrap/>
        <w:overflowPunct/>
        <w:topLinePunct w:val="0"/>
        <w:bidi w:val="0"/>
        <w:spacing w:line="360" w:lineRule="auto"/>
        <w:ind w:left="0" w:right="0" w:firstLine="420" w:firstLineChars="200"/>
        <w:jc w:val="both"/>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3、采购方式：竞争性磋商</w:t>
      </w:r>
    </w:p>
    <w:p w14:paraId="2DB773A3">
      <w:pPr>
        <w:keepNext w:val="0"/>
        <w:keepLines w:val="0"/>
        <w:pageBreakBefore w:val="0"/>
        <w:kinsoku/>
        <w:wordWrap/>
        <w:overflowPunct/>
        <w:topLinePunct w:val="0"/>
        <w:bidi w:val="0"/>
        <w:spacing w:line="360" w:lineRule="auto"/>
        <w:ind w:left="0" w:right="0" w:firstLine="420" w:firstLineChars="200"/>
        <w:jc w:val="both"/>
        <w:outlineLvl w:val="2"/>
        <w:rPr>
          <w:rFonts w:hint="eastAsia" w:ascii="宋体" w:hAnsi="宋体" w:eastAsia="宋体" w:cs="宋体"/>
          <w:color w:val="000000"/>
          <w:kern w:val="0"/>
          <w:sz w:val="21"/>
          <w:szCs w:val="21"/>
          <w:highlight w:val="none"/>
          <w:u w:val="none"/>
          <w:shd w:val="clear" w:color="auto" w:fill="auto"/>
          <w:lang w:val="en-US" w:eastAsia="zh-CN"/>
        </w:rPr>
      </w:pPr>
      <w:bookmarkStart w:id="17" w:name="_Toc15911"/>
      <w:bookmarkStart w:id="18" w:name="_Toc22142"/>
      <w:bookmarkStart w:id="19" w:name="_Toc4879"/>
      <w:bookmarkStart w:id="20" w:name="_Toc26032"/>
      <w:bookmarkStart w:id="21" w:name="_Toc2148"/>
      <w:r>
        <w:rPr>
          <w:rFonts w:hint="eastAsia" w:ascii="宋体" w:hAnsi="宋体" w:eastAsia="宋体" w:cs="宋体"/>
          <w:color w:val="000000"/>
          <w:sz w:val="21"/>
          <w:szCs w:val="21"/>
          <w:highlight w:val="none"/>
          <w:shd w:val="clear" w:color="auto" w:fill="auto"/>
        </w:rPr>
        <w:t>4、预算金额（人民币）</w:t>
      </w:r>
      <w:r>
        <w:rPr>
          <w:rFonts w:hint="eastAsia" w:ascii="宋体" w:hAnsi="宋体" w:eastAsia="宋体" w:cs="宋体"/>
          <w:color w:val="000000"/>
          <w:kern w:val="0"/>
          <w:sz w:val="21"/>
          <w:szCs w:val="21"/>
          <w:highlight w:val="none"/>
          <w:u w:val="none"/>
          <w:shd w:val="clear" w:color="auto" w:fill="auto"/>
          <w:lang w:val="en-US" w:eastAsia="zh-CN"/>
        </w:rPr>
        <w:t>：</w:t>
      </w:r>
      <w:bookmarkEnd w:id="17"/>
      <w:bookmarkEnd w:id="18"/>
      <w:bookmarkEnd w:id="19"/>
      <w:bookmarkEnd w:id="20"/>
      <w:bookmarkEnd w:id="21"/>
      <w:r>
        <w:rPr>
          <w:rFonts w:hint="eastAsia" w:ascii="宋体" w:hAnsi="宋体" w:eastAsia="宋体" w:cs="宋体"/>
          <w:color w:val="000000"/>
          <w:kern w:val="0"/>
          <w:sz w:val="21"/>
          <w:szCs w:val="21"/>
          <w:highlight w:val="none"/>
          <w:u w:val="none"/>
          <w:shd w:val="clear" w:color="auto" w:fill="auto"/>
          <w:lang w:val="en-US" w:eastAsia="zh-CN"/>
        </w:rPr>
        <w:t>949264.68元</w:t>
      </w:r>
    </w:p>
    <w:p w14:paraId="6FC930B1">
      <w:pPr>
        <w:keepNext w:val="0"/>
        <w:keepLines w:val="0"/>
        <w:pageBreakBefore w:val="0"/>
        <w:kinsoku/>
        <w:wordWrap/>
        <w:overflowPunct/>
        <w:topLinePunct w:val="0"/>
        <w:bidi w:val="0"/>
        <w:spacing w:line="360" w:lineRule="auto"/>
        <w:ind w:left="0" w:right="0" w:firstLine="420" w:firstLineChars="200"/>
        <w:jc w:val="both"/>
        <w:outlineLvl w:val="2"/>
        <w:rPr>
          <w:rFonts w:hint="eastAsia" w:ascii="宋体" w:hAnsi="宋体" w:eastAsia="宋体" w:cs="宋体"/>
          <w:color w:val="000000"/>
          <w:sz w:val="21"/>
          <w:szCs w:val="21"/>
          <w:highlight w:val="none"/>
          <w:shd w:val="clear" w:color="auto" w:fill="auto"/>
        </w:rPr>
      </w:pPr>
      <w:bookmarkStart w:id="22" w:name="_Toc4369"/>
      <w:bookmarkStart w:id="23" w:name="_Toc5166"/>
      <w:bookmarkStart w:id="24" w:name="_Toc27692"/>
      <w:bookmarkStart w:id="25" w:name="_Toc16880"/>
      <w:bookmarkStart w:id="26" w:name="_Toc15341"/>
      <w:r>
        <w:rPr>
          <w:rFonts w:hint="eastAsia" w:ascii="宋体" w:hAnsi="宋体" w:eastAsia="宋体" w:cs="宋体"/>
          <w:color w:val="000000"/>
          <w:sz w:val="21"/>
          <w:szCs w:val="21"/>
          <w:highlight w:val="none"/>
          <w:shd w:val="clear" w:color="auto" w:fill="auto"/>
          <w:lang w:val="en-US" w:eastAsia="zh-CN"/>
        </w:rPr>
        <w:t>5</w:t>
      </w:r>
      <w:r>
        <w:rPr>
          <w:rFonts w:hint="eastAsia" w:ascii="宋体" w:hAnsi="宋体" w:eastAsia="宋体" w:cs="宋体"/>
          <w:color w:val="000000"/>
          <w:sz w:val="21"/>
          <w:szCs w:val="21"/>
          <w:highlight w:val="none"/>
          <w:shd w:val="clear" w:color="auto" w:fill="auto"/>
        </w:rPr>
        <w:t>、采购需求：</w:t>
      </w:r>
      <w:bookmarkEnd w:id="22"/>
      <w:bookmarkEnd w:id="23"/>
      <w:bookmarkEnd w:id="24"/>
      <w:r>
        <w:rPr>
          <w:rFonts w:hint="eastAsia" w:ascii="宋体" w:hAnsi="宋体" w:eastAsia="宋体" w:cs="宋体"/>
          <w:color w:val="000000"/>
          <w:sz w:val="21"/>
          <w:szCs w:val="21"/>
          <w:highlight w:val="none"/>
          <w:shd w:val="clear" w:color="auto" w:fill="auto"/>
        </w:rPr>
        <w:t>汇通小学预制板房维修改造工程项目，具体详见竞争性磋商文件、图纸和工程量清单。</w:t>
      </w:r>
    </w:p>
    <w:bookmarkEnd w:id="25"/>
    <w:bookmarkEnd w:id="26"/>
    <w:p w14:paraId="558413C5">
      <w:pPr>
        <w:keepNext w:val="0"/>
        <w:keepLines w:val="0"/>
        <w:pageBreakBefore w:val="0"/>
        <w:kinsoku/>
        <w:wordWrap/>
        <w:overflowPunct/>
        <w:topLinePunct w:val="0"/>
        <w:bidi w:val="0"/>
        <w:spacing w:line="360" w:lineRule="auto"/>
        <w:ind w:right="0" w:firstLine="420" w:firstLineChars="200"/>
        <w:jc w:val="left"/>
        <w:rPr>
          <w:rFonts w:hint="eastAsia" w:ascii="宋体" w:hAnsi="宋体" w:eastAsia="宋体" w:cs="宋体"/>
          <w:color w:val="000000"/>
          <w:sz w:val="21"/>
          <w:szCs w:val="21"/>
          <w:highlight w:val="none"/>
          <w:shd w:val="clear" w:color="auto" w:fill="auto"/>
          <w:lang w:val="en-US" w:eastAsia="zh-CN"/>
        </w:rPr>
      </w:pPr>
      <w:bookmarkStart w:id="27" w:name="_Toc5842"/>
      <w:bookmarkStart w:id="28" w:name="_Toc18138"/>
      <w:r>
        <w:rPr>
          <w:rFonts w:hint="eastAsia" w:ascii="宋体" w:hAnsi="宋体" w:eastAsia="宋体" w:cs="宋体"/>
          <w:color w:val="000000"/>
          <w:sz w:val="21"/>
          <w:szCs w:val="21"/>
          <w:highlight w:val="none"/>
          <w:shd w:val="clear" w:color="auto" w:fill="auto"/>
          <w:lang w:val="en-US" w:eastAsia="zh-CN"/>
        </w:rPr>
        <w:t>标项名称:</w:t>
      </w:r>
      <w:r>
        <w:rPr>
          <w:rFonts w:hint="eastAsia" w:ascii="宋体" w:hAnsi="宋体" w:cs="宋体"/>
          <w:color w:val="000000"/>
          <w:sz w:val="21"/>
          <w:szCs w:val="21"/>
          <w:highlight w:val="none"/>
          <w:shd w:val="clear" w:color="auto" w:fill="auto"/>
          <w:lang w:val="en-US" w:eastAsia="zh-CN"/>
        </w:rPr>
        <w:t>汇通小学预制板房维修改造工程项目</w:t>
      </w:r>
    </w:p>
    <w:p w14:paraId="118E0C85">
      <w:pPr>
        <w:keepNext w:val="0"/>
        <w:keepLines w:val="0"/>
        <w:pageBreakBefore w:val="0"/>
        <w:kinsoku/>
        <w:wordWrap/>
        <w:overflowPunct/>
        <w:topLinePunct w:val="0"/>
        <w:bidi w:val="0"/>
        <w:spacing w:line="360" w:lineRule="auto"/>
        <w:ind w:right="0" w:firstLine="420" w:firstLineChars="200"/>
        <w:jc w:val="left"/>
        <w:rPr>
          <w:rFonts w:hint="eastAsia" w:ascii="宋体" w:hAnsi="宋体" w:eastAsia="宋体" w:cs="宋体"/>
          <w:color w:val="000000"/>
          <w:sz w:val="21"/>
          <w:szCs w:val="21"/>
          <w:highlight w:val="none"/>
          <w:shd w:val="clear" w:color="auto" w:fill="auto"/>
          <w:lang w:val="en-US" w:eastAsia="zh-CN"/>
        </w:rPr>
      </w:pPr>
      <w:r>
        <w:rPr>
          <w:rFonts w:hint="eastAsia" w:ascii="宋体" w:hAnsi="宋体" w:eastAsia="宋体" w:cs="宋体"/>
          <w:color w:val="000000"/>
          <w:sz w:val="21"/>
          <w:szCs w:val="21"/>
          <w:highlight w:val="none"/>
          <w:shd w:val="clear" w:color="auto" w:fill="auto"/>
          <w:lang w:val="en-US" w:eastAsia="zh-CN"/>
        </w:rPr>
        <w:t>数量:1</w:t>
      </w:r>
    </w:p>
    <w:p w14:paraId="358036CB">
      <w:pPr>
        <w:keepNext w:val="0"/>
        <w:keepLines w:val="0"/>
        <w:pageBreakBefore w:val="0"/>
        <w:kinsoku/>
        <w:wordWrap/>
        <w:overflowPunct/>
        <w:topLinePunct w:val="0"/>
        <w:bidi w:val="0"/>
        <w:spacing w:line="360" w:lineRule="auto"/>
        <w:ind w:right="0" w:firstLine="420" w:firstLineChars="200"/>
        <w:jc w:val="left"/>
        <w:rPr>
          <w:rFonts w:hint="default" w:ascii="宋体" w:hAnsi="宋体" w:eastAsia="宋体" w:cs="宋体"/>
          <w:color w:val="000000"/>
          <w:kern w:val="0"/>
          <w:sz w:val="21"/>
          <w:szCs w:val="21"/>
          <w:highlight w:val="none"/>
          <w:u w:val="none"/>
          <w:shd w:val="clear" w:color="auto" w:fill="auto"/>
          <w:lang w:val="en-US" w:eastAsia="zh-CN"/>
        </w:rPr>
      </w:pPr>
      <w:r>
        <w:rPr>
          <w:rFonts w:hint="eastAsia" w:ascii="宋体" w:hAnsi="宋体" w:eastAsia="宋体" w:cs="宋体"/>
          <w:color w:val="000000"/>
          <w:sz w:val="21"/>
          <w:szCs w:val="21"/>
          <w:highlight w:val="none"/>
          <w:shd w:val="clear" w:color="auto" w:fill="auto"/>
          <w:lang w:val="en-US" w:eastAsia="zh-CN"/>
        </w:rPr>
        <w:t>预算金额（元）:</w:t>
      </w:r>
      <w:r>
        <w:rPr>
          <w:rFonts w:hint="eastAsia" w:ascii="宋体" w:hAnsi="宋体" w:eastAsia="宋体" w:cs="宋体"/>
          <w:color w:val="000000"/>
          <w:kern w:val="0"/>
          <w:sz w:val="21"/>
          <w:szCs w:val="21"/>
          <w:highlight w:val="none"/>
          <w:u w:val="none"/>
          <w:shd w:val="clear" w:color="auto" w:fill="auto"/>
          <w:lang w:val="en-US" w:eastAsia="zh-CN"/>
        </w:rPr>
        <w:t>949264.68</w:t>
      </w:r>
      <w:r>
        <w:rPr>
          <w:rFonts w:hint="eastAsia" w:ascii="宋体" w:hAnsi="宋体" w:cs="宋体"/>
          <w:color w:val="000000"/>
          <w:kern w:val="0"/>
          <w:sz w:val="21"/>
          <w:szCs w:val="21"/>
          <w:highlight w:val="none"/>
          <w:u w:val="none"/>
          <w:shd w:val="clear" w:color="auto" w:fill="auto"/>
          <w:lang w:val="en-US" w:eastAsia="zh-CN"/>
        </w:rPr>
        <w:t>元。</w:t>
      </w:r>
    </w:p>
    <w:p w14:paraId="5155B490">
      <w:pPr>
        <w:keepNext w:val="0"/>
        <w:keepLines w:val="0"/>
        <w:pageBreakBefore w:val="0"/>
        <w:kinsoku/>
        <w:wordWrap/>
        <w:overflowPunct/>
        <w:topLinePunct w:val="0"/>
        <w:bidi w:val="0"/>
        <w:spacing w:line="360" w:lineRule="auto"/>
        <w:ind w:right="0" w:firstLine="420" w:firstLineChars="200"/>
        <w:jc w:val="left"/>
        <w:rPr>
          <w:rFonts w:hint="eastAsia" w:ascii="宋体" w:hAnsi="宋体" w:eastAsia="宋体" w:cs="宋体"/>
          <w:color w:val="000000"/>
          <w:sz w:val="21"/>
          <w:szCs w:val="21"/>
          <w:highlight w:val="none"/>
          <w:shd w:val="clear" w:color="auto" w:fill="auto"/>
          <w:lang w:val="en-US" w:eastAsia="zh-CN"/>
        </w:rPr>
      </w:pPr>
      <w:r>
        <w:rPr>
          <w:rFonts w:hint="eastAsia" w:ascii="宋体" w:hAnsi="宋体" w:eastAsia="宋体" w:cs="宋体"/>
          <w:color w:val="000000"/>
          <w:sz w:val="21"/>
          <w:szCs w:val="21"/>
          <w:highlight w:val="none"/>
          <w:shd w:val="clear" w:color="auto" w:fill="auto"/>
          <w:lang w:val="en-US" w:eastAsia="zh-CN"/>
        </w:rPr>
        <w:t>简要规格描述或项目基本概况介绍、用途：</w:t>
      </w:r>
      <w:r>
        <w:rPr>
          <w:rFonts w:hint="eastAsia" w:ascii="宋体" w:hAnsi="宋体" w:cs="宋体"/>
          <w:color w:val="000000"/>
          <w:sz w:val="21"/>
          <w:szCs w:val="21"/>
          <w:highlight w:val="none"/>
          <w:shd w:val="clear" w:color="auto" w:fill="auto"/>
          <w:lang w:val="en-US" w:eastAsia="zh-CN"/>
        </w:rPr>
        <w:t>汇通小学预制板房维修改造工程项目，</w:t>
      </w:r>
      <w:r>
        <w:rPr>
          <w:rFonts w:hint="eastAsia" w:ascii="宋体" w:hAnsi="宋体" w:eastAsia="宋体" w:cs="宋体"/>
          <w:color w:val="000000"/>
          <w:sz w:val="21"/>
          <w:szCs w:val="21"/>
          <w:highlight w:val="none"/>
          <w:shd w:val="clear" w:color="auto" w:fill="auto"/>
          <w:lang w:val="en-US" w:eastAsia="zh-CN"/>
        </w:rPr>
        <w:t>具体详见竞争性磋商文件、图纸和工程量清单。</w:t>
      </w:r>
    </w:p>
    <w:p w14:paraId="63F156DA">
      <w:pPr>
        <w:keepNext w:val="0"/>
        <w:keepLines w:val="0"/>
        <w:pageBreakBefore w:val="0"/>
        <w:kinsoku/>
        <w:wordWrap/>
        <w:overflowPunct/>
        <w:topLinePunct w:val="0"/>
        <w:bidi w:val="0"/>
        <w:spacing w:line="360" w:lineRule="auto"/>
        <w:ind w:right="0" w:firstLine="420" w:firstLineChars="200"/>
        <w:jc w:val="left"/>
        <w:rPr>
          <w:rFonts w:hint="eastAsia" w:ascii="宋体" w:hAnsi="宋体" w:eastAsia="宋体" w:cs="宋体"/>
          <w:color w:val="000000"/>
          <w:sz w:val="21"/>
          <w:szCs w:val="21"/>
          <w:highlight w:val="none"/>
          <w:shd w:val="clear" w:color="auto" w:fill="auto"/>
          <w:lang w:val="en-US" w:eastAsia="zh-CN"/>
        </w:rPr>
      </w:pPr>
      <w:r>
        <w:rPr>
          <w:rFonts w:hint="eastAsia" w:ascii="宋体" w:hAnsi="宋体" w:eastAsia="宋体" w:cs="宋体"/>
          <w:color w:val="000000"/>
          <w:sz w:val="21"/>
          <w:szCs w:val="21"/>
          <w:highlight w:val="none"/>
          <w:shd w:val="clear" w:color="auto" w:fill="auto"/>
          <w:lang w:val="en-US" w:eastAsia="zh-CN"/>
        </w:rPr>
        <w:t>最高限价（如有）：901801.4</w:t>
      </w:r>
      <w:r>
        <w:rPr>
          <w:rFonts w:hint="eastAsia" w:ascii="宋体" w:hAnsi="宋体" w:cs="宋体"/>
          <w:color w:val="000000"/>
          <w:sz w:val="21"/>
          <w:szCs w:val="21"/>
          <w:highlight w:val="none"/>
          <w:shd w:val="clear" w:color="auto" w:fill="auto"/>
          <w:lang w:val="en-US" w:eastAsia="zh-CN"/>
        </w:rPr>
        <w:t>5</w:t>
      </w:r>
      <w:r>
        <w:rPr>
          <w:rFonts w:hint="eastAsia" w:ascii="宋体" w:hAnsi="宋体" w:eastAsia="宋体" w:cs="宋体"/>
          <w:color w:val="000000"/>
          <w:sz w:val="21"/>
          <w:szCs w:val="21"/>
          <w:highlight w:val="none"/>
          <w:shd w:val="clear" w:color="auto" w:fill="auto"/>
          <w:lang w:val="en-US" w:eastAsia="zh-CN"/>
        </w:rPr>
        <w:t>元</w:t>
      </w:r>
      <w:r>
        <w:rPr>
          <w:rFonts w:hint="eastAsia" w:ascii="宋体" w:hAnsi="宋体" w:cs="宋体"/>
          <w:color w:val="000000"/>
          <w:sz w:val="21"/>
          <w:szCs w:val="21"/>
          <w:highlight w:val="none"/>
          <w:shd w:val="clear" w:color="auto" w:fill="auto"/>
          <w:lang w:val="en-US" w:eastAsia="zh-CN"/>
        </w:rPr>
        <w:t>。</w:t>
      </w:r>
    </w:p>
    <w:p w14:paraId="5252D0AC">
      <w:pPr>
        <w:keepNext w:val="0"/>
        <w:keepLines w:val="0"/>
        <w:pageBreakBefore w:val="0"/>
        <w:kinsoku/>
        <w:wordWrap/>
        <w:overflowPunct/>
        <w:topLinePunct w:val="0"/>
        <w:bidi w:val="0"/>
        <w:spacing w:line="360" w:lineRule="auto"/>
        <w:ind w:right="0" w:firstLine="420" w:firstLineChars="200"/>
        <w:jc w:val="left"/>
        <w:rPr>
          <w:rFonts w:hint="eastAsia" w:ascii="宋体" w:hAnsi="宋体" w:eastAsia="宋体" w:cs="宋体"/>
          <w:b w:val="0"/>
          <w:bCs w:val="0"/>
          <w:color w:val="000000"/>
          <w:sz w:val="21"/>
          <w:szCs w:val="21"/>
          <w:highlight w:val="none"/>
          <w:shd w:val="clear" w:color="auto" w:fill="auto"/>
          <w:lang w:val="en-US" w:eastAsia="zh-CN"/>
        </w:rPr>
      </w:pPr>
      <w:r>
        <w:rPr>
          <w:rFonts w:hint="eastAsia" w:ascii="宋体" w:hAnsi="宋体" w:eastAsia="宋体" w:cs="宋体"/>
          <w:b w:val="0"/>
          <w:bCs w:val="0"/>
          <w:color w:val="000000"/>
          <w:sz w:val="21"/>
          <w:szCs w:val="21"/>
          <w:highlight w:val="none"/>
          <w:shd w:val="clear" w:color="auto" w:fill="auto"/>
          <w:lang w:val="en-US" w:eastAsia="zh-CN"/>
        </w:rPr>
        <w:t>合同履约期限：要</w:t>
      </w:r>
      <w:r>
        <w:rPr>
          <w:rFonts w:hint="eastAsia" w:ascii="宋体" w:hAnsi="宋体" w:eastAsia="宋体" w:cs="宋体"/>
          <w:b w:val="0"/>
          <w:bCs w:val="0"/>
          <w:color w:val="auto"/>
          <w:sz w:val="21"/>
          <w:szCs w:val="21"/>
          <w:highlight w:val="none"/>
          <w:shd w:val="clear" w:color="auto" w:fill="auto"/>
          <w:lang w:val="en-US" w:eastAsia="zh-CN"/>
        </w:rPr>
        <w:t>求工期：</w:t>
      </w:r>
      <w:r>
        <w:rPr>
          <w:rFonts w:hint="eastAsia" w:ascii="宋体" w:hAnsi="宋体" w:cs="宋体"/>
          <w:b w:val="0"/>
          <w:bCs w:val="0"/>
          <w:color w:val="auto"/>
          <w:sz w:val="21"/>
          <w:szCs w:val="21"/>
          <w:highlight w:val="none"/>
          <w:u w:val="none"/>
          <w:shd w:val="clear" w:color="auto" w:fill="auto"/>
          <w:lang w:val="en-US" w:eastAsia="zh-CN"/>
        </w:rPr>
        <w:t>35</w:t>
      </w:r>
      <w:r>
        <w:rPr>
          <w:rFonts w:hint="eastAsia" w:ascii="宋体" w:hAnsi="宋体" w:eastAsia="宋体" w:cs="宋体"/>
          <w:b w:val="0"/>
          <w:bCs w:val="0"/>
          <w:color w:val="auto"/>
          <w:sz w:val="21"/>
          <w:szCs w:val="21"/>
          <w:highlight w:val="none"/>
          <w:u w:val="none"/>
          <w:shd w:val="clear" w:color="auto" w:fill="auto"/>
          <w:lang w:val="en-US" w:eastAsia="zh-CN"/>
        </w:rPr>
        <w:t>日历天。</w:t>
      </w:r>
    </w:p>
    <w:bookmarkEnd w:id="27"/>
    <w:bookmarkEnd w:id="28"/>
    <w:p w14:paraId="428A118A">
      <w:pPr>
        <w:keepNext w:val="0"/>
        <w:keepLines w:val="0"/>
        <w:pageBreakBefore w:val="0"/>
        <w:kinsoku/>
        <w:wordWrap/>
        <w:overflowPunct/>
        <w:topLinePunct w:val="0"/>
        <w:bidi w:val="0"/>
        <w:spacing w:line="360" w:lineRule="auto"/>
        <w:ind w:right="0" w:firstLine="420" w:firstLineChars="200"/>
        <w:jc w:val="left"/>
        <w:rPr>
          <w:rFonts w:hint="eastAsia" w:ascii="宋体" w:hAnsi="宋体" w:eastAsia="宋体" w:cs="宋体"/>
          <w:color w:val="000000"/>
          <w:sz w:val="21"/>
          <w:szCs w:val="21"/>
          <w:highlight w:val="none"/>
          <w:shd w:val="clear" w:color="auto" w:fill="auto"/>
        </w:rPr>
      </w:pPr>
      <w:bookmarkStart w:id="29" w:name="_Toc3678"/>
      <w:bookmarkStart w:id="30" w:name="_Toc849"/>
      <w:bookmarkStart w:id="31" w:name="_Toc17242"/>
      <w:r>
        <w:rPr>
          <w:rFonts w:hint="eastAsia" w:ascii="宋体" w:hAnsi="宋体" w:eastAsia="宋体" w:cs="宋体"/>
          <w:color w:val="000000"/>
          <w:sz w:val="21"/>
          <w:szCs w:val="21"/>
          <w:highlight w:val="none"/>
          <w:shd w:val="clear" w:color="auto" w:fill="auto"/>
        </w:rPr>
        <w:t>本</w:t>
      </w:r>
      <w:r>
        <w:rPr>
          <w:rFonts w:hint="eastAsia" w:ascii="宋体" w:hAnsi="宋体" w:eastAsia="宋体" w:cs="宋体"/>
          <w:color w:val="000000"/>
          <w:sz w:val="21"/>
          <w:szCs w:val="21"/>
          <w:highlight w:val="none"/>
          <w:shd w:val="clear" w:color="auto" w:fill="auto"/>
          <w:lang w:val="en-US" w:eastAsia="zh-CN"/>
        </w:rPr>
        <w:t>标项</w:t>
      </w:r>
      <w:r>
        <w:rPr>
          <w:rFonts w:hint="eastAsia" w:ascii="宋体" w:hAnsi="宋体" w:eastAsia="宋体" w:cs="宋体"/>
          <w:color w:val="000000"/>
          <w:sz w:val="21"/>
          <w:szCs w:val="21"/>
          <w:highlight w:val="none"/>
          <w:shd w:val="clear" w:color="auto" w:fill="auto"/>
          <w:lang w:eastAsia="zh-CN"/>
        </w:rPr>
        <w:t>（</w:t>
      </w:r>
      <w:r>
        <w:rPr>
          <w:rFonts w:hint="eastAsia" w:ascii="宋体" w:hAnsi="宋体" w:eastAsia="宋体" w:cs="宋体"/>
          <w:color w:val="000000"/>
          <w:sz w:val="21"/>
          <w:szCs w:val="21"/>
          <w:highlight w:val="none"/>
          <w:shd w:val="clear" w:color="auto" w:fill="auto"/>
          <w:lang w:val="en-US" w:eastAsia="zh-CN"/>
        </w:rPr>
        <w:t>否</w:t>
      </w:r>
      <w:r>
        <w:rPr>
          <w:rFonts w:hint="eastAsia" w:ascii="宋体" w:hAnsi="宋体" w:eastAsia="宋体" w:cs="宋体"/>
          <w:color w:val="000000"/>
          <w:sz w:val="21"/>
          <w:szCs w:val="21"/>
          <w:highlight w:val="none"/>
          <w:shd w:val="clear" w:color="auto" w:fill="auto"/>
          <w:lang w:eastAsia="zh-CN"/>
        </w:rPr>
        <w:t>）</w:t>
      </w:r>
      <w:r>
        <w:rPr>
          <w:rFonts w:hint="eastAsia" w:ascii="宋体" w:hAnsi="宋体" w:eastAsia="宋体" w:cs="宋体"/>
          <w:color w:val="000000"/>
          <w:sz w:val="21"/>
          <w:szCs w:val="21"/>
          <w:highlight w:val="none"/>
          <w:shd w:val="clear" w:color="auto" w:fill="auto"/>
          <w:lang w:val="en-US" w:eastAsia="zh-CN"/>
        </w:rPr>
        <w:t>接受</w:t>
      </w:r>
      <w:r>
        <w:rPr>
          <w:rFonts w:hint="eastAsia" w:ascii="宋体" w:hAnsi="宋体" w:eastAsia="宋体" w:cs="宋体"/>
          <w:color w:val="000000"/>
          <w:sz w:val="21"/>
          <w:szCs w:val="21"/>
          <w:highlight w:val="none"/>
          <w:shd w:val="clear" w:color="auto" w:fill="auto"/>
        </w:rPr>
        <w:t>联合体</w:t>
      </w:r>
      <w:r>
        <w:rPr>
          <w:rFonts w:hint="eastAsia" w:ascii="宋体" w:hAnsi="宋体" w:eastAsia="宋体" w:cs="宋体"/>
          <w:color w:val="000000"/>
          <w:sz w:val="21"/>
          <w:szCs w:val="21"/>
          <w:highlight w:val="none"/>
          <w:shd w:val="clear" w:color="auto" w:fill="auto"/>
          <w:lang w:val="en-US" w:eastAsia="zh-CN"/>
        </w:rPr>
        <w:t>投标</w:t>
      </w:r>
      <w:r>
        <w:rPr>
          <w:rFonts w:hint="eastAsia" w:ascii="宋体" w:hAnsi="宋体" w:eastAsia="宋体" w:cs="宋体"/>
          <w:color w:val="000000"/>
          <w:sz w:val="21"/>
          <w:szCs w:val="21"/>
          <w:highlight w:val="none"/>
          <w:shd w:val="clear" w:color="auto" w:fill="auto"/>
        </w:rPr>
        <w:t>。</w:t>
      </w:r>
      <w:bookmarkEnd w:id="29"/>
      <w:bookmarkEnd w:id="30"/>
      <w:bookmarkEnd w:id="31"/>
      <w:bookmarkStart w:id="32" w:name="_Toc29128"/>
      <w:bookmarkStart w:id="33" w:name="_Toc35393630"/>
      <w:bookmarkStart w:id="34" w:name="_Toc28359090"/>
      <w:bookmarkStart w:id="35" w:name="_Toc28359013"/>
      <w:bookmarkStart w:id="36" w:name="_Toc26905"/>
      <w:bookmarkStart w:id="37" w:name="_Toc35393799"/>
    </w:p>
    <w:p w14:paraId="6592FE6F">
      <w:pPr>
        <w:keepNext w:val="0"/>
        <w:keepLines w:val="0"/>
        <w:pageBreakBefore w:val="0"/>
        <w:kinsoku/>
        <w:wordWrap/>
        <w:overflowPunct/>
        <w:topLinePunct w:val="0"/>
        <w:bidi w:val="0"/>
        <w:spacing w:line="360" w:lineRule="auto"/>
        <w:ind w:left="0" w:right="0"/>
        <w:jc w:val="both"/>
        <w:outlineLvl w:val="1"/>
        <w:rPr>
          <w:rFonts w:hint="eastAsia" w:ascii="宋体" w:hAnsi="宋体" w:eastAsia="宋体" w:cs="宋体"/>
          <w:b/>
          <w:bCs/>
          <w:color w:val="000000"/>
          <w:sz w:val="21"/>
          <w:szCs w:val="21"/>
          <w:highlight w:val="none"/>
          <w:shd w:val="clear" w:color="auto" w:fill="auto"/>
        </w:rPr>
      </w:pPr>
      <w:r>
        <w:rPr>
          <w:rFonts w:hint="eastAsia" w:ascii="宋体" w:hAnsi="宋体" w:eastAsia="宋体" w:cs="宋体"/>
          <w:b/>
          <w:bCs/>
          <w:color w:val="000000"/>
          <w:sz w:val="21"/>
          <w:szCs w:val="21"/>
          <w:highlight w:val="none"/>
          <w:shd w:val="clear" w:color="auto" w:fill="auto"/>
        </w:rPr>
        <w:t>二、申请人的资格要求：</w:t>
      </w:r>
      <w:bookmarkEnd w:id="32"/>
      <w:bookmarkEnd w:id="33"/>
      <w:bookmarkEnd w:id="34"/>
      <w:bookmarkEnd w:id="35"/>
      <w:bookmarkEnd w:id="36"/>
      <w:bookmarkEnd w:id="37"/>
    </w:p>
    <w:p w14:paraId="042EB3BE">
      <w:pPr>
        <w:keepNext w:val="0"/>
        <w:keepLines w:val="0"/>
        <w:pageBreakBefore w:val="0"/>
        <w:kinsoku/>
        <w:wordWrap/>
        <w:overflowPunct/>
        <w:topLinePunct w:val="0"/>
        <w:bidi w:val="0"/>
        <w:spacing w:line="360" w:lineRule="auto"/>
        <w:ind w:left="0" w:right="0" w:firstLine="420" w:firstLineChars="200"/>
        <w:jc w:val="both"/>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1、满足《中华人民共和国政府采购法》第二十二条规定；</w:t>
      </w:r>
    </w:p>
    <w:p w14:paraId="5046C30E">
      <w:pPr>
        <w:keepNext w:val="0"/>
        <w:keepLines w:val="0"/>
        <w:pageBreakBefore w:val="0"/>
        <w:kinsoku/>
        <w:wordWrap/>
        <w:overflowPunct/>
        <w:topLinePunct w:val="0"/>
        <w:bidi w:val="0"/>
        <w:spacing w:line="360" w:lineRule="auto"/>
        <w:ind w:left="0" w:right="0" w:firstLine="420" w:firstLineChars="200"/>
        <w:jc w:val="both"/>
        <w:rPr>
          <w:rFonts w:hint="eastAsia" w:ascii="宋体" w:hAnsi="宋体" w:eastAsia="宋体" w:cs="宋体"/>
          <w:b/>
          <w:bCs/>
          <w:color w:val="000000"/>
          <w:sz w:val="21"/>
          <w:szCs w:val="21"/>
          <w:highlight w:val="none"/>
          <w:u w:val="none"/>
          <w:shd w:val="clear" w:color="auto" w:fill="auto"/>
        </w:rPr>
      </w:pPr>
      <w:bookmarkStart w:id="38" w:name="_Toc28359014"/>
      <w:bookmarkStart w:id="39" w:name="_Toc28359091"/>
      <w:r>
        <w:rPr>
          <w:rFonts w:hint="eastAsia" w:ascii="宋体" w:hAnsi="宋体" w:eastAsia="宋体" w:cs="宋体"/>
          <w:color w:val="000000"/>
          <w:sz w:val="21"/>
          <w:szCs w:val="21"/>
          <w:highlight w:val="none"/>
          <w:shd w:val="clear" w:color="auto" w:fill="auto"/>
        </w:rPr>
        <w:t>2、落实政府采购政策需满足的资格要求：</w:t>
      </w:r>
      <w:r>
        <w:rPr>
          <w:rFonts w:hint="eastAsia" w:ascii="宋体" w:hAnsi="宋体" w:eastAsia="宋体" w:cs="宋体"/>
          <w:color w:val="000000"/>
          <w:sz w:val="21"/>
          <w:szCs w:val="21"/>
          <w:highlight w:val="none"/>
          <w:u w:val="none"/>
          <w:shd w:val="clear" w:color="auto" w:fill="auto"/>
        </w:rPr>
        <w:t>本项目为专门面向中小企业项目，按照《政府采购促进中小企业发展管理办法》（财库〔2020〕46号）规定，小微企业、监狱企业、残疾人福利性单位不再执行价格评审优惠的扶持政策。</w:t>
      </w:r>
    </w:p>
    <w:p w14:paraId="6D09D45A">
      <w:pPr>
        <w:keepNext w:val="0"/>
        <w:keepLines w:val="0"/>
        <w:pageBreakBefore w:val="0"/>
        <w:kinsoku/>
        <w:wordWrap/>
        <w:overflowPunct/>
        <w:topLinePunct w:val="0"/>
        <w:bidi w:val="0"/>
        <w:spacing w:line="360" w:lineRule="auto"/>
        <w:ind w:left="0" w:right="0" w:firstLine="420" w:firstLineChars="200"/>
        <w:jc w:val="both"/>
        <w:rPr>
          <w:rFonts w:hint="eastAsia" w:ascii="宋体" w:hAnsi="宋体" w:eastAsia="宋体" w:cs="宋体"/>
          <w:color w:val="000000"/>
          <w:sz w:val="21"/>
          <w:szCs w:val="21"/>
          <w:highlight w:val="none"/>
          <w:u w:val="none"/>
          <w:shd w:val="clear" w:color="auto" w:fill="auto"/>
        </w:rPr>
      </w:pPr>
      <w:r>
        <w:rPr>
          <w:rFonts w:hint="eastAsia" w:ascii="宋体" w:hAnsi="宋体" w:eastAsia="宋体" w:cs="宋体"/>
          <w:color w:val="000000"/>
          <w:sz w:val="21"/>
          <w:szCs w:val="21"/>
          <w:highlight w:val="none"/>
          <w:shd w:val="clear" w:color="auto" w:fill="auto"/>
        </w:rPr>
        <w:t>3、本项目的特定资格要求：</w:t>
      </w:r>
      <w:bookmarkStart w:id="40" w:name="_Toc35393631"/>
      <w:bookmarkStart w:id="41" w:name="_Toc35393800"/>
      <w:r>
        <w:rPr>
          <w:rFonts w:hint="eastAsia" w:ascii="宋体" w:hAnsi="宋体" w:eastAsia="宋体" w:cs="宋体"/>
          <w:color w:val="auto"/>
          <w:szCs w:val="21"/>
          <w:highlight w:val="none"/>
        </w:rPr>
        <w:t>具备</w:t>
      </w:r>
      <w:r>
        <w:rPr>
          <w:rFonts w:hint="eastAsia" w:ascii="宋体" w:hAnsi="宋体" w:eastAsia="宋体" w:cs="宋体"/>
          <w:color w:val="auto"/>
          <w:szCs w:val="21"/>
          <w:highlight w:val="none"/>
          <w:u w:val="single"/>
        </w:rPr>
        <w:t>建筑工程施工总承包三级（含以上）资质</w:t>
      </w:r>
      <w:r>
        <w:rPr>
          <w:rFonts w:hint="eastAsia" w:ascii="宋体" w:hAnsi="宋体" w:eastAsia="宋体" w:cs="宋体"/>
          <w:color w:val="auto"/>
          <w:szCs w:val="21"/>
          <w:highlight w:val="none"/>
        </w:rPr>
        <w:t>，并在人员、设备、资金等方面具备相应的施工能力。</w:t>
      </w:r>
      <w:r>
        <w:rPr>
          <w:rFonts w:hint="eastAsia" w:ascii="宋体" w:hAnsi="宋体" w:eastAsia="宋体" w:cs="宋体"/>
          <w:color w:val="auto"/>
          <w:szCs w:val="21"/>
          <w:highlight w:val="none"/>
          <w:lang w:eastAsia="zh-CN"/>
        </w:rPr>
        <w:t>其中，供应商拟派项目经理须具备</w:t>
      </w:r>
      <w:r>
        <w:rPr>
          <w:rFonts w:hint="eastAsia" w:ascii="宋体" w:hAnsi="宋体" w:eastAsia="宋体" w:cs="宋体"/>
          <w:color w:val="auto"/>
          <w:szCs w:val="21"/>
          <w:highlight w:val="none"/>
          <w:u w:val="single"/>
          <w:lang w:eastAsia="zh-CN"/>
        </w:rPr>
        <w:t>建筑工程二级(含)以上注册建造师执业资格</w:t>
      </w:r>
      <w:r>
        <w:rPr>
          <w:rFonts w:hint="eastAsia" w:ascii="宋体" w:hAnsi="宋体" w:eastAsia="宋体" w:cs="宋体"/>
          <w:color w:val="auto"/>
          <w:szCs w:val="21"/>
          <w:highlight w:val="none"/>
          <w:lang w:eastAsia="zh-CN"/>
        </w:rPr>
        <w:t>，具备有效的安全生产考核合格证书（B类）</w:t>
      </w:r>
      <w:r>
        <w:rPr>
          <w:rFonts w:hint="eastAsia" w:ascii="宋体" w:hAnsi="宋体" w:eastAsia="宋体" w:cs="宋体"/>
          <w:color w:val="000000"/>
          <w:sz w:val="21"/>
          <w:szCs w:val="21"/>
          <w:highlight w:val="none"/>
          <w:u w:val="none"/>
          <w:shd w:val="clear" w:color="auto" w:fill="auto"/>
        </w:rPr>
        <w:t>。本项目不接受有在建、已中标未开工或已列为其他项目中标候选人第一名的建造师作为项目经理。</w:t>
      </w:r>
    </w:p>
    <w:bookmarkEnd w:id="38"/>
    <w:bookmarkEnd w:id="39"/>
    <w:bookmarkEnd w:id="40"/>
    <w:bookmarkEnd w:id="41"/>
    <w:p w14:paraId="3565346C">
      <w:pPr>
        <w:keepNext w:val="0"/>
        <w:keepLines w:val="0"/>
        <w:pageBreakBefore w:val="0"/>
        <w:kinsoku/>
        <w:wordWrap/>
        <w:overflowPunct/>
        <w:topLinePunct w:val="0"/>
        <w:bidi w:val="0"/>
        <w:spacing w:line="360" w:lineRule="auto"/>
        <w:ind w:left="0" w:right="0"/>
        <w:jc w:val="both"/>
        <w:outlineLvl w:val="1"/>
        <w:rPr>
          <w:rFonts w:hint="eastAsia" w:ascii="宋体" w:hAnsi="宋体" w:eastAsia="宋体" w:cs="宋体"/>
          <w:b/>
          <w:bCs/>
          <w:color w:val="000000"/>
          <w:sz w:val="21"/>
          <w:szCs w:val="21"/>
          <w:highlight w:val="none"/>
          <w:u w:val="none"/>
          <w:shd w:val="clear" w:color="auto" w:fill="auto"/>
        </w:rPr>
      </w:pPr>
      <w:bookmarkStart w:id="42" w:name="_Toc35393623"/>
      <w:bookmarkStart w:id="43" w:name="_Toc35393792"/>
      <w:bookmarkStart w:id="44" w:name="_Toc23376"/>
      <w:bookmarkStart w:id="45" w:name="_Toc6128"/>
      <w:bookmarkStart w:id="46" w:name="_Toc35393636"/>
      <w:bookmarkStart w:id="47" w:name="_Toc28359095"/>
      <w:bookmarkStart w:id="48" w:name="_Toc35393805"/>
      <w:bookmarkStart w:id="49" w:name="_Toc28359018"/>
      <w:r>
        <w:rPr>
          <w:rFonts w:hint="eastAsia" w:ascii="宋体" w:hAnsi="宋体" w:eastAsia="宋体" w:cs="宋体"/>
          <w:b/>
          <w:bCs/>
          <w:color w:val="000000"/>
          <w:sz w:val="21"/>
          <w:szCs w:val="21"/>
          <w:highlight w:val="none"/>
          <w:u w:val="none"/>
          <w:shd w:val="clear" w:color="auto" w:fill="auto"/>
        </w:rPr>
        <w:t>三、获取采购文件</w:t>
      </w:r>
      <w:bookmarkEnd w:id="42"/>
      <w:bookmarkEnd w:id="43"/>
      <w:r>
        <w:rPr>
          <w:rFonts w:hint="eastAsia" w:ascii="宋体" w:hAnsi="宋体" w:eastAsia="宋体" w:cs="宋体"/>
          <w:b/>
          <w:bCs/>
          <w:color w:val="000000"/>
          <w:sz w:val="21"/>
          <w:szCs w:val="21"/>
          <w:highlight w:val="none"/>
          <w:u w:val="none"/>
          <w:shd w:val="clear" w:color="auto" w:fill="auto"/>
        </w:rPr>
        <w:t>：</w:t>
      </w:r>
      <w:bookmarkEnd w:id="44"/>
      <w:bookmarkEnd w:id="45"/>
    </w:p>
    <w:p w14:paraId="3528BE29">
      <w:pPr>
        <w:keepNext w:val="0"/>
        <w:keepLines w:val="0"/>
        <w:pageBreakBefore w:val="0"/>
        <w:kinsoku/>
        <w:wordWrap/>
        <w:overflowPunct/>
        <w:topLinePunct w:val="0"/>
        <w:bidi w:val="0"/>
        <w:spacing w:line="360" w:lineRule="auto"/>
        <w:ind w:left="0" w:right="0" w:firstLine="420" w:firstLineChars="200"/>
        <w:jc w:val="both"/>
        <w:rPr>
          <w:rFonts w:hint="eastAsia" w:ascii="宋体" w:hAnsi="宋体" w:eastAsia="宋体" w:cs="宋体"/>
          <w:bCs/>
          <w:color w:val="000000"/>
          <w:sz w:val="21"/>
          <w:szCs w:val="21"/>
          <w:highlight w:val="none"/>
          <w:u w:val="none"/>
          <w:shd w:val="clear" w:color="auto" w:fill="auto"/>
        </w:rPr>
      </w:pPr>
      <w:r>
        <w:rPr>
          <w:rFonts w:hint="eastAsia" w:ascii="宋体" w:hAnsi="宋体" w:eastAsia="宋体" w:cs="宋体"/>
          <w:bCs/>
          <w:color w:val="000000"/>
          <w:sz w:val="21"/>
          <w:szCs w:val="21"/>
          <w:highlight w:val="none"/>
          <w:u w:val="none"/>
          <w:shd w:val="clear" w:color="auto" w:fill="auto"/>
        </w:rPr>
        <w:t>时间：</w:t>
      </w:r>
      <w:r>
        <w:rPr>
          <w:rFonts w:hint="eastAsia" w:ascii="宋体" w:hAnsi="宋体" w:eastAsia="宋体" w:cs="宋体"/>
          <w:bCs/>
          <w:color w:val="000000"/>
          <w:sz w:val="21"/>
          <w:szCs w:val="21"/>
          <w:highlight w:val="none"/>
          <w:u w:val="none"/>
          <w:shd w:val="clear" w:color="auto" w:fill="auto"/>
          <w:lang w:val="en-US" w:eastAsia="zh-CN"/>
        </w:rPr>
        <w:t>/</w:t>
      </w:r>
      <w:r>
        <w:rPr>
          <w:rFonts w:hint="eastAsia" w:ascii="宋体" w:hAnsi="宋体" w:eastAsia="宋体" w:cs="宋体"/>
          <w:bCs/>
          <w:color w:val="000000"/>
          <w:sz w:val="21"/>
          <w:szCs w:val="21"/>
          <w:highlight w:val="none"/>
          <w:u w:val="none"/>
          <w:shd w:val="clear" w:color="auto" w:fill="auto"/>
        </w:rPr>
        <w:t>至</w:t>
      </w:r>
      <w:r>
        <w:rPr>
          <w:rFonts w:hint="eastAsia" w:ascii="宋体" w:hAnsi="宋体" w:eastAsia="宋体" w:cs="宋体"/>
          <w:bCs/>
          <w:color w:val="000000"/>
          <w:sz w:val="21"/>
          <w:szCs w:val="21"/>
          <w:highlight w:val="none"/>
          <w:u w:val="none"/>
          <w:shd w:val="clear" w:color="auto" w:fill="auto"/>
          <w:lang w:eastAsia="zh-CN"/>
        </w:rPr>
        <w:t>2025年07月</w:t>
      </w:r>
      <w:r>
        <w:rPr>
          <w:rFonts w:hint="eastAsia" w:ascii="宋体" w:hAnsi="宋体" w:cs="宋体"/>
          <w:bCs/>
          <w:color w:val="000000"/>
          <w:sz w:val="21"/>
          <w:szCs w:val="21"/>
          <w:highlight w:val="none"/>
          <w:u w:val="none"/>
          <w:shd w:val="clear" w:color="auto" w:fill="auto"/>
          <w:lang w:val="en-US" w:eastAsia="zh-CN"/>
        </w:rPr>
        <w:t>25</w:t>
      </w:r>
      <w:r>
        <w:rPr>
          <w:rFonts w:hint="eastAsia" w:ascii="宋体" w:hAnsi="宋体" w:eastAsia="宋体" w:cs="宋体"/>
          <w:bCs/>
          <w:color w:val="000000"/>
          <w:sz w:val="21"/>
          <w:szCs w:val="21"/>
          <w:highlight w:val="none"/>
          <w:u w:val="none"/>
          <w:shd w:val="clear" w:color="auto" w:fill="auto"/>
          <w:lang w:val="en-US" w:eastAsia="zh-CN"/>
        </w:rPr>
        <w:t xml:space="preserve"> </w:t>
      </w:r>
      <w:r>
        <w:rPr>
          <w:rFonts w:hint="eastAsia" w:ascii="宋体" w:hAnsi="宋体" w:eastAsia="宋体" w:cs="宋体"/>
          <w:bCs/>
          <w:color w:val="000000"/>
          <w:sz w:val="21"/>
          <w:szCs w:val="21"/>
          <w:highlight w:val="none"/>
          <w:u w:val="none"/>
          <w:shd w:val="clear" w:color="auto" w:fill="auto"/>
          <w:lang w:eastAsia="zh-CN"/>
        </w:rPr>
        <w:t>日</w:t>
      </w:r>
      <w:r>
        <w:rPr>
          <w:rFonts w:hint="eastAsia" w:ascii="宋体" w:hAnsi="宋体" w:eastAsia="宋体" w:cs="宋体"/>
          <w:bCs/>
          <w:color w:val="000000"/>
          <w:sz w:val="21"/>
          <w:szCs w:val="21"/>
          <w:highlight w:val="none"/>
          <w:u w:val="none"/>
          <w:shd w:val="clear" w:color="auto" w:fill="auto"/>
        </w:rPr>
        <w:t>，每天上午00:00至12:00，下午12:00至23:59（北京时间，法定节假日除外）。</w:t>
      </w:r>
    </w:p>
    <w:p w14:paraId="04B4659C">
      <w:pPr>
        <w:keepNext w:val="0"/>
        <w:keepLines w:val="0"/>
        <w:pageBreakBefore w:val="0"/>
        <w:kinsoku/>
        <w:wordWrap/>
        <w:overflowPunct/>
        <w:topLinePunct w:val="0"/>
        <w:bidi w:val="0"/>
        <w:spacing w:line="360" w:lineRule="auto"/>
        <w:ind w:left="0" w:right="0" w:firstLine="420" w:firstLineChars="200"/>
        <w:jc w:val="both"/>
        <w:rPr>
          <w:rFonts w:hint="eastAsia" w:ascii="宋体" w:hAnsi="宋体" w:eastAsia="宋体" w:cs="宋体"/>
          <w:bCs/>
          <w:color w:val="000000"/>
          <w:sz w:val="21"/>
          <w:szCs w:val="21"/>
          <w:highlight w:val="none"/>
          <w:shd w:val="clear" w:color="auto" w:fill="auto"/>
        </w:rPr>
      </w:pPr>
      <w:r>
        <w:rPr>
          <w:rFonts w:hint="eastAsia" w:ascii="宋体" w:hAnsi="宋体" w:eastAsia="宋体" w:cs="宋体"/>
          <w:bCs/>
          <w:color w:val="000000"/>
          <w:sz w:val="21"/>
          <w:szCs w:val="21"/>
          <w:highlight w:val="none"/>
          <w:shd w:val="clear" w:color="auto" w:fill="auto"/>
        </w:rPr>
        <w:t>地点（网址）：</w:t>
      </w:r>
      <w:r>
        <w:rPr>
          <w:rFonts w:hint="eastAsia" w:ascii="宋体" w:hAnsi="宋体" w:eastAsia="宋体" w:cs="宋体"/>
          <w:color w:val="000000"/>
          <w:kern w:val="0"/>
          <w:sz w:val="21"/>
          <w:szCs w:val="21"/>
          <w:highlight w:val="none"/>
          <w:shd w:val="clear" w:color="auto" w:fill="auto"/>
          <w:lang w:eastAsia="zh-CN"/>
        </w:rPr>
        <w:t>广西政府采购云平台https://www.gcy.zfcg.gxzf.gov.cn/</w:t>
      </w:r>
      <w:r>
        <w:rPr>
          <w:rFonts w:hint="eastAsia" w:ascii="宋体" w:hAnsi="宋体" w:eastAsia="宋体" w:cs="宋体"/>
          <w:bCs/>
          <w:color w:val="000000"/>
          <w:sz w:val="21"/>
          <w:szCs w:val="21"/>
          <w:highlight w:val="none"/>
          <w:shd w:val="clear" w:color="auto" w:fill="auto"/>
        </w:rPr>
        <w:t>。</w:t>
      </w:r>
    </w:p>
    <w:p w14:paraId="4DEBBA99">
      <w:pPr>
        <w:keepNext w:val="0"/>
        <w:keepLines w:val="0"/>
        <w:pageBreakBefore w:val="0"/>
        <w:kinsoku/>
        <w:wordWrap/>
        <w:overflowPunct/>
        <w:topLinePunct w:val="0"/>
        <w:bidi w:val="0"/>
        <w:spacing w:line="360" w:lineRule="auto"/>
        <w:ind w:left="0" w:right="0" w:firstLine="420" w:firstLineChars="200"/>
        <w:jc w:val="both"/>
        <w:rPr>
          <w:rFonts w:hint="eastAsia" w:ascii="宋体" w:hAnsi="宋体" w:eastAsia="宋体" w:cs="宋体"/>
          <w:bCs/>
          <w:color w:val="000000"/>
          <w:sz w:val="21"/>
          <w:szCs w:val="21"/>
          <w:highlight w:val="none"/>
          <w:shd w:val="clear" w:color="auto" w:fill="auto"/>
        </w:rPr>
      </w:pPr>
      <w:r>
        <w:rPr>
          <w:rFonts w:hint="eastAsia" w:ascii="宋体" w:hAnsi="宋体" w:eastAsia="宋体" w:cs="宋体"/>
          <w:bCs/>
          <w:color w:val="000000"/>
          <w:sz w:val="21"/>
          <w:szCs w:val="21"/>
          <w:highlight w:val="none"/>
          <w:shd w:val="clear" w:color="auto" w:fill="auto"/>
        </w:rPr>
        <w:t>方式：潜在供应商</w:t>
      </w:r>
      <w:r>
        <w:rPr>
          <w:rFonts w:hint="eastAsia" w:ascii="宋体" w:hAnsi="宋体" w:eastAsia="宋体" w:cs="宋体"/>
          <w:color w:val="000000"/>
          <w:sz w:val="21"/>
          <w:szCs w:val="21"/>
          <w:highlight w:val="none"/>
          <w:shd w:val="clear" w:color="auto" w:fill="auto"/>
        </w:rPr>
        <w:t>应</w:t>
      </w:r>
      <w:r>
        <w:rPr>
          <w:rFonts w:hint="eastAsia" w:ascii="宋体" w:hAnsi="宋体" w:eastAsia="宋体" w:cs="宋体"/>
          <w:color w:val="000000"/>
          <w:kern w:val="0"/>
          <w:sz w:val="21"/>
          <w:szCs w:val="21"/>
          <w:highlight w:val="none"/>
          <w:shd w:val="clear" w:color="auto" w:fill="auto"/>
        </w:rPr>
        <w:t>登录</w:t>
      </w:r>
      <w:r>
        <w:rPr>
          <w:rFonts w:hint="eastAsia" w:ascii="宋体" w:hAnsi="宋体" w:eastAsia="宋体" w:cs="宋体"/>
          <w:color w:val="000000"/>
          <w:kern w:val="0"/>
          <w:sz w:val="21"/>
          <w:szCs w:val="21"/>
          <w:highlight w:val="none"/>
          <w:shd w:val="clear" w:color="auto" w:fill="auto"/>
          <w:lang w:eastAsia="zh-CN"/>
        </w:rPr>
        <w:t>广西政府采购云平台https://www.gcy.zfcg.gxzf.gov.cn/</w:t>
      </w:r>
      <w:r>
        <w:rPr>
          <w:rFonts w:hint="eastAsia" w:ascii="宋体" w:hAnsi="宋体" w:eastAsia="宋体" w:cs="宋体"/>
          <w:color w:val="000000"/>
          <w:kern w:val="0"/>
          <w:sz w:val="21"/>
          <w:szCs w:val="21"/>
          <w:highlight w:val="none"/>
          <w:shd w:val="clear" w:color="auto" w:fill="auto"/>
        </w:rPr>
        <w:t>在线申请获取采购文件、工程量清单及图纸（进入“项目采购”应用，在获取采购文件菜单中选择项目，申请获取采购文件）</w:t>
      </w:r>
      <w:r>
        <w:rPr>
          <w:rFonts w:hint="eastAsia" w:ascii="宋体" w:hAnsi="宋体" w:eastAsia="宋体" w:cs="宋体"/>
          <w:bCs/>
          <w:color w:val="000000"/>
          <w:sz w:val="21"/>
          <w:szCs w:val="21"/>
          <w:highlight w:val="none"/>
          <w:shd w:val="clear" w:color="auto" w:fill="auto"/>
        </w:rPr>
        <w:t>。</w:t>
      </w:r>
    </w:p>
    <w:p w14:paraId="3484C3B5">
      <w:pPr>
        <w:keepNext w:val="0"/>
        <w:keepLines w:val="0"/>
        <w:pageBreakBefore w:val="0"/>
        <w:kinsoku/>
        <w:wordWrap/>
        <w:overflowPunct/>
        <w:topLinePunct w:val="0"/>
        <w:bidi w:val="0"/>
        <w:spacing w:line="360" w:lineRule="auto"/>
        <w:ind w:left="0" w:right="0" w:firstLine="420" w:firstLineChars="200"/>
        <w:jc w:val="both"/>
        <w:rPr>
          <w:rFonts w:hint="eastAsia" w:ascii="宋体" w:hAnsi="宋体" w:eastAsia="宋体" w:cs="宋体"/>
          <w:b/>
          <w:bCs/>
          <w:color w:val="000000"/>
          <w:sz w:val="21"/>
          <w:szCs w:val="21"/>
          <w:highlight w:val="none"/>
          <w:shd w:val="clear" w:color="auto" w:fill="auto"/>
        </w:rPr>
      </w:pPr>
      <w:r>
        <w:rPr>
          <w:rFonts w:hint="eastAsia" w:ascii="宋体" w:hAnsi="宋体" w:eastAsia="宋体" w:cs="宋体"/>
          <w:bCs/>
          <w:color w:val="000000"/>
          <w:sz w:val="21"/>
          <w:szCs w:val="21"/>
          <w:highlight w:val="none"/>
          <w:shd w:val="clear" w:color="auto" w:fill="auto"/>
        </w:rPr>
        <w:t>售价（元）：0。</w:t>
      </w:r>
      <w:bookmarkStart w:id="50" w:name="_Toc28359082"/>
      <w:bookmarkStart w:id="51" w:name="_Toc28359005"/>
      <w:bookmarkStart w:id="52" w:name="_Toc35393793"/>
      <w:bookmarkStart w:id="53" w:name="_Toc35393624"/>
      <w:bookmarkStart w:id="54" w:name="_Toc14194"/>
      <w:bookmarkStart w:id="55" w:name="_Toc4371"/>
    </w:p>
    <w:p w14:paraId="01FE9549">
      <w:pPr>
        <w:keepNext w:val="0"/>
        <w:keepLines w:val="0"/>
        <w:pageBreakBefore w:val="0"/>
        <w:kinsoku/>
        <w:wordWrap/>
        <w:overflowPunct/>
        <w:topLinePunct w:val="0"/>
        <w:bidi w:val="0"/>
        <w:spacing w:line="360" w:lineRule="auto"/>
        <w:ind w:left="0" w:right="0"/>
        <w:jc w:val="both"/>
        <w:outlineLvl w:val="1"/>
        <w:rPr>
          <w:rFonts w:hint="eastAsia" w:ascii="宋体" w:hAnsi="宋体" w:eastAsia="宋体" w:cs="宋体"/>
          <w:b/>
          <w:bCs/>
          <w:color w:val="000000"/>
          <w:sz w:val="21"/>
          <w:szCs w:val="21"/>
          <w:highlight w:val="none"/>
          <w:shd w:val="clear" w:color="auto" w:fill="auto"/>
        </w:rPr>
        <w:sectPr>
          <w:footerReference r:id="rId4" w:type="default"/>
          <w:pgSz w:w="11905" w:h="16838"/>
          <w:pgMar w:top="1134" w:right="1134" w:bottom="1134" w:left="1134" w:header="0" w:footer="850" w:gutter="0"/>
          <w:pgNumType w:fmt="decimal" w:start="1"/>
          <w:cols w:space="720" w:num="1"/>
          <w:rtlGutter w:val="0"/>
          <w:docGrid w:linePitch="0" w:charSpace="0"/>
        </w:sectPr>
      </w:pPr>
    </w:p>
    <w:p w14:paraId="0D54AA29">
      <w:pPr>
        <w:keepNext w:val="0"/>
        <w:keepLines w:val="0"/>
        <w:pageBreakBefore w:val="0"/>
        <w:kinsoku/>
        <w:wordWrap/>
        <w:overflowPunct/>
        <w:topLinePunct w:val="0"/>
        <w:bidi w:val="0"/>
        <w:spacing w:line="360" w:lineRule="auto"/>
        <w:ind w:left="0" w:right="0"/>
        <w:jc w:val="both"/>
        <w:outlineLvl w:val="1"/>
        <w:rPr>
          <w:rFonts w:hint="eastAsia" w:ascii="宋体" w:hAnsi="宋体" w:eastAsia="宋体" w:cs="宋体"/>
          <w:b/>
          <w:bCs/>
          <w:color w:val="000000"/>
          <w:sz w:val="21"/>
          <w:szCs w:val="21"/>
          <w:highlight w:val="none"/>
          <w:shd w:val="clear" w:color="auto" w:fill="auto"/>
        </w:rPr>
      </w:pPr>
      <w:r>
        <w:rPr>
          <w:rFonts w:hint="eastAsia" w:ascii="宋体" w:hAnsi="宋体" w:eastAsia="宋体" w:cs="宋体"/>
          <w:b/>
          <w:bCs/>
          <w:color w:val="000000"/>
          <w:sz w:val="21"/>
          <w:szCs w:val="21"/>
          <w:highlight w:val="none"/>
          <w:shd w:val="clear" w:color="auto" w:fill="auto"/>
        </w:rPr>
        <w:t>四、响应文件</w:t>
      </w:r>
      <w:bookmarkEnd w:id="50"/>
      <w:bookmarkEnd w:id="51"/>
      <w:r>
        <w:rPr>
          <w:rFonts w:hint="eastAsia" w:ascii="宋体" w:hAnsi="宋体" w:eastAsia="宋体" w:cs="宋体"/>
          <w:b/>
          <w:bCs/>
          <w:color w:val="000000"/>
          <w:sz w:val="21"/>
          <w:szCs w:val="21"/>
          <w:highlight w:val="none"/>
          <w:shd w:val="clear" w:color="auto" w:fill="auto"/>
        </w:rPr>
        <w:t>提交时间和地点</w:t>
      </w:r>
      <w:bookmarkEnd w:id="52"/>
      <w:bookmarkEnd w:id="53"/>
      <w:bookmarkEnd w:id="54"/>
      <w:bookmarkEnd w:id="55"/>
    </w:p>
    <w:p w14:paraId="06EAECD1">
      <w:pPr>
        <w:keepNext w:val="0"/>
        <w:keepLines w:val="0"/>
        <w:pageBreakBefore w:val="0"/>
        <w:kinsoku/>
        <w:wordWrap/>
        <w:overflowPunct/>
        <w:topLinePunct w:val="0"/>
        <w:bidi w:val="0"/>
        <w:spacing w:line="360" w:lineRule="auto"/>
        <w:ind w:left="0" w:right="0" w:firstLine="420" w:firstLineChars="200"/>
        <w:jc w:val="both"/>
        <w:rPr>
          <w:rFonts w:hint="eastAsia" w:ascii="宋体" w:hAnsi="宋体" w:eastAsia="宋体" w:cs="宋体"/>
          <w:bCs/>
          <w:color w:val="000000"/>
          <w:sz w:val="21"/>
          <w:szCs w:val="21"/>
          <w:highlight w:val="none"/>
          <w:shd w:val="clear" w:color="auto" w:fill="auto"/>
        </w:rPr>
      </w:pPr>
      <w:r>
        <w:rPr>
          <w:rFonts w:hint="eastAsia" w:ascii="宋体" w:hAnsi="宋体" w:eastAsia="宋体" w:cs="宋体"/>
          <w:bCs/>
          <w:color w:val="000000"/>
          <w:sz w:val="21"/>
          <w:szCs w:val="21"/>
          <w:highlight w:val="none"/>
          <w:shd w:val="clear" w:color="auto" w:fill="auto"/>
        </w:rPr>
        <w:t>截止时间：</w:t>
      </w:r>
      <w:r>
        <w:rPr>
          <w:rFonts w:hint="eastAsia" w:ascii="宋体" w:hAnsi="宋体" w:eastAsia="宋体" w:cs="宋体"/>
          <w:bCs/>
          <w:color w:val="000000"/>
          <w:sz w:val="21"/>
          <w:szCs w:val="21"/>
          <w:highlight w:val="none"/>
          <w:shd w:val="clear" w:color="auto" w:fill="auto"/>
          <w:lang w:eastAsia="zh-CN"/>
        </w:rPr>
        <w:t>2025年07月</w:t>
      </w:r>
      <w:r>
        <w:rPr>
          <w:rFonts w:hint="eastAsia" w:ascii="宋体" w:hAnsi="宋体" w:eastAsia="宋体" w:cs="宋体"/>
          <w:bCs/>
          <w:color w:val="000000"/>
          <w:sz w:val="21"/>
          <w:szCs w:val="21"/>
          <w:highlight w:val="none"/>
          <w:shd w:val="clear" w:color="auto" w:fill="auto"/>
          <w:lang w:val="en-US" w:eastAsia="zh-CN"/>
        </w:rPr>
        <w:t xml:space="preserve"> </w:t>
      </w:r>
      <w:r>
        <w:rPr>
          <w:rFonts w:hint="eastAsia" w:ascii="宋体" w:hAnsi="宋体" w:cs="宋体"/>
          <w:bCs/>
          <w:color w:val="000000"/>
          <w:sz w:val="21"/>
          <w:szCs w:val="21"/>
          <w:highlight w:val="none"/>
          <w:shd w:val="clear" w:color="auto" w:fill="auto"/>
          <w:lang w:val="en-US" w:eastAsia="zh-CN"/>
        </w:rPr>
        <w:t>25</w:t>
      </w:r>
      <w:r>
        <w:rPr>
          <w:rFonts w:hint="eastAsia" w:ascii="宋体" w:hAnsi="宋体" w:eastAsia="宋体" w:cs="宋体"/>
          <w:bCs/>
          <w:color w:val="000000"/>
          <w:sz w:val="21"/>
          <w:szCs w:val="21"/>
          <w:highlight w:val="none"/>
          <w:shd w:val="clear" w:color="auto" w:fill="auto"/>
          <w:lang w:val="en-US" w:eastAsia="zh-CN"/>
        </w:rPr>
        <w:t xml:space="preserve"> </w:t>
      </w:r>
      <w:r>
        <w:rPr>
          <w:rFonts w:hint="eastAsia" w:ascii="宋体" w:hAnsi="宋体" w:eastAsia="宋体" w:cs="宋体"/>
          <w:bCs/>
          <w:color w:val="000000"/>
          <w:sz w:val="21"/>
          <w:szCs w:val="21"/>
          <w:highlight w:val="none"/>
          <w:shd w:val="clear" w:color="auto" w:fill="auto"/>
          <w:lang w:eastAsia="zh-CN"/>
        </w:rPr>
        <w:t>日</w:t>
      </w:r>
      <w:r>
        <w:rPr>
          <w:rFonts w:hint="eastAsia" w:ascii="宋体" w:hAnsi="宋体" w:eastAsia="宋体" w:cs="宋体"/>
          <w:color w:val="000000"/>
          <w:sz w:val="21"/>
          <w:szCs w:val="21"/>
          <w:highlight w:val="none"/>
          <w:shd w:val="clear" w:color="auto" w:fill="auto"/>
          <w:lang w:val="en-US" w:eastAsia="zh-CN"/>
        </w:rPr>
        <w:t>09</w:t>
      </w:r>
      <w:r>
        <w:rPr>
          <w:rFonts w:hint="eastAsia" w:ascii="宋体" w:hAnsi="宋体" w:eastAsia="宋体" w:cs="宋体"/>
          <w:color w:val="000000"/>
          <w:sz w:val="21"/>
          <w:szCs w:val="21"/>
          <w:highlight w:val="none"/>
          <w:shd w:val="clear" w:color="auto" w:fill="auto"/>
        </w:rPr>
        <w:t>时30分</w:t>
      </w:r>
      <w:r>
        <w:rPr>
          <w:rFonts w:hint="eastAsia" w:ascii="宋体" w:hAnsi="宋体" w:eastAsia="宋体" w:cs="宋体"/>
          <w:bCs/>
          <w:color w:val="000000"/>
          <w:sz w:val="21"/>
          <w:szCs w:val="21"/>
          <w:highlight w:val="none"/>
          <w:shd w:val="clear" w:color="auto" w:fill="auto"/>
        </w:rPr>
        <w:t>（北京时间）。</w:t>
      </w:r>
    </w:p>
    <w:p w14:paraId="78402C21">
      <w:pPr>
        <w:keepNext w:val="0"/>
        <w:keepLines w:val="0"/>
        <w:pageBreakBefore w:val="0"/>
        <w:kinsoku/>
        <w:wordWrap/>
        <w:overflowPunct/>
        <w:topLinePunct w:val="0"/>
        <w:bidi w:val="0"/>
        <w:spacing w:line="360" w:lineRule="auto"/>
        <w:ind w:left="0" w:right="0" w:firstLine="420" w:firstLineChars="200"/>
        <w:jc w:val="both"/>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地点：通过</w:t>
      </w:r>
      <w:r>
        <w:rPr>
          <w:rFonts w:hint="eastAsia" w:ascii="宋体" w:hAnsi="宋体" w:eastAsia="宋体" w:cs="宋体"/>
          <w:color w:val="000000"/>
          <w:sz w:val="21"/>
          <w:szCs w:val="21"/>
          <w:highlight w:val="none"/>
          <w:shd w:val="clear" w:color="auto" w:fill="auto"/>
          <w:lang w:eastAsia="zh-CN"/>
        </w:rPr>
        <w:t>广西政府采购云平台</w:t>
      </w:r>
      <w:r>
        <w:rPr>
          <w:rFonts w:hint="eastAsia" w:ascii="宋体" w:hAnsi="宋体" w:eastAsia="宋体" w:cs="宋体"/>
          <w:color w:val="000000"/>
          <w:sz w:val="21"/>
          <w:szCs w:val="21"/>
          <w:highlight w:val="none"/>
          <w:shd w:val="clear" w:color="auto" w:fill="auto"/>
        </w:rPr>
        <w:t>实行在线响应。</w:t>
      </w:r>
    </w:p>
    <w:p w14:paraId="3B7306C8">
      <w:pPr>
        <w:keepNext w:val="0"/>
        <w:keepLines w:val="0"/>
        <w:pageBreakBefore w:val="0"/>
        <w:kinsoku/>
        <w:wordWrap/>
        <w:overflowPunct/>
        <w:topLinePunct w:val="0"/>
        <w:bidi w:val="0"/>
        <w:spacing w:line="360" w:lineRule="auto"/>
        <w:ind w:left="0" w:right="0"/>
        <w:jc w:val="both"/>
        <w:outlineLvl w:val="1"/>
        <w:rPr>
          <w:rFonts w:hint="eastAsia" w:ascii="宋体" w:hAnsi="宋体" w:eastAsia="宋体" w:cs="宋体"/>
          <w:b/>
          <w:bCs/>
          <w:color w:val="000000"/>
          <w:sz w:val="21"/>
          <w:szCs w:val="21"/>
          <w:highlight w:val="none"/>
          <w:shd w:val="clear" w:color="auto" w:fill="auto"/>
        </w:rPr>
      </w:pPr>
      <w:bookmarkStart w:id="56" w:name="_Toc28839"/>
      <w:bookmarkStart w:id="57" w:name="_Toc4557"/>
      <w:r>
        <w:rPr>
          <w:rFonts w:hint="eastAsia" w:ascii="宋体" w:hAnsi="宋体" w:eastAsia="宋体" w:cs="宋体"/>
          <w:b/>
          <w:bCs/>
          <w:color w:val="000000"/>
          <w:sz w:val="21"/>
          <w:szCs w:val="21"/>
          <w:highlight w:val="none"/>
          <w:shd w:val="clear" w:color="auto" w:fill="auto"/>
        </w:rPr>
        <w:t>五、开启</w:t>
      </w:r>
      <w:bookmarkEnd w:id="56"/>
      <w:bookmarkEnd w:id="57"/>
    </w:p>
    <w:p w14:paraId="226DAE9C">
      <w:pPr>
        <w:keepNext w:val="0"/>
        <w:keepLines w:val="0"/>
        <w:pageBreakBefore w:val="0"/>
        <w:kinsoku/>
        <w:wordWrap/>
        <w:overflowPunct/>
        <w:topLinePunct w:val="0"/>
        <w:bidi w:val="0"/>
        <w:spacing w:line="360" w:lineRule="auto"/>
        <w:ind w:left="0" w:right="0" w:firstLine="420" w:firstLineChars="200"/>
        <w:jc w:val="both"/>
        <w:rPr>
          <w:rFonts w:hint="eastAsia" w:ascii="宋体" w:hAnsi="宋体" w:eastAsia="宋体" w:cs="宋体"/>
          <w:color w:val="000000"/>
          <w:sz w:val="21"/>
          <w:szCs w:val="21"/>
          <w:highlight w:val="none"/>
          <w:shd w:val="clear" w:color="auto" w:fill="auto"/>
        </w:rPr>
      </w:pPr>
      <w:r>
        <w:rPr>
          <w:rFonts w:hint="eastAsia" w:ascii="宋体" w:hAnsi="宋体" w:eastAsia="宋体" w:cs="宋体"/>
          <w:bCs/>
          <w:color w:val="000000"/>
          <w:sz w:val="21"/>
          <w:szCs w:val="21"/>
          <w:highlight w:val="none"/>
          <w:shd w:val="clear" w:color="auto" w:fill="auto"/>
        </w:rPr>
        <w:t>时间</w:t>
      </w:r>
      <w:r>
        <w:rPr>
          <w:rFonts w:hint="eastAsia" w:ascii="宋体" w:hAnsi="宋体" w:eastAsia="宋体" w:cs="宋体"/>
          <w:color w:val="000000"/>
          <w:sz w:val="21"/>
          <w:szCs w:val="21"/>
          <w:highlight w:val="none"/>
          <w:shd w:val="clear" w:color="auto" w:fill="auto"/>
        </w:rPr>
        <w:t>：</w:t>
      </w:r>
      <w:r>
        <w:rPr>
          <w:rFonts w:hint="eastAsia" w:ascii="宋体" w:hAnsi="宋体" w:eastAsia="宋体" w:cs="宋体"/>
          <w:bCs/>
          <w:color w:val="000000"/>
          <w:sz w:val="21"/>
          <w:szCs w:val="21"/>
          <w:highlight w:val="none"/>
          <w:shd w:val="clear" w:color="auto" w:fill="auto"/>
          <w:lang w:eastAsia="zh-CN"/>
        </w:rPr>
        <w:t>2025年07月</w:t>
      </w:r>
      <w:r>
        <w:rPr>
          <w:rFonts w:hint="eastAsia" w:ascii="宋体" w:hAnsi="宋体" w:cs="宋体"/>
          <w:bCs/>
          <w:color w:val="000000"/>
          <w:sz w:val="21"/>
          <w:szCs w:val="21"/>
          <w:highlight w:val="none"/>
          <w:shd w:val="clear" w:color="auto" w:fill="auto"/>
          <w:lang w:val="en-US" w:eastAsia="zh-CN"/>
        </w:rPr>
        <w:t>25</w:t>
      </w:r>
      <w:r>
        <w:rPr>
          <w:rFonts w:hint="eastAsia" w:ascii="宋体" w:hAnsi="宋体" w:eastAsia="宋体" w:cs="宋体"/>
          <w:bCs/>
          <w:color w:val="000000"/>
          <w:sz w:val="21"/>
          <w:szCs w:val="21"/>
          <w:highlight w:val="none"/>
          <w:shd w:val="clear" w:color="auto" w:fill="auto"/>
          <w:lang w:eastAsia="zh-CN"/>
        </w:rPr>
        <w:t>日</w:t>
      </w:r>
      <w:r>
        <w:rPr>
          <w:rFonts w:hint="eastAsia" w:ascii="宋体" w:hAnsi="宋体" w:eastAsia="宋体" w:cs="宋体"/>
          <w:color w:val="000000"/>
          <w:sz w:val="21"/>
          <w:szCs w:val="21"/>
          <w:highlight w:val="none"/>
          <w:shd w:val="clear" w:color="auto" w:fill="auto"/>
          <w:lang w:val="en-US" w:eastAsia="zh-CN"/>
        </w:rPr>
        <w:t>09</w:t>
      </w:r>
      <w:r>
        <w:rPr>
          <w:rFonts w:hint="eastAsia" w:ascii="宋体" w:hAnsi="宋体" w:eastAsia="宋体" w:cs="宋体"/>
          <w:color w:val="000000"/>
          <w:sz w:val="21"/>
          <w:szCs w:val="21"/>
          <w:highlight w:val="none"/>
          <w:shd w:val="clear" w:color="auto" w:fill="auto"/>
        </w:rPr>
        <w:t>时</w:t>
      </w:r>
      <w:r>
        <w:rPr>
          <w:rFonts w:hint="eastAsia" w:ascii="宋体" w:hAnsi="宋体" w:eastAsia="宋体" w:cs="宋体"/>
          <w:color w:val="000000"/>
          <w:sz w:val="21"/>
          <w:szCs w:val="21"/>
          <w:highlight w:val="none"/>
          <w:shd w:val="clear" w:color="auto" w:fill="auto"/>
          <w:lang w:val="en-US" w:eastAsia="zh-CN"/>
        </w:rPr>
        <w:t>3</w:t>
      </w:r>
      <w:r>
        <w:rPr>
          <w:rFonts w:hint="eastAsia" w:ascii="宋体" w:hAnsi="宋体" w:eastAsia="宋体" w:cs="宋体"/>
          <w:color w:val="000000"/>
          <w:sz w:val="21"/>
          <w:szCs w:val="21"/>
          <w:highlight w:val="none"/>
          <w:shd w:val="clear" w:color="auto" w:fill="auto"/>
        </w:rPr>
        <w:t>0分（北京时间）截标后。</w:t>
      </w:r>
    </w:p>
    <w:p w14:paraId="682B6E58">
      <w:pPr>
        <w:keepNext w:val="0"/>
        <w:keepLines w:val="0"/>
        <w:pageBreakBefore w:val="0"/>
        <w:kinsoku/>
        <w:wordWrap/>
        <w:overflowPunct/>
        <w:topLinePunct w:val="0"/>
        <w:bidi w:val="0"/>
        <w:spacing w:line="360" w:lineRule="auto"/>
        <w:ind w:left="0" w:right="0" w:firstLine="420" w:firstLineChars="200"/>
        <w:jc w:val="both"/>
        <w:rPr>
          <w:rFonts w:hint="eastAsia" w:ascii="宋体" w:hAnsi="宋体" w:eastAsia="宋体" w:cs="宋体"/>
          <w:color w:val="000000"/>
          <w:sz w:val="21"/>
          <w:szCs w:val="21"/>
          <w:highlight w:val="none"/>
          <w:shd w:val="clear" w:color="auto" w:fill="auto"/>
        </w:rPr>
      </w:pPr>
      <w:r>
        <w:rPr>
          <w:rFonts w:hint="eastAsia" w:ascii="宋体" w:hAnsi="宋体" w:eastAsia="宋体" w:cs="宋体"/>
          <w:bCs/>
          <w:color w:val="000000"/>
          <w:sz w:val="21"/>
          <w:szCs w:val="21"/>
          <w:highlight w:val="none"/>
          <w:shd w:val="clear" w:color="auto" w:fill="auto"/>
        </w:rPr>
        <w:t>地点</w:t>
      </w:r>
      <w:r>
        <w:rPr>
          <w:rFonts w:hint="eastAsia" w:ascii="宋体" w:hAnsi="宋体" w:eastAsia="宋体" w:cs="宋体"/>
          <w:color w:val="000000"/>
          <w:sz w:val="21"/>
          <w:szCs w:val="21"/>
          <w:highlight w:val="none"/>
          <w:shd w:val="clear" w:color="auto" w:fill="auto"/>
        </w:rPr>
        <w:t>：通过</w:t>
      </w:r>
      <w:r>
        <w:rPr>
          <w:rFonts w:hint="eastAsia" w:ascii="宋体" w:hAnsi="宋体" w:eastAsia="宋体" w:cs="宋体"/>
          <w:color w:val="000000"/>
          <w:sz w:val="21"/>
          <w:szCs w:val="21"/>
          <w:highlight w:val="none"/>
          <w:shd w:val="clear" w:color="auto" w:fill="auto"/>
          <w:lang w:eastAsia="zh-CN"/>
        </w:rPr>
        <w:t>广西政府采购云平台</w:t>
      </w:r>
      <w:r>
        <w:rPr>
          <w:rFonts w:hint="eastAsia" w:ascii="宋体" w:hAnsi="宋体" w:eastAsia="宋体" w:cs="宋体"/>
          <w:color w:val="000000"/>
          <w:sz w:val="21"/>
          <w:szCs w:val="21"/>
          <w:highlight w:val="none"/>
          <w:shd w:val="clear" w:color="auto" w:fill="auto"/>
        </w:rPr>
        <w:t>实行在线解密开启。</w:t>
      </w:r>
    </w:p>
    <w:p w14:paraId="4D0991C0">
      <w:pPr>
        <w:keepNext w:val="0"/>
        <w:keepLines w:val="0"/>
        <w:pageBreakBefore w:val="0"/>
        <w:kinsoku/>
        <w:wordWrap/>
        <w:overflowPunct/>
        <w:topLinePunct w:val="0"/>
        <w:bidi w:val="0"/>
        <w:spacing w:line="360" w:lineRule="auto"/>
        <w:ind w:left="0" w:right="0"/>
        <w:jc w:val="both"/>
        <w:outlineLvl w:val="1"/>
        <w:rPr>
          <w:rFonts w:hint="eastAsia" w:ascii="宋体" w:hAnsi="宋体" w:eastAsia="宋体" w:cs="宋体"/>
          <w:b/>
          <w:bCs/>
          <w:color w:val="000000"/>
          <w:sz w:val="21"/>
          <w:szCs w:val="21"/>
          <w:highlight w:val="none"/>
          <w:shd w:val="clear" w:color="auto" w:fill="auto"/>
        </w:rPr>
      </w:pPr>
      <w:bookmarkStart w:id="58" w:name="_Toc7459"/>
      <w:bookmarkStart w:id="59" w:name="_Toc28359007"/>
      <w:bookmarkStart w:id="60" w:name="_Toc35393625"/>
      <w:bookmarkStart w:id="61" w:name="_Toc28359084"/>
      <w:bookmarkStart w:id="62" w:name="_Toc35393794"/>
      <w:bookmarkStart w:id="63" w:name="_Toc19362"/>
      <w:r>
        <w:rPr>
          <w:rFonts w:hint="eastAsia" w:ascii="宋体" w:hAnsi="宋体" w:eastAsia="宋体" w:cs="宋体"/>
          <w:b/>
          <w:bCs/>
          <w:color w:val="000000"/>
          <w:sz w:val="21"/>
          <w:szCs w:val="21"/>
          <w:highlight w:val="none"/>
          <w:shd w:val="clear" w:color="auto" w:fill="auto"/>
        </w:rPr>
        <w:t>六、公告期限</w:t>
      </w:r>
      <w:bookmarkEnd w:id="58"/>
      <w:bookmarkEnd w:id="59"/>
      <w:bookmarkEnd w:id="60"/>
      <w:bookmarkEnd w:id="61"/>
      <w:bookmarkEnd w:id="62"/>
      <w:bookmarkEnd w:id="63"/>
    </w:p>
    <w:p w14:paraId="48F61CD5">
      <w:pPr>
        <w:keepNext w:val="0"/>
        <w:keepLines w:val="0"/>
        <w:pageBreakBefore w:val="0"/>
        <w:kinsoku/>
        <w:wordWrap/>
        <w:overflowPunct/>
        <w:topLinePunct w:val="0"/>
        <w:bidi w:val="0"/>
        <w:spacing w:line="360" w:lineRule="auto"/>
        <w:ind w:left="0" w:right="0" w:firstLine="420" w:firstLineChars="200"/>
        <w:jc w:val="both"/>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自本公告发布之日起</w:t>
      </w:r>
      <w:r>
        <w:rPr>
          <w:rFonts w:hint="eastAsia" w:ascii="宋体" w:hAnsi="宋体" w:eastAsia="宋体" w:cs="宋体"/>
          <w:color w:val="000000"/>
          <w:kern w:val="0"/>
          <w:sz w:val="21"/>
          <w:szCs w:val="21"/>
          <w:highlight w:val="none"/>
          <w:shd w:val="clear" w:color="auto" w:fill="auto"/>
          <w:lang w:val="en-US" w:eastAsia="zh-CN"/>
        </w:rPr>
        <w:t>5</w:t>
      </w:r>
      <w:r>
        <w:rPr>
          <w:rFonts w:hint="eastAsia" w:ascii="宋体" w:hAnsi="宋体" w:eastAsia="宋体" w:cs="宋体"/>
          <w:color w:val="000000"/>
          <w:kern w:val="0"/>
          <w:sz w:val="21"/>
          <w:szCs w:val="21"/>
          <w:highlight w:val="none"/>
          <w:shd w:val="clear" w:color="auto" w:fill="auto"/>
        </w:rPr>
        <w:t>个工作日。</w:t>
      </w:r>
    </w:p>
    <w:p w14:paraId="45D515F7">
      <w:pPr>
        <w:keepNext w:val="0"/>
        <w:keepLines w:val="0"/>
        <w:pageBreakBefore w:val="0"/>
        <w:kinsoku/>
        <w:wordWrap/>
        <w:overflowPunct/>
        <w:topLinePunct w:val="0"/>
        <w:bidi w:val="0"/>
        <w:spacing w:line="360" w:lineRule="auto"/>
        <w:ind w:left="0" w:right="0"/>
        <w:jc w:val="both"/>
        <w:outlineLvl w:val="1"/>
        <w:rPr>
          <w:rFonts w:hint="eastAsia" w:ascii="宋体" w:hAnsi="宋体" w:eastAsia="宋体" w:cs="宋体"/>
          <w:b/>
          <w:bCs/>
          <w:color w:val="000000"/>
          <w:sz w:val="21"/>
          <w:szCs w:val="21"/>
          <w:highlight w:val="none"/>
          <w:shd w:val="clear" w:color="auto" w:fill="auto"/>
        </w:rPr>
      </w:pPr>
      <w:bookmarkStart w:id="64" w:name="_Toc29045"/>
      <w:bookmarkStart w:id="65" w:name="_Toc35393795"/>
      <w:bookmarkStart w:id="66" w:name="_Toc35393626"/>
      <w:bookmarkStart w:id="67" w:name="_Toc17380"/>
      <w:r>
        <w:rPr>
          <w:rFonts w:hint="eastAsia" w:ascii="宋体" w:hAnsi="宋体" w:eastAsia="宋体" w:cs="宋体"/>
          <w:b/>
          <w:bCs/>
          <w:color w:val="000000"/>
          <w:sz w:val="21"/>
          <w:szCs w:val="21"/>
          <w:highlight w:val="none"/>
          <w:shd w:val="clear" w:color="auto" w:fill="auto"/>
        </w:rPr>
        <w:t>七、其他补充事宜</w:t>
      </w:r>
      <w:bookmarkEnd w:id="64"/>
      <w:bookmarkEnd w:id="65"/>
      <w:bookmarkEnd w:id="66"/>
      <w:bookmarkEnd w:id="67"/>
    </w:p>
    <w:p w14:paraId="75A7772D">
      <w:pPr>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bookmarkStart w:id="68" w:name="_Toc148"/>
      <w:bookmarkStart w:id="69" w:name="_Toc5677"/>
      <w:r>
        <w:rPr>
          <w:rFonts w:hint="eastAsia" w:ascii="宋体" w:hAnsi="宋体" w:eastAsia="宋体" w:cs="宋体"/>
          <w:color w:val="auto"/>
          <w:szCs w:val="21"/>
          <w:highlight w:val="none"/>
        </w:rPr>
        <w:t>1.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2.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3.磋商保证金：无</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4.网上查询地址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www.ccgp.gov.cn（中国政府采购网）、www.ccgp-guangxi.gov.cn（广西壮族自治区政府采购网）、zfcg.czj.guilin.gov.cn（桂林市政府采购网）。</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5. 本项目需要落实的政府采购政策</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（1）《政府采购促进中小企业发展管理办法》（财库[2020]46号）。</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（2）《关于政府采购支持监狱企业发展有关问题的通知》（财库[2014]68号）。</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（3）《关于促进残疾人就业政府采购政策的通知》（财库[2017]141号）。</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（4）《关于我区政府采购支持监狱企业发展有关问题的通知》（桂财采[2015]24号）。</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（5）本项目为专门面向中小企业采购的项目。</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（6）本项目中小</w:t>
      </w:r>
      <w:r>
        <w:rPr>
          <w:rFonts w:hint="eastAsia" w:ascii="宋体" w:hAnsi="宋体" w:eastAsia="宋体" w:cs="宋体"/>
          <w:color w:val="auto"/>
          <w:szCs w:val="21"/>
          <w:highlight w:val="none"/>
          <w:lang w:val="en-US" w:eastAsia="zh-CN"/>
        </w:rPr>
        <w:t>微</w:t>
      </w:r>
      <w:r>
        <w:rPr>
          <w:rFonts w:hint="eastAsia" w:ascii="宋体" w:hAnsi="宋体" w:eastAsia="宋体" w:cs="宋体"/>
          <w:color w:val="auto"/>
          <w:szCs w:val="21"/>
          <w:highlight w:val="none"/>
        </w:rPr>
        <w:t>企业划分标准所属行业：建筑业。</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6.响应文件解密时间：提交响应文件截止时间，广西政府采购云平台自动提取所有供应商响应文件，各供应商须在提交响应文件截止后30分钟内，登录广西政府采购云平台，通过“项目采购-开标评标”功能解密电子响应文件。若供应商在规定时间内无法解密或解密失败或超时解密的，系统默认自动放弃，响应文件按无效响应处理。</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7.“广西政府采购云平台”电子投标相关事宜说明：</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7.1 本项目实行全流程电子化采购，供应商通过“广西政府采购云平台”参与电子投标，并应做好以下相关准备工作：①在“广西政府采购云平台”注册成为正式供应商（操作方法详见广西政府采购网—办事服务—办事指南）；②完成CA认证证书申领和绑定（费用由供应商自行承担，办理流程详见广西政府采购网—办事服务—办事指南，完成CA认证证书办理预计一周左右，建议供应商尽快办理）；③下载“广西政府采购云平台新版客户端”（新版客户端下载路径：广西政府采购网（访问地址http://zfcg.gxzf.gov.cn/）—办事服务—下载专区）并安装成功，供应商应当在响应文件提交截止时间前在“广西政府采购云平台”完成身份认证，确保能够对相关数据电子文件进行加密和使用电子签章；④自备计算机和网络设备并确保能接入互联网（费用由供应商自行承担，设备确保可进行视频通话和读取广西政府采购云平台CA认证证书）。因供应商未做好相关准备工作等自身原因导致无法参加本项目电子投标或投标失败的，造成的一切后果，由供应商自行承担。</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7.2电子投标具体操作流程参考《政府采购项目电子交易管理操作指南-供应商》，如遇平台技术问题详询95763。</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7.3电子响应文件的制作、加密、提交等相关事宜详见第二章“投标人须知”。  </w:t>
      </w:r>
    </w:p>
    <w:p w14:paraId="5EDD39F2">
      <w:pPr>
        <w:keepNext w:val="0"/>
        <w:keepLines w:val="0"/>
        <w:pageBreakBefore w:val="0"/>
        <w:kinsoku/>
        <w:wordWrap/>
        <w:overflowPunct/>
        <w:topLinePunct w:val="0"/>
        <w:bidi w:val="0"/>
        <w:spacing w:line="360" w:lineRule="auto"/>
        <w:ind w:left="0" w:right="0"/>
        <w:jc w:val="both"/>
        <w:outlineLvl w:val="1"/>
        <w:rPr>
          <w:rFonts w:hint="eastAsia" w:ascii="宋体" w:hAnsi="宋体" w:eastAsia="宋体" w:cs="宋体"/>
          <w:b/>
          <w:bCs/>
          <w:color w:val="000000"/>
          <w:sz w:val="21"/>
          <w:szCs w:val="21"/>
          <w:highlight w:val="none"/>
          <w:shd w:val="clear" w:color="auto" w:fill="auto"/>
        </w:rPr>
      </w:pPr>
      <w:r>
        <w:rPr>
          <w:rFonts w:hint="eastAsia" w:ascii="宋体" w:hAnsi="宋体" w:eastAsia="宋体" w:cs="宋体"/>
          <w:b/>
          <w:bCs/>
          <w:color w:val="000000"/>
          <w:sz w:val="21"/>
          <w:szCs w:val="21"/>
          <w:highlight w:val="none"/>
          <w:shd w:val="clear" w:color="auto" w:fill="auto"/>
        </w:rPr>
        <w:t>八、凡对本次采购提出询问，请按以下方式联系。</w:t>
      </w:r>
      <w:bookmarkEnd w:id="46"/>
      <w:bookmarkEnd w:id="47"/>
      <w:bookmarkEnd w:id="48"/>
      <w:bookmarkEnd w:id="49"/>
      <w:bookmarkEnd w:id="68"/>
      <w:bookmarkEnd w:id="69"/>
    </w:p>
    <w:p w14:paraId="7CFF5E3C">
      <w:pPr>
        <w:pStyle w:val="80"/>
        <w:keepNext w:val="0"/>
        <w:keepLines w:val="0"/>
        <w:pageBreakBefore w:val="0"/>
        <w:kinsoku/>
        <w:wordWrap/>
        <w:overflowPunct/>
        <w:topLinePunct w:val="0"/>
        <w:bidi w:val="0"/>
        <w:spacing w:line="360" w:lineRule="auto"/>
        <w:ind w:left="0" w:right="0" w:firstLine="420" w:firstLineChars="200"/>
        <w:jc w:val="both"/>
        <w:rPr>
          <w:rFonts w:hint="eastAsia" w:ascii="宋体" w:hAnsi="宋体" w:eastAsia="宋体" w:cs="宋体"/>
          <w:color w:val="000000"/>
          <w:sz w:val="21"/>
          <w:szCs w:val="21"/>
          <w:highlight w:val="none"/>
          <w:shd w:val="clear" w:color="auto" w:fill="auto"/>
        </w:rPr>
      </w:pPr>
      <w:bookmarkStart w:id="70" w:name="_Toc14195"/>
      <w:bookmarkStart w:id="71" w:name="_Toc11940"/>
      <w:bookmarkStart w:id="72" w:name="_Toc5859"/>
      <w:bookmarkStart w:id="73" w:name="_Toc28750"/>
      <w:bookmarkStart w:id="74" w:name="_Toc13906"/>
      <w:bookmarkStart w:id="75" w:name="_Toc19796"/>
      <w:r>
        <w:rPr>
          <w:rFonts w:hint="eastAsia" w:ascii="宋体" w:hAnsi="宋体" w:eastAsia="宋体" w:cs="宋体"/>
          <w:color w:val="000000"/>
          <w:sz w:val="21"/>
          <w:szCs w:val="21"/>
          <w:highlight w:val="none"/>
          <w:shd w:val="clear" w:color="auto" w:fill="auto"/>
        </w:rPr>
        <w:t>1、采购人信息</w:t>
      </w:r>
      <w:bookmarkEnd w:id="70"/>
      <w:bookmarkEnd w:id="71"/>
      <w:bookmarkEnd w:id="72"/>
      <w:bookmarkEnd w:id="73"/>
      <w:bookmarkEnd w:id="74"/>
      <w:bookmarkEnd w:id="75"/>
    </w:p>
    <w:p w14:paraId="6A68D28B">
      <w:pPr>
        <w:pStyle w:val="80"/>
        <w:keepNext w:val="0"/>
        <w:keepLines w:val="0"/>
        <w:pageBreakBefore w:val="0"/>
        <w:kinsoku/>
        <w:wordWrap/>
        <w:overflowPunct/>
        <w:topLinePunct w:val="0"/>
        <w:bidi w:val="0"/>
        <w:spacing w:line="360" w:lineRule="auto"/>
        <w:ind w:left="0" w:right="0" w:firstLine="630" w:firstLineChars="300"/>
        <w:jc w:val="both"/>
        <w:rPr>
          <w:rFonts w:hint="eastAsia" w:ascii="宋体" w:hAnsi="宋体" w:eastAsia="宋体" w:cs="宋体"/>
          <w:color w:val="000000"/>
          <w:sz w:val="21"/>
          <w:szCs w:val="21"/>
          <w:highlight w:val="none"/>
          <w:shd w:val="clear" w:color="auto" w:fill="auto"/>
          <w:lang w:eastAsia="zh-CN"/>
        </w:rPr>
      </w:pPr>
      <w:r>
        <w:rPr>
          <w:rFonts w:hint="eastAsia" w:ascii="宋体" w:hAnsi="宋体" w:eastAsia="宋体" w:cs="宋体"/>
          <w:color w:val="000000"/>
          <w:sz w:val="21"/>
          <w:szCs w:val="21"/>
          <w:highlight w:val="none"/>
          <w:shd w:val="clear" w:color="auto" w:fill="auto"/>
        </w:rPr>
        <w:t>名称</w:t>
      </w:r>
      <w:r>
        <w:rPr>
          <w:rFonts w:hint="eastAsia" w:ascii="宋体" w:hAnsi="宋体" w:eastAsia="宋体" w:cs="宋体"/>
          <w:color w:val="000000"/>
          <w:sz w:val="21"/>
          <w:szCs w:val="21"/>
          <w:highlight w:val="none"/>
          <w:shd w:val="clear" w:color="auto" w:fill="auto"/>
          <w:lang w:eastAsia="zh-CN"/>
        </w:rPr>
        <w:t>：桂林市七星区教育局</w:t>
      </w:r>
    </w:p>
    <w:p w14:paraId="4FC14B45">
      <w:pPr>
        <w:pStyle w:val="80"/>
        <w:keepNext w:val="0"/>
        <w:keepLines w:val="0"/>
        <w:pageBreakBefore w:val="0"/>
        <w:kinsoku/>
        <w:wordWrap/>
        <w:overflowPunct/>
        <w:topLinePunct w:val="0"/>
        <w:bidi w:val="0"/>
        <w:spacing w:line="360" w:lineRule="auto"/>
        <w:ind w:left="0" w:right="0" w:firstLine="630" w:firstLineChars="300"/>
        <w:jc w:val="both"/>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地址：桂林市七星区码坪街15号</w:t>
      </w:r>
    </w:p>
    <w:p w14:paraId="592A0222">
      <w:pPr>
        <w:pStyle w:val="80"/>
        <w:keepNext w:val="0"/>
        <w:keepLines w:val="0"/>
        <w:pageBreakBefore w:val="0"/>
        <w:kinsoku/>
        <w:wordWrap/>
        <w:overflowPunct/>
        <w:topLinePunct w:val="0"/>
        <w:bidi w:val="0"/>
        <w:spacing w:line="360" w:lineRule="auto"/>
        <w:ind w:left="0" w:right="0" w:firstLine="630" w:firstLineChars="300"/>
        <w:jc w:val="both"/>
        <w:rPr>
          <w:rFonts w:hint="default" w:ascii="宋体" w:hAnsi="宋体" w:eastAsia="宋体" w:cs="宋体"/>
          <w:color w:val="000000"/>
          <w:sz w:val="21"/>
          <w:szCs w:val="21"/>
          <w:highlight w:val="none"/>
          <w:shd w:val="clear" w:color="auto" w:fill="auto"/>
          <w:lang w:val="en-US" w:eastAsia="zh-CN"/>
        </w:rPr>
      </w:pPr>
      <w:r>
        <w:rPr>
          <w:rFonts w:hint="eastAsia" w:ascii="宋体" w:hAnsi="宋体" w:eastAsia="宋体" w:cs="宋体"/>
          <w:color w:val="000000"/>
          <w:sz w:val="21"/>
          <w:szCs w:val="21"/>
          <w:highlight w:val="none"/>
          <w:shd w:val="clear" w:color="auto" w:fill="auto"/>
        </w:rPr>
        <w:t>联系</w:t>
      </w:r>
      <w:r>
        <w:rPr>
          <w:rFonts w:hint="eastAsia" w:ascii="宋体" w:hAnsi="宋体" w:cs="宋体"/>
          <w:color w:val="000000"/>
          <w:sz w:val="21"/>
          <w:szCs w:val="21"/>
          <w:highlight w:val="none"/>
          <w:shd w:val="clear" w:color="auto" w:fill="auto"/>
          <w:lang w:eastAsia="zh-CN"/>
        </w:rPr>
        <w:t>人</w:t>
      </w:r>
      <w:r>
        <w:rPr>
          <w:rFonts w:hint="eastAsia" w:ascii="宋体" w:hAnsi="宋体" w:eastAsia="宋体" w:cs="宋体"/>
          <w:color w:val="000000"/>
          <w:sz w:val="21"/>
          <w:szCs w:val="21"/>
          <w:highlight w:val="none"/>
          <w:shd w:val="clear" w:color="auto" w:fill="auto"/>
        </w:rPr>
        <w:t>：</w:t>
      </w:r>
      <w:bookmarkStart w:id="76" w:name="_Toc20363"/>
      <w:bookmarkStart w:id="77" w:name="_Toc23917"/>
      <w:bookmarkStart w:id="78" w:name="_Toc2568"/>
      <w:bookmarkStart w:id="79" w:name="_Toc12451"/>
      <w:bookmarkStart w:id="80" w:name="_Toc25786"/>
      <w:bookmarkStart w:id="81" w:name="_Toc12722"/>
      <w:r>
        <w:rPr>
          <w:rFonts w:hint="eastAsia" w:ascii="宋体" w:hAnsi="宋体" w:eastAsia="宋体" w:cs="宋体"/>
          <w:color w:val="000000"/>
          <w:sz w:val="21"/>
          <w:szCs w:val="21"/>
          <w:highlight w:val="none"/>
          <w:shd w:val="clear" w:color="auto" w:fill="auto"/>
        </w:rPr>
        <w:t>廖超强</w:t>
      </w:r>
      <w:r>
        <w:rPr>
          <w:rFonts w:hint="eastAsia" w:ascii="宋体" w:hAnsi="宋体" w:eastAsia="宋体" w:cs="宋体"/>
          <w:color w:val="000000"/>
          <w:sz w:val="21"/>
          <w:szCs w:val="21"/>
          <w:highlight w:val="none"/>
          <w:shd w:val="clear" w:color="auto" w:fill="auto"/>
          <w:lang w:val="en-US" w:eastAsia="zh-CN"/>
        </w:rPr>
        <w:t xml:space="preserve">     </w:t>
      </w:r>
    </w:p>
    <w:p w14:paraId="1EAEA6A6">
      <w:pPr>
        <w:pStyle w:val="80"/>
        <w:keepNext w:val="0"/>
        <w:keepLines w:val="0"/>
        <w:pageBreakBefore w:val="0"/>
        <w:kinsoku/>
        <w:wordWrap/>
        <w:overflowPunct/>
        <w:topLinePunct w:val="0"/>
        <w:bidi w:val="0"/>
        <w:spacing w:line="360" w:lineRule="auto"/>
        <w:ind w:left="0" w:right="0" w:firstLine="630" w:firstLineChars="300"/>
        <w:jc w:val="both"/>
        <w:rPr>
          <w:rFonts w:hint="eastAsia" w:ascii="宋体" w:hAnsi="宋体" w:eastAsia="宋体" w:cs="宋体"/>
          <w:color w:val="000000"/>
          <w:sz w:val="21"/>
          <w:szCs w:val="21"/>
          <w:highlight w:val="none"/>
          <w:shd w:val="clear" w:color="auto" w:fill="auto"/>
          <w:lang w:val="en-US" w:eastAsia="zh-CN"/>
        </w:rPr>
      </w:pPr>
      <w:r>
        <w:rPr>
          <w:rFonts w:hint="eastAsia" w:ascii="宋体" w:hAnsi="宋体" w:eastAsia="宋体" w:cs="宋体"/>
          <w:color w:val="000000"/>
          <w:sz w:val="21"/>
          <w:szCs w:val="21"/>
          <w:highlight w:val="none"/>
          <w:shd w:val="clear" w:color="auto" w:fill="auto"/>
        </w:rPr>
        <w:t>联系方式：18934817790</w:t>
      </w:r>
    </w:p>
    <w:p w14:paraId="6B5FE11E">
      <w:pPr>
        <w:pStyle w:val="80"/>
        <w:keepNext w:val="0"/>
        <w:keepLines w:val="0"/>
        <w:pageBreakBefore w:val="0"/>
        <w:kinsoku/>
        <w:wordWrap/>
        <w:overflowPunct/>
        <w:topLinePunct w:val="0"/>
        <w:bidi w:val="0"/>
        <w:spacing w:line="360" w:lineRule="auto"/>
        <w:ind w:left="0" w:right="0" w:firstLine="420" w:firstLineChars="200"/>
        <w:jc w:val="both"/>
        <w:rPr>
          <w:rFonts w:hint="eastAsia" w:ascii="宋体" w:hAnsi="宋体" w:eastAsia="宋体" w:cs="宋体"/>
          <w:color w:val="000000"/>
          <w:kern w:val="0"/>
          <w:sz w:val="21"/>
          <w:szCs w:val="21"/>
          <w:highlight w:val="none"/>
          <w:shd w:val="clear" w:color="auto" w:fill="auto"/>
          <w:lang w:val="en-US" w:eastAsia="zh-CN" w:bidi="ar-SA"/>
        </w:rPr>
      </w:pPr>
      <w:bookmarkStart w:id="82" w:name="_Toc30180"/>
      <w:r>
        <w:rPr>
          <w:rFonts w:hint="eastAsia" w:ascii="宋体" w:hAnsi="宋体" w:eastAsia="宋体" w:cs="宋体"/>
          <w:color w:val="000000"/>
          <w:kern w:val="0"/>
          <w:sz w:val="21"/>
          <w:szCs w:val="21"/>
          <w:highlight w:val="none"/>
          <w:shd w:val="clear" w:color="auto" w:fill="auto"/>
          <w:lang w:val="en-US" w:eastAsia="zh-CN" w:bidi="ar-SA"/>
        </w:rPr>
        <w:t>2、采购代理机构信息</w:t>
      </w:r>
      <w:bookmarkEnd w:id="76"/>
      <w:bookmarkEnd w:id="77"/>
      <w:bookmarkEnd w:id="78"/>
      <w:bookmarkEnd w:id="79"/>
      <w:bookmarkEnd w:id="80"/>
      <w:bookmarkEnd w:id="81"/>
      <w:bookmarkEnd w:id="82"/>
    </w:p>
    <w:p w14:paraId="634758A4">
      <w:pPr>
        <w:kinsoku/>
        <w:wordWrap/>
        <w:overflowPunct/>
        <w:topLinePunct w:val="0"/>
        <w:bidi w:val="0"/>
        <w:spacing w:line="360" w:lineRule="auto"/>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名    称：</w:t>
      </w:r>
      <w:r>
        <w:rPr>
          <w:rFonts w:hint="eastAsia" w:ascii="宋体" w:hAnsi="宋体" w:cs="宋体"/>
          <w:color w:val="auto"/>
          <w:highlight w:val="none"/>
          <w:lang w:eastAsia="zh-CN"/>
        </w:rPr>
        <w:t>广西鼎策工程顾问有限责任公司</w:t>
      </w:r>
      <w:r>
        <w:rPr>
          <w:rFonts w:hint="eastAsia" w:ascii="宋体" w:hAnsi="宋体" w:eastAsia="宋体" w:cs="宋体"/>
          <w:color w:val="auto"/>
          <w:highlight w:val="none"/>
        </w:rPr>
        <w:t xml:space="preserve">　　　　　　　　　 </w:t>
      </w:r>
    </w:p>
    <w:p w14:paraId="4CE343D3">
      <w:pPr>
        <w:kinsoku/>
        <w:wordWrap/>
        <w:overflowPunct/>
        <w:topLinePunct w:val="0"/>
        <w:bidi w:val="0"/>
        <w:spacing w:line="360" w:lineRule="auto"/>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地　  址：桂林市七星区信息产业园软件大厦2号梯6楼　　　　　　　　　</w:t>
      </w:r>
    </w:p>
    <w:p w14:paraId="14B00E27">
      <w:pPr>
        <w:kinsoku/>
        <w:wordWrap/>
        <w:overflowPunct/>
        <w:topLinePunct w:val="0"/>
        <w:bidi w:val="0"/>
        <w:spacing w:line="360" w:lineRule="auto"/>
        <w:ind w:firstLine="525" w:firstLineChars="250"/>
        <w:textAlignment w:val="auto"/>
        <w:rPr>
          <w:rFonts w:hint="eastAsia" w:ascii="宋体" w:hAnsi="宋体" w:cs="宋体"/>
          <w:color w:val="auto"/>
          <w:highlight w:val="none"/>
          <w:lang w:eastAsia="zh-CN"/>
        </w:rPr>
      </w:pPr>
      <w:r>
        <w:rPr>
          <w:rFonts w:hint="eastAsia" w:ascii="宋体" w:hAnsi="宋体" w:eastAsia="宋体" w:cs="宋体"/>
          <w:color w:val="auto"/>
          <w:highlight w:val="none"/>
        </w:rPr>
        <w:t>联系</w:t>
      </w:r>
      <w:r>
        <w:rPr>
          <w:rFonts w:hint="eastAsia" w:ascii="宋体" w:hAnsi="宋体" w:cs="宋体"/>
          <w:color w:val="auto"/>
          <w:highlight w:val="none"/>
          <w:lang w:eastAsia="zh-CN"/>
        </w:rPr>
        <w:t>人</w:t>
      </w:r>
      <w:r>
        <w:rPr>
          <w:rFonts w:hint="eastAsia" w:ascii="宋体" w:hAnsi="宋体" w:eastAsia="宋体" w:cs="宋体"/>
          <w:color w:val="auto"/>
          <w:highlight w:val="none"/>
        </w:rPr>
        <w:t>：</w:t>
      </w:r>
      <w:r>
        <w:rPr>
          <w:rFonts w:hint="eastAsia" w:ascii="宋体" w:hAnsi="宋体" w:cs="宋体"/>
          <w:color w:val="auto"/>
          <w:highlight w:val="none"/>
          <w:lang w:eastAsia="zh-CN"/>
        </w:rPr>
        <w:t>蒋丽英</w:t>
      </w:r>
    </w:p>
    <w:p w14:paraId="2F4B8A75">
      <w:pPr>
        <w:kinsoku/>
        <w:wordWrap/>
        <w:overflowPunct/>
        <w:topLinePunct w:val="0"/>
        <w:bidi w:val="0"/>
        <w:spacing w:line="360" w:lineRule="auto"/>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000000"/>
          <w:sz w:val="21"/>
          <w:szCs w:val="21"/>
          <w:highlight w:val="none"/>
          <w:shd w:val="clear" w:color="auto" w:fill="auto"/>
        </w:rPr>
        <w:t>联系方式</w:t>
      </w:r>
      <w:r>
        <w:rPr>
          <w:rFonts w:hint="eastAsia" w:ascii="宋体" w:hAnsi="宋体" w:eastAsia="宋体" w:cs="宋体"/>
          <w:color w:val="auto"/>
          <w:highlight w:val="none"/>
        </w:rPr>
        <w:t>：</w:t>
      </w:r>
      <w:r>
        <w:rPr>
          <w:rFonts w:hint="eastAsia" w:ascii="宋体" w:hAnsi="宋体" w:cs="宋体"/>
          <w:color w:val="auto"/>
          <w:highlight w:val="none"/>
          <w:lang w:val="en-US" w:eastAsia="zh-CN"/>
        </w:rPr>
        <w:t xml:space="preserve">18277301374   </w:t>
      </w:r>
      <w:r>
        <w:rPr>
          <w:rFonts w:hint="eastAsia" w:ascii="宋体" w:hAnsi="宋体" w:eastAsia="宋体" w:cs="宋体"/>
          <w:color w:val="auto"/>
          <w:highlight w:val="none"/>
        </w:rPr>
        <w:t>0773</w:t>
      </w:r>
      <w:r>
        <w:rPr>
          <w:rFonts w:hint="eastAsia" w:ascii="宋体" w:hAnsi="宋体" w:cs="宋体"/>
          <w:color w:val="auto"/>
          <w:highlight w:val="none"/>
          <w:lang w:val="en-US" w:eastAsia="zh-CN"/>
        </w:rPr>
        <w:t>-8980919</w:t>
      </w:r>
      <w:r>
        <w:rPr>
          <w:rFonts w:hint="eastAsia" w:ascii="宋体" w:hAnsi="宋体" w:eastAsia="宋体" w:cs="宋体"/>
          <w:color w:val="auto"/>
          <w:highlight w:val="none"/>
        </w:rPr>
        <w:t xml:space="preserve">          　</w:t>
      </w:r>
    </w:p>
    <w:p w14:paraId="2A0270CC">
      <w:pPr>
        <w:pStyle w:val="83"/>
        <w:keepNext w:val="0"/>
        <w:keepLines w:val="0"/>
        <w:pageBreakBefore w:val="0"/>
        <w:kinsoku/>
        <w:wordWrap/>
        <w:overflowPunct/>
        <w:topLinePunct w:val="0"/>
        <w:bidi w:val="0"/>
        <w:spacing w:line="360" w:lineRule="auto"/>
        <w:ind w:left="0" w:right="0" w:firstLine="0"/>
        <w:jc w:val="right"/>
        <w:rPr>
          <w:rFonts w:hint="eastAsia" w:ascii="宋体" w:hAnsi="宋体" w:eastAsia="宋体" w:cs="宋体"/>
          <w:color w:val="000000"/>
          <w:sz w:val="21"/>
          <w:szCs w:val="21"/>
          <w:highlight w:val="none"/>
          <w:shd w:val="clear" w:color="auto" w:fill="auto"/>
          <w:lang w:val="en-US" w:eastAsia="zh-CN"/>
        </w:rPr>
      </w:pPr>
    </w:p>
    <w:p w14:paraId="145C4325">
      <w:pPr>
        <w:pStyle w:val="83"/>
        <w:keepNext w:val="0"/>
        <w:keepLines w:val="0"/>
        <w:pageBreakBefore w:val="0"/>
        <w:kinsoku/>
        <w:wordWrap/>
        <w:overflowPunct/>
        <w:topLinePunct w:val="0"/>
        <w:bidi w:val="0"/>
        <w:spacing w:line="360" w:lineRule="auto"/>
        <w:ind w:left="0" w:right="0" w:firstLine="0"/>
        <w:jc w:val="right"/>
        <w:rPr>
          <w:rFonts w:hint="eastAsia" w:ascii="宋体" w:hAnsi="宋体" w:eastAsia="宋体" w:cs="宋体"/>
          <w:color w:val="000000"/>
          <w:sz w:val="21"/>
          <w:szCs w:val="21"/>
          <w:highlight w:val="none"/>
          <w:shd w:val="clear" w:color="auto" w:fill="auto"/>
          <w:lang w:val="en-US" w:eastAsia="zh-CN"/>
        </w:rPr>
      </w:pPr>
    </w:p>
    <w:p w14:paraId="0F284B37">
      <w:pPr>
        <w:pStyle w:val="83"/>
        <w:keepNext w:val="0"/>
        <w:keepLines w:val="0"/>
        <w:pageBreakBefore w:val="0"/>
        <w:kinsoku/>
        <w:wordWrap/>
        <w:overflowPunct/>
        <w:topLinePunct w:val="0"/>
        <w:bidi w:val="0"/>
        <w:spacing w:line="360" w:lineRule="auto"/>
        <w:ind w:left="0" w:right="0" w:firstLine="0"/>
        <w:jc w:val="right"/>
        <w:rPr>
          <w:rFonts w:hint="eastAsia" w:ascii="宋体" w:hAnsi="宋体" w:eastAsia="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lang w:val="en-US" w:eastAsia="zh-CN"/>
        </w:rPr>
        <w:t>广西鼎策工程顾问有限责任公司</w:t>
      </w:r>
    </w:p>
    <w:p w14:paraId="18DCD791">
      <w:pPr>
        <w:pStyle w:val="83"/>
        <w:keepNext w:val="0"/>
        <w:keepLines w:val="0"/>
        <w:pageBreakBefore w:val="0"/>
        <w:kinsoku/>
        <w:wordWrap/>
        <w:overflowPunct/>
        <w:topLinePunct w:val="0"/>
        <w:bidi w:val="0"/>
        <w:spacing w:line="360" w:lineRule="auto"/>
        <w:ind w:left="0" w:right="0" w:firstLine="480" w:firstLineChars="229"/>
        <w:jc w:val="right"/>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lang w:val="en-US" w:eastAsia="zh-CN"/>
        </w:rPr>
        <w:t>2025</w:t>
      </w:r>
      <w:r>
        <w:rPr>
          <w:rFonts w:hint="eastAsia" w:ascii="宋体" w:hAnsi="宋体" w:eastAsia="宋体" w:cs="宋体"/>
          <w:color w:val="000000"/>
          <w:sz w:val="21"/>
          <w:szCs w:val="21"/>
          <w:highlight w:val="none"/>
          <w:shd w:val="clear" w:color="auto" w:fill="auto"/>
        </w:rPr>
        <w:t>年</w:t>
      </w:r>
      <w:r>
        <w:rPr>
          <w:rFonts w:hint="eastAsia" w:ascii="宋体" w:hAnsi="宋体" w:eastAsia="宋体" w:cs="宋体"/>
          <w:color w:val="000000"/>
          <w:sz w:val="21"/>
          <w:szCs w:val="21"/>
          <w:highlight w:val="none"/>
          <w:shd w:val="clear" w:color="auto" w:fill="auto"/>
          <w:lang w:val="en-US" w:eastAsia="zh-CN"/>
        </w:rPr>
        <w:t>7</w:t>
      </w:r>
      <w:r>
        <w:rPr>
          <w:rFonts w:hint="eastAsia" w:ascii="宋体" w:hAnsi="宋体" w:eastAsia="宋体" w:cs="宋体"/>
          <w:color w:val="000000"/>
          <w:sz w:val="21"/>
          <w:szCs w:val="21"/>
          <w:highlight w:val="none"/>
          <w:shd w:val="clear" w:color="auto" w:fill="auto"/>
        </w:rPr>
        <w:t>月</w:t>
      </w:r>
      <w:r>
        <w:rPr>
          <w:rFonts w:hint="eastAsia" w:ascii="宋体" w:hAnsi="宋体" w:eastAsia="宋体" w:cs="宋体"/>
          <w:color w:val="000000"/>
          <w:sz w:val="21"/>
          <w:szCs w:val="21"/>
          <w:highlight w:val="none"/>
          <w:shd w:val="clear" w:color="auto" w:fill="auto"/>
          <w:lang w:val="en-US" w:eastAsia="zh-CN"/>
        </w:rPr>
        <w:t xml:space="preserve"> </w:t>
      </w:r>
      <w:r>
        <w:rPr>
          <w:rFonts w:hint="eastAsia" w:ascii="宋体" w:hAnsi="宋体" w:cs="宋体"/>
          <w:color w:val="000000"/>
          <w:sz w:val="21"/>
          <w:szCs w:val="21"/>
          <w:highlight w:val="none"/>
          <w:shd w:val="clear" w:color="auto" w:fill="auto"/>
          <w:lang w:val="en-US" w:eastAsia="zh-CN"/>
        </w:rPr>
        <w:t>14</w:t>
      </w:r>
      <w:r>
        <w:rPr>
          <w:rFonts w:hint="eastAsia" w:ascii="宋体" w:hAnsi="宋体" w:eastAsia="宋体" w:cs="宋体"/>
          <w:color w:val="000000"/>
          <w:sz w:val="21"/>
          <w:szCs w:val="21"/>
          <w:highlight w:val="none"/>
          <w:shd w:val="clear" w:color="auto" w:fill="auto"/>
          <w:lang w:val="en-US" w:eastAsia="zh-CN"/>
        </w:rPr>
        <w:t xml:space="preserve"> </w:t>
      </w:r>
      <w:r>
        <w:rPr>
          <w:rFonts w:hint="eastAsia" w:ascii="宋体" w:hAnsi="宋体" w:eastAsia="宋体" w:cs="宋体"/>
          <w:color w:val="000000"/>
          <w:sz w:val="21"/>
          <w:szCs w:val="21"/>
          <w:highlight w:val="none"/>
          <w:shd w:val="clear" w:color="auto" w:fill="auto"/>
        </w:rPr>
        <w:t>日</w:t>
      </w:r>
    </w:p>
    <w:p w14:paraId="2BCCABD7">
      <w:pPr>
        <w:spacing w:line="360" w:lineRule="auto"/>
        <w:rPr>
          <w:rFonts w:hint="eastAsia" w:ascii="宋体" w:hAnsi="宋体" w:eastAsia="宋体" w:cs="宋体"/>
          <w:b/>
          <w:bCs/>
          <w:color w:val="000000"/>
          <w:sz w:val="32"/>
          <w:szCs w:val="32"/>
          <w:highlight w:val="none"/>
          <w:shd w:val="clear" w:color="auto" w:fill="auto"/>
        </w:rPr>
      </w:pPr>
      <w:bookmarkStart w:id="83" w:name="_Toc18377"/>
      <w:bookmarkStart w:id="84" w:name="_Toc27017"/>
      <w:bookmarkStart w:id="85" w:name="_Toc13283"/>
      <w:r>
        <w:rPr>
          <w:rFonts w:hint="eastAsia" w:ascii="宋体" w:hAnsi="宋体" w:eastAsia="宋体" w:cs="宋体"/>
          <w:b/>
          <w:bCs/>
          <w:color w:val="000000"/>
          <w:sz w:val="32"/>
          <w:szCs w:val="32"/>
          <w:highlight w:val="none"/>
          <w:shd w:val="clear" w:color="auto" w:fill="auto"/>
        </w:rPr>
        <w:br w:type="page"/>
      </w:r>
    </w:p>
    <w:p w14:paraId="1322F6A5">
      <w:pPr>
        <w:spacing w:line="360" w:lineRule="auto"/>
        <w:jc w:val="center"/>
        <w:outlineLvl w:val="0"/>
        <w:rPr>
          <w:rFonts w:hint="eastAsia" w:ascii="宋体" w:hAnsi="宋体" w:eastAsia="宋体" w:cs="宋体"/>
          <w:b/>
          <w:bCs/>
          <w:color w:val="000000"/>
          <w:sz w:val="32"/>
          <w:szCs w:val="32"/>
          <w:highlight w:val="none"/>
          <w:shd w:val="clear" w:color="auto" w:fill="auto"/>
        </w:rPr>
      </w:pPr>
      <w:r>
        <w:rPr>
          <w:rFonts w:hint="eastAsia" w:ascii="宋体" w:hAnsi="宋体" w:eastAsia="宋体" w:cs="宋体"/>
          <w:b/>
          <w:bCs/>
          <w:color w:val="000000"/>
          <w:sz w:val="32"/>
          <w:szCs w:val="32"/>
          <w:highlight w:val="none"/>
          <w:shd w:val="clear" w:color="auto" w:fill="auto"/>
        </w:rPr>
        <w:t>第二章  供应商须知</w:t>
      </w:r>
      <w:bookmarkEnd w:id="0"/>
      <w:bookmarkEnd w:id="1"/>
      <w:bookmarkEnd w:id="83"/>
      <w:bookmarkEnd w:id="84"/>
      <w:bookmarkEnd w:id="85"/>
    </w:p>
    <w:p w14:paraId="37A45CEA">
      <w:pPr>
        <w:pStyle w:val="4"/>
        <w:spacing w:line="360" w:lineRule="auto"/>
        <w:jc w:val="center"/>
        <w:rPr>
          <w:rFonts w:hint="eastAsia" w:ascii="宋体" w:hAnsi="宋体" w:eastAsia="宋体" w:cs="宋体"/>
          <w:b/>
          <w:bCs w:val="0"/>
          <w:color w:val="000000"/>
          <w:sz w:val="24"/>
          <w:szCs w:val="24"/>
          <w:highlight w:val="none"/>
          <w:shd w:val="clear" w:color="auto" w:fill="auto"/>
        </w:rPr>
      </w:pPr>
      <w:bookmarkStart w:id="86" w:name="_Toc9508"/>
      <w:bookmarkStart w:id="87" w:name="_Toc13547"/>
      <w:bookmarkStart w:id="88" w:name="_Toc18257"/>
      <w:bookmarkStart w:id="89" w:name="_Toc25063"/>
      <w:bookmarkStart w:id="90" w:name="_Toc15649"/>
      <w:r>
        <w:rPr>
          <w:rFonts w:hint="eastAsia" w:ascii="宋体" w:hAnsi="宋体" w:eastAsia="宋体" w:cs="宋体"/>
          <w:b/>
          <w:bCs w:val="0"/>
          <w:color w:val="000000"/>
          <w:sz w:val="24"/>
          <w:szCs w:val="24"/>
          <w:highlight w:val="none"/>
          <w:shd w:val="clear" w:color="auto" w:fill="auto"/>
        </w:rPr>
        <w:t>供应商须知前附表</w:t>
      </w:r>
      <w:bookmarkEnd w:id="86"/>
      <w:bookmarkEnd w:id="87"/>
      <w:bookmarkEnd w:id="88"/>
      <w:bookmarkEnd w:id="89"/>
      <w:bookmarkEnd w:id="90"/>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405"/>
      </w:tblGrid>
      <w:tr w14:paraId="5856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662" w:type="dxa"/>
            <w:shd w:val="clear" w:color="auto" w:fill="D7D7D7"/>
            <w:noWrap w:val="0"/>
            <w:vAlign w:val="center"/>
          </w:tcPr>
          <w:p w14:paraId="39243060">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000000"/>
                <w:sz w:val="21"/>
                <w:szCs w:val="21"/>
                <w:highlight w:val="none"/>
                <w:shd w:val="clear" w:color="auto" w:fill="auto"/>
              </w:rPr>
            </w:pPr>
            <w:r>
              <w:rPr>
                <w:rFonts w:hint="eastAsia" w:ascii="宋体" w:hAnsi="宋体" w:eastAsia="宋体" w:cs="宋体"/>
                <w:b/>
                <w:bCs/>
                <w:color w:val="000000"/>
                <w:sz w:val="21"/>
                <w:szCs w:val="21"/>
                <w:highlight w:val="none"/>
                <w:shd w:val="clear" w:color="auto" w:fill="auto"/>
              </w:rPr>
              <w:t>序号</w:t>
            </w:r>
          </w:p>
        </w:tc>
        <w:tc>
          <w:tcPr>
            <w:tcW w:w="942" w:type="dxa"/>
            <w:shd w:val="clear" w:color="auto" w:fill="D7D7D7"/>
            <w:noWrap w:val="0"/>
            <w:vAlign w:val="center"/>
          </w:tcPr>
          <w:p w14:paraId="3D56B2A9">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000000"/>
                <w:sz w:val="21"/>
                <w:szCs w:val="21"/>
                <w:highlight w:val="none"/>
                <w:shd w:val="clear" w:color="auto" w:fill="auto"/>
              </w:rPr>
            </w:pPr>
            <w:r>
              <w:rPr>
                <w:rFonts w:hint="eastAsia" w:ascii="宋体" w:hAnsi="宋体" w:eastAsia="宋体" w:cs="宋体"/>
                <w:b/>
                <w:bCs/>
                <w:color w:val="000000"/>
                <w:sz w:val="21"/>
                <w:szCs w:val="21"/>
                <w:highlight w:val="none"/>
                <w:shd w:val="clear" w:color="auto" w:fill="auto"/>
              </w:rPr>
              <w:t>条款号</w:t>
            </w:r>
          </w:p>
        </w:tc>
        <w:tc>
          <w:tcPr>
            <w:tcW w:w="1775" w:type="dxa"/>
            <w:shd w:val="clear" w:color="auto" w:fill="D7D7D7"/>
            <w:noWrap w:val="0"/>
            <w:vAlign w:val="center"/>
          </w:tcPr>
          <w:p w14:paraId="73336A9C">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000000"/>
                <w:sz w:val="21"/>
                <w:szCs w:val="21"/>
                <w:highlight w:val="none"/>
                <w:shd w:val="clear" w:color="auto" w:fill="auto"/>
              </w:rPr>
            </w:pPr>
            <w:r>
              <w:rPr>
                <w:rFonts w:hint="eastAsia" w:ascii="宋体" w:hAnsi="宋体" w:eastAsia="宋体" w:cs="宋体"/>
                <w:b/>
                <w:bCs/>
                <w:color w:val="000000"/>
                <w:sz w:val="21"/>
                <w:szCs w:val="21"/>
                <w:highlight w:val="none"/>
                <w:shd w:val="clear" w:color="auto" w:fill="auto"/>
              </w:rPr>
              <w:t>条款名称</w:t>
            </w:r>
          </w:p>
        </w:tc>
        <w:tc>
          <w:tcPr>
            <w:tcW w:w="6405" w:type="dxa"/>
            <w:shd w:val="clear" w:color="auto" w:fill="D7D7D7"/>
            <w:noWrap w:val="0"/>
            <w:vAlign w:val="center"/>
          </w:tcPr>
          <w:p w14:paraId="7DCD15D4">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000000"/>
                <w:sz w:val="21"/>
                <w:szCs w:val="21"/>
                <w:highlight w:val="none"/>
                <w:shd w:val="clear" w:color="auto" w:fill="auto"/>
              </w:rPr>
            </w:pPr>
            <w:r>
              <w:rPr>
                <w:rFonts w:hint="eastAsia" w:ascii="宋体" w:hAnsi="宋体" w:eastAsia="宋体" w:cs="宋体"/>
                <w:b/>
                <w:bCs/>
                <w:color w:val="000000"/>
                <w:sz w:val="21"/>
                <w:szCs w:val="21"/>
                <w:highlight w:val="none"/>
                <w:shd w:val="clear" w:color="auto" w:fill="auto"/>
              </w:rPr>
              <w:t>内容、要求</w:t>
            </w:r>
          </w:p>
        </w:tc>
      </w:tr>
      <w:tr w14:paraId="7F42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69B0ACAE">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w:t>
            </w:r>
          </w:p>
        </w:tc>
        <w:tc>
          <w:tcPr>
            <w:tcW w:w="942" w:type="dxa"/>
            <w:noWrap w:val="0"/>
            <w:vAlign w:val="center"/>
          </w:tcPr>
          <w:p w14:paraId="209BCCE8">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1.1</w:t>
            </w:r>
          </w:p>
        </w:tc>
        <w:tc>
          <w:tcPr>
            <w:tcW w:w="1775" w:type="dxa"/>
            <w:noWrap w:val="0"/>
            <w:vAlign w:val="center"/>
          </w:tcPr>
          <w:p w14:paraId="085EFA86">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项目名称及项目编号</w:t>
            </w:r>
          </w:p>
        </w:tc>
        <w:tc>
          <w:tcPr>
            <w:tcW w:w="6405" w:type="dxa"/>
            <w:noWrap w:val="0"/>
            <w:vAlign w:val="center"/>
          </w:tcPr>
          <w:p w14:paraId="4CD2C24C">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sz w:val="21"/>
                <w:szCs w:val="21"/>
                <w:highlight w:val="none"/>
                <w:shd w:val="clear" w:color="auto" w:fill="auto"/>
                <w:lang w:eastAsia="zh-CN"/>
              </w:rPr>
            </w:pPr>
            <w:r>
              <w:rPr>
                <w:rFonts w:hint="eastAsia" w:ascii="宋体" w:hAnsi="宋体" w:eastAsia="宋体" w:cs="宋体"/>
                <w:color w:val="000000"/>
                <w:sz w:val="21"/>
                <w:szCs w:val="21"/>
                <w:highlight w:val="none"/>
                <w:shd w:val="clear" w:color="auto" w:fill="auto"/>
              </w:rPr>
              <w:t>项目名称：</w:t>
            </w:r>
            <w:r>
              <w:rPr>
                <w:rFonts w:hint="eastAsia" w:ascii="宋体" w:hAnsi="宋体" w:cs="宋体"/>
                <w:color w:val="000000"/>
                <w:sz w:val="21"/>
                <w:szCs w:val="21"/>
                <w:highlight w:val="none"/>
                <w:shd w:val="clear" w:color="auto" w:fill="auto"/>
                <w:lang w:eastAsia="zh-CN"/>
              </w:rPr>
              <w:t>汇通小学预制板房维修改造工程项目</w:t>
            </w:r>
          </w:p>
          <w:p w14:paraId="5F216CDF">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sz w:val="21"/>
                <w:szCs w:val="21"/>
                <w:highlight w:val="none"/>
                <w:shd w:val="clear" w:color="auto" w:fill="auto"/>
                <w:lang w:eastAsia="zh-CN"/>
              </w:rPr>
            </w:pPr>
            <w:r>
              <w:rPr>
                <w:rFonts w:hint="eastAsia" w:ascii="宋体" w:hAnsi="宋体" w:eastAsia="宋体" w:cs="宋体"/>
                <w:color w:val="000000"/>
                <w:sz w:val="21"/>
                <w:szCs w:val="21"/>
                <w:highlight w:val="none"/>
                <w:shd w:val="clear" w:color="auto" w:fill="auto"/>
              </w:rPr>
              <w:t>项目编号：</w:t>
            </w:r>
            <w:r>
              <w:rPr>
                <w:rFonts w:hint="eastAsia" w:ascii="宋体" w:hAnsi="宋体" w:eastAsia="宋体" w:cs="宋体"/>
                <w:color w:val="000000"/>
                <w:sz w:val="21"/>
                <w:szCs w:val="21"/>
                <w:highlight w:val="none"/>
                <w:lang w:val="en-US" w:eastAsia="zh-CN"/>
              </w:rPr>
              <w:t>GLZC2025-C2-990305-GXDC</w:t>
            </w:r>
          </w:p>
        </w:tc>
      </w:tr>
      <w:tr w14:paraId="02A5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13918DD0">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w:t>
            </w:r>
          </w:p>
        </w:tc>
        <w:tc>
          <w:tcPr>
            <w:tcW w:w="942" w:type="dxa"/>
            <w:noWrap w:val="0"/>
            <w:vAlign w:val="center"/>
          </w:tcPr>
          <w:p w14:paraId="2A601116">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3</w:t>
            </w:r>
          </w:p>
        </w:tc>
        <w:tc>
          <w:tcPr>
            <w:tcW w:w="1775" w:type="dxa"/>
            <w:noWrap w:val="0"/>
            <w:vAlign w:val="center"/>
          </w:tcPr>
          <w:p w14:paraId="7CD3279F">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供应商资格</w:t>
            </w:r>
          </w:p>
        </w:tc>
        <w:tc>
          <w:tcPr>
            <w:tcW w:w="6405" w:type="dxa"/>
            <w:noWrap w:val="0"/>
            <w:vAlign w:val="center"/>
          </w:tcPr>
          <w:p w14:paraId="4D724989">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3.1满足《中华人民共和国政府采购法》第二十二条规定；</w:t>
            </w:r>
          </w:p>
          <w:p w14:paraId="4FD2C5E1">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sz w:val="21"/>
                <w:szCs w:val="21"/>
                <w:highlight w:val="none"/>
                <w:u w:val="none"/>
                <w:shd w:val="clear" w:color="auto" w:fill="auto"/>
              </w:rPr>
            </w:pPr>
            <w:r>
              <w:rPr>
                <w:rFonts w:hint="eastAsia" w:ascii="宋体" w:hAnsi="宋体" w:eastAsia="宋体" w:cs="宋体"/>
                <w:color w:val="000000"/>
                <w:sz w:val="21"/>
                <w:szCs w:val="21"/>
                <w:highlight w:val="none"/>
                <w:shd w:val="clear" w:color="auto" w:fill="auto"/>
              </w:rPr>
              <w:t>3.2落实政府采购政策需满足的资格要求：</w:t>
            </w:r>
            <w:r>
              <w:rPr>
                <w:rFonts w:hint="eastAsia" w:ascii="宋体" w:hAnsi="宋体" w:eastAsia="宋体" w:cs="宋体"/>
                <w:color w:val="000000"/>
                <w:sz w:val="21"/>
                <w:szCs w:val="21"/>
                <w:highlight w:val="none"/>
                <w:u w:val="none"/>
                <w:shd w:val="clear" w:color="auto" w:fill="auto"/>
              </w:rPr>
              <w:t>本项目为专门面向中小企业项目，按照《政府采购促进中小企业发展管理办法》（财库〔2020〕46号）规定，小微企业、监狱企业、残疾人福利性单位不再执行价格评审优惠的扶持政策。</w:t>
            </w:r>
          </w:p>
          <w:p w14:paraId="765F633A">
            <w:pPr>
              <w:pStyle w:val="2"/>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3.3本项目的特定资格要求</w:t>
            </w:r>
            <w:r>
              <w:rPr>
                <w:rFonts w:hint="eastAsia" w:ascii="宋体" w:hAnsi="宋体" w:eastAsia="宋体" w:cs="宋体"/>
                <w:color w:val="000000"/>
                <w:sz w:val="21"/>
                <w:szCs w:val="21"/>
                <w:highlight w:val="none"/>
                <w:shd w:val="clear" w:color="auto" w:fill="auto"/>
                <w:lang w:eastAsia="zh-CN"/>
              </w:rPr>
              <w:t>：</w:t>
            </w:r>
            <w:r>
              <w:rPr>
                <w:rFonts w:hint="eastAsia" w:ascii="宋体" w:hAnsi="宋体" w:eastAsia="宋体" w:cs="宋体"/>
                <w:color w:val="auto"/>
                <w:szCs w:val="21"/>
                <w:highlight w:val="none"/>
              </w:rPr>
              <w:t>具备</w:t>
            </w:r>
            <w:r>
              <w:rPr>
                <w:rFonts w:hint="eastAsia" w:ascii="宋体" w:hAnsi="宋体" w:eastAsia="宋体" w:cs="宋体"/>
                <w:color w:val="auto"/>
                <w:szCs w:val="21"/>
                <w:highlight w:val="none"/>
                <w:u w:val="single"/>
              </w:rPr>
              <w:t>建筑工程施工总承包三级（含以上）资质</w:t>
            </w:r>
            <w:r>
              <w:rPr>
                <w:rFonts w:hint="eastAsia" w:ascii="宋体" w:hAnsi="宋体" w:eastAsia="宋体" w:cs="宋体"/>
                <w:color w:val="auto"/>
                <w:szCs w:val="21"/>
                <w:highlight w:val="none"/>
              </w:rPr>
              <w:t>，并在人员、设备、资金等方面具备相应的施工能力。</w:t>
            </w:r>
            <w:r>
              <w:rPr>
                <w:rFonts w:hint="eastAsia" w:ascii="宋体" w:hAnsi="宋体" w:eastAsia="宋体" w:cs="宋体"/>
                <w:color w:val="auto"/>
                <w:szCs w:val="21"/>
                <w:highlight w:val="none"/>
                <w:lang w:eastAsia="zh-CN"/>
              </w:rPr>
              <w:t>其中，供应商拟派项目经理须具备</w:t>
            </w:r>
            <w:r>
              <w:rPr>
                <w:rFonts w:hint="eastAsia" w:ascii="宋体" w:hAnsi="宋体" w:eastAsia="宋体" w:cs="宋体"/>
                <w:color w:val="auto"/>
                <w:szCs w:val="21"/>
                <w:highlight w:val="none"/>
                <w:u w:val="single"/>
                <w:lang w:eastAsia="zh-CN"/>
              </w:rPr>
              <w:t>建筑工程二级(含)以上注册建造师执业资格</w:t>
            </w:r>
            <w:r>
              <w:rPr>
                <w:rFonts w:hint="eastAsia" w:ascii="宋体" w:hAnsi="宋体" w:eastAsia="宋体" w:cs="宋体"/>
                <w:color w:val="auto"/>
                <w:szCs w:val="21"/>
                <w:highlight w:val="none"/>
                <w:lang w:eastAsia="zh-CN"/>
              </w:rPr>
              <w:t>，具备有效的安全生产考核合格证书（B类）</w:t>
            </w:r>
            <w:r>
              <w:rPr>
                <w:rFonts w:hint="eastAsia" w:ascii="宋体" w:hAnsi="宋体" w:eastAsia="宋体" w:cs="宋体"/>
                <w:color w:val="000000"/>
                <w:sz w:val="21"/>
                <w:szCs w:val="21"/>
                <w:highlight w:val="none"/>
                <w:u w:val="none"/>
                <w:shd w:val="clear" w:color="auto" w:fill="auto"/>
              </w:rPr>
              <w:t>。本项目不接受有在建、已中标未开工或已列为其他项目中标候选人第一名的建造师作为项目经理。</w:t>
            </w:r>
          </w:p>
        </w:tc>
      </w:tr>
      <w:tr w14:paraId="4A78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0DF4221D">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3</w:t>
            </w:r>
          </w:p>
        </w:tc>
        <w:tc>
          <w:tcPr>
            <w:tcW w:w="942" w:type="dxa"/>
            <w:noWrap w:val="0"/>
            <w:vAlign w:val="center"/>
          </w:tcPr>
          <w:p w14:paraId="6452DFFD">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4</w:t>
            </w:r>
          </w:p>
        </w:tc>
        <w:tc>
          <w:tcPr>
            <w:tcW w:w="1775" w:type="dxa"/>
            <w:noWrap w:val="0"/>
            <w:vAlign w:val="center"/>
          </w:tcPr>
          <w:p w14:paraId="4A7BDB54">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磋商费用</w:t>
            </w:r>
          </w:p>
        </w:tc>
        <w:tc>
          <w:tcPr>
            <w:tcW w:w="6405" w:type="dxa"/>
            <w:noWrap w:val="0"/>
            <w:vAlign w:val="center"/>
          </w:tcPr>
          <w:p w14:paraId="22B98CA4">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不论磋商结果如何，供应商均应自行承担所有与磋商有关的全部费用。</w:t>
            </w:r>
          </w:p>
        </w:tc>
      </w:tr>
      <w:tr w14:paraId="0F21D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0861E448">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4</w:t>
            </w:r>
          </w:p>
        </w:tc>
        <w:tc>
          <w:tcPr>
            <w:tcW w:w="942" w:type="dxa"/>
            <w:noWrap w:val="0"/>
            <w:vAlign w:val="center"/>
          </w:tcPr>
          <w:p w14:paraId="1392624F">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position w:val="-2"/>
                <w:sz w:val="21"/>
                <w:szCs w:val="21"/>
                <w:highlight w:val="none"/>
                <w:shd w:val="clear" w:color="auto" w:fill="auto"/>
              </w:rPr>
            </w:pPr>
            <w:r>
              <w:rPr>
                <w:rFonts w:hint="eastAsia" w:ascii="宋体" w:hAnsi="宋体" w:eastAsia="宋体" w:cs="宋体"/>
                <w:color w:val="000000"/>
                <w:position w:val="-2"/>
                <w:sz w:val="21"/>
                <w:szCs w:val="21"/>
                <w:highlight w:val="none"/>
                <w:shd w:val="clear" w:color="auto" w:fill="auto"/>
              </w:rPr>
              <w:t>13</w:t>
            </w:r>
          </w:p>
        </w:tc>
        <w:tc>
          <w:tcPr>
            <w:tcW w:w="1775" w:type="dxa"/>
            <w:noWrap w:val="0"/>
            <w:vAlign w:val="center"/>
          </w:tcPr>
          <w:p w14:paraId="56BE103F">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position w:val="-2"/>
                <w:sz w:val="21"/>
                <w:szCs w:val="21"/>
                <w:highlight w:val="none"/>
                <w:shd w:val="clear" w:color="auto" w:fill="auto"/>
              </w:rPr>
            </w:pPr>
            <w:r>
              <w:rPr>
                <w:rFonts w:hint="eastAsia" w:ascii="宋体" w:hAnsi="宋体" w:eastAsia="宋体" w:cs="宋体"/>
                <w:color w:val="000000"/>
                <w:sz w:val="21"/>
                <w:szCs w:val="21"/>
                <w:highlight w:val="none"/>
                <w:shd w:val="clear" w:color="auto" w:fill="auto"/>
              </w:rPr>
              <w:t>磋商报价及采购预算金额</w:t>
            </w:r>
          </w:p>
        </w:tc>
        <w:tc>
          <w:tcPr>
            <w:tcW w:w="6405" w:type="dxa"/>
            <w:noWrap w:val="0"/>
            <w:vAlign w:val="center"/>
          </w:tcPr>
          <w:p w14:paraId="2781EC15">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sz w:val="21"/>
                <w:szCs w:val="21"/>
                <w:highlight w:val="none"/>
                <w:shd w:val="clear" w:color="auto" w:fill="auto"/>
                <w:lang w:eastAsia="zh-CN"/>
              </w:rPr>
            </w:pPr>
            <w:r>
              <w:rPr>
                <w:rFonts w:hint="eastAsia" w:ascii="宋体" w:hAnsi="宋体" w:eastAsia="宋体" w:cs="宋体"/>
                <w:color w:val="000000"/>
                <w:sz w:val="21"/>
                <w:szCs w:val="21"/>
                <w:highlight w:val="none"/>
                <w:shd w:val="clear" w:color="auto" w:fill="auto"/>
              </w:rPr>
              <w:t>13.1</w:t>
            </w:r>
            <w:r>
              <w:rPr>
                <w:rFonts w:hint="eastAsia" w:ascii="宋体" w:hAnsi="宋体" w:eastAsia="宋体" w:cs="宋体"/>
                <w:color w:val="000000"/>
                <w:kern w:val="0"/>
                <w:sz w:val="21"/>
                <w:szCs w:val="21"/>
                <w:highlight w:val="none"/>
                <w:shd w:val="clear" w:color="auto" w:fill="auto"/>
              </w:rPr>
              <w:t>本工程预算控制价（最高磋商限价）为人民币</w:t>
            </w:r>
            <w:r>
              <w:rPr>
                <w:rFonts w:hint="eastAsia" w:ascii="宋体" w:hAnsi="宋体" w:eastAsia="宋体" w:cs="宋体"/>
                <w:color w:val="auto"/>
                <w:kern w:val="0"/>
                <w:sz w:val="21"/>
                <w:szCs w:val="21"/>
                <w:highlight w:val="none"/>
                <w:u w:val="none"/>
                <w:shd w:val="clear" w:color="auto" w:fill="auto"/>
              </w:rPr>
              <w:t>949264.68</w:t>
            </w:r>
            <w:r>
              <w:rPr>
                <w:rFonts w:hint="eastAsia" w:ascii="宋体" w:hAnsi="宋体" w:eastAsia="宋体" w:cs="宋体"/>
                <w:color w:val="000000"/>
                <w:kern w:val="0"/>
                <w:sz w:val="21"/>
                <w:szCs w:val="21"/>
                <w:highlight w:val="none"/>
                <w:u w:val="none"/>
                <w:shd w:val="clear" w:color="auto" w:fill="auto"/>
                <w:lang w:val="en-US" w:eastAsia="zh-CN"/>
              </w:rPr>
              <w:t>元【包含安全防护、文明施工措施费、规费、增值税、暂估价（安全生产责任保险费暂估价）、暂列金额】</w:t>
            </w:r>
            <w:r>
              <w:rPr>
                <w:rFonts w:hint="eastAsia" w:ascii="宋体" w:hAnsi="宋体" w:cs="宋体"/>
                <w:color w:val="000000"/>
                <w:kern w:val="0"/>
                <w:sz w:val="21"/>
                <w:szCs w:val="21"/>
                <w:highlight w:val="none"/>
                <w:u w:val="none"/>
                <w:shd w:val="clear" w:color="auto" w:fill="auto"/>
                <w:lang w:val="en-US" w:eastAsia="zh-CN"/>
              </w:rPr>
              <w:t>，最高磋商限价为人民币901801.45元。</w:t>
            </w:r>
            <w:r>
              <w:rPr>
                <w:rFonts w:hint="eastAsia" w:ascii="宋体" w:hAnsi="宋体" w:eastAsia="宋体" w:cs="宋体"/>
                <w:color w:val="000000"/>
                <w:sz w:val="21"/>
                <w:szCs w:val="21"/>
                <w:highlight w:val="none"/>
                <w:shd w:val="clear" w:color="auto" w:fill="auto"/>
              </w:rPr>
              <w:t>供应商磋商总报价不得高于本工程最高磋商限价，否则被视为无效报价，无效报价将不予评审。</w:t>
            </w:r>
          </w:p>
          <w:p w14:paraId="36B11194">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sz w:val="21"/>
                <w:szCs w:val="21"/>
                <w:highlight w:val="none"/>
                <w:shd w:val="clear" w:color="auto" w:fill="auto"/>
                <w:lang w:eastAsia="zh-CN"/>
              </w:rPr>
            </w:pPr>
            <w:r>
              <w:rPr>
                <w:rFonts w:hint="eastAsia" w:ascii="宋体" w:hAnsi="宋体" w:eastAsia="宋体" w:cs="宋体"/>
                <w:color w:val="000000"/>
                <w:sz w:val="21"/>
                <w:szCs w:val="21"/>
                <w:highlight w:val="none"/>
                <w:shd w:val="clear" w:color="auto" w:fill="auto"/>
              </w:rPr>
              <w:t>13.2供应商必须就“工程量清单”中所有内容作完整报价，否则，其响应文件无效。</w:t>
            </w:r>
          </w:p>
          <w:p w14:paraId="500D5660">
            <w:pPr>
              <w:pageBreakBefore w:val="0"/>
              <w:tabs>
                <w:tab w:val="left" w:pos="1305"/>
              </w:tabs>
              <w:kinsoku/>
              <w:wordWrap/>
              <w:overflowPunct/>
              <w:topLinePunct w:val="0"/>
              <w:autoSpaceDE/>
              <w:autoSpaceDN/>
              <w:bidi w:val="0"/>
              <w:adjustRightInd/>
              <w:spacing w:line="360" w:lineRule="auto"/>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13.3供应商磋商报价应综合考虑工程总造价（包含提供本次工程范围的所有成本、税金、利润等），报价不得超出最高磋商总价限价。</w:t>
            </w:r>
          </w:p>
          <w:p w14:paraId="379CAEF1">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13.4供应商应在规定时间内在</w:t>
            </w:r>
            <w:r>
              <w:rPr>
                <w:rFonts w:hint="eastAsia" w:ascii="宋体" w:hAnsi="宋体" w:eastAsia="宋体" w:cs="宋体"/>
                <w:color w:val="000000"/>
                <w:sz w:val="21"/>
                <w:szCs w:val="21"/>
                <w:highlight w:val="none"/>
                <w:shd w:val="clear" w:color="auto" w:fill="auto"/>
                <w:lang w:eastAsia="zh-CN"/>
              </w:rPr>
              <w:t>广西政府采购云平台</w:t>
            </w:r>
            <w:r>
              <w:rPr>
                <w:rFonts w:hint="eastAsia" w:ascii="宋体" w:hAnsi="宋体" w:eastAsia="宋体" w:cs="宋体"/>
                <w:color w:val="000000"/>
                <w:sz w:val="21"/>
                <w:szCs w:val="21"/>
                <w:highlight w:val="none"/>
                <w:shd w:val="clear" w:color="auto" w:fill="auto"/>
              </w:rPr>
              <w:t>系统上提交最后报价，超出磋商小组设定的最后报价时限或其最后报价超出最高限价导致已通过评审的响应文件无效的，按供应商在提交响应文件截止时间后撤回响应文件处理。</w:t>
            </w:r>
          </w:p>
          <w:p w14:paraId="2A70F191">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kern w:val="2"/>
                <w:sz w:val="21"/>
                <w:szCs w:val="21"/>
                <w:highlight w:val="none"/>
                <w:shd w:val="clear" w:color="auto" w:fill="auto"/>
              </w:rPr>
            </w:pPr>
            <w:r>
              <w:rPr>
                <w:rFonts w:hint="eastAsia" w:ascii="宋体" w:hAnsi="宋体" w:eastAsia="宋体" w:cs="宋体"/>
                <w:color w:val="000000"/>
                <w:kern w:val="2"/>
                <w:sz w:val="21"/>
                <w:szCs w:val="21"/>
                <w:highlight w:val="none"/>
                <w:shd w:val="clear" w:color="auto" w:fill="auto"/>
              </w:rPr>
              <w:t>注：供应商的第二次磋商报价不得高于该供应商第一次磋商报价，否则做无效标处理。如供应商维持磋商报价不变，以原磋商报价作为供应商最后报价</w:t>
            </w:r>
            <w:r>
              <w:rPr>
                <w:rFonts w:hint="eastAsia" w:ascii="宋体" w:hAnsi="宋体" w:eastAsia="宋体" w:cs="宋体"/>
                <w:bCs/>
                <w:color w:val="000000"/>
                <w:kern w:val="2"/>
                <w:sz w:val="21"/>
                <w:szCs w:val="21"/>
                <w:highlight w:val="none"/>
                <w:shd w:val="clear" w:color="auto" w:fill="auto"/>
              </w:rPr>
              <w:t>；如供应商需要改变原磋商报价时，</w:t>
            </w:r>
            <w:r>
              <w:rPr>
                <w:rFonts w:hint="eastAsia" w:ascii="宋体" w:hAnsi="宋体" w:eastAsia="宋体" w:cs="宋体"/>
                <w:color w:val="000000"/>
                <w:kern w:val="2"/>
                <w:sz w:val="21"/>
                <w:szCs w:val="21"/>
                <w:highlight w:val="none"/>
                <w:shd w:val="clear" w:color="auto" w:fill="auto"/>
              </w:rPr>
              <w:t>供应商应预先准备好调整后的已标价的工程量清单（在提交最后报价时以附件形式上传）。如供应商在磋商过程中，改变原报价且未按竞争性磋商文件要求提供调整后的已标价的工程量清单，其报价不予认可，视供应商维持原磋商报价不变。</w:t>
            </w:r>
          </w:p>
        </w:tc>
      </w:tr>
      <w:tr w14:paraId="722A4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171D85ED">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5</w:t>
            </w:r>
          </w:p>
        </w:tc>
        <w:tc>
          <w:tcPr>
            <w:tcW w:w="942" w:type="dxa"/>
            <w:noWrap w:val="0"/>
            <w:vAlign w:val="center"/>
          </w:tcPr>
          <w:p w14:paraId="33D6B9A2">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position w:val="-2"/>
                <w:sz w:val="21"/>
                <w:szCs w:val="21"/>
                <w:highlight w:val="none"/>
                <w:shd w:val="clear" w:color="auto" w:fill="auto"/>
              </w:rPr>
            </w:pPr>
            <w:r>
              <w:rPr>
                <w:rFonts w:hint="eastAsia" w:ascii="宋体" w:hAnsi="宋体" w:eastAsia="宋体" w:cs="宋体"/>
                <w:color w:val="000000"/>
                <w:position w:val="-2"/>
                <w:sz w:val="21"/>
                <w:szCs w:val="21"/>
                <w:highlight w:val="none"/>
                <w:shd w:val="clear" w:color="auto" w:fill="auto"/>
              </w:rPr>
              <w:t>14.1</w:t>
            </w:r>
          </w:p>
        </w:tc>
        <w:tc>
          <w:tcPr>
            <w:tcW w:w="1775" w:type="dxa"/>
            <w:noWrap w:val="0"/>
            <w:vAlign w:val="center"/>
          </w:tcPr>
          <w:p w14:paraId="52ABD036">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position w:val="-2"/>
                <w:sz w:val="21"/>
                <w:szCs w:val="21"/>
                <w:highlight w:val="none"/>
                <w:shd w:val="clear" w:color="auto" w:fill="auto"/>
              </w:rPr>
            </w:pPr>
            <w:r>
              <w:rPr>
                <w:rFonts w:hint="eastAsia" w:ascii="宋体" w:hAnsi="宋体" w:eastAsia="宋体" w:cs="宋体"/>
                <w:color w:val="000000"/>
                <w:position w:val="-2"/>
                <w:sz w:val="21"/>
                <w:szCs w:val="21"/>
                <w:highlight w:val="none"/>
                <w:shd w:val="clear" w:color="auto" w:fill="auto"/>
              </w:rPr>
              <w:t>响应文件有效期</w:t>
            </w:r>
          </w:p>
        </w:tc>
        <w:tc>
          <w:tcPr>
            <w:tcW w:w="6405" w:type="dxa"/>
            <w:noWrap w:val="0"/>
            <w:vAlign w:val="top"/>
          </w:tcPr>
          <w:p w14:paraId="0CB2DFC7">
            <w:pPr>
              <w:pageBreakBefore w:val="0"/>
              <w:tabs>
                <w:tab w:val="left" w:pos="1305"/>
              </w:tabs>
              <w:kinsoku/>
              <w:wordWrap/>
              <w:overflowPunct/>
              <w:topLinePunct w:val="0"/>
              <w:autoSpaceDE/>
              <w:autoSpaceDN/>
              <w:bidi w:val="0"/>
              <w:adjustRightInd/>
              <w:spacing w:line="360" w:lineRule="auto"/>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自响应文件递交截止时间之日起90天，有效期不足的响应文件将被拒绝。</w:t>
            </w:r>
          </w:p>
        </w:tc>
      </w:tr>
      <w:tr w14:paraId="2B115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7850ADB1">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6</w:t>
            </w:r>
          </w:p>
        </w:tc>
        <w:tc>
          <w:tcPr>
            <w:tcW w:w="942" w:type="dxa"/>
            <w:noWrap w:val="0"/>
            <w:vAlign w:val="center"/>
          </w:tcPr>
          <w:p w14:paraId="5B70AA4D">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position w:val="-2"/>
                <w:sz w:val="21"/>
                <w:szCs w:val="21"/>
                <w:highlight w:val="none"/>
                <w:shd w:val="clear" w:color="auto" w:fill="auto"/>
              </w:rPr>
            </w:pPr>
            <w:r>
              <w:rPr>
                <w:rFonts w:hint="eastAsia" w:ascii="宋体" w:hAnsi="宋体" w:eastAsia="宋体" w:cs="宋体"/>
                <w:color w:val="000000"/>
                <w:position w:val="-2"/>
                <w:sz w:val="21"/>
                <w:szCs w:val="21"/>
                <w:highlight w:val="none"/>
                <w:shd w:val="clear" w:color="auto" w:fill="auto"/>
              </w:rPr>
              <w:t>15</w:t>
            </w:r>
          </w:p>
        </w:tc>
        <w:tc>
          <w:tcPr>
            <w:tcW w:w="1775" w:type="dxa"/>
            <w:noWrap w:val="0"/>
            <w:vAlign w:val="center"/>
          </w:tcPr>
          <w:p w14:paraId="695AD75C">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position w:val="-2"/>
                <w:sz w:val="21"/>
                <w:szCs w:val="21"/>
                <w:highlight w:val="none"/>
                <w:shd w:val="clear" w:color="auto" w:fill="auto"/>
              </w:rPr>
            </w:pPr>
            <w:r>
              <w:rPr>
                <w:rFonts w:hint="eastAsia" w:ascii="宋体" w:hAnsi="宋体" w:eastAsia="宋体" w:cs="宋体"/>
                <w:color w:val="000000"/>
                <w:position w:val="-2"/>
                <w:sz w:val="21"/>
                <w:szCs w:val="21"/>
                <w:highlight w:val="none"/>
                <w:shd w:val="clear" w:color="auto" w:fill="auto"/>
              </w:rPr>
              <w:t>保证金</w:t>
            </w:r>
          </w:p>
        </w:tc>
        <w:tc>
          <w:tcPr>
            <w:tcW w:w="6405" w:type="dxa"/>
            <w:noWrap w:val="0"/>
            <w:vAlign w:val="top"/>
          </w:tcPr>
          <w:p w14:paraId="1D9AD574">
            <w:pPr>
              <w:pageBreakBefore w:val="0"/>
              <w:tabs>
                <w:tab w:val="left" w:pos="1305"/>
              </w:tabs>
              <w:kinsoku/>
              <w:wordWrap/>
              <w:overflowPunct/>
              <w:topLinePunct w:val="0"/>
              <w:autoSpaceDE/>
              <w:autoSpaceDN/>
              <w:bidi w:val="0"/>
              <w:adjustRightInd/>
              <w:spacing w:line="360" w:lineRule="auto"/>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本项目无需交纳磋商保证金。</w:t>
            </w:r>
          </w:p>
        </w:tc>
      </w:tr>
      <w:tr w14:paraId="5C1C3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041E10C4">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7</w:t>
            </w:r>
          </w:p>
        </w:tc>
        <w:tc>
          <w:tcPr>
            <w:tcW w:w="942" w:type="dxa"/>
            <w:noWrap w:val="0"/>
            <w:vAlign w:val="center"/>
          </w:tcPr>
          <w:p w14:paraId="0645841A">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16</w:t>
            </w:r>
          </w:p>
        </w:tc>
        <w:tc>
          <w:tcPr>
            <w:tcW w:w="1775" w:type="dxa"/>
            <w:noWrap w:val="0"/>
            <w:vAlign w:val="center"/>
          </w:tcPr>
          <w:p w14:paraId="590DC334">
            <w:pPr>
              <w:keepNext/>
              <w:keepLines/>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1"/>
                <w:szCs w:val="21"/>
                <w:highlight w:val="none"/>
                <w:shd w:val="clear" w:color="auto" w:fill="auto"/>
              </w:rPr>
            </w:pPr>
            <w:bookmarkStart w:id="91" w:name="_Toc27452"/>
            <w:bookmarkStart w:id="92" w:name="_Toc20646"/>
            <w:bookmarkStart w:id="93" w:name="_Toc19911"/>
            <w:r>
              <w:rPr>
                <w:rFonts w:hint="eastAsia" w:ascii="宋体" w:hAnsi="宋体" w:eastAsia="宋体" w:cs="宋体"/>
                <w:bCs/>
                <w:color w:val="000000"/>
                <w:sz w:val="21"/>
                <w:szCs w:val="21"/>
                <w:highlight w:val="none"/>
                <w:shd w:val="clear" w:color="auto" w:fill="auto"/>
              </w:rPr>
              <w:t>竞争性磋商响应文件的制作</w:t>
            </w:r>
            <w:bookmarkEnd w:id="91"/>
            <w:bookmarkEnd w:id="92"/>
            <w:bookmarkEnd w:id="93"/>
          </w:p>
        </w:tc>
        <w:tc>
          <w:tcPr>
            <w:tcW w:w="6405" w:type="dxa"/>
            <w:noWrap w:val="0"/>
            <w:vAlign w:val="center"/>
          </w:tcPr>
          <w:p w14:paraId="5CD360E1">
            <w:pPr>
              <w:pageBreakBefore w:val="0"/>
              <w:kinsoku/>
              <w:wordWrap/>
              <w:overflowPunct/>
              <w:topLinePunct w:val="0"/>
              <w:autoSpaceDE/>
              <w:autoSpaceDN/>
              <w:bidi w:val="0"/>
              <w:adjustRightInd/>
              <w:snapToGrid w:val="0"/>
              <w:spacing w:line="360" w:lineRule="auto"/>
              <w:ind w:right="-57" w:rightChars="-27"/>
              <w:jc w:val="left"/>
              <w:textAlignment w:val="auto"/>
              <w:rPr>
                <w:rFonts w:hint="eastAsia" w:ascii="宋体" w:hAnsi="宋体" w:eastAsia="宋体" w:cs="宋体"/>
                <w:bCs/>
                <w:color w:val="00000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16.1</w:t>
            </w:r>
            <w:r>
              <w:rPr>
                <w:rFonts w:hint="eastAsia" w:ascii="宋体" w:hAnsi="宋体" w:eastAsia="宋体" w:cs="宋体"/>
                <w:color w:val="000000"/>
                <w:sz w:val="21"/>
                <w:szCs w:val="21"/>
                <w:highlight w:val="none"/>
                <w:shd w:val="clear" w:color="auto" w:fill="auto"/>
              </w:rPr>
              <w:t>供应商制作电子响应文件前，</w:t>
            </w:r>
            <w:r>
              <w:rPr>
                <w:rFonts w:hint="eastAsia" w:ascii="宋体" w:hAnsi="宋体" w:eastAsia="宋体" w:cs="宋体"/>
                <w:bCs/>
                <w:color w:val="000000"/>
                <w:sz w:val="21"/>
                <w:szCs w:val="21"/>
                <w:highlight w:val="none"/>
                <w:shd w:val="clear" w:color="auto" w:fill="auto"/>
              </w:rPr>
              <w:t>应登陆“</w:t>
            </w:r>
            <w:r>
              <w:rPr>
                <w:rFonts w:hint="eastAsia" w:ascii="宋体" w:hAnsi="宋体" w:eastAsia="宋体" w:cs="宋体"/>
                <w:bCs/>
                <w:color w:val="000000"/>
                <w:sz w:val="21"/>
                <w:szCs w:val="21"/>
                <w:highlight w:val="none"/>
                <w:shd w:val="clear" w:color="auto" w:fill="auto"/>
                <w:lang w:eastAsia="zh-CN"/>
              </w:rPr>
              <w:t>广西政府采购云平台</w:t>
            </w:r>
            <w:r>
              <w:rPr>
                <w:rFonts w:hint="eastAsia" w:ascii="宋体" w:hAnsi="宋体" w:eastAsia="宋体" w:cs="宋体"/>
                <w:bCs/>
                <w:color w:val="000000"/>
                <w:sz w:val="21"/>
                <w:szCs w:val="21"/>
                <w:highlight w:val="none"/>
                <w:shd w:val="clear" w:color="auto" w:fill="auto"/>
              </w:rPr>
              <w:t>”进行“申请获取采购文件”操作，否则，有可能导致无法在线编制响应文件并参与磋商，其不利后果由供应商自行承担。</w:t>
            </w:r>
          </w:p>
          <w:p w14:paraId="6E28D0E0">
            <w:pPr>
              <w:pageBreakBefore w:val="0"/>
              <w:kinsoku/>
              <w:wordWrap/>
              <w:overflowPunct/>
              <w:topLinePunct w:val="0"/>
              <w:autoSpaceDE/>
              <w:autoSpaceDN/>
              <w:bidi w:val="0"/>
              <w:adjustRightInd/>
              <w:snapToGrid w:val="0"/>
              <w:spacing w:line="360" w:lineRule="auto"/>
              <w:ind w:right="-57" w:rightChars="-27"/>
              <w:jc w:val="left"/>
              <w:textAlignment w:val="auto"/>
              <w:rPr>
                <w:rFonts w:hint="eastAsia" w:ascii="宋体" w:hAnsi="宋体" w:eastAsia="宋体" w:cs="宋体"/>
                <w:bCs/>
                <w:color w:val="000000"/>
                <w:sz w:val="21"/>
                <w:szCs w:val="21"/>
                <w:highlight w:val="none"/>
                <w:shd w:val="clear" w:color="auto" w:fill="auto"/>
              </w:rPr>
            </w:pPr>
            <w:r>
              <w:rPr>
                <w:rFonts w:hint="eastAsia" w:ascii="宋体" w:hAnsi="宋体" w:eastAsia="宋体" w:cs="宋体"/>
                <w:bCs/>
                <w:color w:val="000000"/>
                <w:sz w:val="21"/>
                <w:szCs w:val="21"/>
                <w:highlight w:val="none"/>
                <w:shd w:val="clear" w:color="auto" w:fill="auto"/>
              </w:rPr>
              <w:t>16.2供应商下载或获取竞争性磋商文件后，登录“</w:t>
            </w:r>
            <w:r>
              <w:rPr>
                <w:rFonts w:hint="eastAsia" w:ascii="宋体" w:hAnsi="宋体" w:eastAsia="宋体" w:cs="宋体"/>
                <w:bCs/>
                <w:color w:val="000000"/>
                <w:sz w:val="21"/>
                <w:szCs w:val="21"/>
                <w:highlight w:val="none"/>
                <w:shd w:val="clear" w:color="auto" w:fill="auto"/>
                <w:lang w:eastAsia="zh-CN"/>
              </w:rPr>
              <w:t>广西政府采购云平台</w:t>
            </w:r>
            <w:r>
              <w:rPr>
                <w:rFonts w:hint="eastAsia" w:ascii="宋体" w:hAnsi="宋体" w:eastAsia="宋体" w:cs="宋体"/>
                <w:bCs/>
                <w:color w:val="000000"/>
                <w:sz w:val="21"/>
                <w:szCs w:val="21"/>
                <w:highlight w:val="none"/>
                <w:shd w:val="clear" w:color="auto" w:fill="auto"/>
              </w:rPr>
              <w:t>电子投标客户端”，按照本磋商文件</w:t>
            </w:r>
            <w:r>
              <w:rPr>
                <w:rFonts w:hint="eastAsia" w:ascii="宋体" w:hAnsi="宋体" w:eastAsia="宋体" w:cs="宋体"/>
                <w:color w:val="000000"/>
                <w:sz w:val="21"/>
                <w:szCs w:val="21"/>
                <w:highlight w:val="none"/>
                <w:shd w:val="clear" w:color="auto" w:fill="auto"/>
              </w:rPr>
              <w:t>规定的响应文件格式、顺序</w:t>
            </w:r>
            <w:r>
              <w:rPr>
                <w:rFonts w:hint="eastAsia" w:ascii="宋体" w:hAnsi="宋体" w:eastAsia="宋体" w:cs="宋体"/>
                <w:bCs/>
                <w:color w:val="000000"/>
                <w:sz w:val="21"/>
                <w:szCs w:val="21"/>
                <w:highlight w:val="none"/>
                <w:shd w:val="clear" w:color="auto" w:fill="auto"/>
              </w:rPr>
              <w:t>以及“</w:t>
            </w:r>
            <w:r>
              <w:rPr>
                <w:rFonts w:hint="eastAsia" w:ascii="宋体" w:hAnsi="宋体" w:eastAsia="宋体" w:cs="宋体"/>
                <w:bCs/>
                <w:color w:val="000000"/>
                <w:sz w:val="21"/>
                <w:szCs w:val="21"/>
                <w:highlight w:val="none"/>
                <w:shd w:val="clear" w:color="auto" w:fill="auto"/>
                <w:lang w:eastAsia="zh-CN"/>
              </w:rPr>
              <w:t>广西政府采购云平台</w:t>
            </w:r>
            <w:r>
              <w:rPr>
                <w:rFonts w:hint="eastAsia" w:ascii="宋体" w:hAnsi="宋体" w:eastAsia="宋体" w:cs="宋体"/>
                <w:bCs/>
                <w:color w:val="000000"/>
                <w:sz w:val="21"/>
                <w:szCs w:val="21"/>
                <w:highlight w:val="none"/>
                <w:shd w:val="clear" w:color="auto" w:fill="auto"/>
              </w:rPr>
              <w:t>”的要求，通过“</w:t>
            </w:r>
            <w:r>
              <w:rPr>
                <w:rFonts w:hint="eastAsia" w:ascii="宋体" w:hAnsi="宋体" w:eastAsia="宋体" w:cs="宋体"/>
                <w:bCs/>
                <w:color w:val="000000"/>
                <w:sz w:val="21"/>
                <w:szCs w:val="21"/>
                <w:highlight w:val="none"/>
                <w:shd w:val="clear" w:color="auto" w:fill="auto"/>
                <w:lang w:eastAsia="zh-CN"/>
              </w:rPr>
              <w:t>广西政府采购云平台</w:t>
            </w:r>
            <w:r>
              <w:rPr>
                <w:rFonts w:hint="eastAsia" w:ascii="宋体" w:hAnsi="宋体" w:eastAsia="宋体" w:cs="宋体"/>
                <w:bCs/>
                <w:color w:val="000000"/>
                <w:sz w:val="21"/>
                <w:szCs w:val="21"/>
                <w:highlight w:val="none"/>
                <w:shd w:val="clear" w:color="auto" w:fill="auto"/>
              </w:rPr>
              <w:t>电子投标客户端”编制电子响应文件。</w:t>
            </w:r>
          </w:p>
          <w:p w14:paraId="27EDD171">
            <w:pPr>
              <w:pageBreakBefore w:val="0"/>
              <w:kinsoku/>
              <w:wordWrap/>
              <w:overflowPunct/>
              <w:topLinePunct w:val="0"/>
              <w:autoSpaceDE/>
              <w:autoSpaceDN/>
              <w:bidi w:val="0"/>
              <w:adjustRightInd/>
              <w:spacing w:line="360" w:lineRule="auto"/>
              <w:ind w:right="-57" w:rightChars="-27"/>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16.3电子磋商响应文件中须加盖供应商公章部分均采用CA签章，并根据“政府采购项目电子交易管理操作指南-供应商”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14:paraId="025EBD9F">
            <w:pPr>
              <w:pageBreakBefore w:val="0"/>
              <w:kinsoku/>
              <w:wordWrap/>
              <w:overflowPunct/>
              <w:topLinePunct w:val="0"/>
              <w:autoSpaceDE/>
              <w:autoSpaceDN/>
              <w:bidi w:val="0"/>
              <w:adjustRightInd/>
              <w:spacing w:line="360" w:lineRule="auto"/>
              <w:ind w:right="-57" w:rightChars="-27"/>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16.4供应商法人（负责人）或授权代表持有</w:t>
            </w:r>
            <w:r>
              <w:rPr>
                <w:rFonts w:hint="eastAsia" w:ascii="宋体" w:hAnsi="宋体" w:eastAsia="宋体" w:cs="宋体"/>
                <w:color w:val="000000"/>
                <w:sz w:val="21"/>
                <w:szCs w:val="21"/>
                <w:highlight w:val="none"/>
                <w:shd w:val="clear" w:color="auto" w:fill="auto"/>
                <w:lang w:eastAsia="zh-CN"/>
              </w:rPr>
              <w:t>广西政府采购云平台</w:t>
            </w:r>
            <w:r>
              <w:rPr>
                <w:rFonts w:hint="eastAsia" w:ascii="宋体" w:hAnsi="宋体" w:eastAsia="宋体" w:cs="宋体"/>
                <w:color w:val="000000"/>
                <w:sz w:val="21"/>
                <w:szCs w:val="21"/>
                <w:highlight w:val="none"/>
                <w:shd w:val="clear" w:color="auto" w:fill="auto"/>
              </w:rPr>
              <w:t>个人CA签章的，应在响应文件中涉及到签字的位置使用个人CA签章，没有办理</w:t>
            </w:r>
            <w:r>
              <w:rPr>
                <w:rFonts w:hint="eastAsia" w:ascii="宋体" w:hAnsi="宋体" w:eastAsia="宋体" w:cs="宋体"/>
                <w:color w:val="000000"/>
                <w:sz w:val="21"/>
                <w:szCs w:val="21"/>
                <w:highlight w:val="none"/>
                <w:shd w:val="clear" w:color="auto" w:fill="auto"/>
                <w:lang w:eastAsia="zh-CN"/>
              </w:rPr>
              <w:t>广西政府采购云平台</w:t>
            </w:r>
            <w:r>
              <w:rPr>
                <w:rFonts w:hint="eastAsia" w:ascii="宋体" w:hAnsi="宋体" w:eastAsia="宋体" w:cs="宋体"/>
                <w:color w:val="000000"/>
                <w:sz w:val="21"/>
                <w:szCs w:val="21"/>
                <w:highlight w:val="none"/>
                <w:shd w:val="clear" w:color="auto" w:fill="auto"/>
              </w:rPr>
              <w:t>个人CA签章的可在响应文件中涉及到签字的位置手写签字后扫描或者拍照做成PDF的格式上传即可。</w:t>
            </w:r>
          </w:p>
          <w:p w14:paraId="47633FEF">
            <w:pPr>
              <w:pageBreakBefore w:val="0"/>
              <w:kinsoku/>
              <w:wordWrap/>
              <w:overflowPunct/>
              <w:topLinePunct w:val="0"/>
              <w:autoSpaceDE/>
              <w:autoSpaceDN/>
              <w:bidi w:val="0"/>
              <w:adjustRightInd/>
              <w:spacing w:line="360" w:lineRule="auto"/>
              <w:ind w:right="-57" w:rightChars="-27"/>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16.5磋商响应文件不得涂改，若有修改错漏处，须法定代表人（负责人）或授权委托人签字（或个人CA签章）。磋商响应文件因字迹潦草或表达不清所引起的后果由供应商负责。</w:t>
            </w:r>
          </w:p>
          <w:p w14:paraId="36CE9AEC">
            <w:pPr>
              <w:pageBreakBefore w:val="0"/>
              <w:kinsoku/>
              <w:wordWrap/>
              <w:overflowPunct/>
              <w:topLinePunct w:val="0"/>
              <w:autoSpaceDE/>
              <w:autoSpaceDN/>
              <w:bidi w:val="0"/>
              <w:adjustRightInd/>
              <w:spacing w:line="360" w:lineRule="auto"/>
              <w:ind w:right="-57" w:rightChars="-27"/>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16.6磋商前准备</w:t>
            </w:r>
          </w:p>
          <w:p w14:paraId="5FDD1692">
            <w:pPr>
              <w:pageBreakBefore w:val="0"/>
              <w:kinsoku/>
              <w:wordWrap/>
              <w:overflowPunct/>
              <w:topLinePunct w:val="0"/>
              <w:autoSpaceDE/>
              <w:autoSpaceDN/>
              <w:bidi w:val="0"/>
              <w:adjustRightInd/>
              <w:spacing w:line="360" w:lineRule="auto"/>
              <w:ind w:right="-57" w:rightChars="-27"/>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16.6.1本项目实行在线磋商，采用电子磋商响应文件。若供应商参与磋商，自行承担磋商一切费用。</w:t>
            </w:r>
          </w:p>
          <w:p w14:paraId="268B69B3">
            <w:pPr>
              <w:pageBreakBefore w:val="0"/>
              <w:kinsoku/>
              <w:wordWrap/>
              <w:overflowPunct/>
              <w:topLinePunct w:val="0"/>
              <w:autoSpaceDE/>
              <w:autoSpaceDN/>
              <w:bidi w:val="0"/>
              <w:adjustRightInd/>
              <w:spacing w:line="360" w:lineRule="auto"/>
              <w:ind w:right="-57" w:rightChars="-27"/>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16.6.2各供应商应在截标前应确保成为</w:t>
            </w:r>
            <w:r>
              <w:rPr>
                <w:rFonts w:hint="eastAsia" w:ascii="宋体" w:hAnsi="宋体" w:eastAsia="宋体" w:cs="宋体"/>
                <w:color w:val="000000"/>
                <w:sz w:val="21"/>
                <w:szCs w:val="21"/>
                <w:highlight w:val="none"/>
                <w:shd w:val="clear" w:color="auto" w:fill="auto"/>
                <w:lang w:eastAsia="zh-CN"/>
              </w:rPr>
              <w:t>广西政府采购云平台</w:t>
            </w:r>
            <w:r>
              <w:rPr>
                <w:rFonts w:hint="eastAsia" w:ascii="宋体" w:hAnsi="宋体" w:eastAsia="宋体" w:cs="宋体"/>
                <w:color w:val="000000"/>
                <w:sz w:val="21"/>
                <w:szCs w:val="21"/>
                <w:highlight w:val="none"/>
                <w:shd w:val="clear" w:color="auto" w:fill="auto"/>
              </w:rPr>
              <w:t>正式注册入库供应商，并完成CA数字证书申领和绑定。因未注册入库、未办理CA数字证书等原因造成无法磋商或磋商失败等后果由供应商自行承担。</w:t>
            </w:r>
          </w:p>
          <w:p w14:paraId="6069DF63">
            <w:pPr>
              <w:pageBreakBefore w:val="0"/>
              <w:kinsoku/>
              <w:wordWrap/>
              <w:overflowPunct/>
              <w:topLinePunct w:val="0"/>
              <w:autoSpaceDE/>
              <w:autoSpaceDN/>
              <w:bidi w:val="0"/>
              <w:adjustRightInd/>
              <w:spacing w:line="360" w:lineRule="auto"/>
              <w:ind w:right="-57" w:rightChars="-27"/>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16.6.3供应商将</w:t>
            </w:r>
            <w:r>
              <w:rPr>
                <w:rFonts w:hint="eastAsia" w:ascii="宋体" w:hAnsi="宋体" w:eastAsia="宋体" w:cs="宋体"/>
                <w:color w:val="000000"/>
                <w:sz w:val="21"/>
                <w:szCs w:val="21"/>
                <w:highlight w:val="none"/>
                <w:shd w:val="clear" w:color="auto" w:fill="auto"/>
                <w:lang w:eastAsia="zh-CN"/>
              </w:rPr>
              <w:t>广西政府采购云平台</w:t>
            </w:r>
            <w:r>
              <w:rPr>
                <w:rFonts w:hint="eastAsia" w:ascii="宋体" w:hAnsi="宋体" w:eastAsia="宋体" w:cs="宋体"/>
                <w:color w:val="000000"/>
                <w:sz w:val="21"/>
                <w:szCs w:val="21"/>
                <w:highlight w:val="none"/>
                <w:shd w:val="clear" w:color="auto" w:fill="auto"/>
              </w:rPr>
              <w:t>电子交易客户端下载、安装完成后，可通过账号密码或CA登录客户端进行响应文件制作。客户端请至网站下载专区查看，如有问题可拨打</w:t>
            </w:r>
            <w:r>
              <w:rPr>
                <w:rFonts w:hint="eastAsia" w:ascii="宋体" w:hAnsi="宋体" w:eastAsia="宋体" w:cs="宋体"/>
                <w:color w:val="000000"/>
                <w:sz w:val="21"/>
                <w:szCs w:val="21"/>
                <w:highlight w:val="none"/>
                <w:shd w:val="clear" w:color="auto" w:fill="auto"/>
                <w:lang w:eastAsia="zh-CN"/>
              </w:rPr>
              <w:t>广西政府采购云平台</w:t>
            </w:r>
            <w:r>
              <w:rPr>
                <w:rFonts w:hint="eastAsia" w:ascii="宋体" w:hAnsi="宋体" w:eastAsia="宋体" w:cs="宋体"/>
                <w:color w:val="000000"/>
                <w:sz w:val="21"/>
                <w:szCs w:val="21"/>
                <w:highlight w:val="none"/>
                <w:shd w:val="clear" w:color="auto" w:fill="auto"/>
              </w:rPr>
              <w:t>客户服务热线</w:t>
            </w:r>
            <w:r>
              <w:rPr>
                <w:rFonts w:hint="eastAsia" w:ascii="宋体" w:hAnsi="宋体" w:eastAsia="宋体" w:cs="宋体"/>
                <w:color w:val="000000"/>
                <w:sz w:val="21"/>
                <w:szCs w:val="21"/>
                <w:highlight w:val="none"/>
                <w:shd w:val="clear" w:color="auto" w:fill="auto"/>
                <w:lang w:eastAsia="zh-CN"/>
              </w:rPr>
              <w:t>400-881-7190或95763</w:t>
            </w:r>
            <w:r>
              <w:rPr>
                <w:rFonts w:hint="eastAsia" w:ascii="宋体" w:hAnsi="宋体" w:eastAsia="宋体" w:cs="宋体"/>
                <w:color w:val="000000"/>
                <w:sz w:val="21"/>
                <w:szCs w:val="21"/>
                <w:highlight w:val="none"/>
                <w:shd w:val="clear" w:color="auto" w:fill="auto"/>
              </w:rPr>
              <w:t>进行咨询。</w:t>
            </w:r>
          </w:p>
        </w:tc>
      </w:tr>
      <w:tr w14:paraId="48EA7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534900CD">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8</w:t>
            </w:r>
          </w:p>
        </w:tc>
        <w:tc>
          <w:tcPr>
            <w:tcW w:w="942" w:type="dxa"/>
            <w:noWrap w:val="0"/>
            <w:vAlign w:val="center"/>
          </w:tcPr>
          <w:p w14:paraId="08D167A2">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18.1</w:t>
            </w:r>
          </w:p>
        </w:tc>
        <w:tc>
          <w:tcPr>
            <w:tcW w:w="1775" w:type="dxa"/>
            <w:noWrap w:val="0"/>
            <w:vAlign w:val="center"/>
          </w:tcPr>
          <w:p w14:paraId="3BFA90E1">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响应文件递交截止时间</w:t>
            </w:r>
          </w:p>
        </w:tc>
        <w:tc>
          <w:tcPr>
            <w:tcW w:w="6405" w:type="dxa"/>
            <w:noWrap w:val="0"/>
            <w:vAlign w:val="center"/>
          </w:tcPr>
          <w:p w14:paraId="218FE5F7">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u w:val="none"/>
                <w:shd w:val="clear" w:color="auto" w:fill="auto"/>
              </w:rPr>
              <w:t>于</w:t>
            </w:r>
            <w:r>
              <w:rPr>
                <w:rFonts w:hint="eastAsia" w:ascii="宋体" w:hAnsi="宋体" w:eastAsia="宋体" w:cs="宋体"/>
                <w:color w:val="000000"/>
                <w:sz w:val="21"/>
                <w:szCs w:val="21"/>
                <w:highlight w:val="none"/>
                <w:u w:val="none"/>
                <w:shd w:val="clear" w:color="auto" w:fill="auto"/>
                <w:lang w:eastAsia="zh-CN"/>
              </w:rPr>
              <w:t>2025年7月</w:t>
            </w:r>
            <w:r>
              <w:rPr>
                <w:rFonts w:hint="eastAsia" w:ascii="宋体" w:hAnsi="宋体" w:eastAsia="宋体" w:cs="宋体"/>
                <w:color w:val="000000"/>
                <w:sz w:val="21"/>
                <w:szCs w:val="21"/>
                <w:highlight w:val="none"/>
                <w:u w:val="none"/>
                <w:shd w:val="clear" w:color="auto" w:fill="auto"/>
                <w:lang w:val="en-US" w:eastAsia="zh-CN"/>
              </w:rPr>
              <w:t xml:space="preserve"> </w:t>
            </w:r>
            <w:r>
              <w:rPr>
                <w:rFonts w:hint="eastAsia" w:ascii="宋体" w:hAnsi="宋体" w:cs="宋体"/>
                <w:color w:val="000000"/>
                <w:sz w:val="21"/>
                <w:szCs w:val="21"/>
                <w:highlight w:val="none"/>
                <w:u w:val="none"/>
                <w:shd w:val="clear" w:color="auto" w:fill="auto"/>
                <w:lang w:val="en-US" w:eastAsia="zh-CN"/>
              </w:rPr>
              <w:t>25</w:t>
            </w:r>
            <w:r>
              <w:rPr>
                <w:rFonts w:hint="eastAsia" w:ascii="宋体" w:hAnsi="宋体" w:eastAsia="宋体" w:cs="宋体"/>
                <w:color w:val="000000"/>
                <w:sz w:val="21"/>
                <w:szCs w:val="21"/>
                <w:highlight w:val="none"/>
                <w:u w:val="none"/>
                <w:shd w:val="clear" w:color="auto" w:fill="auto"/>
                <w:lang w:val="en-US" w:eastAsia="zh-CN"/>
              </w:rPr>
              <w:t xml:space="preserve"> </w:t>
            </w:r>
            <w:r>
              <w:rPr>
                <w:rFonts w:hint="eastAsia" w:ascii="宋体" w:hAnsi="宋体" w:eastAsia="宋体" w:cs="宋体"/>
                <w:color w:val="000000"/>
                <w:sz w:val="21"/>
                <w:szCs w:val="21"/>
                <w:highlight w:val="none"/>
                <w:u w:val="none"/>
                <w:shd w:val="clear" w:color="auto" w:fill="auto"/>
                <w:lang w:eastAsia="zh-CN"/>
              </w:rPr>
              <w:t>日</w:t>
            </w:r>
            <w:r>
              <w:rPr>
                <w:rFonts w:hint="eastAsia" w:ascii="宋体" w:hAnsi="宋体" w:eastAsia="宋体" w:cs="宋体"/>
                <w:color w:val="000000"/>
                <w:sz w:val="21"/>
                <w:szCs w:val="21"/>
                <w:highlight w:val="none"/>
                <w:u w:val="none"/>
                <w:shd w:val="clear" w:color="auto" w:fill="auto"/>
                <w:lang w:val="en-US" w:eastAsia="zh-CN"/>
              </w:rPr>
              <w:t>09</w:t>
            </w:r>
            <w:r>
              <w:rPr>
                <w:rFonts w:hint="eastAsia" w:ascii="宋体" w:hAnsi="宋体" w:eastAsia="宋体" w:cs="宋体"/>
                <w:color w:val="000000"/>
                <w:sz w:val="21"/>
                <w:szCs w:val="21"/>
                <w:highlight w:val="none"/>
                <w:u w:val="none"/>
                <w:shd w:val="clear" w:color="auto" w:fill="auto"/>
              </w:rPr>
              <w:t>时30分</w:t>
            </w:r>
            <w:r>
              <w:rPr>
                <w:rFonts w:hint="eastAsia" w:ascii="宋体" w:hAnsi="宋体" w:eastAsia="宋体" w:cs="宋体"/>
                <w:color w:val="auto"/>
                <w:szCs w:val="21"/>
                <w:highlight w:val="none"/>
              </w:rPr>
              <w:t>之前将电子磋商响应文件上传到广西政府采购云平台。应按照本项目磋商文件和广西政府采购云平台的要求编制、加密传输磋商响应文件。供应商在使用系统进行响应的过程中遇到涉及平台使用的任何问题，可致电广西政府采购云平台技术支持热线咨询，联系方式：95763。</w:t>
            </w:r>
          </w:p>
        </w:tc>
      </w:tr>
      <w:tr w14:paraId="59278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0A2C96CC">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position w:val="-2"/>
                <w:sz w:val="21"/>
                <w:szCs w:val="21"/>
                <w:highlight w:val="none"/>
                <w:shd w:val="clear" w:color="auto" w:fill="auto"/>
              </w:rPr>
            </w:pPr>
            <w:r>
              <w:rPr>
                <w:rFonts w:hint="eastAsia" w:ascii="宋体" w:hAnsi="宋体" w:eastAsia="宋体" w:cs="宋体"/>
                <w:color w:val="000000"/>
                <w:position w:val="-2"/>
                <w:sz w:val="21"/>
                <w:szCs w:val="21"/>
                <w:highlight w:val="none"/>
                <w:shd w:val="clear" w:color="auto" w:fill="auto"/>
              </w:rPr>
              <w:t>9</w:t>
            </w:r>
          </w:p>
        </w:tc>
        <w:tc>
          <w:tcPr>
            <w:tcW w:w="942" w:type="dxa"/>
            <w:noWrap w:val="0"/>
            <w:vAlign w:val="center"/>
          </w:tcPr>
          <w:p w14:paraId="7F948098">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position w:val="-2"/>
                <w:sz w:val="21"/>
                <w:szCs w:val="21"/>
                <w:highlight w:val="none"/>
                <w:shd w:val="clear" w:color="auto" w:fill="auto"/>
              </w:rPr>
            </w:pPr>
            <w:r>
              <w:rPr>
                <w:rFonts w:hint="eastAsia" w:ascii="宋体" w:hAnsi="宋体" w:eastAsia="宋体" w:cs="宋体"/>
                <w:color w:val="000000"/>
                <w:position w:val="-2"/>
                <w:sz w:val="21"/>
                <w:szCs w:val="21"/>
                <w:highlight w:val="none"/>
                <w:shd w:val="clear" w:color="auto" w:fill="auto"/>
              </w:rPr>
              <w:t>18.2</w:t>
            </w:r>
          </w:p>
        </w:tc>
        <w:tc>
          <w:tcPr>
            <w:tcW w:w="1775" w:type="dxa"/>
            <w:noWrap w:val="0"/>
            <w:vAlign w:val="center"/>
          </w:tcPr>
          <w:p w14:paraId="03E3325A">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position w:val="-2"/>
                <w:sz w:val="21"/>
                <w:szCs w:val="21"/>
                <w:highlight w:val="none"/>
                <w:shd w:val="clear" w:color="auto" w:fill="auto"/>
              </w:rPr>
            </w:pPr>
            <w:r>
              <w:rPr>
                <w:rFonts w:hint="eastAsia" w:ascii="宋体" w:hAnsi="宋体" w:eastAsia="宋体" w:cs="宋体"/>
                <w:color w:val="000000"/>
                <w:sz w:val="21"/>
                <w:szCs w:val="21"/>
                <w:highlight w:val="none"/>
                <w:shd w:val="clear" w:color="auto" w:fill="auto"/>
              </w:rPr>
              <w:t>磋商响应文件解密时间</w:t>
            </w:r>
          </w:p>
        </w:tc>
        <w:tc>
          <w:tcPr>
            <w:tcW w:w="6405" w:type="dxa"/>
            <w:noWrap w:val="0"/>
            <w:vAlign w:val="center"/>
          </w:tcPr>
          <w:p w14:paraId="4DEEE525">
            <w:pPr>
              <w:pStyle w:val="15"/>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auto"/>
                <w:szCs w:val="21"/>
                <w:highlight w:val="none"/>
              </w:rPr>
              <w:t>磋商响应文件解密时间</w:t>
            </w:r>
            <w:r>
              <w:rPr>
                <w:rFonts w:hint="eastAsia" w:ascii="宋体" w:hAnsi="宋体" w:eastAsia="宋体" w:cs="宋体"/>
                <w:color w:val="auto"/>
                <w:highlight w:val="none"/>
              </w:rPr>
              <w:t>：截标时间后</w:t>
            </w:r>
            <w:r>
              <w:rPr>
                <w:rFonts w:hint="eastAsia" w:ascii="宋体" w:hAnsi="宋体" w:eastAsia="宋体" w:cs="宋体"/>
                <w:color w:val="auto"/>
                <w:highlight w:val="none"/>
                <w:u w:val="single"/>
              </w:rPr>
              <w:t>30</w:t>
            </w:r>
            <w:r>
              <w:rPr>
                <w:rFonts w:hint="eastAsia" w:ascii="宋体" w:hAnsi="宋体" w:eastAsia="宋体" w:cs="宋体"/>
                <w:color w:val="auto"/>
                <w:highlight w:val="none"/>
              </w:rPr>
              <w:t>分钟内磋商供应商可以登录广西政府采购云平台，用“项目采购-开标评标”功能进行解密磋商响应文件。若磋商供应商在规定时间内无法解密或解密失败，可以以电子备份磋商响应文件作为依据</w:t>
            </w:r>
            <w:r>
              <w:rPr>
                <w:rFonts w:hint="eastAsia" w:ascii="宋体" w:hAnsi="宋体" w:eastAsia="宋体" w:cs="宋体"/>
                <w:b/>
                <w:bCs/>
                <w:color w:val="auto"/>
                <w:highlight w:val="none"/>
              </w:rPr>
              <w:t>【在接到无法解密或解密失败的通知后，磋商供应商可根据自身实际情况按通知时要求的时间到桂林市公共资源交易中心</w:t>
            </w:r>
            <w:r>
              <w:rPr>
                <w:rFonts w:hint="eastAsia" w:ascii="宋体" w:hAnsi="宋体" w:eastAsia="宋体" w:cs="宋体"/>
                <w:b/>
                <w:bCs/>
                <w:color w:val="auto"/>
                <w:highlight w:val="none"/>
                <w:lang w:val="en-US" w:eastAsia="zh-CN"/>
              </w:rPr>
              <w:t>9号政采开标仓</w:t>
            </w:r>
            <w:r>
              <w:rPr>
                <w:rFonts w:hint="eastAsia" w:ascii="宋体" w:hAnsi="宋体" w:eastAsia="宋体" w:cs="宋体"/>
                <w:b/>
                <w:bCs/>
                <w:color w:val="auto"/>
                <w:highlight w:val="none"/>
              </w:rPr>
              <w:t>（广西桂林市临桂区西城中路69号创业大厦西辅楼4楼北区）现场提交或以电子邮件的形式（以通知时所告知的电子邮箱地址为准）提交电子备份磋商响应文件】</w:t>
            </w:r>
            <w:r>
              <w:rPr>
                <w:rFonts w:hint="eastAsia" w:ascii="宋体" w:hAnsi="宋体" w:eastAsia="宋体" w:cs="宋体"/>
                <w:color w:val="auto"/>
                <w:highlight w:val="none"/>
              </w:rPr>
              <w:t>，若磋商供应商在规定时间内无法解密或解密失败且未提供电子备份磋商响应文件的(包含提供的电子备份文件无效或无法解密的情况)，视为无效响应。</w:t>
            </w:r>
          </w:p>
        </w:tc>
      </w:tr>
      <w:tr w14:paraId="3758E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40E3337E">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10</w:t>
            </w:r>
          </w:p>
        </w:tc>
        <w:tc>
          <w:tcPr>
            <w:tcW w:w="942" w:type="dxa"/>
            <w:noWrap w:val="0"/>
            <w:vAlign w:val="center"/>
          </w:tcPr>
          <w:p w14:paraId="35AA2485">
            <w:pPr>
              <w:pageBreakBefore w:val="0"/>
              <w:kinsoku/>
              <w:wordWrap/>
              <w:overflowPunct/>
              <w:topLinePunct w:val="0"/>
              <w:autoSpaceDE/>
              <w:autoSpaceDN/>
              <w:bidi w:val="0"/>
              <w:adjustRightInd/>
              <w:spacing w:line="360" w:lineRule="auto"/>
              <w:ind w:firstLine="105" w:firstLineChars="50"/>
              <w:jc w:val="center"/>
              <w:textAlignment w:val="auto"/>
              <w:rPr>
                <w:rFonts w:hint="eastAsia" w:ascii="宋体" w:hAnsi="宋体" w:eastAsia="宋体" w:cs="宋体"/>
                <w:color w:val="000000"/>
                <w:position w:val="-2"/>
                <w:sz w:val="21"/>
                <w:szCs w:val="21"/>
                <w:highlight w:val="none"/>
                <w:shd w:val="clear" w:color="auto" w:fill="auto"/>
              </w:rPr>
            </w:pPr>
            <w:r>
              <w:rPr>
                <w:rFonts w:hint="eastAsia" w:ascii="宋体" w:hAnsi="宋体" w:eastAsia="宋体" w:cs="宋体"/>
                <w:color w:val="000000"/>
                <w:position w:val="-2"/>
                <w:sz w:val="21"/>
                <w:szCs w:val="21"/>
                <w:highlight w:val="none"/>
                <w:shd w:val="clear" w:color="auto" w:fill="auto"/>
              </w:rPr>
              <w:t>19.1</w:t>
            </w:r>
          </w:p>
        </w:tc>
        <w:tc>
          <w:tcPr>
            <w:tcW w:w="1775" w:type="dxa"/>
            <w:noWrap w:val="0"/>
            <w:vAlign w:val="center"/>
          </w:tcPr>
          <w:p w14:paraId="22922A1F">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磋商小组组成</w:t>
            </w:r>
          </w:p>
        </w:tc>
        <w:tc>
          <w:tcPr>
            <w:tcW w:w="6405" w:type="dxa"/>
            <w:noWrap w:val="0"/>
            <w:vAlign w:val="center"/>
          </w:tcPr>
          <w:p w14:paraId="53FD78BB">
            <w:pPr>
              <w:pageBreakBefore w:val="0"/>
              <w:kinsoku/>
              <w:wordWrap/>
              <w:overflowPunct/>
              <w:topLinePunct w:val="0"/>
              <w:autoSpaceDE/>
              <w:autoSpaceDN/>
              <w:bidi w:val="0"/>
              <w:adjustRightInd/>
              <w:spacing w:line="360" w:lineRule="auto"/>
              <w:ind w:left="15" w:hanging="14" w:hangingChars="7"/>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磋商及评审工作由采购代理机构负责组织，具体磋商、评审工作由依法组建的磋商小组负责，磋商小组由采购人代表和有关方面的专家组成。磋商小组的构成：</w:t>
            </w:r>
            <w:r>
              <w:rPr>
                <w:rFonts w:hint="eastAsia" w:ascii="宋体" w:hAnsi="宋体" w:eastAsia="宋体" w:cs="宋体"/>
                <w:color w:val="000000"/>
                <w:sz w:val="21"/>
                <w:szCs w:val="21"/>
                <w:highlight w:val="none"/>
                <w:u w:val="single"/>
                <w:shd w:val="clear" w:color="auto" w:fill="auto"/>
              </w:rPr>
              <w:t>3</w:t>
            </w:r>
            <w:r>
              <w:rPr>
                <w:rFonts w:hint="eastAsia" w:ascii="宋体" w:hAnsi="宋体" w:eastAsia="宋体" w:cs="宋体"/>
                <w:color w:val="000000"/>
                <w:sz w:val="21"/>
                <w:szCs w:val="21"/>
                <w:highlight w:val="none"/>
                <w:shd w:val="clear" w:color="auto" w:fill="auto"/>
              </w:rPr>
              <w:t>人，其中采购人代表</w:t>
            </w:r>
            <w:r>
              <w:rPr>
                <w:rFonts w:hint="eastAsia" w:ascii="宋体" w:hAnsi="宋体" w:eastAsia="宋体" w:cs="宋体"/>
                <w:color w:val="000000"/>
                <w:sz w:val="21"/>
                <w:szCs w:val="21"/>
                <w:highlight w:val="none"/>
                <w:u w:val="single"/>
                <w:shd w:val="clear" w:color="auto" w:fill="auto"/>
              </w:rPr>
              <w:t>1</w:t>
            </w:r>
            <w:r>
              <w:rPr>
                <w:rFonts w:hint="eastAsia" w:ascii="宋体" w:hAnsi="宋体" w:eastAsia="宋体" w:cs="宋体"/>
                <w:color w:val="000000"/>
                <w:sz w:val="21"/>
                <w:szCs w:val="21"/>
                <w:highlight w:val="none"/>
                <w:shd w:val="clear" w:color="auto" w:fill="auto"/>
              </w:rPr>
              <w:t>人，专家</w:t>
            </w:r>
            <w:r>
              <w:rPr>
                <w:rFonts w:hint="eastAsia" w:ascii="宋体" w:hAnsi="宋体" w:eastAsia="宋体" w:cs="宋体"/>
                <w:color w:val="000000"/>
                <w:sz w:val="21"/>
                <w:szCs w:val="21"/>
                <w:highlight w:val="none"/>
                <w:u w:val="single"/>
                <w:shd w:val="clear" w:color="auto" w:fill="auto"/>
              </w:rPr>
              <w:t>2</w:t>
            </w:r>
            <w:r>
              <w:rPr>
                <w:rFonts w:hint="eastAsia" w:ascii="宋体" w:hAnsi="宋体" w:eastAsia="宋体" w:cs="宋体"/>
                <w:color w:val="000000"/>
                <w:sz w:val="21"/>
                <w:szCs w:val="21"/>
                <w:highlight w:val="none"/>
                <w:shd w:val="clear" w:color="auto" w:fill="auto"/>
              </w:rPr>
              <w:t>人。</w:t>
            </w:r>
          </w:p>
        </w:tc>
      </w:tr>
      <w:tr w14:paraId="0472F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6C0DB924">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11</w:t>
            </w:r>
          </w:p>
        </w:tc>
        <w:tc>
          <w:tcPr>
            <w:tcW w:w="942" w:type="dxa"/>
            <w:noWrap w:val="0"/>
            <w:vAlign w:val="center"/>
          </w:tcPr>
          <w:p w14:paraId="1C88C34D">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19.2</w:t>
            </w:r>
          </w:p>
        </w:tc>
        <w:tc>
          <w:tcPr>
            <w:tcW w:w="1775" w:type="dxa"/>
            <w:noWrap w:val="0"/>
            <w:vAlign w:val="center"/>
          </w:tcPr>
          <w:p w14:paraId="053F8418">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磋商时间、地点、人员</w:t>
            </w:r>
          </w:p>
        </w:tc>
        <w:tc>
          <w:tcPr>
            <w:tcW w:w="6405" w:type="dxa"/>
            <w:noWrap w:val="0"/>
            <w:vAlign w:val="top"/>
          </w:tcPr>
          <w:p w14:paraId="67B61C6D">
            <w:pPr>
              <w:pageBreakBefore w:val="0"/>
              <w:kinsoku/>
              <w:wordWrap/>
              <w:overflowPunct/>
              <w:topLinePunct w:val="0"/>
              <w:autoSpaceDE/>
              <w:autoSpaceDN/>
              <w:bidi w:val="0"/>
              <w:adjustRightInd/>
              <w:spacing w:line="360" w:lineRule="auto"/>
              <w:ind w:left="315" w:hanging="315" w:hangingChars="150"/>
              <w:jc w:val="left"/>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19.2.1磋商时间：响应文件递交截止时间后。</w:t>
            </w:r>
          </w:p>
          <w:p w14:paraId="65614472">
            <w:pPr>
              <w:pageBreakBefore w:val="0"/>
              <w:kinsoku/>
              <w:wordWrap/>
              <w:overflowPunct/>
              <w:topLinePunct w:val="0"/>
              <w:autoSpaceDE/>
              <w:autoSpaceDN/>
              <w:bidi w:val="0"/>
              <w:adjustRightInd/>
              <w:spacing w:line="360" w:lineRule="auto"/>
              <w:textAlignment w:val="auto"/>
              <w:rPr>
                <w:rFonts w:hint="eastAsia" w:ascii="宋体" w:hAnsi="宋体" w:eastAsia="宋体" w:cs="宋体"/>
                <w:b/>
                <w:bCs/>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19.2.2磋商地点：</w:t>
            </w:r>
            <w:r>
              <w:rPr>
                <w:rFonts w:hint="eastAsia" w:ascii="宋体" w:hAnsi="宋体" w:eastAsia="宋体" w:cs="宋体"/>
                <w:b/>
                <w:bCs/>
                <w:color w:val="000000"/>
                <w:sz w:val="21"/>
                <w:szCs w:val="21"/>
                <w:highlight w:val="none"/>
                <w:shd w:val="clear" w:color="auto" w:fill="auto"/>
              </w:rPr>
              <w:t>供应商代表在响应文件提交当天实时登陆“</w:t>
            </w:r>
            <w:r>
              <w:rPr>
                <w:rFonts w:hint="eastAsia" w:ascii="宋体" w:hAnsi="宋体" w:eastAsia="宋体" w:cs="宋体"/>
                <w:b/>
                <w:bCs/>
                <w:color w:val="000000"/>
                <w:sz w:val="21"/>
                <w:szCs w:val="21"/>
                <w:highlight w:val="none"/>
                <w:shd w:val="clear" w:color="auto" w:fill="auto"/>
                <w:lang w:eastAsia="zh-CN"/>
              </w:rPr>
              <w:t>广西政府采购云平台</w:t>
            </w:r>
            <w:r>
              <w:rPr>
                <w:rFonts w:hint="eastAsia" w:ascii="宋体" w:hAnsi="宋体" w:eastAsia="宋体" w:cs="宋体"/>
                <w:b/>
                <w:bCs/>
                <w:color w:val="000000"/>
                <w:sz w:val="21"/>
                <w:szCs w:val="21"/>
                <w:highlight w:val="none"/>
                <w:shd w:val="clear" w:color="auto" w:fill="auto"/>
              </w:rPr>
              <w:t>”，按磋商小组要求在线等候参与磋商及提交最后报价。因供应商未保持实时在线，导致磋商小组无法及时与其取得联系，从而造成供应商未按规定参与磋商或报价的，其不利后果由供应商自行承担。</w:t>
            </w:r>
          </w:p>
          <w:p w14:paraId="54F56D0E">
            <w:pPr>
              <w:pageBreakBefore w:val="0"/>
              <w:tabs>
                <w:tab w:val="left" w:pos="1140"/>
              </w:tabs>
              <w:kinsoku/>
              <w:wordWrap/>
              <w:overflowPunct/>
              <w:topLinePunct w:val="0"/>
              <w:autoSpaceDE/>
              <w:autoSpaceDN/>
              <w:bidi w:val="0"/>
              <w:adjustRightInd/>
              <w:spacing w:line="360" w:lineRule="auto"/>
              <w:jc w:val="left"/>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19.2.3磋商参加人员：供应商法定代表人、负责人、自然人或相应的委托代理人持有效身份证原件和供应商</w:t>
            </w:r>
            <w:r>
              <w:rPr>
                <w:rFonts w:hint="eastAsia" w:ascii="宋体" w:hAnsi="宋体" w:eastAsia="宋体" w:cs="宋体"/>
                <w:color w:val="000000"/>
                <w:sz w:val="21"/>
                <w:szCs w:val="21"/>
                <w:highlight w:val="none"/>
                <w:shd w:val="clear" w:color="auto" w:fill="auto"/>
                <w:lang w:eastAsia="zh-CN"/>
              </w:rPr>
              <w:t>广西政府采购云平台</w:t>
            </w:r>
            <w:r>
              <w:rPr>
                <w:rFonts w:hint="eastAsia" w:ascii="宋体" w:hAnsi="宋体" w:eastAsia="宋体" w:cs="宋体"/>
                <w:color w:val="000000"/>
                <w:sz w:val="21"/>
                <w:szCs w:val="21"/>
                <w:highlight w:val="none"/>
                <w:shd w:val="clear" w:color="auto" w:fill="auto"/>
              </w:rPr>
              <w:t>CA数字证书参加磋商。</w:t>
            </w:r>
            <w:r>
              <w:rPr>
                <w:rFonts w:hint="eastAsia" w:ascii="宋体" w:hAnsi="宋体" w:eastAsia="宋体" w:cs="宋体"/>
                <w:color w:val="000000"/>
                <w:kern w:val="0"/>
                <w:sz w:val="21"/>
                <w:szCs w:val="21"/>
                <w:highlight w:val="none"/>
                <w:shd w:val="clear" w:color="auto" w:fill="auto"/>
              </w:rPr>
              <w:t>请供应商实时登陆“</w:t>
            </w:r>
            <w:r>
              <w:rPr>
                <w:rFonts w:hint="eastAsia" w:ascii="宋体" w:hAnsi="宋体" w:eastAsia="宋体" w:cs="宋体"/>
                <w:color w:val="000000"/>
                <w:kern w:val="0"/>
                <w:sz w:val="21"/>
                <w:szCs w:val="21"/>
                <w:highlight w:val="none"/>
                <w:shd w:val="clear" w:color="auto" w:fill="auto"/>
                <w:lang w:eastAsia="zh-CN"/>
              </w:rPr>
              <w:t>广西政府采购云平台</w:t>
            </w:r>
            <w:r>
              <w:rPr>
                <w:rFonts w:hint="eastAsia" w:ascii="宋体" w:hAnsi="宋体" w:eastAsia="宋体" w:cs="宋体"/>
                <w:color w:val="000000"/>
                <w:kern w:val="0"/>
                <w:sz w:val="21"/>
                <w:szCs w:val="21"/>
                <w:highlight w:val="none"/>
                <w:shd w:val="clear" w:color="auto" w:fill="auto"/>
              </w:rPr>
              <w:t>”等候在线磋商。</w:t>
            </w:r>
          </w:p>
          <w:p w14:paraId="57D828C6">
            <w:pPr>
              <w:pageBreakBefore w:val="0"/>
              <w:tabs>
                <w:tab w:val="left" w:pos="1140"/>
              </w:tabs>
              <w:kinsoku/>
              <w:wordWrap/>
              <w:overflowPunct/>
              <w:topLinePunct w:val="0"/>
              <w:autoSpaceDE/>
              <w:autoSpaceDN/>
              <w:bidi w:val="0"/>
              <w:adjustRightInd/>
              <w:spacing w:line="360" w:lineRule="auto"/>
              <w:jc w:val="left"/>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19.2.4响应文件递交截止时间后，由磋商小组在评标室内线上开启响应文件。</w:t>
            </w:r>
          </w:p>
        </w:tc>
      </w:tr>
      <w:tr w14:paraId="72BD1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0D48D678">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12</w:t>
            </w:r>
          </w:p>
        </w:tc>
        <w:tc>
          <w:tcPr>
            <w:tcW w:w="942" w:type="dxa"/>
            <w:noWrap w:val="0"/>
            <w:vAlign w:val="center"/>
          </w:tcPr>
          <w:p w14:paraId="7281A6DA">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20.2</w:t>
            </w:r>
          </w:p>
        </w:tc>
        <w:tc>
          <w:tcPr>
            <w:tcW w:w="1775" w:type="dxa"/>
            <w:noWrap w:val="0"/>
            <w:vAlign w:val="center"/>
          </w:tcPr>
          <w:p w14:paraId="5CA57C0F">
            <w:pPr>
              <w:pStyle w:val="22"/>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评审办法</w:t>
            </w:r>
          </w:p>
        </w:tc>
        <w:tc>
          <w:tcPr>
            <w:tcW w:w="6405" w:type="dxa"/>
            <w:noWrap w:val="0"/>
            <w:vAlign w:val="center"/>
          </w:tcPr>
          <w:p w14:paraId="6278F06C">
            <w:pPr>
              <w:pageBreakBefore w:val="0"/>
              <w:tabs>
                <w:tab w:val="left" w:pos="1140"/>
              </w:tabs>
              <w:kinsoku/>
              <w:wordWrap/>
              <w:overflowPunct/>
              <w:topLinePunct w:val="0"/>
              <w:autoSpaceDE/>
              <w:autoSpaceDN/>
              <w:bidi w:val="0"/>
              <w:adjustRightInd/>
              <w:spacing w:line="360" w:lineRule="auto"/>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具体详见第三章评审办法。</w:t>
            </w:r>
          </w:p>
        </w:tc>
      </w:tr>
      <w:tr w14:paraId="7E5D0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3D517154">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13</w:t>
            </w:r>
          </w:p>
        </w:tc>
        <w:tc>
          <w:tcPr>
            <w:tcW w:w="942" w:type="dxa"/>
            <w:noWrap w:val="0"/>
            <w:vAlign w:val="center"/>
          </w:tcPr>
          <w:p w14:paraId="0CAB9CDB">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26</w:t>
            </w:r>
          </w:p>
        </w:tc>
        <w:tc>
          <w:tcPr>
            <w:tcW w:w="1775" w:type="dxa"/>
            <w:noWrap w:val="0"/>
            <w:vAlign w:val="center"/>
          </w:tcPr>
          <w:p w14:paraId="67DBD4A9">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信用查询</w:t>
            </w:r>
          </w:p>
        </w:tc>
        <w:tc>
          <w:tcPr>
            <w:tcW w:w="6405" w:type="dxa"/>
            <w:noWrap w:val="0"/>
            <w:vAlign w:val="center"/>
          </w:tcPr>
          <w:p w14:paraId="10B8C644">
            <w:pPr>
              <w:pageBreakBefore w:val="0"/>
              <w:kinsoku/>
              <w:wordWrap/>
              <w:overflowPunct/>
              <w:topLinePunct w:val="0"/>
              <w:autoSpaceDE/>
              <w:autoSpaceDN/>
              <w:bidi w:val="0"/>
              <w:adjustRightInd/>
              <w:spacing w:line="360" w:lineRule="auto"/>
              <w:ind w:left="15" w:hanging="14" w:hangingChars="7"/>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根据《关于做好政府采购有关信用主体标识码登记及在政府采购活动中查询使用信用记录有关问题的通知》（桂财采〔2016〕37），由采购代理机构对第一成交候选人进行信用查询：</w:t>
            </w:r>
          </w:p>
          <w:p w14:paraId="0471E85F">
            <w:pPr>
              <w:pageBreakBefore w:val="0"/>
              <w:kinsoku/>
              <w:wordWrap/>
              <w:overflowPunct/>
              <w:topLinePunct w:val="0"/>
              <w:autoSpaceDE/>
              <w:autoSpaceDN/>
              <w:bidi w:val="0"/>
              <w:adjustRightInd/>
              <w:spacing w:line="360" w:lineRule="auto"/>
              <w:ind w:left="15" w:hanging="14" w:hangingChars="7"/>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⑴查询渠道：“信用中国”网站(www.creditchina.gov.cn)、中国政府采购网(www.ccgp.gov.cn)等；</w:t>
            </w:r>
          </w:p>
          <w:p w14:paraId="4EA03B29">
            <w:pPr>
              <w:pageBreakBefore w:val="0"/>
              <w:kinsoku/>
              <w:wordWrap/>
              <w:overflowPunct/>
              <w:topLinePunct w:val="0"/>
              <w:autoSpaceDE/>
              <w:autoSpaceDN/>
              <w:bidi w:val="0"/>
              <w:adjustRightInd/>
              <w:spacing w:line="360" w:lineRule="auto"/>
              <w:ind w:left="315" w:hanging="315" w:hangingChars="15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⑵查询时间：成交通知书发出前；</w:t>
            </w:r>
          </w:p>
          <w:p w14:paraId="6AFCA98F">
            <w:pPr>
              <w:pageBreakBefore w:val="0"/>
              <w:kinsoku/>
              <w:wordWrap/>
              <w:overflowPunct/>
              <w:topLinePunct w:val="0"/>
              <w:autoSpaceDE/>
              <w:autoSpaceDN/>
              <w:bidi w:val="0"/>
              <w:adjustRightInd/>
              <w:spacing w:line="360" w:lineRule="auto"/>
              <w:ind w:left="15" w:hanging="14" w:hangingChars="7"/>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⑶信用信息查询记录和证据留存方式：在查询网站中直接打印查询记录，打印材料作为采购活动资料保存；</w:t>
            </w:r>
          </w:p>
          <w:p w14:paraId="031899E2">
            <w:pPr>
              <w:pageBreakBefore w:val="0"/>
              <w:kinsoku/>
              <w:wordWrap/>
              <w:overflowPunct/>
              <w:topLinePunct w:val="0"/>
              <w:autoSpaceDE/>
              <w:autoSpaceDN/>
              <w:bidi w:val="0"/>
              <w:adjustRightInd/>
              <w:spacing w:line="360" w:lineRule="auto"/>
              <w:ind w:left="15" w:hanging="14" w:hangingChars="7"/>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⑷信用信息使用规则：对在“信用中国”网站(www.creditchina.gov.cn)、中国政府采购网(www.ccgp.gov.cn)等渠道列入失信被执行人、</w:t>
            </w:r>
            <w:r>
              <w:rPr>
                <w:rFonts w:hint="eastAsia" w:ascii="宋体" w:hAnsi="宋体" w:eastAsia="宋体" w:cs="宋体"/>
                <w:color w:val="000000"/>
                <w:sz w:val="21"/>
                <w:szCs w:val="21"/>
                <w:highlight w:val="none"/>
                <w:shd w:val="clear" w:color="auto" w:fill="auto"/>
                <w:lang w:eastAsia="zh-CN"/>
              </w:rPr>
              <w:t>重大税收违法失信主体</w:t>
            </w:r>
            <w:r>
              <w:rPr>
                <w:rFonts w:hint="eastAsia" w:ascii="宋体" w:hAnsi="宋体" w:eastAsia="宋体" w:cs="宋体"/>
                <w:color w:val="000000"/>
                <w:sz w:val="21"/>
                <w:szCs w:val="21"/>
                <w:highlight w:val="none"/>
                <w:shd w:val="clear" w:color="auto" w:fill="auto"/>
              </w:rPr>
              <w:t>、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tc>
      </w:tr>
      <w:tr w14:paraId="4FEC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69E5B383">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14</w:t>
            </w:r>
          </w:p>
        </w:tc>
        <w:tc>
          <w:tcPr>
            <w:tcW w:w="942" w:type="dxa"/>
            <w:noWrap w:val="0"/>
            <w:vAlign w:val="center"/>
          </w:tcPr>
          <w:p w14:paraId="1C8FF073">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27</w:t>
            </w:r>
          </w:p>
        </w:tc>
        <w:tc>
          <w:tcPr>
            <w:tcW w:w="1775" w:type="dxa"/>
            <w:noWrap w:val="0"/>
            <w:vAlign w:val="center"/>
          </w:tcPr>
          <w:p w14:paraId="6DAB2C5E">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成交结果公告</w:t>
            </w:r>
          </w:p>
          <w:p w14:paraId="52EB475B">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及成交通知书</w:t>
            </w:r>
          </w:p>
        </w:tc>
        <w:tc>
          <w:tcPr>
            <w:tcW w:w="6405" w:type="dxa"/>
            <w:noWrap w:val="0"/>
            <w:vAlign w:val="top"/>
          </w:tcPr>
          <w:p w14:paraId="20E3C905">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19C6E95D">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27.2在发布成交公告的同时，采购代理机构向成交供应商发出成交通知书。成交供应商自接到通知之日起七个工作日内，办理成交通知书领取手续。</w:t>
            </w:r>
          </w:p>
        </w:tc>
      </w:tr>
      <w:tr w14:paraId="1D70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701BEB63">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15</w:t>
            </w:r>
          </w:p>
        </w:tc>
        <w:tc>
          <w:tcPr>
            <w:tcW w:w="942" w:type="dxa"/>
            <w:noWrap w:val="0"/>
            <w:vAlign w:val="center"/>
          </w:tcPr>
          <w:p w14:paraId="298ACAF6">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28</w:t>
            </w:r>
          </w:p>
        </w:tc>
        <w:tc>
          <w:tcPr>
            <w:tcW w:w="1775" w:type="dxa"/>
            <w:noWrap w:val="0"/>
            <w:vAlign w:val="center"/>
          </w:tcPr>
          <w:p w14:paraId="3318855C">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000000"/>
                <w:sz w:val="21"/>
                <w:szCs w:val="21"/>
                <w:highlight w:val="none"/>
                <w:shd w:val="clear" w:color="auto" w:fill="auto"/>
              </w:rPr>
            </w:pPr>
            <w:r>
              <w:rPr>
                <w:rFonts w:hint="eastAsia" w:ascii="宋体" w:hAnsi="宋体" w:eastAsia="宋体" w:cs="宋体"/>
                <w:b w:val="0"/>
                <w:bCs w:val="0"/>
                <w:color w:val="000000"/>
                <w:sz w:val="21"/>
                <w:szCs w:val="21"/>
                <w:highlight w:val="none"/>
                <w:shd w:val="clear" w:color="auto" w:fill="auto"/>
              </w:rPr>
              <w:t>履约保证金</w:t>
            </w:r>
          </w:p>
        </w:tc>
        <w:tc>
          <w:tcPr>
            <w:tcW w:w="6405" w:type="dxa"/>
            <w:noWrap w:val="0"/>
            <w:vAlign w:val="center"/>
          </w:tcPr>
          <w:p w14:paraId="1022100F">
            <w:pPr>
              <w:pageBreakBefore w:val="0"/>
              <w:kinsoku/>
              <w:wordWrap/>
              <w:overflowPunct/>
              <w:topLinePunct w:val="0"/>
              <w:autoSpaceDE/>
              <w:autoSpaceDN/>
              <w:bidi w:val="0"/>
              <w:adjustRightInd/>
              <w:spacing w:line="360" w:lineRule="auto"/>
              <w:textAlignment w:val="auto"/>
              <w:rPr>
                <w:rFonts w:hint="default" w:ascii="宋体" w:hAnsi="宋体" w:eastAsia="宋体" w:cs="宋体"/>
                <w:b w:val="0"/>
                <w:bCs w:val="0"/>
                <w:color w:val="000000"/>
                <w:sz w:val="21"/>
                <w:szCs w:val="21"/>
                <w:highlight w:val="none"/>
                <w:shd w:val="clear" w:color="auto" w:fill="auto"/>
                <w:lang w:val="en-US" w:eastAsia="zh-CN"/>
              </w:rPr>
            </w:pPr>
            <w:r>
              <w:rPr>
                <w:rFonts w:hint="eastAsia" w:ascii="宋体" w:hAnsi="宋体" w:cs="宋体"/>
                <w:b w:val="0"/>
                <w:bCs w:val="0"/>
                <w:color w:val="000000"/>
                <w:sz w:val="21"/>
                <w:szCs w:val="21"/>
                <w:highlight w:val="none"/>
                <w:shd w:val="clear" w:color="auto" w:fill="auto"/>
                <w:lang w:val="en-US" w:eastAsia="zh-CN"/>
              </w:rPr>
              <w:t>本项目无需递交履约保证金。</w:t>
            </w:r>
          </w:p>
        </w:tc>
      </w:tr>
      <w:tr w14:paraId="29776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62" w:type="dxa"/>
            <w:noWrap w:val="0"/>
            <w:vAlign w:val="center"/>
          </w:tcPr>
          <w:p w14:paraId="5C65254D">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16</w:t>
            </w:r>
          </w:p>
        </w:tc>
        <w:tc>
          <w:tcPr>
            <w:tcW w:w="942" w:type="dxa"/>
            <w:noWrap w:val="0"/>
            <w:vAlign w:val="center"/>
          </w:tcPr>
          <w:p w14:paraId="38B10879">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29.1</w:t>
            </w:r>
          </w:p>
        </w:tc>
        <w:tc>
          <w:tcPr>
            <w:tcW w:w="1775" w:type="dxa"/>
            <w:noWrap w:val="0"/>
            <w:vAlign w:val="center"/>
          </w:tcPr>
          <w:p w14:paraId="0BA38275">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签订合同时间</w:t>
            </w:r>
          </w:p>
        </w:tc>
        <w:tc>
          <w:tcPr>
            <w:tcW w:w="6405" w:type="dxa"/>
            <w:noWrap w:val="0"/>
            <w:vAlign w:val="top"/>
          </w:tcPr>
          <w:p w14:paraId="055D39B8">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bCs/>
                <w:color w:val="000000"/>
                <w:kern w:val="0"/>
                <w:sz w:val="21"/>
                <w:szCs w:val="21"/>
                <w:highlight w:val="none"/>
                <w:shd w:val="clear" w:color="auto" w:fill="auto"/>
              </w:rPr>
              <w:t>成交通知书发出之日</w:t>
            </w:r>
            <w:r>
              <w:rPr>
                <w:rFonts w:hint="eastAsia" w:ascii="宋体" w:hAnsi="宋体" w:eastAsia="宋体" w:cs="宋体"/>
                <w:bCs/>
                <w:color w:val="000000"/>
                <w:kern w:val="0"/>
                <w:sz w:val="21"/>
                <w:szCs w:val="21"/>
                <w:highlight w:val="none"/>
                <w:shd w:val="clear" w:color="auto" w:fill="auto"/>
                <w:lang w:eastAsia="zh-CN"/>
              </w:rPr>
              <w:t>起8工作日内签订合同</w:t>
            </w:r>
            <w:r>
              <w:rPr>
                <w:rFonts w:hint="eastAsia" w:ascii="宋体" w:hAnsi="宋体" w:eastAsia="宋体" w:cs="宋体"/>
                <w:color w:val="000000"/>
                <w:sz w:val="21"/>
                <w:szCs w:val="21"/>
                <w:highlight w:val="none"/>
                <w:shd w:val="clear" w:color="auto" w:fill="auto"/>
              </w:rPr>
              <w:t>。成交供应商领取成交通知书后，应按规定与采购人签订合同。</w:t>
            </w:r>
          </w:p>
        </w:tc>
      </w:tr>
      <w:tr w14:paraId="2BBA3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20608253">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17</w:t>
            </w:r>
          </w:p>
        </w:tc>
        <w:tc>
          <w:tcPr>
            <w:tcW w:w="942" w:type="dxa"/>
            <w:noWrap w:val="0"/>
            <w:vAlign w:val="center"/>
          </w:tcPr>
          <w:p w14:paraId="4A53E208">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29.3</w:t>
            </w:r>
          </w:p>
        </w:tc>
        <w:tc>
          <w:tcPr>
            <w:tcW w:w="1775" w:type="dxa"/>
            <w:noWrap w:val="0"/>
            <w:vAlign w:val="center"/>
          </w:tcPr>
          <w:p w14:paraId="58B55E67">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合同备案存档</w:t>
            </w:r>
          </w:p>
        </w:tc>
        <w:tc>
          <w:tcPr>
            <w:tcW w:w="6405" w:type="dxa"/>
            <w:noWrap w:val="0"/>
            <w:vAlign w:val="center"/>
          </w:tcPr>
          <w:p w14:paraId="265AEE91">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auto"/>
                <w:highlight w:val="none"/>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政府采购监督管理部门备案，一份由采购代理机构存档。</w:t>
            </w:r>
          </w:p>
        </w:tc>
      </w:tr>
      <w:tr w14:paraId="56DFD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369722FB">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18</w:t>
            </w:r>
          </w:p>
        </w:tc>
        <w:tc>
          <w:tcPr>
            <w:tcW w:w="942" w:type="dxa"/>
            <w:noWrap w:val="0"/>
            <w:vAlign w:val="center"/>
          </w:tcPr>
          <w:p w14:paraId="23DC909F">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30.1</w:t>
            </w:r>
          </w:p>
        </w:tc>
        <w:tc>
          <w:tcPr>
            <w:tcW w:w="1775" w:type="dxa"/>
            <w:noWrap w:val="0"/>
            <w:vAlign w:val="center"/>
          </w:tcPr>
          <w:p w14:paraId="3CAB0D2C">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采购代理服务费</w:t>
            </w:r>
          </w:p>
        </w:tc>
        <w:tc>
          <w:tcPr>
            <w:tcW w:w="6405" w:type="dxa"/>
            <w:noWrap w:val="0"/>
            <w:vAlign w:val="top"/>
          </w:tcPr>
          <w:p w14:paraId="4D3C864E">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成交供应商在领取成交通知书前，向采购代理机构一次性付清采购代理服务费，本项目采购代理服务收费标准参照</w:t>
            </w:r>
            <w:r>
              <w:rPr>
                <w:rFonts w:hint="eastAsia" w:ascii="宋体" w:hAnsi="宋体" w:eastAsia="宋体" w:cs="宋体"/>
                <w:color w:val="000000"/>
                <w:sz w:val="21"/>
                <w:szCs w:val="21"/>
                <w:highlight w:val="none"/>
                <w:shd w:val="clear" w:color="auto" w:fill="auto"/>
                <w:lang w:val="en-US" w:eastAsia="zh-CN"/>
              </w:rPr>
              <w:t>计价格[2002]1980号《招标代理服务收费管理暂行办法》</w:t>
            </w:r>
            <w:r>
              <w:rPr>
                <w:rFonts w:hint="eastAsia" w:ascii="宋体" w:hAnsi="宋体" w:eastAsia="宋体" w:cs="宋体"/>
                <w:color w:val="000000"/>
                <w:sz w:val="21"/>
                <w:szCs w:val="21"/>
                <w:highlight w:val="none"/>
                <w:shd w:val="clear" w:color="auto" w:fill="auto"/>
              </w:rPr>
              <w:t>工程类收费标准向成交供应商收取。</w:t>
            </w:r>
          </w:p>
        </w:tc>
      </w:tr>
      <w:tr w14:paraId="78E01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01C71689">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19</w:t>
            </w:r>
          </w:p>
        </w:tc>
        <w:tc>
          <w:tcPr>
            <w:tcW w:w="942" w:type="dxa"/>
            <w:noWrap w:val="0"/>
            <w:vAlign w:val="center"/>
          </w:tcPr>
          <w:p w14:paraId="4A137644">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31</w:t>
            </w:r>
          </w:p>
        </w:tc>
        <w:tc>
          <w:tcPr>
            <w:tcW w:w="1775" w:type="dxa"/>
            <w:noWrap w:val="0"/>
            <w:vAlign w:val="center"/>
          </w:tcPr>
          <w:p w14:paraId="776E2FD2">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编制依据</w:t>
            </w:r>
          </w:p>
        </w:tc>
        <w:tc>
          <w:tcPr>
            <w:tcW w:w="6405" w:type="dxa"/>
            <w:noWrap w:val="0"/>
            <w:vAlign w:val="top"/>
          </w:tcPr>
          <w:p w14:paraId="555C843A">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本竞争性磋商文件是根据《中华人民共和国政府采购法》《中华人民共和国政府采购法实施条例》《政府采购竞争性磋商采购方式管理暂行办法》和政府采购管理有关规定编制。</w:t>
            </w:r>
          </w:p>
        </w:tc>
      </w:tr>
      <w:tr w14:paraId="1C6BC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582E7405">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20</w:t>
            </w:r>
          </w:p>
        </w:tc>
        <w:tc>
          <w:tcPr>
            <w:tcW w:w="942" w:type="dxa"/>
            <w:noWrap w:val="0"/>
            <w:vAlign w:val="center"/>
          </w:tcPr>
          <w:p w14:paraId="03198C4E">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32</w:t>
            </w:r>
          </w:p>
        </w:tc>
        <w:tc>
          <w:tcPr>
            <w:tcW w:w="1775" w:type="dxa"/>
            <w:noWrap w:val="0"/>
            <w:vAlign w:val="center"/>
          </w:tcPr>
          <w:p w14:paraId="0C533E68">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监督管理机构</w:t>
            </w:r>
          </w:p>
        </w:tc>
        <w:tc>
          <w:tcPr>
            <w:tcW w:w="6405" w:type="dxa"/>
            <w:noWrap w:val="0"/>
            <w:vAlign w:val="center"/>
          </w:tcPr>
          <w:p w14:paraId="15C8A2C6">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auto"/>
                <w:szCs w:val="21"/>
                <w:highlight w:val="none"/>
                <w:lang w:eastAsia="zh-CN"/>
              </w:rPr>
              <w:t>桂林市七星区政府采购管理办公室</w:t>
            </w:r>
            <w:r>
              <w:rPr>
                <w:rFonts w:hint="eastAsia" w:ascii="宋体" w:hAnsi="宋体" w:eastAsia="宋体" w:cs="宋体"/>
                <w:color w:val="auto"/>
                <w:szCs w:val="21"/>
                <w:highlight w:val="none"/>
              </w:rPr>
              <w:t xml:space="preserve">       电话：</w:t>
            </w:r>
            <w:r>
              <w:rPr>
                <w:rFonts w:hint="eastAsia" w:ascii="宋体" w:hAnsi="宋体" w:eastAsia="宋体" w:cs="宋体"/>
                <w:color w:val="auto"/>
                <w:szCs w:val="21"/>
                <w:highlight w:val="none"/>
                <w:lang w:eastAsia="zh-CN"/>
              </w:rPr>
              <w:t>0773-2126057</w:t>
            </w:r>
          </w:p>
        </w:tc>
      </w:tr>
    </w:tbl>
    <w:p w14:paraId="4AF778BB">
      <w:pPr>
        <w:pStyle w:val="76"/>
        <w:spacing w:line="360" w:lineRule="auto"/>
        <w:rPr>
          <w:rFonts w:hint="eastAsia" w:ascii="宋体" w:hAnsi="宋体" w:eastAsia="宋体" w:cs="宋体"/>
          <w:color w:val="000000"/>
          <w:highlight w:val="none"/>
        </w:rPr>
      </w:pPr>
      <w:bookmarkStart w:id="94" w:name="_Toc22792"/>
      <w:bookmarkStart w:id="95" w:name="_Toc9480"/>
      <w:bookmarkStart w:id="96" w:name="_Toc25406"/>
    </w:p>
    <w:p w14:paraId="3E274C22">
      <w:pPr>
        <w:pageBreakBefore w:val="0"/>
        <w:widowControl w:val="0"/>
        <w:kinsoku/>
        <w:wordWrap/>
        <w:overflowPunct/>
        <w:topLinePunct w:val="0"/>
        <w:autoSpaceDE/>
        <w:autoSpaceDN/>
        <w:bidi w:val="0"/>
        <w:adjustRightInd/>
        <w:spacing w:line="360" w:lineRule="auto"/>
        <w:ind w:left="0" w:leftChars="0"/>
        <w:jc w:val="center"/>
        <w:textAlignment w:val="auto"/>
        <w:outlineLvl w:val="1"/>
        <w:rPr>
          <w:rFonts w:hint="eastAsia" w:ascii="宋体" w:hAnsi="宋体" w:eastAsia="宋体" w:cs="宋体"/>
          <w:b/>
          <w:bCs/>
          <w:color w:val="000000"/>
          <w:sz w:val="21"/>
          <w:szCs w:val="21"/>
          <w:highlight w:val="none"/>
          <w:shd w:val="clear" w:color="auto" w:fill="auto"/>
        </w:rPr>
      </w:pPr>
      <w:r>
        <w:rPr>
          <w:rFonts w:hint="eastAsia" w:ascii="宋体" w:hAnsi="宋体" w:eastAsia="宋体" w:cs="宋体"/>
          <w:b/>
          <w:bCs/>
          <w:color w:val="000000"/>
          <w:sz w:val="28"/>
          <w:szCs w:val="28"/>
          <w:highlight w:val="none"/>
          <w:shd w:val="clear" w:color="auto" w:fill="auto"/>
        </w:rPr>
        <w:br w:type="page"/>
      </w:r>
      <w:r>
        <w:rPr>
          <w:rFonts w:hint="eastAsia" w:ascii="宋体" w:hAnsi="宋体" w:eastAsia="宋体" w:cs="宋体"/>
          <w:b/>
          <w:bCs/>
          <w:color w:val="000000"/>
          <w:sz w:val="21"/>
          <w:szCs w:val="21"/>
          <w:highlight w:val="none"/>
          <w:shd w:val="clear" w:color="auto" w:fill="auto"/>
        </w:rPr>
        <w:t>一、总则</w:t>
      </w:r>
      <w:bookmarkEnd w:id="94"/>
      <w:bookmarkEnd w:id="95"/>
      <w:bookmarkEnd w:id="96"/>
    </w:p>
    <w:p w14:paraId="10D5B9BB">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bookmarkStart w:id="97" w:name="_Toc4439"/>
      <w:bookmarkStart w:id="98" w:name="_Toc25853"/>
      <w:bookmarkStart w:id="99" w:name="_Toc6626"/>
      <w:r>
        <w:rPr>
          <w:rFonts w:hint="eastAsia" w:ascii="宋体" w:hAnsi="宋体" w:eastAsia="宋体" w:cs="宋体"/>
          <w:color w:val="000000"/>
          <w:sz w:val="21"/>
          <w:szCs w:val="21"/>
          <w:highlight w:val="none"/>
          <w:shd w:val="clear" w:color="auto" w:fill="auto"/>
        </w:rPr>
        <w:t>1. 适应范围</w:t>
      </w:r>
      <w:bookmarkEnd w:id="97"/>
      <w:bookmarkEnd w:id="98"/>
      <w:bookmarkEnd w:id="99"/>
    </w:p>
    <w:p w14:paraId="3CC990B3">
      <w:pPr>
        <w:pageBreakBefore w:val="0"/>
        <w:widowControl w:val="0"/>
        <w:kinsoku/>
        <w:wordWrap/>
        <w:overflowPunct/>
        <w:topLinePunct w:val="0"/>
        <w:autoSpaceDE/>
        <w:autoSpaceDN/>
        <w:bidi w:val="0"/>
        <w:adjustRightInd/>
        <w:spacing w:line="360" w:lineRule="auto"/>
        <w:ind w:left="0" w:leftChars="0" w:firstLine="435"/>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1.1  项目名称及项目编号：</w:t>
      </w:r>
    </w:p>
    <w:p w14:paraId="04D4AB16">
      <w:pPr>
        <w:pageBreakBefore w:val="0"/>
        <w:widowControl w:val="0"/>
        <w:kinsoku/>
        <w:wordWrap/>
        <w:overflowPunct/>
        <w:topLinePunct w:val="0"/>
        <w:autoSpaceDE/>
        <w:autoSpaceDN/>
        <w:bidi w:val="0"/>
        <w:adjustRightInd/>
        <w:spacing w:line="360" w:lineRule="auto"/>
        <w:ind w:left="0" w:leftChars="0" w:firstLine="840" w:firstLineChars="400"/>
        <w:textAlignment w:val="auto"/>
        <w:rPr>
          <w:rFonts w:hint="eastAsia" w:ascii="宋体" w:hAnsi="宋体" w:eastAsia="宋体" w:cs="宋体"/>
          <w:color w:val="000000"/>
          <w:sz w:val="21"/>
          <w:szCs w:val="21"/>
          <w:highlight w:val="none"/>
          <w:shd w:val="clear" w:color="auto" w:fill="auto"/>
          <w:lang w:eastAsia="zh-CN"/>
        </w:rPr>
      </w:pPr>
      <w:r>
        <w:rPr>
          <w:rFonts w:hint="eastAsia" w:ascii="宋体" w:hAnsi="宋体" w:eastAsia="宋体" w:cs="宋体"/>
          <w:color w:val="000000"/>
          <w:sz w:val="21"/>
          <w:szCs w:val="21"/>
          <w:highlight w:val="none"/>
          <w:shd w:val="clear" w:color="auto" w:fill="auto"/>
        </w:rPr>
        <w:t>项目名称：</w:t>
      </w:r>
      <w:r>
        <w:rPr>
          <w:rFonts w:hint="eastAsia" w:ascii="宋体" w:hAnsi="宋体" w:cs="宋体"/>
          <w:color w:val="000000"/>
          <w:sz w:val="21"/>
          <w:szCs w:val="21"/>
          <w:highlight w:val="none"/>
          <w:shd w:val="clear" w:color="auto" w:fill="auto"/>
          <w:lang w:eastAsia="zh-CN"/>
        </w:rPr>
        <w:t>汇通小学预制板房维修改造工程项目</w:t>
      </w:r>
    </w:p>
    <w:p w14:paraId="0630F8A9">
      <w:pPr>
        <w:pageBreakBefore w:val="0"/>
        <w:widowControl w:val="0"/>
        <w:kinsoku/>
        <w:wordWrap/>
        <w:overflowPunct/>
        <w:topLinePunct w:val="0"/>
        <w:autoSpaceDE/>
        <w:autoSpaceDN/>
        <w:bidi w:val="0"/>
        <w:adjustRightInd/>
        <w:spacing w:line="360" w:lineRule="auto"/>
        <w:ind w:left="0" w:leftChars="0" w:firstLine="840" w:firstLineChars="400"/>
        <w:textAlignment w:val="auto"/>
        <w:rPr>
          <w:rFonts w:hint="default" w:ascii="宋体" w:hAnsi="宋体" w:eastAsia="宋体" w:cs="宋体"/>
          <w:color w:val="000000"/>
          <w:sz w:val="21"/>
          <w:szCs w:val="21"/>
          <w:highlight w:val="none"/>
          <w:shd w:val="clear" w:color="auto" w:fill="auto"/>
          <w:lang w:val="en-US" w:eastAsia="zh-CN"/>
        </w:rPr>
      </w:pPr>
      <w:r>
        <w:rPr>
          <w:rFonts w:hint="eastAsia" w:ascii="宋体" w:hAnsi="宋体" w:eastAsia="宋体" w:cs="宋体"/>
          <w:color w:val="000000"/>
          <w:sz w:val="21"/>
          <w:szCs w:val="21"/>
          <w:highlight w:val="none"/>
          <w:shd w:val="clear" w:color="auto" w:fill="auto"/>
        </w:rPr>
        <w:t>项目编号：</w:t>
      </w:r>
      <w:r>
        <w:rPr>
          <w:rFonts w:hint="eastAsia" w:ascii="宋体" w:hAnsi="宋体" w:eastAsia="宋体" w:cs="宋体"/>
          <w:color w:val="000000"/>
          <w:sz w:val="21"/>
          <w:szCs w:val="21"/>
          <w:highlight w:val="none"/>
          <w:lang w:val="en-US" w:eastAsia="zh-CN"/>
        </w:rPr>
        <w:t xml:space="preserve">GLZC2025-C2-990305-GXDC  </w:t>
      </w:r>
    </w:p>
    <w:p w14:paraId="10C72BAF">
      <w:pPr>
        <w:pageBreakBefore w:val="0"/>
        <w:widowControl w:val="0"/>
        <w:kinsoku/>
        <w:wordWrap/>
        <w:overflowPunct/>
        <w:topLinePunct w:val="0"/>
        <w:autoSpaceDE/>
        <w:autoSpaceDN/>
        <w:bidi w:val="0"/>
        <w:adjustRightInd/>
        <w:spacing w:line="360" w:lineRule="auto"/>
        <w:ind w:left="0" w:leftChars="0" w:firstLine="411" w:firstLineChars="196"/>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1.2要求工期：</w:t>
      </w:r>
      <w:r>
        <w:rPr>
          <w:rFonts w:hint="eastAsia" w:ascii="宋体" w:hAnsi="宋体" w:cs="宋体"/>
          <w:color w:val="000000"/>
          <w:sz w:val="21"/>
          <w:szCs w:val="21"/>
          <w:highlight w:val="none"/>
          <w:shd w:val="clear" w:color="auto" w:fill="auto"/>
          <w:lang w:val="en-US" w:eastAsia="zh-CN"/>
        </w:rPr>
        <w:t>35</w:t>
      </w:r>
      <w:r>
        <w:rPr>
          <w:rFonts w:hint="eastAsia" w:ascii="宋体" w:hAnsi="宋体" w:eastAsia="宋体" w:cs="宋体"/>
          <w:color w:val="000000"/>
          <w:sz w:val="21"/>
          <w:szCs w:val="21"/>
          <w:highlight w:val="none"/>
          <w:shd w:val="clear" w:color="auto" w:fill="auto"/>
          <w:lang w:val="en-US" w:eastAsia="zh-CN"/>
        </w:rPr>
        <w:t>日历天</w:t>
      </w:r>
    </w:p>
    <w:p w14:paraId="6FACD310">
      <w:pPr>
        <w:pageBreakBefore w:val="0"/>
        <w:widowControl w:val="0"/>
        <w:kinsoku/>
        <w:wordWrap/>
        <w:overflowPunct/>
        <w:topLinePunct w:val="0"/>
        <w:autoSpaceDE/>
        <w:autoSpaceDN/>
        <w:bidi w:val="0"/>
        <w:adjustRightInd/>
        <w:spacing w:line="360" w:lineRule="auto"/>
        <w:ind w:left="0" w:leftChars="0" w:firstLine="411" w:firstLineChars="196"/>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1.3质量标准：</w:t>
      </w:r>
      <w:r>
        <w:rPr>
          <w:rFonts w:hint="eastAsia" w:ascii="宋体" w:hAnsi="宋体" w:eastAsia="宋体" w:cs="宋体"/>
          <w:color w:val="000000"/>
          <w:sz w:val="21"/>
          <w:szCs w:val="21"/>
          <w:highlight w:val="none"/>
          <w:u w:val="none"/>
          <w:shd w:val="clear" w:color="auto" w:fill="auto"/>
        </w:rPr>
        <w:t>国家现行有关工程施工质量验收规范合格标准</w:t>
      </w:r>
      <w:r>
        <w:rPr>
          <w:rFonts w:hint="eastAsia" w:ascii="宋体" w:hAnsi="宋体" w:eastAsia="宋体" w:cs="宋体"/>
          <w:color w:val="000000"/>
          <w:sz w:val="21"/>
          <w:szCs w:val="21"/>
          <w:highlight w:val="none"/>
          <w:shd w:val="clear" w:color="auto" w:fill="auto"/>
        </w:rPr>
        <w:t>。</w:t>
      </w:r>
    </w:p>
    <w:p w14:paraId="211ACE72">
      <w:pPr>
        <w:pageBreakBefore w:val="0"/>
        <w:widowControl w:val="0"/>
        <w:kinsoku/>
        <w:wordWrap/>
        <w:overflowPunct/>
        <w:topLinePunct w:val="0"/>
        <w:autoSpaceDE/>
        <w:autoSpaceDN/>
        <w:bidi w:val="0"/>
        <w:adjustRightInd/>
        <w:spacing w:line="360" w:lineRule="auto"/>
        <w:ind w:left="0" w:leftChars="0" w:firstLine="411" w:firstLineChars="196"/>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1.4本竞争性磋商文件（以下简称磋商文件）适用于本磋商项目的磋商、评审、合同履约、验收、付款等行为（法律、法规另有规定的，从其规定）。</w:t>
      </w:r>
    </w:p>
    <w:p w14:paraId="385A0D19">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bookmarkStart w:id="100" w:name="_Toc28671"/>
      <w:bookmarkStart w:id="101" w:name="_Toc19742"/>
      <w:bookmarkStart w:id="102" w:name="_Toc28336"/>
      <w:r>
        <w:rPr>
          <w:rFonts w:hint="eastAsia" w:ascii="宋体" w:hAnsi="宋体" w:eastAsia="宋体" w:cs="宋体"/>
          <w:color w:val="000000"/>
          <w:sz w:val="21"/>
          <w:szCs w:val="21"/>
          <w:highlight w:val="none"/>
          <w:shd w:val="clear" w:color="auto" w:fill="auto"/>
        </w:rPr>
        <w:t>2. 定义</w:t>
      </w:r>
      <w:bookmarkEnd w:id="100"/>
      <w:bookmarkEnd w:id="101"/>
      <w:bookmarkEnd w:id="102"/>
    </w:p>
    <w:p w14:paraId="1CCF1CDB">
      <w:pPr>
        <w:pageBreakBefore w:val="0"/>
        <w:widowControl w:val="0"/>
        <w:kinsoku/>
        <w:wordWrap/>
        <w:overflowPunct/>
        <w:topLinePunct w:val="0"/>
        <w:autoSpaceDE/>
        <w:autoSpaceDN/>
        <w:bidi w:val="0"/>
        <w:adjustRightInd/>
        <w:spacing w:line="360" w:lineRule="auto"/>
        <w:ind w:left="0" w:leftChars="0" w:firstLine="435"/>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2.1“供应商”是指符合本次采购项目的供应商资格并提交响应文件、参加磋商的供应商。如果该供应商在本次磋商中成交，即成为“成交供应商”。</w:t>
      </w:r>
    </w:p>
    <w:p w14:paraId="5A4EFE9F">
      <w:pPr>
        <w:pageBreakBefore w:val="0"/>
        <w:widowControl w:val="0"/>
        <w:kinsoku/>
        <w:wordWrap/>
        <w:overflowPunct/>
        <w:topLinePunct w:val="0"/>
        <w:autoSpaceDE/>
        <w:autoSpaceDN/>
        <w:bidi w:val="0"/>
        <w:adjustRightInd/>
        <w:spacing w:line="360" w:lineRule="auto"/>
        <w:ind w:left="0" w:leftChars="0" w:firstLine="435"/>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2.2“书面形式”包括信函、传真、电报等。</w:t>
      </w:r>
    </w:p>
    <w:p w14:paraId="51D3EFE8">
      <w:pPr>
        <w:pageBreakBefore w:val="0"/>
        <w:widowControl w:val="0"/>
        <w:kinsoku/>
        <w:wordWrap/>
        <w:overflowPunct/>
        <w:topLinePunct w:val="0"/>
        <w:autoSpaceDE/>
        <w:autoSpaceDN/>
        <w:bidi w:val="0"/>
        <w:adjustRightInd/>
        <w:spacing w:line="360" w:lineRule="auto"/>
        <w:ind w:left="0" w:leftChars="0" w:firstLine="435"/>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2.3 “项目”系指供应商按磋商文件规定向采购人提供施工图纸及工程量清单等所包含的施工内容。</w:t>
      </w:r>
    </w:p>
    <w:p w14:paraId="7CB749C9">
      <w:pPr>
        <w:pageBreakBefore w:val="0"/>
        <w:widowControl w:val="0"/>
        <w:kinsoku/>
        <w:wordWrap/>
        <w:overflowPunct/>
        <w:topLinePunct w:val="0"/>
        <w:autoSpaceDE/>
        <w:autoSpaceDN/>
        <w:bidi w:val="0"/>
        <w:adjustRightInd/>
        <w:spacing w:line="360" w:lineRule="auto"/>
        <w:ind w:left="0" w:leftChars="0" w:firstLine="435"/>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2.4“书面形式”包括信函、传真、电报等。</w:t>
      </w:r>
    </w:p>
    <w:p w14:paraId="4AB36C2F">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bookmarkStart w:id="103" w:name="_Toc10187"/>
      <w:bookmarkStart w:id="104" w:name="_Toc25441"/>
      <w:bookmarkStart w:id="105" w:name="_Toc9345"/>
      <w:r>
        <w:rPr>
          <w:rFonts w:hint="eastAsia" w:ascii="宋体" w:hAnsi="宋体" w:eastAsia="宋体" w:cs="宋体"/>
          <w:color w:val="000000"/>
          <w:sz w:val="21"/>
          <w:szCs w:val="21"/>
          <w:highlight w:val="none"/>
          <w:shd w:val="clear" w:color="auto" w:fill="auto"/>
        </w:rPr>
        <w:t>3. 供应商资格</w:t>
      </w:r>
      <w:bookmarkEnd w:id="103"/>
      <w:bookmarkEnd w:id="104"/>
      <w:bookmarkEnd w:id="105"/>
    </w:p>
    <w:p w14:paraId="0A20E07A">
      <w:pPr>
        <w:pStyle w:val="5"/>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b w:val="0"/>
          <w:color w:val="000000"/>
          <w:sz w:val="21"/>
          <w:szCs w:val="21"/>
          <w:highlight w:val="none"/>
          <w:shd w:val="clear" w:color="auto" w:fill="auto"/>
        </w:rPr>
      </w:pPr>
      <w:bookmarkStart w:id="106" w:name="_Toc19795"/>
      <w:bookmarkStart w:id="107" w:name="_Toc10080"/>
      <w:bookmarkStart w:id="108" w:name="_Toc16496"/>
      <w:r>
        <w:rPr>
          <w:rFonts w:hint="eastAsia" w:ascii="宋体" w:hAnsi="宋体" w:eastAsia="宋体" w:cs="宋体"/>
          <w:b w:val="0"/>
          <w:color w:val="000000"/>
          <w:sz w:val="21"/>
          <w:szCs w:val="21"/>
          <w:highlight w:val="none"/>
          <w:shd w:val="clear" w:color="auto" w:fill="auto"/>
        </w:rPr>
        <w:t>详见供应商须知前附表。</w:t>
      </w:r>
    </w:p>
    <w:p w14:paraId="0F5A024E">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4. 磋商费用</w:t>
      </w:r>
      <w:bookmarkEnd w:id="106"/>
      <w:bookmarkEnd w:id="107"/>
      <w:bookmarkEnd w:id="108"/>
    </w:p>
    <w:p w14:paraId="0D1DD86B">
      <w:pPr>
        <w:pageBreakBefore w:val="0"/>
        <w:widowControl w:val="0"/>
        <w:tabs>
          <w:tab w:val="left" w:pos="1635"/>
        </w:tabs>
        <w:kinsoku/>
        <w:wordWrap/>
        <w:overflowPunct/>
        <w:topLinePunct w:val="0"/>
        <w:autoSpaceDE/>
        <w:autoSpaceDN/>
        <w:bidi w:val="0"/>
        <w:adjustRightInd/>
        <w:spacing w:line="360" w:lineRule="auto"/>
        <w:ind w:left="0" w:leftChars="0" w:firstLine="435"/>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不论磋商结果如何，供应商均应自行承担所有与磋商有关的全部费用。</w:t>
      </w:r>
    </w:p>
    <w:p w14:paraId="5753B318">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bookmarkStart w:id="109" w:name="_Toc30661"/>
      <w:bookmarkStart w:id="110" w:name="_Toc31376"/>
      <w:bookmarkStart w:id="111" w:name="_Toc18464"/>
      <w:r>
        <w:rPr>
          <w:rFonts w:hint="eastAsia" w:ascii="宋体" w:hAnsi="宋体" w:eastAsia="宋体" w:cs="宋体"/>
          <w:color w:val="000000"/>
          <w:sz w:val="21"/>
          <w:szCs w:val="21"/>
          <w:highlight w:val="none"/>
          <w:shd w:val="clear" w:color="auto" w:fill="auto"/>
        </w:rPr>
        <w:t>5. 联合体要求</w:t>
      </w:r>
      <w:bookmarkEnd w:id="109"/>
      <w:bookmarkEnd w:id="110"/>
      <w:bookmarkEnd w:id="111"/>
    </w:p>
    <w:p w14:paraId="62439859">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bCs/>
          <w:color w:val="000000"/>
          <w:sz w:val="21"/>
          <w:szCs w:val="21"/>
          <w:highlight w:val="none"/>
          <w:shd w:val="clear" w:color="auto" w:fill="auto"/>
        </w:rPr>
      </w:pPr>
      <w:r>
        <w:rPr>
          <w:rFonts w:hint="eastAsia" w:ascii="宋体" w:hAnsi="宋体" w:eastAsia="宋体" w:cs="宋体"/>
          <w:bCs/>
          <w:color w:val="000000"/>
          <w:sz w:val="21"/>
          <w:szCs w:val="21"/>
          <w:highlight w:val="none"/>
          <w:shd w:val="clear" w:color="auto" w:fill="auto"/>
        </w:rPr>
        <w:t>本项目不接受联合体参与磋商</w:t>
      </w:r>
    </w:p>
    <w:p w14:paraId="2745CF0B">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bookmarkStart w:id="112" w:name="_Toc23673"/>
      <w:bookmarkStart w:id="113" w:name="_Toc4152"/>
      <w:bookmarkStart w:id="114" w:name="_Toc17501"/>
      <w:r>
        <w:rPr>
          <w:rFonts w:hint="eastAsia" w:ascii="宋体" w:hAnsi="宋体" w:eastAsia="宋体" w:cs="宋体"/>
          <w:color w:val="000000"/>
          <w:sz w:val="21"/>
          <w:szCs w:val="21"/>
          <w:highlight w:val="none"/>
          <w:shd w:val="clear" w:color="auto" w:fill="auto"/>
        </w:rPr>
        <w:t>6. 质疑和投诉</w:t>
      </w:r>
      <w:bookmarkEnd w:id="112"/>
      <w:bookmarkEnd w:id="113"/>
      <w:bookmarkEnd w:id="114"/>
    </w:p>
    <w:p w14:paraId="5F7CAC2F">
      <w:pPr>
        <w:tabs>
          <w:tab w:val="left" w:pos="2190"/>
        </w:tabs>
        <w:spacing w:line="360" w:lineRule="auto"/>
        <w:ind w:firstLine="435"/>
        <w:rPr>
          <w:rFonts w:hint="eastAsia" w:ascii="宋体" w:hAnsi="宋体" w:eastAsia="宋体" w:cs="宋体"/>
          <w:color w:val="auto"/>
          <w:szCs w:val="21"/>
          <w:highlight w:val="none"/>
        </w:rPr>
      </w:pPr>
      <w:bookmarkStart w:id="115" w:name="_Toc26087"/>
      <w:bookmarkStart w:id="116" w:name="_Toc8195"/>
      <w:bookmarkStart w:id="117" w:name="_Toc9106"/>
      <w:bookmarkStart w:id="118" w:name="_Toc13690"/>
      <w:bookmarkStart w:id="119" w:name="_Toc6998"/>
      <w:r>
        <w:rPr>
          <w:rFonts w:hint="eastAsia" w:ascii="宋体" w:hAnsi="宋体" w:eastAsia="宋体" w:cs="宋体"/>
          <w:color w:val="auto"/>
          <w:szCs w:val="21"/>
          <w:highlight w:val="none"/>
        </w:rPr>
        <w:t>6.1供应对政府采购活动事项有疑问的，可以向采购人提出询问。</w:t>
      </w:r>
    </w:p>
    <w:p w14:paraId="141C0A5F">
      <w:pPr>
        <w:tabs>
          <w:tab w:val="left" w:pos="2190"/>
        </w:tabs>
        <w:spacing w:line="360" w:lineRule="auto"/>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6.2供应商认为磋商文件使自己的合法权益受到损害的，应当在竞争性磋商公告期限届满之日起七个工作日内，以书面形式向采购代理机构提出质疑。供应商认为采购过程或成交结果使自己的合法权益受到损害的，应当在各采购程序环节结束之日起七个工作日内，以书面形式向采购代理机构提出质疑。采购代理机构应认真做好质疑处理工作。</w:t>
      </w:r>
    </w:p>
    <w:p w14:paraId="2FD091D4">
      <w:pPr>
        <w:tabs>
          <w:tab w:val="left" w:pos="2190"/>
        </w:tabs>
        <w:spacing w:line="360" w:lineRule="auto"/>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供应商在法定质疑期内应当一次性提出针对同一采购程序环节的质疑，否则采购人有权不予受理。</w:t>
      </w:r>
    </w:p>
    <w:p w14:paraId="4D8AFCD9">
      <w:pPr>
        <w:tabs>
          <w:tab w:val="left" w:pos="2190"/>
        </w:tabs>
        <w:spacing w:line="360" w:lineRule="auto"/>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6.3供应商对采购代理机构的质疑答复不满意或者采购代理机构未在规定的时间内作出答复的，可以在答复期满后十五个工作日内向本级财政部门投诉。</w:t>
      </w:r>
    </w:p>
    <w:p w14:paraId="7748BF5C">
      <w:pPr>
        <w:tabs>
          <w:tab w:val="left" w:pos="2190"/>
        </w:tabs>
        <w:spacing w:line="360" w:lineRule="auto"/>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质疑、投诉应当采用书面形式，质疑书、投诉书实行实名制，均应明确阐述磋商文件、采购过程或成交结果中使自己合法权益受到损害的实质性内容，提供相关事实、明确的请求，并提供必要的证明材料。质疑函格式详见附件。</w:t>
      </w:r>
    </w:p>
    <w:p w14:paraId="5FC68838">
      <w:pPr>
        <w:tabs>
          <w:tab w:val="left" w:pos="2190"/>
        </w:tabs>
        <w:spacing w:line="360" w:lineRule="auto"/>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6.5质疑联系</w:t>
      </w:r>
      <w:bookmarkEnd w:id="115"/>
      <w:bookmarkEnd w:id="116"/>
      <w:r>
        <w:rPr>
          <w:rFonts w:hint="eastAsia" w:ascii="宋体" w:hAnsi="宋体" w:eastAsia="宋体" w:cs="宋体"/>
          <w:color w:val="auto"/>
          <w:szCs w:val="21"/>
          <w:highlight w:val="none"/>
        </w:rPr>
        <w:t>方式，详见磋商公告。</w:t>
      </w:r>
    </w:p>
    <w:p w14:paraId="1DAAE19E">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7. 转包与分包</w:t>
      </w:r>
      <w:bookmarkEnd w:id="117"/>
      <w:bookmarkEnd w:id="118"/>
      <w:bookmarkEnd w:id="119"/>
    </w:p>
    <w:p w14:paraId="7806D6B3">
      <w:pPr>
        <w:pageBreakBefore w:val="0"/>
        <w:widowControl w:val="0"/>
        <w:tabs>
          <w:tab w:val="left" w:pos="2190"/>
        </w:tabs>
        <w:kinsoku/>
        <w:wordWrap/>
        <w:overflowPunct/>
        <w:topLinePunct w:val="0"/>
        <w:autoSpaceDE/>
        <w:autoSpaceDN/>
        <w:bidi w:val="0"/>
        <w:adjustRightInd/>
        <w:spacing w:line="360" w:lineRule="auto"/>
        <w:ind w:left="0" w:leftChars="0" w:firstLine="435"/>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7.1 本项目不允许转包。</w:t>
      </w:r>
    </w:p>
    <w:p w14:paraId="57EDABB0">
      <w:pPr>
        <w:pageBreakBefore w:val="0"/>
        <w:widowControl w:val="0"/>
        <w:tabs>
          <w:tab w:val="left" w:pos="2190"/>
        </w:tabs>
        <w:kinsoku/>
        <w:wordWrap/>
        <w:overflowPunct/>
        <w:topLinePunct w:val="0"/>
        <w:autoSpaceDE/>
        <w:autoSpaceDN/>
        <w:bidi w:val="0"/>
        <w:adjustRightInd/>
        <w:spacing w:line="360" w:lineRule="auto"/>
        <w:ind w:left="0" w:leftChars="0" w:firstLine="435"/>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7.2 本项目不可以分包。</w:t>
      </w:r>
    </w:p>
    <w:p w14:paraId="2CCBC1AC">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bookmarkStart w:id="120" w:name="_Toc18955"/>
      <w:bookmarkStart w:id="121" w:name="_Toc3368"/>
      <w:bookmarkStart w:id="122" w:name="_Toc28010"/>
      <w:r>
        <w:rPr>
          <w:rFonts w:hint="eastAsia" w:ascii="宋体" w:hAnsi="宋体" w:eastAsia="宋体" w:cs="宋体"/>
          <w:color w:val="000000"/>
          <w:sz w:val="21"/>
          <w:szCs w:val="21"/>
          <w:highlight w:val="none"/>
          <w:shd w:val="clear" w:color="auto" w:fill="auto"/>
        </w:rPr>
        <w:t>8. 特别说明</w:t>
      </w:r>
      <w:bookmarkEnd w:id="120"/>
      <w:bookmarkEnd w:id="121"/>
      <w:bookmarkEnd w:id="122"/>
    </w:p>
    <w:p w14:paraId="1C117772">
      <w:pPr>
        <w:pageBreakBefore w:val="0"/>
        <w:widowControl w:val="0"/>
        <w:tabs>
          <w:tab w:val="left" w:pos="1635"/>
        </w:tabs>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color w:val="000000"/>
          <w:sz w:val="21"/>
          <w:szCs w:val="21"/>
          <w:highlight w:val="none"/>
          <w:shd w:val="clear" w:color="auto" w:fill="auto"/>
        </w:rPr>
      </w:pPr>
      <w:r>
        <w:rPr>
          <w:rFonts w:hint="eastAsia" w:ascii="宋体" w:hAnsi="宋体" w:eastAsia="宋体" w:cs="宋体"/>
          <w:b/>
          <w:color w:val="000000"/>
          <w:sz w:val="21"/>
          <w:szCs w:val="21"/>
          <w:highlight w:val="none"/>
          <w:shd w:val="clear" w:color="auto" w:fill="auto"/>
        </w:rPr>
        <w:t>8.1关联供应商不得参加同一合同项下政府采购活动，否则响应文件将被视为无效：</w:t>
      </w:r>
    </w:p>
    <w:p w14:paraId="1478B7CB">
      <w:pPr>
        <w:pageBreakBefore w:val="0"/>
        <w:widowControl w:val="0"/>
        <w:tabs>
          <w:tab w:val="left" w:pos="1635"/>
        </w:tabs>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（1）单位负责人为同一人或者存在直接控股、管理关系的，不得参加同一合同项下的政府采购活动。</w:t>
      </w:r>
    </w:p>
    <w:p w14:paraId="7BF886EE">
      <w:pPr>
        <w:pageBreakBefore w:val="0"/>
        <w:widowControl w:val="0"/>
        <w:tabs>
          <w:tab w:val="left" w:pos="1635"/>
        </w:tabs>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（2）为本采购项目提供整体设计、规范编制或者项目管理、监理、检测等服务的供应商，不得再参加本次采购活动。</w:t>
      </w:r>
    </w:p>
    <w:p w14:paraId="42BA2E0A">
      <w:pPr>
        <w:pageBreakBefore w:val="0"/>
        <w:widowControl w:val="0"/>
        <w:kinsoku/>
        <w:wordWrap/>
        <w:overflowPunct/>
        <w:topLinePunct w:val="0"/>
        <w:autoSpaceDE/>
        <w:autoSpaceDN/>
        <w:bidi w:val="0"/>
        <w:adjustRightInd/>
        <w:spacing w:line="360" w:lineRule="auto"/>
        <w:ind w:left="0" w:leftChars="0"/>
        <w:jc w:val="center"/>
        <w:textAlignment w:val="auto"/>
        <w:outlineLvl w:val="1"/>
        <w:rPr>
          <w:rFonts w:hint="eastAsia" w:ascii="宋体" w:hAnsi="宋体" w:eastAsia="宋体" w:cs="宋体"/>
          <w:b/>
          <w:bCs/>
          <w:color w:val="000000"/>
          <w:sz w:val="21"/>
          <w:szCs w:val="21"/>
          <w:highlight w:val="none"/>
          <w:shd w:val="clear" w:color="auto" w:fill="auto"/>
        </w:rPr>
      </w:pPr>
      <w:bookmarkStart w:id="123" w:name="_Toc2757"/>
      <w:bookmarkStart w:id="124" w:name="_Toc22498"/>
      <w:bookmarkStart w:id="125" w:name="_Toc13302"/>
      <w:r>
        <w:rPr>
          <w:rFonts w:hint="eastAsia" w:ascii="宋体" w:hAnsi="宋体" w:eastAsia="宋体" w:cs="宋体"/>
          <w:b/>
          <w:bCs/>
          <w:color w:val="000000"/>
          <w:sz w:val="21"/>
          <w:szCs w:val="21"/>
          <w:highlight w:val="none"/>
          <w:shd w:val="clear" w:color="auto" w:fill="auto"/>
        </w:rPr>
        <w:t>二、磋商文件</w:t>
      </w:r>
      <w:bookmarkEnd w:id="123"/>
      <w:bookmarkEnd w:id="124"/>
      <w:bookmarkEnd w:id="125"/>
    </w:p>
    <w:p w14:paraId="0307D4AE">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lang w:val="pt-BR"/>
        </w:rPr>
      </w:pPr>
      <w:bookmarkStart w:id="126" w:name="_Toc18964"/>
      <w:bookmarkStart w:id="127" w:name="_Toc30164"/>
      <w:bookmarkStart w:id="128" w:name="_Toc9387"/>
      <w:r>
        <w:rPr>
          <w:rFonts w:hint="eastAsia" w:ascii="宋体" w:hAnsi="宋体" w:eastAsia="宋体" w:cs="宋体"/>
          <w:color w:val="000000"/>
          <w:sz w:val="21"/>
          <w:szCs w:val="21"/>
          <w:highlight w:val="none"/>
          <w:shd w:val="clear" w:color="auto" w:fill="auto"/>
          <w:lang w:val="pt-BR"/>
        </w:rPr>
        <w:t xml:space="preserve">9. </w:t>
      </w:r>
      <w:r>
        <w:rPr>
          <w:rFonts w:hint="eastAsia" w:ascii="宋体" w:hAnsi="宋体" w:eastAsia="宋体" w:cs="宋体"/>
          <w:color w:val="000000"/>
          <w:sz w:val="21"/>
          <w:szCs w:val="21"/>
          <w:highlight w:val="none"/>
          <w:shd w:val="clear" w:color="auto" w:fill="auto"/>
        </w:rPr>
        <w:t>磋商文件的构成</w:t>
      </w:r>
      <w:bookmarkEnd w:id="126"/>
      <w:bookmarkEnd w:id="127"/>
      <w:bookmarkEnd w:id="128"/>
    </w:p>
    <w:p w14:paraId="5825838D">
      <w:pPr>
        <w:pageBreakBefore w:val="0"/>
        <w:widowControl w:val="0"/>
        <w:tabs>
          <w:tab w:val="left" w:pos="2190"/>
        </w:tabs>
        <w:kinsoku/>
        <w:wordWrap/>
        <w:overflowPunct/>
        <w:topLinePunct w:val="0"/>
        <w:autoSpaceDE/>
        <w:autoSpaceDN/>
        <w:bidi w:val="0"/>
        <w:adjustRightInd/>
        <w:spacing w:line="360" w:lineRule="auto"/>
        <w:ind w:left="0" w:leftChars="0" w:firstLine="437"/>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lang w:val="en-US" w:eastAsia="zh-CN"/>
        </w:rPr>
        <w:t xml:space="preserve">（1）竞争性磋商公告； </w:t>
      </w:r>
    </w:p>
    <w:p w14:paraId="375AAE91">
      <w:pPr>
        <w:pageBreakBefore w:val="0"/>
        <w:widowControl w:val="0"/>
        <w:tabs>
          <w:tab w:val="left" w:pos="2190"/>
        </w:tabs>
        <w:kinsoku/>
        <w:wordWrap/>
        <w:overflowPunct/>
        <w:topLinePunct w:val="0"/>
        <w:autoSpaceDE/>
        <w:autoSpaceDN/>
        <w:bidi w:val="0"/>
        <w:adjustRightInd/>
        <w:spacing w:line="360" w:lineRule="auto"/>
        <w:ind w:left="0" w:leftChars="0" w:firstLine="437"/>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lang w:val="en-US" w:eastAsia="zh-CN"/>
        </w:rPr>
        <w:t xml:space="preserve">（2）供应商须知； </w:t>
      </w:r>
    </w:p>
    <w:p w14:paraId="5641DE3A">
      <w:pPr>
        <w:pageBreakBefore w:val="0"/>
        <w:widowControl w:val="0"/>
        <w:tabs>
          <w:tab w:val="left" w:pos="2190"/>
        </w:tabs>
        <w:kinsoku/>
        <w:wordWrap/>
        <w:overflowPunct/>
        <w:topLinePunct w:val="0"/>
        <w:autoSpaceDE/>
        <w:autoSpaceDN/>
        <w:bidi w:val="0"/>
        <w:adjustRightInd/>
        <w:spacing w:line="360" w:lineRule="auto"/>
        <w:ind w:left="0" w:leftChars="0" w:firstLine="437"/>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lang w:val="en-US" w:eastAsia="zh-CN"/>
        </w:rPr>
        <w:t xml:space="preserve">（3）工程量清单； </w:t>
      </w:r>
    </w:p>
    <w:p w14:paraId="0EB26EC9">
      <w:pPr>
        <w:pageBreakBefore w:val="0"/>
        <w:widowControl w:val="0"/>
        <w:tabs>
          <w:tab w:val="left" w:pos="2190"/>
        </w:tabs>
        <w:kinsoku/>
        <w:wordWrap/>
        <w:overflowPunct/>
        <w:topLinePunct w:val="0"/>
        <w:autoSpaceDE/>
        <w:autoSpaceDN/>
        <w:bidi w:val="0"/>
        <w:adjustRightInd/>
        <w:spacing w:line="360" w:lineRule="auto"/>
        <w:ind w:left="0" w:leftChars="0" w:firstLine="437"/>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lang w:val="en-US" w:eastAsia="zh-CN"/>
        </w:rPr>
        <w:t xml:space="preserve">（4）评审办法； </w:t>
      </w:r>
    </w:p>
    <w:p w14:paraId="7AFBB25A">
      <w:pPr>
        <w:pageBreakBefore w:val="0"/>
        <w:widowControl w:val="0"/>
        <w:tabs>
          <w:tab w:val="left" w:pos="2190"/>
        </w:tabs>
        <w:kinsoku/>
        <w:wordWrap/>
        <w:overflowPunct/>
        <w:topLinePunct w:val="0"/>
        <w:autoSpaceDE/>
        <w:autoSpaceDN/>
        <w:bidi w:val="0"/>
        <w:adjustRightInd/>
        <w:spacing w:line="360" w:lineRule="auto"/>
        <w:ind w:left="0" w:leftChars="0" w:firstLine="437"/>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lang w:val="en-US" w:eastAsia="zh-CN"/>
        </w:rPr>
        <w:t xml:space="preserve">（5）采购合同（合同主要条款及格式）； </w:t>
      </w:r>
    </w:p>
    <w:p w14:paraId="042B9F44">
      <w:pPr>
        <w:pageBreakBefore w:val="0"/>
        <w:widowControl w:val="0"/>
        <w:tabs>
          <w:tab w:val="left" w:pos="2190"/>
        </w:tabs>
        <w:kinsoku/>
        <w:wordWrap/>
        <w:overflowPunct/>
        <w:topLinePunct w:val="0"/>
        <w:autoSpaceDE/>
        <w:autoSpaceDN/>
        <w:bidi w:val="0"/>
        <w:adjustRightInd/>
        <w:spacing w:line="360" w:lineRule="auto"/>
        <w:ind w:left="0" w:leftChars="0" w:firstLine="437"/>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lang w:val="en-US" w:eastAsia="zh-CN"/>
        </w:rPr>
        <w:t xml:space="preserve">（6）响应文件（格式）； </w:t>
      </w:r>
    </w:p>
    <w:p w14:paraId="55C88972">
      <w:pPr>
        <w:pageBreakBefore w:val="0"/>
        <w:widowControl w:val="0"/>
        <w:tabs>
          <w:tab w:val="left" w:pos="2190"/>
        </w:tabs>
        <w:kinsoku/>
        <w:wordWrap/>
        <w:overflowPunct/>
        <w:topLinePunct w:val="0"/>
        <w:autoSpaceDE/>
        <w:autoSpaceDN/>
        <w:bidi w:val="0"/>
        <w:adjustRightInd/>
        <w:spacing w:line="360" w:lineRule="auto"/>
        <w:ind w:left="0" w:leftChars="0" w:firstLine="437"/>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lang w:val="en-US" w:eastAsia="zh-CN"/>
        </w:rPr>
        <w:t>（7）图纸。</w:t>
      </w:r>
    </w:p>
    <w:p w14:paraId="37BC192E">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bookmarkStart w:id="129" w:name="_Toc9103"/>
      <w:bookmarkStart w:id="130" w:name="_Toc4068"/>
      <w:bookmarkStart w:id="131" w:name="_Toc5939"/>
      <w:r>
        <w:rPr>
          <w:rFonts w:hint="eastAsia" w:ascii="宋体" w:hAnsi="宋体" w:eastAsia="宋体" w:cs="宋体"/>
          <w:color w:val="000000"/>
          <w:sz w:val="21"/>
          <w:szCs w:val="21"/>
          <w:highlight w:val="none"/>
          <w:shd w:val="clear" w:color="auto" w:fill="auto"/>
        </w:rPr>
        <w:t>10. 磋商文件的澄清与修改</w:t>
      </w:r>
      <w:bookmarkEnd w:id="129"/>
      <w:bookmarkEnd w:id="130"/>
      <w:bookmarkEnd w:id="131"/>
    </w:p>
    <w:p w14:paraId="1B8F1D57">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10.1 提交首次响应文件截止之日前，采购代理机构可以对已发出的磋商文件进行必要澄清、答复、修改或补充，澄清或者修改的内容可能影响响应文件编制的，澄清或者修改的内容作为磋商文件的组成部分。采购代理机构应当在提交首次响应文件递交截止时间五日前在本项目竞争性磋商公告发布的同一媒体上发布更正公告，不足五日的，应当顺延首次响应文件递交截止时间。</w:t>
      </w:r>
    </w:p>
    <w:p w14:paraId="5B13E7C5">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eastAsia="宋体" w:cs="宋体"/>
          <w:b/>
          <w:bCs/>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10.2</w:t>
      </w:r>
      <w:r>
        <w:rPr>
          <w:rFonts w:hint="eastAsia" w:ascii="宋体" w:hAnsi="宋体" w:eastAsia="宋体" w:cs="宋体"/>
          <w:b/>
          <w:bCs/>
          <w:color w:val="000000"/>
          <w:sz w:val="21"/>
          <w:szCs w:val="21"/>
          <w:highlight w:val="none"/>
          <w:shd w:val="clear" w:color="auto" w:fill="auto"/>
        </w:rPr>
        <w:t>供应商应实时关注本项目信息公告发布媒体相关网站了解澄清、修改等与项目有关的内容，如因供应商未及时登录相关网站了解澄清、修改等与项目有关的内容，从而导致响应文件无效的，由供应商自行承担责任。</w:t>
      </w:r>
    </w:p>
    <w:p w14:paraId="175EA1A7">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10.3澄清或者修改的内容为磋商文件的组成部分。当澄清或者修改通知就同一内容的表述不一致</w:t>
      </w:r>
    </w:p>
    <w:p w14:paraId="0210F40D">
      <w:pPr>
        <w:pageBreakBefore w:val="0"/>
        <w:widowControl w:val="0"/>
        <w:kinsoku/>
        <w:wordWrap/>
        <w:overflowPunct/>
        <w:topLinePunct w:val="0"/>
        <w:autoSpaceDE/>
        <w:autoSpaceDN/>
        <w:bidi w:val="0"/>
        <w:adjustRightInd/>
        <w:spacing w:line="360" w:lineRule="auto"/>
        <w:ind w:left="0" w:leftChars="0"/>
        <w:jc w:val="left"/>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时，以最后发出的文件为准。</w:t>
      </w:r>
    </w:p>
    <w:p w14:paraId="70C6CAE0">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10.4 磋商文件的澄清或者修改都应该通过本项目采购代理机构以法定形式发布，采购人非通过本</w:t>
      </w:r>
    </w:p>
    <w:p w14:paraId="07DFB20F">
      <w:pPr>
        <w:pageBreakBefore w:val="0"/>
        <w:widowControl w:val="0"/>
        <w:kinsoku/>
        <w:wordWrap/>
        <w:overflowPunct/>
        <w:topLinePunct w:val="0"/>
        <w:autoSpaceDE/>
        <w:autoSpaceDN/>
        <w:bidi w:val="0"/>
        <w:adjustRightInd/>
        <w:spacing w:line="360" w:lineRule="auto"/>
        <w:ind w:left="0" w:leftChars="0"/>
        <w:jc w:val="left"/>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机构，不得擅自澄清或者修改磋商文件。</w:t>
      </w:r>
    </w:p>
    <w:p w14:paraId="2455965A">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10.5采购单位可以视采购具体情况，延长响应文件截止时间和磋商时间，在本项目竞争性磋商公</w:t>
      </w:r>
    </w:p>
    <w:p w14:paraId="4BE5C164">
      <w:pPr>
        <w:pageBreakBefore w:val="0"/>
        <w:widowControl w:val="0"/>
        <w:kinsoku/>
        <w:wordWrap/>
        <w:overflowPunct/>
        <w:topLinePunct w:val="0"/>
        <w:autoSpaceDE/>
        <w:autoSpaceDN/>
        <w:bidi w:val="0"/>
        <w:adjustRightInd/>
        <w:spacing w:line="360" w:lineRule="auto"/>
        <w:ind w:left="0" w:leftChars="0"/>
        <w:jc w:val="left"/>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告发布的同一媒体上发布变更公告。</w:t>
      </w:r>
    </w:p>
    <w:p w14:paraId="29B2E739">
      <w:pPr>
        <w:pageBreakBefore w:val="0"/>
        <w:widowControl w:val="0"/>
        <w:kinsoku/>
        <w:wordWrap/>
        <w:overflowPunct/>
        <w:topLinePunct w:val="0"/>
        <w:autoSpaceDE/>
        <w:autoSpaceDN/>
        <w:bidi w:val="0"/>
        <w:adjustRightInd/>
        <w:spacing w:line="360" w:lineRule="auto"/>
        <w:ind w:left="0" w:leftChars="0"/>
        <w:jc w:val="center"/>
        <w:textAlignment w:val="auto"/>
        <w:outlineLvl w:val="1"/>
        <w:rPr>
          <w:rFonts w:hint="eastAsia" w:ascii="宋体" w:hAnsi="宋体" w:eastAsia="宋体" w:cs="宋体"/>
          <w:b/>
          <w:bCs/>
          <w:color w:val="000000"/>
          <w:sz w:val="21"/>
          <w:szCs w:val="21"/>
          <w:highlight w:val="none"/>
          <w:shd w:val="clear" w:color="auto" w:fill="auto"/>
        </w:rPr>
      </w:pPr>
      <w:bookmarkStart w:id="132" w:name="_Toc20830"/>
      <w:bookmarkStart w:id="133" w:name="_Toc31896"/>
      <w:bookmarkStart w:id="134" w:name="_Toc18223"/>
      <w:r>
        <w:rPr>
          <w:rFonts w:hint="eastAsia" w:ascii="宋体" w:hAnsi="宋体" w:eastAsia="宋体" w:cs="宋体"/>
          <w:b/>
          <w:bCs/>
          <w:color w:val="000000"/>
          <w:sz w:val="21"/>
          <w:szCs w:val="21"/>
          <w:highlight w:val="none"/>
          <w:shd w:val="clear" w:color="auto" w:fill="auto"/>
        </w:rPr>
        <w:t>三、竞争性磋商响应文件的编制</w:t>
      </w:r>
      <w:bookmarkEnd w:id="132"/>
      <w:bookmarkEnd w:id="133"/>
      <w:bookmarkEnd w:id="134"/>
    </w:p>
    <w:p w14:paraId="17398647">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bookmarkStart w:id="135" w:name="_Toc13470"/>
      <w:bookmarkStart w:id="136" w:name="_Toc2889"/>
      <w:r>
        <w:rPr>
          <w:rFonts w:hint="eastAsia" w:ascii="宋体" w:hAnsi="宋体" w:eastAsia="宋体" w:cs="宋体"/>
          <w:color w:val="000000"/>
          <w:sz w:val="21"/>
          <w:szCs w:val="21"/>
          <w:highlight w:val="none"/>
          <w:shd w:val="clear" w:color="auto" w:fill="auto"/>
        </w:rPr>
        <w:t>11.竞争性磋商响应文件编制基本要求</w:t>
      </w:r>
      <w:bookmarkEnd w:id="135"/>
      <w:bookmarkEnd w:id="136"/>
    </w:p>
    <w:p w14:paraId="11A6BD89">
      <w:pPr>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bCs/>
          <w:color w:val="000000"/>
          <w:sz w:val="21"/>
          <w:szCs w:val="21"/>
          <w:highlight w:val="none"/>
          <w:shd w:val="clear" w:color="auto" w:fill="auto"/>
        </w:rPr>
      </w:pPr>
      <w:r>
        <w:rPr>
          <w:rFonts w:hint="eastAsia" w:ascii="宋体" w:hAnsi="宋体" w:eastAsia="宋体" w:cs="宋体"/>
          <w:b/>
          <w:bCs/>
          <w:color w:val="000000"/>
          <w:sz w:val="21"/>
          <w:szCs w:val="21"/>
          <w:highlight w:val="none"/>
          <w:shd w:val="clear" w:color="auto" w:fill="auto"/>
        </w:rPr>
        <w:t>11.1 本项目实行电子响应，供应商应准备电子磋商响应文件：</w:t>
      </w:r>
    </w:p>
    <w:p w14:paraId="4B085B64">
      <w:pPr>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bCs/>
          <w:color w:val="000000"/>
          <w:sz w:val="21"/>
          <w:szCs w:val="21"/>
          <w:highlight w:val="none"/>
          <w:shd w:val="clear" w:color="auto" w:fill="auto"/>
        </w:rPr>
      </w:pPr>
      <w:r>
        <w:rPr>
          <w:rFonts w:hint="eastAsia" w:ascii="宋体" w:hAnsi="宋体" w:eastAsia="宋体" w:cs="宋体"/>
          <w:b/>
          <w:bCs/>
          <w:color w:val="000000"/>
          <w:sz w:val="21"/>
          <w:szCs w:val="21"/>
          <w:highlight w:val="none"/>
          <w:shd w:val="clear" w:color="auto" w:fill="auto"/>
        </w:rPr>
        <w:t>11.1.1 电子响应文件按</w:t>
      </w:r>
      <w:r>
        <w:rPr>
          <w:rFonts w:hint="eastAsia" w:ascii="宋体" w:hAnsi="宋体" w:eastAsia="宋体" w:cs="宋体"/>
          <w:b/>
          <w:bCs/>
          <w:color w:val="000000"/>
          <w:sz w:val="21"/>
          <w:szCs w:val="21"/>
          <w:highlight w:val="none"/>
          <w:shd w:val="clear" w:color="auto" w:fill="auto"/>
          <w:lang w:eastAsia="zh-CN"/>
        </w:rPr>
        <w:t>广西政府采购云平台</w:t>
      </w:r>
      <w:r>
        <w:rPr>
          <w:rFonts w:hint="eastAsia" w:ascii="宋体" w:hAnsi="宋体" w:eastAsia="宋体" w:cs="宋体"/>
          <w:b/>
          <w:bCs/>
          <w:color w:val="000000"/>
          <w:sz w:val="21"/>
          <w:szCs w:val="21"/>
          <w:highlight w:val="none"/>
          <w:shd w:val="clear" w:color="auto" w:fill="auto"/>
        </w:rPr>
        <w:t>要求及本磋商文件要求制作、加密并递交。具体操作流程可参考《政府采购项目电子交易管理操作指南-供应商》，指南可在广西政府采购网（访问地址http://zfcg.gxzf.gov.cn/）—办事服务—下载专区下载。</w:t>
      </w:r>
    </w:p>
    <w:p w14:paraId="49DEA317">
      <w:pPr>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bCs/>
          <w:color w:val="000000"/>
          <w:sz w:val="21"/>
          <w:szCs w:val="21"/>
          <w:highlight w:val="none"/>
          <w:shd w:val="clear" w:color="auto" w:fill="auto"/>
        </w:rPr>
      </w:pPr>
      <w:r>
        <w:rPr>
          <w:rFonts w:hint="eastAsia" w:ascii="宋体" w:hAnsi="宋体" w:eastAsia="宋体" w:cs="宋体"/>
          <w:b/>
          <w:bCs/>
          <w:color w:val="000000"/>
          <w:sz w:val="21"/>
          <w:szCs w:val="21"/>
          <w:highlight w:val="none"/>
          <w:shd w:val="clear" w:color="auto" w:fill="auto"/>
        </w:rPr>
        <w:t>11.2竞争性磋商响应文件（以下简称响应文件）的组成及要求</w:t>
      </w:r>
    </w:p>
    <w:p w14:paraId="71E0E26C">
      <w:pPr>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bCs/>
          <w:color w:val="000000"/>
          <w:sz w:val="21"/>
          <w:szCs w:val="21"/>
          <w:highlight w:val="none"/>
          <w:shd w:val="clear" w:color="auto" w:fill="auto"/>
        </w:rPr>
      </w:pPr>
      <w:r>
        <w:rPr>
          <w:rFonts w:hint="eastAsia" w:ascii="宋体" w:hAnsi="宋体" w:eastAsia="宋体" w:cs="宋体"/>
          <w:b/>
          <w:bCs/>
          <w:color w:val="000000"/>
          <w:sz w:val="21"/>
          <w:szCs w:val="21"/>
          <w:highlight w:val="none"/>
          <w:shd w:val="clear" w:color="auto" w:fill="auto"/>
        </w:rPr>
        <w:t>11.2.1响应文件组成【格式见第八章“响应文件（格式）”】</w:t>
      </w:r>
    </w:p>
    <w:p w14:paraId="7994C016">
      <w:pPr>
        <w:pageBreakBefore w:val="0"/>
        <w:widowControl w:val="0"/>
        <w:kinsoku/>
        <w:wordWrap/>
        <w:overflowPunct/>
        <w:topLinePunct w:val="0"/>
        <w:autoSpaceDE/>
        <w:autoSpaceDN/>
        <w:bidi w:val="0"/>
        <w:adjustRightInd/>
        <w:spacing w:line="360" w:lineRule="auto"/>
        <w:ind w:left="0" w:leftChars="0" w:firstLine="411" w:firstLineChars="195"/>
        <w:textAlignment w:val="auto"/>
        <w:rPr>
          <w:rFonts w:hint="eastAsia" w:ascii="宋体" w:hAnsi="宋体" w:eastAsia="宋体" w:cs="宋体"/>
          <w:b/>
          <w:bCs/>
          <w:color w:val="000000"/>
          <w:kern w:val="0"/>
          <w:sz w:val="21"/>
          <w:szCs w:val="21"/>
          <w:highlight w:val="none"/>
          <w:shd w:val="clear" w:color="auto" w:fill="auto"/>
        </w:rPr>
      </w:pPr>
      <w:r>
        <w:rPr>
          <w:rFonts w:hint="eastAsia" w:ascii="宋体" w:hAnsi="宋体" w:eastAsia="宋体" w:cs="宋体"/>
          <w:b/>
          <w:bCs/>
          <w:color w:val="000000"/>
          <w:kern w:val="0"/>
          <w:sz w:val="21"/>
          <w:szCs w:val="21"/>
          <w:highlight w:val="none"/>
          <w:shd w:val="clear" w:color="auto" w:fill="auto"/>
        </w:rPr>
        <w:t>11.2.1.1资格性响应证明材料：</w:t>
      </w:r>
    </w:p>
    <w:p w14:paraId="2D24678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（1）供应商相应的法定代表人、负责人、自然人身份证正反两面复印件</w:t>
      </w:r>
      <w:r>
        <w:rPr>
          <w:rFonts w:hint="eastAsia" w:ascii="宋体" w:hAnsi="宋体" w:eastAsia="宋体" w:cs="宋体"/>
          <w:b/>
          <w:bCs/>
          <w:color w:val="auto"/>
          <w:szCs w:val="21"/>
          <w:highlight w:val="none"/>
        </w:rPr>
        <w:t>（必须提供）</w:t>
      </w:r>
      <w:r>
        <w:rPr>
          <w:rFonts w:hint="eastAsia" w:ascii="宋体" w:hAnsi="宋体" w:eastAsia="宋体" w:cs="宋体"/>
          <w:color w:val="auto"/>
          <w:szCs w:val="21"/>
          <w:highlight w:val="none"/>
        </w:rPr>
        <w:t>；</w:t>
      </w:r>
    </w:p>
    <w:p w14:paraId="517601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的授权委托书原件、委托代理人身份证正反面复印件以及由县级以上（含县级）社会养老保险经办机构出具的供应商为委托代理人交纳的响应文件递交截止时间前半年内任意连续三个月社保证明复印件；</w:t>
      </w:r>
      <w:r>
        <w:rPr>
          <w:rFonts w:hint="eastAsia" w:ascii="宋体" w:hAnsi="宋体" w:eastAsia="宋体" w:cs="宋体"/>
          <w:b/>
          <w:bCs/>
          <w:color w:val="auto"/>
          <w:szCs w:val="21"/>
          <w:highlight w:val="none"/>
        </w:rPr>
        <w:t>（委托代理时必须提供）。</w:t>
      </w:r>
      <w:r>
        <w:rPr>
          <w:rFonts w:hint="eastAsia" w:ascii="宋体" w:hAnsi="宋体" w:eastAsia="宋体" w:cs="宋体"/>
          <w:color w:val="auto"/>
          <w:szCs w:val="21"/>
          <w:highlight w:val="none"/>
        </w:rPr>
        <w:t>除供应商为以下三种情形的：</w:t>
      </w:r>
    </w:p>
    <w:p w14:paraId="670C3D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①如供应商为截标时间前60日以内成立的公司，可以提供供应商与委托代理人签订的劳动合同复印件代替社保证明复印件；</w:t>
      </w:r>
    </w:p>
    <w:p w14:paraId="53682A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②如供应商为事业单位，可以提供事业单位机构编制管理证复印件或事业单位机构为其发放工资的工资条复印件代替社保证明复印件；</w:t>
      </w:r>
    </w:p>
    <w:p w14:paraId="201588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③如委托代理人为免缴纳社保人员，提供免缴纳社保的证明材料复印件及供应商与委托代理人签订的劳动合同复印件代替社保证明复印件。</w:t>
      </w:r>
    </w:p>
    <w:p w14:paraId="36E82F8C">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【属自然人的应提供由县级以上（含县级）社会养老保险经办机构出具的自然人本人及委托代理人所交纳的响应文件递交截止时间前半年内任意连续三个月社保证明复印件</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（委托代理时必须提供）</w:t>
      </w:r>
    </w:p>
    <w:p w14:paraId="1B0B16E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（3）供应商参加政府采购活动前3年内在经营活动中没有重大违法记录及有关信用信息的书面声明</w:t>
      </w:r>
      <w:r>
        <w:rPr>
          <w:rFonts w:hint="eastAsia" w:ascii="宋体" w:hAnsi="宋体" w:eastAsia="宋体" w:cs="宋体"/>
          <w:b/>
          <w:bCs/>
          <w:color w:val="auto"/>
          <w:szCs w:val="21"/>
          <w:highlight w:val="none"/>
        </w:rPr>
        <w:t>（必须提供）；</w:t>
      </w:r>
    </w:p>
    <w:p w14:paraId="67A90CA9">
      <w:pPr>
        <w:numPr>
          <w:ilvl w:val="0"/>
          <w:numId w:val="1"/>
        </w:num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供应商的法人或者其他组织营业执照等证明文件复印件</w:t>
      </w:r>
      <w:r>
        <w:rPr>
          <w:rFonts w:hint="eastAsia" w:ascii="宋体" w:hAnsi="宋体" w:eastAsia="宋体" w:cs="宋体"/>
          <w:b/>
          <w:bCs/>
          <w:color w:val="auto"/>
          <w:szCs w:val="21"/>
          <w:highlight w:val="none"/>
        </w:rPr>
        <w:t>（必须提供，自然人除外）；</w:t>
      </w:r>
    </w:p>
    <w:p w14:paraId="6DABA45C">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70B47757">
      <w:pPr>
        <w:spacing w:line="360" w:lineRule="auto"/>
        <w:ind w:left="420"/>
        <w:rPr>
          <w:rFonts w:hint="eastAsia" w:ascii="宋体" w:hAnsi="宋体" w:eastAsia="宋体" w:cs="宋体"/>
          <w:b/>
          <w:bCs/>
          <w:color w:val="auto"/>
          <w:szCs w:val="21"/>
          <w:highlight w:val="none"/>
        </w:rPr>
      </w:pPr>
      <w:r>
        <w:rPr>
          <w:rFonts w:hint="eastAsia" w:ascii="宋体" w:hAnsi="宋体" w:eastAsia="宋体" w:cs="宋体"/>
          <w:bCs/>
          <w:color w:val="auto"/>
          <w:kern w:val="0"/>
          <w:szCs w:val="21"/>
          <w:highlight w:val="none"/>
        </w:rPr>
        <w:t>（5）供应商有效的资质证书复印件</w:t>
      </w:r>
      <w:r>
        <w:rPr>
          <w:rFonts w:hint="eastAsia" w:ascii="宋体" w:hAnsi="宋体" w:eastAsia="宋体" w:cs="宋体"/>
          <w:b/>
          <w:color w:val="auto"/>
          <w:kern w:val="0"/>
          <w:szCs w:val="21"/>
          <w:highlight w:val="none"/>
        </w:rPr>
        <w:t>（必须提供</w:t>
      </w:r>
      <w:r>
        <w:rPr>
          <w:rFonts w:hint="eastAsia" w:ascii="宋体" w:hAnsi="宋体" w:eastAsia="宋体" w:cs="宋体"/>
          <w:b/>
          <w:bCs/>
          <w:color w:val="auto"/>
          <w:szCs w:val="21"/>
          <w:highlight w:val="none"/>
        </w:rPr>
        <w:t>）；</w:t>
      </w:r>
    </w:p>
    <w:p w14:paraId="2A2EDFE3">
      <w:pPr>
        <w:spacing w:line="360" w:lineRule="auto"/>
        <w:ind w:left="420"/>
        <w:rPr>
          <w:rFonts w:hint="eastAsia" w:ascii="宋体" w:hAnsi="宋体" w:eastAsia="宋体" w:cs="宋体"/>
          <w:color w:val="auto"/>
          <w:highlight w:val="none"/>
        </w:rPr>
      </w:pPr>
      <w:r>
        <w:rPr>
          <w:rFonts w:hint="eastAsia" w:ascii="宋体" w:hAnsi="宋体" w:eastAsia="宋体" w:cs="宋体"/>
          <w:bCs/>
          <w:color w:val="auto"/>
          <w:kern w:val="0"/>
          <w:szCs w:val="21"/>
          <w:highlight w:val="none"/>
        </w:rPr>
        <w:t>（6）供应商有效的安全生产许可证书复印件</w:t>
      </w:r>
      <w:r>
        <w:rPr>
          <w:rFonts w:hint="eastAsia" w:ascii="宋体" w:hAnsi="宋体" w:eastAsia="宋体" w:cs="宋体"/>
          <w:b/>
          <w:bCs/>
          <w:color w:val="auto"/>
          <w:szCs w:val="21"/>
          <w:highlight w:val="none"/>
        </w:rPr>
        <w:t>（必须提供）</w:t>
      </w:r>
      <w:r>
        <w:rPr>
          <w:rFonts w:hint="eastAsia" w:ascii="宋体" w:hAnsi="宋体" w:eastAsia="宋体" w:cs="宋体"/>
          <w:color w:val="auto"/>
          <w:szCs w:val="21"/>
          <w:highlight w:val="none"/>
        </w:rPr>
        <w:t>；</w:t>
      </w:r>
    </w:p>
    <w:p w14:paraId="630288CC">
      <w:pPr>
        <w:spacing w:line="360" w:lineRule="auto"/>
        <w:ind w:left="0" w:leftChars="0" w:firstLine="420" w:firstLineChars="200"/>
        <w:rPr>
          <w:rFonts w:hint="eastAsia" w:ascii="宋体" w:hAnsi="宋体" w:eastAsia="宋体" w:cs="宋体"/>
          <w:b/>
          <w:bCs/>
          <w:color w:val="auto"/>
          <w:szCs w:val="21"/>
          <w:highlight w:val="none"/>
          <w:lang w:eastAsia="zh-CN"/>
        </w:rPr>
      </w:pPr>
      <w:r>
        <w:rPr>
          <w:rFonts w:hint="eastAsia" w:ascii="宋体" w:hAnsi="宋体" w:eastAsia="宋体" w:cs="宋体"/>
          <w:bCs/>
          <w:color w:val="auto"/>
          <w:kern w:val="0"/>
          <w:szCs w:val="21"/>
          <w:highlight w:val="none"/>
        </w:rPr>
        <w:t>（7）供应商</w:t>
      </w:r>
      <w:r>
        <w:rPr>
          <w:rFonts w:hint="eastAsia" w:ascii="宋体" w:hAnsi="宋体" w:eastAsia="宋体" w:cs="宋体"/>
          <w:color w:val="auto"/>
          <w:szCs w:val="21"/>
          <w:highlight w:val="none"/>
        </w:rPr>
        <w:t>202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年度财务状况报告</w:t>
      </w:r>
      <w:r>
        <w:rPr>
          <w:rFonts w:hint="eastAsia" w:ascii="宋体" w:hAnsi="宋体" w:eastAsia="宋体" w:cs="宋体"/>
          <w:b/>
          <w:bCs/>
          <w:color w:val="auto"/>
          <w:szCs w:val="21"/>
          <w:highlight w:val="none"/>
        </w:rPr>
        <w:t>（必须提供，可以是磋商供应商自行编制也可是通过第三方审计公司编制，如为自行编制至少须提供现金流量表、负债表及利润表(损益表)</w:t>
      </w:r>
      <w:r>
        <w:rPr>
          <w:rFonts w:hint="eastAsia" w:ascii="宋体" w:hAnsi="宋体" w:eastAsia="宋体" w:cs="宋体"/>
          <w:b/>
          <w:bCs/>
          <w:color w:val="auto"/>
          <w:szCs w:val="21"/>
          <w:highlight w:val="none"/>
          <w:lang w:eastAsia="zh-CN"/>
        </w:rPr>
        <w:t>，新成立的公司，提供自成立之日起至磋商截止时间前一个月的报告</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w:t>
      </w:r>
    </w:p>
    <w:p w14:paraId="4063619C">
      <w:pPr>
        <w:spacing w:line="360" w:lineRule="auto"/>
        <w:ind w:left="420"/>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8.供应商近半年内任意一个月或任一季度依法缴纳税收的证明材料[增值税缴纳发票(税收完税证明)</w:t>
      </w:r>
    </w:p>
    <w:p w14:paraId="6A12BD36">
      <w:pPr>
        <w:spacing w:line="360" w:lineRule="auto"/>
        <w:rPr>
          <w:rFonts w:hint="eastAsia" w:ascii="宋体" w:hAnsi="宋体" w:eastAsia="宋体" w:cs="宋体"/>
          <w:color w:val="auto"/>
          <w:highlight w:val="none"/>
        </w:rPr>
      </w:pPr>
      <w:r>
        <w:rPr>
          <w:rFonts w:hint="eastAsia" w:ascii="宋体" w:hAnsi="宋体" w:eastAsia="宋体" w:cs="宋体"/>
          <w:bCs/>
          <w:color w:val="auto"/>
          <w:kern w:val="0"/>
          <w:szCs w:val="21"/>
          <w:highlight w:val="none"/>
          <w:lang w:val="en-US" w:eastAsia="zh-CN"/>
        </w:rPr>
        <w:t>或企业所得税完税证明或税务部门出具的免税证明]复印件</w:t>
      </w:r>
      <w:r>
        <w:rPr>
          <w:rFonts w:hint="eastAsia" w:ascii="宋体" w:hAnsi="宋体" w:eastAsia="宋体" w:cs="宋体"/>
          <w:b/>
          <w:bCs/>
          <w:color w:val="auto"/>
          <w:kern w:val="0"/>
          <w:sz w:val="20"/>
          <w:szCs w:val="20"/>
          <w:highlight w:val="none"/>
          <w:lang w:val="en-US" w:eastAsia="zh-CN" w:bidi="ar"/>
        </w:rPr>
        <w:t xml:space="preserve">（必须提供）； </w:t>
      </w:r>
    </w:p>
    <w:p w14:paraId="7B894F9F">
      <w:pPr>
        <w:pStyle w:val="35"/>
        <w:spacing w:line="360" w:lineRule="auto"/>
        <w:ind w:left="0" w:leftChars="0" w:firstLine="422"/>
        <w:rPr>
          <w:rFonts w:hint="eastAsia" w:ascii="宋体" w:hAnsi="宋体" w:eastAsia="宋体" w:cs="宋体"/>
          <w:b/>
          <w:bCs w:val="0"/>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9.供应商的中小企业声明函(必须提供)或供应商属于监狱企业的由省级以上监狱管理局、戒毒管理局等 (含新疆生产建设兵团) 出具的属于监狱企业的证明文件 (必须提供)或符合条件的残疾人福利性单位的《残疾人福利性单位声明函》</w:t>
      </w:r>
      <w:r>
        <w:rPr>
          <w:rFonts w:hint="eastAsia" w:ascii="宋体" w:hAnsi="宋体" w:eastAsia="宋体" w:cs="宋体"/>
          <w:b/>
          <w:bCs w:val="0"/>
          <w:color w:val="auto"/>
          <w:kern w:val="0"/>
          <w:szCs w:val="21"/>
          <w:highlight w:val="none"/>
          <w:lang w:val="en-US" w:eastAsia="zh-CN"/>
        </w:rPr>
        <w:t>(必须提供)。</w:t>
      </w:r>
    </w:p>
    <w:p w14:paraId="138B22B9">
      <w:pPr>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bCs/>
          <w:color w:val="000000"/>
          <w:kern w:val="0"/>
          <w:sz w:val="21"/>
          <w:szCs w:val="21"/>
          <w:highlight w:val="none"/>
          <w:shd w:val="clear" w:color="auto" w:fill="auto"/>
        </w:rPr>
      </w:pPr>
      <w:r>
        <w:rPr>
          <w:rFonts w:hint="eastAsia" w:ascii="宋体" w:hAnsi="宋体" w:eastAsia="宋体" w:cs="宋体"/>
          <w:b/>
          <w:bCs/>
          <w:color w:val="000000"/>
          <w:kern w:val="0"/>
          <w:sz w:val="21"/>
          <w:szCs w:val="21"/>
          <w:highlight w:val="none"/>
          <w:shd w:val="clear" w:color="auto" w:fill="auto"/>
        </w:rPr>
        <w:t>11.2.1.2符合性响应证明材料：</w:t>
      </w:r>
    </w:p>
    <w:p w14:paraId="5D3BF198">
      <w:pPr>
        <w:spacing w:line="360" w:lineRule="auto"/>
        <w:ind w:firstLine="420" w:firstLineChars="200"/>
        <w:rPr>
          <w:rFonts w:hint="eastAsia" w:ascii="宋体" w:hAnsi="宋体" w:eastAsia="宋体" w:cs="宋体"/>
          <w:color w:val="auto"/>
          <w:szCs w:val="21"/>
          <w:highlight w:val="none"/>
        </w:rPr>
      </w:pPr>
      <w:bookmarkStart w:id="137" w:name="_Toc16312"/>
      <w:bookmarkStart w:id="138" w:name="_Toc28932"/>
      <w:bookmarkStart w:id="139" w:name="_Toc2809"/>
      <w:r>
        <w:rPr>
          <w:rFonts w:hint="eastAsia" w:ascii="宋体" w:hAnsi="宋体" w:eastAsia="宋体" w:cs="宋体"/>
          <w:color w:val="auto"/>
          <w:szCs w:val="21"/>
          <w:highlight w:val="none"/>
        </w:rPr>
        <w:t>（1）响应函（格式见附件）</w:t>
      </w:r>
      <w:r>
        <w:rPr>
          <w:rFonts w:hint="eastAsia" w:ascii="宋体" w:hAnsi="宋体" w:eastAsia="宋体" w:cs="宋体"/>
          <w:b/>
          <w:bCs/>
          <w:color w:val="auto"/>
          <w:szCs w:val="21"/>
          <w:highlight w:val="none"/>
        </w:rPr>
        <w:t>（必须提供）</w:t>
      </w:r>
      <w:bookmarkEnd w:id="137"/>
      <w:r>
        <w:rPr>
          <w:rFonts w:hint="eastAsia" w:ascii="宋体" w:hAnsi="宋体" w:eastAsia="宋体" w:cs="宋体"/>
          <w:color w:val="auto"/>
          <w:szCs w:val="21"/>
          <w:highlight w:val="none"/>
        </w:rPr>
        <w:t>；</w:t>
      </w:r>
      <w:bookmarkEnd w:id="138"/>
      <w:bookmarkEnd w:id="139"/>
    </w:p>
    <w:p w14:paraId="45DEC7A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Cs/>
          <w:color w:val="auto"/>
          <w:kern w:val="0"/>
          <w:szCs w:val="21"/>
          <w:highlight w:val="none"/>
        </w:rPr>
        <w:t>工程报价汇总表</w:t>
      </w:r>
      <w:r>
        <w:rPr>
          <w:rFonts w:hint="eastAsia" w:ascii="宋体" w:hAnsi="宋体" w:eastAsia="宋体" w:cs="宋体"/>
          <w:color w:val="auto"/>
          <w:szCs w:val="21"/>
          <w:highlight w:val="none"/>
        </w:rPr>
        <w:t>（格式见附件）</w:t>
      </w:r>
      <w:r>
        <w:rPr>
          <w:rFonts w:hint="eastAsia" w:ascii="宋体" w:hAnsi="宋体" w:eastAsia="宋体" w:cs="宋体"/>
          <w:b/>
          <w:bCs/>
          <w:color w:val="auto"/>
          <w:szCs w:val="21"/>
          <w:highlight w:val="none"/>
        </w:rPr>
        <w:t>（必须提供）</w:t>
      </w:r>
      <w:r>
        <w:rPr>
          <w:rFonts w:hint="eastAsia" w:ascii="宋体" w:hAnsi="宋体" w:eastAsia="宋体" w:cs="宋体"/>
          <w:color w:val="auto"/>
          <w:szCs w:val="21"/>
          <w:highlight w:val="none"/>
        </w:rPr>
        <w:t>；</w:t>
      </w:r>
    </w:p>
    <w:p w14:paraId="2BD8B99F">
      <w:pPr>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（3）已标价工程量清单</w:t>
      </w:r>
      <w:r>
        <w:rPr>
          <w:rFonts w:hint="eastAsia" w:ascii="宋体" w:hAnsi="宋体" w:eastAsia="宋体" w:cs="宋体"/>
          <w:b/>
          <w:color w:val="auto"/>
          <w:kern w:val="0"/>
          <w:szCs w:val="21"/>
          <w:highlight w:val="none"/>
        </w:rPr>
        <w:t>（必须提供）</w:t>
      </w:r>
      <w:r>
        <w:rPr>
          <w:rFonts w:hint="eastAsia" w:ascii="宋体" w:hAnsi="宋体" w:eastAsia="宋体" w:cs="宋体"/>
          <w:bCs/>
          <w:color w:val="auto"/>
          <w:kern w:val="0"/>
          <w:szCs w:val="21"/>
          <w:highlight w:val="none"/>
        </w:rPr>
        <w:t>；</w:t>
      </w:r>
    </w:p>
    <w:p w14:paraId="356FFD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（4）拟投入本工程主要管理人员表</w:t>
      </w:r>
      <w:r>
        <w:rPr>
          <w:rFonts w:hint="eastAsia" w:ascii="宋体" w:hAnsi="宋体" w:eastAsia="宋体" w:cs="宋体"/>
          <w:b/>
          <w:bCs/>
          <w:color w:val="auto"/>
          <w:szCs w:val="21"/>
          <w:highlight w:val="none"/>
        </w:rPr>
        <w:t>（必须提供)</w:t>
      </w:r>
      <w:r>
        <w:rPr>
          <w:rFonts w:hint="eastAsia" w:ascii="宋体" w:hAnsi="宋体" w:eastAsia="宋体" w:cs="宋体"/>
          <w:color w:val="auto"/>
          <w:szCs w:val="21"/>
          <w:highlight w:val="none"/>
        </w:rPr>
        <w:t>；</w:t>
      </w:r>
    </w:p>
    <w:p w14:paraId="3120DE90">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并一起提供由县级以上（含县级）社会养老保险经办机构出具的供应商为项目实施人员交纳的响应文件递交截止时间前半年内任意连续三个月社保证明复印件，</w:t>
      </w:r>
      <w:r>
        <w:rPr>
          <w:rFonts w:hint="eastAsia" w:ascii="宋体" w:hAnsi="宋体" w:eastAsia="宋体" w:cs="宋体"/>
          <w:color w:val="auto"/>
          <w:szCs w:val="21"/>
          <w:highlight w:val="none"/>
        </w:rPr>
        <w:t>除供应商为以下三种情形的：</w:t>
      </w:r>
    </w:p>
    <w:p w14:paraId="0DEADF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①如供应商为截标时间前60日以内成立的公司，可以提供供应商与委托代理人签订的劳动合同复印件代替社保证明复印件；</w:t>
      </w:r>
    </w:p>
    <w:p w14:paraId="6BCDA3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②如供应商为事业单位，可以提供事业单位机构编制管理证复印件或事业单位机构为其发放工资的工资条复印件代替社保证明复印件；</w:t>
      </w:r>
    </w:p>
    <w:p w14:paraId="68108747">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③如委托代理人为免缴纳社保人员，提供免缴纳社保的证明材料复印件及供应商与委托代理人签订的劳动合同复印件代替社保证明复印件。</w:t>
      </w:r>
    </w:p>
    <w:p w14:paraId="00E6FF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bCs/>
          <w:color w:val="auto"/>
          <w:kern w:val="0"/>
          <w:szCs w:val="21"/>
          <w:highlight w:val="none"/>
        </w:rPr>
        <w:t>担任本工程的项目经理简历表（应附相关证书、身份证复印件）</w:t>
      </w:r>
      <w:r>
        <w:rPr>
          <w:rFonts w:hint="eastAsia" w:ascii="宋体" w:hAnsi="宋体" w:eastAsia="宋体" w:cs="宋体"/>
          <w:b/>
          <w:bCs/>
          <w:color w:val="auto"/>
          <w:szCs w:val="21"/>
          <w:highlight w:val="none"/>
        </w:rPr>
        <w:t>（必须提供）</w:t>
      </w:r>
      <w:r>
        <w:rPr>
          <w:rFonts w:hint="eastAsia" w:ascii="宋体" w:hAnsi="宋体" w:eastAsia="宋体" w:cs="宋体"/>
          <w:color w:val="auto"/>
          <w:szCs w:val="21"/>
          <w:highlight w:val="none"/>
        </w:rPr>
        <w:t>；</w:t>
      </w:r>
    </w:p>
    <w:p w14:paraId="486428D4">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bCs/>
          <w:color w:val="auto"/>
          <w:kern w:val="0"/>
          <w:szCs w:val="21"/>
          <w:highlight w:val="none"/>
        </w:rPr>
        <w:t>施工组织方案</w:t>
      </w:r>
      <w:r>
        <w:rPr>
          <w:rFonts w:hint="eastAsia" w:ascii="宋体" w:hAnsi="宋体" w:eastAsia="宋体" w:cs="宋体"/>
          <w:b/>
          <w:bCs/>
          <w:color w:val="auto"/>
          <w:szCs w:val="21"/>
          <w:highlight w:val="none"/>
        </w:rPr>
        <w:t>（必须提供）</w:t>
      </w:r>
      <w:r>
        <w:rPr>
          <w:rFonts w:hint="eastAsia" w:ascii="宋体" w:hAnsi="宋体" w:eastAsia="宋体" w:cs="宋体"/>
          <w:color w:val="auto"/>
          <w:szCs w:val="21"/>
          <w:highlight w:val="none"/>
        </w:rPr>
        <w:t>；</w:t>
      </w:r>
    </w:p>
    <w:p w14:paraId="2C03ED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bCs/>
          <w:color w:val="auto"/>
          <w:kern w:val="0"/>
          <w:szCs w:val="21"/>
          <w:highlight w:val="none"/>
        </w:rPr>
        <w:t>工程完工服务承诺书</w:t>
      </w:r>
      <w:r>
        <w:rPr>
          <w:rFonts w:hint="eastAsia" w:ascii="宋体" w:hAnsi="宋体" w:eastAsia="宋体" w:cs="宋体"/>
          <w:b/>
          <w:bCs/>
          <w:color w:val="auto"/>
          <w:szCs w:val="21"/>
          <w:highlight w:val="none"/>
        </w:rPr>
        <w:t>（必须提供）</w:t>
      </w:r>
      <w:r>
        <w:rPr>
          <w:rFonts w:hint="eastAsia" w:ascii="宋体" w:hAnsi="宋体" w:eastAsia="宋体" w:cs="宋体"/>
          <w:color w:val="auto"/>
          <w:szCs w:val="21"/>
          <w:highlight w:val="none"/>
        </w:rPr>
        <w:t>；</w:t>
      </w:r>
    </w:p>
    <w:p w14:paraId="6514D5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bCs/>
          <w:color w:val="auto"/>
          <w:kern w:val="0"/>
          <w:szCs w:val="21"/>
          <w:highlight w:val="none"/>
        </w:rPr>
        <w:t>农民工工资保障金交纳与使用承诺书</w:t>
      </w:r>
      <w:r>
        <w:rPr>
          <w:rFonts w:hint="eastAsia" w:ascii="宋体" w:hAnsi="宋体" w:eastAsia="宋体" w:cs="宋体"/>
          <w:b/>
          <w:bCs/>
          <w:color w:val="auto"/>
          <w:szCs w:val="21"/>
          <w:highlight w:val="none"/>
        </w:rPr>
        <w:t>（必须提供）</w:t>
      </w:r>
      <w:r>
        <w:rPr>
          <w:rFonts w:hint="eastAsia" w:ascii="宋体" w:hAnsi="宋体" w:eastAsia="宋体" w:cs="宋体"/>
          <w:color w:val="auto"/>
          <w:szCs w:val="21"/>
          <w:highlight w:val="none"/>
        </w:rPr>
        <w:t>；</w:t>
      </w:r>
    </w:p>
    <w:p w14:paraId="6BACFDF2">
      <w:pPr>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（9）城乡清洁工程渣土清运承诺书</w:t>
      </w:r>
      <w:r>
        <w:rPr>
          <w:rFonts w:hint="eastAsia" w:ascii="宋体" w:hAnsi="宋体" w:eastAsia="宋体" w:cs="宋体"/>
          <w:b/>
          <w:bCs/>
          <w:color w:val="auto"/>
          <w:szCs w:val="21"/>
          <w:highlight w:val="none"/>
        </w:rPr>
        <w:t>（必须提供）</w:t>
      </w:r>
      <w:r>
        <w:rPr>
          <w:rFonts w:hint="eastAsia" w:ascii="宋体" w:hAnsi="宋体" w:eastAsia="宋体" w:cs="宋体"/>
          <w:bCs/>
          <w:color w:val="auto"/>
          <w:kern w:val="0"/>
          <w:szCs w:val="21"/>
          <w:highlight w:val="none"/>
        </w:rPr>
        <w:t>。</w:t>
      </w:r>
    </w:p>
    <w:p w14:paraId="4143F49A">
      <w:pPr>
        <w:pStyle w:val="35"/>
        <w:spacing w:line="360" w:lineRule="auto"/>
        <w:ind w:left="0" w:leftChars="0" w:firstLine="42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11.2.1.3其他有效证明材料</w:t>
      </w:r>
    </w:p>
    <w:p w14:paraId="73B862B1">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供应商20</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eastAsia="zh-CN"/>
        </w:rPr>
        <w:t>年1月1日以来具有同类项目</w:t>
      </w:r>
      <w:r>
        <w:rPr>
          <w:rFonts w:hint="eastAsia" w:ascii="宋体" w:hAnsi="宋体" w:eastAsia="宋体" w:cs="宋体"/>
          <w:color w:val="auto"/>
          <w:szCs w:val="21"/>
          <w:highlight w:val="none"/>
        </w:rPr>
        <w:t>的业绩相关证明材料（无不良记录，以中标、成交通知书或签订的合同为准，并能清晰反映</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的名称、</w:t>
      </w:r>
      <w:r>
        <w:rPr>
          <w:rFonts w:hint="eastAsia" w:ascii="宋体" w:hAnsi="宋体" w:eastAsia="宋体" w:cs="宋体"/>
          <w:color w:val="auto"/>
          <w:szCs w:val="21"/>
          <w:highlight w:val="none"/>
          <w:lang w:eastAsia="zh-CN"/>
        </w:rPr>
        <w:t>采购内容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金额</w:t>
      </w:r>
      <w:r>
        <w:rPr>
          <w:rFonts w:hint="eastAsia" w:ascii="宋体" w:hAnsi="宋体" w:eastAsia="宋体" w:cs="宋体"/>
          <w:color w:val="auto"/>
          <w:szCs w:val="21"/>
          <w:highlight w:val="none"/>
          <w:lang w:eastAsia="zh-CN"/>
        </w:rPr>
        <w:t>、采购时间</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（如有，请提供）；</w:t>
      </w:r>
      <w:r>
        <w:rPr>
          <w:rFonts w:hint="eastAsia" w:ascii="宋体" w:hAnsi="宋体" w:eastAsia="宋体" w:cs="宋体"/>
          <w:b/>
          <w:bCs/>
          <w:color w:val="auto"/>
          <w:szCs w:val="21"/>
          <w:highlight w:val="none"/>
          <w:lang w:val="en-US" w:eastAsia="zh-CN"/>
        </w:rPr>
        <w:t xml:space="preserve"> </w:t>
      </w:r>
    </w:p>
    <w:p w14:paraId="651C60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）供应商可结合本项目的评审办法视自身情况自行提交其它相关证明材料。</w:t>
      </w:r>
    </w:p>
    <w:p w14:paraId="0B147992">
      <w:pPr>
        <w:spacing w:line="360" w:lineRule="auto"/>
        <w:ind w:firstLine="42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供应商</w:t>
      </w:r>
      <w:r>
        <w:rPr>
          <w:rFonts w:hint="eastAsia" w:ascii="宋体" w:hAnsi="宋体" w:eastAsia="宋体" w:cs="宋体"/>
          <w:b/>
          <w:bCs/>
          <w:color w:val="auto"/>
          <w:highlight w:val="none"/>
        </w:rPr>
        <w:t>提供的以上相关证明材料属于“必须提供”的文件应加盖磋商供应商CA签章，否则响应无效。</w:t>
      </w:r>
    </w:p>
    <w:p w14:paraId="51676200">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11.3 供应商应按竞争性磋商文件第八章“响应文件（格式）”编制响应文件。</w:t>
      </w:r>
    </w:p>
    <w:p w14:paraId="05015235">
      <w:pPr>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bCs/>
          <w:color w:val="000000"/>
          <w:sz w:val="21"/>
          <w:szCs w:val="21"/>
          <w:highlight w:val="none"/>
          <w:shd w:val="clear" w:color="auto" w:fill="auto"/>
        </w:rPr>
      </w:pPr>
      <w:r>
        <w:rPr>
          <w:rFonts w:hint="eastAsia" w:ascii="宋体" w:hAnsi="宋体" w:eastAsia="宋体" w:cs="宋体"/>
          <w:b/>
          <w:bCs/>
          <w:color w:val="000000"/>
          <w:sz w:val="21"/>
          <w:szCs w:val="21"/>
          <w:highlight w:val="none"/>
          <w:shd w:val="clear" w:color="auto" w:fill="auto"/>
        </w:rPr>
        <w:t>特别说明：</w:t>
      </w:r>
    </w:p>
    <w:p w14:paraId="272B5E37">
      <w:pPr>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color w:val="000000"/>
          <w:sz w:val="21"/>
          <w:szCs w:val="21"/>
          <w:highlight w:val="none"/>
          <w:shd w:val="clear" w:color="auto" w:fill="auto"/>
        </w:rPr>
      </w:pPr>
      <w:r>
        <w:rPr>
          <w:rFonts w:hint="eastAsia" w:ascii="宋体" w:hAnsi="宋体" w:eastAsia="宋体" w:cs="宋体"/>
          <w:b/>
          <w:bCs/>
          <w:color w:val="000000"/>
          <w:sz w:val="21"/>
          <w:szCs w:val="21"/>
          <w:highlight w:val="none"/>
          <w:shd w:val="clear" w:color="auto" w:fill="auto"/>
        </w:rPr>
        <w:t>（1）响</w:t>
      </w:r>
      <w:r>
        <w:rPr>
          <w:rFonts w:hint="eastAsia" w:ascii="宋体" w:hAnsi="宋体" w:eastAsia="宋体" w:cs="宋体"/>
          <w:b/>
          <w:color w:val="000000"/>
          <w:sz w:val="21"/>
          <w:szCs w:val="21"/>
          <w:highlight w:val="none"/>
          <w:shd w:val="clear" w:color="auto" w:fill="auto"/>
        </w:rPr>
        <w:t>应文件（电子响应文件），其中电子响应文件中所须加盖公章部分均采用CA签章。若磋商文件中有专门标注的某关联点，并要求供应商在电子响应系统中作出磋商响应的，如供应商未对关联点进行响应或者在响应文件其它内容进行描述，造成电子评审不能查询的责任由供应商自行承担。</w:t>
      </w:r>
    </w:p>
    <w:p w14:paraId="7D360614">
      <w:pPr>
        <w:pageBreakBefore w:val="0"/>
        <w:widowControl w:val="0"/>
        <w:numPr>
          <w:ilvl w:val="0"/>
          <w:numId w:val="2"/>
        </w:numPr>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color w:val="000000"/>
          <w:sz w:val="21"/>
          <w:szCs w:val="21"/>
          <w:highlight w:val="none"/>
          <w:shd w:val="clear" w:color="auto" w:fill="auto"/>
        </w:rPr>
      </w:pPr>
      <w:r>
        <w:rPr>
          <w:rFonts w:hint="eastAsia" w:ascii="宋体" w:hAnsi="宋体" w:eastAsia="宋体" w:cs="宋体"/>
          <w:b/>
          <w:bCs/>
          <w:color w:val="000000"/>
          <w:sz w:val="21"/>
          <w:szCs w:val="21"/>
          <w:highlight w:val="none"/>
          <w:shd w:val="clear" w:color="auto" w:fill="auto"/>
        </w:rPr>
        <w:t>磋商文件要求法定代表人（负责人）或委托代理人签字的部分必须签字然后扫描或者拍照做成.pdf格式上传（签字可以以加盖个人CA签章代替），无签字的视为响应无效。</w:t>
      </w:r>
    </w:p>
    <w:p w14:paraId="26ABA9FC">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bookmarkStart w:id="140" w:name="_Toc13916"/>
      <w:bookmarkStart w:id="141" w:name="_Toc2180"/>
      <w:bookmarkStart w:id="142" w:name="_Toc20919"/>
      <w:r>
        <w:rPr>
          <w:rFonts w:hint="eastAsia" w:ascii="宋体" w:hAnsi="宋体" w:eastAsia="宋体" w:cs="宋体"/>
          <w:color w:val="000000"/>
          <w:sz w:val="21"/>
          <w:szCs w:val="21"/>
          <w:highlight w:val="none"/>
          <w:shd w:val="clear" w:color="auto" w:fill="auto"/>
        </w:rPr>
        <w:t>12. 响应文件的语言及计量</w:t>
      </w:r>
      <w:bookmarkEnd w:id="140"/>
      <w:bookmarkEnd w:id="141"/>
      <w:bookmarkEnd w:id="142"/>
    </w:p>
    <w:p w14:paraId="24BAA0F6">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14:paraId="3B338DB4">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12.2 磋商计量单位，磋商文件已有明确规定的，使用磋商文件规定的计量单位；磋商文件没有规定的，应采用中华人民共和国法定计量单位（货币单位：人民币元），否则视同未响应。</w:t>
      </w:r>
    </w:p>
    <w:p w14:paraId="0FC90D29">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bookmarkStart w:id="143" w:name="_Toc19558"/>
      <w:bookmarkStart w:id="144" w:name="_Toc5165"/>
      <w:bookmarkStart w:id="145" w:name="_Toc10838"/>
      <w:r>
        <w:rPr>
          <w:rFonts w:hint="eastAsia" w:ascii="宋体" w:hAnsi="宋体" w:eastAsia="宋体" w:cs="宋体"/>
          <w:color w:val="000000"/>
          <w:sz w:val="21"/>
          <w:szCs w:val="21"/>
          <w:highlight w:val="none"/>
          <w:shd w:val="clear" w:color="auto" w:fill="auto"/>
        </w:rPr>
        <w:t>13. 磋商报价及采购预算金额</w:t>
      </w:r>
      <w:bookmarkEnd w:id="143"/>
      <w:bookmarkEnd w:id="144"/>
      <w:bookmarkEnd w:id="145"/>
      <w:bookmarkStart w:id="146" w:name="_Toc26881"/>
      <w:bookmarkStart w:id="147" w:name="_Toc25020"/>
      <w:bookmarkStart w:id="148" w:name="_Toc11881"/>
    </w:p>
    <w:p w14:paraId="0AC7FF2E">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sz w:val="21"/>
          <w:szCs w:val="21"/>
          <w:highlight w:val="none"/>
          <w:shd w:val="clear" w:color="auto" w:fill="auto"/>
        </w:rPr>
        <w:t xml:space="preserve">13.1 </w:t>
      </w:r>
      <w:r>
        <w:rPr>
          <w:rFonts w:hint="eastAsia" w:ascii="宋体" w:hAnsi="宋体" w:eastAsia="宋体" w:cs="宋体"/>
          <w:color w:val="000000"/>
          <w:kern w:val="0"/>
          <w:sz w:val="21"/>
          <w:szCs w:val="21"/>
          <w:highlight w:val="none"/>
          <w:shd w:val="clear" w:color="auto" w:fill="auto"/>
        </w:rPr>
        <w:t>本工程总造价</w:t>
      </w:r>
      <w:r>
        <w:rPr>
          <w:rFonts w:hint="eastAsia" w:ascii="宋体" w:hAnsi="宋体" w:eastAsia="宋体" w:cs="宋体"/>
          <w:color w:val="000000"/>
          <w:kern w:val="0"/>
          <w:sz w:val="21"/>
          <w:szCs w:val="21"/>
          <w:highlight w:val="none"/>
          <w:shd w:val="clear" w:color="auto" w:fill="auto"/>
          <w:lang w:eastAsia="zh-CN"/>
        </w:rPr>
        <w:t>：</w:t>
      </w:r>
      <w:r>
        <w:rPr>
          <w:rFonts w:hint="eastAsia" w:ascii="宋体" w:hAnsi="宋体" w:eastAsia="宋体" w:cs="宋体"/>
          <w:b w:val="0"/>
          <w:color w:val="000000"/>
          <w:sz w:val="21"/>
          <w:szCs w:val="21"/>
          <w:highlight w:val="none"/>
          <w:shd w:val="clear" w:color="auto" w:fill="auto"/>
        </w:rPr>
        <w:t>详见供应商须知前附表</w:t>
      </w:r>
      <w:r>
        <w:rPr>
          <w:rFonts w:hint="eastAsia" w:ascii="宋体" w:hAnsi="宋体" w:eastAsia="宋体" w:cs="宋体"/>
          <w:color w:val="000000"/>
          <w:kern w:val="0"/>
          <w:sz w:val="21"/>
          <w:szCs w:val="21"/>
          <w:highlight w:val="none"/>
          <w:shd w:val="clear" w:color="auto" w:fill="auto"/>
        </w:rPr>
        <w:t>。</w:t>
      </w:r>
    </w:p>
    <w:p w14:paraId="1F9EBB5F">
      <w:pPr>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 xml:space="preserve">    本工程最高磋商限价</w:t>
      </w:r>
      <w:r>
        <w:rPr>
          <w:rFonts w:hint="eastAsia" w:ascii="宋体" w:hAnsi="宋体" w:eastAsia="宋体" w:cs="宋体"/>
          <w:b w:val="0"/>
          <w:color w:val="000000"/>
          <w:sz w:val="21"/>
          <w:szCs w:val="21"/>
          <w:highlight w:val="none"/>
          <w:shd w:val="clear" w:color="auto" w:fill="auto"/>
        </w:rPr>
        <w:t>详见供应商须知前附表</w:t>
      </w:r>
      <w:r>
        <w:rPr>
          <w:rFonts w:hint="eastAsia" w:ascii="宋体" w:hAnsi="宋体" w:eastAsia="宋体" w:cs="宋体"/>
          <w:color w:val="000000"/>
          <w:kern w:val="0"/>
          <w:sz w:val="21"/>
          <w:szCs w:val="21"/>
          <w:highlight w:val="none"/>
          <w:shd w:val="clear" w:color="auto" w:fill="auto"/>
        </w:rPr>
        <w:t>。</w:t>
      </w:r>
    </w:p>
    <w:p w14:paraId="47902C19">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13.2供应商必须就“工程量清单”中所有内容作完整报价，否则，其响应文件无效。</w:t>
      </w:r>
    </w:p>
    <w:p w14:paraId="3DFB4723">
      <w:pPr>
        <w:pageBreakBefore w:val="0"/>
        <w:widowControl w:val="0"/>
        <w:tabs>
          <w:tab w:val="left" w:pos="1305"/>
        </w:tabs>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13.3 供应商磋商报价应综合考虑工程总造价（包含提供本次工程范围的所有成本、税金、利润等），报价不得超出最高磋商总价限价。</w:t>
      </w:r>
    </w:p>
    <w:p w14:paraId="05AADA73">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13.4供应商应在规定时间内在</w:t>
      </w:r>
      <w:r>
        <w:rPr>
          <w:rFonts w:hint="eastAsia" w:ascii="宋体" w:hAnsi="宋体" w:eastAsia="宋体" w:cs="宋体"/>
          <w:color w:val="000000"/>
          <w:sz w:val="21"/>
          <w:szCs w:val="21"/>
          <w:highlight w:val="none"/>
          <w:shd w:val="clear" w:color="auto" w:fill="auto"/>
          <w:lang w:eastAsia="zh-CN"/>
        </w:rPr>
        <w:t>广西政府采购云平台</w:t>
      </w:r>
      <w:r>
        <w:rPr>
          <w:rFonts w:hint="eastAsia" w:ascii="宋体" w:hAnsi="宋体" w:eastAsia="宋体" w:cs="宋体"/>
          <w:color w:val="000000"/>
          <w:sz w:val="21"/>
          <w:szCs w:val="21"/>
          <w:highlight w:val="none"/>
          <w:shd w:val="clear" w:color="auto" w:fill="auto"/>
        </w:rPr>
        <w:t>系统上提交最后报价，超出磋商小组设定的最后报价时限或其最后报价超出最高限价导致已通过评审的响应文件无效的，按供应商在提交响应文件截止时间后撤回响应文件处理。</w:t>
      </w:r>
    </w:p>
    <w:p w14:paraId="7DB02406">
      <w:pPr>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color w:val="000000"/>
          <w:kern w:val="0"/>
          <w:sz w:val="21"/>
          <w:szCs w:val="21"/>
          <w:highlight w:val="none"/>
          <w:shd w:val="clear" w:color="auto" w:fill="auto"/>
          <w:lang w:val="en-US" w:eastAsia="zh-CN" w:bidi="ar-SA"/>
        </w:rPr>
      </w:pPr>
      <w:r>
        <w:rPr>
          <w:rFonts w:hint="eastAsia" w:ascii="宋体" w:hAnsi="宋体" w:eastAsia="宋体" w:cs="宋体"/>
          <w:b/>
          <w:color w:val="000000"/>
          <w:kern w:val="0"/>
          <w:sz w:val="21"/>
          <w:szCs w:val="21"/>
          <w:highlight w:val="none"/>
          <w:shd w:val="clear" w:color="auto" w:fill="auto"/>
          <w:lang w:val="en-US" w:eastAsia="zh-CN" w:bidi="ar-SA"/>
        </w:rPr>
        <w:t xml:space="preserve">注：供应商的第二次磋商报价不得高于该供应商第一次磋商报价，否则做无效标处理。如供应商维持磋商报价不变，以原磋商报价作为供应商最后报价；如供应商需要改变原磋商报价时，供应商应预先准备好调整后的已标价的工程量清单（在提交最后报价时以附件形式上传）。如供应商在磋商过程中，改变原报价且未按竞争性磋商文件要求提供调整后的已标价的工程量清单，其报价不予认可，视供应商维持原磋商报价不变。 </w:t>
      </w:r>
    </w:p>
    <w:p w14:paraId="6E45D1B5">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14. 响应文件有效期</w:t>
      </w:r>
      <w:bookmarkEnd w:id="146"/>
      <w:bookmarkEnd w:id="147"/>
      <w:bookmarkEnd w:id="148"/>
    </w:p>
    <w:p w14:paraId="4857677A">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14.1 响应文件有效期：响应文件递交截止时间之日起90天，有效期不足的响应文件将被拒绝。</w:t>
      </w:r>
    </w:p>
    <w:p w14:paraId="2D613026">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14.2 出现特殊情况下，需要延长响应文件有效期的，采购代理机构书面通知供应商延长响应文件有效期。供应商同意延长的，但不能修改响应文件。供应商拒绝延长的，其响应文件无效。</w:t>
      </w:r>
    </w:p>
    <w:p w14:paraId="78D66A34">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bookmarkStart w:id="149" w:name="_Toc31274"/>
      <w:bookmarkStart w:id="150" w:name="_Toc22602"/>
      <w:bookmarkStart w:id="151" w:name="_Toc30637"/>
      <w:r>
        <w:rPr>
          <w:rFonts w:hint="eastAsia" w:ascii="宋体" w:hAnsi="宋体" w:eastAsia="宋体" w:cs="宋体"/>
          <w:color w:val="000000"/>
          <w:sz w:val="21"/>
          <w:szCs w:val="21"/>
          <w:highlight w:val="none"/>
          <w:shd w:val="clear" w:color="auto" w:fill="auto"/>
        </w:rPr>
        <w:t>15. 保证金</w:t>
      </w:r>
      <w:bookmarkEnd w:id="149"/>
      <w:bookmarkEnd w:id="150"/>
      <w:bookmarkEnd w:id="151"/>
    </w:p>
    <w:p w14:paraId="5A9481A8">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b/>
          <w:bCs/>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本项目无需交纳磋商保证金。</w:t>
      </w:r>
    </w:p>
    <w:p w14:paraId="75AF5216">
      <w:pPr>
        <w:pStyle w:val="5"/>
        <w:widowControl w:val="0"/>
        <w:spacing w:before="0" w:after="0" w:line="360" w:lineRule="auto"/>
        <w:ind w:firstLine="422" w:firstLineChars="200"/>
        <w:rPr>
          <w:rFonts w:hint="eastAsia" w:ascii="宋体" w:hAnsi="宋体" w:eastAsia="宋体" w:cs="宋体"/>
          <w:color w:val="auto"/>
          <w:sz w:val="21"/>
          <w:szCs w:val="21"/>
          <w:highlight w:val="none"/>
        </w:rPr>
      </w:pPr>
      <w:bookmarkStart w:id="152" w:name="_Toc387"/>
      <w:bookmarkStart w:id="153" w:name="_Toc30118"/>
      <w:bookmarkStart w:id="154" w:name="_Toc26908"/>
      <w:bookmarkStart w:id="155" w:name="_Toc12"/>
      <w:r>
        <w:rPr>
          <w:rFonts w:hint="eastAsia" w:ascii="宋体" w:hAnsi="宋体" w:eastAsia="宋体" w:cs="宋体"/>
          <w:color w:val="auto"/>
          <w:sz w:val="21"/>
          <w:szCs w:val="21"/>
          <w:highlight w:val="none"/>
        </w:rPr>
        <w:t>16. 竞争性磋商响应文件的</w:t>
      </w:r>
      <w:bookmarkEnd w:id="152"/>
      <w:r>
        <w:rPr>
          <w:rFonts w:hint="eastAsia" w:ascii="宋体" w:hAnsi="宋体" w:eastAsia="宋体" w:cs="宋体"/>
          <w:color w:val="auto"/>
          <w:sz w:val="21"/>
          <w:szCs w:val="21"/>
          <w:highlight w:val="none"/>
        </w:rPr>
        <w:t>制作</w:t>
      </w:r>
      <w:bookmarkEnd w:id="153"/>
    </w:p>
    <w:p w14:paraId="6EFC1E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 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14:paraId="21407F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供应商法人（负责人）或授权代表持有广西政府采购云平台个人CA签章的，应在响应文件中涉及到签字的位置使用个人CA签章，没有办理广西政府采购云平台个人CA签章的可在响应文件中涉及到签字的位置手写签字后扫描或者拍照做成 PDF 的格式上传即可。</w:t>
      </w:r>
    </w:p>
    <w:p w14:paraId="5E92CB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 磋商响应文件不得涂改，若有修改错漏处，须法定代表人（负责人）或授权委托人签字（或个人CA签章）。磋商响应文件因字迹潦草或表达不清所引起的后果由供应商负责。</w:t>
      </w:r>
    </w:p>
    <w:p w14:paraId="1EB6F5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16.4磋商前准备 </w:t>
      </w:r>
    </w:p>
    <w:p w14:paraId="691F6A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16.4.1本项目实行在线磋商，采用电子磋商响应文件。若供应商参与磋商，自行承担磋商一切费用。 </w:t>
      </w:r>
    </w:p>
    <w:p w14:paraId="6B82A4A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16.4.2各供应商应在截标前应确保成为广西政府采购云平台正式注册入库供应商，并完成 CA 数字证书申领。因未注册入库、未办理 CA 数字证书等原因造成无法磋商或磋商失败等后果由供应商自行承担。 </w:t>
      </w:r>
    </w:p>
    <w:p w14:paraId="2E8E93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16.4.3供应商将广西政府采购云平台电子交易客户端下载、安装完成后，可通过账号密码或 CA 登录客户端进行响应文件制作。客户端请至网站下载专区查看，如有问题可拨打广西政府采购云平台客户服务热线 95763 进行咨询。</w:t>
      </w:r>
    </w:p>
    <w:p w14:paraId="2339D6A1">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17. 响应文件的修改和撤回</w:t>
      </w:r>
      <w:bookmarkEnd w:id="154"/>
      <w:bookmarkEnd w:id="155"/>
    </w:p>
    <w:p w14:paraId="2C7CE3CD">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17.1 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12D44C01">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17.2 在响应文件递交截止时间后的响应文件有效期内，供应商不得撤回其响应文件。</w:t>
      </w:r>
    </w:p>
    <w:p w14:paraId="71AF58E4">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bookmarkStart w:id="156" w:name="_Toc26434"/>
      <w:bookmarkStart w:id="157" w:name="_Toc30156"/>
      <w:bookmarkStart w:id="158" w:name="_Toc10164"/>
      <w:r>
        <w:rPr>
          <w:rFonts w:hint="eastAsia" w:ascii="宋体" w:hAnsi="宋体" w:eastAsia="宋体" w:cs="宋体"/>
          <w:color w:val="000000"/>
          <w:sz w:val="21"/>
          <w:szCs w:val="21"/>
          <w:highlight w:val="none"/>
          <w:shd w:val="clear" w:color="auto" w:fill="auto"/>
        </w:rPr>
        <w:t>18. 响应文件的递交和解密</w:t>
      </w:r>
      <w:bookmarkEnd w:id="156"/>
      <w:bookmarkEnd w:id="157"/>
      <w:bookmarkEnd w:id="158"/>
    </w:p>
    <w:p w14:paraId="0DA5C613">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18.1响应文件递交截止时间：于</w:t>
      </w:r>
      <w:r>
        <w:rPr>
          <w:rFonts w:hint="eastAsia" w:ascii="宋体" w:hAnsi="宋体" w:eastAsia="宋体" w:cs="宋体"/>
          <w:color w:val="000000"/>
          <w:sz w:val="21"/>
          <w:szCs w:val="21"/>
          <w:highlight w:val="none"/>
          <w:u w:val="single"/>
          <w:shd w:val="clear" w:color="auto" w:fill="auto"/>
          <w:lang w:eastAsia="zh-CN"/>
        </w:rPr>
        <w:t>2025年</w:t>
      </w:r>
      <w:r>
        <w:rPr>
          <w:rFonts w:hint="eastAsia" w:ascii="宋体" w:hAnsi="宋体" w:eastAsia="宋体" w:cs="宋体"/>
          <w:color w:val="000000"/>
          <w:sz w:val="21"/>
          <w:szCs w:val="21"/>
          <w:highlight w:val="none"/>
          <w:u w:val="single"/>
          <w:shd w:val="clear" w:color="auto" w:fill="auto"/>
          <w:lang w:val="en-US" w:eastAsia="zh-CN"/>
        </w:rPr>
        <w:t xml:space="preserve">7 </w:t>
      </w:r>
      <w:r>
        <w:rPr>
          <w:rFonts w:hint="eastAsia" w:ascii="宋体" w:hAnsi="宋体" w:eastAsia="宋体" w:cs="宋体"/>
          <w:color w:val="000000"/>
          <w:sz w:val="21"/>
          <w:szCs w:val="21"/>
          <w:highlight w:val="none"/>
          <w:u w:val="single"/>
          <w:shd w:val="clear" w:color="auto" w:fill="auto"/>
          <w:lang w:eastAsia="zh-CN"/>
        </w:rPr>
        <w:t>月</w:t>
      </w:r>
      <w:r>
        <w:rPr>
          <w:rFonts w:hint="eastAsia" w:ascii="宋体" w:hAnsi="宋体" w:eastAsia="宋体" w:cs="宋体"/>
          <w:color w:val="000000"/>
          <w:sz w:val="21"/>
          <w:szCs w:val="21"/>
          <w:highlight w:val="none"/>
          <w:u w:val="single"/>
          <w:shd w:val="clear" w:color="auto" w:fill="auto"/>
          <w:lang w:val="en-US" w:eastAsia="zh-CN"/>
        </w:rPr>
        <w:t xml:space="preserve"> </w:t>
      </w:r>
      <w:r>
        <w:rPr>
          <w:rFonts w:hint="eastAsia" w:ascii="宋体" w:hAnsi="宋体" w:cs="宋体"/>
          <w:color w:val="000000"/>
          <w:sz w:val="21"/>
          <w:szCs w:val="21"/>
          <w:highlight w:val="none"/>
          <w:u w:val="single"/>
          <w:shd w:val="clear" w:color="auto" w:fill="auto"/>
          <w:lang w:val="en-US" w:eastAsia="zh-CN"/>
        </w:rPr>
        <w:t>25</w:t>
      </w:r>
      <w:r>
        <w:rPr>
          <w:rFonts w:hint="eastAsia" w:ascii="宋体" w:hAnsi="宋体" w:eastAsia="宋体" w:cs="宋体"/>
          <w:color w:val="000000"/>
          <w:sz w:val="21"/>
          <w:szCs w:val="21"/>
          <w:highlight w:val="none"/>
          <w:u w:val="single"/>
          <w:shd w:val="clear" w:color="auto" w:fill="auto"/>
          <w:lang w:val="en-US" w:eastAsia="zh-CN"/>
        </w:rPr>
        <w:t xml:space="preserve"> </w:t>
      </w:r>
      <w:r>
        <w:rPr>
          <w:rFonts w:hint="eastAsia" w:ascii="宋体" w:hAnsi="宋体" w:eastAsia="宋体" w:cs="宋体"/>
          <w:color w:val="000000"/>
          <w:sz w:val="21"/>
          <w:szCs w:val="21"/>
          <w:highlight w:val="none"/>
          <w:u w:val="single"/>
          <w:shd w:val="clear" w:color="auto" w:fill="auto"/>
          <w:lang w:eastAsia="zh-CN"/>
        </w:rPr>
        <w:t>日</w:t>
      </w:r>
      <w:r>
        <w:rPr>
          <w:rFonts w:hint="eastAsia" w:ascii="宋体" w:hAnsi="宋体" w:eastAsia="宋体" w:cs="宋体"/>
          <w:color w:val="000000"/>
          <w:sz w:val="21"/>
          <w:szCs w:val="21"/>
          <w:highlight w:val="none"/>
          <w:u w:val="single"/>
          <w:shd w:val="clear" w:color="auto" w:fill="auto"/>
          <w:lang w:val="en-US" w:eastAsia="zh-CN"/>
        </w:rPr>
        <w:t>09</w:t>
      </w:r>
      <w:r>
        <w:rPr>
          <w:rFonts w:hint="eastAsia" w:ascii="宋体" w:hAnsi="宋体" w:eastAsia="宋体" w:cs="宋体"/>
          <w:color w:val="000000"/>
          <w:sz w:val="21"/>
          <w:szCs w:val="21"/>
          <w:highlight w:val="none"/>
          <w:u w:val="single"/>
          <w:shd w:val="clear" w:color="auto" w:fill="auto"/>
        </w:rPr>
        <w:t>时30分</w:t>
      </w:r>
      <w:r>
        <w:rPr>
          <w:rFonts w:hint="eastAsia" w:ascii="宋体" w:hAnsi="宋体" w:eastAsia="宋体" w:cs="宋体"/>
          <w:color w:val="000000"/>
          <w:sz w:val="21"/>
          <w:szCs w:val="21"/>
          <w:highlight w:val="none"/>
          <w:shd w:val="clear" w:color="auto" w:fill="auto"/>
        </w:rPr>
        <w:t>之前将电子磋商响应文件上传到</w:t>
      </w:r>
      <w:r>
        <w:rPr>
          <w:rFonts w:hint="eastAsia" w:ascii="宋体" w:hAnsi="宋体" w:eastAsia="宋体" w:cs="宋体"/>
          <w:color w:val="000000"/>
          <w:sz w:val="21"/>
          <w:szCs w:val="21"/>
          <w:highlight w:val="none"/>
          <w:shd w:val="clear" w:color="auto" w:fill="auto"/>
          <w:lang w:eastAsia="zh-CN"/>
        </w:rPr>
        <w:t>广西政府采购云平台</w:t>
      </w:r>
      <w:r>
        <w:rPr>
          <w:rFonts w:hint="eastAsia" w:ascii="宋体" w:hAnsi="宋体" w:eastAsia="宋体" w:cs="宋体"/>
          <w:color w:val="000000"/>
          <w:sz w:val="21"/>
          <w:szCs w:val="21"/>
          <w:highlight w:val="none"/>
          <w:shd w:val="clear" w:color="auto" w:fill="auto"/>
        </w:rPr>
        <w:t>。应按照本项目磋商文件和</w:t>
      </w:r>
      <w:r>
        <w:rPr>
          <w:rFonts w:hint="eastAsia" w:ascii="宋体" w:hAnsi="宋体" w:eastAsia="宋体" w:cs="宋体"/>
          <w:color w:val="000000"/>
          <w:sz w:val="21"/>
          <w:szCs w:val="21"/>
          <w:highlight w:val="none"/>
          <w:shd w:val="clear" w:color="auto" w:fill="auto"/>
          <w:lang w:eastAsia="zh-CN"/>
        </w:rPr>
        <w:t>广西政府采购云平台</w:t>
      </w:r>
      <w:r>
        <w:rPr>
          <w:rFonts w:hint="eastAsia" w:ascii="宋体" w:hAnsi="宋体" w:eastAsia="宋体" w:cs="宋体"/>
          <w:color w:val="000000"/>
          <w:sz w:val="21"/>
          <w:szCs w:val="21"/>
          <w:highlight w:val="none"/>
          <w:shd w:val="clear" w:color="auto" w:fill="auto"/>
        </w:rPr>
        <w:t>的要求编制、加密传输磋商响应文件。供应商在使用系统进行响应的过程中遇到涉及平台使用的任何问题，可致电</w:t>
      </w:r>
      <w:r>
        <w:rPr>
          <w:rFonts w:hint="eastAsia" w:ascii="宋体" w:hAnsi="宋体" w:eastAsia="宋体" w:cs="宋体"/>
          <w:color w:val="000000"/>
          <w:sz w:val="21"/>
          <w:szCs w:val="21"/>
          <w:highlight w:val="none"/>
          <w:shd w:val="clear" w:color="auto" w:fill="auto"/>
          <w:lang w:eastAsia="zh-CN"/>
        </w:rPr>
        <w:t>广西政府采购云平台</w:t>
      </w:r>
      <w:r>
        <w:rPr>
          <w:rFonts w:hint="eastAsia" w:ascii="宋体" w:hAnsi="宋体" w:eastAsia="宋体" w:cs="宋体"/>
          <w:color w:val="000000"/>
          <w:sz w:val="21"/>
          <w:szCs w:val="21"/>
          <w:highlight w:val="none"/>
          <w:shd w:val="clear" w:color="auto" w:fill="auto"/>
        </w:rPr>
        <w:t>技术支持热线咨询，联系方式：</w:t>
      </w:r>
      <w:r>
        <w:rPr>
          <w:rFonts w:hint="eastAsia" w:ascii="宋体" w:hAnsi="宋体" w:eastAsia="宋体" w:cs="宋体"/>
          <w:color w:val="000000"/>
          <w:sz w:val="21"/>
          <w:szCs w:val="21"/>
          <w:highlight w:val="none"/>
          <w:shd w:val="clear" w:color="auto" w:fill="auto"/>
          <w:lang w:eastAsia="zh-CN"/>
        </w:rPr>
        <w:t>400-881-7190或95763</w:t>
      </w:r>
      <w:r>
        <w:rPr>
          <w:rFonts w:hint="eastAsia" w:ascii="宋体" w:hAnsi="宋体" w:eastAsia="宋体" w:cs="宋体"/>
          <w:color w:val="000000"/>
          <w:sz w:val="21"/>
          <w:szCs w:val="21"/>
          <w:highlight w:val="none"/>
          <w:shd w:val="clear" w:color="auto" w:fill="auto"/>
        </w:rPr>
        <w:t>。</w:t>
      </w:r>
    </w:p>
    <w:p w14:paraId="6ABFA5A3">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18.2磋商响应文件解密时间：截标时间后</w:t>
      </w:r>
      <w:r>
        <w:rPr>
          <w:rFonts w:hint="eastAsia" w:ascii="宋体" w:hAnsi="宋体" w:eastAsia="宋体" w:cs="宋体"/>
          <w:color w:val="000000"/>
          <w:sz w:val="21"/>
          <w:szCs w:val="21"/>
          <w:highlight w:val="none"/>
          <w:u w:val="single"/>
          <w:shd w:val="clear" w:color="auto" w:fill="auto"/>
        </w:rPr>
        <w:t>30</w:t>
      </w:r>
      <w:r>
        <w:rPr>
          <w:rFonts w:hint="eastAsia" w:ascii="宋体" w:hAnsi="宋体" w:eastAsia="宋体" w:cs="宋体"/>
          <w:color w:val="000000"/>
          <w:sz w:val="21"/>
          <w:szCs w:val="21"/>
          <w:highlight w:val="none"/>
          <w:shd w:val="clear" w:color="auto" w:fill="auto"/>
        </w:rPr>
        <w:t>分钟内（</w:t>
      </w:r>
      <w:r>
        <w:rPr>
          <w:rFonts w:hint="eastAsia" w:ascii="宋体" w:hAnsi="宋体" w:eastAsia="宋体" w:cs="宋体"/>
          <w:color w:val="000000"/>
          <w:sz w:val="21"/>
          <w:szCs w:val="21"/>
          <w:highlight w:val="none"/>
          <w:u w:val="single"/>
          <w:shd w:val="clear" w:color="auto" w:fill="auto"/>
          <w:lang w:eastAsia="zh-CN"/>
        </w:rPr>
        <w:t>2025年</w:t>
      </w:r>
      <w:r>
        <w:rPr>
          <w:rFonts w:hint="eastAsia" w:ascii="宋体" w:hAnsi="宋体" w:eastAsia="宋体" w:cs="宋体"/>
          <w:color w:val="000000"/>
          <w:sz w:val="21"/>
          <w:szCs w:val="21"/>
          <w:highlight w:val="none"/>
          <w:u w:val="single"/>
          <w:shd w:val="clear" w:color="auto" w:fill="auto"/>
          <w:lang w:val="en-US" w:eastAsia="zh-CN"/>
        </w:rPr>
        <w:t xml:space="preserve">7 </w:t>
      </w:r>
      <w:r>
        <w:rPr>
          <w:rFonts w:hint="eastAsia" w:ascii="宋体" w:hAnsi="宋体" w:eastAsia="宋体" w:cs="宋体"/>
          <w:color w:val="000000"/>
          <w:sz w:val="21"/>
          <w:szCs w:val="21"/>
          <w:highlight w:val="none"/>
          <w:u w:val="single"/>
          <w:shd w:val="clear" w:color="auto" w:fill="auto"/>
          <w:lang w:eastAsia="zh-CN"/>
        </w:rPr>
        <w:t>月</w:t>
      </w:r>
      <w:r>
        <w:rPr>
          <w:rFonts w:hint="eastAsia" w:ascii="宋体" w:hAnsi="宋体" w:eastAsia="宋体" w:cs="宋体"/>
          <w:color w:val="000000"/>
          <w:sz w:val="21"/>
          <w:szCs w:val="21"/>
          <w:highlight w:val="none"/>
          <w:u w:val="single"/>
          <w:shd w:val="clear" w:color="auto" w:fill="auto"/>
          <w:lang w:val="en-US" w:eastAsia="zh-CN"/>
        </w:rPr>
        <w:t xml:space="preserve"> </w:t>
      </w:r>
      <w:r>
        <w:rPr>
          <w:rFonts w:hint="eastAsia" w:ascii="宋体" w:hAnsi="宋体" w:cs="宋体"/>
          <w:color w:val="000000"/>
          <w:sz w:val="21"/>
          <w:szCs w:val="21"/>
          <w:highlight w:val="none"/>
          <w:u w:val="single"/>
          <w:shd w:val="clear" w:color="auto" w:fill="auto"/>
          <w:lang w:val="en-US" w:eastAsia="zh-CN"/>
        </w:rPr>
        <w:t>25</w:t>
      </w:r>
      <w:r>
        <w:rPr>
          <w:rFonts w:hint="eastAsia" w:ascii="宋体" w:hAnsi="宋体" w:eastAsia="宋体" w:cs="宋体"/>
          <w:color w:val="000000"/>
          <w:sz w:val="21"/>
          <w:szCs w:val="21"/>
          <w:highlight w:val="none"/>
          <w:u w:val="single"/>
          <w:shd w:val="clear" w:color="auto" w:fill="auto"/>
          <w:lang w:val="en-US" w:eastAsia="zh-CN"/>
        </w:rPr>
        <w:t xml:space="preserve"> </w:t>
      </w:r>
      <w:r>
        <w:rPr>
          <w:rFonts w:hint="eastAsia" w:ascii="宋体" w:hAnsi="宋体" w:eastAsia="宋体" w:cs="宋体"/>
          <w:color w:val="000000"/>
          <w:sz w:val="21"/>
          <w:szCs w:val="21"/>
          <w:highlight w:val="none"/>
          <w:u w:val="single"/>
          <w:shd w:val="clear" w:color="auto" w:fill="auto"/>
          <w:lang w:eastAsia="zh-CN"/>
        </w:rPr>
        <w:t>日</w:t>
      </w:r>
      <w:r>
        <w:rPr>
          <w:rFonts w:hint="eastAsia" w:ascii="宋体" w:hAnsi="宋体" w:eastAsia="宋体" w:cs="宋体"/>
          <w:color w:val="000000"/>
          <w:sz w:val="21"/>
          <w:szCs w:val="21"/>
          <w:highlight w:val="none"/>
          <w:u w:val="single"/>
          <w:shd w:val="clear" w:color="auto" w:fill="auto"/>
          <w:lang w:val="en-US" w:eastAsia="zh-CN"/>
        </w:rPr>
        <w:t>09</w:t>
      </w:r>
      <w:r>
        <w:rPr>
          <w:rFonts w:hint="eastAsia" w:ascii="宋体" w:hAnsi="宋体" w:eastAsia="宋体" w:cs="宋体"/>
          <w:color w:val="000000"/>
          <w:sz w:val="21"/>
          <w:szCs w:val="21"/>
          <w:highlight w:val="none"/>
          <w:u w:val="single"/>
          <w:shd w:val="clear" w:color="auto" w:fill="auto"/>
        </w:rPr>
        <w:t>时30分至1</w:t>
      </w:r>
      <w:r>
        <w:rPr>
          <w:rFonts w:hint="eastAsia" w:ascii="宋体" w:hAnsi="宋体" w:eastAsia="宋体" w:cs="宋体"/>
          <w:color w:val="000000"/>
          <w:sz w:val="21"/>
          <w:szCs w:val="21"/>
          <w:highlight w:val="none"/>
          <w:u w:val="single"/>
          <w:shd w:val="clear" w:color="auto" w:fill="auto"/>
          <w:lang w:val="en-US" w:eastAsia="zh-CN"/>
        </w:rPr>
        <w:t>0</w:t>
      </w:r>
      <w:r>
        <w:rPr>
          <w:rFonts w:hint="eastAsia" w:ascii="宋体" w:hAnsi="宋体" w:eastAsia="宋体" w:cs="宋体"/>
          <w:color w:val="000000"/>
          <w:sz w:val="21"/>
          <w:szCs w:val="21"/>
          <w:highlight w:val="none"/>
          <w:u w:val="single"/>
          <w:shd w:val="clear" w:color="auto" w:fill="auto"/>
        </w:rPr>
        <w:t>时00分</w:t>
      </w:r>
      <w:r>
        <w:rPr>
          <w:rFonts w:hint="eastAsia" w:ascii="宋体" w:hAnsi="宋体" w:eastAsia="宋体" w:cs="宋体"/>
          <w:color w:val="000000"/>
          <w:sz w:val="21"/>
          <w:szCs w:val="21"/>
          <w:highlight w:val="none"/>
          <w:shd w:val="clear" w:color="auto" w:fill="auto"/>
        </w:rPr>
        <w:t>)磋商供应商可以登录</w:t>
      </w:r>
      <w:r>
        <w:rPr>
          <w:rFonts w:hint="eastAsia" w:ascii="宋体" w:hAnsi="宋体" w:eastAsia="宋体" w:cs="宋体"/>
          <w:color w:val="000000"/>
          <w:sz w:val="21"/>
          <w:szCs w:val="21"/>
          <w:highlight w:val="none"/>
          <w:shd w:val="clear" w:color="auto" w:fill="auto"/>
          <w:lang w:eastAsia="zh-CN"/>
        </w:rPr>
        <w:t>广西政府采购云平台</w:t>
      </w:r>
      <w:r>
        <w:rPr>
          <w:rFonts w:hint="eastAsia" w:ascii="宋体" w:hAnsi="宋体" w:eastAsia="宋体" w:cs="宋体"/>
          <w:color w:val="000000"/>
          <w:sz w:val="21"/>
          <w:szCs w:val="21"/>
          <w:highlight w:val="none"/>
          <w:shd w:val="clear" w:color="auto" w:fill="auto"/>
        </w:rPr>
        <w:t>，用“项目采购-开标评标”功能进行解密磋商文件。若磋商供应商在规定时间内无法解密或解密失败，可以以电子备份磋商响应文件作为依据</w:t>
      </w:r>
      <w:r>
        <w:rPr>
          <w:rFonts w:hint="eastAsia" w:ascii="宋体" w:hAnsi="宋体" w:eastAsia="宋体" w:cs="宋体"/>
          <w:b/>
          <w:bCs/>
          <w:color w:val="000000"/>
          <w:sz w:val="21"/>
          <w:szCs w:val="21"/>
          <w:highlight w:val="none"/>
          <w:shd w:val="clear" w:color="auto" w:fill="auto"/>
        </w:rPr>
        <w:t>【在接到无法解密或解密失败的通知后，磋商供应商可根据自身实际情况按通知时要求的时间到桂林市公共资源交易中心</w:t>
      </w:r>
      <w:r>
        <w:rPr>
          <w:rFonts w:hint="eastAsia" w:ascii="宋体" w:hAnsi="宋体" w:eastAsia="宋体" w:cs="宋体"/>
          <w:b/>
          <w:bCs/>
          <w:color w:val="000000"/>
          <w:sz w:val="21"/>
          <w:szCs w:val="21"/>
          <w:highlight w:val="none"/>
          <w:u w:val="single"/>
          <w:shd w:val="clear" w:color="auto" w:fill="auto"/>
          <w:lang w:val="en-US" w:eastAsia="zh-CN"/>
        </w:rPr>
        <w:t xml:space="preserve"> </w:t>
      </w:r>
      <w:r>
        <w:rPr>
          <w:rFonts w:hint="eastAsia" w:ascii="宋体" w:hAnsi="宋体" w:cs="宋体"/>
          <w:b/>
          <w:bCs/>
          <w:color w:val="000000"/>
          <w:sz w:val="21"/>
          <w:szCs w:val="21"/>
          <w:highlight w:val="none"/>
          <w:u w:val="single"/>
          <w:shd w:val="clear" w:color="auto" w:fill="auto"/>
          <w:lang w:val="en-US" w:eastAsia="zh-CN"/>
        </w:rPr>
        <w:t>9</w:t>
      </w:r>
      <w:r>
        <w:rPr>
          <w:rFonts w:hint="eastAsia" w:ascii="宋体" w:hAnsi="宋体" w:eastAsia="宋体" w:cs="宋体"/>
          <w:b/>
          <w:bCs/>
          <w:color w:val="000000"/>
          <w:sz w:val="21"/>
          <w:szCs w:val="21"/>
          <w:highlight w:val="none"/>
          <w:u w:val="single"/>
          <w:shd w:val="clear" w:color="auto" w:fill="auto"/>
          <w:lang w:val="en-US" w:eastAsia="zh-CN"/>
        </w:rPr>
        <w:t xml:space="preserve">  </w:t>
      </w:r>
      <w:r>
        <w:rPr>
          <w:rFonts w:hint="eastAsia" w:ascii="宋体" w:hAnsi="宋体" w:eastAsia="宋体" w:cs="宋体"/>
          <w:b/>
          <w:bCs/>
          <w:color w:val="000000"/>
          <w:sz w:val="21"/>
          <w:szCs w:val="21"/>
          <w:highlight w:val="none"/>
          <w:shd w:val="clear" w:color="auto" w:fill="auto"/>
        </w:rPr>
        <w:t>号</w:t>
      </w:r>
      <w:r>
        <w:rPr>
          <w:rFonts w:hint="eastAsia" w:ascii="宋体" w:hAnsi="宋体" w:eastAsia="宋体" w:cs="宋体"/>
          <w:b/>
          <w:bCs/>
          <w:color w:val="000000"/>
          <w:sz w:val="21"/>
          <w:szCs w:val="21"/>
          <w:highlight w:val="none"/>
          <w:shd w:val="clear" w:color="auto" w:fill="auto"/>
          <w:lang w:val="en-US" w:eastAsia="zh-CN"/>
        </w:rPr>
        <w:t>政采开标仓</w:t>
      </w:r>
      <w:r>
        <w:rPr>
          <w:rFonts w:hint="eastAsia" w:ascii="宋体" w:hAnsi="宋体" w:eastAsia="宋体" w:cs="宋体"/>
          <w:b/>
          <w:bCs/>
          <w:color w:val="000000"/>
          <w:sz w:val="21"/>
          <w:szCs w:val="21"/>
          <w:highlight w:val="none"/>
          <w:shd w:val="clear" w:color="auto" w:fill="auto"/>
        </w:rPr>
        <w:t>现场提交或以电子邮件的形式（以通知时所告知的电子邮箱地址为准）提交电子备份磋商响应文件】</w:t>
      </w:r>
      <w:r>
        <w:rPr>
          <w:rFonts w:hint="eastAsia" w:ascii="宋体" w:hAnsi="宋体" w:eastAsia="宋体" w:cs="宋体"/>
          <w:color w:val="000000"/>
          <w:sz w:val="21"/>
          <w:szCs w:val="21"/>
          <w:highlight w:val="none"/>
          <w:shd w:val="clear" w:color="auto" w:fill="auto"/>
        </w:rPr>
        <w:t>，若磋商供应商在规定时间内无法解密或解密失败且未提供电子备份磋商响应文件的(包含提供的电子备份文件无效或无法解密的情况)，视为响应文件撤回。</w:t>
      </w:r>
    </w:p>
    <w:p w14:paraId="64FD8D44">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18.3 除竞争性磋商文件另有规定外，供应商所递交的响应文件不予退还。</w:t>
      </w:r>
    </w:p>
    <w:p w14:paraId="2B20D0B7">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18.4 电子响应文件的相关说明</w:t>
      </w:r>
    </w:p>
    <w:p w14:paraId="32A1D07B">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 xml:space="preserve">（1）供应商进行电子响应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 </w:t>
      </w:r>
    </w:p>
    <w:p w14:paraId="2BA6B3F0">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（2）如有特殊情况，采购代理机构延长截止时间和开标时间，采购代理机构和供应商的权利和义务将受到新的截止时间和开标时间的约束。</w:t>
      </w:r>
      <w:bookmarkStart w:id="159" w:name="_Toc15799"/>
      <w:bookmarkStart w:id="160" w:name="_Toc2433"/>
      <w:bookmarkStart w:id="161" w:name="_Toc26492"/>
    </w:p>
    <w:p w14:paraId="57F92BEE">
      <w:pPr>
        <w:pageBreakBefore w:val="0"/>
        <w:widowControl w:val="0"/>
        <w:kinsoku/>
        <w:wordWrap/>
        <w:overflowPunct/>
        <w:topLinePunct w:val="0"/>
        <w:autoSpaceDE/>
        <w:autoSpaceDN/>
        <w:bidi w:val="0"/>
        <w:adjustRightInd/>
        <w:spacing w:line="360" w:lineRule="auto"/>
        <w:ind w:left="0" w:leftChars="0"/>
        <w:jc w:val="center"/>
        <w:textAlignment w:val="auto"/>
        <w:outlineLvl w:val="1"/>
        <w:rPr>
          <w:rFonts w:hint="eastAsia" w:ascii="宋体" w:hAnsi="宋体" w:eastAsia="宋体" w:cs="宋体"/>
          <w:b/>
          <w:bCs/>
          <w:color w:val="000000"/>
          <w:sz w:val="21"/>
          <w:szCs w:val="21"/>
          <w:highlight w:val="none"/>
          <w:shd w:val="clear" w:color="auto" w:fill="auto"/>
        </w:rPr>
      </w:pPr>
      <w:r>
        <w:rPr>
          <w:rFonts w:hint="eastAsia" w:ascii="宋体" w:hAnsi="宋体" w:eastAsia="宋体" w:cs="宋体"/>
          <w:b/>
          <w:bCs/>
          <w:color w:val="000000"/>
          <w:sz w:val="21"/>
          <w:szCs w:val="21"/>
          <w:highlight w:val="none"/>
          <w:shd w:val="clear" w:color="auto" w:fill="auto"/>
        </w:rPr>
        <w:t>四、竞争性磋商（简称磋商）与评审</w:t>
      </w:r>
      <w:bookmarkEnd w:id="159"/>
      <w:bookmarkEnd w:id="160"/>
      <w:bookmarkEnd w:id="161"/>
    </w:p>
    <w:p w14:paraId="24BD9829">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bookmarkStart w:id="162" w:name="_Toc7595"/>
      <w:bookmarkStart w:id="163" w:name="_Toc29946"/>
      <w:bookmarkStart w:id="164" w:name="_Toc31588"/>
      <w:r>
        <w:rPr>
          <w:rFonts w:hint="eastAsia" w:ascii="宋体" w:hAnsi="宋体" w:eastAsia="宋体" w:cs="宋体"/>
          <w:color w:val="000000"/>
          <w:sz w:val="21"/>
          <w:szCs w:val="21"/>
          <w:highlight w:val="none"/>
          <w:shd w:val="clear" w:color="auto" w:fill="auto"/>
        </w:rPr>
        <w:t>19. 磋商小组组成及磋商时间、地点、人员</w:t>
      </w:r>
      <w:bookmarkEnd w:id="162"/>
      <w:bookmarkEnd w:id="163"/>
      <w:bookmarkEnd w:id="164"/>
    </w:p>
    <w:p w14:paraId="60C0D9AC">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19.1 磋商小组组成：</w:t>
      </w:r>
    </w:p>
    <w:p w14:paraId="2C97099C">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磋商及评审工作由采购代理机构负责组织，具体磋商、评审工作由依法组建的磋商小组负责，磋商小组由采购人代表和有关方面的专家组成。磋商小组的构成：</w:t>
      </w:r>
      <w:r>
        <w:rPr>
          <w:rFonts w:hint="eastAsia" w:ascii="宋体" w:hAnsi="宋体" w:eastAsia="宋体" w:cs="宋体"/>
          <w:color w:val="000000"/>
          <w:sz w:val="21"/>
          <w:szCs w:val="21"/>
          <w:highlight w:val="none"/>
          <w:u w:val="single"/>
          <w:shd w:val="clear" w:color="auto" w:fill="auto"/>
        </w:rPr>
        <w:t xml:space="preserve"> 3 </w:t>
      </w:r>
      <w:r>
        <w:rPr>
          <w:rFonts w:hint="eastAsia" w:ascii="宋体" w:hAnsi="宋体" w:eastAsia="宋体" w:cs="宋体"/>
          <w:color w:val="000000"/>
          <w:sz w:val="21"/>
          <w:szCs w:val="21"/>
          <w:highlight w:val="none"/>
          <w:shd w:val="clear" w:color="auto" w:fill="auto"/>
        </w:rPr>
        <w:t>人，其中采购人代表</w:t>
      </w:r>
      <w:r>
        <w:rPr>
          <w:rFonts w:hint="eastAsia" w:ascii="宋体" w:hAnsi="宋体" w:eastAsia="宋体" w:cs="宋体"/>
          <w:color w:val="000000"/>
          <w:sz w:val="21"/>
          <w:szCs w:val="21"/>
          <w:highlight w:val="none"/>
          <w:u w:val="single"/>
          <w:shd w:val="clear" w:color="auto" w:fill="auto"/>
        </w:rPr>
        <w:t xml:space="preserve"> 1 </w:t>
      </w:r>
      <w:r>
        <w:rPr>
          <w:rFonts w:hint="eastAsia" w:ascii="宋体" w:hAnsi="宋体" w:eastAsia="宋体" w:cs="宋体"/>
          <w:color w:val="000000"/>
          <w:sz w:val="21"/>
          <w:szCs w:val="21"/>
          <w:highlight w:val="none"/>
          <w:shd w:val="clear" w:color="auto" w:fill="auto"/>
        </w:rPr>
        <w:t>人， 专家</w:t>
      </w:r>
      <w:r>
        <w:rPr>
          <w:rFonts w:hint="eastAsia" w:ascii="宋体" w:hAnsi="宋体" w:eastAsia="宋体" w:cs="宋体"/>
          <w:color w:val="000000"/>
          <w:sz w:val="21"/>
          <w:szCs w:val="21"/>
          <w:highlight w:val="none"/>
          <w:u w:val="single"/>
          <w:shd w:val="clear" w:color="auto" w:fill="auto"/>
        </w:rPr>
        <w:t xml:space="preserve"> 2 </w:t>
      </w:r>
      <w:r>
        <w:rPr>
          <w:rFonts w:hint="eastAsia" w:ascii="宋体" w:hAnsi="宋体" w:eastAsia="宋体" w:cs="宋体"/>
          <w:color w:val="000000"/>
          <w:sz w:val="21"/>
          <w:szCs w:val="21"/>
          <w:highlight w:val="none"/>
          <w:shd w:val="clear" w:color="auto" w:fill="auto"/>
        </w:rPr>
        <w:t>人。</w:t>
      </w:r>
    </w:p>
    <w:p w14:paraId="12691FF1">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19.2 磋商时间、地点、人员：</w:t>
      </w:r>
    </w:p>
    <w:p w14:paraId="7CC91708">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bookmarkStart w:id="165" w:name="_Toc9878"/>
      <w:r>
        <w:rPr>
          <w:rFonts w:hint="eastAsia" w:ascii="宋体" w:hAnsi="宋体" w:eastAsia="宋体" w:cs="宋体"/>
          <w:color w:val="000000"/>
          <w:sz w:val="21"/>
          <w:szCs w:val="21"/>
          <w:highlight w:val="none"/>
          <w:shd w:val="clear" w:color="auto" w:fill="auto"/>
        </w:rPr>
        <w:t>19.2.1磋商时间：响应文件递交截止时间后。</w:t>
      </w:r>
      <w:bookmarkEnd w:id="165"/>
    </w:p>
    <w:p w14:paraId="038BE6E7">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bCs/>
          <w:color w:val="000000"/>
          <w:sz w:val="21"/>
          <w:szCs w:val="21"/>
          <w:highlight w:val="none"/>
          <w:shd w:val="clear" w:color="auto" w:fill="auto"/>
        </w:rPr>
      </w:pPr>
      <w:bookmarkStart w:id="166" w:name="_Toc29268"/>
      <w:r>
        <w:rPr>
          <w:rFonts w:hint="eastAsia" w:ascii="宋体" w:hAnsi="宋体" w:eastAsia="宋体" w:cs="宋体"/>
          <w:color w:val="000000"/>
          <w:sz w:val="21"/>
          <w:szCs w:val="21"/>
          <w:highlight w:val="none"/>
          <w:shd w:val="clear" w:color="auto" w:fill="auto"/>
        </w:rPr>
        <w:t>19.2.2磋商地点：</w:t>
      </w:r>
      <w:bookmarkEnd w:id="166"/>
      <w:bookmarkStart w:id="167" w:name="_Toc21307"/>
      <w:r>
        <w:rPr>
          <w:rFonts w:hint="eastAsia" w:ascii="宋体" w:hAnsi="宋体" w:eastAsia="宋体" w:cs="宋体"/>
          <w:bCs/>
          <w:color w:val="000000"/>
          <w:sz w:val="21"/>
          <w:szCs w:val="21"/>
          <w:highlight w:val="none"/>
          <w:shd w:val="clear" w:color="auto" w:fill="auto"/>
        </w:rPr>
        <w:t>供应商代表在响应文件提交当天实时登陆“</w:t>
      </w:r>
      <w:r>
        <w:rPr>
          <w:rFonts w:hint="eastAsia" w:ascii="宋体" w:hAnsi="宋体" w:eastAsia="宋体" w:cs="宋体"/>
          <w:bCs/>
          <w:color w:val="000000"/>
          <w:sz w:val="21"/>
          <w:szCs w:val="21"/>
          <w:highlight w:val="none"/>
          <w:shd w:val="clear" w:color="auto" w:fill="auto"/>
          <w:lang w:eastAsia="zh-CN"/>
        </w:rPr>
        <w:t>广西政府采购云平台</w:t>
      </w:r>
      <w:r>
        <w:rPr>
          <w:rFonts w:hint="eastAsia" w:ascii="宋体" w:hAnsi="宋体" w:eastAsia="宋体" w:cs="宋体"/>
          <w:bCs/>
          <w:color w:val="000000"/>
          <w:sz w:val="21"/>
          <w:szCs w:val="21"/>
          <w:highlight w:val="none"/>
          <w:shd w:val="clear" w:color="auto" w:fill="auto"/>
        </w:rPr>
        <w:t>”，按磋商小组要求在线等候参与磋商及提交最后报价。因供应商未保持实时在线，导致磋商小组无法及时与其取得联系，从而造成供应商未按规定参与磋商或报价的，其不利后果由供应商自行承担。</w:t>
      </w:r>
    </w:p>
    <w:bookmarkEnd w:id="167"/>
    <w:p w14:paraId="4D011EAF">
      <w:pPr>
        <w:spacing w:line="360" w:lineRule="auto"/>
        <w:ind w:firstLine="420" w:firstLineChars="200"/>
        <w:rPr>
          <w:rFonts w:hint="eastAsia" w:ascii="宋体" w:hAnsi="宋体" w:eastAsia="宋体" w:cs="宋体"/>
          <w:bCs/>
          <w:color w:val="auto"/>
          <w:szCs w:val="21"/>
          <w:highlight w:val="none"/>
        </w:rPr>
      </w:pPr>
      <w:bookmarkStart w:id="168" w:name="_Toc6288"/>
      <w:r>
        <w:rPr>
          <w:rFonts w:hint="eastAsia" w:ascii="宋体" w:hAnsi="宋体" w:eastAsia="宋体" w:cs="宋体"/>
          <w:color w:val="auto"/>
          <w:szCs w:val="21"/>
          <w:highlight w:val="none"/>
        </w:rPr>
        <w:t>19</w:t>
      </w:r>
      <w:r>
        <w:rPr>
          <w:rFonts w:hint="eastAsia" w:ascii="宋体" w:hAnsi="宋体" w:eastAsia="宋体" w:cs="宋体"/>
          <w:bCs/>
          <w:color w:val="auto"/>
          <w:szCs w:val="21"/>
          <w:highlight w:val="none"/>
        </w:rPr>
        <w:t>.2.3磋商参加人员：</w:t>
      </w:r>
      <w:r>
        <w:rPr>
          <w:rFonts w:hint="eastAsia" w:ascii="宋体" w:hAnsi="宋体" w:cs="宋体"/>
          <w:color w:val="auto"/>
          <w:sz w:val="21"/>
          <w:szCs w:val="21"/>
          <w:highlight w:val="none"/>
        </w:rPr>
        <w:t>供应商法定代表人或相应的委托代理人参加磋商。请供应商</w:t>
      </w:r>
      <w:r>
        <w:rPr>
          <w:rFonts w:hint="eastAsia" w:ascii="宋体" w:hAnsi="宋体" w:cs="宋体"/>
          <w:bCs/>
          <w:color w:val="auto"/>
          <w:sz w:val="21"/>
          <w:szCs w:val="21"/>
          <w:highlight w:val="none"/>
        </w:rPr>
        <w:t>实时登录</w:t>
      </w:r>
      <w:r>
        <w:rPr>
          <w:rFonts w:hint="eastAsia" w:ascii="宋体" w:hAnsi="宋体" w:cs="宋体"/>
          <w:color w:val="auto"/>
          <w:sz w:val="21"/>
          <w:szCs w:val="24"/>
          <w:highlight w:val="none"/>
        </w:rPr>
        <w:t>广西政府采购云平台</w:t>
      </w:r>
      <w:r>
        <w:rPr>
          <w:rFonts w:hint="eastAsia" w:ascii="宋体" w:hAnsi="宋体" w:cs="宋体"/>
          <w:color w:val="auto"/>
          <w:sz w:val="21"/>
          <w:szCs w:val="21"/>
          <w:highlight w:val="none"/>
        </w:rPr>
        <w:t>等候在线磋商</w:t>
      </w:r>
      <w:r>
        <w:rPr>
          <w:rFonts w:hint="eastAsia" w:ascii="宋体" w:hAnsi="宋体" w:eastAsia="宋体" w:cs="宋体"/>
          <w:bCs/>
          <w:color w:val="auto"/>
          <w:szCs w:val="21"/>
          <w:highlight w:val="none"/>
        </w:rPr>
        <w:t>。</w:t>
      </w:r>
    </w:p>
    <w:p w14:paraId="384B34B7">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bCs/>
          <w:color w:val="000000"/>
          <w:sz w:val="21"/>
          <w:szCs w:val="21"/>
          <w:highlight w:val="none"/>
          <w:shd w:val="clear" w:color="auto" w:fill="auto"/>
        </w:rPr>
      </w:pPr>
      <w:r>
        <w:rPr>
          <w:rFonts w:hint="eastAsia" w:ascii="宋体" w:hAnsi="宋体" w:eastAsia="宋体" w:cs="宋体"/>
          <w:bCs/>
          <w:color w:val="000000"/>
          <w:sz w:val="21"/>
          <w:szCs w:val="21"/>
          <w:highlight w:val="none"/>
          <w:shd w:val="clear" w:color="auto" w:fill="auto"/>
        </w:rPr>
        <w:t>19.2.4响应文件递交截止时间后，由磋商小组在评标室内线上开启响应文件。</w:t>
      </w:r>
      <w:bookmarkEnd w:id="168"/>
    </w:p>
    <w:p w14:paraId="1E2D136C">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bookmarkStart w:id="169" w:name="_Toc3381"/>
      <w:bookmarkStart w:id="170" w:name="_Toc22332"/>
      <w:bookmarkStart w:id="171" w:name="_Toc25258"/>
      <w:r>
        <w:rPr>
          <w:rFonts w:hint="eastAsia" w:ascii="宋体" w:hAnsi="宋体" w:eastAsia="宋体" w:cs="宋体"/>
          <w:color w:val="000000"/>
          <w:sz w:val="21"/>
          <w:szCs w:val="21"/>
          <w:highlight w:val="none"/>
          <w:shd w:val="clear" w:color="auto" w:fill="auto"/>
        </w:rPr>
        <w:t>20. 评审原则</w:t>
      </w:r>
      <w:bookmarkEnd w:id="169"/>
      <w:bookmarkEnd w:id="170"/>
      <w:bookmarkEnd w:id="171"/>
    </w:p>
    <w:p w14:paraId="08A1D75D">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20.1 磋商小组必须坚持公平、公正、科学和择优的原则。</w:t>
      </w:r>
    </w:p>
    <w:p w14:paraId="66279863">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20.2 评审办法：综合评分法，具体详见第</w:t>
      </w:r>
      <w:r>
        <w:rPr>
          <w:rFonts w:hint="eastAsia" w:ascii="宋体" w:hAnsi="宋体" w:cs="宋体"/>
          <w:color w:val="000000"/>
          <w:sz w:val="21"/>
          <w:szCs w:val="21"/>
          <w:highlight w:val="none"/>
          <w:shd w:val="clear" w:color="auto" w:fill="auto"/>
          <w:lang w:eastAsia="zh-CN"/>
        </w:rPr>
        <w:t>四</w:t>
      </w:r>
      <w:r>
        <w:rPr>
          <w:rFonts w:hint="eastAsia" w:ascii="宋体" w:hAnsi="宋体" w:eastAsia="宋体" w:cs="宋体"/>
          <w:color w:val="000000"/>
          <w:sz w:val="21"/>
          <w:szCs w:val="21"/>
          <w:highlight w:val="none"/>
          <w:shd w:val="clear" w:color="auto" w:fill="auto"/>
        </w:rPr>
        <w:t>章评审办法。</w:t>
      </w:r>
    </w:p>
    <w:p w14:paraId="16787E50">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20.3 磋商小组应按磋商文件进行评审，不得擅自更改评审办法。</w:t>
      </w:r>
    </w:p>
    <w:p w14:paraId="0238D69C">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20.4 在评审过程中，磋商小组任何人不得对某个供应商发表任何倾向性意见，不得向其他磋商小组成员明示或者暗示自己的评审意见。</w:t>
      </w:r>
    </w:p>
    <w:p w14:paraId="14E9FF9D">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20.5 磋商小组成员对需要共同认定的事项存在争议的，按照少数服从多数的原则作出结论。持不同意见的磋商小组成员应当在评审报告上签署不同意见并说明理由，否则视为同意。</w:t>
      </w:r>
    </w:p>
    <w:p w14:paraId="6F0920B3">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20.6 响应文件最后报价出现前后不一致的，除竞争性磋商文件另有规定外，按照下列规定修正：</w:t>
      </w:r>
    </w:p>
    <w:p w14:paraId="72777FA3">
      <w:pPr>
        <w:pStyle w:val="82"/>
        <w:pageBreakBefore w:val="0"/>
        <w:widowControl w:val="0"/>
        <w:tabs>
          <w:tab w:val="left" w:pos="1099"/>
        </w:tabs>
        <w:kinsoku/>
        <w:wordWrap/>
        <w:overflowPunct/>
        <w:topLinePunct w:val="0"/>
        <w:autoSpaceDE/>
        <w:autoSpaceDN/>
        <w:bidi w:val="0"/>
        <w:adjustRightInd/>
        <w:spacing w:line="360" w:lineRule="auto"/>
        <w:ind w:left="0" w:leftChars="0" w:firstLine="0" w:firstLineChars="0"/>
        <w:jc w:val="left"/>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 响应文件中磋商报价表内容与响应文件中相应内容不一致的，以最后磋商报价表为准；</w:t>
      </w:r>
    </w:p>
    <w:p w14:paraId="65BD4148">
      <w:pPr>
        <w:pStyle w:val="82"/>
        <w:pageBreakBefore w:val="0"/>
        <w:widowControl w:val="0"/>
        <w:tabs>
          <w:tab w:val="left" w:pos="1099"/>
        </w:tabs>
        <w:kinsoku/>
        <w:wordWrap/>
        <w:overflowPunct/>
        <w:topLinePunct w:val="0"/>
        <w:autoSpaceDE/>
        <w:autoSpaceDN/>
        <w:bidi w:val="0"/>
        <w:adjustRightInd/>
        <w:spacing w:line="360" w:lineRule="auto"/>
        <w:ind w:left="0" w:leftChars="0" w:firstLine="0" w:firstLineChars="0"/>
        <w:jc w:val="left"/>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 大写金额和小写金额不一致的，以大写金额为准；</w:t>
      </w:r>
    </w:p>
    <w:p w14:paraId="69B6BDA4">
      <w:pPr>
        <w:pStyle w:val="82"/>
        <w:pageBreakBefore w:val="0"/>
        <w:widowControl w:val="0"/>
        <w:tabs>
          <w:tab w:val="left" w:pos="1099"/>
        </w:tabs>
        <w:kinsoku/>
        <w:wordWrap/>
        <w:overflowPunct/>
        <w:topLinePunct w:val="0"/>
        <w:autoSpaceDE/>
        <w:autoSpaceDN/>
        <w:bidi w:val="0"/>
        <w:adjustRightInd/>
        <w:spacing w:line="360" w:lineRule="auto"/>
        <w:ind w:left="0" w:leftChars="0" w:firstLine="0" w:firstLineChars="0"/>
        <w:jc w:val="left"/>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(3) 单价金额小数点或者百分比有明显错位的，以报价表的总价为准，并修改单价；</w:t>
      </w:r>
    </w:p>
    <w:p w14:paraId="7F5DF823">
      <w:pPr>
        <w:pStyle w:val="82"/>
        <w:pageBreakBefore w:val="0"/>
        <w:widowControl w:val="0"/>
        <w:tabs>
          <w:tab w:val="left" w:pos="1099"/>
        </w:tabs>
        <w:kinsoku/>
        <w:wordWrap/>
        <w:overflowPunct/>
        <w:topLinePunct w:val="0"/>
        <w:autoSpaceDE/>
        <w:autoSpaceDN/>
        <w:bidi w:val="0"/>
        <w:adjustRightInd/>
        <w:spacing w:line="360" w:lineRule="auto"/>
        <w:ind w:left="0" w:leftChars="0" w:firstLine="0" w:firstLineChars="0"/>
        <w:jc w:val="left"/>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(4) 总价金额与按单价汇总金额不一致的，以单价金额计算结果为准。</w:t>
      </w:r>
    </w:p>
    <w:p w14:paraId="66A4DD1C">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3C9FC8A7">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bookmarkStart w:id="172" w:name="_Toc27193"/>
      <w:bookmarkStart w:id="173" w:name="_Toc31876"/>
      <w:bookmarkStart w:id="174" w:name="_Toc9284"/>
      <w:r>
        <w:rPr>
          <w:rFonts w:hint="eastAsia" w:ascii="宋体" w:hAnsi="宋体" w:eastAsia="宋体" w:cs="宋体"/>
          <w:color w:val="000000"/>
          <w:sz w:val="21"/>
          <w:szCs w:val="21"/>
          <w:highlight w:val="none"/>
          <w:shd w:val="clear" w:color="auto" w:fill="auto"/>
        </w:rPr>
        <w:t>21. 评审程序及磋商要求</w:t>
      </w:r>
      <w:bookmarkEnd w:id="172"/>
      <w:bookmarkEnd w:id="173"/>
      <w:bookmarkEnd w:id="174"/>
    </w:p>
    <w:p w14:paraId="4D2085A4">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21.1磋商小组成员的通讯工具或相关电子设备交由桂林市公共资源交易中心统一保管后到达评标室，采购代理机构核实磋商小组成员身份，告知回避要求，宣布评审工作纪律和程序，推选磋商小组组长。</w:t>
      </w:r>
    </w:p>
    <w:p w14:paraId="7743C9C1">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281A0611">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 xml:space="preserve">21.3磋商小组依据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 </w:t>
      </w:r>
    </w:p>
    <w:p w14:paraId="49D50668">
      <w:pPr>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bCs/>
          <w:color w:val="000000"/>
          <w:sz w:val="21"/>
          <w:szCs w:val="21"/>
          <w:highlight w:val="none"/>
          <w:shd w:val="clear" w:color="auto" w:fill="auto"/>
        </w:rPr>
      </w:pPr>
      <w:r>
        <w:rPr>
          <w:rFonts w:hint="eastAsia" w:ascii="宋体" w:hAnsi="宋体" w:eastAsia="宋体" w:cs="宋体"/>
          <w:b/>
          <w:bCs/>
          <w:color w:val="000000"/>
          <w:sz w:val="21"/>
          <w:szCs w:val="21"/>
          <w:highlight w:val="none"/>
          <w:shd w:val="clear" w:color="auto" w:fill="auto"/>
        </w:rPr>
        <w:t>21.4 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44EB430F">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21.4.1 查询渠道：《国家企业信用信息公示系统》（网址：www.gsxt.gov.cn/index.html）</w:t>
      </w:r>
    </w:p>
    <w:p w14:paraId="62CAA241">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21.4.2 审查流程：</w:t>
      </w:r>
    </w:p>
    <w:p w14:paraId="4C5FEE11">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（1）进入《国家企业信用信息公示系统》（网址：www.gsxt.gov.cn/index.html），输入企业名称，进入企业信息主页面；</w:t>
      </w:r>
    </w:p>
    <w:p w14:paraId="717790C3">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（2）查看主页“股东及出资信息”栏，或年报中的“股东及出资信息”栏信息；</w:t>
      </w:r>
    </w:p>
    <w:p w14:paraId="32CF2F7A">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（3）将各供应商的股东及出资信息进行比对，得出审查结论；</w:t>
      </w:r>
    </w:p>
    <w:p w14:paraId="074F6542">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（4）将相关资料作为评审资料打印存档。</w:t>
      </w:r>
    </w:p>
    <w:p w14:paraId="7392E8B7">
      <w:pPr>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bCs/>
          <w:color w:val="000000"/>
          <w:sz w:val="21"/>
          <w:szCs w:val="21"/>
          <w:highlight w:val="none"/>
          <w:shd w:val="clear" w:color="auto" w:fill="auto"/>
        </w:rPr>
      </w:pPr>
      <w:r>
        <w:rPr>
          <w:rFonts w:hint="eastAsia" w:ascii="宋体" w:hAnsi="宋体" w:eastAsia="宋体" w:cs="宋体"/>
          <w:b/>
          <w:bCs/>
          <w:color w:val="000000"/>
          <w:sz w:val="21"/>
          <w:szCs w:val="21"/>
          <w:highlight w:val="none"/>
          <w:shd w:val="clear" w:color="auto" w:fill="auto"/>
        </w:rPr>
        <w:t>21.5 磋商小组如发现供应商提供的证明文件不齐全或不符合规定格式的，应一次性告知供应商，供应商应在规定的时间内线上补正或更正。</w:t>
      </w:r>
    </w:p>
    <w:p w14:paraId="157B0B67">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21.6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个人CA签章)或者加盖供应商公章(CA签章)。</w:t>
      </w:r>
    </w:p>
    <w:p w14:paraId="020940EB">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根据磋商文件规定的程序、评定成交的标准等事项与实质性响应竞争性磋商文件要求的供应商进行磋商。</w:t>
      </w:r>
    </w:p>
    <w:p w14:paraId="256E49D8">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 xml:space="preserve">未实质性响应磋商文件的响应文件按无效处理，磋商小组应当告知有关供应商。 </w:t>
      </w:r>
    </w:p>
    <w:p w14:paraId="182E54E7">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磋商小组所有成员应当按已确定的磋商顺序集中与单一供应商分别进行磋商，并给予所有实质性响应竞争性磋商文件要求的供应商平等的磋商机会。</w:t>
      </w:r>
    </w:p>
    <w:p w14:paraId="2CE8ACF9">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 xml:space="preserve">磋商中，磋商小组不得透露与磋商有关的其他供应商的技术资料、价格和其他信息。 </w:t>
      </w:r>
    </w:p>
    <w:p w14:paraId="7E9B0CEA">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磋商小组对磋商过程和重要磋商内容进行记录，磋商双方在记录上签字确认（个人CA签章)或者加盖供应商公章(CA签章)。</w:t>
      </w:r>
    </w:p>
    <w:p w14:paraId="04B558E2">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14:paraId="747868CF">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 xml:space="preserve">21.8 在磋商过程中，磋商小组可以根据磋商文件和磋商情况实质性变动项目需求中的技术、服务要求以及合同草案条款，但不得变动磋商文件中的其他内容。实质性变动的内容，须经采购人代表确认。 </w:t>
      </w:r>
    </w:p>
    <w:p w14:paraId="5D196EEF">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对磋商文件作出的实质性变动是磋商文件的有效组成部分，磋商小组应当及时通过</w:t>
      </w:r>
      <w:r>
        <w:rPr>
          <w:rFonts w:hint="eastAsia" w:ascii="宋体" w:hAnsi="宋体" w:eastAsia="宋体" w:cs="宋体"/>
          <w:color w:val="000000"/>
          <w:sz w:val="21"/>
          <w:szCs w:val="21"/>
          <w:highlight w:val="none"/>
          <w:shd w:val="clear" w:color="auto" w:fill="auto"/>
          <w:lang w:eastAsia="zh-CN"/>
        </w:rPr>
        <w:t>广西政府采购云平台</w:t>
      </w:r>
      <w:r>
        <w:rPr>
          <w:rFonts w:hint="eastAsia" w:ascii="宋体" w:hAnsi="宋体" w:eastAsia="宋体" w:cs="宋体"/>
          <w:color w:val="000000"/>
          <w:sz w:val="21"/>
          <w:szCs w:val="21"/>
          <w:highlight w:val="none"/>
          <w:shd w:val="clear" w:color="auto" w:fill="auto"/>
        </w:rPr>
        <w:t xml:space="preserve">同时通知所有参加磋商的供应商。 </w:t>
      </w:r>
    </w:p>
    <w:p w14:paraId="7978B6C0">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 xml:space="preserve">供应商应当按照磋商文件的变动情况和磋商小组的要求重新提交响应文件，并由其法定代表人、负责人、自然人或相应的授权委托代表签字（个人CA签章）或者加盖供应商公章(CA签章)。逾时不交的，视同放弃磋商。 </w:t>
      </w:r>
    </w:p>
    <w:p w14:paraId="54F960FC">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21.9 第二轮磋商</w:t>
      </w:r>
    </w:p>
    <w:p w14:paraId="3E71BF61">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磋商小组集中就重新提交的响应文件或磋商小组提出的磋商意见与单一响应供应商分别进行磋商。磋商小组对磋商过程和重要磋商内容进行记录，磋商双方在记录上签字确认（CA签章确认）。</w:t>
      </w:r>
    </w:p>
    <w:p w14:paraId="2EBE8688">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磋商后，供应商根据磋商小组统一整理的书面磋商记录要求做出书面承诺，并由其法定代表人或授权代表签字或者加盖公章（CA签章）后按时线上提交。</w:t>
      </w:r>
    </w:p>
    <w:p w14:paraId="6646359D">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14:paraId="5162DFF7">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 xml:space="preserve">21.10 在采购过程中符合竞争要求的供应商或者报价未超过采购预算的供应商不足3家的，采购人或者采购代理机构应当终止竞争性磋商采购活动。 </w:t>
      </w:r>
    </w:p>
    <w:p w14:paraId="6B11BBF1">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 xml:space="preserve">21.11 最后报价 </w:t>
      </w:r>
    </w:p>
    <w:p w14:paraId="79C66396">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 xml:space="preserve">21.11.1 磋商文件能够详细列明采购标的的技术、服务要求的，磋商结束后，磋商小组应当要求所有继续参加磋商的供应商在规定时间内线上提交最后报价，提交最后报价的供应商不得少于3家。 </w:t>
      </w:r>
    </w:p>
    <w:p w14:paraId="039801B8">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 xml:space="preserve">21.11.2 磋商文件不能详细列明采购标的的技术、服务要求的，需由磋商供应商提供最终设计方案或解决方案的，磋商结束后，磋商小组应当按照少数服从多数的原则投票推荐3家以上（含3家）供应商的设计方案或者解决方案，并要求其在规定时间内线上提交最后报价。 </w:t>
      </w:r>
    </w:p>
    <w:p w14:paraId="3982B714">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21.11.3 根据《财政部关于政府采购竞争性磋商采购方式管理暂行办法有关问题的补充通知》(财库〔2014〕214号)的规定，如采购项目为政府购买服务项目（含政府和社会资本合作项目），在采购过程中符合要求的供应商（社会资本）只有2家的，竞争性磋商采购活动可以继续进行，并要求其在规定时间内线上提交最后报价；采购过程中符合要求的供应商（社会资本）只有1家的，采购人或者采购代理机构应当终止竞争性磋商采购活动，发布项目终止公告并说明原因，重新开展采购活动。</w:t>
      </w:r>
    </w:p>
    <w:p w14:paraId="1A59DB58">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bCs/>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21.11.4 根据《政府采购竞争性磋商采购方式管理暂行办法》(财库〔2014〕214号)的规定：</w:t>
      </w:r>
      <w:r>
        <w:rPr>
          <w:rFonts w:hint="eastAsia" w:ascii="宋体" w:hAnsi="宋体" w:eastAsia="宋体" w:cs="宋体"/>
          <w:bCs/>
          <w:color w:val="000000"/>
          <w:sz w:val="21"/>
          <w:szCs w:val="21"/>
          <w:highlight w:val="none"/>
          <w:shd w:val="clear" w:color="auto" w:fill="auto"/>
        </w:rPr>
        <w:t>最后报价是供应商响应文件的有效组成部分。</w:t>
      </w:r>
      <w:r>
        <w:rPr>
          <w:rFonts w:hint="eastAsia" w:ascii="宋体" w:hAnsi="宋体" w:eastAsia="宋体" w:cs="宋体"/>
          <w:color w:val="000000"/>
          <w:sz w:val="21"/>
          <w:szCs w:val="21"/>
          <w:highlight w:val="none"/>
          <w:shd w:val="clear" w:color="auto" w:fill="auto"/>
        </w:rPr>
        <w:t>符合本办法(财库〔2014〕214号文)第三条第四项情形的，提交最后报价的供应商可以为2家。</w:t>
      </w:r>
      <w:r>
        <w:rPr>
          <w:rFonts w:hint="eastAsia" w:ascii="宋体" w:hAnsi="宋体" w:eastAsia="宋体" w:cs="宋体"/>
          <w:bCs/>
          <w:color w:val="000000"/>
          <w:sz w:val="21"/>
          <w:szCs w:val="21"/>
          <w:highlight w:val="none"/>
          <w:shd w:val="clear" w:color="auto" w:fill="auto"/>
        </w:rPr>
        <w:t>（财库〔2014〕214号文第三条第四项：市场竞争不充分的科研项目，以及需要扶持的科技成果转化项目。）</w:t>
      </w:r>
    </w:p>
    <w:p w14:paraId="1F34A9F1">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21.12 已提交响应文件的供应商，在提交最后报价之前，可以根据磋商情况书面退出磋商。</w:t>
      </w:r>
    </w:p>
    <w:p w14:paraId="5FCC89F9">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未书面退出磋商的供应商在规定时间内线上提交最后报价，其最后报价超出采购预算导致已通过评审的响应文件无效的，按供应商在提交响应文件截止时间后撤回响应文件处理。</w:t>
      </w:r>
    </w:p>
    <w:p w14:paraId="12F0C00F">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21.13 评审报告</w:t>
      </w:r>
    </w:p>
    <w:p w14:paraId="2373B63C">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磋商小组应当从质量和服务均能满足磋商文件全部实质性响应要求的供应商中，按照最后综合得分由高到低的顺序提出3名以上（含3名）成交候选人，并编写评审报告。</w:t>
      </w:r>
    </w:p>
    <w:p w14:paraId="2CDD5674">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21.14 在评审过程中出现法律法规和磋商文件均没有明确规定的情形时，由磋商小组现场协商解决，协商不一致的，由全体磋商小组投票表决，以得票率二分之一以上磋商小组成员的意见为准。</w:t>
      </w:r>
    </w:p>
    <w:p w14:paraId="0EEE5F89">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21.15 采购代理机构发现磋商小组有明显的违规倾向或歧视现象，或不按评审办法进行，或其他不正常行为的，应当及时制止。如制止无效，应及时向</w:t>
      </w:r>
      <w:r>
        <w:rPr>
          <w:rFonts w:hint="eastAsia" w:ascii="宋体" w:hAnsi="宋体" w:eastAsia="宋体" w:cs="宋体"/>
          <w:color w:val="000000"/>
          <w:kern w:val="0"/>
          <w:sz w:val="21"/>
          <w:szCs w:val="21"/>
          <w:highlight w:val="none"/>
          <w:shd w:val="clear" w:color="auto" w:fill="auto"/>
          <w:lang w:eastAsia="zh-CN"/>
        </w:rPr>
        <w:t>桂林市</w:t>
      </w:r>
      <w:r>
        <w:rPr>
          <w:rFonts w:hint="eastAsia" w:ascii="宋体" w:hAnsi="宋体" w:cs="宋体"/>
          <w:color w:val="000000"/>
          <w:kern w:val="0"/>
          <w:sz w:val="21"/>
          <w:szCs w:val="21"/>
          <w:highlight w:val="none"/>
          <w:shd w:val="clear" w:color="auto" w:fill="auto"/>
          <w:lang w:val="en-US" w:eastAsia="zh-CN"/>
        </w:rPr>
        <w:t>七星区</w:t>
      </w:r>
      <w:r>
        <w:rPr>
          <w:rFonts w:hint="eastAsia" w:ascii="宋体" w:hAnsi="宋体" w:eastAsia="宋体" w:cs="宋体"/>
          <w:color w:val="000000"/>
          <w:kern w:val="0"/>
          <w:sz w:val="21"/>
          <w:szCs w:val="21"/>
          <w:highlight w:val="none"/>
          <w:shd w:val="clear" w:color="auto" w:fill="auto"/>
          <w:lang w:eastAsia="zh-CN"/>
        </w:rPr>
        <w:t>政府采购办公室</w:t>
      </w:r>
      <w:r>
        <w:rPr>
          <w:rFonts w:hint="eastAsia" w:ascii="宋体" w:hAnsi="宋体" w:eastAsia="宋体" w:cs="宋体"/>
          <w:color w:val="000000"/>
          <w:sz w:val="21"/>
          <w:szCs w:val="21"/>
          <w:highlight w:val="none"/>
          <w:shd w:val="clear" w:color="auto" w:fill="auto"/>
        </w:rPr>
        <w:t>监督管理机构报告。</w:t>
      </w:r>
    </w:p>
    <w:p w14:paraId="0EC0325F">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b/>
          <w:bCs/>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21.16 本采购项目的评审依据为竞争性磋商文件和竞争性磋商响应文件，采用的评审方法为</w:t>
      </w:r>
      <w:r>
        <w:rPr>
          <w:rFonts w:hint="eastAsia" w:ascii="宋体" w:hAnsi="宋体" w:eastAsia="宋体" w:cs="宋体"/>
          <w:b/>
          <w:bCs/>
          <w:color w:val="000000"/>
          <w:sz w:val="21"/>
          <w:szCs w:val="21"/>
          <w:highlight w:val="none"/>
          <w:shd w:val="clear" w:color="auto" w:fill="auto"/>
        </w:rPr>
        <w:t>综合评分法。</w:t>
      </w:r>
    </w:p>
    <w:p w14:paraId="40D79C79">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bookmarkStart w:id="175" w:name="_Toc6719"/>
      <w:bookmarkStart w:id="176" w:name="_Toc15346"/>
      <w:bookmarkStart w:id="177" w:name="_Toc32470"/>
      <w:r>
        <w:rPr>
          <w:rFonts w:hint="eastAsia" w:ascii="宋体" w:hAnsi="宋体" w:eastAsia="宋体" w:cs="宋体"/>
          <w:color w:val="000000"/>
          <w:sz w:val="21"/>
          <w:szCs w:val="21"/>
          <w:highlight w:val="none"/>
          <w:shd w:val="clear" w:color="auto" w:fill="auto"/>
        </w:rPr>
        <w:t>22. 确定成交供应商</w:t>
      </w:r>
      <w:bookmarkEnd w:id="175"/>
      <w:bookmarkEnd w:id="176"/>
      <w:bookmarkEnd w:id="177"/>
    </w:p>
    <w:p w14:paraId="42889ECC">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22.1磋商小组应当根据综合得分情况，按照综合得分由高到低顺序推荐成交候选人，并编写评审报告。磋商小组根据综合得分由高到低排列次序，若得分相同时，以最后报价由低到高顺序排列；若得分相同且最后报价相同的，由磋商小组按照技术指标优劣顺序推荐。</w:t>
      </w:r>
    </w:p>
    <w:p w14:paraId="26FDFDF9">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22.2采购单位应当确定磋商小组推荐排名第一的成交候选人为成交供应商。</w:t>
      </w:r>
    </w:p>
    <w:p w14:paraId="3FBA76C3">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22.3排名第一的成交候选人放弃成交、因不可抗力提出不能履行合同，或信用信息记录不符合相关规定的，或者磋商文件规定应当提交履约保证金而在规定的期限内未能提交的，采购单位可以依法确定排名第二的成交候选人为成交供应商。</w:t>
      </w:r>
    </w:p>
    <w:p w14:paraId="146E1556">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22.4排名第二的成交候选人因前款规定的同样原因不能签订合同的，采购单位可以依法确定排名第三的成交候选人为成交供应商。</w:t>
      </w:r>
    </w:p>
    <w:p w14:paraId="456BB883">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bookmarkStart w:id="178" w:name="_Toc21715"/>
      <w:bookmarkStart w:id="179" w:name="_Toc582"/>
      <w:bookmarkStart w:id="180" w:name="_Toc30087"/>
      <w:r>
        <w:rPr>
          <w:rFonts w:hint="eastAsia" w:ascii="宋体" w:hAnsi="宋体" w:eastAsia="宋体" w:cs="宋体"/>
          <w:color w:val="000000"/>
          <w:sz w:val="21"/>
          <w:szCs w:val="21"/>
          <w:highlight w:val="none"/>
          <w:shd w:val="clear" w:color="auto" w:fill="auto"/>
        </w:rPr>
        <w:t>23. 属于下列情况之一者，响应文件无效</w:t>
      </w:r>
      <w:bookmarkEnd w:id="178"/>
      <w:bookmarkEnd w:id="179"/>
      <w:bookmarkEnd w:id="180"/>
    </w:p>
    <w:p w14:paraId="6F520777">
      <w:pPr>
        <w:pStyle w:val="2"/>
        <w:keepNext w:val="0"/>
        <w:keepLines w:val="0"/>
        <w:pageBreakBefore w:val="0"/>
        <w:widowControl w:val="0"/>
        <w:kinsoku/>
        <w:wordWrap w:val="0"/>
        <w:overflowPunct/>
        <w:topLinePunct w:val="0"/>
        <w:bidi w:val="0"/>
        <w:spacing w:line="360" w:lineRule="auto"/>
        <w:ind w:left="0" w:right="0" w:firstLine="456" w:firstLineChars="200"/>
        <w:outlineLvl w:val="1"/>
        <w:rPr>
          <w:rFonts w:hint="eastAsia" w:asciiTheme="minorEastAsia" w:hAnsiTheme="minorEastAsia" w:eastAsiaTheme="minorEastAsia" w:cstheme="minorEastAsia"/>
          <w:color w:val="auto"/>
          <w:position w:val="0"/>
          <w:sz w:val="21"/>
          <w:szCs w:val="21"/>
          <w:highlight w:val="none"/>
        </w:rPr>
      </w:pPr>
      <w:bookmarkStart w:id="181" w:name="_Toc933"/>
      <w:bookmarkStart w:id="182" w:name="_Toc28481"/>
      <w:r>
        <w:rPr>
          <w:rFonts w:hint="eastAsia" w:asciiTheme="minorEastAsia" w:hAnsiTheme="minorEastAsia" w:eastAsiaTheme="minorEastAsia" w:cstheme="minorEastAsia"/>
          <w:color w:val="auto"/>
          <w:spacing w:val="9"/>
          <w:position w:val="0"/>
          <w:sz w:val="21"/>
          <w:szCs w:val="21"/>
          <w:highlight w:val="none"/>
        </w:rPr>
        <w:t>（1）未按磋商文件规定完整线上提交响应文件或未按规定要求线上签字、签章的；</w:t>
      </w:r>
      <w:bookmarkEnd w:id="181"/>
      <w:bookmarkEnd w:id="182"/>
    </w:p>
    <w:p w14:paraId="1EC97E02">
      <w:pPr>
        <w:pStyle w:val="2"/>
        <w:keepNext w:val="0"/>
        <w:keepLines w:val="0"/>
        <w:pageBreakBefore w:val="0"/>
        <w:widowControl w:val="0"/>
        <w:kinsoku/>
        <w:wordWrap w:val="0"/>
        <w:overflowPunct/>
        <w:topLinePunct w:val="0"/>
        <w:bidi w:val="0"/>
        <w:spacing w:line="360" w:lineRule="auto"/>
        <w:ind w:left="0" w:right="0" w:firstLine="456" w:firstLineChars="200"/>
        <w:outlineLvl w:val="1"/>
        <w:rPr>
          <w:rFonts w:hint="eastAsia" w:asciiTheme="minorEastAsia" w:hAnsiTheme="minorEastAsia" w:eastAsiaTheme="minorEastAsia" w:cstheme="minorEastAsia"/>
          <w:color w:val="auto"/>
          <w:position w:val="0"/>
          <w:sz w:val="21"/>
          <w:szCs w:val="21"/>
          <w:highlight w:val="none"/>
        </w:rPr>
      </w:pPr>
      <w:bookmarkStart w:id="183" w:name="_Toc6460"/>
      <w:bookmarkStart w:id="184" w:name="_Toc14571"/>
      <w:r>
        <w:rPr>
          <w:rFonts w:hint="eastAsia" w:asciiTheme="minorEastAsia" w:hAnsiTheme="minorEastAsia" w:eastAsiaTheme="minorEastAsia" w:cstheme="minorEastAsia"/>
          <w:color w:val="auto"/>
          <w:spacing w:val="9"/>
          <w:position w:val="0"/>
          <w:sz w:val="21"/>
          <w:szCs w:val="21"/>
          <w:highlight w:val="none"/>
        </w:rPr>
        <w:t>（2）超越了按照法律法规规定必须获得行政许可或者行政审批的经营范围的；</w:t>
      </w:r>
      <w:bookmarkEnd w:id="183"/>
      <w:bookmarkEnd w:id="184"/>
    </w:p>
    <w:p w14:paraId="2DA904FC">
      <w:pPr>
        <w:pStyle w:val="2"/>
        <w:keepNext w:val="0"/>
        <w:keepLines w:val="0"/>
        <w:pageBreakBefore w:val="0"/>
        <w:widowControl w:val="0"/>
        <w:kinsoku/>
        <w:wordWrap w:val="0"/>
        <w:overflowPunct/>
        <w:topLinePunct w:val="0"/>
        <w:bidi w:val="0"/>
        <w:spacing w:line="360" w:lineRule="auto"/>
        <w:ind w:left="0" w:right="0" w:firstLine="452" w:firstLineChars="200"/>
        <w:outlineLvl w:val="1"/>
        <w:rPr>
          <w:rFonts w:hint="eastAsia" w:asciiTheme="minorEastAsia" w:hAnsiTheme="minorEastAsia" w:eastAsiaTheme="minorEastAsia" w:cstheme="minorEastAsia"/>
          <w:color w:val="auto"/>
          <w:position w:val="0"/>
          <w:sz w:val="21"/>
          <w:szCs w:val="21"/>
          <w:highlight w:val="none"/>
        </w:rPr>
      </w:pPr>
      <w:bookmarkStart w:id="185" w:name="_Toc11467"/>
      <w:bookmarkStart w:id="186" w:name="_Toc14419"/>
      <w:r>
        <w:rPr>
          <w:rFonts w:hint="eastAsia" w:asciiTheme="minorEastAsia" w:hAnsiTheme="minorEastAsia" w:eastAsiaTheme="minorEastAsia" w:cstheme="minorEastAsia"/>
          <w:color w:val="auto"/>
          <w:spacing w:val="8"/>
          <w:position w:val="0"/>
          <w:sz w:val="21"/>
          <w:szCs w:val="21"/>
          <w:highlight w:val="none"/>
        </w:rPr>
        <w:t>（3）不具备磋商文件规定的资格要求的；</w:t>
      </w:r>
      <w:bookmarkEnd w:id="185"/>
      <w:bookmarkEnd w:id="186"/>
    </w:p>
    <w:p w14:paraId="5CE55F2D">
      <w:pPr>
        <w:pStyle w:val="2"/>
        <w:keepNext w:val="0"/>
        <w:keepLines w:val="0"/>
        <w:pageBreakBefore w:val="0"/>
        <w:widowControl w:val="0"/>
        <w:kinsoku/>
        <w:wordWrap w:val="0"/>
        <w:overflowPunct/>
        <w:topLinePunct w:val="0"/>
        <w:bidi w:val="0"/>
        <w:spacing w:line="360" w:lineRule="auto"/>
        <w:ind w:left="0" w:right="0" w:firstLine="456" w:firstLineChars="200"/>
        <w:outlineLvl w:val="1"/>
        <w:rPr>
          <w:rFonts w:hint="eastAsia" w:asciiTheme="minorEastAsia" w:hAnsiTheme="minorEastAsia" w:eastAsiaTheme="minorEastAsia" w:cstheme="minorEastAsia"/>
          <w:color w:val="auto"/>
          <w:position w:val="0"/>
          <w:sz w:val="21"/>
          <w:szCs w:val="21"/>
          <w:highlight w:val="none"/>
        </w:rPr>
      </w:pPr>
      <w:bookmarkStart w:id="187" w:name="_Toc24492"/>
      <w:bookmarkStart w:id="188" w:name="_Toc8577"/>
      <w:r>
        <w:rPr>
          <w:rFonts w:hint="eastAsia" w:asciiTheme="minorEastAsia" w:hAnsiTheme="minorEastAsia" w:eastAsiaTheme="minorEastAsia" w:cstheme="minorEastAsia"/>
          <w:color w:val="auto"/>
          <w:spacing w:val="9"/>
          <w:position w:val="0"/>
          <w:sz w:val="21"/>
          <w:szCs w:val="21"/>
          <w:highlight w:val="none"/>
        </w:rPr>
        <w:t>（4）响应文件未按磋商文件的内容和要求编制，或提供虚假</w:t>
      </w:r>
      <w:r>
        <w:rPr>
          <w:rFonts w:hint="eastAsia" w:asciiTheme="minorEastAsia" w:hAnsiTheme="minorEastAsia" w:eastAsiaTheme="minorEastAsia" w:cstheme="minorEastAsia"/>
          <w:color w:val="auto"/>
          <w:spacing w:val="8"/>
          <w:position w:val="0"/>
          <w:sz w:val="21"/>
          <w:szCs w:val="21"/>
          <w:highlight w:val="none"/>
        </w:rPr>
        <w:t>材料的；</w:t>
      </w:r>
      <w:bookmarkEnd w:id="187"/>
      <w:bookmarkEnd w:id="188"/>
    </w:p>
    <w:p w14:paraId="431324D4">
      <w:pPr>
        <w:pStyle w:val="2"/>
        <w:keepNext w:val="0"/>
        <w:keepLines w:val="0"/>
        <w:pageBreakBefore w:val="0"/>
        <w:widowControl w:val="0"/>
        <w:kinsoku/>
        <w:wordWrap w:val="0"/>
        <w:overflowPunct/>
        <w:topLinePunct w:val="0"/>
        <w:bidi w:val="0"/>
        <w:spacing w:line="360" w:lineRule="auto"/>
        <w:ind w:left="0" w:right="0" w:firstLine="456" w:firstLineChars="200"/>
        <w:outlineLvl w:val="1"/>
        <w:rPr>
          <w:rFonts w:hint="eastAsia" w:asciiTheme="minorEastAsia" w:hAnsiTheme="minorEastAsia" w:eastAsiaTheme="minorEastAsia" w:cstheme="minorEastAsia"/>
          <w:color w:val="auto"/>
          <w:position w:val="0"/>
          <w:sz w:val="21"/>
          <w:szCs w:val="21"/>
          <w:highlight w:val="none"/>
        </w:rPr>
      </w:pPr>
      <w:bookmarkStart w:id="189" w:name="_Toc8065"/>
      <w:bookmarkStart w:id="190" w:name="_Toc12086"/>
      <w:r>
        <w:rPr>
          <w:rFonts w:hint="eastAsia" w:asciiTheme="minorEastAsia" w:hAnsiTheme="minorEastAsia" w:eastAsiaTheme="minorEastAsia" w:cstheme="minorEastAsia"/>
          <w:color w:val="auto"/>
          <w:spacing w:val="9"/>
          <w:position w:val="0"/>
          <w:sz w:val="21"/>
          <w:szCs w:val="21"/>
          <w:highlight w:val="none"/>
        </w:rPr>
        <w:t>（5）响应文件有效期、质量要求、工期要求不能满足磋商文件要求</w:t>
      </w:r>
      <w:r>
        <w:rPr>
          <w:rFonts w:hint="eastAsia" w:asciiTheme="minorEastAsia" w:hAnsiTheme="minorEastAsia" w:eastAsiaTheme="minorEastAsia" w:cstheme="minorEastAsia"/>
          <w:color w:val="auto"/>
          <w:spacing w:val="8"/>
          <w:position w:val="0"/>
          <w:sz w:val="21"/>
          <w:szCs w:val="21"/>
          <w:highlight w:val="none"/>
        </w:rPr>
        <w:t>的；</w:t>
      </w:r>
      <w:bookmarkEnd w:id="189"/>
      <w:bookmarkEnd w:id="190"/>
    </w:p>
    <w:p w14:paraId="70F5E609">
      <w:pPr>
        <w:pStyle w:val="2"/>
        <w:keepNext w:val="0"/>
        <w:keepLines w:val="0"/>
        <w:pageBreakBefore w:val="0"/>
        <w:widowControl w:val="0"/>
        <w:kinsoku/>
        <w:wordWrap w:val="0"/>
        <w:overflowPunct/>
        <w:topLinePunct w:val="0"/>
        <w:bidi w:val="0"/>
        <w:spacing w:line="360" w:lineRule="auto"/>
        <w:ind w:left="0" w:right="0" w:firstLine="452" w:firstLineChars="200"/>
        <w:outlineLvl w:val="1"/>
        <w:rPr>
          <w:rFonts w:hint="eastAsia" w:asciiTheme="minorEastAsia" w:hAnsiTheme="minorEastAsia" w:eastAsiaTheme="minorEastAsia" w:cstheme="minorEastAsia"/>
          <w:color w:val="auto"/>
          <w:position w:val="0"/>
          <w:sz w:val="21"/>
          <w:szCs w:val="21"/>
          <w:highlight w:val="none"/>
        </w:rPr>
      </w:pPr>
      <w:bookmarkStart w:id="191" w:name="_Toc8770"/>
      <w:r>
        <w:rPr>
          <w:rFonts w:hint="eastAsia" w:asciiTheme="minorEastAsia" w:hAnsiTheme="minorEastAsia" w:eastAsiaTheme="minorEastAsia" w:cstheme="minorEastAsia"/>
          <w:color w:val="auto"/>
          <w:spacing w:val="8"/>
          <w:position w:val="0"/>
          <w:sz w:val="21"/>
          <w:szCs w:val="21"/>
          <w:highlight w:val="none"/>
        </w:rPr>
        <w:t>（6）供应商磋商报价超出招标控制价</w:t>
      </w:r>
      <w:r>
        <w:rPr>
          <w:rFonts w:hint="eastAsia" w:asciiTheme="minorEastAsia" w:hAnsiTheme="minorEastAsia" w:eastAsiaTheme="minorEastAsia" w:cstheme="minorEastAsia"/>
          <w:color w:val="auto"/>
          <w:spacing w:val="8"/>
          <w:position w:val="0"/>
          <w:sz w:val="21"/>
          <w:szCs w:val="21"/>
          <w:highlight w:val="none"/>
          <w:lang w:val="en-US" w:eastAsia="zh-CN"/>
        </w:rPr>
        <w:t>（最高投标限价）</w:t>
      </w:r>
      <w:r>
        <w:rPr>
          <w:rFonts w:hint="eastAsia" w:asciiTheme="minorEastAsia" w:hAnsiTheme="minorEastAsia" w:eastAsiaTheme="minorEastAsia" w:cstheme="minorEastAsia"/>
          <w:color w:val="auto"/>
          <w:spacing w:val="8"/>
          <w:position w:val="0"/>
          <w:sz w:val="21"/>
          <w:szCs w:val="21"/>
          <w:highlight w:val="none"/>
        </w:rPr>
        <w:t>的；</w:t>
      </w:r>
      <w:bookmarkEnd w:id="191"/>
    </w:p>
    <w:p w14:paraId="698C087F">
      <w:pPr>
        <w:pStyle w:val="2"/>
        <w:keepNext w:val="0"/>
        <w:keepLines w:val="0"/>
        <w:pageBreakBefore w:val="0"/>
        <w:widowControl w:val="0"/>
        <w:kinsoku/>
        <w:wordWrap w:val="0"/>
        <w:overflowPunct/>
        <w:topLinePunct w:val="0"/>
        <w:bidi w:val="0"/>
        <w:spacing w:line="360" w:lineRule="auto"/>
        <w:ind w:left="0" w:right="0" w:firstLine="452" w:firstLineChars="200"/>
        <w:outlineLvl w:val="1"/>
        <w:rPr>
          <w:rFonts w:hint="eastAsia" w:asciiTheme="minorEastAsia" w:hAnsiTheme="minorEastAsia" w:eastAsiaTheme="minorEastAsia" w:cstheme="minorEastAsia"/>
          <w:color w:val="auto"/>
          <w:position w:val="0"/>
          <w:sz w:val="21"/>
          <w:szCs w:val="21"/>
          <w:highlight w:val="none"/>
        </w:rPr>
      </w:pPr>
      <w:bookmarkStart w:id="192" w:name="_Toc12984"/>
      <w:bookmarkStart w:id="193" w:name="_Toc5808"/>
      <w:r>
        <w:rPr>
          <w:rFonts w:hint="eastAsia" w:asciiTheme="minorEastAsia" w:hAnsiTheme="minorEastAsia" w:eastAsiaTheme="minorEastAsia" w:cstheme="minorEastAsia"/>
          <w:color w:val="auto"/>
          <w:spacing w:val="8"/>
          <w:position w:val="0"/>
          <w:sz w:val="21"/>
          <w:szCs w:val="21"/>
          <w:highlight w:val="none"/>
        </w:rPr>
        <w:t>（7）未在磋商小组规定的时间内提交响应文件(包括最后报价)的；</w:t>
      </w:r>
      <w:bookmarkEnd w:id="192"/>
      <w:bookmarkEnd w:id="193"/>
    </w:p>
    <w:p w14:paraId="4BA77452">
      <w:pPr>
        <w:pStyle w:val="2"/>
        <w:keepNext w:val="0"/>
        <w:keepLines w:val="0"/>
        <w:pageBreakBefore w:val="0"/>
        <w:widowControl w:val="0"/>
        <w:kinsoku/>
        <w:wordWrap w:val="0"/>
        <w:overflowPunct/>
        <w:topLinePunct w:val="0"/>
        <w:bidi w:val="0"/>
        <w:spacing w:line="360" w:lineRule="auto"/>
        <w:ind w:left="0" w:right="0" w:firstLine="456" w:firstLineChars="200"/>
        <w:outlineLvl w:val="1"/>
        <w:rPr>
          <w:rFonts w:hint="eastAsia" w:asciiTheme="minorEastAsia" w:hAnsiTheme="minorEastAsia" w:eastAsiaTheme="minorEastAsia" w:cstheme="minorEastAsia"/>
          <w:color w:val="auto"/>
          <w:position w:val="0"/>
          <w:sz w:val="21"/>
          <w:szCs w:val="21"/>
          <w:highlight w:val="none"/>
        </w:rPr>
      </w:pPr>
      <w:bookmarkStart w:id="194" w:name="_Toc32236"/>
      <w:bookmarkStart w:id="195" w:name="_Toc10884"/>
      <w:r>
        <w:rPr>
          <w:rFonts w:hint="eastAsia" w:asciiTheme="minorEastAsia" w:hAnsiTheme="minorEastAsia" w:eastAsiaTheme="minorEastAsia" w:cstheme="minorEastAsia"/>
          <w:color w:val="auto"/>
          <w:spacing w:val="9"/>
          <w:position w:val="0"/>
          <w:sz w:val="21"/>
          <w:szCs w:val="21"/>
          <w:highlight w:val="none"/>
        </w:rPr>
        <w:t>（8）未满足磋商文件实质性要求的或者响应文件有采购人不能接受的附加条件的；</w:t>
      </w:r>
      <w:bookmarkEnd w:id="194"/>
      <w:bookmarkEnd w:id="195"/>
    </w:p>
    <w:p w14:paraId="1419C11E">
      <w:pPr>
        <w:pStyle w:val="2"/>
        <w:keepNext w:val="0"/>
        <w:keepLines w:val="0"/>
        <w:pageBreakBefore w:val="0"/>
        <w:widowControl w:val="0"/>
        <w:kinsoku/>
        <w:wordWrap w:val="0"/>
        <w:overflowPunct/>
        <w:topLinePunct w:val="0"/>
        <w:bidi w:val="0"/>
        <w:spacing w:line="360" w:lineRule="auto"/>
        <w:ind w:left="0" w:right="0" w:firstLine="456" w:firstLineChars="200"/>
        <w:outlineLvl w:val="1"/>
        <w:rPr>
          <w:rFonts w:hint="eastAsia" w:asciiTheme="minorEastAsia" w:hAnsiTheme="minorEastAsia" w:eastAsiaTheme="minorEastAsia" w:cstheme="minorEastAsia"/>
          <w:color w:val="auto"/>
          <w:position w:val="0"/>
          <w:sz w:val="21"/>
          <w:szCs w:val="21"/>
          <w:highlight w:val="none"/>
        </w:rPr>
      </w:pPr>
      <w:bookmarkStart w:id="196" w:name="_Toc9753"/>
      <w:bookmarkStart w:id="197" w:name="_Toc14955"/>
      <w:r>
        <w:rPr>
          <w:rFonts w:hint="eastAsia" w:asciiTheme="minorEastAsia" w:hAnsiTheme="minorEastAsia" w:eastAsiaTheme="minorEastAsia" w:cstheme="minorEastAsia"/>
          <w:color w:val="auto"/>
          <w:spacing w:val="9"/>
          <w:position w:val="0"/>
          <w:sz w:val="21"/>
          <w:szCs w:val="21"/>
          <w:highlight w:val="none"/>
        </w:rPr>
        <w:t>（9）响应文件实质性要求未做变动，供应商最后报价高于第一次报价</w:t>
      </w:r>
      <w:r>
        <w:rPr>
          <w:rFonts w:hint="eastAsia" w:asciiTheme="minorEastAsia" w:hAnsiTheme="minorEastAsia" w:eastAsiaTheme="minorEastAsia" w:cstheme="minorEastAsia"/>
          <w:color w:val="auto"/>
          <w:spacing w:val="8"/>
          <w:position w:val="0"/>
          <w:sz w:val="21"/>
          <w:szCs w:val="21"/>
          <w:highlight w:val="none"/>
        </w:rPr>
        <w:t>的；</w:t>
      </w:r>
      <w:bookmarkEnd w:id="196"/>
      <w:bookmarkEnd w:id="197"/>
    </w:p>
    <w:p w14:paraId="56397B63">
      <w:pPr>
        <w:pStyle w:val="2"/>
        <w:keepNext w:val="0"/>
        <w:keepLines w:val="0"/>
        <w:pageBreakBefore w:val="0"/>
        <w:widowControl w:val="0"/>
        <w:kinsoku/>
        <w:wordWrap w:val="0"/>
        <w:overflowPunct/>
        <w:topLinePunct w:val="0"/>
        <w:bidi w:val="0"/>
        <w:spacing w:line="360" w:lineRule="auto"/>
        <w:ind w:left="0" w:right="0" w:firstLine="456" w:firstLineChars="200"/>
        <w:rPr>
          <w:rFonts w:hint="eastAsia" w:asciiTheme="minorEastAsia" w:hAnsiTheme="minorEastAsia" w:eastAsiaTheme="minorEastAsia" w:cstheme="minorEastAsia"/>
          <w:color w:val="auto"/>
          <w:position w:val="0"/>
          <w:sz w:val="21"/>
          <w:szCs w:val="21"/>
          <w:highlight w:val="none"/>
        </w:rPr>
      </w:pPr>
      <w:r>
        <w:rPr>
          <w:rFonts w:hint="eastAsia" w:asciiTheme="minorEastAsia" w:hAnsiTheme="minorEastAsia" w:eastAsiaTheme="minorEastAsia" w:cstheme="minorEastAsia"/>
          <w:color w:val="auto"/>
          <w:spacing w:val="9"/>
          <w:position w:val="0"/>
          <w:sz w:val="21"/>
          <w:szCs w:val="21"/>
          <w:highlight w:val="none"/>
        </w:rPr>
        <w:t>（10）不符合法律、法规和磋商文件规定的其他</w:t>
      </w:r>
      <w:r>
        <w:rPr>
          <w:rFonts w:hint="eastAsia" w:asciiTheme="minorEastAsia" w:hAnsiTheme="minorEastAsia" w:eastAsiaTheme="minorEastAsia" w:cstheme="minorEastAsia"/>
          <w:color w:val="auto"/>
          <w:spacing w:val="8"/>
          <w:position w:val="0"/>
          <w:sz w:val="21"/>
          <w:szCs w:val="21"/>
          <w:highlight w:val="none"/>
        </w:rPr>
        <w:t>实质性要求和条件的。</w:t>
      </w:r>
    </w:p>
    <w:p w14:paraId="36FB45A9">
      <w:pPr>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bCs/>
          <w:color w:val="000000"/>
          <w:sz w:val="21"/>
          <w:szCs w:val="21"/>
          <w:highlight w:val="none"/>
          <w:shd w:val="clear" w:color="auto" w:fill="auto"/>
        </w:rPr>
      </w:pPr>
      <w:r>
        <w:rPr>
          <w:rFonts w:hint="eastAsia" w:ascii="宋体" w:hAnsi="宋体" w:eastAsia="宋体" w:cs="宋体"/>
          <w:b/>
          <w:bCs/>
          <w:color w:val="000000"/>
          <w:sz w:val="21"/>
          <w:szCs w:val="21"/>
          <w:highlight w:val="none"/>
          <w:shd w:val="clear" w:color="auto" w:fill="auto"/>
        </w:rPr>
        <w:t>供应商有下列情形之一的视为供应商相互串通磋商，响应文件将被视为无效</w:t>
      </w:r>
    </w:p>
    <w:p w14:paraId="01E12863">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（1）不同供应商的响应文件由同一单位或者个人编制；或不同供应商报名的IP地址一致的；</w:t>
      </w:r>
    </w:p>
    <w:p w14:paraId="5D77B31C">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（2）不同供应商委托同一单位或者个人办理磋商事宜；</w:t>
      </w:r>
    </w:p>
    <w:p w14:paraId="2DC6D688">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（3）不同的供应商的响应文件载明的项目管理员为同一个人；</w:t>
      </w:r>
    </w:p>
    <w:p w14:paraId="23FB06F2">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（4）不同供应商的响应文件异常一致或磋商报价呈规律性差异；</w:t>
      </w:r>
    </w:p>
    <w:p w14:paraId="34EC5B0B">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（5）不同供应商的响应文件相互混编。</w:t>
      </w:r>
    </w:p>
    <w:p w14:paraId="37C592A0">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bookmarkStart w:id="198" w:name="_Toc5714"/>
      <w:bookmarkStart w:id="199" w:name="_Toc4124"/>
      <w:bookmarkStart w:id="200" w:name="_Toc14842"/>
      <w:r>
        <w:rPr>
          <w:rFonts w:hint="eastAsia" w:ascii="宋体" w:hAnsi="宋体" w:eastAsia="宋体" w:cs="宋体"/>
          <w:color w:val="000000"/>
          <w:sz w:val="21"/>
          <w:szCs w:val="21"/>
          <w:highlight w:val="none"/>
          <w:shd w:val="clear" w:color="auto" w:fill="auto"/>
        </w:rPr>
        <w:t>24. 出现下列情形之一的，采购人或者采购代理机构应当终止竞争性磋商采购活动，发布项目终止公告并说明原因，重新开展采购活动</w:t>
      </w:r>
      <w:bookmarkEnd w:id="198"/>
      <w:bookmarkEnd w:id="199"/>
      <w:bookmarkEnd w:id="200"/>
    </w:p>
    <w:p w14:paraId="26261776">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（1）因情况变化，不再符合规定的竞争性磋商采购方式适用情形的；</w:t>
      </w:r>
    </w:p>
    <w:p w14:paraId="6A81C48A">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 xml:space="preserve">（2）出现影响采购公正的违法、违规行为的； </w:t>
      </w:r>
    </w:p>
    <w:p w14:paraId="0126C79C">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 xml:space="preserve">（3）在采购过程中符合竞争要求的供应商或者报价未超过采购预算的供应商不足3家的。（除财库〔2014〕214 号《政府采购竞争性磋商采购方式管理暂行办法》第二十一条第三款规定的情形外） </w:t>
      </w:r>
    </w:p>
    <w:p w14:paraId="5B7C4E4B">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bookmarkStart w:id="201" w:name="_Toc19105"/>
      <w:bookmarkStart w:id="202" w:name="_Toc7572"/>
      <w:bookmarkStart w:id="203" w:name="_Toc6771"/>
      <w:r>
        <w:rPr>
          <w:rFonts w:hint="eastAsia" w:ascii="宋体" w:hAnsi="宋体" w:eastAsia="宋体" w:cs="宋体"/>
          <w:color w:val="000000"/>
          <w:sz w:val="21"/>
          <w:szCs w:val="21"/>
          <w:highlight w:val="none"/>
          <w:shd w:val="clear" w:color="auto" w:fill="auto"/>
        </w:rPr>
        <w:t>25. 磋商过程的监控</w:t>
      </w:r>
      <w:bookmarkEnd w:id="201"/>
      <w:bookmarkEnd w:id="202"/>
      <w:bookmarkEnd w:id="203"/>
    </w:p>
    <w:p w14:paraId="48599BED">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本项目磋商过程实行全程录音、录像监控，供应商在磋商过程中所进行的试图影响磋商结果的不公正活动，可能导致其磋商被拒绝。</w:t>
      </w:r>
    </w:p>
    <w:p w14:paraId="2B1E79F1">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bookmarkStart w:id="204" w:name="_Toc7544"/>
      <w:bookmarkStart w:id="205" w:name="_Toc1014"/>
      <w:bookmarkStart w:id="206" w:name="_Toc14787"/>
      <w:r>
        <w:rPr>
          <w:rFonts w:hint="eastAsia" w:ascii="宋体" w:hAnsi="宋体" w:eastAsia="宋体" w:cs="宋体"/>
          <w:color w:val="000000"/>
          <w:sz w:val="21"/>
          <w:szCs w:val="21"/>
          <w:highlight w:val="none"/>
          <w:shd w:val="clear" w:color="auto" w:fill="auto"/>
        </w:rPr>
        <w:t>26. 信用查询</w:t>
      </w:r>
      <w:bookmarkEnd w:id="204"/>
      <w:bookmarkEnd w:id="205"/>
      <w:bookmarkEnd w:id="206"/>
    </w:p>
    <w:p w14:paraId="06BC3BA8">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根据《关于做好政府采购有关信用主体标识码登记及在政府采购活动中查询使用信用记录有关问题的通知》桂财采〔2016〕37号的通知，采购代理机构对成交供应商的成交资格进行信用查询：</w:t>
      </w:r>
    </w:p>
    <w:p w14:paraId="6194E1BA">
      <w:pPr>
        <w:pageBreakBefore w:val="0"/>
        <w:widowControl w:val="0"/>
        <w:kinsoku/>
        <w:wordWrap/>
        <w:overflowPunct/>
        <w:topLinePunct w:val="0"/>
        <w:autoSpaceDE/>
        <w:autoSpaceDN/>
        <w:bidi w:val="0"/>
        <w:adjustRightInd/>
        <w:spacing w:line="360" w:lineRule="auto"/>
        <w:ind w:left="0" w:leftChars="0" w:firstLine="210" w:firstLineChars="1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（1）查询渠道：“信用中国”网站(www.creditchina.gov.cn)、中国政府采购网(www.ccgp.gov.cn)等；</w:t>
      </w:r>
    </w:p>
    <w:p w14:paraId="21D87B36">
      <w:pPr>
        <w:pageBreakBefore w:val="0"/>
        <w:widowControl w:val="0"/>
        <w:kinsoku/>
        <w:wordWrap/>
        <w:overflowPunct/>
        <w:topLinePunct w:val="0"/>
        <w:autoSpaceDE/>
        <w:autoSpaceDN/>
        <w:bidi w:val="0"/>
        <w:adjustRightInd/>
        <w:spacing w:line="360" w:lineRule="auto"/>
        <w:ind w:left="0" w:leftChars="0" w:firstLine="210" w:firstLineChars="1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（2）查询时间：成交通知书发出前；</w:t>
      </w:r>
    </w:p>
    <w:p w14:paraId="485628C3">
      <w:pPr>
        <w:pageBreakBefore w:val="0"/>
        <w:widowControl w:val="0"/>
        <w:kinsoku/>
        <w:wordWrap/>
        <w:overflowPunct/>
        <w:topLinePunct w:val="0"/>
        <w:autoSpaceDE/>
        <w:autoSpaceDN/>
        <w:bidi w:val="0"/>
        <w:adjustRightInd/>
        <w:spacing w:line="360" w:lineRule="auto"/>
        <w:ind w:left="0" w:leftChars="0" w:firstLine="210" w:firstLineChars="1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（3）信用信息查询记录和证据留存方式：在查询网站中直接打印查询记录，打印材料作为采购活动资料保存。</w:t>
      </w:r>
    </w:p>
    <w:p w14:paraId="2C67525F">
      <w:pPr>
        <w:pageBreakBefore w:val="0"/>
        <w:widowControl w:val="0"/>
        <w:kinsoku/>
        <w:wordWrap/>
        <w:overflowPunct/>
        <w:topLinePunct w:val="0"/>
        <w:autoSpaceDE/>
        <w:autoSpaceDN/>
        <w:bidi w:val="0"/>
        <w:adjustRightInd/>
        <w:spacing w:line="360" w:lineRule="auto"/>
        <w:ind w:left="0" w:leftChars="0" w:firstLine="210" w:firstLineChars="1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（4）信用信息使用规则：对在“信用中国”网站(www.creditchina.gov.cn)、中国政府采购网(www.ccgp.gov.cn)等渠道列入失信被执行人、</w:t>
      </w:r>
      <w:r>
        <w:rPr>
          <w:rFonts w:hint="eastAsia" w:ascii="宋体" w:hAnsi="宋体" w:eastAsia="宋体" w:cs="宋体"/>
          <w:color w:val="000000"/>
          <w:sz w:val="21"/>
          <w:szCs w:val="21"/>
          <w:highlight w:val="none"/>
          <w:shd w:val="clear" w:color="auto" w:fill="auto"/>
          <w:lang w:eastAsia="zh-CN"/>
        </w:rPr>
        <w:t>重大税收违法失信主体</w:t>
      </w:r>
      <w:r>
        <w:rPr>
          <w:rFonts w:hint="eastAsia" w:ascii="宋体" w:hAnsi="宋体" w:eastAsia="宋体" w:cs="宋体"/>
          <w:color w:val="000000"/>
          <w:sz w:val="21"/>
          <w:szCs w:val="21"/>
          <w:highlight w:val="none"/>
          <w:shd w:val="clear" w:color="auto" w:fill="auto"/>
        </w:rPr>
        <w:t>、政府采购严重违法失信行为记录名单及其他不符合《中华人民共和国政府采购法》第二十二条规定条件的供应商，不得参与政府采购活动，取消其成交候选人资格。采购人依法按照评审报告中磋商小组推荐成交候选人排序表依法确定排名第二的成交候选人为成交供应商或者重新组织采购。</w:t>
      </w:r>
    </w:p>
    <w:p w14:paraId="3FFF25BE">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bookmarkStart w:id="207" w:name="_Toc28958"/>
      <w:bookmarkStart w:id="208" w:name="_Toc13703"/>
      <w:bookmarkStart w:id="209" w:name="_Toc9438"/>
      <w:r>
        <w:rPr>
          <w:rFonts w:hint="eastAsia" w:ascii="宋体" w:hAnsi="宋体" w:eastAsia="宋体" w:cs="宋体"/>
          <w:color w:val="000000"/>
          <w:sz w:val="21"/>
          <w:szCs w:val="21"/>
          <w:highlight w:val="none"/>
          <w:shd w:val="clear" w:color="auto" w:fill="auto"/>
        </w:rPr>
        <w:t>27. 成交结果公告及成交通知书</w:t>
      </w:r>
      <w:bookmarkEnd w:id="207"/>
      <w:bookmarkEnd w:id="208"/>
      <w:bookmarkEnd w:id="209"/>
    </w:p>
    <w:p w14:paraId="36AAC114">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6503F72D">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27.2 在发布成交公告的同时，采购代理机构向成交供应商发出成交通知书。成交供应商自接到通知之日起七个工作日内，办理成交通知书领取手续。</w:t>
      </w:r>
    </w:p>
    <w:p w14:paraId="567B9438">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27.3 采购代理机构无义务向未成交的供应商解释未成交原因和退还响应文件。</w:t>
      </w:r>
      <w:bookmarkStart w:id="210" w:name="_Toc25593"/>
      <w:bookmarkStart w:id="211" w:name="_Toc7859"/>
    </w:p>
    <w:p w14:paraId="0EAA0FCA">
      <w:pPr>
        <w:pageBreakBefore w:val="0"/>
        <w:widowControl w:val="0"/>
        <w:kinsoku/>
        <w:wordWrap/>
        <w:overflowPunct/>
        <w:topLinePunct w:val="0"/>
        <w:autoSpaceDE/>
        <w:autoSpaceDN/>
        <w:bidi w:val="0"/>
        <w:adjustRightInd/>
        <w:spacing w:line="360" w:lineRule="auto"/>
        <w:ind w:left="0" w:leftChars="0"/>
        <w:jc w:val="center"/>
        <w:textAlignment w:val="auto"/>
        <w:outlineLvl w:val="1"/>
        <w:rPr>
          <w:rFonts w:hint="eastAsia" w:ascii="宋体" w:hAnsi="宋体" w:eastAsia="宋体" w:cs="宋体"/>
          <w:b/>
          <w:bCs/>
          <w:color w:val="000000"/>
          <w:sz w:val="21"/>
          <w:szCs w:val="21"/>
          <w:highlight w:val="none"/>
          <w:shd w:val="clear" w:color="auto" w:fill="auto"/>
        </w:rPr>
      </w:pPr>
      <w:bookmarkStart w:id="212" w:name="_Toc8877"/>
    </w:p>
    <w:p w14:paraId="5312CDE6">
      <w:pPr>
        <w:pageBreakBefore w:val="0"/>
        <w:widowControl w:val="0"/>
        <w:kinsoku/>
        <w:wordWrap/>
        <w:overflowPunct/>
        <w:topLinePunct w:val="0"/>
        <w:autoSpaceDE/>
        <w:autoSpaceDN/>
        <w:bidi w:val="0"/>
        <w:adjustRightInd/>
        <w:spacing w:line="360" w:lineRule="auto"/>
        <w:ind w:left="0" w:leftChars="0"/>
        <w:jc w:val="center"/>
        <w:textAlignment w:val="auto"/>
        <w:outlineLvl w:val="1"/>
        <w:rPr>
          <w:rFonts w:hint="eastAsia" w:ascii="宋体" w:hAnsi="宋体" w:eastAsia="宋体" w:cs="宋体"/>
          <w:b/>
          <w:bCs/>
          <w:color w:val="000000"/>
          <w:sz w:val="21"/>
          <w:szCs w:val="21"/>
          <w:highlight w:val="none"/>
          <w:shd w:val="clear" w:color="auto" w:fill="auto"/>
        </w:rPr>
      </w:pPr>
    </w:p>
    <w:p w14:paraId="2D95CC42">
      <w:pPr>
        <w:pageBreakBefore w:val="0"/>
        <w:widowControl w:val="0"/>
        <w:kinsoku/>
        <w:wordWrap/>
        <w:overflowPunct/>
        <w:topLinePunct w:val="0"/>
        <w:autoSpaceDE/>
        <w:autoSpaceDN/>
        <w:bidi w:val="0"/>
        <w:adjustRightInd/>
        <w:spacing w:line="360" w:lineRule="auto"/>
        <w:ind w:left="0" w:leftChars="0"/>
        <w:jc w:val="center"/>
        <w:textAlignment w:val="auto"/>
        <w:outlineLvl w:val="1"/>
        <w:rPr>
          <w:rFonts w:hint="eastAsia" w:ascii="宋体" w:hAnsi="宋体" w:eastAsia="宋体" w:cs="宋体"/>
          <w:b/>
          <w:bCs/>
          <w:color w:val="000000"/>
          <w:sz w:val="21"/>
          <w:szCs w:val="21"/>
          <w:highlight w:val="none"/>
          <w:shd w:val="clear" w:color="auto" w:fill="auto"/>
        </w:rPr>
      </w:pPr>
      <w:r>
        <w:rPr>
          <w:rFonts w:hint="eastAsia" w:ascii="宋体" w:hAnsi="宋体" w:eastAsia="宋体" w:cs="宋体"/>
          <w:b/>
          <w:bCs/>
          <w:color w:val="000000"/>
          <w:sz w:val="21"/>
          <w:szCs w:val="21"/>
          <w:highlight w:val="none"/>
          <w:shd w:val="clear" w:color="auto" w:fill="auto"/>
        </w:rPr>
        <w:t>五、签订合同</w:t>
      </w:r>
      <w:bookmarkEnd w:id="210"/>
      <w:bookmarkEnd w:id="211"/>
      <w:bookmarkEnd w:id="212"/>
    </w:p>
    <w:p w14:paraId="75C91B60">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lang w:val="en-US" w:eastAsia="zh-CN"/>
        </w:rPr>
      </w:pPr>
      <w:bookmarkStart w:id="213" w:name="_Toc20760"/>
      <w:bookmarkStart w:id="214" w:name="_Toc21789"/>
      <w:bookmarkStart w:id="215" w:name="_Toc26520"/>
      <w:r>
        <w:rPr>
          <w:rFonts w:hint="eastAsia" w:ascii="宋体" w:hAnsi="宋体" w:eastAsia="宋体" w:cs="宋体"/>
          <w:color w:val="000000"/>
          <w:sz w:val="21"/>
          <w:szCs w:val="21"/>
          <w:highlight w:val="none"/>
          <w:shd w:val="clear" w:color="auto" w:fill="auto"/>
        </w:rPr>
        <w:t>28. 履约保证金</w:t>
      </w:r>
      <w:bookmarkEnd w:id="213"/>
      <w:bookmarkEnd w:id="214"/>
      <w:bookmarkEnd w:id="215"/>
      <w:bookmarkStart w:id="216" w:name="_Toc10846"/>
      <w:bookmarkStart w:id="217" w:name="_Toc8924"/>
      <w:bookmarkStart w:id="218" w:name="_Toc4956"/>
      <w:r>
        <w:rPr>
          <w:rFonts w:hint="eastAsia" w:ascii="宋体" w:hAnsi="宋体" w:eastAsia="宋体" w:cs="宋体"/>
          <w:color w:val="000000"/>
          <w:sz w:val="21"/>
          <w:szCs w:val="21"/>
          <w:highlight w:val="none"/>
          <w:shd w:val="clear" w:color="auto" w:fill="auto"/>
          <w:lang w:val="en-US" w:eastAsia="zh-CN"/>
        </w:rPr>
        <w:t xml:space="preserve"> </w:t>
      </w:r>
    </w:p>
    <w:p w14:paraId="096C5332">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lang w:val="en-US" w:eastAsia="zh-CN"/>
        </w:rPr>
      </w:pPr>
      <w:r>
        <w:rPr>
          <w:rFonts w:hint="eastAsia" w:ascii="宋体" w:hAnsi="宋体" w:eastAsia="宋体" w:cs="宋体"/>
          <w:color w:val="000000"/>
          <w:sz w:val="21"/>
          <w:szCs w:val="21"/>
          <w:highlight w:val="none"/>
          <w:shd w:val="clear" w:color="auto" w:fill="auto"/>
          <w:lang w:val="en-US" w:eastAsia="zh-CN"/>
        </w:rPr>
        <w:t>本项目无需递交履约保证金</w:t>
      </w:r>
      <w:r>
        <w:rPr>
          <w:rFonts w:hint="eastAsia" w:ascii="宋体" w:hAnsi="宋体" w:eastAsia="宋体" w:cs="宋体"/>
          <w:color w:val="000000"/>
          <w:sz w:val="21"/>
          <w:szCs w:val="21"/>
          <w:highlight w:val="none"/>
          <w:shd w:val="clear" w:color="auto" w:fill="auto"/>
        </w:rPr>
        <w:t>。</w:t>
      </w:r>
    </w:p>
    <w:p w14:paraId="3FCEE627">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29. 签订合同</w:t>
      </w:r>
      <w:bookmarkEnd w:id="216"/>
      <w:bookmarkEnd w:id="217"/>
      <w:bookmarkEnd w:id="218"/>
    </w:p>
    <w:p w14:paraId="08CF00D5">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29.1 签订合同时间：成交通知书发出之日</w:t>
      </w:r>
      <w:r>
        <w:rPr>
          <w:rFonts w:hint="eastAsia" w:ascii="宋体" w:hAnsi="宋体" w:eastAsia="宋体" w:cs="宋体"/>
          <w:color w:val="000000"/>
          <w:sz w:val="21"/>
          <w:szCs w:val="21"/>
          <w:highlight w:val="none"/>
          <w:shd w:val="clear" w:color="auto" w:fill="auto"/>
          <w:lang w:eastAsia="zh-CN"/>
        </w:rPr>
        <w:t>起8工作日内签订合同</w:t>
      </w:r>
      <w:r>
        <w:rPr>
          <w:rFonts w:hint="eastAsia" w:ascii="宋体" w:hAnsi="宋体" w:eastAsia="宋体" w:cs="宋体"/>
          <w:color w:val="000000"/>
          <w:sz w:val="21"/>
          <w:szCs w:val="21"/>
          <w:highlight w:val="none"/>
          <w:shd w:val="clear" w:color="auto" w:fill="auto"/>
        </w:rPr>
        <w:t>。成交供应商领取成交通知书后，应按规定与采购人签订合同。</w:t>
      </w:r>
    </w:p>
    <w:p w14:paraId="5EC87BA7">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07251C49">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（1）成交后不与采购人签订合同的（不可抗力除外）；</w:t>
      </w:r>
    </w:p>
    <w:p w14:paraId="148DD831">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（2）将成交项目转让给他人，或者在响应文件中未说明，且未经采购人同意，将成交项目分包给他人的；</w:t>
      </w:r>
    </w:p>
    <w:p w14:paraId="2854BA85">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（3）拒绝履行合同义务的。</w:t>
      </w:r>
    </w:p>
    <w:p w14:paraId="01C421DC">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29.3 合同备案存档：</w:t>
      </w:r>
      <w:r>
        <w:rPr>
          <w:rFonts w:hint="eastAsia" w:ascii="宋体" w:hAnsi="宋体" w:eastAsia="宋体" w:cs="宋体"/>
          <w:bCs/>
          <w:color w:val="000000"/>
          <w:kern w:val="0"/>
          <w:sz w:val="21"/>
          <w:szCs w:val="21"/>
          <w:highlight w:val="none"/>
          <w:shd w:val="clear" w:color="auto" w:fill="auto"/>
        </w:rPr>
        <w:t>政府采购合同双方自签订之日起1个工作日内将合同原件</w:t>
      </w:r>
      <w:r>
        <w:rPr>
          <w:rFonts w:hint="eastAsia" w:ascii="宋体" w:hAnsi="宋体" w:eastAsia="宋体" w:cs="宋体"/>
          <w:bCs/>
          <w:color w:val="000000"/>
          <w:kern w:val="0"/>
          <w:sz w:val="21"/>
          <w:szCs w:val="21"/>
          <w:highlight w:val="none"/>
          <w:shd w:val="clear" w:color="auto" w:fill="auto"/>
          <w:lang w:val="en-US" w:eastAsia="zh-CN"/>
        </w:rPr>
        <w:t>壹</w:t>
      </w:r>
      <w:r>
        <w:rPr>
          <w:rFonts w:hint="eastAsia" w:ascii="宋体" w:hAnsi="宋体" w:eastAsia="宋体" w:cs="宋体"/>
          <w:bCs/>
          <w:color w:val="000000"/>
          <w:kern w:val="0"/>
          <w:sz w:val="21"/>
          <w:szCs w:val="21"/>
          <w:highlight w:val="none"/>
          <w:shd w:val="clear" w:color="auto" w:fill="auto"/>
        </w:rPr>
        <w:t>份交采购代理机构。采购代理机构将政府采购合同在省级以上人民政府财政部门指定媒体上公告。</w:t>
      </w:r>
      <w:bookmarkStart w:id="219" w:name="_Toc24218"/>
      <w:bookmarkStart w:id="220" w:name="_Toc3819"/>
      <w:bookmarkStart w:id="221" w:name="_Toc16348"/>
    </w:p>
    <w:p w14:paraId="6E6DF33F">
      <w:pPr>
        <w:pageBreakBefore w:val="0"/>
        <w:widowControl w:val="0"/>
        <w:kinsoku/>
        <w:wordWrap/>
        <w:overflowPunct/>
        <w:topLinePunct w:val="0"/>
        <w:autoSpaceDE/>
        <w:autoSpaceDN/>
        <w:bidi w:val="0"/>
        <w:adjustRightInd/>
        <w:spacing w:line="360" w:lineRule="auto"/>
        <w:ind w:left="0" w:leftChars="0"/>
        <w:jc w:val="center"/>
        <w:textAlignment w:val="auto"/>
        <w:outlineLvl w:val="1"/>
        <w:rPr>
          <w:rFonts w:hint="eastAsia" w:ascii="宋体" w:hAnsi="宋体" w:eastAsia="宋体" w:cs="宋体"/>
          <w:b/>
          <w:bCs/>
          <w:color w:val="000000"/>
          <w:sz w:val="21"/>
          <w:szCs w:val="21"/>
          <w:highlight w:val="none"/>
          <w:shd w:val="clear" w:color="auto" w:fill="auto"/>
        </w:rPr>
      </w:pPr>
      <w:r>
        <w:rPr>
          <w:rFonts w:hint="eastAsia" w:ascii="宋体" w:hAnsi="宋体" w:eastAsia="宋体" w:cs="宋体"/>
          <w:b/>
          <w:bCs/>
          <w:color w:val="000000"/>
          <w:sz w:val="21"/>
          <w:szCs w:val="21"/>
          <w:highlight w:val="none"/>
          <w:shd w:val="clear" w:color="auto" w:fill="auto"/>
        </w:rPr>
        <w:t>六、其他事项</w:t>
      </w:r>
      <w:bookmarkEnd w:id="219"/>
      <w:bookmarkEnd w:id="220"/>
      <w:bookmarkEnd w:id="221"/>
    </w:p>
    <w:p w14:paraId="62CC08F6">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bookmarkStart w:id="222" w:name="_Toc20283"/>
      <w:bookmarkStart w:id="223" w:name="_Toc3434"/>
      <w:bookmarkStart w:id="224" w:name="_Toc28647"/>
      <w:r>
        <w:rPr>
          <w:rFonts w:hint="eastAsia" w:ascii="宋体" w:hAnsi="宋体" w:eastAsia="宋体" w:cs="宋体"/>
          <w:color w:val="000000"/>
          <w:sz w:val="21"/>
          <w:szCs w:val="21"/>
          <w:highlight w:val="none"/>
          <w:shd w:val="clear" w:color="auto" w:fill="auto"/>
        </w:rPr>
        <w:t>30. 采购代理服务费</w:t>
      </w:r>
      <w:bookmarkEnd w:id="222"/>
      <w:bookmarkEnd w:id="223"/>
      <w:bookmarkEnd w:id="224"/>
    </w:p>
    <w:p w14:paraId="77D3462D">
      <w:pPr>
        <w:pageBreakBefore w:val="0"/>
        <w:widowControl w:val="0"/>
        <w:kinsoku/>
        <w:wordWrap/>
        <w:overflowPunct/>
        <w:topLinePunct w:val="0"/>
        <w:autoSpaceDE/>
        <w:autoSpaceDN/>
        <w:bidi w:val="0"/>
        <w:adjustRightInd/>
        <w:spacing w:line="360" w:lineRule="auto"/>
        <w:ind w:left="0" w:leftChars="0" w:firstLine="420"/>
        <w:textAlignment w:val="auto"/>
        <w:rPr>
          <w:rFonts w:hint="eastAsia" w:ascii="宋体" w:hAnsi="宋体" w:eastAsia="宋体" w:cs="宋体"/>
          <w:color w:val="000000"/>
          <w:sz w:val="21"/>
          <w:szCs w:val="21"/>
          <w:highlight w:val="none"/>
          <w:shd w:val="clear" w:color="auto" w:fill="auto"/>
        </w:rPr>
      </w:pPr>
      <w:bookmarkStart w:id="225" w:name="_Toc12374"/>
      <w:r>
        <w:rPr>
          <w:rFonts w:hint="eastAsia" w:ascii="宋体" w:hAnsi="宋体" w:eastAsia="宋体" w:cs="宋体"/>
          <w:color w:val="000000"/>
          <w:sz w:val="21"/>
          <w:szCs w:val="21"/>
          <w:highlight w:val="none"/>
          <w:shd w:val="clear" w:color="auto" w:fill="auto"/>
        </w:rPr>
        <w:t>30.1成交供应商在领取成交通知书前，向采购代理机构一次性付清采购代理服务费，本项目采购代理服务收费标准参照计价格〔2002〕1980号《招标代理服务收费管理暂行办法》工程类收费标准向成交供应商收取。</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14:paraId="00DAF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880" w:type="dxa"/>
            <w:noWrap w:val="0"/>
            <w:vAlign w:val="top"/>
          </w:tcPr>
          <w:p w14:paraId="37E0B152">
            <w:pPr>
              <w:wordWrap w:val="0"/>
              <w:spacing w:line="360" w:lineRule="auto"/>
              <w:ind w:left="25"/>
              <w:rPr>
                <w:rFonts w:hint="eastAsia" w:ascii="宋体" w:hAnsi="宋体" w:eastAsia="宋体" w:cs="宋体"/>
                <w:szCs w:val="21"/>
                <w:highlight w:val="none"/>
              </w:rPr>
            </w:pPr>
            <w:r>
              <w:rPr>
                <w:rFonts w:hint="eastAsia" w:ascii="宋体" w:hAnsi="宋体" w:eastAsia="宋体" w:cs="宋体"/>
                <w:szCs w:val="21"/>
                <w:highlight w:val="none"/>
              </w:rPr>
              <mc:AlternateContent>
                <mc:Choice Requires="wps">
                  <w:drawing>
                    <wp:anchor distT="0" distB="0" distL="114300" distR="114300" simplePos="0" relativeHeight="251660288"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2" name="直线 6"/>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23.35pt;margin-top:0.85pt;height:51.45pt;width:115.25pt;z-index:251660288;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gFT&#10;NNYAAAAIAQAADwAAAAAAAAABACAAAAAiAAAAZHJzL2Rvd25yZXYueG1sUEsBAhQAFAAAAAgAh07i&#10;QJiR+ODrAQAA4AMAAA4AAAAAAAAAAQAgAAAAJQEAAGRycy9lMm9Eb2MueG1sUEsFBgAAAAAGAAYA&#10;WQEAAIIFAAAAAA==&#10;">
                      <v:fill on="f" focussize="0,0"/>
                      <v:stroke color="#000000" joinstyle="round"/>
                      <v:imagedata o:title=""/>
                      <o:lock v:ext="edit" aspectratio="f"/>
                    </v:line>
                  </w:pict>
                </mc:Fallback>
              </mc:AlternateContent>
            </w:r>
            <w:r>
              <w:rPr>
                <w:rFonts w:hint="eastAsia" w:ascii="宋体" w:hAnsi="宋体" w:eastAsia="宋体" w:cs="宋体"/>
                <w:szCs w:val="21"/>
                <w:highlight w:val="none"/>
              </w:rPr>
              <w:t>费率         服务类型</w:t>
            </w:r>
          </w:p>
          <w:p w14:paraId="6235A343">
            <w:pPr>
              <w:wordWrap w:val="0"/>
              <w:spacing w:line="360" w:lineRule="auto"/>
              <w:ind w:left="25"/>
              <w:rPr>
                <w:rFonts w:hint="eastAsia" w:ascii="宋体" w:hAnsi="宋体" w:eastAsia="宋体" w:cs="宋体"/>
                <w:szCs w:val="21"/>
                <w:highlight w:val="none"/>
              </w:rPr>
            </w:pPr>
            <w:r>
              <w:rPr>
                <w:rFonts w:hint="eastAsia" w:ascii="宋体" w:hAnsi="宋体" w:eastAsia="宋体" w:cs="宋体"/>
                <w:szCs w:val="21"/>
                <w:highlight w:val="none"/>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3" name="直线 7"/>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5.4pt;margin-top:3.1pt;height:31.2pt;width:144pt;z-index:251661312;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AOr0TWAAAACAEAAA8AAAAAAAAAAQAgAAAAIgAAAGRycy9kb3ducmV2LnhtbFBLAQIUABQAAAAI&#10;AIdO4kBO/4i57wEAAOADAAAOAAAAAAAAAAEAIAAAACUBAABkcnMvZTJvRG9jLnhtbFBLBQYAAAAA&#10;BgAGAFkBAACGBQAAAAA=&#10;">
                      <v:fill on="f" focussize="0,0"/>
                      <v:stroke color="#000000" joinstyle="round"/>
                      <v:imagedata o:title=""/>
                      <o:lock v:ext="edit" aspectratio="f"/>
                    </v:line>
                  </w:pict>
                </mc:Fallback>
              </mc:AlternateContent>
            </w:r>
          </w:p>
          <w:p w14:paraId="5B355001">
            <w:pPr>
              <w:wordWrap w:val="0"/>
              <w:spacing w:line="360" w:lineRule="auto"/>
              <w:ind w:left="25"/>
              <w:rPr>
                <w:rFonts w:hint="eastAsia" w:ascii="宋体" w:hAnsi="宋体" w:eastAsia="宋体" w:cs="宋体"/>
                <w:szCs w:val="21"/>
                <w:highlight w:val="none"/>
              </w:rPr>
            </w:pPr>
            <w:r>
              <w:rPr>
                <w:rFonts w:hint="eastAsia" w:ascii="宋体" w:hAnsi="宋体" w:eastAsia="宋体" w:cs="宋体"/>
                <w:szCs w:val="21"/>
                <w:highlight w:val="none"/>
              </w:rPr>
              <w:t>中标金额（万元）</w:t>
            </w:r>
          </w:p>
        </w:tc>
        <w:tc>
          <w:tcPr>
            <w:tcW w:w="1841" w:type="dxa"/>
            <w:noWrap w:val="0"/>
            <w:vAlign w:val="center"/>
          </w:tcPr>
          <w:p w14:paraId="12EA1202">
            <w:pPr>
              <w:wordWrap w:val="0"/>
              <w:spacing w:line="360" w:lineRule="auto"/>
              <w:ind w:left="25"/>
              <w:jc w:val="center"/>
              <w:rPr>
                <w:rFonts w:hint="eastAsia" w:ascii="宋体" w:hAnsi="宋体" w:eastAsia="宋体" w:cs="宋体"/>
                <w:szCs w:val="21"/>
                <w:highlight w:val="none"/>
              </w:rPr>
            </w:pPr>
            <w:r>
              <w:rPr>
                <w:rFonts w:hint="eastAsia" w:ascii="宋体" w:hAnsi="宋体" w:eastAsia="宋体" w:cs="宋体"/>
                <w:szCs w:val="21"/>
                <w:highlight w:val="none"/>
              </w:rPr>
              <w:t>货物招标</w:t>
            </w:r>
          </w:p>
        </w:tc>
        <w:tc>
          <w:tcPr>
            <w:tcW w:w="1992" w:type="dxa"/>
            <w:noWrap w:val="0"/>
            <w:vAlign w:val="center"/>
          </w:tcPr>
          <w:p w14:paraId="2770B4E4">
            <w:pPr>
              <w:wordWrap w:val="0"/>
              <w:spacing w:line="360" w:lineRule="auto"/>
              <w:ind w:left="25"/>
              <w:jc w:val="center"/>
              <w:rPr>
                <w:rFonts w:hint="eastAsia" w:ascii="宋体" w:hAnsi="宋体" w:eastAsia="宋体" w:cs="宋体"/>
                <w:szCs w:val="21"/>
                <w:highlight w:val="none"/>
              </w:rPr>
            </w:pPr>
            <w:r>
              <w:rPr>
                <w:rFonts w:hint="eastAsia" w:ascii="宋体" w:hAnsi="宋体" w:eastAsia="宋体" w:cs="宋体"/>
                <w:szCs w:val="21"/>
                <w:highlight w:val="none"/>
              </w:rPr>
              <w:t>服务招标</w:t>
            </w:r>
          </w:p>
        </w:tc>
        <w:tc>
          <w:tcPr>
            <w:tcW w:w="2293" w:type="dxa"/>
            <w:noWrap w:val="0"/>
            <w:vAlign w:val="center"/>
          </w:tcPr>
          <w:p w14:paraId="39CCE043">
            <w:pPr>
              <w:wordWrap w:val="0"/>
              <w:spacing w:line="360" w:lineRule="auto"/>
              <w:ind w:left="25"/>
              <w:jc w:val="center"/>
              <w:rPr>
                <w:rFonts w:hint="eastAsia" w:ascii="宋体" w:hAnsi="宋体" w:eastAsia="宋体" w:cs="宋体"/>
                <w:szCs w:val="21"/>
                <w:highlight w:val="none"/>
              </w:rPr>
            </w:pPr>
            <w:r>
              <w:rPr>
                <w:rFonts w:hint="eastAsia" w:ascii="宋体" w:hAnsi="宋体" w:eastAsia="宋体" w:cs="宋体"/>
                <w:szCs w:val="21"/>
                <w:highlight w:val="none"/>
              </w:rPr>
              <w:t>工程招标</w:t>
            </w:r>
          </w:p>
        </w:tc>
      </w:tr>
      <w:tr w14:paraId="35F4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2880" w:type="dxa"/>
            <w:noWrap w:val="0"/>
            <w:vAlign w:val="top"/>
          </w:tcPr>
          <w:p w14:paraId="393E1415">
            <w:pPr>
              <w:wordWrap w:val="0"/>
              <w:spacing w:line="360" w:lineRule="auto"/>
              <w:ind w:left="25"/>
              <w:rPr>
                <w:rFonts w:hint="eastAsia" w:ascii="宋体" w:hAnsi="宋体" w:eastAsia="宋体" w:cs="宋体"/>
                <w:szCs w:val="21"/>
                <w:highlight w:val="none"/>
              </w:rPr>
            </w:pPr>
            <w:r>
              <w:rPr>
                <w:rFonts w:hint="eastAsia" w:ascii="宋体" w:hAnsi="宋体" w:eastAsia="宋体" w:cs="宋体"/>
                <w:szCs w:val="21"/>
                <w:highlight w:val="none"/>
              </w:rPr>
              <w:t>100以下</w:t>
            </w:r>
          </w:p>
        </w:tc>
        <w:tc>
          <w:tcPr>
            <w:tcW w:w="1841" w:type="dxa"/>
            <w:noWrap w:val="0"/>
            <w:vAlign w:val="top"/>
          </w:tcPr>
          <w:p w14:paraId="6754311A">
            <w:pPr>
              <w:wordWrap w:val="0"/>
              <w:spacing w:line="360" w:lineRule="auto"/>
              <w:ind w:left="25"/>
              <w:jc w:val="center"/>
              <w:rPr>
                <w:rFonts w:hint="eastAsia" w:ascii="宋体" w:hAnsi="宋体" w:eastAsia="宋体" w:cs="宋体"/>
                <w:szCs w:val="21"/>
                <w:highlight w:val="none"/>
              </w:rPr>
            </w:pPr>
            <w:r>
              <w:rPr>
                <w:rFonts w:hint="eastAsia" w:ascii="宋体" w:hAnsi="宋体" w:eastAsia="宋体" w:cs="宋体"/>
                <w:szCs w:val="21"/>
                <w:highlight w:val="none"/>
              </w:rPr>
              <w:t>1.5%</w:t>
            </w:r>
          </w:p>
        </w:tc>
        <w:tc>
          <w:tcPr>
            <w:tcW w:w="1992" w:type="dxa"/>
            <w:noWrap w:val="0"/>
            <w:vAlign w:val="top"/>
          </w:tcPr>
          <w:p w14:paraId="2626F9C7">
            <w:pPr>
              <w:wordWrap w:val="0"/>
              <w:spacing w:line="360" w:lineRule="auto"/>
              <w:ind w:left="25"/>
              <w:jc w:val="center"/>
              <w:rPr>
                <w:rFonts w:hint="eastAsia" w:ascii="宋体" w:hAnsi="宋体" w:eastAsia="宋体" w:cs="宋体"/>
                <w:szCs w:val="21"/>
                <w:highlight w:val="none"/>
              </w:rPr>
            </w:pPr>
            <w:r>
              <w:rPr>
                <w:rFonts w:hint="eastAsia" w:ascii="宋体" w:hAnsi="宋体" w:eastAsia="宋体" w:cs="宋体"/>
                <w:szCs w:val="21"/>
                <w:highlight w:val="none"/>
              </w:rPr>
              <w:t>1.5%</w:t>
            </w:r>
          </w:p>
        </w:tc>
        <w:tc>
          <w:tcPr>
            <w:tcW w:w="2293" w:type="dxa"/>
            <w:noWrap w:val="0"/>
            <w:vAlign w:val="top"/>
          </w:tcPr>
          <w:p w14:paraId="1B61C371">
            <w:pPr>
              <w:wordWrap w:val="0"/>
              <w:spacing w:line="360" w:lineRule="auto"/>
              <w:ind w:left="25"/>
              <w:jc w:val="center"/>
              <w:rPr>
                <w:rFonts w:hint="eastAsia" w:ascii="宋体" w:hAnsi="宋体" w:eastAsia="宋体" w:cs="宋体"/>
                <w:szCs w:val="21"/>
                <w:highlight w:val="none"/>
              </w:rPr>
            </w:pPr>
            <w:r>
              <w:rPr>
                <w:rFonts w:hint="eastAsia" w:ascii="宋体" w:hAnsi="宋体" w:eastAsia="宋体" w:cs="宋体"/>
                <w:szCs w:val="21"/>
                <w:highlight w:val="none"/>
              </w:rPr>
              <w:t>1.0%</w:t>
            </w:r>
          </w:p>
        </w:tc>
      </w:tr>
      <w:tr w14:paraId="60AF5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jc w:val="center"/>
        </w:trPr>
        <w:tc>
          <w:tcPr>
            <w:tcW w:w="2880" w:type="dxa"/>
            <w:noWrap w:val="0"/>
            <w:vAlign w:val="top"/>
          </w:tcPr>
          <w:p w14:paraId="1987F8E6">
            <w:pPr>
              <w:wordWrap w:val="0"/>
              <w:spacing w:line="360" w:lineRule="auto"/>
              <w:ind w:left="25"/>
              <w:rPr>
                <w:rFonts w:hint="eastAsia" w:ascii="宋体" w:hAnsi="宋体" w:eastAsia="宋体" w:cs="宋体"/>
                <w:szCs w:val="21"/>
                <w:highlight w:val="none"/>
              </w:rPr>
            </w:pPr>
            <w:r>
              <w:rPr>
                <w:rFonts w:hint="eastAsia" w:ascii="宋体" w:hAnsi="宋体" w:eastAsia="宋体" w:cs="宋体"/>
                <w:szCs w:val="21"/>
                <w:highlight w:val="none"/>
              </w:rPr>
              <w:t>100-500</w:t>
            </w:r>
          </w:p>
        </w:tc>
        <w:tc>
          <w:tcPr>
            <w:tcW w:w="1841" w:type="dxa"/>
            <w:noWrap w:val="0"/>
            <w:vAlign w:val="top"/>
          </w:tcPr>
          <w:p w14:paraId="46AEAFAD">
            <w:pPr>
              <w:wordWrap w:val="0"/>
              <w:spacing w:line="360" w:lineRule="auto"/>
              <w:ind w:left="25"/>
              <w:jc w:val="center"/>
              <w:rPr>
                <w:rFonts w:hint="eastAsia" w:ascii="宋体" w:hAnsi="宋体" w:eastAsia="宋体" w:cs="宋体"/>
                <w:szCs w:val="21"/>
                <w:highlight w:val="none"/>
              </w:rPr>
            </w:pPr>
            <w:r>
              <w:rPr>
                <w:rFonts w:hint="eastAsia" w:ascii="宋体" w:hAnsi="宋体" w:eastAsia="宋体" w:cs="宋体"/>
                <w:szCs w:val="21"/>
                <w:highlight w:val="none"/>
              </w:rPr>
              <w:t>1.1%</w:t>
            </w:r>
          </w:p>
        </w:tc>
        <w:tc>
          <w:tcPr>
            <w:tcW w:w="1992" w:type="dxa"/>
            <w:noWrap w:val="0"/>
            <w:vAlign w:val="top"/>
          </w:tcPr>
          <w:p w14:paraId="530130DE">
            <w:pPr>
              <w:wordWrap w:val="0"/>
              <w:spacing w:line="360" w:lineRule="auto"/>
              <w:ind w:left="25"/>
              <w:jc w:val="center"/>
              <w:rPr>
                <w:rFonts w:hint="eastAsia" w:ascii="宋体" w:hAnsi="宋体" w:eastAsia="宋体" w:cs="宋体"/>
                <w:szCs w:val="21"/>
                <w:highlight w:val="none"/>
              </w:rPr>
            </w:pPr>
            <w:r>
              <w:rPr>
                <w:rFonts w:hint="eastAsia" w:ascii="宋体" w:hAnsi="宋体" w:eastAsia="宋体" w:cs="宋体"/>
                <w:szCs w:val="21"/>
                <w:highlight w:val="none"/>
              </w:rPr>
              <w:t>0.8%</w:t>
            </w:r>
          </w:p>
        </w:tc>
        <w:tc>
          <w:tcPr>
            <w:tcW w:w="2293" w:type="dxa"/>
            <w:noWrap w:val="0"/>
            <w:vAlign w:val="top"/>
          </w:tcPr>
          <w:p w14:paraId="513E7E9D">
            <w:pPr>
              <w:wordWrap w:val="0"/>
              <w:spacing w:line="360" w:lineRule="auto"/>
              <w:ind w:left="25"/>
              <w:jc w:val="center"/>
              <w:rPr>
                <w:rFonts w:hint="eastAsia" w:ascii="宋体" w:hAnsi="宋体" w:eastAsia="宋体" w:cs="宋体"/>
                <w:szCs w:val="21"/>
                <w:highlight w:val="none"/>
              </w:rPr>
            </w:pPr>
            <w:r>
              <w:rPr>
                <w:rFonts w:hint="eastAsia" w:ascii="宋体" w:hAnsi="宋体" w:eastAsia="宋体" w:cs="宋体"/>
                <w:szCs w:val="21"/>
                <w:highlight w:val="none"/>
              </w:rPr>
              <w:t>0.7%</w:t>
            </w:r>
          </w:p>
        </w:tc>
      </w:tr>
      <w:tr w14:paraId="7B078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880" w:type="dxa"/>
            <w:noWrap w:val="0"/>
            <w:vAlign w:val="top"/>
          </w:tcPr>
          <w:p w14:paraId="4A7E85ED">
            <w:pPr>
              <w:wordWrap w:val="0"/>
              <w:spacing w:line="360" w:lineRule="auto"/>
              <w:ind w:left="25"/>
              <w:rPr>
                <w:rFonts w:hint="eastAsia" w:ascii="宋体" w:hAnsi="宋体" w:eastAsia="宋体" w:cs="宋体"/>
                <w:szCs w:val="21"/>
                <w:highlight w:val="none"/>
              </w:rPr>
            </w:pPr>
            <w:r>
              <w:rPr>
                <w:rFonts w:hint="eastAsia" w:ascii="宋体" w:hAnsi="宋体" w:eastAsia="宋体" w:cs="宋体"/>
                <w:szCs w:val="21"/>
                <w:highlight w:val="none"/>
              </w:rPr>
              <w:t>500-1000</w:t>
            </w:r>
          </w:p>
        </w:tc>
        <w:tc>
          <w:tcPr>
            <w:tcW w:w="1841" w:type="dxa"/>
            <w:noWrap w:val="0"/>
            <w:vAlign w:val="top"/>
          </w:tcPr>
          <w:p w14:paraId="6D1D22A1">
            <w:pPr>
              <w:wordWrap w:val="0"/>
              <w:spacing w:line="360" w:lineRule="auto"/>
              <w:ind w:left="25"/>
              <w:jc w:val="center"/>
              <w:rPr>
                <w:rFonts w:hint="eastAsia" w:ascii="宋体" w:hAnsi="宋体" w:eastAsia="宋体" w:cs="宋体"/>
                <w:szCs w:val="21"/>
                <w:highlight w:val="none"/>
              </w:rPr>
            </w:pPr>
            <w:r>
              <w:rPr>
                <w:rFonts w:hint="eastAsia" w:ascii="宋体" w:hAnsi="宋体" w:eastAsia="宋体" w:cs="宋体"/>
                <w:szCs w:val="21"/>
                <w:highlight w:val="none"/>
              </w:rPr>
              <w:t>0.8%</w:t>
            </w:r>
          </w:p>
        </w:tc>
        <w:tc>
          <w:tcPr>
            <w:tcW w:w="1992" w:type="dxa"/>
            <w:noWrap w:val="0"/>
            <w:vAlign w:val="top"/>
          </w:tcPr>
          <w:p w14:paraId="10C67575">
            <w:pPr>
              <w:wordWrap w:val="0"/>
              <w:spacing w:line="360" w:lineRule="auto"/>
              <w:ind w:left="25"/>
              <w:jc w:val="center"/>
              <w:rPr>
                <w:rFonts w:hint="eastAsia" w:ascii="宋体" w:hAnsi="宋体" w:eastAsia="宋体" w:cs="宋体"/>
                <w:szCs w:val="21"/>
                <w:highlight w:val="none"/>
              </w:rPr>
            </w:pPr>
            <w:r>
              <w:rPr>
                <w:rFonts w:hint="eastAsia" w:ascii="宋体" w:hAnsi="宋体" w:eastAsia="宋体" w:cs="宋体"/>
                <w:szCs w:val="21"/>
                <w:highlight w:val="none"/>
              </w:rPr>
              <w:t>0.45%</w:t>
            </w:r>
          </w:p>
        </w:tc>
        <w:tc>
          <w:tcPr>
            <w:tcW w:w="2293" w:type="dxa"/>
            <w:noWrap w:val="0"/>
            <w:vAlign w:val="top"/>
          </w:tcPr>
          <w:p w14:paraId="1AB7B6E4">
            <w:pPr>
              <w:wordWrap w:val="0"/>
              <w:spacing w:line="360" w:lineRule="auto"/>
              <w:ind w:left="25"/>
              <w:jc w:val="center"/>
              <w:rPr>
                <w:rFonts w:hint="eastAsia" w:ascii="宋体" w:hAnsi="宋体" w:eastAsia="宋体" w:cs="宋体"/>
                <w:szCs w:val="21"/>
                <w:highlight w:val="none"/>
              </w:rPr>
            </w:pPr>
            <w:r>
              <w:rPr>
                <w:rFonts w:hint="eastAsia" w:ascii="宋体" w:hAnsi="宋体" w:eastAsia="宋体" w:cs="宋体"/>
                <w:szCs w:val="21"/>
                <w:highlight w:val="none"/>
              </w:rPr>
              <w:t>0.55%</w:t>
            </w:r>
          </w:p>
        </w:tc>
      </w:tr>
      <w:tr w14:paraId="2AD4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880" w:type="dxa"/>
            <w:noWrap w:val="0"/>
            <w:vAlign w:val="top"/>
          </w:tcPr>
          <w:p w14:paraId="500786DB">
            <w:pPr>
              <w:wordWrap w:val="0"/>
              <w:spacing w:line="360" w:lineRule="auto"/>
              <w:ind w:left="25"/>
              <w:rPr>
                <w:rFonts w:hint="eastAsia" w:ascii="宋体" w:hAnsi="宋体" w:eastAsia="宋体" w:cs="宋体"/>
                <w:szCs w:val="21"/>
                <w:highlight w:val="none"/>
              </w:rPr>
            </w:pPr>
            <w:r>
              <w:rPr>
                <w:rFonts w:hint="eastAsia" w:ascii="宋体" w:hAnsi="宋体" w:eastAsia="宋体" w:cs="宋体"/>
                <w:szCs w:val="21"/>
                <w:highlight w:val="none"/>
              </w:rPr>
              <w:t>1000-5000</w:t>
            </w:r>
          </w:p>
        </w:tc>
        <w:tc>
          <w:tcPr>
            <w:tcW w:w="1841" w:type="dxa"/>
            <w:noWrap w:val="0"/>
            <w:vAlign w:val="top"/>
          </w:tcPr>
          <w:p w14:paraId="2FE1468D">
            <w:pPr>
              <w:wordWrap w:val="0"/>
              <w:spacing w:line="360" w:lineRule="auto"/>
              <w:ind w:left="25"/>
              <w:jc w:val="center"/>
              <w:rPr>
                <w:rFonts w:hint="eastAsia" w:ascii="宋体" w:hAnsi="宋体" w:eastAsia="宋体" w:cs="宋体"/>
                <w:szCs w:val="21"/>
                <w:highlight w:val="none"/>
              </w:rPr>
            </w:pPr>
            <w:r>
              <w:rPr>
                <w:rFonts w:hint="eastAsia" w:ascii="宋体" w:hAnsi="宋体" w:eastAsia="宋体" w:cs="宋体"/>
                <w:szCs w:val="21"/>
                <w:highlight w:val="none"/>
              </w:rPr>
              <w:t>0.5%</w:t>
            </w:r>
          </w:p>
        </w:tc>
        <w:tc>
          <w:tcPr>
            <w:tcW w:w="1992" w:type="dxa"/>
            <w:noWrap w:val="0"/>
            <w:vAlign w:val="top"/>
          </w:tcPr>
          <w:p w14:paraId="1BE54592">
            <w:pPr>
              <w:wordWrap w:val="0"/>
              <w:spacing w:line="360" w:lineRule="auto"/>
              <w:ind w:left="25"/>
              <w:jc w:val="center"/>
              <w:rPr>
                <w:rFonts w:hint="eastAsia" w:ascii="宋体" w:hAnsi="宋体" w:eastAsia="宋体" w:cs="宋体"/>
                <w:szCs w:val="21"/>
                <w:highlight w:val="none"/>
              </w:rPr>
            </w:pPr>
            <w:r>
              <w:rPr>
                <w:rFonts w:hint="eastAsia" w:ascii="宋体" w:hAnsi="宋体" w:eastAsia="宋体" w:cs="宋体"/>
                <w:szCs w:val="21"/>
                <w:highlight w:val="none"/>
              </w:rPr>
              <w:t>0.25%</w:t>
            </w:r>
          </w:p>
        </w:tc>
        <w:tc>
          <w:tcPr>
            <w:tcW w:w="2293" w:type="dxa"/>
            <w:noWrap w:val="0"/>
            <w:vAlign w:val="top"/>
          </w:tcPr>
          <w:p w14:paraId="717A58FE">
            <w:pPr>
              <w:wordWrap w:val="0"/>
              <w:spacing w:line="360" w:lineRule="auto"/>
              <w:ind w:left="25"/>
              <w:jc w:val="center"/>
              <w:rPr>
                <w:rFonts w:hint="eastAsia" w:ascii="宋体" w:hAnsi="宋体" w:eastAsia="宋体" w:cs="宋体"/>
                <w:szCs w:val="21"/>
                <w:highlight w:val="none"/>
              </w:rPr>
            </w:pPr>
            <w:r>
              <w:rPr>
                <w:rFonts w:hint="eastAsia" w:ascii="宋体" w:hAnsi="宋体" w:eastAsia="宋体" w:cs="宋体"/>
                <w:szCs w:val="21"/>
                <w:highlight w:val="none"/>
              </w:rPr>
              <w:t>0.35%</w:t>
            </w:r>
          </w:p>
        </w:tc>
      </w:tr>
      <w:tr w14:paraId="1A47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880" w:type="dxa"/>
            <w:noWrap w:val="0"/>
            <w:vAlign w:val="top"/>
          </w:tcPr>
          <w:p w14:paraId="223461C7">
            <w:pPr>
              <w:wordWrap w:val="0"/>
              <w:spacing w:line="360" w:lineRule="auto"/>
              <w:ind w:left="25"/>
              <w:rPr>
                <w:rFonts w:hint="eastAsia" w:ascii="宋体" w:hAnsi="宋体" w:eastAsia="宋体" w:cs="宋体"/>
                <w:szCs w:val="21"/>
                <w:highlight w:val="none"/>
              </w:rPr>
            </w:pPr>
            <w:r>
              <w:rPr>
                <w:rFonts w:hint="eastAsia" w:ascii="宋体" w:hAnsi="宋体" w:eastAsia="宋体" w:cs="宋体"/>
                <w:szCs w:val="21"/>
                <w:highlight w:val="none"/>
              </w:rPr>
              <w:t>5000-10000</w:t>
            </w:r>
          </w:p>
        </w:tc>
        <w:tc>
          <w:tcPr>
            <w:tcW w:w="1841" w:type="dxa"/>
            <w:noWrap w:val="0"/>
            <w:vAlign w:val="top"/>
          </w:tcPr>
          <w:p w14:paraId="2B41A598">
            <w:pPr>
              <w:wordWrap w:val="0"/>
              <w:spacing w:line="360" w:lineRule="auto"/>
              <w:ind w:left="25"/>
              <w:jc w:val="center"/>
              <w:rPr>
                <w:rFonts w:hint="eastAsia" w:ascii="宋体" w:hAnsi="宋体" w:eastAsia="宋体" w:cs="宋体"/>
                <w:szCs w:val="21"/>
                <w:highlight w:val="none"/>
              </w:rPr>
            </w:pPr>
            <w:r>
              <w:rPr>
                <w:rFonts w:hint="eastAsia" w:ascii="宋体" w:hAnsi="宋体" w:eastAsia="宋体" w:cs="宋体"/>
                <w:szCs w:val="21"/>
                <w:highlight w:val="none"/>
              </w:rPr>
              <w:t>0.25%</w:t>
            </w:r>
          </w:p>
        </w:tc>
        <w:tc>
          <w:tcPr>
            <w:tcW w:w="1992" w:type="dxa"/>
            <w:noWrap w:val="0"/>
            <w:vAlign w:val="top"/>
          </w:tcPr>
          <w:p w14:paraId="6B61C3D8">
            <w:pPr>
              <w:wordWrap w:val="0"/>
              <w:spacing w:line="360" w:lineRule="auto"/>
              <w:ind w:left="25"/>
              <w:jc w:val="center"/>
              <w:rPr>
                <w:rFonts w:hint="eastAsia" w:ascii="宋体" w:hAnsi="宋体" w:eastAsia="宋体" w:cs="宋体"/>
                <w:szCs w:val="21"/>
                <w:highlight w:val="none"/>
              </w:rPr>
            </w:pPr>
            <w:r>
              <w:rPr>
                <w:rFonts w:hint="eastAsia" w:ascii="宋体" w:hAnsi="宋体" w:eastAsia="宋体" w:cs="宋体"/>
                <w:szCs w:val="21"/>
                <w:highlight w:val="none"/>
              </w:rPr>
              <w:t>0.1%</w:t>
            </w:r>
          </w:p>
        </w:tc>
        <w:tc>
          <w:tcPr>
            <w:tcW w:w="2293" w:type="dxa"/>
            <w:noWrap w:val="0"/>
            <w:vAlign w:val="top"/>
          </w:tcPr>
          <w:p w14:paraId="23DE83CE">
            <w:pPr>
              <w:wordWrap w:val="0"/>
              <w:spacing w:line="360" w:lineRule="auto"/>
              <w:ind w:left="25"/>
              <w:jc w:val="center"/>
              <w:rPr>
                <w:rFonts w:hint="eastAsia" w:ascii="宋体" w:hAnsi="宋体" w:eastAsia="宋体" w:cs="宋体"/>
                <w:szCs w:val="21"/>
                <w:highlight w:val="none"/>
              </w:rPr>
            </w:pPr>
            <w:r>
              <w:rPr>
                <w:rFonts w:hint="eastAsia" w:ascii="宋体" w:hAnsi="宋体" w:eastAsia="宋体" w:cs="宋体"/>
                <w:szCs w:val="21"/>
                <w:highlight w:val="none"/>
              </w:rPr>
              <w:t>0.2%</w:t>
            </w:r>
          </w:p>
        </w:tc>
      </w:tr>
    </w:tbl>
    <w:p w14:paraId="4F265FB9">
      <w:pPr>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注：采购代理服务收费按差额定率累进法计算。</w:t>
      </w:r>
    </w:p>
    <w:p w14:paraId="061C7452">
      <w:pPr>
        <w:pageBreakBefore w:val="0"/>
        <w:widowControl w:val="0"/>
        <w:kinsoku/>
        <w:wordWrap/>
        <w:overflowPunct/>
        <w:topLinePunct w:val="0"/>
        <w:autoSpaceDE/>
        <w:autoSpaceDN/>
        <w:bidi w:val="0"/>
        <w:adjustRightInd/>
        <w:spacing w:line="360" w:lineRule="auto"/>
        <w:ind w:left="0" w:leftChars="0" w:firstLine="422"/>
        <w:textAlignment w:val="auto"/>
        <w:rPr>
          <w:rFonts w:hint="eastAsia" w:ascii="宋体" w:hAnsi="宋体" w:eastAsia="宋体" w:cs="宋体"/>
          <w:bCs/>
          <w:color w:val="000000"/>
          <w:sz w:val="21"/>
          <w:szCs w:val="21"/>
          <w:highlight w:val="none"/>
          <w:shd w:val="clear" w:color="auto" w:fill="auto"/>
        </w:rPr>
      </w:pPr>
      <w:r>
        <w:rPr>
          <w:rFonts w:hint="eastAsia" w:ascii="宋体" w:hAnsi="宋体" w:eastAsia="宋体" w:cs="宋体"/>
          <w:bCs/>
          <w:color w:val="000000"/>
          <w:sz w:val="21"/>
          <w:szCs w:val="21"/>
          <w:highlight w:val="none"/>
          <w:shd w:val="clear" w:color="auto" w:fill="auto"/>
        </w:rPr>
        <w:t>30.2采购代理服务费交纳账户：</w:t>
      </w:r>
    </w:p>
    <w:p w14:paraId="1AF5539A">
      <w:pPr>
        <w:pStyle w:val="22"/>
        <w:snapToGrid w:val="0"/>
        <w:spacing w:line="360" w:lineRule="auto"/>
        <w:ind w:firstLine="420" w:firstLineChars="200"/>
        <w:rPr>
          <w:rFonts w:hAnsi="宋体" w:cs="宋体"/>
          <w:bCs/>
          <w:color w:val="auto"/>
          <w:sz w:val="21"/>
          <w:szCs w:val="21"/>
          <w:highlight w:val="none"/>
        </w:rPr>
      </w:pPr>
      <w:bookmarkStart w:id="226" w:name="_Toc7494"/>
      <w:bookmarkStart w:id="227" w:name="_Toc15204"/>
      <w:r>
        <w:rPr>
          <w:rFonts w:hint="eastAsia" w:hAnsi="宋体" w:cs="宋体"/>
          <w:bCs/>
          <w:color w:val="auto"/>
          <w:sz w:val="21"/>
          <w:szCs w:val="21"/>
          <w:highlight w:val="none"/>
        </w:rPr>
        <w:t>账户名称：广西鼎策工程顾问有限责任公司</w:t>
      </w:r>
    </w:p>
    <w:p w14:paraId="705F39B8">
      <w:pPr>
        <w:pStyle w:val="22"/>
        <w:snapToGrid w:val="0"/>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开户银行：建行南宁金湖北路支行</w:t>
      </w:r>
    </w:p>
    <w:p w14:paraId="41FA0020">
      <w:pPr>
        <w:pStyle w:val="22"/>
        <w:snapToGrid w:val="0"/>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银行账号：4500 1604 2640 5070 0796</w:t>
      </w:r>
    </w:p>
    <w:p w14:paraId="19693568">
      <w:pPr>
        <w:spacing w:line="360" w:lineRule="auto"/>
        <w:ind w:firstLine="422" w:firstLineChars="200"/>
        <w:rPr>
          <w:rFonts w:hint="eastAsia" w:ascii="宋体" w:hAnsi="宋体" w:eastAsia="宋体" w:cs="宋体"/>
          <w:color w:val="000000"/>
          <w:sz w:val="21"/>
          <w:szCs w:val="21"/>
          <w:highlight w:val="none"/>
          <w:shd w:val="clear" w:color="auto" w:fill="auto"/>
        </w:rPr>
      </w:pPr>
      <w:r>
        <w:rPr>
          <w:rStyle w:val="54"/>
          <w:rFonts w:hint="eastAsia" w:ascii="宋体" w:hAnsi="宋体" w:eastAsia="宋体" w:cs="宋体"/>
          <w:color w:val="000000"/>
          <w:sz w:val="21"/>
          <w:szCs w:val="21"/>
          <w:highlight w:val="none"/>
          <w:shd w:val="clear" w:color="auto" w:fill="auto"/>
        </w:rPr>
        <w:t xml:space="preserve">31. </w:t>
      </w:r>
      <w:bookmarkEnd w:id="225"/>
      <w:r>
        <w:rPr>
          <w:rStyle w:val="54"/>
          <w:rFonts w:hint="eastAsia" w:ascii="宋体" w:hAnsi="宋体" w:eastAsia="宋体" w:cs="宋体"/>
          <w:color w:val="000000"/>
          <w:sz w:val="21"/>
          <w:szCs w:val="21"/>
          <w:highlight w:val="none"/>
          <w:shd w:val="clear" w:color="auto" w:fill="auto"/>
        </w:rPr>
        <w:t>编制依据</w:t>
      </w:r>
      <w:bookmarkEnd w:id="226"/>
      <w:bookmarkEnd w:id="227"/>
      <w:r>
        <w:rPr>
          <w:rFonts w:hint="eastAsia" w:ascii="宋体" w:hAnsi="宋体" w:eastAsia="宋体" w:cs="宋体"/>
          <w:color w:val="000000"/>
          <w:sz w:val="21"/>
          <w:szCs w:val="21"/>
          <w:highlight w:val="none"/>
          <w:shd w:val="clear" w:color="auto" w:fill="auto"/>
        </w:rPr>
        <w:t>：</w:t>
      </w:r>
      <w:bookmarkStart w:id="228" w:name="_Toc27500"/>
      <w:bookmarkStart w:id="229" w:name="_Toc28899"/>
      <w:r>
        <w:rPr>
          <w:rFonts w:hint="eastAsia" w:ascii="宋体" w:hAnsi="宋体" w:eastAsia="宋体" w:cs="宋体"/>
          <w:color w:val="000000"/>
          <w:sz w:val="21"/>
          <w:szCs w:val="21"/>
          <w:highlight w:val="none"/>
          <w:shd w:val="clear" w:color="auto" w:fill="auto"/>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371BBCD0">
      <w:pPr>
        <w:spacing w:line="360" w:lineRule="auto"/>
        <w:ind w:left="315"/>
        <w:rPr>
          <w:rFonts w:hint="eastAsia" w:ascii="宋体" w:hAnsi="宋体" w:eastAsia="宋体" w:cs="宋体"/>
          <w:color w:val="auto"/>
          <w:highlight w:val="none"/>
          <w:lang w:eastAsia="zh-CN"/>
        </w:rPr>
      </w:pPr>
      <w:r>
        <w:rPr>
          <w:rStyle w:val="54"/>
          <w:rFonts w:hint="eastAsia" w:ascii="宋体" w:hAnsi="宋体" w:eastAsia="宋体" w:cs="宋体"/>
          <w:color w:val="000000"/>
          <w:sz w:val="21"/>
          <w:szCs w:val="21"/>
          <w:highlight w:val="none"/>
          <w:shd w:val="clear" w:color="auto" w:fill="auto"/>
        </w:rPr>
        <w:t>32. 监督管理机构</w:t>
      </w:r>
      <w:bookmarkEnd w:id="228"/>
      <w:bookmarkEnd w:id="229"/>
      <w:r>
        <w:rPr>
          <w:rFonts w:hint="eastAsia" w:ascii="宋体" w:hAnsi="宋体" w:eastAsia="宋体" w:cs="宋体"/>
          <w:color w:val="000000"/>
          <w:sz w:val="21"/>
          <w:szCs w:val="21"/>
          <w:highlight w:val="none"/>
          <w:shd w:val="clear" w:color="auto" w:fill="auto"/>
        </w:rPr>
        <w:t>：</w:t>
      </w:r>
      <w:bookmarkStart w:id="230" w:name="_Toc12767"/>
      <w:bookmarkStart w:id="231" w:name="_Toc15551"/>
      <w:bookmarkStart w:id="232" w:name="_Toc30995"/>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桂林市七星区政府采购管理办公室</w:t>
      </w:r>
      <w:r>
        <w:rPr>
          <w:rFonts w:hint="eastAsia" w:ascii="宋体" w:hAnsi="宋体" w:eastAsia="宋体" w:cs="宋体"/>
          <w:color w:val="auto"/>
          <w:sz w:val="21"/>
          <w:szCs w:val="21"/>
          <w:highlight w:val="none"/>
        </w:rPr>
        <w:t xml:space="preserve">       电话：</w:t>
      </w:r>
      <w:r>
        <w:rPr>
          <w:rFonts w:hint="eastAsia" w:ascii="宋体" w:hAnsi="宋体" w:eastAsia="宋体" w:cs="宋体"/>
          <w:color w:val="auto"/>
          <w:sz w:val="21"/>
          <w:szCs w:val="21"/>
          <w:highlight w:val="none"/>
          <w:lang w:eastAsia="zh-CN"/>
        </w:rPr>
        <w:t>0773-212</w:t>
      </w:r>
      <w:r>
        <w:rPr>
          <w:rFonts w:hint="eastAsia" w:ascii="宋体" w:hAnsi="宋体" w:eastAsia="宋体" w:cs="宋体"/>
          <w:color w:val="auto"/>
          <w:szCs w:val="21"/>
          <w:highlight w:val="none"/>
          <w:lang w:eastAsia="zh-CN"/>
        </w:rPr>
        <w:t>6057</w:t>
      </w:r>
    </w:p>
    <w:p w14:paraId="78484504">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p>
    <w:bookmarkEnd w:id="230"/>
    <w:bookmarkEnd w:id="231"/>
    <w:bookmarkEnd w:id="232"/>
    <w:p w14:paraId="24640970">
      <w:pPr>
        <w:rPr>
          <w:rFonts w:hint="eastAsia" w:ascii="宋体" w:hAnsi="宋体" w:cs="宋体"/>
          <w:b/>
          <w:color w:val="auto"/>
          <w:szCs w:val="24"/>
          <w:highlight w:val="none"/>
        </w:rPr>
      </w:pPr>
      <w:bookmarkStart w:id="233" w:name="_Toc4687"/>
      <w:bookmarkStart w:id="234" w:name="_Toc2989"/>
      <w:bookmarkStart w:id="235" w:name="_Toc21742"/>
      <w:bookmarkStart w:id="236" w:name="_Toc2725"/>
      <w:r>
        <w:rPr>
          <w:rFonts w:hint="eastAsia" w:ascii="宋体" w:hAnsi="宋体" w:cs="宋体"/>
          <w:b/>
          <w:color w:val="auto"/>
          <w:szCs w:val="24"/>
          <w:highlight w:val="none"/>
        </w:rPr>
        <w:br w:type="page"/>
      </w:r>
    </w:p>
    <w:p w14:paraId="2F8C9557">
      <w:pPr>
        <w:snapToGrid w:val="0"/>
        <w:spacing w:line="240" w:lineRule="auto"/>
        <w:ind w:firstLine="0" w:firstLineChars="0"/>
        <w:outlineLvl w:val="9"/>
        <w:rPr>
          <w:rFonts w:hint="eastAsia" w:ascii="宋体" w:hAnsi="宋体" w:cs="宋体"/>
          <w:b/>
          <w:color w:val="auto"/>
          <w:szCs w:val="24"/>
          <w:highlight w:val="none"/>
        </w:rPr>
      </w:pPr>
      <w:r>
        <w:rPr>
          <w:rFonts w:hint="eastAsia" w:ascii="宋体" w:hAnsi="宋体" w:cs="宋体"/>
          <w:b/>
          <w:color w:val="auto"/>
          <w:szCs w:val="24"/>
          <w:highlight w:val="none"/>
        </w:rPr>
        <w:t>附表1：</w:t>
      </w:r>
    </w:p>
    <w:p w14:paraId="17AFEFCC">
      <w:pPr>
        <w:spacing w:line="460" w:lineRule="exact"/>
        <w:ind w:firstLine="0" w:firstLineChars="0"/>
        <w:jc w:val="center"/>
        <w:outlineLvl w:val="9"/>
        <w:rPr>
          <w:rFonts w:hint="eastAsia" w:ascii="宋体" w:hAnsi="宋体" w:cs="宋体"/>
          <w:b/>
          <w:bCs/>
          <w:color w:val="auto"/>
          <w:sz w:val="44"/>
          <w:szCs w:val="24"/>
          <w:highlight w:val="none"/>
        </w:rPr>
      </w:pPr>
      <w:r>
        <w:rPr>
          <w:rFonts w:hint="eastAsia" w:ascii="宋体" w:hAnsi="宋体" w:cs="宋体"/>
          <w:b/>
          <w:bCs/>
          <w:color w:val="auto"/>
          <w:sz w:val="44"/>
          <w:szCs w:val="24"/>
          <w:highlight w:val="none"/>
        </w:rPr>
        <w:t>质疑函（格式）</w:t>
      </w:r>
    </w:p>
    <w:p w14:paraId="6B2FDEB1">
      <w:pPr>
        <w:snapToGrid w:val="0"/>
        <w:spacing w:line="360" w:lineRule="exact"/>
        <w:ind w:firstLine="422"/>
        <w:outlineLvl w:val="9"/>
        <w:rPr>
          <w:rFonts w:hint="eastAsia" w:ascii="宋体" w:hAnsi="宋体" w:cs="宋体"/>
          <w:b/>
          <w:bCs/>
          <w:color w:val="auto"/>
          <w:sz w:val="21"/>
          <w:szCs w:val="20"/>
          <w:highlight w:val="none"/>
        </w:rPr>
      </w:pPr>
      <w:r>
        <w:rPr>
          <w:rFonts w:hint="eastAsia" w:ascii="宋体" w:hAnsi="宋体" w:cs="宋体"/>
          <w:b/>
          <w:bCs/>
          <w:color w:val="auto"/>
          <w:sz w:val="21"/>
          <w:szCs w:val="20"/>
          <w:highlight w:val="none"/>
        </w:rPr>
        <w:t>一、质疑供应商基本信息：</w:t>
      </w:r>
    </w:p>
    <w:p w14:paraId="0A67B0DB">
      <w:pPr>
        <w:snapToGrid w:val="0"/>
        <w:spacing w:line="36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质疑供应商：</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7A0502EB">
      <w:pPr>
        <w:snapToGrid w:val="0"/>
        <w:spacing w:line="36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地址：</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邮编：</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3B057CE6">
      <w:pPr>
        <w:snapToGrid w:val="0"/>
        <w:spacing w:line="36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联系人：</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联系电话：</w:t>
      </w:r>
      <w:r>
        <w:rPr>
          <w:rFonts w:hint="eastAsia" w:ascii="宋体" w:hAnsi="宋体" w:cs="宋体"/>
          <w:bCs/>
          <w:color w:val="auto"/>
          <w:sz w:val="21"/>
          <w:szCs w:val="20"/>
          <w:highlight w:val="none"/>
          <w:u w:val="single"/>
        </w:rPr>
        <w:t xml:space="preserve">                 </w:t>
      </w:r>
    </w:p>
    <w:p w14:paraId="2EC8DF41">
      <w:pPr>
        <w:snapToGrid w:val="0"/>
        <w:spacing w:line="36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授权代表：</w:t>
      </w:r>
      <w:r>
        <w:rPr>
          <w:rFonts w:hint="eastAsia" w:ascii="宋体" w:hAnsi="宋体" w:cs="宋体"/>
          <w:bCs/>
          <w:color w:val="auto"/>
          <w:sz w:val="21"/>
          <w:szCs w:val="20"/>
          <w:highlight w:val="none"/>
          <w:u w:val="single"/>
        </w:rPr>
        <w:t xml:space="preserve">                      </w:t>
      </w:r>
    </w:p>
    <w:p w14:paraId="7D20D8E4">
      <w:pPr>
        <w:snapToGrid w:val="0"/>
        <w:spacing w:line="36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联系电话：</w:t>
      </w:r>
      <w:r>
        <w:rPr>
          <w:rFonts w:hint="eastAsia" w:ascii="宋体" w:hAnsi="宋体" w:cs="宋体"/>
          <w:bCs/>
          <w:color w:val="auto"/>
          <w:sz w:val="21"/>
          <w:szCs w:val="20"/>
          <w:highlight w:val="none"/>
          <w:u w:val="single"/>
        </w:rPr>
        <w:t xml:space="preserve">                      </w:t>
      </w:r>
    </w:p>
    <w:p w14:paraId="598E3729">
      <w:pPr>
        <w:snapToGrid w:val="0"/>
        <w:spacing w:line="36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地址：</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邮编：</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7F1C24D1">
      <w:pPr>
        <w:snapToGrid w:val="0"/>
        <w:spacing w:line="360" w:lineRule="exact"/>
        <w:ind w:firstLine="422"/>
        <w:outlineLvl w:val="9"/>
        <w:rPr>
          <w:rFonts w:hint="eastAsia" w:ascii="宋体" w:hAnsi="宋体" w:cs="宋体"/>
          <w:b/>
          <w:bCs/>
          <w:color w:val="auto"/>
          <w:sz w:val="21"/>
          <w:szCs w:val="20"/>
          <w:highlight w:val="none"/>
        </w:rPr>
      </w:pPr>
      <w:r>
        <w:rPr>
          <w:rFonts w:hint="eastAsia" w:ascii="宋体" w:hAnsi="宋体" w:cs="宋体"/>
          <w:b/>
          <w:bCs/>
          <w:color w:val="auto"/>
          <w:sz w:val="21"/>
          <w:szCs w:val="20"/>
          <w:highlight w:val="none"/>
        </w:rPr>
        <w:t>二、质疑项目基本情况：</w:t>
      </w:r>
    </w:p>
    <w:p w14:paraId="50E8A4B8">
      <w:pPr>
        <w:spacing w:line="360" w:lineRule="exact"/>
        <w:ind w:left="25" w:leftChars="12" w:firstLine="413" w:firstLineChars="197"/>
        <w:outlineLvl w:val="9"/>
        <w:rPr>
          <w:rFonts w:hint="eastAsia" w:ascii="宋体" w:hAnsi="宋体" w:cs="宋体"/>
          <w:color w:val="auto"/>
          <w:sz w:val="21"/>
          <w:szCs w:val="21"/>
          <w:highlight w:val="none"/>
        </w:rPr>
      </w:pPr>
      <w:r>
        <w:rPr>
          <w:rFonts w:hint="eastAsia" w:ascii="宋体" w:hAnsi="宋体" w:cs="宋体"/>
          <w:bCs/>
          <w:color w:val="auto"/>
          <w:sz w:val="21"/>
          <w:szCs w:val="20"/>
          <w:highlight w:val="none"/>
        </w:rPr>
        <w:t>质疑</w:t>
      </w:r>
      <w:r>
        <w:rPr>
          <w:rFonts w:hint="eastAsia" w:ascii="宋体" w:hAnsi="宋体" w:cs="宋体"/>
          <w:color w:val="auto"/>
          <w:sz w:val="21"/>
          <w:szCs w:val="21"/>
          <w:highlight w:val="none"/>
        </w:rPr>
        <w:t>项目的名称：</w:t>
      </w:r>
      <w:r>
        <w:rPr>
          <w:rFonts w:hint="eastAsia" w:ascii="宋体" w:hAnsi="宋体" w:cs="宋体"/>
          <w:bCs/>
          <w:color w:val="auto"/>
          <w:sz w:val="21"/>
          <w:szCs w:val="20"/>
          <w:highlight w:val="none"/>
          <w:u w:val="single"/>
        </w:rPr>
        <w:t xml:space="preserve">                                     </w:t>
      </w:r>
    </w:p>
    <w:p w14:paraId="4DF29577">
      <w:pPr>
        <w:spacing w:line="360" w:lineRule="exact"/>
        <w:ind w:left="25" w:leftChars="12" w:firstLine="413" w:firstLineChars="197"/>
        <w:outlineLvl w:val="9"/>
        <w:rPr>
          <w:rFonts w:hint="eastAsia" w:ascii="宋体" w:hAnsi="宋体" w:cs="宋体"/>
          <w:color w:val="auto"/>
          <w:sz w:val="21"/>
          <w:szCs w:val="21"/>
          <w:highlight w:val="none"/>
        </w:rPr>
      </w:pPr>
      <w:r>
        <w:rPr>
          <w:rFonts w:hint="eastAsia" w:ascii="宋体" w:hAnsi="宋体" w:cs="宋体"/>
          <w:bCs/>
          <w:color w:val="auto"/>
          <w:sz w:val="21"/>
          <w:szCs w:val="20"/>
          <w:highlight w:val="none"/>
        </w:rPr>
        <w:t>质疑</w:t>
      </w:r>
      <w:r>
        <w:rPr>
          <w:rFonts w:hint="eastAsia" w:ascii="宋体" w:hAnsi="宋体" w:cs="宋体"/>
          <w:color w:val="auto"/>
          <w:sz w:val="21"/>
          <w:szCs w:val="21"/>
          <w:highlight w:val="none"/>
        </w:rPr>
        <w:t>项目的编号：</w:t>
      </w:r>
      <w:r>
        <w:rPr>
          <w:rFonts w:hint="eastAsia" w:ascii="宋体" w:hAnsi="宋体" w:cs="宋体"/>
          <w:bCs/>
          <w:color w:val="auto"/>
          <w:sz w:val="21"/>
          <w:szCs w:val="20"/>
          <w:highlight w:val="none"/>
          <w:u w:val="single"/>
        </w:rPr>
        <w:t xml:space="preserve">                                     </w:t>
      </w:r>
      <w:r>
        <w:rPr>
          <w:rFonts w:hint="eastAsia" w:ascii="宋体" w:hAnsi="宋体" w:cs="宋体"/>
          <w:color w:val="auto"/>
          <w:sz w:val="21"/>
          <w:szCs w:val="21"/>
          <w:highlight w:val="none"/>
        </w:rPr>
        <w:t>分标：</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5B698361">
      <w:pPr>
        <w:spacing w:line="360" w:lineRule="exact"/>
        <w:ind w:left="25"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采购人名称：</w:t>
      </w:r>
      <w:r>
        <w:rPr>
          <w:rFonts w:hint="eastAsia" w:ascii="宋体" w:hAnsi="宋体" w:cs="宋体"/>
          <w:bCs/>
          <w:color w:val="auto"/>
          <w:sz w:val="21"/>
          <w:szCs w:val="20"/>
          <w:highlight w:val="none"/>
          <w:u w:val="single"/>
        </w:rPr>
        <w:t xml:space="preserve">                                         </w:t>
      </w:r>
    </w:p>
    <w:p w14:paraId="381B8A57">
      <w:pPr>
        <w:spacing w:line="360" w:lineRule="exact"/>
        <w:ind w:left="25"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质疑事项：</w:t>
      </w:r>
    </w:p>
    <w:p w14:paraId="6C837BAE">
      <w:pPr>
        <w:spacing w:line="360" w:lineRule="exact"/>
        <w:ind w:left="25" w:leftChars="12" w:firstLine="441" w:firstLineChars="147"/>
        <w:outlineLvl w:val="9"/>
        <w:rPr>
          <w:rFonts w:hint="eastAsia" w:ascii="宋体" w:hAnsi="宋体" w:cs="宋体"/>
          <w:color w:val="auto"/>
          <w:sz w:val="21"/>
          <w:szCs w:val="21"/>
          <w:highlight w:val="none"/>
        </w:rPr>
      </w:pPr>
      <w:r>
        <w:rPr>
          <w:rFonts w:hint="eastAsia" w:ascii="宋体" w:hAnsi="宋体" w:cs="宋体"/>
          <w:color w:val="auto"/>
          <w:sz w:val="30"/>
          <w:szCs w:val="30"/>
          <w:highlight w:val="none"/>
        </w:rPr>
        <w:t>□</w:t>
      </w:r>
      <w:r>
        <w:rPr>
          <w:rFonts w:hint="eastAsia" w:ascii="宋体" w:hAnsi="宋体" w:cs="宋体"/>
          <w:color w:val="auto"/>
          <w:sz w:val="21"/>
          <w:szCs w:val="21"/>
          <w:highlight w:val="none"/>
        </w:rPr>
        <w:t>磋商文件   磋商文件获取日期：</w:t>
      </w:r>
      <w:r>
        <w:rPr>
          <w:rFonts w:hint="eastAsia" w:ascii="宋体" w:hAnsi="宋体" w:cs="宋体"/>
          <w:bCs/>
          <w:color w:val="auto"/>
          <w:sz w:val="21"/>
          <w:szCs w:val="20"/>
          <w:highlight w:val="none"/>
          <w:u w:val="single"/>
        </w:rPr>
        <w:t xml:space="preserve">                                   </w:t>
      </w:r>
    </w:p>
    <w:p w14:paraId="7CC4D6E3">
      <w:pPr>
        <w:spacing w:line="360" w:lineRule="exact"/>
        <w:ind w:left="25" w:leftChars="12" w:firstLine="441" w:firstLineChars="147"/>
        <w:outlineLvl w:val="9"/>
        <w:rPr>
          <w:rFonts w:hint="eastAsia" w:ascii="宋体" w:hAnsi="宋体" w:cs="宋体"/>
          <w:color w:val="auto"/>
          <w:sz w:val="21"/>
          <w:szCs w:val="21"/>
          <w:highlight w:val="none"/>
        </w:rPr>
      </w:pPr>
      <w:r>
        <w:rPr>
          <w:rFonts w:hint="eastAsia" w:ascii="宋体" w:hAnsi="宋体" w:cs="宋体"/>
          <w:color w:val="auto"/>
          <w:sz w:val="30"/>
          <w:szCs w:val="30"/>
          <w:highlight w:val="none"/>
        </w:rPr>
        <w:t>□</w:t>
      </w:r>
      <w:r>
        <w:rPr>
          <w:rFonts w:hint="eastAsia" w:ascii="宋体" w:hAnsi="宋体" w:cs="宋体"/>
          <w:color w:val="auto"/>
          <w:sz w:val="21"/>
          <w:szCs w:val="21"/>
          <w:highlight w:val="none"/>
        </w:rPr>
        <w:t xml:space="preserve">采购过程   </w:t>
      </w:r>
    </w:p>
    <w:p w14:paraId="68F04CCA">
      <w:pPr>
        <w:spacing w:line="360" w:lineRule="exact"/>
        <w:ind w:left="25" w:leftChars="12" w:firstLine="441" w:firstLineChars="147"/>
        <w:outlineLvl w:val="9"/>
        <w:rPr>
          <w:rFonts w:hint="eastAsia" w:ascii="宋体" w:hAnsi="宋体" w:cs="宋体"/>
          <w:bCs/>
          <w:color w:val="auto"/>
          <w:sz w:val="21"/>
          <w:szCs w:val="20"/>
          <w:highlight w:val="none"/>
          <w:u w:val="single"/>
        </w:rPr>
      </w:pPr>
      <w:r>
        <w:rPr>
          <w:rFonts w:hint="eastAsia" w:ascii="宋体" w:hAnsi="宋体" w:cs="宋体"/>
          <w:color w:val="auto"/>
          <w:sz w:val="30"/>
          <w:szCs w:val="30"/>
          <w:highlight w:val="none"/>
        </w:rPr>
        <w:t>□</w:t>
      </w:r>
      <w:r>
        <w:rPr>
          <w:rFonts w:hint="eastAsia" w:ascii="宋体" w:hAnsi="宋体" w:cs="宋体"/>
          <w:color w:val="auto"/>
          <w:sz w:val="21"/>
          <w:szCs w:val="21"/>
          <w:highlight w:val="none"/>
        </w:rPr>
        <w:t xml:space="preserve">成交结果   </w:t>
      </w:r>
    </w:p>
    <w:p w14:paraId="32B9FAFD">
      <w:pPr>
        <w:spacing w:line="360" w:lineRule="exact"/>
        <w:ind w:left="25" w:leftChars="12" w:firstLine="413" w:firstLineChars="196"/>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三、质疑事项具体内容</w:t>
      </w:r>
    </w:p>
    <w:p w14:paraId="3529791E">
      <w:pPr>
        <w:spacing w:line="360" w:lineRule="exact"/>
        <w:ind w:left="25"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质疑事项1：</w:t>
      </w:r>
      <w:r>
        <w:rPr>
          <w:rFonts w:hint="eastAsia" w:ascii="宋体" w:hAnsi="宋体" w:cs="宋体"/>
          <w:bCs/>
          <w:color w:val="auto"/>
          <w:sz w:val="21"/>
          <w:szCs w:val="20"/>
          <w:highlight w:val="none"/>
          <w:u w:val="single"/>
        </w:rPr>
        <w:t xml:space="preserve">                                                                    </w:t>
      </w:r>
    </w:p>
    <w:p w14:paraId="49C8758A">
      <w:pPr>
        <w:spacing w:line="360" w:lineRule="exact"/>
        <w:ind w:left="25"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事实依据：</w:t>
      </w:r>
      <w:r>
        <w:rPr>
          <w:rFonts w:hint="eastAsia" w:ascii="宋体" w:hAnsi="宋体" w:cs="宋体"/>
          <w:bCs/>
          <w:color w:val="auto"/>
          <w:sz w:val="21"/>
          <w:szCs w:val="20"/>
          <w:highlight w:val="none"/>
          <w:u w:val="single"/>
        </w:rPr>
        <w:t xml:space="preserve">                                                                      </w:t>
      </w:r>
    </w:p>
    <w:p w14:paraId="647CA2A9">
      <w:pPr>
        <w:spacing w:line="360" w:lineRule="exact"/>
        <w:ind w:left="25"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法律依据：</w:t>
      </w:r>
      <w:r>
        <w:rPr>
          <w:rFonts w:hint="eastAsia" w:ascii="宋体" w:hAnsi="宋体" w:cs="宋体"/>
          <w:color w:val="auto"/>
          <w:sz w:val="21"/>
          <w:szCs w:val="21"/>
          <w:highlight w:val="none"/>
          <w:u w:val="single"/>
        </w:rPr>
        <w:t xml:space="preserve">                                                        </w:t>
      </w:r>
      <w:r>
        <w:rPr>
          <w:rFonts w:hint="eastAsia" w:ascii="宋体" w:hAnsi="宋体" w:cs="宋体"/>
          <w:bCs/>
          <w:color w:val="auto"/>
          <w:sz w:val="21"/>
          <w:szCs w:val="20"/>
          <w:highlight w:val="none"/>
          <w:u w:val="single"/>
        </w:rPr>
        <w:t xml:space="preserve">               </w:t>
      </w:r>
    </w:p>
    <w:p w14:paraId="3A2180F9">
      <w:pPr>
        <w:spacing w:line="360" w:lineRule="exact"/>
        <w:ind w:left="25"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质疑事项2</w:t>
      </w:r>
    </w:p>
    <w:p w14:paraId="34ED9BD4">
      <w:pPr>
        <w:spacing w:line="360" w:lineRule="exact"/>
        <w:ind w:left="25"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w:t>
      </w:r>
    </w:p>
    <w:p w14:paraId="6564D7FC">
      <w:pPr>
        <w:spacing w:line="360" w:lineRule="exact"/>
        <w:ind w:left="25"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四、与质疑事项相关的质疑请求：</w:t>
      </w:r>
    </w:p>
    <w:p w14:paraId="59CFE548">
      <w:pPr>
        <w:spacing w:line="360" w:lineRule="exact"/>
        <w:ind w:left="25"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请求：</w:t>
      </w:r>
      <w:r>
        <w:rPr>
          <w:rFonts w:hint="eastAsia" w:ascii="宋体" w:hAnsi="宋体" w:cs="宋体"/>
          <w:bCs/>
          <w:color w:val="auto"/>
          <w:sz w:val="21"/>
          <w:szCs w:val="20"/>
          <w:highlight w:val="none"/>
          <w:u w:val="single"/>
        </w:rPr>
        <w:t xml:space="preserve">                                                                </w:t>
      </w:r>
    </w:p>
    <w:p w14:paraId="4152C64D">
      <w:pPr>
        <w:spacing w:line="360" w:lineRule="exact"/>
        <w:ind w:left="25" w:leftChars="12" w:firstLine="308" w:firstLineChars="147"/>
        <w:outlineLvl w:val="9"/>
        <w:rPr>
          <w:rFonts w:hint="eastAsia" w:ascii="宋体" w:hAnsi="宋体" w:cs="宋体"/>
          <w:color w:val="auto"/>
          <w:sz w:val="21"/>
          <w:szCs w:val="21"/>
          <w:highlight w:val="none"/>
        </w:rPr>
      </w:pPr>
    </w:p>
    <w:p w14:paraId="5CD4D5C3">
      <w:pPr>
        <w:spacing w:line="360" w:lineRule="exact"/>
        <w:ind w:left="25"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签字（签章）：                                       公章：</w:t>
      </w:r>
    </w:p>
    <w:p w14:paraId="397FD2D0">
      <w:pPr>
        <w:spacing w:line="360" w:lineRule="exact"/>
        <w:ind w:left="25" w:leftChars="12" w:firstLine="308" w:firstLineChars="147"/>
        <w:outlineLvl w:val="9"/>
        <w:rPr>
          <w:rFonts w:hint="eastAsia" w:ascii="宋体" w:hAnsi="宋体" w:cs="宋体"/>
          <w:color w:val="auto"/>
          <w:sz w:val="21"/>
          <w:szCs w:val="21"/>
          <w:highlight w:val="none"/>
        </w:rPr>
      </w:pPr>
    </w:p>
    <w:p w14:paraId="219DA1C3">
      <w:pPr>
        <w:spacing w:line="360" w:lineRule="exact"/>
        <w:ind w:left="25"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日期：</w:t>
      </w:r>
    </w:p>
    <w:p w14:paraId="42AEC603">
      <w:pPr>
        <w:snapToGrid w:val="0"/>
        <w:spacing w:line="340" w:lineRule="exact"/>
        <w:ind w:firstLine="0" w:firstLineChars="0"/>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说明：</w:t>
      </w:r>
    </w:p>
    <w:p w14:paraId="783A1ADF">
      <w:pPr>
        <w:snapToGrid w:val="0"/>
        <w:spacing w:line="340" w:lineRule="exact"/>
        <w:ind w:firstLine="0" w:firstLineChars="0"/>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1.供应商提出质疑时，应提交质疑函和必要的证明材料。</w:t>
      </w:r>
    </w:p>
    <w:p w14:paraId="76FEDC65">
      <w:pPr>
        <w:snapToGrid w:val="0"/>
        <w:spacing w:line="340" w:lineRule="exact"/>
        <w:ind w:firstLine="0" w:firstLineChars="0"/>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32A2359">
      <w:pPr>
        <w:snapToGrid w:val="0"/>
        <w:spacing w:line="340" w:lineRule="exact"/>
        <w:ind w:firstLine="0" w:firstLineChars="0"/>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3.如本项目划分分标的，应注明所质疑的分标。质疑函的质疑事项应具体、明确，并有必要的事实依据和法律依据。</w:t>
      </w:r>
    </w:p>
    <w:p w14:paraId="19608C8E">
      <w:pPr>
        <w:snapToGrid w:val="0"/>
        <w:spacing w:line="340" w:lineRule="exact"/>
        <w:ind w:firstLine="0" w:firstLineChars="0"/>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4.质疑函的质疑请求应与质疑事项相关。</w:t>
      </w:r>
    </w:p>
    <w:p w14:paraId="287F0556">
      <w:pPr>
        <w:snapToGrid w:val="0"/>
        <w:spacing w:line="340" w:lineRule="exact"/>
        <w:ind w:firstLine="0" w:firstLineChars="0"/>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5.质疑供应商为自然人的，质疑函应由本人签字；质疑供应商为法人或者其他组织的，质疑函应由法定代表人、主要负责人，或者其授权代表签字或者盖章，并加盖公章。</w:t>
      </w:r>
    </w:p>
    <w:p w14:paraId="4C008E41">
      <w:pPr>
        <w:pStyle w:val="22"/>
        <w:jc w:val="center"/>
        <w:outlineLvl w:val="9"/>
        <w:rPr>
          <w:rFonts w:hint="eastAsia" w:ascii="宋体" w:hAnsi="宋体" w:cs="宋体"/>
          <w:b/>
          <w:bCs/>
          <w:color w:val="auto"/>
          <w:sz w:val="44"/>
          <w:szCs w:val="24"/>
          <w:highlight w:val="none"/>
          <w:lang w:val="en-US"/>
        </w:rPr>
      </w:pPr>
      <w:r>
        <w:rPr>
          <w:rFonts w:hint="eastAsia" w:hAnsi="宋体"/>
          <w:b/>
          <w:color w:val="auto"/>
          <w:sz w:val="32"/>
          <w:highlight w:val="none"/>
        </w:rPr>
        <w:t xml:space="preserve">  </w:t>
      </w:r>
      <w:r>
        <w:rPr>
          <w:rFonts w:hint="eastAsia" w:ascii="宋体" w:hAnsi="宋体" w:cs="宋体"/>
          <w:b/>
          <w:bCs/>
          <w:color w:val="auto"/>
          <w:sz w:val="44"/>
          <w:szCs w:val="24"/>
          <w:highlight w:val="none"/>
          <w:lang w:val="en-US"/>
        </w:rPr>
        <w:t>质疑授权委托书（格式）</w:t>
      </w:r>
    </w:p>
    <w:p w14:paraId="7C04F7FF">
      <w:pPr>
        <w:snapToGrid w:val="0"/>
        <w:spacing w:line="400" w:lineRule="exact"/>
        <w:ind w:firstLine="422"/>
        <w:outlineLvl w:val="9"/>
        <w:rPr>
          <w:rFonts w:hint="eastAsia" w:ascii="宋体" w:hAnsi="宋体"/>
          <w:b/>
          <w:color w:val="auto"/>
          <w:sz w:val="21"/>
          <w:szCs w:val="21"/>
          <w:highlight w:val="none"/>
        </w:rPr>
      </w:pPr>
    </w:p>
    <w:p w14:paraId="64485AD6">
      <w:pPr>
        <w:snapToGrid w:val="0"/>
        <w:spacing w:line="400" w:lineRule="exact"/>
        <w:ind w:firstLine="0" w:firstLineChars="0"/>
        <w:outlineLvl w:val="9"/>
        <w:rPr>
          <w:rFonts w:hint="eastAsia" w:ascii="宋体" w:hAnsi="宋体"/>
          <w:color w:val="auto"/>
          <w:sz w:val="21"/>
          <w:szCs w:val="21"/>
          <w:highlight w:val="none"/>
        </w:rPr>
      </w:pPr>
      <w:r>
        <w:rPr>
          <w:rFonts w:hint="eastAsia" w:ascii="宋体" w:hAnsi="宋体"/>
          <w:b/>
          <w:color w:val="auto"/>
          <w:sz w:val="21"/>
          <w:szCs w:val="21"/>
          <w:highlight w:val="none"/>
        </w:rPr>
        <w:t>致</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p>
    <w:p w14:paraId="3C6DAE13">
      <w:pPr>
        <w:snapToGrid w:val="0"/>
        <w:spacing w:line="400" w:lineRule="exact"/>
        <w:ind w:firstLine="420"/>
        <w:outlineLvl w:val="9"/>
        <w:rPr>
          <w:rFonts w:hint="eastAsia" w:ascii="宋体" w:hAnsi="宋体"/>
          <w:color w:val="auto"/>
          <w:sz w:val="21"/>
          <w:szCs w:val="21"/>
          <w:highlight w:val="none"/>
          <w:u w:val="single"/>
        </w:rPr>
      </w:pPr>
    </w:p>
    <w:p w14:paraId="0DF69041">
      <w:pPr>
        <w:pStyle w:val="22"/>
        <w:spacing w:line="400" w:lineRule="exact"/>
        <w:ind w:firstLine="525" w:firstLineChars="250"/>
        <w:outlineLvl w:val="9"/>
        <w:rPr>
          <w:rFonts w:hint="eastAsia" w:hAnsi="宋体"/>
          <w:color w:val="auto"/>
          <w:sz w:val="21"/>
          <w:szCs w:val="21"/>
          <w:highlight w:val="none"/>
        </w:rPr>
      </w:pPr>
      <w:r>
        <w:rPr>
          <w:rFonts w:hint="eastAsia" w:hAnsi="宋体"/>
          <w:color w:val="auto"/>
          <w:kern w:val="0"/>
          <w:sz w:val="21"/>
          <w:szCs w:val="21"/>
          <w:highlight w:val="none"/>
        </w:rPr>
        <w:t>我</w:t>
      </w:r>
      <w:r>
        <w:rPr>
          <w:rFonts w:hint="eastAsia" w:hAnsi="宋体"/>
          <w:color w:val="auto"/>
          <w:kern w:val="0"/>
          <w:sz w:val="21"/>
          <w:szCs w:val="21"/>
          <w:highlight w:val="none"/>
          <w:u w:val="single"/>
        </w:rPr>
        <w:t xml:space="preserve">              </w:t>
      </w:r>
      <w:r>
        <w:rPr>
          <w:rFonts w:hint="eastAsia" w:hAnsi="宋体"/>
          <w:color w:val="auto"/>
          <w:kern w:val="0"/>
          <w:sz w:val="21"/>
          <w:szCs w:val="21"/>
          <w:highlight w:val="none"/>
        </w:rPr>
        <w:t>（姓名）系</w:t>
      </w:r>
      <w:r>
        <w:rPr>
          <w:rFonts w:hint="eastAsia" w:hAnsi="宋体"/>
          <w:color w:val="auto"/>
          <w:kern w:val="0"/>
          <w:sz w:val="21"/>
          <w:szCs w:val="21"/>
          <w:highlight w:val="none"/>
          <w:u w:val="single"/>
        </w:rPr>
        <w:t xml:space="preserve">                              </w:t>
      </w:r>
      <w:r>
        <w:rPr>
          <w:rFonts w:hint="eastAsia" w:hAnsi="宋体"/>
          <w:color w:val="auto"/>
          <w:kern w:val="0"/>
          <w:sz w:val="21"/>
          <w:szCs w:val="21"/>
          <w:highlight w:val="none"/>
        </w:rPr>
        <w:t>（供应商名称）的法定代表人，现授权委托本单位在职职工</w:t>
      </w:r>
      <w:r>
        <w:rPr>
          <w:rFonts w:hint="eastAsia" w:hAnsi="宋体"/>
          <w:color w:val="auto"/>
          <w:kern w:val="0"/>
          <w:sz w:val="21"/>
          <w:szCs w:val="21"/>
          <w:highlight w:val="none"/>
          <w:u w:val="single"/>
        </w:rPr>
        <w:t xml:space="preserve">            </w:t>
      </w:r>
      <w:r>
        <w:rPr>
          <w:rFonts w:hint="eastAsia" w:hAnsi="宋体"/>
          <w:color w:val="auto"/>
          <w:kern w:val="0"/>
          <w:sz w:val="21"/>
          <w:szCs w:val="21"/>
          <w:highlight w:val="none"/>
        </w:rPr>
        <w:t>（姓名）以我公司名义办理</w:t>
      </w:r>
      <w:r>
        <w:rPr>
          <w:rFonts w:hint="eastAsia" w:hAnsi="宋体"/>
          <w:color w:val="auto"/>
          <w:kern w:val="0"/>
          <w:sz w:val="21"/>
          <w:szCs w:val="21"/>
          <w:highlight w:val="none"/>
          <w:u w:val="single"/>
        </w:rPr>
        <w:t xml:space="preserve">      </w:t>
      </w:r>
      <w:r>
        <w:rPr>
          <w:rFonts w:hint="eastAsia" w:hAnsi="宋体"/>
          <w:color w:val="auto"/>
          <w:sz w:val="21"/>
          <w:szCs w:val="21"/>
          <w:highlight w:val="none"/>
          <w:u w:val="single"/>
        </w:rPr>
        <w:t xml:space="preserve">（项目名称及项目编号）        </w:t>
      </w:r>
      <w:r>
        <w:rPr>
          <w:rFonts w:hint="eastAsia" w:hAnsi="宋体"/>
          <w:color w:val="auto"/>
          <w:sz w:val="21"/>
          <w:szCs w:val="21"/>
          <w:highlight w:val="none"/>
        </w:rPr>
        <w:t>项目的质疑事项，代表我方全权办理针对上述项目的质疑具体事务和签署相关文件。</w:t>
      </w:r>
    </w:p>
    <w:p w14:paraId="329F5D7D">
      <w:pPr>
        <w:pStyle w:val="22"/>
        <w:spacing w:line="400" w:lineRule="exact"/>
        <w:ind w:firstLine="420" w:firstLineChars="200"/>
        <w:outlineLvl w:val="9"/>
        <w:rPr>
          <w:rFonts w:hint="eastAsia" w:hAnsi="宋体"/>
          <w:color w:val="auto"/>
          <w:sz w:val="21"/>
          <w:szCs w:val="21"/>
          <w:highlight w:val="none"/>
        </w:rPr>
      </w:pPr>
      <w:r>
        <w:rPr>
          <w:rFonts w:hint="eastAsia" w:hAnsi="宋体"/>
          <w:color w:val="auto"/>
          <w:sz w:val="21"/>
          <w:szCs w:val="21"/>
          <w:highlight w:val="none"/>
        </w:rPr>
        <w:t>我方对被授权人的签字事项负全部责任。</w:t>
      </w:r>
    </w:p>
    <w:p w14:paraId="23D3AE4A">
      <w:pPr>
        <w:pStyle w:val="22"/>
        <w:spacing w:line="400" w:lineRule="exact"/>
        <w:ind w:firstLine="420" w:firstLineChars="200"/>
        <w:outlineLvl w:val="9"/>
        <w:rPr>
          <w:rFonts w:hint="eastAsia" w:hAnsi="宋体"/>
          <w:color w:val="auto"/>
          <w:sz w:val="21"/>
          <w:szCs w:val="21"/>
          <w:highlight w:val="none"/>
          <w:u w:val="single"/>
        </w:rPr>
      </w:pPr>
      <w:r>
        <w:rPr>
          <w:rFonts w:hint="eastAsia" w:hAnsi="宋体"/>
          <w:color w:val="auto"/>
          <w:sz w:val="21"/>
          <w:szCs w:val="21"/>
          <w:highlight w:val="none"/>
        </w:rPr>
        <w:t xml:space="preserve">授权委托代理期限：自即日起至该项目政府采购活动结束。                                                                                         </w:t>
      </w:r>
    </w:p>
    <w:p w14:paraId="15F13437">
      <w:pPr>
        <w:spacing w:line="400" w:lineRule="exact"/>
        <w:ind w:firstLine="420"/>
        <w:outlineLvl w:val="9"/>
        <w:rPr>
          <w:rFonts w:hint="eastAsia" w:ascii="宋体" w:hAnsi="宋体"/>
          <w:color w:val="auto"/>
          <w:kern w:val="0"/>
          <w:sz w:val="21"/>
          <w:szCs w:val="21"/>
          <w:highlight w:val="none"/>
        </w:rPr>
      </w:pPr>
      <w:r>
        <w:rPr>
          <w:rFonts w:hint="eastAsia" w:ascii="宋体" w:hAnsi="宋体"/>
          <w:color w:val="auto"/>
          <w:kern w:val="0"/>
          <w:sz w:val="21"/>
          <w:szCs w:val="21"/>
          <w:highlight w:val="none"/>
        </w:rPr>
        <w:t>代理人无转委托权，特此委托。</w:t>
      </w:r>
      <w:r>
        <w:rPr>
          <w:rFonts w:ascii="宋体" w:hAnsi="宋体"/>
          <w:color w:val="auto"/>
          <w:kern w:val="0"/>
          <w:sz w:val="21"/>
          <w:szCs w:val="21"/>
          <w:highlight w:val="none"/>
        </w:rPr>
        <w:t xml:space="preserve"> </w:t>
      </w:r>
    </w:p>
    <w:p w14:paraId="0E31AB37">
      <w:pPr>
        <w:snapToGrid w:val="0"/>
        <w:spacing w:line="400" w:lineRule="exact"/>
        <w:ind w:firstLine="420"/>
        <w:outlineLvl w:val="9"/>
        <w:rPr>
          <w:rFonts w:hint="eastAsia" w:ascii="宋体" w:hAnsi="宋体"/>
          <w:color w:val="auto"/>
          <w:sz w:val="21"/>
          <w:szCs w:val="21"/>
          <w:highlight w:val="none"/>
        </w:rPr>
      </w:pPr>
      <w:r>
        <w:rPr>
          <w:rFonts w:hint="eastAsia" w:ascii="宋体" w:hAnsi="宋体"/>
          <w:color w:val="auto"/>
          <w:sz w:val="21"/>
          <w:szCs w:val="21"/>
          <w:highlight w:val="none"/>
        </w:rPr>
        <w:t>我已在下面签字，以资证明。</w:t>
      </w:r>
    </w:p>
    <w:p w14:paraId="3F4360D3">
      <w:pPr>
        <w:snapToGrid w:val="0"/>
        <w:spacing w:line="400" w:lineRule="exact"/>
        <w:ind w:firstLine="420"/>
        <w:outlineLvl w:val="9"/>
        <w:rPr>
          <w:rFonts w:hint="eastAsia" w:ascii="宋体" w:hAnsi="宋体"/>
          <w:color w:val="auto"/>
          <w:sz w:val="21"/>
          <w:szCs w:val="21"/>
          <w:highlight w:val="none"/>
        </w:rPr>
      </w:pPr>
      <w:r>
        <w:rPr>
          <w:rFonts w:hint="eastAsia" w:ascii="宋体" w:hAnsi="宋体"/>
          <w:color w:val="auto"/>
          <w:sz w:val="21"/>
          <w:szCs w:val="21"/>
          <w:highlight w:val="none"/>
        </w:rPr>
        <w:t>委托代理人身份证号：</w:t>
      </w:r>
      <w:r>
        <w:rPr>
          <w:rFonts w:hint="eastAsia" w:ascii="宋体" w:hAnsi="宋体"/>
          <w:color w:val="auto"/>
          <w:sz w:val="21"/>
          <w:szCs w:val="21"/>
          <w:highlight w:val="none"/>
          <w:u w:val="single"/>
        </w:rPr>
        <w:t xml:space="preserve">                                   </w:t>
      </w:r>
    </w:p>
    <w:p w14:paraId="0872A7B2">
      <w:pPr>
        <w:snapToGrid w:val="0"/>
        <w:spacing w:line="400" w:lineRule="exact"/>
        <w:ind w:firstLine="420"/>
        <w:outlineLvl w:val="9"/>
        <w:rPr>
          <w:rFonts w:hint="eastAsia" w:ascii="宋体" w:hAnsi="宋体"/>
          <w:color w:val="auto"/>
          <w:sz w:val="21"/>
          <w:szCs w:val="21"/>
          <w:highlight w:val="none"/>
          <w:u w:val="single"/>
        </w:rPr>
      </w:pPr>
      <w:r>
        <w:rPr>
          <w:rFonts w:hint="eastAsia" w:hAnsi="宋体"/>
          <w:color w:val="auto"/>
          <w:kern w:val="0"/>
          <w:sz w:val="21"/>
          <w:szCs w:val="21"/>
          <w:highlight w:val="none"/>
        </w:rPr>
        <w:t>供应商</w:t>
      </w:r>
      <w:r>
        <w:rPr>
          <w:rFonts w:hint="eastAsia" w:ascii="宋体" w:hAnsi="宋体" w:cs="宋体"/>
          <w:color w:val="auto"/>
          <w:sz w:val="21"/>
          <w:szCs w:val="21"/>
          <w:highlight w:val="none"/>
        </w:rPr>
        <w:t>（公章）</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p>
    <w:p w14:paraId="1301EE20">
      <w:pPr>
        <w:snapToGrid w:val="0"/>
        <w:spacing w:line="400" w:lineRule="exact"/>
        <w:ind w:firstLine="420"/>
        <w:outlineLvl w:val="9"/>
        <w:rPr>
          <w:rFonts w:hint="eastAsia" w:ascii="宋体" w:hAnsi="宋体"/>
          <w:color w:val="auto"/>
          <w:sz w:val="21"/>
          <w:szCs w:val="21"/>
          <w:highlight w:val="none"/>
        </w:rPr>
      </w:pPr>
    </w:p>
    <w:p w14:paraId="5C44B2C6">
      <w:pPr>
        <w:snapToGrid w:val="0"/>
        <w:spacing w:line="400" w:lineRule="exact"/>
        <w:ind w:firstLine="420"/>
        <w:outlineLvl w:val="9"/>
        <w:rPr>
          <w:rFonts w:hint="eastAsia" w:ascii="宋体" w:hAnsi="宋体"/>
          <w:color w:val="auto"/>
          <w:sz w:val="21"/>
          <w:szCs w:val="21"/>
          <w:highlight w:val="none"/>
        </w:rPr>
      </w:pPr>
      <w:r>
        <w:rPr>
          <w:rFonts w:hint="eastAsia" w:ascii="宋体" w:hAnsi="宋体"/>
          <w:color w:val="auto"/>
          <w:sz w:val="21"/>
          <w:szCs w:val="21"/>
          <w:highlight w:val="none"/>
        </w:rPr>
        <w:t>法定代表人签字：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p>
    <w:p w14:paraId="3F220B19">
      <w:pPr>
        <w:snapToGrid w:val="0"/>
        <w:spacing w:line="400" w:lineRule="exact"/>
        <w:ind w:firstLine="420"/>
        <w:outlineLvl w:val="9"/>
        <w:rPr>
          <w:rFonts w:hint="eastAsia" w:ascii="宋体" w:hAnsi="宋体"/>
          <w:color w:val="auto"/>
          <w:sz w:val="21"/>
          <w:szCs w:val="21"/>
          <w:highlight w:val="none"/>
        </w:rPr>
      </w:pPr>
    </w:p>
    <w:p w14:paraId="1248025C">
      <w:pPr>
        <w:snapToGrid w:val="0"/>
        <w:spacing w:line="400" w:lineRule="exact"/>
        <w:ind w:firstLine="420"/>
        <w:outlineLvl w:val="9"/>
        <w:rPr>
          <w:rFonts w:hint="eastAsia"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6801AE90">
      <w:pPr>
        <w:snapToGrid w:val="0"/>
        <w:spacing w:line="400" w:lineRule="exact"/>
        <w:ind w:firstLine="420"/>
        <w:outlineLvl w:val="9"/>
        <w:rPr>
          <w:rFonts w:hint="eastAsia" w:ascii="宋体" w:hAnsi="宋体"/>
          <w:color w:val="auto"/>
          <w:sz w:val="21"/>
          <w:szCs w:val="21"/>
          <w:highlight w:val="none"/>
        </w:rPr>
      </w:pPr>
    </w:p>
    <w:p w14:paraId="56146A94">
      <w:pPr>
        <w:tabs>
          <w:tab w:val="left" w:pos="1305"/>
        </w:tabs>
        <w:spacing w:line="520" w:lineRule="exact"/>
        <w:ind w:firstLine="422"/>
        <w:outlineLvl w:val="9"/>
        <w:rPr>
          <w:rFonts w:hint="eastAsia" w:hAnsi="宋体"/>
          <w:b/>
          <w:color w:val="auto"/>
          <w:sz w:val="21"/>
          <w:szCs w:val="21"/>
          <w:highlight w:val="none"/>
        </w:rPr>
      </w:pPr>
      <w:r>
        <w:rPr>
          <w:rFonts w:hint="eastAsia" w:hAnsi="宋体"/>
          <w:b/>
          <w:color w:val="auto"/>
          <w:sz w:val="21"/>
          <w:szCs w:val="21"/>
          <w:highlight w:val="none"/>
        </w:rPr>
        <w:t>附：委托代理人身份证正反面复印件。</w:t>
      </w:r>
    </w:p>
    <w:p w14:paraId="572182FC">
      <w:pPr>
        <w:snapToGrid w:val="0"/>
        <w:spacing w:line="340" w:lineRule="exact"/>
        <w:ind w:firstLine="0" w:firstLineChars="0"/>
        <w:outlineLvl w:val="9"/>
        <w:rPr>
          <w:rFonts w:hint="eastAsia" w:ascii="宋体" w:hAnsi="宋体" w:cs="宋体"/>
          <w:b/>
          <w:color w:val="auto"/>
          <w:szCs w:val="24"/>
          <w:highlight w:val="none"/>
        </w:rPr>
      </w:pPr>
    </w:p>
    <w:p w14:paraId="1340320C">
      <w:pPr>
        <w:snapToGrid w:val="0"/>
        <w:spacing w:line="340" w:lineRule="exact"/>
        <w:ind w:firstLine="0" w:firstLineChars="0"/>
        <w:outlineLvl w:val="9"/>
        <w:rPr>
          <w:rFonts w:hint="eastAsia" w:ascii="宋体" w:hAnsi="宋体" w:cs="宋体"/>
          <w:b/>
          <w:color w:val="auto"/>
          <w:szCs w:val="24"/>
          <w:highlight w:val="none"/>
        </w:rPr>
      </w:pPr>
    </w:p>
    <w:p w14:paraId="6CBA8E2E">
      <w:pPr>
        <w:snapToGrid w:val="0"/>
        <w:spacing w:line="340" w:lineRule="exact"/>
        <w:ind w:firstLine="0" w:firstLineChars="0"/>
        <w:outlineLvl w:val="9"/>
        <w:rPr>
          <w:rFonts w:hint="eastAsia" w:ascii="宋体" w:hAnsi="宋体" w:cs="宋体"/>
          <w:b/>
          <w:color w:val="auto"/>
          <w:szCs w:val="24"/>
          <w:highlight w:val="none"/>
        </w:rPr>
      </w:pPr>
    </w:p>
    <w:p w14:paraId="2501C695">
      <w:pPr>
        <w:snapToGrid w:val="0"/>
        <w:spacing w:line="340" w:lineRule="exact"/>
        <w:ind w:firstLine="0" w:firstLineChars="0"/>
        <w:outlineLvl w:val="9"/>
        <w:rPr>
          <w:rFonts w:hint="eastAsia" w:ascii="宋体" w:hAnsi="宋体" w:cs="宋体"/>
          <w:b/>
          <w:color w:val="auto"/>
          <w:szCs w:val="24"/>
          <w:highlight w:val="none"/>
        </w:rPr>
      </w:pPr>
    </w:p>
    <w:p w14:paraId="30F275A8">
      <w:pPr>
        <w:snapToGrid w:val="0"/>
        <w:spacing w:line="340" w:lineRule="exact"/>
        <w:ind w:firstLine="0" w:firstLineChars="0"/>
        <w:outlineLvl w:val="9"/>
        <w:rPr>
          <w:rFonts w:hint="eastAsia" w:ascii="宋体" w:hAnsi="宋体" w:cs="宋体"/>
          <w:b/>
          <w:color w:val="auto"/>
          <w:szCs w:val="24"/>
          <w:highlight w:val="none"/>
        </w:rPr>
      </w:pPr>
    </w:p>
    <w:p w14:paraId="4D711159">
      <w:pPr>
        <w:snapToGrid w:val="0"/>
        <w:spacing w:line="340" w:lineRule="exact"/>
        <w:ind w:firstLine="0" w:firstLineChars="0"/>
        <w:outlineLvl w:val="9"/>
        <w:rPr>
          <w:rFonts w:hint="eastAsia" w:ascii="宋体" w:hAnsi="宋体" w:cs="宋体"/>
          <w:b/>
          <w:color w:val="auto"/>
          <w:szCs w:val="24"/>
          <w:highlight w:val="none"/>
        </w:rPr>
      </w:pPr>
    </w:p>
    <w:p w14:paraId="08F960F0">
      <w:pPr>
        <w:snapToGrid w:val="0"/>
        <w:spacing w:line="340" w:lineRule="exact"/>
        <w:ind w:firstLine="0" w:firstLineChars="0"/>
        <w:outlineLvl w:val="9"/>
        <w:rPr>
          <w:rFonts w:hint="eastAsia" w:ascii="宋体" w:hAnsi="宋体" w:cs="宋体"/>
          <w:b/>
          <w:color w:val="auto"/>
          <w:szCs w:val="24"/>
          <w:highlight w:val="none"/>
        </w:rPr>
      </w:pPr>
    </w:p>
    <w:p w14:paraId="580C84B2">
      <w:pPr>
        <w:snapToGrid w:val="0"/>
        <w:spacing w:line="340" w:lineRule="exact"/>
        <w:ind w:firstLine="0" w:firstLineChars="0"/>
        <w:outlineLvl w:val="9"/>
        <w:rPr>
          <w:rFonts w:hint="eastAsia" w:ascii="宋体" w:hAnsi="宋体" w:cs="宋体"/>
          <w:b/>
          <w:color w:val="auto"/>
          <w:szCs w:val="24"/>
          <w:highlight w:val="none"/>
        </w:rPr>
      </w:pPr>
    </w:p>
    <w:p w14:paraId="63CA558A">
      <w:pPr>
        <w:snapToGrid w:val="0"/>
        <w:spacing w:line="340" w:lineRule="exact"/>
        <w:ind w:firstLine="0" w:firstLineChars="0"/>
        <w:outlineLvl w:val="9"/>
        <w:rPr>
          <w:rFonts w:hint="eastAsia" w:ascii="宋体" w:hAnsi="宋体" w:cs="宋体"/>
          <w:b/>
          <w:color w:val="auto"/>
          <w:szCs w:val="24"/>
          <w:highlight w:val="none"/>
        </w:rPr>
      </w:pPr>
    </w:p>
    <w:p w14:paraId="6D88F9C4">
      <w:pPr>
        <w:snapToGrid w:val="0"/>
        <w:spacing w:line="340" w:lineRule="exact"/>
        <w:ind w:firstLine="0" w:firstLineChars="0"/>
        <w:outlineLvl w:val="9"/>
        <w:rPr>
          <w:rFonts w:hint="eastAsia" w:ascii="宋体" w:hAnsi="宋体" w:cs="宋体"/>
          <w:b/>
          <w:color w:val="auto"/>
          <w:szCs w:val="24"/>
          <w:highlight w:val="none"/>
        </w:rPr>
      </w:pPr>
    </w:p>
    <w:p w14:paraId="05B4A741">
      <w:pPr>
        <w:snapToGrid w:val="0"/>
        <w:spacing w:line="340" w:lineRule="exact"/>
        <w:ind w:firstLine="0" w:firstLineChars="0"/>
        <w:outlineLvl w:val="9"/>
        <w:rPr>
          <w:rFonts w:hint="eastAsia" w:ascii="宋体" w:hAnsi="宋体" w:cs="宋体"/>
          <w:b/>
          <w:color w:val="auto"/>
          <w:szCs w:val="24"/>
          <w:highlight w:val="none"/>
        </w:rPr>
      </w:pPr>
    </w:p>
    <w:p w14:paraId="1A475445">
      <w:pPr>
        <w:snapToGrid w:val="0"/>
        <w:spacing w:line="340" w:lineRule="exact"/>
        <w:ind w:firstLine="0" w:firstLineChars="0"/>
        <w:outlineLvl w:val="9"/>
        <w:rPr>
          <w:rFonts w:hint="eastAsia" w:ascii="宋体" w:hAnsi="宋体" w:cs="宋体"/>
          <w:b/>
          <w:color w:val="auto"/>
          <w:szCs w:val="24"/>
          <w:highlight w:val="none"/>
        </w:rPr>
      </w:pPr>
    </w:p>
    <w:p w14:paraId="09C1E27B">
      <w:pPr>
        <w:snapToGrid w:val="0"/>
        <w:spacing w:line="340" w:lineRule="exact"/>
        <w:ind w:firstLine="0" w:firstLineChars="0"/>
        <w:outlineLvl w:val="9"/>
        <w:rPr>
          <w:rFonts w:hint="eastAsia" w:ascii="宋体" w:hAnsi="宋体" w:cs="宋体"/>
          <w:b/>
          <w:color w:val="auto"/>
          <w:szCs w:val="24"/>
          <w:highlight w:val="none"/>
        </w:rPr>
      </w:pPr>
    </w:p>
    <w:p w14:paraId="3D663547">
      <w:pPr>
        <w:snapToGrid w:val="0"/>
        <w:spacing w:line="340" w:lineRule="exact"/>
        <w:ind w:firstLine="0" w:firstLineChars="0"/>
        <w:outlineLvl w:val="9"/>
        <w:rPr>
          <w:rFonts w:hint="eastAsia" w:ascii="宋体" w:hAnsi="宋体" w:cs="宋体"/>
          <w:b/>
          <w:color w:val="auto"/>
          <w:szCs w:val="24"/>
          <w:highlight w:val="none"/>
        </w:rPr>
      </w:pPr>
    </w:p>
    <w:p w14:paraId="15D01FE1">
      <w:pPr>
        <w:snapToGrid w:val="0"/>
        <w:spacing w:line="340" w:lineRule="exact"/>
        <w:ind w:firstLine="0" w:firstLineChars="0"/>
        <w:outlineLvl w:val="9"/>
        <w:rPr>
          <w:rFonts w:hint="eastAsia" w:ascii="宋体" w:hAnsi="宋体" w:cs="宋体"/>
          <w:b/>
          <w:color w:val="auto"/>
          <w:szCs w:val="24"/>
          <w:highlight w:val="none"/>
        </w:rPr>
      </w:pPr>
    </w:p>
    <w:p w14:paraId="78C2DE5F">
      <w:pPr>
        <w:snapToGrid w:val="0"/>
        <w:spacing w:line="340" w:lineRule="exact"/>
        <w:ind w:firstLine="0" w:firstLineChars="0"/>
        <w:outlineLvl w:val="9"/>
        <w:rPr>
          <w:rFonts w:hint="eastAsia" w:ascii="宋体" w:hAnsi="宋体" w:cs="宋体"/>
          <w:b/>
          <w:color w:val="auto"/>
          <w:szCs w:val="24"/>
          <w:highlight w:val="none"/>
        </w:rPr>
      </w:pPr>
    </w:p>
    <w:p w14:paraId="2BFE864A">
      <w:pPr>
        <w:snapToGrid w:val="0"/>
        <w:spacing w:line="340" w:lineRule="exact"/>
        <w:ind w:firstLine="0" w:firstLineChars="0"/>
        <w:outlineLvl w:val="9"/>
        <w:rPr>
          <w:rFonts w:hint="eastAsia" w:ascii="宋体" w:hAnsi="宋体" w:cs="宋体"/>
          <w:b/>
          <w:color w:val="auto"/>
          <w:szCs w:val="24"/>
          <w:highlight w:val="none"/>
        </w:rPr>
      </w:pPr>
    </w:p>
    <w:p w14:paraId="417A373E">
      <w:pPr>
        <w:snapToGrid w:val="0"/>
        <w:spacing w:line="340" w:lineRule="exact"/>
        <w:ind w:firstLine="0" w:firstLineChars="0"/>
        <w:outlineLvl w:val="9"/>
        <w:rPr>
          <w:rFonts w:hint="eastAsia" w:ascii="宋体" w:hAnsi="宋体" w:cs="宋体"/>
          <w:b/>
          <w:color w:val="auto"/>
          <w:szCs w:val="24"/>
          <w:highlight w:val="none"/>
        </w:rPr>
      </w:pPr>
      <w:r>
        <w:rPr>
          <w:rFonts w:hint="eastAsia" w:ascii="宋体" w:hAnsi="宋体" w:cs="宋体"/>
          <w:b/>
          <w:color w:val="auto"/>
          <w:szCs w:val="24"/>
          <w:highlight w:val="none"/>
        </w:rPr>
        <w:t>附表2：</w:t>
      </w:r>
    </w:p>
    <w:p w14:paraId="7F5291EE">
      <w:pPr>
        <w:spacing w:line="460" w:lineRule="exact"/>
        <w:ind w:firstLine="0" w:firstLineChars="0"/>
        <w:jc w:val="center"/>
        <w:outlineLvl w:val="9"/>
        <w:rPr>
          <w:rFonts w:hint="eastAsia" w:ascii="宋体" w:hAnsi="宋体" w:cs="宋体"/>
          <w:b/>
          <w:bCs/>
          <w:color w:val="auto"/>
          <w:sz w:val="44"/>
          <w:szCs w:val="24"/>
          <w:highlight w:val="none"/>
        </w:rPr>
      </w:pPr>
      <w:r>
        <w:rPr>
          <w:rFonts w:hint="eastAsia" w:ascii="宋体" w:hAnsi="宋体" w:cs="宋体"/>
          <w:b/>
          <w:bCs/>
          <w:color w:val="auto"/>
          <w:sz w:val="44"/>
          <w:szCs w:val="24"/>
          <w:highlight w:val="none"/>
        </w:rPr>
        <w:t>投诉书（格式）</w:t>
      </w:r>
    </w:p>
    <w:p w14:paraId="3F651537">
      <w:pPr>
        <w:snapToGrid w:val="0"/>
        <w:spacing w:line="400" w:lineRule="exact"/>
        <w:ind w:firstLine="422"/>
        <w:outlineLvl w:val="9"/>
        <w:rPr>
          <w:rFonts w:hint="eastAsia" w:ascii="宋体" w:hAnsi="宋体" w:cs="宋体"/>
          <w:b/>
          <w:bCs/>
          <w:color w:val="auto"/>
          <w:sz w:val="21"/>
          <w:szCs w:val="20"/>
          <w:highlight w:val="none"/>
        </w:rPr>
      </w:pPr>
      <w:r>
        <w:rPr>
          <w:rFonts w:hint="eastAsia" w:ascii="宋体" w:hAnsi="宋体" w:cs="宋体"/>
          <w:b/>
          <w:bCs/>
          <w:color w:val="auto"/>
          <w:sz w:val="21"/>
          <w:szCs w:val="20"/>
          <w:highlight w:val="none"/>
        </w:rPr>
        <w:t>一、投诉相关主体基本情况：</w:t>
      </w:r>
    </w:p>
    <w:p w14:paraId="3F46494E">
      <w:pPr>
        <w:snapToGrid w:val="0"/>
        <w:spacing w:line="40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供应商：</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1032DFDC">
      <w:pPr>
        <w:snapToGrid w:val="0"/>
        <w:spacing w:line="40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地址：</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邮编：</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1A2E36E0">
      <w:pPr>
        <w:snapToGrid w:val="0"/>
        <w:spacing w:line="40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法定代表人/主要负责人：</w:t>
      </w:r>
      <w:r>
        <w:rPr>
          <w:rFonts w:hint="eastAsia" w:ascii="宋体" w:hAnsi="宋体" w:cs="宋体"/>
          <w:bCs/>
          <w:color w:val="auto"/>
          <w:sz w:val="21"/>
          <w:szCs w:val="20"/>
          <w:highlight w:val="none"/>
          <w:u w:val="single"/>
        </w:rPr>
        <w:t xml:space="preserve">                                                         </w:t>
      </w:r>
    </w:p>
    <w:p w14:paraId="507FF6EA">
      <w:pPr>
        <w:snapToGrid w:val="0"/>
        <w:spacing w:line="40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联系电话：</w:t>
      </w:r>
      <w:r>
        <w:rPr>
          <w:rFonts w:hint="eastAsia" w:ascii="宋体" w:hAnsi="宋体" w:cs="宋体"/>
          <w:bCs/>
          <w:color w:val="auto"/>
          <w:sz w:val="21"/>
          <w:szCs w:val="20"/>
          <w:highlight w:val="none"/>
          <w:u w:val="single"/>
        </w:rPr>
        <w:t xml:space="preserve">                                         </w:t>
      </w:r>
    </w:p>
    <w:p w14:paraId="2B91BCA9">
      <w:pPr>
        <w:snapToGrid w:val="0"/>
        <w:spacing w:line="40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授权代表：</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联系电话：</w:t>
      </w:r>
      <w:r>
        <w:rPr>
          <w:rFonts w:hint="eastAsia" w:ascii="宋体" w:hAnsi="宋体" w:cs="宋体"/>
          <w:bCs/>
          <w:color w:val="auto"/>
          <w:sz w:val="21"/>
          <w:szCs w:val="20"/>
          <w:highlight w:val="none"/>
          <w:u w:val="single"/>
        </w:rPr>
        <w:t xml:space="preserve">                   </w:t>
      </w:r>
    </w:p>
    <w:p w14:paraId="07786AEE">
      <w:pPr>
        <w:snapToGrid w:val="0"/>
        <w:spacing w:line="40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地址：</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邮编：</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6DEA54D0">
      <w:pPr>
        <w:snapToGrid w:val="0"/>
        <w:spacing w:line="40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被投诉人1：</w:t>
      </w:r>
    </w:p>
    <w:p w14:paraId="7689281B">
      <w:pPr>
        <w:snapToGrid w:val="0"/>
        <w:spacing w:line="40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地址：</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邮编：</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0A5E49AD">
      <w:pPr>
        <w:snapToGrid w:val="0"/>
        <w:spacing w:line="40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联系人：</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联系电话：</w:t>
      </w:r>
      <w:r>
        <w:rPr>
          <w:rFonts w:hint="eastAsia" w:ascii="宋体" w:hAnsi="宋体" w:cs="宋体"/>
          <w:bCs/>
          <w:color w:val="auto"/>
          <w:sz w:val="21"/>
          <w:szCs w:val="20"/>
          <w:highlight w:val="none"/>
          <w:u w:val="single"/>
        </w:rPr>
        <w:t xml:space="preserve">                </w:t>
      </w:r>
    </w:p>
    <w:p w14:paraId="2961FD6A">
      <w:pPr>
        <w:snapToGrid w:val="0"/>
        <w:spacing w:line="40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被投诉人2：</w:t>
      </w:r>
    </w:p>
    <w:p w14:paraId="306A60AB">
      <w:pPr>
        <w:snapToGrid w:val="0"/>
        <w:spacing w:line="40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w:t>
      </w:r>
    </w:p>
    <w:p w14:paraId="3A36E7D2">
      <w:pPr>
        <w:snapToGrid w:val="0"/>
        <w:spacing w:line="40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相关供应商：</w:t>
      </w:r>
      <w:r>
        <w:rPr>
          <w:rFonts w:hint="eastAsia" w:ascii="宋体" w:hAnsi="宋体" w:cs="宋体"/>
          <w:bCs/>
          <w:color w:val="auto"/>
          <w:sz w:val="21"/>
          <w:szCs w:val="20"/>
          <w:highlight w:val="none"/>
          <w:u w:val="single"/>
        </w:rPr>
        <w:t xml:space="preserve">                                                                       </w:t>
      </w:r>
    </w:p>
    <w:p w14:paraId="4D62F5CC">
      <w:pPr>
        <w:snapToGrid w:val="0"/>
        <w:spacing w:line="40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地址：</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邮编：</w:t>
      </w:r>
      <w:r>
        <w:rPr>
          <w:rFonts w:hint="eastAsia" w:ascii="宋体" w:hAnsi="宋体" w:cs="宋体"/>
          <w:bCs/>
          <w:color w:val="auto"/>
          <w:sz w:val="21"/>
          <w:szCs w:val="20"/>
          <w:highlight w:val="none"/>
          <w:u w:val="single"/>
        </w:rPr>
        <w:t xml:space="preserve">                         </w:t>
      </w:r>
    </w:p>
    <w:p w14:paraId="25ACB4EF">
      <w:pPr>
        <w:snapToGrid w:val="0"/>
        <w:spacing w:line="40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联系人：</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联系电话：</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20B2D91B">
      <w:pPr>
        <w:snapToGrid w:val="0"/>
        <w:spacing w:line="400" w:lineRule="exact"/>
        <w:ind w:firstLine="422"/>
        <w:outlineLvl w:val="9"/>
        <w:rPr>
          <w:rFonts w:hint="eastAsia" w:ascii="宋体" w:hAnsi="宋体" w:cs="宋体"/>
          <w:b/>
          <w:bCs/>
          <w:color w:val="auto"/>
          <w:sz w:val="21"/>
          <w:szCs w:val="21"/>
          <w:highlight w:val="none"/>
        </w:rPr>
      </w:pPr>
      <w:r>
        <w:rPr>
          <w:rFonts w:hint="eastAsia" w:ascii="宋体" w:hAnsi="宋体" w:cs="宋体"/>
          <w:b/>
          <w:bCs/>
          <w:color w:val="auto"/>
          <w:sz w:val="21"/>
          <w:szCs w:val="20"/>
          <w:highlight w:val="none"/>
        </w:rPr>
        <w:t>二、投诉项目基本情况：</w:t>
      </w:r>
    </w:p>
    <w:p w14:paraId="7F257555">
      <w:pPr>
        <w:spacing w:line="400" w:lineRule="exact"/>
        <w:ind w:left="25" w:leftChars="12" w:firstLine="413" w:firstLineChars="197"/>
        <w:outlineLvl w:val="9"/>
        <w:rPr>
          <w:rFonts w:hint="eastAsia" w:ascii="宋体" w:hAnsi="宋体" w:cs="宋体"/>
          <w:color w:val="auto"/>
          <w:sz w:val="21"/>
          <w:szCs w:val="21"/>
          <w:highlight w:val="none"/>
        </w:rPr>
      </w:pPr>
      <w:r>
        <w:rPr>
          <w:rFonts w:hint="eastAsia" w:ascii="宋体" w:hAnsi="宋体" w:cs="宋体"/>
          <w:bCs/>
          <w:color w:val="auto"/>
          <w:sz w:val="21"/>
          <w:szCs w:val="21"/>
          <w:highlight w:val="none"/>
        </w:rPr>
        <w:t>采购</w:t>
      </w:r>
      <w:r>
        <w:rPr>
          <w:rFonts w:hint="eastAsia" w:ascii="宋体" w:hAnsi="宋体" w:cs="宋体"/>
          <w:color w:val="auto"/>
          <w:sz w:val="21"/>
          <w:szCs w:val="21"/>
          <w:highlight w:val="none"/>
        </w:rPr>
        <w:t>项目的名称：</w:t>
      </w:r>
      <w:r>
        <w:rPr>
          <w:rFonts w:hint="eastAsia" w:ascii="宋体" w:hAnsi="宋体" w:cs="宋体"/>
          <w:bCs/>
          <w:color w:val="auto"/>
          <w:sz w:val="21"/>
          <w:szCs w:val="21"/>
          <w:highlight w:val="none"/>
          <w:u w:val="single"/>
        </w:rPr>
        <w:t xml:space="preserve">                                                                   </w:t>
      </w:r>
    </w:p>
    <w:p w14:paraId="5CC8E328">
      <w:pPr>
        <w:spacing w:line="400" w:lineRule="exact"/>
        <w:ind w:left="25" w:leftChars="12" w:firstLine="413" w:firstLineChars="197"/>
        <w:outlineLvl w:val="9"/>
        <w:rPr>
          <w:rFonts w:hint="eastAsia" w:ascii="宋体" w:hAnsi="宋体" w:cs="宋体"/>
          <w:color w:val="auto"/>
          <w:sz w:val="21"/>
          <w:szCs w:val="21"/>
          <w:highlight w:val="none"/>
        </w:rPr>
      </w:pPr>
      <w:r>
        <w:rPr>
          <w:rFonts w:hint="eastAsia" w:ascii="宋体" w:hAnsi="宋体" w:cs="宋体"/>
          <w:bCs/>
          <w:color w:val="auto"/>
          <w:sz w:val="21"/>
          <w:szCs w:val="21"/>
          <w:highlight w:val="none"/>
        </w:rPr>
        <w:t>采购</w:t>
      </w:r>
      <w:r>
        <w:rPr>
          <w:rFonts w:hint="eastAsia" w:ascii="宋体" w:hAnsi="宋体" w:cs="宋体"/>
          <w:color w:val="auto"/>
          <w:sz w:val="21"/>
          <w:szCs w:val="21"/>
          <w:highlight w:val="none"/>
        </w:rPr>
        <w:t>项目的编号：</w:t>
      </w:r>
      <w:r>
        <w:rPr>
          <w:rFonts w:hint="eastAsia" w:ascii="宋体" w:hAnsi="宋体" w:cs="宋体"/>
          <w:bCs/>
          <w:color w:val="auto"/>
          <w:sz w:val="21"/>
          <w:szCs w:val="21"/>
          <w:highlight w:val="none"/>
          <w:u w:val="single"/>
        </w:rPr>
        <w:t xml:space="preserve">                                        </w:t>
      </w:r>
      <w:r>
        <w:rPr>
          <w:rFonts w:hint="eastAsia" w:ascii="宋体" w:hAnsi="宋体" w:cs="宋体"/>
          <w:color w:val="auto"/>
          <w:sz w:val="21"/>
          <w:szCs w:val="21"/>
          <w:highlight w:val="none"/>
        </w:rPr>
        <w:t>分标：</w:t>
      </w:r>
      <w:r>
        <w:rPr>
          <w:rFonts w:hint="eastAsia" w:ascii="宋体" w:hAnsi="宋体" w:cs="宋体"/>
          <w:color w:val="auto"/>
          <w:sz w:val="21"/>
          <w:szCs w:val="21"/>
          <w:highlight w:val="none"/>
          <w:u w:val="single"/>
        </w:rPr>
        <w:t xml:space="preserve">       </w:t>
      </w:r>
    </w:p>
    <w:p w14:paraId="4FFE42CA">
      <w:pPr>
        <w:spacing w:line="400" w:lineRule="exact"/>
        <w:ind w:left="25" w:leftChars="12" w:firstLine="413" w:firstLineChars="197"/>
        <w:outlineLvl w:val="9"/>
        <w:rPr>
          <w:rFonts w:hint="eastAsia" w:ascii="宋体" w:hAnsi="宋体" w:cs="宋体"/>
          <w:bCs/>
          <w:color w:val="auto"/>
          <w:sz w:val="21"/>
          <w:szCs w:val="20"/>
          <w:highlight w:val="none"/>
          <w:u w:val="single"/>
        </w:rPr>
      </w:pPr>
      <w:r>
        <w:rPr>
          <w:rFonts w:hint="eastAsia" w:ascii="宋体" w:hAnsi="宋体" w:cs="宋体"/>
          <w:color w:val="auto"/>
          <w:sz w:val="21"/>
          <w:szCs w:val="21"/>
          <w:highlight w:val="none"/>
        </w:rPr>
        <w:t>采购人名称：</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0"/>
          <w:highlight w:val="none"/>
          <w:u w:val="single"/>
        </w:rPr>
        <w:t xml:space="preserve">                </w:t>
      </w:r>
    </w:p>
    <w:p w14:paraId="559834BA">
      <w:pPr>
        <w:spacing w:line="400" w:lineRule="exact"/>
        <w:ind w:left="25" w:leftChars="12" w:firstLine="413" w:firstLineChars="197"/>
        <w:outlineLvl w:val="9"/>
        <w:rPr>
          <w:rFonts w:hint="eastAsia" w:ascii="宋体" w:hAnsi="宋体" w:cs="宋体"/>
          <w:bCs/>
          <w:color w:val="auto"/>
          <w:sz w:val="21"/>
          <w:szCs w:val="20"/>
          <w:highlight w:val="none"/>
          <w:u w:val="single"/>
        </w:rPr>
      </w:pPr>
      <w:r>
        <w:rPr>
          <w:rFonts w:hint="eastAsia" w:ascii="宋体" w:hAnsi="宋体" w:cs="宋体"/>
          <w:color w:val="auto"/>
          <w:sz w:val="21"/>
          <w:szCs w:val="21"/>
          <w:highlight w:val="none"/>
        </w:rPr>
        <w:t>代理机构名称：</w:t>
      </w:r>
      <w:r>
        <w:rPr>
          <w:rFonts w:hint="eastAsia" w:ascii="宋体" w:hAnsi="宋体" w:cs="宋体"/>
          <w:bCs/>
          <w:color w:val="auto"/>
          <w:sz w:val="21"/>
          <w:szCs w:val="20"/>
          <w:highlight w:val="none"/>
          <w:u w:val="single"/>
        </w:rPr>
        <w:t xml:space="preserve">                                                                      </w:t>
      </w:r>
    </w:p>
    <w:p w14:paraId="60AFFCFF">
      <w:pPr>
        <w:spacing w:line="400" w:lineRule="exact"/>
        <w:ind w:left="25" w:leftChars="12" w:firstLine="413" w:firstLineChars="197"/>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采购文件公告：</w:t>
      </w:r>
      <w:r>
        <w:rPr>
          <w:rFonts w:hint="eastAsia" w:ascii="宋体" w:hAnsi="宋体" w:cs="宋体"/>
          <w:bCs/>
          <w:color w:val="auto"/>
          <w:sz w:val="21"/>
          <w:szCs w:val="20"/>
          <w:highlight w:val="none"/>
          <w:u w:val="single"/>
        </w:rPr>
        <w:t>是/否</w:t>
      </w:r>
      <w:r>
        <w:rPr>
          <w:rFonts w:hint="eastAsia" w:ascii="宋体" w:hAnsi="宋体" w:cs="宋体"/>
          <w:bCs/>
          <w:color w:val="auto"/>
          <w:sz w:val="21"/>
          <w:szCs w:val="20"/>
          <w:highlight w:val="none"/>
        </w:rPr>
        <w:t>公告期限：</w:t>
      </w:r>
      <w:r>
        <w:rPr>
          <w:rFonts w:hint="eastAsia" w:ascii="宋体" w:hAnsi="宋体" w:cs="宋体"/>
          <w:bCs/>
          <w:color w:val="auto"/>
          <w:sz w:val="21"/>
          <w:szCs w:val="20"/>
          <w:highlight w:val="none"/>
          <w:u w:val="single"/>
        </w:rPr>
        <w:t xml:space="preserve">                                                       </w:t>
      </w:r>
    </w:p>
    <w:p w14:paraId="4480E826">
      <w:pPr>
        <w:spacing w:line="400" w:lineRule="exact"/>
        <w:ind w:left="25" w:leftChars="12" w:firstLine="413" w:firstLineChars="197"/>
        <w:outlineLvl w:val="9"/>
        <w:rPr>
          <w:rFonts w:hint="eastAsia" w:ascii="宋体" w:hAnsi="宋体" w:cs="宋体"/>
          <w:b/>
          <w:color w:val="auto"/>
          <w:sz w:val="21"/>
          <w:szCs w:val="21"/>
          <w:highlight w:val="none"/>
        </w:rPr>
      </w:pPr>
      <w:r>
        <w:rPr>
          <w:rFonts w:hint="eastAsia" w:ascii="宋体" w:hAnsi="宋体" w:cs="宋体"/>
          <w:bCs/>
          <w:color w:val="auto"/>
          <w:sz w:val="21"/>
          <w:szCs w:val="20"/>
          <w:highlight w:val="none"/>
        </w:rPr>
        <w:t>采购结果公告：</w:t>
      </w:r>
      <w:r>
        <w:rPr>
          <w:rFonts w:hint="eastAsia" w:ascii="宋体" w:hAnsi="宋体" w:cs="宋体"/>
          <w:bCs/>
          <w:color w:val="auto"/>
          <w:sz w:val="21"/>
          <w:szCs w:val="20"/>
          <w:highlight w:val="none"/>
          <w:u w:val="single"/>
        </w:rPr>
        <w:t>是/否</w:t>
      </w:r>
      <w:r>
        <w:rPr>
          <w:rFonts w:hint="eastAsia" w:ascii="宋体" w:hAnsi="宋体" w:cs="宋体"/>
          <w:bCs/>
          <w:color w:val="auto"/>
          <w:sz w:val="21"/>
          <w:szCs w:val="20"/>
          <w:highlight w:val="none"/>
        </w:rPr>
        <w:t>公告期限：</w:t>
      </w:r>
      <w:r>
        <w:rPr>
          <w:rFonts w:hint="eastAsia" w:ascii="宋体" w:hAnsi="宋体" w:cs="宋体"/>
          <w:bCs/>
          <w:color w:val="auto"/>
          <w:sz w:val="21"/>
          <w:szCs w:val="20"/>
          <w:highlight w:val="none"/>
          <w:u w:val="single"/>
        </w:rPr>
        <w:t xml:space="preserve">                                                       </w:t>
      </w:r>
    </w:p>
    <w:p w14:paraId="7066602A">
      <w:pPr>
        <w:spacing w:line="400" w:lineRule="exact"/>
        <w:ind w:left="25" w:leftChars="12" w:firstLine="413" w:firstLineChars="196"/>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三、质疑基本情况</w:t>
      </w:r>
    </w:p>
    <w:p w14:paraId="59A8F569">
      <w:pPr>
        <w:spacing w:line="400" w:lineRule="exact"/>
        <w:ind w:left="25" w:leftChars="12" w:firstLine="833" w:firstLineChars="3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投诉人于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日，向</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提出质疑，质疑事项为：</w:t>
      </w:r>
    </w:p>
    <w:p w14:paraId="2FC17317">
      <w:pPr>
        <w:spacing w:line="400" w:lineRule="exact"/>
        <w:ind w:firstLine="0" w:firstLineChars="0"/>
        <w:outlineLvl w:val="9"/>
        <w:rPr>
          <w:rFonts w:hint="eastAsia" w:ascii="宋体" w:hAnsi="宋体" w:cs="宋体"/>
          <w:bCs/>
          <w:color w:val="auto"/>
          <w:sz w:val="21"/>
          <w:szCs w:val="20"/>
          <w:highlight w:val="none"/>
          <w:u w:val="single"/>
        </w:rPr>
      </w:pPr>
      <w:r>
        <w:rPr>
          <w:rFonts w:hint="eastAsia" w:ascii="宋体" w:hAnsi="宋体" w:cs="宋体"/>
          <w:color w:val="auto"/>
          <w:sz w:val="21"/>
          <w:szCs w:val="21"/>
          <w:highlight w:val="none"/>
        </w:rPr>
        <w:t xml:space="preserve">    </w:t>
      </w:r>
      <w:r>
        <w:rPr>
          <w:rFonts w:hint="eastAsia" w:ascii="宋体" w:hAnsi="宋体" w:cs="宋体"/>
          <w:bCs/>
          <w:color w:val="auto"/>
          <w:sz w:val="21"/>
          <w:szCs w:val="20"/>
          <w:highlight w:val="none"/>
          <w:u w:val="single"/>
        </w:rPr>
        <w:t xml:space="preserve">                                                                                      </w:t>
      </w:r>
    </w:p>
    <w:p w14:paraId="7ED397C5">
      <w:pPr>
        <w:spacing w:line="400" w:lineRule="exact"/>
        <w:ind w:firstLine="0" w:firstLineChars="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 xml:space="preserve">    </w:t>
      </w:r>
      <w:r>
        <w:rPr>
          <w:rFonts w:hint="eastAsia" w:ascii="宋体" w:hAnsi="宋体" w:cs="宋体"/>
          <w:bCs/>
          <w:color w:val="auto"/>
          <w:sz w:val="21"/>
          <w:szCs w:val="20"/>
          <w:highlight w:val="none"/>
          <w:u w:val="single"/>
        </w:rPr>
        <w:t xml:space="preserve">                                                                                      </w:t>
      </w:r>
    </w:p>
    <w:p w14:paraId="3ABA165B">
      <w:pPr>
        <w:spacing w:line="400" w:lineRule="exact"/>
        <w:ind w:firstLine="0" w:firstLineChars="0"/>
        <w:outlineLvl w:val="9"/>
        <w:rPr>
          <w:rFonts w:hint="eastAsia" w:ascii="宋体" w:hAnsi="宋体" w:cs="宋体"/>
          <w:color w:val="auto"/>
          <w:sz w:val="21"/>
          <w:szCs w:val="21"/>
          <w:highlight w:val="none"/>
        </w:rPr>
      </w:pPr>
      <w:r>
        <w:rPr>
          <w:rFonts w:hint="eastAsia" w:ascii="宋体" w:hAnsi="宋体" w:cs="宋体"/>
          <w:bCs/>
          <w:color w:val="auto"/>
          <w:sz w:val="21"/>
          <w:szCs w:val="20"/>
          <w:highlight w:val="none"/>
        </w:rPr>
        <w:t xml:space="preserve">        </w:t>
      </w:r>
      <w:r>
        <w:rPr>
          <w:rFonts w:hint="eastAsia" w:ascii="宋体" w:hAnsi="宋体" w:cs="宋体"/>
          <w:bCs/>
          <w:color w:val="auto"/>
          <w:sz w:val="21"/>
          <w:szCs w:val="20"/>
          <w:highlight w:val="none"/>
          <w:u w:val="single"/>
        </w:rPr>
        <w:t>采购人/代理机构</w:t>
      </w:r>
      <w:r>
        <w:rPr>
          <w:rFonts w:hint="eastAsia" w:ascii="宋体" w:hAnsi="宋体" w:cs="宋体"/>
          <w:bCs/>
          <w:color w:val="auto"/>
          <w:sz w:val="21"/>
          <w:szCs w:val="20"/>
          <w:highlight w:val="none"/>
        </w:rPr>
        <w:t>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r>
        <w:rPr>
          <w:rFonts w:hint="eastAsia" w:ascii="宋体" w:hAnsi="宋体" w:cs="宋体"/>
          <w:bCs/>
          <w:color w:val="auto"/>
          <w:sz w:val="21"/>
          <w:szCs w:val="20"/>
          <w:highlight w:val="none"/>
        </w:rPr>
        <w:t xml:space="preserve">就质疑事项作出了答复/没有在法定期限内作出答复。                                                                                             </w:t>
      </w:r>
    </w:p>
    <w:p w14:paraId="4064B855">
      <w:pPr>
        <w:spacing w:line="400" w:lineRule="exact"/>
        <w:ind w:left="25" w:leftChars="12" w:firstLine="413" w:firstLineChars="196"/>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四、投诉事项具体内容</w:t>
      </w:r>
    </w:p>
    <w:p w14:paraId="025A629D">
      <w:pPr>
        <w:spacing w:line="400" w:lineRule="exact"/>
        <w:ind w:left="25" w:leftChars="12" w:firstLine="413" w:firstLineChars="197"/>
        <w:outlineLvl w:val="9"/>
        <w:rPr>
          <w:rFonts w:hint="eastAsia" w:ascii="宋体" w:hAnsi="宋体" w:cs="宋体"/>
          <w:bCs/>
          <w:color w:val="auto"/>
          <w:sz w:val="21"/>
          <w:szCs w:val="20"/>
          <w:highlight w:val="none"/>
          <w:u w:val="single"/>
        </w:rPr>
      </w:pPr>
      <w:r>
        <w:rPr>
          <w:rFonts w:hint="eastAsia" w:ascii="宋体" w:hAnsi="宋体" w:cs="宋体"/>
          <w:color w:val="auto"/>
          <w:sz w:val="21"/>
          <w:szCs w:val="21"/>
          <w:highlight w:val="none"/>
        </w:rPr>
        <w:t>投诉事项1：</w:t>
      </w:r>
      <w:r>
        <w:rPr>
          <w:rFonts w:hint="eastAsia" w:ascii="宋体" w:hAnsi="宋体" w:cs="宋体"/>
          <w:bCs/>
          <w:color w:val="auto"/>
          <w:sz w:val="21"/>
          <w:szCs w:val="20"/>
          <w:highlight w:val="none"/>
          <w:u w:val="single"/>
        </w:rPr>
        <w:t xml:space="preserve">                                                                           </w:t>
      </w:r>
    </w:p>
    <w:p w14:paraId="4E9C39B4">
      <w:pPr>
        <w:spacing w:line="40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事实依据：</w:t>
      </w:r>
      <w:r>
        <w:rPr>
          <w:rFonts w:hint="eastAsia" w:ascii="宋体" w:hAnsi="宋体" w:cs="宋体"/>
          <w:color w:val="auto"/>
          <w:sz w:val="21"/>
          <w:szCs w:val="21"/>
          <w:highlight w:val="none"/>
        </w:rPr>
        <w:t xml:space="preserve"> </w:t>
      </w:r>
      <w:r>
        <w:rPr>
          <w:rFonts w:hint="eastAsia" w:ascii="宋体" w:hAnsi="宋体" w:cs="宋体"/>
          <w:bCs/>
          <w:color w:val="auto"/>
          <w:sz w:val="21"/>
          <w:szCs w:val="20"/>
          <w:highlight w:val="none"/>
          <w:u w:val="single"/>
        </w:rPr>
        <w:t xml:space="preserve">                                                                                      </w:t>
      </w:r>
    </w:p>
    <w:p w14:paraId="76337F65">
      <w:pPr>
        <w:spacing w:line="400" w:lineRule="exact"/>
        <w:ind w:left="25" w:leftChars="12" w:firstLine="413" w:firstLineChars="197"/>
        <w:outlineLvl w:val="9"/>
        <w:rPr>
          <w:rFonts w:hint="eastAsia" w:ascii="宋体" w:hAnsi="宋体" w:cs="宋体"/>
          <w:color w:val="auto"/>
          <w:sz w:val="21"/>
          <w:szCs w:val="21"/>
          <w:highlight w:val="none"/>
        </w:rPr>
      </w:pPr>
      <w:r>
        <w:rPr>
          <w:rFonts w:hint="eastAsia" w:ascii="宋体" w:hAnsi="宋体" w:cs="宋体"/>
          <w:bCs/>
          <w:color w:val="auto"/>
          <w:sz w:val="21"/>
          <w:szCs w:val="20"/>
          <w:highlight w:val="none"/>
          <w:u w:val="single"/>
        </w:rPr>
        <w:t xml:space="preserve">                                                                                        </w:t>
      </w:r>
    </w:p>
    <w:p w14:paraId="53609A0C">
      <w:pPr>
        <w:spacing w:line="40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法律依据：</w:t>
      </w:r>
      <w:r>
        <w:rPr>
          <w:rFonts w:hint="eastAsia" w:ascii="宋体" w:hAnsi="宋体" w:cs="宋体"/>
          <w:color w:val="auto"/>
          <w:sz w:val="21"/>
          <w:szCs w:val="21"/>
          <w:highlight w:val="none"/>
        </w:rPr>
        <w:t xml:space="preserve"> </w:t>
      </w:r>
      <w:r>
        <w:rPr>
          <w:rFonts w:hint="eastAsia" w:ascii="宋体" w:hAnsi="宋体" w:cs="宋体"/>
          <w:bCs/>
          <w:color w:val="auto"/>
          <w:sz w:val="21"/>
          <w:szCs w:val="20"/>
          <w:highlight w:val="none"/>
          <w:u w:val="single"/>
        </w:rPr>
        <w:t xml:space="preserve">                                                                                      </w:t>
      </w:r>
    </w:p>
    <w:p w14:paraId="21697A9C">
      <w:pPr>
        <w:spacing w:line="400" w:lineRule="exact"/>
        <w:ind w:left="25" w:leftChars="12" w:firstLine="308" w:firstLineChars="147"/>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 xml:space="preserve"> </w:t>
      </w:r>
      <w:r>
        <w:rPr>
          <w:rFonts w:hint="eastAsia" w:ascii="宋体" w:hAnsi="宋体" w:cs="宋体"/>
          <w:bCs/>
          <w:color w:val="auto"/>
          <w:sz w:val="21"/>
          <w:szCs w:val="20"/>
          <w:highlight w:val="none"/>
          <w:u w:val="single"/>
        </w:rPr>
        <w:t xml:space="preserve">                                                                                        </w:t>
      </w:r>
    </w:p>
    <w:p w14:paraId="19969B04">
      <w:pPr>
        <w:spacing w:line="400" w:lineRule="exact"/>
        <w:ind w:left="25" w:leftChars="12" w:firstLine="413" w:firstLineChars="197"/>
        <w:outlineLvl w:val="9"/>
        <w:rPr>
          <w:rFonts w:hint="eastAsia" w:ascii="宋体" w:hAnsi="宋体" w:cs="宋体"/>
          <w:bCs/>
          <w:color w:val="auto"/>
          <w:sz w:val="21"/>
          <w:szCs w:val="20"/>
          <w:highlight w:val="none"/>
        </w:rPr>
      </w:pPr>
      <w:r>
        <w:rPr>
          <w:rFonts w:hint="eastAsia" w:ascii="宋体" w:hAnsi="宋体" w:cs="宋体"/>
          <w:color w:val="auto"/>
          <w:sz w:val="21"/>
          <w:szCs w:val="21"/>
          <w:highlight w:val="none"/>
        </w:rPr>
        <w:t xml:space="preserve">投诉事项2  </w:t>
      </w:r>
      <w:r>
        <w:rPr>
          <w:rFonts w:hint="eastAsia" w:ascii="宋体" w:hAnsi="宋体" w:cs="宋体"/>
          <w:bCs/>
          <w:color w:val="auto"/>
          <w:sz w:val="21"/>
          <w:szCs w:val="20"/>
          <w:highlight w:val="none"/>
        </w:rPr>
        <w:t xml:space="preserve">   </w:t>
      </w:r>
    </w:p>
    <w:p w14:paraId="24B0E634">
      <w:pPr>
        <w:spacing w:line="400" w:lineRule="exact"/>
        <w:ind w:left="25" w:leftChars="12" w:firstLine="413" w:firstLineChars="197"/>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w:t>
      </w:r>
    </w:p>
    <w:p w14:paraId="14AE3A16">
      <w:pPr>
        <w:spacing w:line="400" w:lineRule="exact"/>
        <w:ind w:left="25" w:leftChars="12" w:firstLine="413" w:firstLineChars="196"/>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五、与投诉事项相关的投诉请求：</w:t>
      </w:r>
    </w:p>
    <w:p w14:paraId="49672888">
      <w:pPr>
        <w:spacing w:line="400" w:lineRule="exact"/>
        <w:ind w:left="25"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请求：</w:t>
      </w:r>
      <w:r>
        <w:rPr>
          <w:rFonts w:hint="eastAsia" w:ascii="宋体" w:hAnsi="宋体" w:cs="宋体"/>
          <w:bCs/>
          <w:color w:val="auto"/>
          <w:sz w:val="21"/>
          <w:szCs w:val="20"/>
          <w:highlight w:val="none"/>
          <w:u w:val="single"/>
        </w:rPr>
        <w:t xml:space="preserve">                                                                                 </w:t>
      </w:r>
    </w:p>
    <w:p w14:paraId="7BC10209">
      <w:pPr>
        <w:spacing w:line="400" w:lineRule="exact"/>
        <w:ind w:left="25" w:leftChars="12" w:firstLine="308" w:firstLineChars="147"/>
        <w:outlineLvl w:val="9"/>
        <w:rPr>
          <w:rFonts w:hint="eastAsia" w:ascii="宋体" w:hAnsi="宋体" w:cs="宋体"/>
          <w:color w:val="auto"/>
          <w:sz w:val="21"/>
          <w:szCs w:val="21"/>
          <w:highlight w:val="none"/>
        </w:rPr>
      </w:pPr>
    </w:p>
    <w:p w14:paraId="3749D381">
      <w:pPr>
        <w:spacing w:line="400" w:lineRule="exact"/>
        <w:ind w:left="25"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签字（签章）：                                       公章：</w:t>
      </w:r>
    </w:p>
    <w:p w14:paraId="6073DEF0">
      <w:pPr>
        <w:spacing w:line="400" w:lineRule="exact"/>
        <w:ind w:left="25" w:leftChars="12" w:firstLine="308" w:firstLineChars="147"/>
        <w:outlineLvl w:val="9"/>
        <w:rPr>
          <w:rFonts w:hint="eastAsia" w:ascii="宋体" w:hAnsi="宋体" w:cs="宋体"/>
          <w:color w:val="auto"/>
          <w:sz w:val="21"/>
          <w:szCs w:val="21"/>
          <w:highlight w:val="none"/>
        </w:rPr>
      </w:pPr>
    </w:p>
    <w:p w14:paraId="0D5A94B8">
      <w:pPr>
        <w:spacing w:line="400" w:lineRule="exact"/>
        <w:ind w:left="25"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日期：</w:t>
      </w:r>
    </w:p>
    <w:p w14:paraId="4F2E4EB4">
      <w:pPr>
        <w:spacing w:line="360" w:lineRule="exact"/>
        <w:ind w:left="25" w:leftChars="12" w:firstLine="413" w:firstLineChars="197"/>
        <w:outlineLvl w:val="9"/>
        <w:rPr>
          <w:rFonts w:hint="eastAsia" w:ascii="宋体" w:hAnsi="宋体" w:cs="宋体"/>
          <w:color w:val="auto"/>
          <w:sz w:val="21"/>
          <w:szCs w:val="21"/>
          <w:highlight w:val="none"/>
        </w:rPr>
      </w:pPr>
      <w:r>
        <w:rPr>
          <w:rFonts w:hint="eastAsia" w:ascii="宋体" w:hAnsi="宋体" w:cs="宋体"/>
          <w:bCs/>
          <w:color w:val="auto"/>
          <w:sz w:val="21"/>
          <w:szCs w:val="20"/>
          <w:highlight w:val="none"/>
        </w:rPr>
        <w:t xml:space="preserve">                                                                                 </w:t>
      </w:r>
    </w:p>
    <w:p w14:paraId="5B2FE6D2">
      <w:pPr>
        <w:snapToGrid w:val="0"/>
        <w:spacing w:line="340" w:lineRule="exact"/>
        <w:ind w:firstLine="0" w:firstLineChars="0"/>
        <w:outlineLvl w:val="9"/>
        <w:rPr>
          <w:rFonts w:hint="eastAsia" w:ascii="宋体" w:hAnsi="宋体" w:cs="宋体"/>
          <w:b/>
          <w:color w:val="auto"/>
          <w:sz w:val="21"/>
          <w:szCs w:val="21"/>
          <w:highlight w:val="none"/>
        </w:rPr>
      </w:pPr>
    </w:p>
    <w:p w14:paraId="19D33C34">
      <w:pPr>
        <w:spacing w:line="340" w:lineRule="exact"/>
        <w:ind w:left="25" w:leftChars="12" w:firstLine="310" w:firstLineChars="147"/>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说明：</w:t>
      </w:r>
    </w:p>
    <w:p w14:paraId="4F44E494">
      <w:pPr>
        <w:spacing w:line="340" w:lineRule="exact"/>
        <w:ind w:left="25" w:leftChars="12" w:firstLine="310" w:firstLineChars="147"/>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1.投诉人提起投诉时，应当提交投诉书和必要的证明材料，并按照被投诉人和与投诉事项有关的供应商数量提供投诉书副本。</w:t>
      </w:r>
    </w:p>
    <w:p w14:paraId="36803940">
      <w:pPr>
        <w:spacing w:line="340" w:lineRule="exact"/>
        <w:ind w:left="25" w:leftChars="12" w:firstLine="310" w:firstLineChars="147"/>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5470EB8">
      <w:pPr>
        <w:spacing w:line="340" w:lineRule="exact"/>
        <w:ind w:left="25" w:leftChars="12" w:firstLine="310" w:firstLineChars="147"/>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3.投诉书应简要列明质疑事项，质疑函、质疑答复等作为附件材料提供。</w:t>
      </w:r>
    </w:p>
    <w:p w14:paraId="6A21D83A">
      <w:pPr>
        <w:spacing w:line="340" w:lineRule="exact"/>
        <w:ind w:left="25" w:leftChars="12" w:firstLine="310" w:firstLineChars="147"/>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4.如本项目划分分标的，应注明所投诉的分标。投诉书的投诉事项应具体、明确，并有必要的事实依据和法律依据。</w:t>
      </w:r>
    </w:p>
    <w:p w14:paraId="0238472E">
      <w:pPr>
        <w:spacing w:line="340" w:lineRule="exact"/>
        <w:ind w:left="25" w:leftChars="12" w:firstLine="310" w:firstLineChars="147"/>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5.投诉书的投诉请求应与投诉事项相关。</w:t>
      </w:r>
    </w:p>
    <w:p w14:paraId="048174A0">
      <w:pPr>
        <w:spacing w:line="340" w:lineRule="exact"/>
        <w:ind w:left="25" w:leftChars="12" w:firstLine="310" w:firstLineChars="147"/>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6.投诉人为自然人的，投诉书应由本人签字；投诉人为法人或者其他组织的，投诉书应由法定代表人、主要负责人，或者其授权代表签字或者盖章，并加盖公章。</w:t>
      </w:r>
    </w:p>
    <w:p w14:paraId="4FDA5E59">
      <w:pPr>
        <w:spacing w:line="340" w:lineRule="exact"/>
        <w:ind w:left="25" w:leftChars="12" w:firstLine="310" w:firstLineChars="147"/>
        <w:outlineLvl w:val="9"/>
        <w:rPr>
          <w:rFonts w:hint="eastAsia" w:ascii="宋体" w:hAnsi="宋体" w:cs="宋体"/>
          <w:b/>
          <w:color w:val="auto"/>
          <w:kern w:val="0"/>
          <w:sz w:val="21"/>
          <w:szCs w:val="21"/>
          <w:highlight w:val="none"/>
        </w:rPr>
      </w:pPr>
    </w:p>
    <w:p w14:paraId="4B287A5B">
      <w:pPr>
        <w:spacing w:line="340" w:lineRule="exact"/>
        <w:ind w:left="25" w:leftChars="12" w:firstLine="310" w:firstLineChars="147"/>
        <w:outlineLvl w:val="9"/>
        <w:rPr>
          <w:rFonts w:hint="eastAsia" w:ascii="宋体" w:hAnsi="宋体"/>
          <w:b/>
          <w:color w:val="auto"/>
          <w:kern w:val="0"/>
          <w:sz w:val="21"/>
          <w:szCs w:val="21"/>
          <w:highlight w:val="none"/>
        </w:rPr>
      </w:pPr>
    </w:p>
    <w:p w14:paraId="26B71EDA">
      <w:pPr>
        <w:tabs>
          <w:tab w:val="center" w:pos="4410"/>
          <w:tab w:val="left" w:pos="6735"/>
        </w:tabs>
        <w:spacing w:line="480" w:lineRule="auto"/>
        <w:ind w:firstLine="0" w:firstLineChars="0"/>
        <w:jc w:val="center"/>
        <w:outlineLvl w:val="9"/>
        <w:rPr>
          <w:rFonts w:hint="eastAsia" w:ascii="宋体" w:hAnsi="宋体"/>
          <w:b/>
          <w:color w:val="auto"/>
          <w:kern w:val="0"/>
          <w:sz w:val="32"/>
          <w:szCs w:val="32"/>
          <w:highlight w:val="none"/>
        </w:rPr>
      </w:pPr>
    </w:p>
    <w:p w14:paraId="5E46DEF8">
      <w:pPr>
        <w:tabs>
          <w:tab w:val="center" w:pos="4410"/>
          <w:tab w:val="left" w:pos="6735"/>
        </w:tabs>
        <w:spacing w:line="480" w:lineRule="auto"/>
        <w:ind w:firstLine="0" w:firstLineChars="0"/>
        <w:jc w:val="center"/>
        <w:outlineLvl w:val="9"/>
        <w:rPr>
          <w:rFonts w:hint="eastAsia" w:ascii="宋体" w:hAnsi="宋体"/>
          <w:b/>
          <w:color w:val="auto"/>
          <w:kern w:val="0"/>
          <w:sz w:val="32"/>
          <w:szCs w:val="32"/>
          <w:highlight w:val="none"/>
        </w:rPr>
      </w:pPr>
    </w:p>
    <w:p w14:paraId="1DE888DC">
      <w:pPr>
        <w:tabs>
          <w:tab w:val="center" w:pos="4410"/>
          <w:tab w:val="left" w:pos="6735"/>
        </w:tabs>
        <w:spacing w:line="480" w:lineRule="auto"/>
        <w:ind w:firstLine="0" w:firstLineChars="0"/>
        <w:jc w:val="center"/>
        <w:outlineLvl w:val="9"/>
        <w:rPr>
          <w:rFonts w:hint="eastAsia" w:ascii="宋体" w:hAnsi="宋体"/>
          <w:b/>
          <w:color w:val="auto"/>
          <w:kern w:val="0"/>
          <w:sz w:val="32"/>
          <w:szCs w:val="32"/>
          <w:highlight w:val="none"/>
        </w:rPr>
      </w:pPr>
    </w:p>
    <w:p w14:paraId="1EF2A222">
      <w:pPr>
        <w:snapToGrid w:val="0"/>
        <w:spacing w:line="340" w:lineRule="exact"/>
        <w:ind w:firstLine="0" w:firstLineChars="0"/>
        <w:outlineLvl w:val="9"/>
        <w:rPr>
          <w:rFonts w:hint="eastAsia" w:ascii="宋体" w:hAnsi="宋体" w:cs="宋体"/>
          <w:b/>
          <w:color w:val="auto"/>
          <w:szCs w:val="24"/>
          <w:highlight w:val="none"/>
          <w:lang w:eastAsia="zh-CN"/>
        </w:rPr>
      </w:pPr>
    </w:p>
    <w:p w14:paraId="6FF45B23">
      <w:pPr>
        <w:snapToGrid w:val="0"/>
        <w:spacing w:line="340" w:lineRule="exact"/>
        <w:ind w:firstLine="0" w:firstLineChars="0"/>
        <w:outlineLvl w:val="9"/>
        <w:rPr>
          <w:rFonts w:hint="eastAsia" w:ascii="宋体" w:hAnsi="宋体" w:cs="宋体"/>
          <w:b/>
          <w:color w:val="auto"/>
          <w:szCs w:val="24"/>
          <w:highlight w:val="none"/>
          <w:lang w:eastAsia="zh-CN"/>
        </w:rPr>
      </w:pPr>
    </w:p>
    <w:p w14:paraId="37AB3D62">
      <w:pPr>
        <w:snapToGrid w:val="0"/>
        <w:spacing w:line="340" w:lineRule="exact"/>
        <w:ind w:firstLine="0" w:firstLineChars="0"/>
        <w:outlineLvl w:val="9"/>
        <w:rPr>
          <w:rFonts w:hint="eastAsia" w:ascii="宋体" w:hAnsi="宋体" w:cs="宋体"/>
          <w:b/>
          <w:color w:val="auto"/>
          <w:szCs w:val="24"/>
          <w:highlight w:val="none"/>
          <w:lang w:eastAsia="zh-CN"/>
        </w:rPr>
      </w:pPr>
    </w:p>
    <w:p w14:paraId="2206AB43">
      <w:pPr>
        <w:snapToGrid w:val="0"/>
        <w:spacing w:line="340" w:lineRule="exact"/>
        <w:ind w:firstLine="0" w:firstLineChars="0"/>
        <w:outlineLvl w:val="9"/>
        <w:rPr>
          <w:rFonts w:hint="eastAsia" w:ascii="宋体" w:hAnsi="宋体" w:cs="宋体"/>
          <w:b/>
          <w:color w:val="auto"/>
          <w:szCs w:val="24"/>
          <w:highlight w:val="none"/>
          <w:lang w:eastAsia="zh-CN"/>
        </w:rPr>
      </w:pPr>
    </w:p>
    <w:p w14:paraId="64080916">
      <w:pPr>
        <w:snapToGrid w:val="0"/>
        <w:spacing w:line="340" w:lineRule="exact"/>
        <w:ind w:firstLine="0" w:firstLineChars="0"/>
        <w:outlineLvl w:val="9"/>
        <w:rPr>
          <w:rFonts w:hint="eastAsia" w:ascii="宋体" w:hAnsi="宋体" w:cs="宋体"/>
          <w:b/>
          <w:color w:val="auto"/>
          <w:szCs w:val="24"/>
          <w:highlight w:val="none"/>
          <w:lang w:eastAsia="zh-CN"/>
        </w:rPr>
      </w:pPr>
    </w:p>
    <w:p w14:paraId="3F8C554B">
      <w:pPr>
        <w:snapToGrid w:val="0"/>
        <w:spacing w:line="340" w:lineRule="exact"/>
        <w:ind w:firstLine="0" w:firstLineChars="0"/>
        <w:outlineLvl w:val="9"/>
        <w:rPr>
          <w:rFonts w:hint="eastAsia" w:ascii="宋体" w:hAnsi="宋体" w:cs="宋体"/>
          <w:b/>
          <w:color w:val="auto"/>
          <w:szCs w:val="24"/>
          <w:highlight w:val="none"/>
          <w:lang w:eastAsia="zh-CN"/>
        </w:rPr>
      </w:pPr>
    </w:p>
    <w:p w14:paraId="3B94AD2F">
      <w:pPr>
        <w:snapToGrid w:val="0"/>
        <w:spacing w:line="340" w:lineRule="exact"/>
        <w:ind w:firstLine="0" w:firstLineChars="0"/>
        <w:outlineLvl w:val="9"/>
        <w:rPr>
          <w:rFonts w:hint="eastAsia" w:ascii="宋体" w:hAnsi="宋体" w:cs="宋体"/>
          <w:b/>
          <w:color w:val="auto"/>
          <w:szCs w:val="24"/>
          <w:highlight w:val="none"/>
        </w:rPr>
      </w:pPr>
    </w:p>
    <w:p w14:paraId="1791EA0B">
      <w:pPr>
        <w:snapToGrid w:val="0"/>
        <w:spacing w:line="340" w:lineRule="exact"/>
        <w:ind w:firstLine="0" w:firstLineChars="0"/>
        <w:outlineLvl w:val="9"/>
        <w:rPr>
          <w:rFonts w:hint="eastAsia" w:ascii="宋体" w:hAnsi="宋体" w:cs="宋体"/>
          <w:b/>
          <w:color w:val="auto"/>
          <w:szCs w:val="24"/>
          <w:highlight w:val="none"/>
        </w:rPr>
      </w:pPr>
      <w:r>
        <w:rPr>
          <w:rFonts w:hint="eastAsia" w:ascii="宋体" w:hAnsi="宋体" w:cs="宋体"/>
          <w:b/>
          <w:color w:val="auto"/>
          <w:szCs w:val="24"/>
          <w:highlight w:val="none"/>
        </w:rPr>
        <w:t>附表</w:t>
      </w:r>
      <w:r>
        <w:rPr>
          <w:rFonts w:hint="eastAsia" w:ascii="宋体" w:hAnsi="宋体" w:cs="宋体"/>
          <w:b/>
          <w:color w:val="auto"/>
          <w:szCs w:val="24"/>
          <w:highlight w:val="none"/>
          <w:lang w:val="en-US" w:eastAsia="zh-CN"/>
        </w:rPr>
        <w:t>3</w:t>
      </w:r>
      <w:r>
        <w:rPr>
          <w:rFonts w:hint="eastAsia" w:ascii="宋体" w:hAnsi="宋体" w:cs="宋体"/>
          <w:b/>
          <w:color w:val="auto"/>
          <w:szCs w:val="24"/>
          <w:highlight w:val="none"/>
        </w:rPr>
        <w:t>：</w:t>
      </w:r>
    </w:p>
    <w:p w14:paraId="571B02EB">
      <w:pPr>
        <w:spacing w:line="360" w:lineRule="exact"/>
        <w:ind w:firstLine="643"/>
        <w:jc w:val="center"/>
        <w:outlineLvl w:val="9"/>
        <w:rPr>
          <w:rFonts w:hint="eastAsia" w:ascii="宋体" w:hAnsi="宋体"/>
          <w:b/>
          <w:color w:val="auto"/>
          <w:sz w:val="32"/>
          <w:szCs w:val="32"/>
          <w:highlight w:val="none"/>
        </w:rPr>
      </w:pPr>
    </w:p>
    <w:p w14:paraId="498D8D16">
      <w:pPr>
        <w:spacing w:line="360" w:lineRule="exact"/>
        <w:ind w:firstLine="480"/>
        <w:jc w:val="center"/>
        <w:outlineLvl w:val="9"/>
        <w:rPr>
          <w:rFonts w:hint="eastAsia" w:ascii="宋体" w:hAnsi="宋体"/>
          <w:b/>
          <w:color w:val="auto"/>
          <w:sz w:val="32"/>
          <w:szCs w:val="32"/>
          <w:highlight w:val="none"/>
        </w:rPr>
      </w:pPr>
      <w:r>
        <w:rPr>
          <w:color w:val="auto"/>
          <w:highlight w:val="none"/>
        </w:rPr>
        <w:drawing>
          <wp:anchor distT="0" distB="0" distL="114300" distR="114300" simplePos="0" relativeHeight="251664384" behindDoc="0" locked="0" layoutInCell="1" allowOverlap="1">
            <wp:simplePos x="0" y="0"/>
            <wp:positionH relativeFrom="column">
              <wp:posOffset>252730</wp:posOffset>
            </wp:positionH>
            <wp:positionV relativeFrom="paragraph">
              <wp:posOffset>1905</wp:posOffset>
            </wp:positionV>
            <wp:extent cx="5904230" cy="6205855"/>
            <wp:effectExtent l="0" t="0" r="1270" b="4445"/>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a:stretch>
                      <a:fillRect/>
                    </a:stretch>
                  </pic:blipFill>
                  <pic:spPr>
                    <a:xfrm>
                      <a:off x="0" y="0"/>
                      <a:ext cx="5904230" cy="6205855"/>
                    </a:xfrm>
                    <a:prstGeom prst="rect">
                      <a:avLst/>
                    </a:prstGeom>
                    <a:noFill/>
                    <a:ln>
                      <a:noFill/>
                    </a:ln>
                  </pic:spPr>
                </pic:pic>
              </a:graphicData>
            </a:graphic>
          </wp:anchor>
        </w:drawing>
      </w:r>
    </w:p>
    <w:p w14:paraId="29256EB5">
      <w:pPr>
        <w:tabs>
          <w:tab w:val="left" w:pos="567"/>
        </w:tabs>
        <w:spacing w:line="360" w:lineRule="exact"/>
        <w:jc w:val="center"/>
        <w:outlineLvl w:val="9"/>
        <w:rPr>
          <w:rFonts w:hint="eastAsia" w:ascii="宋体" w:hAnsi="宋体" w:eastAsia="宋体" w:cs="宋体"/>
          <w:b/>
          <w:bCs/>
          <w:color w:val="000000"/>
          <w:sz w:val="32"/>
          <w:szCs w:val="32"/>
          <w:highlight w:val="none"/>
          <w:shd w:val="clear" w:color="auto" w:fill="auto"/>
        </w:rPr>
      </w:pPr>
      <w:r>
        <w:rPr>
          <w:rFonts w:hint="eastAsia" w:ascii="宋体" w:hAnsi="宋体" w:eastAsia="宋体" w:cs="宋体"/>
          <w:b/>
          <w:bCs/>
          <w:color w:val="000000"/>
          <w:sz w:val="32"/>
          <w:szCs w:val="32"/>
          <w:highlight w:val="none"/>
          <w:shd w:val="clear" w:color="auto" w:fill="auto"/>
        </w:rPr>
        <w:br w:type="page"/>
      </w:r>
      <w:r>
        <w:rPr>
          <w:rFonts w:hint="eastAsia" w:ascii="宋体" w:hAnsi="宋体" w:eastAsia="宋体" w:cs="宋体"/>
          <w:b/>
          <w:bCs/>
          <w:color w:val="000000"/>
          <w:sz w:val="32"/>
          <w:szCs w:val="32"/>
          <w:highlight w:val="none"/>
          <w:shd w:val="clear" w:color="auto" w:fill="auto"/>
        </w:rPr>
        <w:t>第三章  工程量清单</w:t>
      </w:r>
    </w:p>
    <w:p w14:paraId="71048D2B">
      <w:pPr>
        <w:pStyle w:val="77"/>
        <w:jc w:val="center"/>
        <w:rPr>
          <w:rFonts w:hint="eastAsia" w:ascii="宋体" w:hAnsi="宋体" w:eastAsia="宋体" w:cs="宋体"/>
          <w:b/>
          <w:bCs/>
          <w:color w:val="000000"/>
          <w:sz w:val="28"/>
          <w:szCs w:val="36"/>
          <w:highlight w:val="none"/>
        </w:rPr>
      </w:pPr>
    </w:p>
    <w:p w14:paraId="01CCFE49">
      <w:pPr>
        <w:pStyle w:val="77"/>
        <w:jc w:val="center"/>
        <w:rPr>
          <w:rFonts w:hint="eastAsia" w:ascii="宋体" w:hAnsi="宋体" w:eastAsia="宋体" w:cs="宋体"/>
          <w:b/>
          <w:bCs/>
          <w:color w:val="000000"/>
          <w:sz w:val="28"/>
          <w:szCs w:val="36"/>
          <w:highlight w:val="none"/>
        </w:rPr>
      </w:pPr>
    </w:p>
    <w:p w14:paraId="57FC7E7D">
      <w:pPr>
        <w:pStyle w:val="77"/>
        <w:jc w:val="center"/>
        <w:rPr>
          <w:rFonts w:hint="eastAsia" w:ascii="宋体" w:hAnsi="宋体" w:eastAsia="宋体" w:cs="宋体"/>
          <w:b/>
          <w:bCs/>
          <w:color w:val="000000"/>
          <w:sz w:val="28"/>
          <w:szCs w:val="36"/>
          <w:highlight w:val="none"/>
        </w:rPr>
      </w:pPr>
    </w:p>
    <w:p w14:paraId="29523F16">
      <w:pPr>
        <w:spacing w:line="500" w:lineRule="exact"/>
        <w:jc w:val="center"/>
        <w:rPr>
          <w:rFonts w:hint="eastAsia" w:ascii="宋体" w:hAnsi="宋体" w:eastAsia="宋体" w:cs="宋体"/>
          <w:b/>
          <w:color w:val="000000"/>
          <w:sz w:val="32"/>
          <w:szCs w:val="32"/>
          <w:highlight w:val="none"/>
          <w:shd w:val="clear" w:color="auto" w:fill="auto"/>
        </w:rPr>
      </w:pPr>
      <w:r>
        <w:rPr>
          <w:rFonts w:hint="eastAsia" w:ascii="宋体" w:hAnsi="宋体" w:eastAsia="宋体" w:cs="宋体"/>
          <w:b/>
          <w:bCs/>
          <w:color w:val="000000"/>
          <w:sz w:val="32"/>
          <w:szCs w:val="32"/>
          <w:highlight w:val="none"/>
          <w:shd w:val="clear" w:color="auto" w:fill="auto"/>
        </w:rPr>
        <w:t>（</w:t>
      </w:r>
      <w:r>
        <w:rPr>
          <w:rFonts w:hint="eastAsia" w:ascii="宋体" w:hAnsi="宋体" w:eastAsia="宋体" w:cs="宋体"/>
          <w:b/>
          <w:color w:val="000000"/>
          <w:sz w:val="32"/>
          <w:szCs w:val="32"/>
          <w:highlight w:val="none"/>
          <w:shd w:val="clear" w:color="auto" w:fill="auto"/>
        </w:rPr>
        <w:t>另册发放）</w:t>
      </w:r>
    </w:p>
    <w:p w14:paraId="66770AAB">
      <w:pPr>
        <w:pStyle w:val="77"/>
        <w:ind w:firstLine="420"/>
        <w:rPr>
          <w:rFonts w:hint="eastAsia" w:ascii="宋体" w:hAnsi="宋体" w:eastAsia="宋体" w:cs="宋体"/>
          <w:color w:val="000000"/>
          <w:highlight w:val="none"/>
        </w:rPr>
      </w:pPr>
    </w:p>
    <w:p w14:paraId="73CA2A0C">
      <w:pPr>
        <w:spacing w:line="500" w:lineRule="exact"/>
        <w:jc w:val="center"/>
        <w:rPr>
          <w:rFonts w:hint="eastAsia" w:ascii="宋体" w:hAnsi="宋体" w:eastAsia="宋体" w:cs="宋体"/>
          <w:color w:val="000000"/>
          <w:highlight w:val="none"/>
          <w:shd w:val="clear" w:color="auto" w:fill="auto"/>
        </w:rPr>
        <w:sectPr>
          <w:footerReference r:id="rId5" w:type="default"/>
          <w:pgSz w:w="11907" w:h="16840"/>
          <w:pgMar w:top="1440" w:right="1080" w:bottom="1440" w:left="1080" w:header="851" w:footer="851"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color w:val="000000"/>
          <w:highlight w:val="none"/>
          <w:shd w:val="clear" w:color="auto" w:fill="auto"/>
        </w:rPr>
        <w:t xml:space="preserve">  </w:t>
      </w:r>
    </w:p>
    <w:p w14:paraId="7AE2FA23">
      <w:pPr>
        <w:spacing w:line="360" w:lineRule="auto"/>
        <w:jc w:val="center"/>
        <w:rPr>
          <w:rFonts w:hint="eastAsia" w:ascii="宋体" w:hAnsi="宋体" w:eastAsia="宋体" w:cs="宋体"/>
          <w:b/>
          <w:bCs/>
          <w:color w:val="000000"/>
          <w:sz w:val="32"/>
          <w:szCs w:val="32"/>
          <w:highlight w:val="none"/>
          <w:shd w:val="clear" w:color="auto" w:fill="auto"/>
        </w:rPr>
      </w:pPr>
      <w:r>
        <w:rPr>
          <w:rFonts w:hint="eastAsia" w:ascii="宋体" w:hAnsi="宋体" w:eastAsia="宋体" w:cs="宋体"/>
          <w:b/>
          <w:bCs/>
          <w:color w:val="000000"/>
          <w:sz w:val="32"/>
          <w:szCs w:val="32"/>
          <w:highlight w:val="none"/>
          <w:shd w:val="clear" w:color="auto" w:fill="auto"/>
          <w:lang w:eastAsia="zh-CN"/>
        </w:rPr>
        <w:t>第四章</w:t>
      </w:r>
      <w:r>
        <w:rPr>
          <w:rFonts w:hint="eastAsia" w:ascii="宋体" w:hAnsi="宋体" w:eastAsia="宋体" w:cs="宋体"/>
          <w:b/>
          <w:bCs/>
          <w:color w:val="000000"/>
          <w:sz w:val="32"/>
          <w:szCs w:val="32"/>
          <w:highlight w:val="none"/>
          <w:shd w:val="clear" w:color="auto" w:fill="auto"/>
          <w:lang w:val="en-US" w:eastAsia="zh-CN"/>
        </w:rPr>
        <w:t xml:space="preserve">  </w:t>
      </w:r>
      <w:r>
        <w:rPr>
          <w:rFonts w:hint="eastAsia" w:ascii="宋体" w:hAnsi="宋体" w:eastAsia="宋体" w:cs="宋体"/>
          <w:b/>
          <w:bCs/>
          <w:color w:val="000000"/>
          <w:sz w:val="32"/>
          <w:szCs w:val="32"/>
          <w:highlight w:val="none"/>
          <w:shd w:val="clear" w:color="auto" w:fill="auto"/>
        </w:rPr>
        <w:t>评审办法</w:t>
      </w:r>
      <w:bookmarkEnd w:id="233"/>
      <w:bookmarkEnd w:id="234"/>
      <w:bookmarkEnd w:id="235"/>
      <w:bookmarkEnd w:id="236"/>
    </w:p>
    <w:p w14:paraId="616852FA">
      <w:pPr>
        <w:keepNext w:val="0"/>
        <w:keepLines w:val="0"/>
        <w:pageBreakBefore w:val="0"/>
        <w:kinsoku/>
        <w:wordWrap/>
        <w:overflowPunct/>
        <w:topLinePunct w:val="0"/>
        <w:autoSpaceDE/>
        <w:autoSpaceDN/>
        <w:bidi w:val="0"/>
        <w:adjustRightInd/>
        <w:spacing w:line="360" w:lineRule="auto"/>
        <w:ind w:left="0" w:leftChars="0" w:right="0" w:firstLine="422" w:firstLineChars="200"/>
        <w:textAlignment w:val="auto"/>
        <w:outlineLvl w:val="1"/>
        <w:rPr>
          <w:rFonts w:hint="eastAsia" w:ascii="宋体" w:hAnsi="宋体" w:eastAsia="宋体" w:cs="宋体"/>
          <w:b/>
          <w:bCs/>
          <w:color w:val="000000"/>
          <w:sz w:val="21"/>
          <w:szCs w:val="21"/>
          <w:highlight w:val="none"/>
          <w:shd w:val="clear" w:color="auto" w:fill="auto"/>
        </w:rPr>
      </w:pPr>
      <w:bookmarkStart w:id="237" w:name="_Toc23076"/>
      <w:bookmarkStart w:id="238" w:name="_Toc16364"/>
      <w:r>
        <w:rPr>
          <w:rFonts w:hint="eastAsia" w:ascii="宋体" w:hAnsi="宋体" w:eastAsia="宋体" w:cs="宋体"/>
          <w:b/>
          <w:bCs/>
          <w:color w:val="000000"/>
          <w:sz w:val="21"/>
          <w:szCs w:val="21"/>
          <w:highlight w:val="none"/>
          <w:shd w:val="clear" w:color="auto" w:fill="auto"/>
        </w:rPr>
        <w:t>一、评审依据</w:t>
      </w:r>
      <w:bookmarkEnd w:id="237"/>
      <w:bookmarkEnd w:id="238"/>
    </w:p>
    <w:p w14:paraId="76C32E22">
      <w:pPr>
        <w:keepNext w:val="0"/>
        <w:keepLines w:val="0"/>
        <w:pageBreakBefore w:val="0"/>
        <w:kinsoku/>
        <w:wordWrap/>
        <w:overflowPunct/>
        <w:topLinePunct w:val="0"/>
        <w:autoSpaceDE/>
        <w:autoSpaceDN/>
        <w:bidi w:val="0"/>
        <w:adjustRightInd/>
        <w:spacing w:line="360" w:lineRule="auto"/>
        <w:ind w:left="0" w:leftChars="0" w:right="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（一）评审依据：磋商小组以竞争性磋商文件和响应文件为评审依据，对供应商的响应文件进行评审。</w:t>
      </w:r>
    </w:p>
    <w:p w14:paraId="632FFBBD">
      <w:pPr>
        <w:keepNext w:val="0"/>
        <w:keepLines w:val="0"/>
        <w:pageBreakBefore w:val="0"/>
        <w:kinsoku/>
        <w:wordWrap/>
        <w:overflowPunct/>
        <w:topLinePunct w:val="0"/>
        <w:autoSpaceDE/>
        <w:autoSpaceDN/>
        <w:bidi w:val="0"/>
        <w:adjustRightInd/>
        <w:spacing w:line="360" w:lineRule="auto"/>
        <w:ind w:left="0" w:leftChars="0" w:right="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（二）评审方式：以封闭方式进行评审。</w:t>
      </w:r>
    </w:p>
    <w:p w14:paraId="4C70A0C1">
      <w:pPr>
        <w:keepNext w:val="0"/>
        <w:keepLines w:val="0"/>
        <w:pageBreakBefore w:val="0"/>
        <w:kinsoku/>
        <w:wordWrap/>
        <w:overflowPunct/>
        <w:topLinePunct w:val="0"/>
        <w:autoSpaceDE/>
        <w:autoSpaceDN/>
        <w:bidi w:val="0"/>
        <w:adjustRightInd/>
        <w:spacing w:line="360" w:lineRule="auto"/>
        <w:ind w:left="0" w:leftChars="0" w:right="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（三）采购人和采购代理机构、竞争性磋商小组成员要严格遵守政府采购相关法律制度，依法履行各自职责，公正、客观、审慎地组织和参与评审工作。</w:t>
      </w:r>
    </w:p>
    <w:p w14:paraId="4B3DB461">
      <w:pPr>
        <w:keepNext w:val="0"/>
        <w:keepLines w:val="0"/>
        <w:pageBreakBefore w:val="0"/>
        <w:kinsoku/>
        <w:wordWrap/>
        <w:overflowPunct/>
        <w:topLinePunct w:val="0"/>
        <w:autoSpaceDE/>
        <w:autoSpaceDN/>
        <w:bidi w:val="0"/>
        <w:adjustRightInd/>
        <w:spacing w:line="360" w:lineRule="auto"/>
        <w:ind w:left="0" w:leftChars="0" w:right="0" w:firstLine="422" w:firstLineChars="200"/>
        <w:textAlignment w:val="auto"/>
        <w:outlineLvl w:val="1"/>
        <w:rPr>
          <w:rFonts w:hint="eastAsia" w:ascii="宋体" w:hAnsi="宋体" w:eastAsia="宋体" w:cs="宋体"/>
          <w:b/>
          <w:bCs/>
          <w:color w:val="000000"/>
          <w:sz w:val="21"/>
          <w:szCs w:val="21"/>
          <w:highlight w:val="none"/>
          <w:shd w:val="clear" w:color="auto" w:fill="auto"/>
        </w:rPr>
      </w:pPr>
      <w:bookmarkStart w:id="239" w:name="_Toc29526"/>
      <w:bookmarkStart w:id="240" w:name="_Toc2014"/>
      <w:r>
        <w:rPr>
          <w:rFonts w:hint="eastAsia" w:ascii="宋体" w:hAnsi="宋体" w:eastAsia="宋体" w:cs="宋体"/>
          <w:b/>
          <w:bCs/>
          <w:color w:val="000000"/>
          <w:sz w:val="21"/>
          <w:szCs w:val="21"/>
          <w:highlight w:val="none"/>
          <w:shd w:val="clear" w:color="auto" w:fill="auto"/>
        </w:rPr>
        <w:t>二、评审办法</w:t>
      </w:r>
      <w:bookmarkEnd w:id="239"/>
      <w:bookmarkEnd w:id="240"/>
    </w:p>
    <w:p w14:paraId="3DDB7EB8">
      <w:pPr>
        <w:pStyle w:val="22"/>
        <w:spacing w:line="360" w:lineRule="auto"/>
        <w:ind w:firstLine="420" w:firstLineChars="200"/>
        <w:rPr>
          <w:rFonts w:hint="eastAsia" w:ascii="宋体" w:hAnsi="宋体" w:eastAsia="宋体" w:cs="宋体"/>
          <w:bCs/>
          <w:color w:val="auto"/>
          <w:highlight w:val="none"/>
        </w:rPr>
      </w:pPr>
      <w:bookmarkStart w:id="241" w:name="_Toc73275790"/>
      <w:bookmarkStart w:id="242" w:name="_Toc8466"/>
      <w:bookmarkStart w:id="243" w:name="_Toc4774"/>
      <w:bookmarkStart w:id="244" w:name="_Toc16092"/>
      <w:r>
        <w:rPr>
          <w:rFonts w:hint="eastAsia" w:ascii="宋体" w:hAnsi="宋体" w:eastAsia="宋体" w:cs="宋体"/>
          <w:bCs/>
          <w:color w:val="auto"/>
          <w:highlight w:val="none"/>
        </w:rPr>
        <w:t>（一）本次评标采用综合评分法。磋商小组会首先对磋商供应商提交的响应文件进行资格性审查和符合性审查，只有通过了资格性审查和符合性审查才能进入详评。</w:t>
      </w:r>
    </w:p>
    <w:p w14:paraId="734BE178">
      <w:pPr>
        <w:keepNext w:val="0"/>
        <w:keepLines w:val="0"/>
        <w:pageBreakBefore w:val="0"/>
        <w:kinsoku/>
        <w:wordWrap/>
        <w:overflowPunct/>
        <w:topLinePunct w:val="0"/>
        <w:autoSpaceDE/>
        <w:autoSpaceDN/>
        <w:bidi w:val="0"/>
        <w:adjustRightInd/>
        <w:spacing w:line="360" w:lineRule="auto"/>
        <w:ind w:left="0" w:leftChars="0" w:right="0" w:firstLine="482" w:firstLineChars="200"/>
        <w:textAlignment w:val="auto"/>
        <w:outlineLvl w:val="1"/>
        <w:rPr>
          <w:rFonts w:hint="eastAsia" w:ascii="宋体" w:hAnsi="宋体" w:eastAsia="宋体" w:cs="宋体"/>
          <w:b/>
          <w:bCs/>
          <w:color w:val="000000"/>
          <w:sz w:val="21"/>
          <w:szCs w:val="21"/>
          <w:highlight w:val="none"/>
          <w:shd w:val="clear" w:color="auto" w:fill="auto"/>
        </w:rPr>
      </w:pPr>
      <w:r>
        <w:rPr>
          <w:rFonts w:hint="eastAsia" w:ascii="宋体" w:hAnsi="宋体" w:eastAsia="宋体" w:cs="宋体"/>
          <w:b/>
          <w:bCs w:val="0"/>
          <w:color w:val="auto"/>
          <w:kern w:val="2"/>
          <w:sz w:val="24"/>
          <w:szCs w:val="24"/>
          <w:highlight w:val="none"/>
          <w:lang w:val="en-US" w:eastAsia="zh-CN" w:bidi="ar-SA"/>
        </w:rPr>
        <w:t>初步评审：</w:t>
      </w:r>
    </w:p>
    <w:tbl>
      <w:tblPr>
        <w:tblStyle w:val="36"/>
        <w:tblW w:w="9938" w:type="dxa"/>
        <w:jc w:val="center"/>
        <w:tblLayout w:type="fixed"/>
        <w:tblCellMar>
          <w:top w:w="0" w:type="dxa"/>
          <w:left w:w="108" w:type="dxa"/>
          <w:bottom w:w="0" w:type="dxa"/>
          <w:right w:w="108" w:type="dxa"/>
        </w:tblCellMar>
      </w:tblPr>
      <w:tblGrid>
        <w:gridCol w:w="924"/>
        <w:gridCol w:w="1170"/>
        <w:gridCol w:w="2833"/>
        <w:gridCol w:w="5011"/>
      </w:tblGrid>
      <w:tr w14:paraId="46990539">
        <w:tblPrEx>
          <w:tblCellMar>
            <w:top w:w="0" w:type="dxa"/>
            <w:left w:w="108" w:type="dxa"/>
            <w:bottom w:w="0" w:type="dxa"/>
            <w:right w:w="108" w:type="dxa"/>
          </w:tblCellMar>
        </w:tblPrEx>
        <w:trPr>
          <w:trHeight w:val="609" w:hRule="atLeast"/>
          <w:jc w:val="center"/>
        </w:trPr>
        <w:tc>
          <w:tcPr>
            <w:tcW w:w="924" w:type="dxa"/>
            <w:tcBorders>
              <w:top w:val="single" w:color="auto" w:sz="4" w:space="0"/>
              <w:left w:val="single" w:color="auto" w:sz="4" w:space="0"/>
              <w:bottom w:val="single" w:color="auto" w:sz="4" w:space="0"/>
              <w:right w:val="single" w:color="000000" w:sz="4" w:space="0"/>
            </w:tcBorders>
            <w:noWrap w:val="0"/>
            <w:vAlign w:val="center"/>
          </w:tcPr>
          <w:p w14:paraId="3C92DFD6">
            <w:pPr>
              <w:pStyle w:val="85"/>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条款号</w:t>
            </w:r>
          </w:p>
        </w:tc>
        <w:tc>
          <w:tcPr>
            <w:tcW w:w="9014" w:type="dxa"/>
            <w:gridSpan w:val="3"/>
            <w:tcBorders>
              <w:top w:val="single" w:color="auto" w:sz="4" w:space="0"/>
              <w:left w:val="nil"/>
              <w:bottom w:val="single" w:color="auto" w:sz="4" w:space="0"/>
              <w:right w:val="single" w:color="auto" w:sz="4" w:space="0"/>
            </w:tcBorders>
            <w:noWrap w:val="0"/>
            <w:vAlign w:val="center"/>
          </w:tcPr>
          <w:p w14:paraId="162C0021">
            <w:pPr>
              <w:pStyle w:val="85"/>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评审标准</w:t>
            </w:r>
          </w:p>
        </w:tc>
      </w:tr>
      <w:tr w14:paraId="027D1C8A">
        <w:tblPrEx>
          <w:tblCellMar>
            <w:top w:w="0" w:type="dxa"/>
            <w:left w:w="108" w:type="dxa"/>
            <w:bottom w:w="0" w:type="dxa"/>
            <w:right w:w="108" w:type="dxa"/>
          </w:tblCellMar>
        </w:tblPrEx>
        <w:trPr>
          <w:trHeight w:val="453" w:hRule="atLeast"/>
          <w:jc w:val="center"/>
        </w:trPr>
        <w:tc>
          <w:tcPr>
            <w:tcW w:w="924" w:type="dxa"/>
            <w:vMerge w:val="restart"/>
            <w:tcBorders>
              <w:top w:val="single" w:color="auto" w:sz="4" w:space="0"/>
              <w:left w:val="single" w:color="auto" w:sz="4" w:space="0"/>
              <w:right w:val="single" w:color="auto" w:sz="4" w:space="0"/>
            </w:tcBorders>
            <w:noWrap w:val="0"/>
            <w:vAlign w:val="center"/>
          </w:tcPr>
          <w:p w14:paraId="4C970F54">
            <w:pPr>
              <w:widowControl/>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2.1.1</w:t>
            </w:r>
          </w:p>
        </w:tc>
        <w:tc>
          <w:tcPr>
            <w:tcW w:w="1170" w:type="dxa"/>
            <w:vMerge w:val="restart"/>
            <w:tcBorders>
              <w:top w:val="single" w:color="auto" w:sz="4" w:space="0"/>
              <w:left w:val="single" w:color="auto" w:sz="4" w:space="0"/>
              <w:right w:val="single" w:color="auto" w:sz="4" w:space="0"/>
            </w:tcBorders>
            <w:noWrap w:val="0"/>
            <w:vAlign w:val="center"/>
          </w:tcPr>
          <w:p w14:paraId="53C1C546">
            <w:pPr>
              <w:pStyle w:val="85"/>
              <w:snapToGrid w:val="0"/>
              <w:spacing w:line="360" w:lineRule="auto"/>
              <w:jc w:val="center"/>
              <w:rPr>
                <w:rFonts w:hint="eastAsia" w:ascii="宋体" w:hAnsi="宋体" w:eastAsia="宋体" w:cs="宋体"/>
                <w:color w:val="auto"/>
                <w:spacing w:val="-6"/>
                <w:highlight w:val="none"/>
              </w:rPr>
            </w:pPr>
            <w:r>
              <w:rPr>
                <w:rFonts w:hint="eastAsia" w:ascii="宋体" w:hAnsi="宋体" w:eastAsia="宋体" w:cs="宋体"/>
                <w:color w:val="auto"/>
                <w:highlight w:val="none"/>
              </w:rPr>
              <w:t>资格评审</w:t>
            </w:r>
          </w:p>
        </w:tc>
        <w:tc>
          <w:tcPr>
            <w:tcW w:w="2833" w:type="dxa"/>
            <w:tcBorders>
              <w:top w:val="single" w:color="auto" w:sz="4" w:space="0"/>
              <w:left w:val="single" w:color="auto" w:sz="4" w:space="0"/>
              <w:bottom w:val="single" w:color="auto" w:sz="4" w:space="0"/>
              <w:right w:val="single" w:color="auto" w:sz="4" w:space="0"/>
            </w:tcBorders>
            <w:noWrap w:val="0"/>
            <w:vAlign w:val="center"/>
          </w:tcPr>
          <w:p w14:paraId="588394F8">
            <w:pPr>
              <w:pStyle w:val="85"/>
              <w:snapToGrid w:val="0"/>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评审因素</w:t>
            </w:r>
          </w:p>
        </w:tc>
        <w:tc>
          <w:tcPr>
            <w:tcW w:w="5011" w:type="dxa"/>
            <w:tcBorders>
              <w:top w:val="single" w:color="auto" w:sz="4" w:space="0"/>
              <w:left w:val="single" w:color="auto" w:sz="4" w:space="0"/>
              <w:bottom w:val="single" w:color="auto" w:sz="4" w:space="0"/>
              <w:right w:val="single" w:color="auto" w:sz="4" w:space="0"/>
            </w:tcBorders>
            <w:noWrap w:val="0"/>
            <w:vAlign w:val="center"/>
          </w:tcPr>
          <w:p w14:paraId="0DC1F9B4">
            <w:pPr>
              <w:pStyle w:val="85"/>
              <w:snapToGrid w:val="0"/>
              <w:spacing w:line="360" w:lineRule="auto"/>
              <w:jc w:val="left"/>
              <w:rPr>
                <w:rFonts w:hint="eastAsia" w:ascii="宋体" w:hAnsi="宋体" w:eastAsia="宋体" w:cs="宋体"/>
                <w:b/>
                <w:color w:val="auto"/>
                <w:highlight w:val="none"/>
              </w:rPr>
            </w:pPr>
            <w:r>
              <w:rPr>
                <w:rFonts w:hint="eastAsia" w:ascii="宋体" w:hAnsi="宋体" w:eastAsia="宋体" w:cs="宋体"/>
                <w:b/>
                <w:color w:val="auto"/>
                <w:highlight w:val="none"/>
              </w:rPr>
              <w:t>评审标准</w:t>
            </w:r>
            <w:r>
              <w:rPr>
                <w:rFonts w:hint="eastAsia" w:ascii="宋体" w:hAnsi="宋体" w:eastAsia="宋体" w:cs="宋体"/>
                <w:b/>
                <w:bCs/>
                <w:color w:val="auto"/>
                <w:highlight w:val="none"/>
              </w:rPr>
              <w:t>（合格标准：缺少任何一项或有任何一项不合格者，其资格评审视为不合格）</w:t>
            </w:r>
          </w:p>
        </w:tc>
      </w:tr>
      <w:tr w14:paraId="3C355902">
        <w:tblPrEx>
          <w:tblCellMar>
            <w:top w:w="0" w:type="dxa"/>
            <w:left w:w="108" w:type="dxa"/>
            <w:bottom w:w="0" w:type="dxa"/>
            <w:right w:w="108" w:type="dxa"/>
          </w:tblCellMar>
        </w:tblPrEx>
        <w:trPr>
          <w:trHeight w:val="537" w:hRule="atLeast"/>
          <w:jc w:val="center"/>
        </w:trPr>
        <w:tc>
          <w:tcPr>
            <w:tcW w:w="924" w:type="dxa"/>
            <w:vMerge w:val="continue"/>
            <w:tcBorders>
              <w:left w:val="single" w:color="auto" w:sz="4" w:space="0"/>
              <w:right w:val="single" w:color="auto" w:sz="4" w:space="0"/>
            </w:tcBorders>
            <w:noWrap w:val="0"/>
            <w:vAlign w:val="center"/>
          </w:tcPr>
          <w:p w14:paraId="0FD0C6F6">
            <w:pPr>
              <w:widowControl/>
              <w:spacing w:line="360" w:lineRule="auto"/>
              <w:jc w:val="left"/>
              <w:rPr>
                <w:rFonts w:hint="eastAsia" w:ascii="宋体" w:hAnsi="宋体" w:eastAsia="宋体" w:cs="宋体"/>
                <w:color w:val="auto"/>
                <w:highlight w:val="none"/>
              </w:rPr>
            </w:pPr>
          </w:p>
        </w:tc>
        <w:tc>
          <w:tcPr>
            <w:tcW w:w="1170" w:type="dxa"/>
            <w:vMerge w:val="continue"/>
            <w:tcBorders>
              <w:left w:val="single" w:color="auto" w:sz="4" w:space="0"/>
              <w:right w:val="single" w:color="auto" w:sz="4" w:space="0"/>
            </w:tcBorders>
            <w:noWrap w:val="0"/>
            <w:vAlign w:val="center"/>
          </w:tcPr>
          <w:p w14:paraId="4C9EB590">
            <w:pPr>
              <w:widowControl/>
              <w:spacing w:line="360" w:lineRule="auto"/>
              <w:jc w:val="left"/>
              <w:rPr>
                <w:rFonts w:hint="eastAsia" w:ascii="宋体" w:hAnsi="宋体" w:eastAsia="宋体" w:cs="宋体"/>
                <w:color w:val="auto"/>
                <w:kern w:val="0"/>
                <w:highlight w:val="none"/>
              </w:rPr>
            </w:pPr>
          </w:p>
        </w:tc>
        <w:tc>
          <w:tcPr>
            <w:tcW w:w="2833" w:type="dxa"/>
            <w:tcBorders>
              <w:top w:val="single" w:color="auto" w:sz="4" w:space="0"/>
              <w:left w:val="single" w:color="auto" w:sz="4" w:space="0"/>
              <w:bottom w:val="single" w:color="auto" w:sz="4" w:space="0"/>
              <w:right w:val="single" w:color="auto" w:sz="4" w:space="0"/>
            </w:tcBorders>
            <w:noWrap w:val="0"/>
            <w:vAlign w:val="center"/>
          </w:tcPr>
          <w:p w14:paraId="7DE937CE">
            <w:pPr>
              <w:pStyle w:val="85"/>
              <w:snapToGrid w:val="0"/>
              <w:spacing w:line="360" w:lineRule="auto"/>
              <w:ind w:left="720" w:hanging="720"/>
              <w:jc w:val="left"/>
              <w:rPr>
                <w:rFonts w:hint="eastAsia" w:ascii="宋体" w:hAnsi="宋体" w:eastAsia="宋体" w:cs="宋体"/>
                <w:color w:val="auto"/>
                <w:highlight w:val="none"/>
              </w:rPr>
            </w:pPr>
            <w:r>
              <w:rPr>
                <w:rFonts w:hint="eastAsia" w:ascii="宋体" w:hAnsi="宋体" w:eastAsia="宋体" w:cs="宋体"/>
                <w:color w:val="auto"/>
                <w:highlight w:val="none"/>
              </w:rPr>
              <w:t>法定代表人、委托代理人身</w:t>
            </w:r>
          </w:p>
          <w:p w14:paraId="752ADA44">
            <w:pPr>
              <w:pStyle w:val="85"/>
              <w:snapToGrid w:val="0"/>
              <w:spacing w:line="360" w:lineRule="auto"/>
              <w:ind w:left="720" w:hanging="720"/>
              <w:jc w:val="left"/>
              <w:rPr>
                <w:rFonts w:hint="eastAsia" w:ascii="宋体" w:hAnsi="宋体" w:eastAsia="宋体" w:cs="宋体"/>
                <w:color w:val="auto"/>
                <w:highlight w:val="none"/>
              </w:rPr>
            </w:pPr>
            <w:r>
              <w:rPr>
                <w:rFonts w:hint="eastAsia" w:ascii="宋体" w:hAnsi="宋体" w:eastAsia="宋体" w:cs="宋体"/>
                <w:color w:val="auto"/>
                <w:highlight w:val="none"/>
              </w:rPr>
              <w:t>份证明</w:t>
            </w:r>
          </w:p>
        </w:tc>
        <w:tc>
          <w:tcPr>
            <w:tcW w:w="5011" w:type="dxa"/>
            <w:tcBorders>
              <w:top w:val="single" w:color="auto" w:sz="4" w:space="0"/>
              <w:left w:val="single" w:color="auto" w:sz="4" w:space="0"/>
              <w:bottom w:val="single" w:color="auto" w:sz="4" w:space="0"/>
              <w:right w:val="single" w:color="auto" w:sz="4" w:space="0"/>
            </w:tcBorders>
            <w:noWrap w:val="0"/>
            <w:vAlign w:val="center"/>
          </w:tcPr>
          <w:p w14:paraId="2F844254">
            <w:pPr>
              <w:pStyle w:val="8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有效的法定代表人身份证复印件、法人授权委托书（附身份证复印件，社会保险缴纳证明材料授权代理时提供）</w:t>
            </w:r>
          </w:p>
        </w:tc>
      </w:tr>
      <w:tr w14:paraId="0021C6A1">
        <w:tblPrEx>
          <w:tblCellMar>
            <w:top w:w="0" w:type="dxa"/>
            <w:left w:w="108" w:type="dxa"/>
            <w:bottom w:w="0" w:type="dxa"/>
            <w:right w:w="108" w:type="dxa"/>
          </w:tblCellMar>
        </w:tblPrEx>
        <w:trPr>
          <w:trHeight w:val="537" w:hRule="atLeast"/>
          <w:jc w:val="center"/>
        </w:trPr>
        <w:tc>
          <w:tcPr>
            <w:tcW w:w="924" w:type="dxa"/>
            <w:vMerge w:val="continue"/>
            <w:tcBorders>
              <w:left w:val="single" w:color="auto" w:sz="4" w:space="0"/>
              <w:right w:val="single" w:color="auto" w:sz="4" w:space="0"/>
            </w:tcBorders>
            <w:noWrap w:val="0"/>
            <w:vAlign w:val="center"/>
          </w:tcPr>
          <w:p w14:paraId="45E4859D">
            <w:pPr>
              <w:widowControl/>
              <w:spacing w:line="360" w:lineRule="auto"/>
              <w:jc w:val="left"/>
              <w:rPr>
                <w:rFonts w:hint="eastAsia" w:ascii="宋体" w:hAnsi="宋体" w:eastAsia="宋体" w:cs="宋体"/>
                <w:color w:val="auto"/>
                <w:highlight w:val="none"/>
              </w:rPr>
            </w:pPr>
          </w:p>
        </w:tc>
        <w:tc>
          <w:tcPr>
            <w:tcW w:w="1170" w:type="dxa"/>
            <w:vMerge w:val="continue"/>
            <w:tcBorders>
              <w:left w:val="single" w:color="auto" w:sz="4" w:space="0"/>
              <w:right w:val="single" w:color="auto" w:sz="4" w:space="0"/>
            </w:tcBorders>
            <w:noWrap w:val="0"/>
            <w:vAlign w:val="center"/>
          </w:tcPr>
          <w:p w14:paraId="48100E47">
            <w:pPr>
              <w:widowControl/>
              <w:spacing w:line="360" w:lineRule="auto"/>
              <w:jc w:val="left"/>
              <w:rPr>
                <w:rFonts w:hint="eastAsia" w:ascii="宋体" w:hAnsi="宋体" w:eastAsia="宋体" w:cs="宋体"/>
                <w:color w:val="auto"/>
                <w:kern w:val="0"/>
                <w:highlight w:val="none"/>
              </w:rPr>
            </w:pPr>
          </w:p>
        </w:tc>
        <w:tc>
          <w:tcPr>
            <w:tcW w:w="2833" w:type="dxa"/>
            <w:tcBorders>
              <w:top w:val="single" w:color="auto" w:sz="4" w:space="0"/>
              <w:left w:val="single" w:color="auto" w:sz="4" w:space="0"/>
              <w:bottom w:val="single" w:color="auto" w:sz="4" w:space="0"/>
              <w:right w:val="single" w:color="auto" w:sz="4" w:space="0"/>
            </w:tcBorders>
            <w:noWrap w:val="0"/>
            <w:vAlign w:val="center"/>
          </w:tcPr>
          <w:p w14:paraId="0D96507C">
            <w:pPr>
              <w:pStyle w:val="85"/>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无重大违法记录的书面声明</w:t>
            </w:r>
          </w:p>
        </w:tc>
        <w:tc>
          <w:tcPr>
            <w:tcW w:w="5011" w:type="dxa"/>
            <w:tcBorders>
              <w:top w:val="single" w:color="auto" w:sz="4" w:space="0"/>
              <w:left w:val="single" w:color="auto" w:sz="4" w:space="0"/>
              <w:bottom w:val="single" w:color="auto" w:sz="4" w:space="0"/>
              <w:right w:val="single" w:color="auto" w:sz="4" w:space="0"/>
            </w:tcBorders>
            <w:noWrap w:val="0"/>
            <w:vAlign w:val="center"/>
          </w:tcPr>
          <w:p w14:paraId="633249ED">
            <w:pPr>
              <w:pStyle w:val="85"/>
              <w:snapToGrid w:val="0"/>
              <w:spacing w:line="360" w:lineRule="auto"/>
              <w:rPr>
                <w:rFonts w:hint="eastAsia" w:ascii="宋体" w:hAnsi="宋体" w:eastAsia="宋体" w:cs="宋体"/>
                <w:bCs/>
                <w:color w:val="auto"/>
                <w:highlight w:val="none"/>
              </w:rPr>
            </w:pPr>
            <w:r>
              <w:rPr>
                <w:rFonts w:hint="eastAsia" w:ascii="宋体" w:hAnsi="宋体" w:eastAsia="宋体" w:cs="宋体"/>
                <w:color w:val="auto"/>
                <w:highlight w:val="none"/>
              </w:rPr>
              <w:t>竞标人参加政府采购活动前3年内在经营活动中没有重大违法记录的书面声明</w:t>
            </w:r>
          </w:p>
        </w:tc>
      </w:tr>
      <w:tr w14:paraId="64492630">
        <w:tblPrEx>
          <w:tblCellMar>
            <w:top w:w="0" w:type="dxa"/>
            <w:left w:w="108" w:type="dxa"/>
            <w:bottom w:w="0" w:type="dxa"/>
            <w:right w:w="108" w:type="dxa"/>
          </w:tblCellMar>
        </w:tblPrEx>
        <w:trPr>
          <w:trHeight w:val="622" w:hRule="atLeast"/>
          <w:jc w:val="center"/>
        </w:trPr>
        <w:tc>
          <w:tcPr>
            <w:tcW w:w="924" w:type="dxa"/>
            <w:vMerge w:val="continue"/>
            <w:tcBorders>
              <w:left w:val="single" w:color="auto" w:sz="4" w:space="0"/>
              <w:right w:val="single" w:color="auto" w:sz="4" w:space="0"/>
            </w:tcBorders>
            <w:noWrap w:val="0"/>
            <w:vAlign w:val="center"/>
          </w:tcPr>
          <w:p w14:paraId="453C37C0">
            <w:pPr>
              <w:widowControl/>
              <w:spacing w:line="360" w:lineRule="auto"/>
              <w:jc w:val="left"/>
              <w:rPr>
                <w:rFonts w:hint="eastAsia" w:ascii="宋体" w:hAnsi="宋体" w:eastAsia="宋体" w:cs="宋体"/>
                <w:color w:val="auto"/>
                <w:highlight w:val="none"/>
              </w:rPr>
            </w:pPr>
          </w:p>
        </w:tc>
        <w:tc>
          <w:tcPr>
            <w:tcW w:w="1170" w:type="dxa"/>
            <w:vMerge w:val="continue"/>
            <w:tcBorders>
              <w:left w:val="single" w:color="auto" w:sz="4" w:space="0"/>
              <w:right w:val="single" w:color="auto" w:sz="4" w:space="0"/>
            </w:tcBorders>
            <w:noWrap w:val="0"/>
            <w:vAlign w:val="center"/>
          </w:tcPr>
          <w:p w14:paraId="5116DC64">
            <w:pPr>
              <w:widowControl/>
              <w:spacing w:line="360" w:lineRule="auto"/>
              <w:jc w:val="left"/>
              <w:rPr>
                <w:rFonts w:hint="eastAsia" w:ascii="宋体" w:hAnsi="宋体" w:eastAsia="宋体" w:cs="宋体"/>
                <w:color w:val="auto"/>
                <w:kern w:val="0"/>
                <w:highlight w:val="none"/>
              </w:rPr>
            </w:pPr>
          </w:p>
        </w:tc>
        <w:tc>
          <w:tcPr>
            <w:tcW w:w="2833" w:type="dxa"/>
            <w:tcBorders>
              <w:top w:val="single" w:color="auto" w:sz="4" w:space="0"/>
              <w:left w:val="single" w:color="auto" w:sz="4" w:space="0"/>
              <w:bottom w:val="single" w:color="auto" w:sz="4" w:space="0"/>
              <w:right w:val="single" w:color="auto" w:sz="4" w:space="0"/>
            </w:tcBorders>
            <w:noWrap w:val="0"/>
            <w:vAlign w:val="center"/>
          </w:tcPr>
          <w:p w14:paraId="758FA9A4">
            <w:pPr>
              <w:pStyle w:val="85"/>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营业执照</w:t>
            </w:r>
          </w:p>
        </w:tc>
        <w:tc>
          <w:tcPr>
            <w:tcW w:w="5011" w:type="dxa"/>
            <w:tcBorders>
              <w:top w:val="single" w:color="auto" w:sz="4" w:space="0"/>
              <w:left w:val="single" w:color="auto" w:sz="4" w:space="0"/>
              <w:bottom w:val="single" w:color="auto" w:sz="4" w:space="0"/>
              <w:right w:val="single" w:color="auto" w:sz="4" w:space="0"/>
            </w:tcBorders>
            <w:noWrap w:val="0"/>
            <w:vAlign w:val="center"/>
          </w:tcPr>
          <w:p w14:paraId="4EF0D09C">
            <w:pPr>
              <w:pStyle w:val="85"/>
              <w:snapToGrid w:val="0"/>
              <w:spacing w:line="360" w:lineRule="auto"/>
              <w:rPr>
                <w:rFonts w:hint="eastAsia" w:ascii="宋体" w:hAnsi="宋体" w:eastAsia="宋体" w:cs="宋体"/>
                <w:bCs/>
                <w:color w:val="auto"/>
                <w:highlight w:val="none"/>
              </w:rPr>
            </w:pPr>
            <w:r>
              <w:rPr>
                <w:rFonts w:hint="eastAsia" w:ascii="宋体" w:hAnsi="宋体" w:eastAsia="宋体" w:cs="宋体"/>
                <w:color w:val="auto"/>
                <w:highlight w:val="none"/>
              </w:rPr>
              <w:t>提供有效的营业执照复印件</w:t>
            </w:r>
          </w:p>
        </w:tc>
      </w:tr>
      <w:tr w14:paraId="45DE2162">
        <w:tblPrEx>
          <w:tblCellMar>
            <w:top w:w="0" w:type="dxa"/>
            <w:left w:w="108" w:type="dxa"/>
            <w:bottom w:w="0" w:type="dxa"/>
            <w:right w:w="108" w:type="dxa"/>
          </w:tblCellMar>
        </w:tblPrEx>
        <w:trPr>
          <w:trHeight w:val="624" w:hRule="atLeast"/>
          <w:jc w:val="center"/>
        </w:trPr>
        <w:tc>
          <w:tcPr>
            <w:tcW w:w="924" w:type="dxa"/>
            <w:vMerge w:val="continue"/>
            <w:tcBorders>
              <w:left w:val="single" w:color="auto" w:sz="4" w:space="0"/>
              <w:right w:val="single" w:color="auto" w:sz="4" w:space="0"/>
            </w:tcBorders>
            <w:noWrap w:val="0"/>
            <w:vAlign w:val="center"/>
          </w:tcPr>
          <w:p w14:paraId="1F246AEC">
            <w:pPr>
              <w:widowControl/>
              <w:spacing w:line="360" w:lineRule="auto"/>
              <w:jc w:val="left"/>
              <w:rPr>
                <w:rFonts w:hint="eastAsia" w:ascii="宋体" w:hAnsi="宋体" w:eastAsia="宋体" w:cs="宋体"/>
                <w:color w:val="auto"/>
                <w:highlight w:val="none"/>
              </w:rPr>
            </w:pPr>
          </w:p>
        </w:tc>
        <w:tc>
          <w:tcPr>
            <w:tcW w:w="1170" w:type="dxa"/>
            <w:vMerge w:val="continue"/>
            <w:tcBorders>
              <w:left w:val="single" w:color="auto" w:sz="4" w:space="0"/>
              <w:right w:val="single" w:color="auto" w:sz="4" w:space="0"/>
            </w:tcBorders>
            <w:noWrap w:val="0"/>
            <w:vAlign w:val="center"/>
          </w:tcPr>
          <w:p w14:paraId="55730E83">
            <w:pPr>
              <w:widowControl/>
              <w:spacing w:line="360" w:lineRule="auto"/>
              <w:jc w:val="left"/>
              <w:rPr>
                <w:rFonts w:hint="eastAsia" w:ascii="宋体" w:hAnsi="宋体" w:eastAsia="宋体" w:cs="宋体"/>
                <w:color w:val="auto"/>
                <w:kern w:val="0"/>
                <w:highlight w:val="none"/>
              </w:rPr>
            </w:pPr>
          </w:p>
        </w:tc>
        <w:tc>
          <w:tcPr>
            <w:tcW w:w="2833" w:type="dxa"/>
            <w:tcBorders>
              <w:top w:val="single" w:color="auto" w:sz="4" w:space="0"/>
              <w:left w:val="single" w:color="auto" w:sz="4" w:space="0"/>
              <w:bottom w:val="single" w:color="auto" w:sz="4" w:space="0"/>
              <w:right w:val="single" w:color="auto" w:sz="4" w:space="0"/>
            </w:tcBorders>
            <w:noWrap w:val="0"/>
            <w:vAlign w:val="center"/>
          </w:tcPr>
          <w:p w14:paraId="71D1CE0F">
            <w:pPr>
              <w:pStyle w:val="85"/>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资质证书</w:t>
            </w:r>
          </w:p>
        </w:tc>
        <w:tc>
          <w:tcPr>
            <w:tcW w:w="5011" w:type="dxa"/>
            <w:tcBorders>
              <w:top w:val="single" w:color="auto" w:sz="4" w:space="0"/>
              <w:left w:val="single" w:color="auto" w:sz="4" w:space="0"/>
              <w:bottom w:val="single" w:color="auto" w:sz="4" w:space="0"/>
              <w:right w:val="single" w:color="auto" w:sz="4" w:space="0"/>
            </w:tcBorders>
            <w:noWrap w:val="0"/>
            <w:vAlign w:val="center"/>
          </w:tcPr>
          <w:p w14:paraId="2F609B3D">
            <w:pPr>
              <w:pStyle w:val="8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符合采购文件要求。</w:t>
            </w:r>
          </w:p>
        </w:tc>
      </w:tr>
      <w:tr w14:paraId="1C0E1CDD">
        <w:tblPrEx>
          <w:tblCellMar>
            <w:top w:w="0" w:type="dxa"/>
            <w:left w:w="108" w:type="dxa"/>
            <w:bottom w:w="0" w:type="dxa"/>
            <w:right w:w="108" w:type="dxa"/>
          </w:tblCellMar>
        </w:tblPrEx>
        <w:trPr>
          <w:trHeight w:val="497" w:hRule="atLeast"/>
          <w:jc w:val="center"/>
        </w:trPr>
        <w:tc>
          <w:tcPr>
            <w:tcW w:w="924" w:type="dxa"/>
            <w:vMerge w:val="continue"/>
            <w:tcBorders>
              <w:left w:val="single" w:color="auto" w:sz="4" w:space="0"/>
              <w:right w:val="single" w:color="auto" w:sz="4" w:space="0"/>
            </w:tcBorders>
            <w:noWrap w:val="0"/>
            <w:vAlign w:val="center"/>
          </w:tcPr>
          <w:p w14:paraId="28235395">
            <w:pPr>
              <w:widowControl/>
              <w:spacing w:line="360" w:lineRule="auto"/>
              <w:jc w:val="left"/>
              <w:rPr>
                <w:rFonts w:hint="eastAsia" w:ascii="宋体" w:hAnsi="宋体" w:eastAsia="宋体" w:cs="宋体"/>
                <w:color w:val="auto"/>
                <w:highlight w:val="none"/>
              </w:rPr>
            </w:pPr>
          </w:p>
        </w:tc>
        <w:tc>
          <w:tcPr>
            <w:tcW w:w="1170" w:type="dxa"/>
            <w:vMerge w:val="continue"/>
            <w:tcBorders>
              <w:left w:val="single" w:color="auto" w:sz="4" w:space="0"/>
              <w:right w:val="single" w:color="auto" w:sz="4" w:space="0"/>
            </w:tcBorders>
            <w:noWrap w:val="0"/>
            <w:vAlign w:val="center"/>
          </w:tcPr>
          <w:p w14:paraId="6DC53F98">
            <w:pPr>
              <w:widowControl/>
              <w:spacing w:line="360" w:lineRule="auto"/>
              <w:jc w:val="left"/>
              <w:rPr>
                <w:rFonts w:hint="eastAsia" w:ascii="宋体" w:hAnsi="宋体" w:eastAsia="宋体" w:cs="宋体"/>
                <w:color w:val="auto"/>
                <w:kern w:val="0"/>
                <w:highlight w:val="none"/>
              </w:rPr>
            </w:pPr>
          </w:p>
        </w:tc>
        <w:tc>
          <w:tcPr>
            <w:tcW w:w="2833" w:type="dxa"/>
            <w:tcBorders>
              <w:top w:val="single" w:color="auto" w:sz="4" w:space="0"/>
              <w:left w:val="single" w:color="auto" w:sz="4" w:space="0"/>
              <w:bottom w:val="single" w:color="auto" w:sz="4" w:space="0"/>
              <w:right w:val="single" w:color="auto" w:sz="4" w:space="0"/>
            </w:tcBorders>
            <w:noWrap w:val="0"/>
            <w:vAlign w:val="center"/>
          </w:tcPr>
          <w:p w14:paraId="19BF67F4">
            <w:pPr>
              <w:pStyle w:val="85"/>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安全生产许可证</w:t>
            </w:r>
          </w:p>
        </w:tc>
        <w:tc>
          <w:tcPr>
            <w:tcW w:w="5011" w:type="dxa"/>
            <w:tcBorders>
              <w:top w:val="single" w:color="auto" w:sz="4" w:space="0"/>
              <w:left w:val="single" w:color="auto" w:sz="4" w:space="0"/>
              <w:bottom w:val="single" w:color="auto" w:sz="4" w:space="0"/>
              <w:right w:val="single" w:color="auto" w:sz="4" w:space="0"/>
            </w:tcBorders>
            <w:noWrap w:val="0"/>
            <w:vAlign w:val="center"/>
          </w:tcPr>
          <w:p w14:paraId="7CF4FA6C">
            <w:pPr>
              <w:pStyle w:val="8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提供有效的安全生产许可证复印件。</w:t>
            </w:r>
          </w:p>
        </w:tc>
      </w:tr>
      <w:tr w14:paraId="645A11CA">
        <w:tblPrEx>
          <w:tblCellMar>
            <w:top w:w="0" w:type="dxa"/>
            <w:left w:w="108" w:type="dxa"/>
            <w:bottom w:w="0" w:type="dxa"/>
            <w:right w:w="108" w:type="dxa"/>
          </w:tblCellMar>
        </w:tblPrEx>
        <w:trPr>
          <w:trHeight w:val="560" w:hRule="atLeast"/>
          <w:jc w:val="center"/>
        </w:trPr>
        <w:tc>
          <w:tcPr>
            <w:tcW w:w="924" w:type="dxa"/>
            <w:vMerge w:val="continue"/>
            <w:tcBorders>
              <w:left w:val="single" w:color="auto" w:sz="4" w:space="0"/>
              <w:right w:val="single" w:color="auto" w:sz="4" w:space="0"/>
            </w:tcBorders>
            <w:noWrap w:val="0"/>
            <w:vAlign w:val="center"/>
          </w:tcPr>
          <w:p w14:paraId="20062DA7">
            <w:pPr>
              <w:widowControl/>
              <w:spacing w:line="360" w:lineRule="auto"/>
              <w:jc w:val="left"/>
              <w:rPr>
                <w:rFonts w:hint="eastAsia" w:ascii="宋体" w:hAnsi="宋体" w:eastAsia="宋体" w:cs="宋体"/>
                <w:color w:val="auto"/>
                <w:highlight w:val="none"/>
              </w:rPr>
            </w:pPr>
          </w:p>
        </w:tc>
        <w:tc>
          <w:tcPr>
            <w:tcW w:w="1170" w:type="dxa"/>
            <w:vMerge w:val="continue"/>
            <w:tcBorders>
              <w:left w:val="single" w:color="auto" w:sz="4" w:space="0"/>
              <w:right w:val="single" w:color="auto" w:sz="4" w:space="0"/>
            </w:tcBorders>
            <w:noWrap w:val="0"/>
            <w:vAlign w:val="center"/>
          </w:tcPr>
          <w:p w14:paraId="7FC57E75">
            <w:pPr>
              <w:widowControl/>
              <w:spacing w:line="360" w:lineRule="auto"/>
              <w:jc w:val="left"/>
              <w:rPr>
                <w:rFonts w:hint="eastAsia" w:ascii="宋体" w:hAnsi="宋体" w:eastAsia="宋体" w:cs="宋体"/>
                <w:color w:val="auto"/>
                <w:kern w:val="0"/>
                <w:highlight w:val="none"/>
              </w:rPr>
            </w:pPr>
          </w:p>
        </w:tc>
        <w:tc>
          <w:tcPr>
            <w:tcW w:w="2833" w:type="dxa"/>
            <w:tcBorders>
              <w:top w:val="single" w:color="auto" w:sz="4" w:space="0"/>
              <w:left w:val="single" w:color="auto" w:sz="4" w:space="0"/>
              <w:bottom w:val="single" w:color="auto" w:sz="4" w:space="0"/>
              <w:right w:val="single" w:color="auto" w:sz="4" w:space="0"/>
            </w:tcBorders>
            <w:noWrap w:val="0"/>
            <w:vAlign w:val="center"/>
          </w:tcPr>
          <w:p w14:paraId="72E2467B">
            <w:pPr>
              <w:pStyle w:val="85"/>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财务状况报告</w:t>
            </w:r>
          </w:p>
        </w:tc>
        <w:tc>
          <w:tcPr>
            <w:tcW w:w="5011" w:type="dxa"/>
            <w:tcBorders>
              <w:top w:val="single" w:color="auto" w:sz="4" w:space="0"/>
              <w:left w:val="single" w:color="auto" w:sz="4" w:space="0"/>
              <w:bottom w:val="single" w:color="auto" w:sz="4" w:space="0"/>
              <w:right w:val="single" w:color="auto" w:sz="4" w:space="0"/>
            </w:tcBorders>
            <w:noWrap w:val="0"/>
            <w:vAlign w:val="center"/>
          </w:tcPr>
          <w:p w14:paraId="0085281F">
            <w:pPr>
              <w:pStyle w:val="8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按采购文件要求提供。</w:t>
            </w:r>
          </w:p>
        </w:tc>
      </w:tr>
      <w:tr w14:paraId="615265FF">
        <w:tblPrEx>
          <w:tblCellMar>
            <w:top w:w="0" w:type="dxa"/>
            <w:left w:w="108" w:type="dxa"/>
            <w:bottom w:w="0" w:type="dxa"/>
            <w:right w:w="108" w:type="dxa"/>
          </w:tblCellMar>
        </w:tblPrEx>
        <w:trPr>
          <w:trHeight w:val="560" w:hRule="atLeast"/>
          <w:jc w:val="center"/>
        </w:trPr>
        <w:tc>
          <w:tcPr>
            <w:tcW w:w="924" w:type="dxa"/>
            <w:vMerge w:val="continue"/>
            <w:tcBorders>
              <w:left w:val="single" w:color="auto" w:sz="4" w:space="0"/>
              <w:right w:val="single" w:color="auto" w:sz="4" w:space="0"/>
            </w:tcBorders>
            <w:noWrap w:val="0"/>
            <w:vAlign w:val="center"/>
          </w:tcPr>
          <w:p w14:paraId="62AD83AC">
            <w:pPr>
              <w:widowControl/>
              <w:spacing w:line="360" w:lineRule="auto"/>
              <w:jc w:val="left"/>
              <w:rPr>
                <w:rFonts w:hint="eastAsia" w:ascii="宋体" w:hAnsi="宋体" w:eastAsia="宋体" w:cs="宋体"/>
                <w:color w:val="auto"/>
                <w:highlight w:val="none"/>
              </w:rPr>
            </w:pPr>
          </w:p>
        </w:tc>
        <w:tc>
          <w:tcPr>
            <w:tcW w:w="1170" w:type="dxa"/>
            <w:vMerge w:val="continue"/>
            <w:tcBorders>
              <w:left w:val="single" w:color="auto" w:sz="4" w:space="0"/>
              <w:right w:val="single" w:color="auto" w:sz="4" w:space="0"/>
            </w:tcBorders>
            <w:noWrap w:val="0"/>
            <w:vAlign w:val="center"/>
          </w:tcPr>
          <w:p w14:paraId="218B69B2">
            <w:pPr>
              <w:widowControl/>
              <w:spacing w:line="360" w:lineRule="auto"/>
              <w:jc w:val="left"/>
              <w:rPr>
                <w:rFonts w:hint="eastAsia" w:ascii="宋体" w:hAnsi="宋体" w:eastAsia="宋体" w:cs="宋体"/>
                <w:color w:val="auto"/>
                <w:kern w:val="0"/>
                <w:highlight w:val="none"/>
              </w:rPr>
            </w:pPr>
          </w:p>
        </w:tc>
        <w:tc>
          <w:tcPr>
            <w:tcW w:w="2833" w:type="dxa"/>
            <w:tcBorders>
              <w:top w:val="single" w:color="auto" w:sz="4" w:space="0"/>
              <w:left w:val="single" w:color="auto" w:sz="4" w:space="0"/>
              <w:bottom w:val="single" w:color="auto" w:sz="4" w:space="0"/>
              <w:right w:val="single" w:color="auto" w:sz="4" w:space="0"/>
            </w:tcBorders>
            <w:noWrap w:val="0"/>
            <w:vAlign w:val="center"/>
          </w:tcPr>
          <w:p w14:paraId="5F31D5F7">
            <w:pPr>
              <w:pStyle w:val="85"/>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供应商近半年内任意一个月或任一季度依法缴纳税收的证明材料</w:t>
            </w:r>
          </w:p>
        </w:tc>
        <w:tc>
          <w:tcPr>
            <w:tcW w:w="5011" w:type="dxa"/>
            <w:tcBorders>
              <w:top w:val="single" w:color="auto" w:sz="4" w:space="0"/>
              <w:left w:val="single" w:color="auto" w:sz="4" w:space="0"/>
              <w:bottom w:val="single" w:color="auto" w:sz="4" w:space="0"/>
              <w:right w:val="single" w:color="auto" w:sz="4" w:space="0"/>
            </w:tcBorders>
            <w:noWrap w:val="0"/>
            <w:vAlign w:val="center"/>
          </w:tcPr>
          <w:p w14:paraId="6615A1FA">
            <w:pPr>
              <w:pStyle w:val="8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按采购文件要求提供。</w:t>
            </w:r>
          </w:p>
        </w:tc>
      </w:tr>
      <w:tr w14:paraId="3BEAAC8A">
        <w:tblPrEx>
          <w:tblCellMar>
            <w:top w:w="0" w:type="dxa"/>
            <w:left w:w="108" w:type="dxa"/>
            <w:bottom w:w="0" w:type="dxa"/>
            <w:right w:w="108" w:type="dxa"/>
          </w:tblCellMar>
        </w:tblPrEx>
        <w:trPr>
          <w:trHeight w:val="560" w:hRule="atLeast"/>
          <w:jc w:val="center"/>
        </w:trPr>
        <w:tc>
          <w:tcPr>
            <w:tcW w:w="924" w:type="dxa"/>
            <w:vMerge w:val="continue"/>
            <w:tcBorders>
              <w:left w:val="single" w:color="auto" w:sz="4" w:space="0"/>
              <w:right w:val="single" w:color="auto" w:sz="4" w:space="0"/>
            </w:tcBorders>
            <w:noWrap w:val="0"/>
            <w:vAlign w:val="center"/>
          </w:tcPr>
          <w:p w14:paraId="42A4C0DC">
            <w:pPr>
              <w:widowControl/>
              <w:spacing w:line="360" w:lineRule="auto"/>
              <w:jc w:val="left"/>
              <w:rPr>
                <w:rFonts w:hint="eastAsia" w:ascii="宋体" w:hAnsi="宋体" w:eastAsia="宋体" w:cs="宋体"/>
                <w:color w:val="auto"/>
                <w:highlight w:val="none"/>
              </w:rPr>
            </w:pPr>
          </w:p>
        </w:tc>
        <w:tc>
          <w:tcPr>
            <w:tcW w:w="1170" w:type="dxa"/>
            <w:vMerge w:val="continue"/>
            <w:tcBorders>
              <w:left w:val="single" w:color="auto" w:sz="4" w:space="0"/>
              <w:right w:val="single" w:color="auto" w:sz="4" w:space="0"/>
            </w:tcBorders>
            <w:noWrap w:val="0"/>
            <w:vAlign w:val="center"/>
          </w:tcPr>
          <w:p w14:paraId="754CB6A2">
            <w:pPr>
              <w:widowControl/>
              <w:spacing w:line="360" w:lineRule="auto"/>
              <w:jc w:val="left"/>
              <w:rPr>
                <w:rFonts w:hint="eastAsia" w:ascii="宋体" w:hAnsi="宋体" w:eastAsia="宋体" w:cs="宋体"/>
                <w:color w:val="auto"/>
                <w:kern w:val="0"/>
                <w:highlight w:val="none"/>
              </w:rPr>
            </w:pPr>
          </w:p>
        </w:tc>
        <w:tc>
          <w:tcPr>
            <w:tcW w:w="2833" w:type="dxa"/>
            <w:tcBorders>
              <w:top w:val="single" w:color="auto" w:sz="4" w:space="0"/>
              <w:left w:val="single" w:color="auto" w:sz="4" w:space="0"/>
              <w:bottom w:val="single" w:color="auto" w:sz="4" w:space="0"/>
              <w:right w:val="single" w:color="auto" w:sz="4" w:space="0"/>
            </w:tcBorders>
            <w:noWrap w:val="0"/>
            <w:vAlign w:val="center"/>
          </w:tcPr>
          <w:p w14:paraId="00375D5E">
            <w:pPr>
              <w:pStyle w:val="85"/>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供应商的中小企业声明函</w:t>
            </w:r>
          </w:p>
        </w:tc>
        <w:tc>
          <w:tcPr>
            <w:tcW w:w="5011" w:type="dxa"/>
            <w:tcBorders>
              <w:top w:val="single" w:color="auto" w:sz="4" w:space="0"/>
              <w:left w:val="single" w:color="auto" w:sz="4" w:space="0"/>
              <w:bottom w:val="single" w:color="auto" w:sz="4" w:space="0"/>
              <w:right w:val="single" w:color="auto" w:sz="4" w:space="0"/>
            </w:tcBorders>
            <w:noWrap w:val="0"/>
            <w:vAlign w:val="center"/>
          </w:tcPr>
          <w:p w14:paraId="016359B0">
            <w:pPr>
              <w:pStyle w:val="8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按采购文件要求提供。</w:t>
            </w:r>
          </w:p>
        </w:tc>
      </w:tr>
      <w:tr w14:paraId="54DED362">
        <w:tblPrEx>
          <w:tblCellMar>
            <w:top w:w="0" w:type="dxa"/>
            <w:left w:w="108" w:type="dxa"/>
            <w:bottom w:w="0" w:type="dxa"/>
            <w:right w:w="108" w:type="dxa"/>
          </w:tblCellMar>
        </w:tblPrEx>
        <w:trPr>
          <w:trHeight w:val="487" w:hRule="atLeast"/>
          <w:jc w:val="center"/>
        </w:trPr>
        <w:tc>
          <w:tcPr>
            <w:tcW w:w="924" w:type="dxa"/>
            <w:vMerge w:val="restart"/>
            <w:tcBorders>
              <w:top w:val="single" w:color="auto" w:sz="4" w:space="0"/>
              <w:left w:val="single" w:color="000000" w:sz="4" w:space="0"/>
              <w:bottom w:val="single" w:color="auto" w:sz="4" w:space="0"/>
              <w:right w:val="single" w:color="000000" w:sz="4" w:space="0"/>
            </w:tcBorders>
            <w:noWrap w:val="0"/>
            <w:vAlign w:val="center"/>
          </w:tcPr>
          <w:p w14:paraId="367E5701">
            <w:pPr>
              <w:spacing w:line="360" w:lineRule="auto"/>
              <w:jc w:val="center"/>
              <w:rPr>
                <w:rFonts w:hint="eastAsia" w:ascii="宋体" w:hAnsi="宋体" w:eastAsia="宋体" w:cs="宋体"/>
                <w:b/>
                <w:color w:val="auto"/>
                <w:highlight w:val="none"/>
              </w:rPr>
            </w:pPr>
            <w:r>
              <w:rPr>
                <w:rFonts w:hint="eastAsia" w:ascii="宋体" w:hAnsi="宋体" w:eastAsia="宋体" w:cs="宋体"/>
                <w:bCs/>
                <w:color w:val="auto"/>
                <w:highlight w:val="none"/>
              </w:rPr>
              <w:t>2.1.2</w:t>
            </w:r>
          </w:p>
        </w:tc>
        <w:tc>
          <w:tcPr>
            <w:tcW w:w="1170" w:type="dxa"/>
            <w:vMerge w:val="restart"/>
            <w:tcBorders>
              <w:top w:val="single" w:color="auto" w:sz="4" w:space="0"/>
              <w:left w:val="single" w:color="000000" w:sz="4" w:space="0"/>
              <w:bottom w:val="single" w:color="auto" w:sz="4" w:space="0"/>
              <w:right w:val="single" w:color="000000" w:sz="4" w:space="0"/>
            </w:tcBorders>
            <w:noWrap w:val="0"/>
            <w:vAlign w:val="center"/>
          </w:tcPr>
          <w:p w14:paraId="34DD2F8F">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符合性评审</w:t>
            </w:r>
          </w:p>
        </w:tc>
        <w:tc>
          <w:tcPr>
            <w:tcW w:w="2833" w:type="dxa"/>
            <w:tcBorders>
              <w:top w:val="single" w:color="auto" w:sz="4" w:space="0"/>
              <w:left w:val="single" w:color="000000" w:sz="4" w:space="0"/>
              <w:bottom w:val="single" w:color="000000" w:sz="4" w:space="0"/>
              <w:right w:val="single" w:color="000000" w:sz="4" w:space="0"/>
            </w:tcBorders>
            <w:noWrap w:val="0"/>
            <w:vAlign w:val="center"/>
          </w:tcPr>
          <w:p w14:paraId="4624EB03">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评审因素</w:t>
            </w:r>
          </w:p>
        </w:tc>
        <w:tc>
          <w:tcPr>
            <w:tcW w:w="5011" w:type="dxa"/>
            <w:tcBorders>
              <w:top w:val="single" w:color="auto" w:sz="4" w:space="0"/>
              <w:left w:val="single" w:color="000000" w:sz="4" w:space="0"/>
              <w:bottom w:val="single" w:color="000000" w:sz="4" w:space="0"/>
              <w:right w:val="single" w:color="000000" w:sz="4" w:space="0"/>
            </w:tcBorders>
            <w:noWrap w:val="0"/>
            <w:vAlign w:val="center"/>
          </w:tcPr>
          <w:p w14:paraId="596BD368">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评审标准（合格标准：缺少任何一项或有任何一项不合格者，其符合性评审视为不合格）</w:t>
            </w:r>
          </w:p>
        </w:tc>
      </w:tr>
      <w:tr w14:paraId="3B6735C7">
        <w:tblPrEx>
          <w:tblCellMar>
            <w:top w:w="0" w:type="dxa"/>
            <w:left w:w="108" w:type="dxa"/>
            <w:bottom w:w="0" w:type="dxa"/>
            <w:right w:w="108" w:type="dxa"/>
          </w:tblCellMar>
        </w:tblPrEx>
        <w:trPr>
          <w:trHeight w:val="515" w:hRule="atLeast"/>
          <w:jc w:val="center"/>
        </w:trPr>
        <w:tc>
          <w:tcPr>
            <w:tcW w:w="924" w:type="dxa"/>
            <w:vMerge w:val="continue"/>
            <w:tcBorders>
              <w:top w:val="single" w:color="auto" w:sz="4" w:space="0"/>
              <w:left w:val="single" w:color="000000" w:sz="4" w:space="0"/>
              <w:bottom w:val="single" w:color="auto" w:sz="4" w:space="0"/>
              <w:right w:val="single" w:color="000000" w:sz="4" w:space="0"/>
            </w:tcBorders>
            <w:noWrap w:val="0"/>
            <w:vAlign w:val="center"/>
          </w:tcPr>
          <w:p w14:paraId="0E547D13">
            <w:pPr>
              <w:spacing w:line="360" w:lineRule="auto"/>
              <w:rPr>
                <w:rFonts w:hint="eastAsia" w:ascii="宋体" w:hAnsi="宋体" w:eastAsia="宋体" w:cs="宋体"/>
                <w:color w:val="auto"/>
                <w:highlight w:val="none"/>
              </w:rPr>
            </w:pPr>
          </w:p>
        </w:tc>
        <w:tc>
          <w:tcPr>
            <w:tcW w:w="1170" w:type="dxa"/>
            <w:vMerge w:val="continue"/>
            <w:tcBorders>
              <w:top w:val="single" w:color="auto" w:sz="4" w:space="0"/>
              <w:left w:val="single" w:color="000000" w:sz="4" w:space="0"/>
              <w:bottom w:val="single" w:color="auto" w:sz="4" w:space="0"/>
              <w:right w:val="single" w:color="000000" w:sz="4" w:space="0"/>
            </w:tcBorders>
            <w:noWrap w:val="0"/>
            <w:vAlign w:val="center"/>
          </w:tcPr>
          <w:p w14:paraId="195A8FD7">
            <w:pPr>
              <w:spacing w:line="360" w:lineRule="auto"/>
              <w:rPr>
                <w:rFonts w:hint="eastAsia" w:ascii="宋体" w:hAnsi="宋体" w:eastAsia="宋体" w:cs="宋体"/>
                <w:color w:val="auto"/>
                <w:highlight w:val="none"/>
              </w:rPr>
            </w:pP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2A7744F5">
            <w:pPr>
              <w:spacing w:line="360" w:lineRule="auto"/>
              <w:rPr>
                <w:rFonts w:hint="eastAsia" w:ascii="宋体" w:hAnsi="宋体" w:eastAsia="宋体" w:cs="宋体"/>
                <w:color w:val="auto"/>
                <w:highlight w:val="none"/>
              </w:rPr>
            </w:pPr>
            <w:r>
              <w:rPr>
                <w:rFonts w:hint="eastAsia" w:ascii="宋体" w:hAnsi="宋体" w:eastAsia="宋体" w:cs="宋体"/>
                <w:color w:val="auto"/>
                <w:kern w:val="0"/>
                <w:highlight w:val="none"/>
              </w:rPr>
              <w:t>响应函</w:t>
            </w:r>
          </w:p>
        </w:tc>
        <w:tc>
          <w:tcPr>
            <w:tcW w:w="5011" w:type="dxa"/>
            <w:tcBorders>
              <w:top w:val="single" w:color="000000" w:sz="4" w:space="0"/>
              <w:left w:val="single" w:color="000000" w:sz="4" w:space="0"/>
              <w:bottom w:val="single" w:color="000000" w:sz="4" w:space="0"/>
              <w:right w:val="single" w:color="000000" w:sz="4" w:space="0"/>
            </w:tcBorders>
            <w:noWrap w:val="0"/>
            <w:vAlign w:val="center"/>
          </w:tcPr>
          <w:p w14:paraId="76B69410">
            <w:pPr>
              <w:spacing w:line="360" w:lineRule="auto"/>
              <w:rPr>
                <w:rFonts w:hint="eastAsia" w:ascii="宋体" w:hAnsi="宋体" w:eastAsia="宋体" w:cs="宋体"/>
                <w:color w:val="auto"/>
                <w:highlight w:val="none"/>
              </w:rPr>
            </w:pPr>
            <w:r>
              <w:rPr>
                <w:rFonts w:hint="eastAsia" w:ascii="宋体" w:hAnsi="宋体" w:eastAsia="宋体" w:cs="宋体"/>
                <w:color w:val="auto"/>
                <w:kern w:val="0"/>
                <w:highlight w:val="none"/>
              </w:rPr>
              <w:t>必须提供</w:t>
            </w:r>
          </w:p>
        </w:tc>
      </w:tr>
      <w:tr w14:paraId="65C42D77">
        <w:tblPrEx>
          <w:tblCellMar>
            <w:top w:w="0" w:type="dxa"/>
            <w:left w:w="108" w:type="dxa"/>
            <w:bottom w:w="0" w:type="dxa"/>
            <w:right w:w="108" w:type="dxa"/>
          </w:tblCellMar>
        </w:tblPrEx>
        <w:trPr>
          <w:trHeight w:val="546" w:hRule="atLeast"/>
          <w:jc w:val="center"/>
        </w:trPr>
        <w:tc>
          <w:tcPr>
            <w:tcW w:w="924" w:type="dxa"/>
            <w:vMerge w:val="continue"/>
            <w:tcBorders>
              <w:top w:val="single" w:color="auto" w:sz="4" w:space="0"/>
              <w:left w:val="single" w:color="000000" w:sz="4" w:space="0"/>
              <w:bottom w:val="single" w:color="auto" w:sz="4" w:space="0"/>
              <w:right w:val="single" w:color="000000" w:sz="4" w:space="0"/>
            </w:tcBorders>
            <w:noWrap w:val="0"/>
            <w:vAlign w:val="center"/>
          </w:tcPr>
          <w:p w14:paraId="4654FAC7">
            <w:pPr>
              <w:widowControl/>
              <w:spacing w:line="360" w:lineRule="auto"/>
              <w:jc w:val="left"/>
              <w:rPr>
                <w:rFonts w:hint="eastAsia" w:ascii="宋体" w:hAnsi="宋体" w:eastAsia="宋体" w:cs="宋体"/>
                <w:color w:val="auto"/>
                <w:highlight w:val="none"/>
              </w:rPr>
            </w:pPr>
          </w:p>
        </w:tc>
        <w:tc>
          <w:tcPr>
            <w:tcW w:w="1170" w:type="dxa"/>
            <w:vMerge w:val="continue"/>
            <w:tcBorders>
              <w:top w:val="single" w:color="auto" w:sz="4" w:space="0"/>
              <w:left w:val="single" w:color="000000" w:sz="4" w:space="0"/>
              <w:bottom w:val="single" w:color="auto" w:sz="4" w:space="0"/>
              <w:right w:val="single" w:color="000000" w:sz="4" w:space="0"/>
            </w:tcBorders>
            <w:noWrap w:val="0"/>
            <w:vAlign w:val="center"/>
          </w:tcPr>
          <w:p w14:paraId="0CCB0AC8">
            <w:pPr>
              <w:widowControl/>
              <w:spacing w:line="360" w:lineRule="auto"/>
              <w:jc w:val="left"/>
              <w:rPr>
                <w:rFonts w:hint="eastAsia" w:ascii="宋体" w:hAnsi="宋体" w:eastAsia="宋体" w:cs="宋体"/>
                <w:color w:val="auto"/>
                <w:highlight w:val="none"/>
              </w:rPr>
            </w:pP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3B7A4A91">
            <w:pPr>
              <w:spacing w:line="360" w:lineRule="auto"/>
              <w:rPr>
                <w:rFonts w:hint="eastAsia" w:ascii="宋体" w:hAnsi="宋体" w:eastAsia="宋体" w:cs="宋体"/>
                <w:color w:val="auto"/>
                <w:highlight w:val="none"/>
              </w:rPr>
            </w:pPr>
            <w:r>
              <w:rPr>
                <w:rFonts w:hint="eastAsia" w:ascii="宋体" w:hAnsi="宋体" w:eastAsia="宋体" w:cs="宋体"/>
                <w:color w:val="auto"/>
                <w:kern w:val="0"/>
                <w:highlight w:val="none"/>
              </w:rPr>
              <w:t>工程报价汇总表</w:t>
            </w:r>
          </w:p>
        </w:tc>
        <w:tc>
          <w:tcPr>
            <w:tcW w:w="5011" w:type="dxa"/>
            <w:tcBorders>
              <w:top w:val="single" w:color="000000" w:sz="4" w:space="0"/>
              <w:left w:val="single" w:color="000000" w:sz="4" w:space="0"/>
              <w:bottom w:val="single" w:color="000000" w:sz="4" w:space="0"/>
              <w:right w:val="single" w:color="000000" w:sz="4" w:space="0"/>
            </w:tcBorders>
            <w:noWrap w:val="0"/>
            <w:vAlign w:val="center"/>
          </w:tcPr>
          <w:p w14:paraId="0D27073F">
            <w:pPr>
              <w:spacing w:line="360" w:lineRule="auto"/>
              <w:rPr>
                <w:rFonts w:hint="eastAsia" w:ascii="宋体" w:hAnsi="宋体" w:eastAsia="宋体" w:cs="宋体"/>
                <w:color w:val="auto"/>
                <w:highlight w:val="none"/>
              </w:rPr>
            </w:pPr>
            <w:r>
              <w:rPr>
                <w:rFonts w:hint="eastAsia" w:ascii="宋体" w:hAnsi="宋体" w:eastAsia="宋体" w:cs="宋体"/>
                <w:color w:val="auto"/>
                <w:kern w:val="0"/>
                <w:highlight w:val="none"/>
              </w:rPr>
              <w:t>必须提供</w:t>
            </w:r>
          </w:p>
        </w:tc>
      </w:tr>
      <w:tr w14:paraId="5C1D0DE2">
        <w:tblPrEx>
          <w:tblCellMar>
            <w:top w:w="0" w:type="dxa"/>
            <w:left w:w="108" w:type="dxa"/>
            <w:bottom w:w="0" w:type="dxa"/>
            <w:right w:w="108" w:type="dxa"/>
          </w:tblCellMar>
        </w:tblPrEx>
        <w:trPr>
          <w:trHeight w:val="525" w:hRule="atLeast"/>
          <w:jc w:val="center"/>
        </w:trPr>
        <w:tc>
          <w:tcPr>
            <w:tcW w:w="924" w:type="dxa"/>
            <w:vMerge w:val="continue"/>
            <w:tcBorders>
              <w:top w:val="single" w:color="auto" w:sz="4" w:space="0"/>
              <w:left w:val="single" w:color="000000" w:sz="4" w:space="0"/>
              <w:bottom w:val="single" w:color="auto" w:sz="4" w:space="0"/>
              <w:right w:val="single" w:color="000000" w:sz="4" w:space="0"/>
            </w:tcBorders>
            <w:noWrap w:val="0"/>
            <w:vAlign w:val="center"/>
          </w:tcPr>
          <w:p w14:paraId="65E2626A">
            <w:pPr>
              <w:widowControl/>
              <w:spacing w:line="360" w:lineRule="auto"/>
              <w:jc w:val="left"/>
              <w:rPr>
                <w:rFonts w:hint="eastAsia" w:ascii="宋体" w:hAnsi="宋体" w:eastAsia="宋体" w:cs="宋体"/>
                <w:color w:val="auto"/>
                <w:highlight w:val="none"/>
              </w:rPr>
            </w:pPr>
          </w:p>
        </w:tc>
        <w:tc>
          <w:tcPr>
            <w:tcW w:w="1170" w:type="dxa"/>
            <w:vMerge w:val="continue"/>
            <w:tcBorders>
              <w:top w:val="single" w:color="auto" w:sz="4" w:space="0"/>
              <w:left w:val="single" w:color="000000" w:sz="4" w:space="0"/>
              <w:bottom w:val="single" w:color="auto" w:sz="4" w:space="0"/>
              <w:right w:val="single" w:color="000000" w:sz="4" w:space="0"/>
            </w:tcBorders>
            <w:noWrap w:val="0"/>
            <w:vAlign w:val="center"/>
          </w:tcPr>
          <w:p w14:paraId="1DE3B053">
            <w:pPr>
              <w:widowControl/>
              <w:spacing w:line="360" w:lineRule="auto"/>
              <w:jc w:val="left"/>
              <w:rPr>
                <w:rFonts w:hint="eastAsia" w:ascii="宋体" w:hAnsi="宋体" w:eastAsia="宋体" w:cs="宋体"/>
                <w:color w:val="auto"/>
                <w:highlight w:val="none"/>
              </w:rPr>
            </w:pPr>
          </w:p>
        </w:tc>
        <w:tc>
          <w:tcPr>
            <w:tcW w:w="2833" w:type="dxa"/>
            <w:tcBorders>
              <w:top w:val="single" w:color="000000" w:sz="4" w:space="0"/>
              <w:left w:val="single" w:color="000000" w:sz="4" w:space="0"/>
              <w:bottom w:val="single" w:color="auto" w:sz="4" w:space="0"/>
              <w:right w:val="single" w:color="000000" w:sz="4" w:space="0"/>
            </w:tcBorders>
            <w:noWrap w:val="0"/>
            <w:vAlign w:val="center"/>
          </w:tcPr>
          <w:p w14:paraId="7CF58CE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已标价工程量清单</w:t>
            </w:r>
          </w:p>
        </w:tc>
        <w:tc>
          <w:tcPr>
            <w:tcW w:w="5011" w:type="dxa"/>
            <w:tcBorders>
              <w:top w:val="single" w:color="000000" w:sz="4" w:space="0"/>
              <w:left w:val="single" w:color="000000" w:sz="4" w:space="0"/>
              <w:bottom w:val="single" w:color="000000" w:sz="4" w:space="0"/>
              <w:right w:val="single" w:color="000000" w:sz="4" w:space="0"/>
            </w:tcBorders>
            <w:noWrap w:val="0"/>
            <w:vAlign w:val="center"/>
          </w:tcPr>
          <w:p w14:paraId="6425E00D">
            <w:pPr>
              <w:spacing w:line="360" w:lineRule="auto"/>
              <w:rPr>
                <w:rFonts w:hint="eastAsia" w:ascii="宋体" w:hAnsi="宋体" w:eastAsia="宋体" w:cs="宋体"/>
                <w:color w:val="auto"/>
                <w:highlight w:val="none"/>
              </w:rPr>
            </w:pPr>
            <w:r>
              <w:rPr>
                <w:rFonts w:hint="eastAsia" w:ascii="宋体" w:hAnsi="宋体" w:eastAsia="宋体" w:cs="宋体"/>
                <w:color w:val="auto"/>
                <w:kern w:val="0"/>
                <w:highlight w:val="none"/>
              </w:rPr>
              <w:t>必须提供</w:t>
            </w:r>
          </w:p>
        </w:tc>
      </w:tr>
      <w:tr w14:paraId="5EE5D8DE">
        <w:tblPrEx>
          <w:tblCellMar>
            <w:top w:w="0" w:type="dxa"/>
            <w:left w:w="108" w:type="dxa"/>
            <w:bottom w:w="0" w:type="dxa"/>
            <w:right w:w="108" w:type="dxa"/>
          </w:tblCellMar>
        </w:tblPrEx>
        <w:trPr>
          <w:trHeight w:val="491" w:hRule="atLeast"/>
          <w:jc w:val="center"/>
        </w:trPr>
        <w:tc>
          <w:tcPr>
            <w:tcW w:w="924" w:type="dxa"/>
            <w:vMerge w:val="continue"/>
            <w:tcBorders>
              <w:top w:val="single" w:color="auto" w:sz="4" w:space="0"/>
              <w:left w:val="single" w:color="000000" w:sz="4" w:space="0"/>
              <w:bottom w:val="single" w:color="auto" w:sz="4" w:space="0"/>
              <w:right w:val="single" w:color="000000" w:sz="4" w:space="0"/>
            </w:tcBorders>
            <w:noWrap w:val="0"/>
            <w:vAlign w:val="center"/>
          </w:tcPr>
          <w:p w14:paraId="73D65AD2">
            <w:pPr>
              <w:widowControl/>
              <w:spacing w:line="360" w:lineRule="auto"/>
              <w:jc w:val="left"/>
              <w:rPr>
                <w:rFonts w:hint="eastAsia" w:ascii="宋体" w:hAnsi="宋体" w:eastAsia="宋体" w:cs="宋体"/>
                <w:color w:val="auto"/>
                <w:highlight w:val="none"/>
              </w:rPr>
            </w:pPr>
          </w:p>
        </w:tc>
        <w:tc>
          <w:tcPr>
            <w:tcW w:w="1170" w:type="dxa"/>
            <w:vMerge w:val="continue"/>
            <w:tcBorders>
              <w:top w:val="single" w:color="auto" w:sz="4" w:space="0"/>
              <w:left w:val="single" w:color="000000" w:sz="4" w:space="0"/>
              <w:bottom w:val="single" w:color="auto" w:sz="4" w:space="0"/>
              <w:right w:val="single" w:color="000000" w:sz="4" w:space="0"/>
            </w:tcBorders>
            <w:noWrap w:val="0"/>
            <w:vAlign w:val="center"/>
          </w:tcPr>
          <w:p w14:paraId="60BB70DF">
            <w:pPr>
              <w:widowControl/>
              <w:spacing w:line="360" w:lineRule="auto"/>
              <w:jc w:val="left"/>
              <w:rPr>
                <w:rFonts w:hint="eastAsia" w:ascii="宋体" w:hAnsi="宋体" w:eastAsia="宋体" w:cs="宋体"/>
                <w:color w:val="auto"/>
                <w:highlight w:val="none"/>
              </w:rPr>
            </w:pPr>
          </w:p>
        </w:tc>
        <w:tc>
          <w:tcPr>
            <w:tcW w:w="2833" w:type="dxa"/>
            <w:tcBorders>
              <w:top w:val="single" w:color="auto" w:sz="4" w:space="0"/>
              <w:left w:val="single" w:color="000000" w:sz="4" w:space="0"/>
              <w:bottom w:val="single" w:color="auto" w:sz="4" w:space="0"/>
              <w:right w:val="single" w:color="000000" w:sz="4" w:space="0"/>
            </w:tcBorders>
            <w:noWrap w:val="0"/>
            <w:vAlign w:val="center"/>
          </w:tcPr>
          <w:p w14:paraId="30779B5B">
            <w:pPr>
              <w:spacing w:line="360" w:lineRule="auto"/>
              <w:rPr>
                <w:rFonts w:hint="eastAsia" w:ascii="宋体" w:hAnsi="宋体" w:eastAsia="宋体" w:cs="宋体"/>
                <w:color w:val="auto"/>
                <w:highlight w:val="none"/>
              </w:rPr>
            </w:pPr>
            <w:r>
              <w:rPr>
                <w:rFonts w:hint="eastAsia" w:ascii="宋体" w:hAnsi="宋体" w:eastAsia="宋体" w:cs="宋体"/>
                <w:color w:val="auto"/>
                <w:kern w:val="0"/>
                <w:highlight w:val="none"/>
              </w:rPr>
              <w:t>拟投入主要施工管理人员</w:t>
            </w:r>
          </w:p>
        </w:tc>
        <w:tc>
          <w:tcPr>
            <w:tcW w:w="5011" w:type="dxa"/>
            <w:tcBorders>
              <w:top w:val="single" w:color="000000" w:sz="4" w:space="0"/>
              <w:left w:val="single" w:color="000000" w:sz="4" w:space="0"/>
              <w:bottom w:val="single" w:color="auto" w:sz="4" w:space="0"/>
              <w:right w:val="single" w:color="000000" w:sz="4" w:space="0"/>
            </w:tcBorders>
            <w:noWrap w:val="0"/>
            <w:vAlign w:val="center"/>
          </w:tcPr>
          <w:p w14:paraId="6FF12993">
            <w:pPr>
              <w:spacing w:line="360" w:lineRule="auto"/>
              <w:rPr>
                <w:rFonts w:hint="eastAsia" w:ascii="宋体" w:hAnsi="宋体" w:eastAsia="宋体" w:cs="宋体"/>
                <w:color w:val="auto"/>
                <w:highlight w:val="none"/>
              </w:rPr>
            </w:pPr>
            <w:r>
              <w:rPr>
                <w:rFonts w:hint="eastAsia" w:ascii="宋体" w:hAnsi="宋体" w:eastAsia="宋体" w:cs="宋体"/>
                <w:color w:val="auto"/>
                <w:kern w:val="0"/>
                <w:highlight w:val="none"/>
              </w:rPr>
              <w:t>符合采购文件要求</w:t>
            </w:r>
          </w:p>
        </w:tc>
      </w:tr>
      <w:tr w14:paraId="273D7084">
        <w:tblPrEx>
          <w:tblCellMar>
            <w:top w:w="0" w:type="dxa"/>
            <w:left w:w="108" w:type="dxa"/>
            <w:bottom w:w="0" w:type="dxa"/>
            <w:right w:w="108" w:type="dxa"/>
          </w:tblCellMar>
        </w:tblPrEx>
        <w:trPr>
          <w:trHeight w:val="429" w:hRule="atLeast"/>
          <w:jc w:val="center"/>
        </w:trPr>
        <w:tc>
          <w:tcPr>
            <w:tcW w:w="924" w:type="dxa"/>
            <w:vMerge w:val="continue"/>
            <w:tcBorders>
              <w:top w:val="single" w:color="auto" w:sz="4" w:space="0"/>
              <w:left w:val="single" w:color="000000" w:sz="4" w:space="0"/>
              <w:bottom w:val="single" w:color="auto" w:sz="4" w:space="0"/>
              <w:right w:val="single" w:color="000000" w:sz="4" w:space="0"/>
            </w:tcBorders>
            <w:noWrap w:val="0"/>
            <w:vAlign w:val="center"/>
          </w:tcPr>
          <w:p w14:paraId="1790C453">
            <w:pPr>
              <w:widowControl/>
              <w:spacing w:line="360" w:lineRule="auto"/>
              <w:jc w:val="left"/>
              <w:rPr>
                <w:rFonts w:hint="eastAsia" w:ascii="宋体" w:hAnsi="宋体" w:eastAsia="宋体" w:cs="宋体"/>
                <w:color w:val="auto"/>
                <w:highlight w:val="none"/>
              </w:rPr>
            </w:pPr>
          </w:p>
        </w:tc>
        <w:tc>
          <w:tcPr>
            <w:tcW w:w="1170" w:type="dxa"/>
            <w:vMerge w:val="continue"/>
            <w:tcBorders>
              <w:top w:val="single" w:color="auto" w:sz="4" w:space="0"/>
              <w:left w:val="single" w:color="000000" w:sz="4" w:space="0"/>
              <w:bottom w:val="single" w:color="auto" w:sz="4" w:space="0"/>
              <w:right w:val="single" w:color="000000" w:sz="4" w:space="0"/>
            </w:tcBorders>
            <w:noWrap w:val="0"/>
            <w:vAlign w:val="center"/>
          </w:tcPr>
          <w:p w14:paraId="0A8DE7AC">
            <w:pPr>
              <w:widowControl/>
              <w:spacing w:line="360" w:lineRule="auto"/>
              <w:jc w:val="left"/>
              <w:rPr>
                <w:rFonts w:hint="eastAsia" w:ascii="宋体" w:hAnsi="宋体" w:eastAsia="宋体" w:cs="宋体"/>
                <w:color w:val="auto"/>
                <w:highlight w:val="none"/>
              </w:rPr>
            </w:pP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4599B663">
            <w:pPr>
              <w:spacing w:line="360" w:lineRule="auto"/>
              <w:rPr>
                <w:rFonts w:hint="eastAsia" w:ascii="宋体" w:hAnsi="宋体" w:eastAsia="宋体" w:cs="宋体"/>
                <w:color w:val="auto"/>
                <w:highlight w:val="none"/>
              </w:rPr>
            </w:pPr>
            <w:r>
              <w:rPr>
                <w:rFonts w:hint="eastAsia" w:ascii="宋体" w:hAnsi="宋体" w:eastAsia="宋体" w:cs="宋体"/>
                <w:color w:val="auto"/>
                <w:kern w:val="0"/>
                <w:highlight w:val="none"/>
              </w:rPr>
              <w:t>项目经理</w:t>
            </w:r>
          </w:p>
        </w:tc>
        <w:tc>
          <w:tcPr>
            <w:tcW w:w="5011" w:type="dxa"/>
            <w:tcBorders>
              <w:top w:val="single" w:color="000000" w:sz="4" w:space="0"/>
              <w:left w:val="single" w:color="000000" w:sz="4" w:space="0"/>
              <w:bottom w:val="single" w:color="000000" w:sz="4" w:space="0"/>
              <w:right w:val="single" w:color="auto" w:sz="4" w:space="0"/>
            </w:tcBorders>
            <w:noWrap w:val="0"/>
            <w:vAlign w:val="center"/>
          </w:tcPr>
          <w:p w14:paraId="0E9C3CC8">
            <w:pPr>
              <w:spacing w:line="360" w:lineRule="auto"/>
              <w:rPr>
                <w:rFonts w:hint="eastAsia" w:ascii="宋体" w:hAnsi="宋体" w:eastAsia="宋体" w:cs="宋体"/>
                <w:color w:val="auto"/>
                <w:highlight w:val="none"/>
              </w:rPr>
            </w:pPr>
            <w:r>
              <w:rPr>
                <w:rFonts w:hint="eastAsia" w:ascii="宋体" w:hAnsi="宋体" w:eastAsia="宋体" w:cs="宋体"/>
                <w:color w:val="auto"/>
                <w:kern w:val="0"/>
                <w:highlight w:val="none"/>
              </w:rPr>
              <w:t>符合采购文件要求</w:t>
            </w:r>
          </w:p>
        </w:tc>
      </w:tr>
      <w:tr w14:paraId="30323199">
        <w:tblPrEx>
          <w:tblCellMar>
            <w:top w:w="0" w:type="dxa"/>
            <w:left w:w="108" w:type="dxa"/>
            <w:bottom w:w="0" w:type="dxa"/>
            <w:right w:w="108" w:type="dxa"/>
          </w:tblCellMar>
        </w:tblPrEx>
        <w:trPr>
          <w:trHeight w:val="470" w:hRule="atLeast"/>
          <w:jc w:val="center"/>
        </w:trPr>
        <w:tc>
          <w:tcPr>
            <w:tcW w:w="924" w:type="dxa"/>
            <w:vMerge w:val="continue"/>
            <w:tcBorders>
              <w:top w:val="single" w:color="auto" w:sz="4" w:space="0"/>
              <w:left w:val="single" w:color="000000" w:sz="4" w:space="0"/>
              <w:bottom w:val="single" w:color="auto" w:sz="4" w:space="0"/>
              <w:right w:val="single" w:color="000000" w:sz="4" w:space="0"/>
            </w:tcBorders>
            <w:noWrap w:val="0"/>
            <w:vAlign w:val="center"/>
          </w:tcPr>
          <w:p w14:paraId="32005DAE">
            <w:pPr>
              <w:widowControl/>
              <w:spacing w:line="360" w:lineRule="auto"/>
              <w:jc w:val="left"/>
              <w:rPr>
                <w:rFonts w:hint="eastAsia" w:ascii="宋体" w:hAnsi="宋体" w:eastAsia="宋体" w:cs="宋体"/>
                <w:color w:val="auto"/>
                <w:highlight w:val="none"/>
              </w:rPr>
            </w:pPr>
          </w:p>
        </w:tc>
        <w:tc>
          <w:tcPr>
            <w:tcW w:w="1170" w:type="dxa"/>
            <w:vMerge w:val="continue"/>
            <w:tcBorders>
              <w:top w:val="single" w:color="auto" w:sz="4" w:space="0"/>
              <w:left w:val="single" w:color="000000" w:sz="4" w:space="0"/>
              <w:bottom w:val="single" w:color="auto" w:sz="4" w:space="0"/>
              <w:right w:val="single" w:color="000000" w:sz="4" w:space="0"/>
            </w:tcBorders>
            <w:noWrap w:val="0"/>
            <w:vAlign w:val="center"/>
          </w:tcPr>
          <w:p w14:paraId="7D0F36C3">
            <w:pPr>
              <w:widowControl/>
              <w:spacing w:line="360" w:lineRule="auto"/>
              <w:jc w:val="left"/>
              <w:rPr>
                <w:rFonts w:hint="eastAsia" w:ascii="宋体" w:hAnsi="宋体" w:eastAsia="宋体" w:cs="宋体"/>
                <w:color w:val="auto"/>
                <w:highlight w:val="none"/>
              </w:rPr>
            </w:pP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6502CF3A">
            <w:pPr>
              <w:spacing w:line="360" w:lineRule="auto"/>
              <w:rPr>
                <w:rFonts w:hint="eastAsia" w:ascii="宋体" w:hAnsi="宋体" w:eastAsia="宋体" w:cs="宋体"/>
                <w:color w:val="auto"/>
                <w:highlight w:val="none"/>
              </w:rPr>
            </w:pPr>
            <w:r>
              <w:rPr>
                <w:rFonts w:hint="eastAsia" w:ascii="宋体" w:hAnsi="宋体" w:eastAsia="宋体" w:cs="宋体"/>
                <w:color w:val="auto"/>
                <w:kern w:val="0"/>
                <w:highlight w:val="none"/>
              </w:rPr>
              <w:t>施工组织方案</w:t>
            </w:r>
          </w:p>
        </w:tc>
        <w:tc>
          <w:tcPr>
            <w:tcW w:w="5011" w:type="dxa"/>
            <w:tcBorders>
              <w:top w:val="single" w:color="000000" w:sz="4" w:space="0"/>
              <w:left w:val="single" w:color="000000" w:sz="4" w:space="0"/>
              <w:bottom w:val="single" w:color="000000" w:sz="4" w:space="0"/>
              <w:right w:val="single" w:color="auto" w:sz="4" w:space="0"/>
            </w:tcBorders>
            <w:noWrap w:val="0"/>
            <w:vAlign w:val="center"/>
          </w:tcPr>
          <w:p w14:paraId="369C4746">
            <w:pPr>
              <w:spacing w:line="360" w:lineRule="auto"/>
              <w:rPr>
                <w:rFonts w:hint="eastAsia" w:ascii="宋体" w:hAnsi="宋体" w:eastAsia="宋体" w:cs="宋体"/>
                <w:color w:val="auto"/>
                <w:highlight w:val="none"/>
              </w:rPr>
            </w:pPr>
            <w:r>
              <w:rPr>
                <w:rFonts w:hint="eastAsia" w:ascii="宋体" w:hAnsi="宋体" w:eastAsia="宋体" w:cs="宋体"/>
                <w:color w:val="auto"/>
                <w:kern w:val="0"/>
                <w:highlight w:val="none"/>
              </w:rPr>
              <w:t>必须提供</w:t>
            </w:r>
          </w:p>
        </w:tc>
      </w:tr>
      <w:tr w14:paraId="787D0406">
        <w:tblPrEx>
          <w:tblCellMar>
            <w:top w:w="0" w:type="dxa"/>
            <w:left w:w="108" w:type="dxa"/>
            <w:bottom w:w="0" w:type="dxa"/>
            <w:right w:w="108" w:type="dxa"/>
          </w:tblCellMar>
        </w:tblPrEx>
        <w:trPr>
          <w:trHeight w:val="523" w:hRule="atLeast"/>
          <w:jc w:val="center"/>
        </w:trPr>
        <w:tc>
          <w:tcPr>
            <w:tcW w:w="924" w:type="dxa"/>
            <w:vMerge w:val="continue"/>
            <w:tcBorders>
              <w:top w:val="single" w:color="auto" w:sz="4" w:space="0"/>
              <w:left w:val="single" w:color="000000" w:sz="4" w:space="0"/>
              <w:bottom w:val="single" w:color="auto" w:sz="4" w:space="0"/>
              <w:right w:val="single" w:color="000000" w:sz="4" w:space="0"/>
            </w:tcBorders>
            <w:noWrap w:val="0"/>
            <w:vAlign w:val="center"/>
          </w:tcPr>
          <w:p w14:paraId="62103912">
            <w:pPr>
              <w:widowControl/>
              <w:spacing w:line="360" w:lineRule="auto"/>
              <w:jc w:val="left"/>
              <w:rPr>
                <w:rFonts w:hint="eastAsia" w:ascii="宋体" w:hAnsi="宋体" w:eastAsia="宋体" w:cs="宋体"/>
                <w:color w:val="auto"/>
                <w:highlight w:val="none"/>
              </w:rPr>
            </w:pPr>
          </w:p>
        </w:tc>
        <w:tc>
          <w:tcPr>
            <w:tcW w:w="1170" w:type="dxa"/>
            <w:vMerge w:val="continue"/>
            <w:tcBorders>
              <w:top w:val="single" w:color="auto" w:sz="4" w:space="0"/>
              <w:left w:val="single" w:color="000000" w:sz="4" w:space="0"/>
              <w:bottom w:val="single" w:color="auto" w:sz="4" w:space="0"/>
              <w:right w:val="single" w:color="000000" w:sz="4" w:space="0"/>
            </w:tcBorders>
            <w:noWrap w:val="0"/>
            <w:vAlign w:val="center"/>
          </w:tcPr>
          <w:p w14:paraId="1CAD1C99">
            <w:pPr>
              <w:widowControl/>
              <w:spacing w:line="360" w:lineRule="auto"/>
              <w:jc w:val="left"/>
              <w:rPr>
                <w:rFonts w:hint="eastAsia" w:ascii="宋体" w:hAnsi="宋体" w:eastAsia="宋体" w:cs="宋体"/>
                <w:color w:val="auto"/>
                <w:highlight w:val="none"/>
              </w:rPr>
            </w:pP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7A19CA92">
            <w:pPr>
              <w:spacing w:line="360" w:lineRule="auto"/>
              <w:rPr>
                <w:rFonts w:hint="eastAsia" w:ascii="宋体" w:hAnsi="宋体" w:eastAsia="宋体" w:cs="宋体"/>
                <w:color w:val="auto"/>
                <w:highlight w:val="none"/>
              </w:rPr>
            </w:pPr>
            <w:r>
              <w:rPr>
                <w:rFonts w:hint="eastAsia" w:ascii="宋体" w:hAnsi="宋体" w:eastAsia="宋体" w:cs="宋体"/>
                <w:color w:val="auto"/>
                <w:kern w:val="0"/>
                <w:highlight w:val="none"/>
              </w:rPr>
              <w:t>工程完工服务承诺书</w:t>
            </w:r>
          </w:p>
        </w:tc>
        <w:tc>
          <w:tcPr>
            <w:tcW w:w="5011" w:type="dxa"/>
            <w:tcBorders>
              <w:top w:val="single" w:color="000000" w:sz="4" w:space="0"/>
              <w:left w:val="single" w:color="000000" w:sz="4" w:space="0"/>
              <w:bottom w:val="single" w:color="000000" w:sz="4" w:space="0"/>
              <w:right w:val="single" w:color="auto" w:sz="4" w:space="0"/>
            </w:tcBorders>
            <w:noWrap w:val="0"/>
            <w:vAlign w:val="center"/>
          </w:tcPr>
          <w:p w14:paraId="6F72318C">
            <w:pPr>
              <w:spacing w:line="360" w:lineRule="auto"/>
              <w:rPr>
                <w:rFonts w:hint="eastAsia" w:ascii="宋体" w:hAnsi="宋体" w:eastAsia="宋体" w:cs="宋体"/>
                <w:color w:val="auto"/>
                <w:highlight w:val="none"/>
              </w:rPr>
            </w:pPr>
            <w:r>
              <w:rPr>
                <w:rFonts w:hint="eastAsia" w:ascii="宋体" w:hAnsi="宋体" w:eastAsia="宋体" w:cs="宋体"/>
                <w:color w:val="auto"/>
                <w:kern w:val="0"/>
                <w:highlight w:val="none"/>
              </w:rPr>
              <w:t>必须提供</w:t>
            </w:r>
          </w:p>
        </w:tc>
      </w:tr>
      <w:tr w14:paraId="3FA8E052">
        <w:tblPrEx>
          <w:tblCellMar>
            <w:top w:w="0" w:type="dxa"/>
            <w:left w:w="108" w:type="dxa"/>
            <w:bottom w:w="0" w:type="dxa"/>
            <w:right w:w="108" w:type="dxa"/>
          </w:tblCellMar>
        </w:tblPrEx>
        <w:trPr>
          <w:trHeight w:val="794" w:hRule="atLeast"/>
          <w:jc w:val="center"/>
        </w:trPr>
        <w:tc>
          <w:tcPr>
            <w:tcW w:w="924" w:type="dxa"/>
            <w:vMerge w:val="continue"/>
            <w:tcBorders>
              <w:top w:val="single" w:color="auto" w:sz="4" w:space="0"/>
              <w:left w:val="single" w:color="000000" w:sz="4" w:space="0"/>
              <w:bottom w:val="single" w:color="auto" w:sz="4" w:space="0"/>
              <w:right w:val="single" w:color="000000" w:sz="4" w:space="0"/>
            </w:tcBorders>
            <w:noWrap w:val="0"/>
            <w:vAlign w:val="center"/>
          </w:tcPr>
          <w:p w14:paraId="050DB4B7">
            <w:pPr>
              <w:widowControl/>
              <w:spacing w:line="360" w:lineRule="auto"/>
              <w:jc w:val="left"/>
              <w:rPr>
                <w:rFonts w:hint="eastAsia" w:ascii="宋体" w:hAnsi="宋体" w:eastAsia="宋体" w:cs="宋体"/>
                <w:color w:val="auto"/>
                <w:highlight w:val="none"/>
              </w:rPr>
            </w:pPr>
          </w:p>
        </w:tc>
        <w:tc>
          <w:tcPr>
            <w:tcW w:w="1170" w:type="dxa"/>
            <w:vMerge w:val="continue"/>
            <w:tcBorders>
              <w:top w:val="single" w:color="auto" w:sz="4" w:space="0"/>
              <w:left w:val="single" w:color="000000" w:sz="4" w:space="0"/>
              <w:bottom w:val="single" w:color="auto" w:sz="4" w:space="0"/>
              <w:right w:val="single" w:color="000000" w:sz="4" w:space="0"/>
            </w:tcBorders>
            <w:noWrap w:val="0"/>
            <w:vAlign w:val="center"/>
          </w:tcPr>
          <w:p w14:paraId="739A07BC">
            <w:pPr>
              <w:widowControl/>
              <w:spacing w:line="360" w:lineRule="auto"/>
              <w:jc w:val="left"/>
              <w:rPr>
                <w:rFonts w:hint="eastAsia" w:ascii="宋体" w:hAnsi="宋体" w:eastAsia="宋体" w:cs="宋体"/>
                <w:color w:val="auto"/>
                <w:highlight w:val="none"/>
              </w:rPr>
            </w:pP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38641630">
            <w:pPr>
              <w:spacing w:line="360" w:lineRule="auto"/>
              <w:rPr>
                <w:rFonts w:hint="eastAsia" w:ascii="宋体" w:hAnsi="宋体" w:eastAsia="宋体" w:cs="宋体"/>
                <w:bCs/>
                <w:color w:val="auto"/>
                <w:highlight w:val="none"/>
              </w:rPr>
            </w:pPr>
            <w:r>
              <w:rPr>
                <w:rFonts w:hint="eastAsia" w:ascii="宋体" w:hAnsi="宋体" w:eastAsia="宋体" w:cs="宋体"/>
                <w:color w:val="auto"/>
                <w:kern w:val="0"/>
                <w:highlight w:val="none"/>
              </w:rPr>
              <w:t>农民工工资保障金缴纳与使用承诺书</w:t>
            </w:r>
          </w:p>
        </w:tc>
        <w:tc>
          <w:tcPr>
            <w:tcW w:w="5011" w:type="dxa"/>
            <w:tcBorders>
              <w:top w:val="single" w:color="000000" w:sz="4" w:space="0"/>
              <w:left w:val="single" w:color="000000" w:sz="4" w:space="0"/>
              <w:bottom w:val="single" w:color="000000" w:sz="4" w:space="0"/>
              <w:right w:val="single" w:color="auto" w:sz="4" w:space="0"/>
            </w:tcBorders>
            <w:noWrap w:val="0"/>
            <w:vAlign w:val="center"/>
          </w:tcPr>
          <w:p w14:paraId="5A0B14A2">
            <w:pPr>
              <w:spacing w:line="360" w:lineRule="auto"/>
              <w:rPr>
                <w:rFonts w:hint="eastAsia" w:ascii="宋体" w:hAnsi="宋体" w:eastAsia="宋体" w:cs="宋体"/>
                <w:bCs/>
                <w:color w:val="auto"/>
                <w:highlight w:val="none"/>
              </w:rPr>
            </w:pPr>
            <w:r>
              <w:rPr>
                <w:rFonts w:hint="eastAsia" w:ascii="宋体" w:hAnsi="宋体" w:eastAsia="宋体" w:cs="宋体"/>
                <w:color w:val="auto"/>
                <w:kern w:val="0"/>
                <w:highlight w:val="none"/>
              </w:rPr>
              <w:t>必须提供</w:t>
            </w:r>
          </w:p>
        </w:tc>
      </w:tr>
      <w:tr w14:paraId="1EBC4CFE">
        <w:tblPrEx>
          <w:tblCellMar>
            <w:top w:w="0" w:type="dxa"/>
            <w:left w:w="108" w:type="dxa"/>
            <w:bottom w:w="0" w:type="dxa"/>
            <w:right w:w="108" w:type="dxa"/>
          </w:tblCellMar>
        </w:tblPrEx>
        <w:trPr>
          <w:trHeight w:val="1039" w:hRule="exact"/>
          <w:jc w:val="center"/>
        </w:trPr>
        <w:tc>
          <w:tcPr>
            <w:tcW w:w="924" w:type="dxa"/>
            <w:vMerge w:val="continue"/>
            <w:tcBorders>
              <w:top w:val="single" w:color="auto" w:sz="4" w:space="0"/>
              <w:left w:val="single" w:color="000000" w:sz="4" w:space="0"/>
              <w:bottom w:val="single" w:color="auto" w:sz="4" w:space="0"/>
              <w:right w:val="single" w:color="000000" w:sz="4" w:space="0"/>
            </w:tcBorders>
            <w:noWrap w:val="0"/>
            <w:vAlign w:val="center"/>
          </w:tcPr>
          <w:p w14:paraId="20D5BB11">
            <w:pPr>
              <w:widowControl/>
              <w:spacing w:line="360" w:lineRule="auto"/>
              <w:jc w:val="left"/>
              <w:rPr>
                <w:rFonts w:hint="eastAsia" w:ascii="宋体" w:hAnsi="宋体" w:eastAsia="宋体" w:cs="宋体"/>
                <w:color w:val="auto"/>
                <w:highlight w:val="none"/>
              </w:rPr>
            </w:pPr>
          </w:p>
        </w:tc>
        <w:tc>
          <w:tcPr>
            <w:tcW w:w="1170" w:type="dxa"/>
            <w:vMerge w:val="continue"/>
            <w:tcBorders>
              <w:top w:val="single" w:color="auto" w:sz="4" w:space="0"/>
              <w:left w:val="single" w:color="000000" w:sz="4" w:space="0"/>
              <w:bottom w:val="single" w:color="auto" w:sz="4" w:space="0"/>
              <w:right w:val="single" w:color="000000" w:sz="4" w:space="0"/>
            </w:tcBorders>
            <w:noWrap w:val="0"/>
            <w:vAlign w:val="center"/>
          </w:tcPr>
          <w:p w14:paraId="0CFD49E6">
            <w:pPr>
              <w:widowControl/>
              <w:spacing w:line="360" w:lineRule="auto"/>
              <w:jc w:val="left"/>
              <w:rPr>
                <w:rFonts w:hint="eastAsia" w:ascii="宋体" w:hAnsi="宋体" w:eastAsia="宋体" w:cs="宋体"/>
                <w:color w:val="auto"/>
                <w:highlight w:val="none"/>
              </w:rPr>
            </w:pPr>
          </w:p>
        </w:tc>
        <w:tc>
          <w:tcPr>
            <w:tcW w:w="2833" w:type="dxa"/>
            <w:tcBorders>
              <w:top w:val="single" w:color="000000" w:sz="4" w:space="0"/>
              <w:left w:val="single" w:color="000000" w:sz="4" w:space="0"/>
              <w:bottom w:val="single" w:color="auto" w:sz="4" w:space="0"/>
              <w:right w:val="single" w:color="000000" w:sz="4" w:space="0"/>
            </w:tcBorders>
            <w:noWrap w:val="0"/>
            <w:vAlign w:val="center"/>
          </w:tcPr>
          <w:p w14:paraId="74508543">
            <w:pPr>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城乡清洁工程渣土清运承诺书</w:t>
            </w:r>
          </w:p>
        </w:tc>
        <w:tc>
          <w:tcPr>
            <w:tcW w:w="5011" w:type="dxa"/>
            <w:tcBorders>
              <w:top w:val="single" w:color="000000" w:sz="4" w:space="0"/>
              <w:left w:val="single" w:color="000000" w:sz="4" w:space="0"/>
              <w:bottom w:val="single" w:color="auto" w:sz="4" w:space="0"/>
              <w:right w:val="single" w:color="auto" w:sz="4" w:space="0"/>
            </w:tcBorders>
            <w:noWrap w:val="0"/>
            <w:vAlign w:val="center"/>
          </w:tcPr>
          <w:p w14:paraId="6632573B">
            <w:pPr>
              <w:snapToGrid w:val="0"/>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必须提供</w:t>
            </w:r>
          </w:p>
        </w:tc>
      </w:tr>
    </w:tbl>
    <w:p w14:paraId="5FA4217C">
      <w:pPr>
        <w:pStyle w:val="2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highlight w:val="none"/>
        </w:rPr>
      </w:pPr>
      <w:r>
        <w:rPr>
          <w:rFonts w:hint="eastAsia" w:ascii="宋体" w:hAnsi="宋体" w:eastAsia="宋体" w:cs="宋体"/>
          <w:b/>
          <w:bCs w:val="0"/>
          <w:color w:val="auto"/>
          <w:sz w:val="24"/>
          <w:szCs w:val="24"/>
          <w:highlight w:val="none"/>
          <w:lang w:eastAsia="zh-CN"/>
        </w:rPr>
        <w:t>详细评审：</w:t>
      </w:r>
    </w:p>
    <w:p w14:paraId="28FB5508">
      <w:pPr>
        <w:pageBreakBefore w:val="0"/>
        <w:widowControl w:val="0"/>
        <w:kinsoku/>
        <w:wordWrap/>
        <w:overflowPunct/>
        <w:topLinePunct w:val="0"/>
        <w:bidi w:val="0"/>
        <w:snapToGrid/>
        <w:spacing w:line="360" w:lineRule="auto"/>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1、价格分…………………………………………………………………………………</w:t>
      </w:r>
      <w:r>
        <w:rPr>
          <w:rFonts w:hint="eastAsia" w:ascii="宋体" w:hAnsi="宋体" w:eastAsia="宋体" w:cs="宋体"/>
          <w:b/>
          <w:bCs w:val="0"/>
          <w:color w:val="auto"/>
          <w:highlight w:val="none"/>
        </w:rPr>
        <w:t>……</w:t>
      </w: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满分30</w:t>
      </w:r>
      <w:r>
        <w:rPr>
          <w:rFonts w:hint="eastAsia" w:ascii="宋体" w:hAnsi="宋体" w:eastAsia="宋体" w:cs="宋体"/>
          <w:b/>
          <w:color w:val="auto"/>
          <w:highlight w:val="none"/>
        </w:rPr>
        <w:t>分</w:t>
      </w:r>
    </w:p>
    <w:p w14:paraId="10D058BA">
      <w:pPr>
        <w:widowControl/>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本项目为专门面向中小企业采购的项目（供应商应为中小微企业、监狱企业、残疾人福利性单位)，不再执行价格评审优惠的扶持政策。即评标价=最终报价。</w:t>
      </w:r>
    </w:p>
    <w:p w14:paraId="447CE092">
      <w:pPr>
        <w:pageBreakBefore w:val="0"/>
        <w:widowControl w:val="0"/>
        <w:kinsoku/>
        <w:wordWrap/>
        <w:overflowPunct/>
        <w:topLinePunct w:val="0"/>
        <w:bidi w:val="0"/>
        <w:snapToGrid/>
        <w:spacing w:line="360" w:lineRule="auto"/>
        <w:ind w:firstLine="210" w:firstLineChars="100"/>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w:t>
      </w:r>
      <w:r>
        <w:rPr>
          <w:rFonts w:hint="eastAsia" w:ascii="宋体" w:hAnsi="宋体" w:eastAsia="宋体" w:cs="宋体"/>
          <w:b w:val="0"/>
          <w:bCs/>
          <w:color w:val="auto"/>
          <w:highlight w:val="none"/>
          <w:lang w:val="en-US" w:eastAsia="zh-CN"/>
        </w:rPr>
        <w:t>2</w:t>
      </w:r>
      <w:r>
        <w:rPr>
          <w:rFonts w:hint="eastAsia" w:ascii="宋体" w:hAnsi="宋体" w:eastAsia="宋体" w:cs="宋体"/>
          <w:b w:val="0"/>
          <w:bCs/>
          <w:color w:val="auto"/>
          <w:highlight w:val="none"/>
        </w:rPr>
        <w:t>）某供应商价格分 = 供应商最低评</w:t>
      </w:r>
      <w:r>
        <w:rPr>
          <w:rFonts w:hint="eastAsia" w:ascii="宋体" w:hAnsi="宋体" w:eastAsia="宋体" w:cs="宋体"/>
          <w:b w:val="0"/>
          <w:bCs/>
          <w:color w:val="auto"/>
          <w:highlight w:val="none"/>
          <w:lang w:eastAsia="zh-CN"/>
        </w:rPr>
        <w:t>审</w:t>
      </w:r>
      <w:r>
        <w:rPr>
          <w:rFonts w:hint="eastAsia" w:ascii="宋体" w:hAnsi="宋体" w:eastAsia="宋体" w:cs="宋体"/>
          <w:b w:val="0"/>
          <w:bCs/>
          <w:color w:val="auto"/>
          <w:highlight w:val="none"/>
        </w:rPr>
        <w:t>报价（金额）/某供应商评</w:t>
      </w:r>
      <w:r>
        <w:rPr>
          <w:rFonts w:hint="eastAsia" w:ascii="宋体" w:hAnsi="宋体" w:eastAsia="宋体" w:cs="宋体"/>
          <w:b w:val="0"/>
          <w:bCs/>
          <w:color w:val="auto"/>
          <w:highlight w:val="none"/>
          <w:lang w:eastAsia="zh-CN"/>
        </w:rPr>
        <w:t>审</w:t>
      </w:r>
      <w:r>
        <w:rPr>
          <w:rFonts w:hint="eastAsia" w:ascii="宋体" w:hAnsi="宋体" w:eastAsia="宋体" w:cs="宋体"/>
          <w:b w:val="0"/>
          <w:bCs/>
          <w:color w:val="auto"/>
          <w:highlight w:val="none"/>
        </w:rPr>
        <w:t>报价（金额）×</w:t>
      </w:r>
      <w:r>
        <w:rPr>
          <w:rFonts w:hint="eastAsia" w:ascii="宋体" w:hAnsi="宋体" w:eastAsia="宋体" w:cs="宋体"/>
          <w:b w:val="0"/>
          <w:bCs/>
          <w:color w:val="auto"/>
          <w:highlight w:val="none"/>
          <w:lang w:val="en-US" w:eastAsia="zh-CN"/>
        </w:rPr>
        <w:t>30</w:t>
      </w:r>
      <w:r>
        <w:rPr>
          <w:rFonts w:hint="eastAsia" w:ascii="宋体" w:hAnsi="宋体" w:eastAsia="宋体" w:cs="宋体"/>
          <w:b w:val="0"/>
          <w:bCs/>
          <w:color w:val="auto"/>
          <w:highlight w:val="none"/>
        </w:rPr>
        <w:t>分。</w:t>
      </w:r>
    </w:p>
    <w:p w14:paraId="291F3B97">
      <w:pPr>
        <w:pageBreakBefore w:val="0"/>
        <w:widowControl w:val="0"/>
        <w:kinsoku/>
        <w:wordWrap/>
        <w:overflowPunct/>
        <w:topLinePunct w:val="0"/>
        <w:bidi w:val="0"/>
        <w:snapToGrid/>
        <w:spacing w:line="360" w:lineRule="auto"/>
        <w:ind w:firstLine="211" w:firstLineChars="1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技术分</w:t>
      </w:r>
      <w:r>
        <w:rPr>
          <w:rFonts w:hint="eastAsia" w:ascii="宋体" w:hAnsi="宋体" w:eastAsia="宋体" w:cs="宋体"/>
          <w:b/>
          <w:color w:val="auto"/>
          <w:highlight w:val="none"/>
        </w:rPr>
        <w:t>……………………………</w:t>
      </w:r>
      <w:r>
        <w:rPr>
          <w:rFonts w:hint="eastAsia" w:ascii="宋体" w:hAnsi="宋体" w:eastAsia="宋体" w:cs="宋体"/>
          <w:b/>
          <w:bCs/>
          <w:color w:val="auto"/>
          <w:sz w:val="21"/>
          <w:szCs w:val="21"/>
          <w:highlight w:val="none"/>
        </w:rPr>
        <w:t>…………………………</w:t>
      </w:r>
      <w:r>
        <w:rPr>
          <w:rFonts w:hint="eastAsia" w:ascii="宋体" w:hAnsi="宋体" w:eastAsia="宋体" w:cs="宋体"/>
          <w:b/>
          <w:color w:val="auto"/>
          <w:highlight w:val="none"/>
        </w:rPr>
        <w:t>……………………………</w:t>
      </w:r>
      <w:r>
        <w:rPr>
          <w:rFonts w:hint="eastAsia" w:ascii="宋体" w:hAnsi="宋体" w:eastAsia="宋体" w:cs="宋体"/>
          <w:b/>
          <w:bCs w:val="0"/>
          <w:color w:val="auto"/>
          <w:highlight w:val="none"/>
        </w:rPr>
        <w:t>…</w:t>
      </w: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满分60</w:t>
      </w:r>
      <w:r>
        <w:rPr>
          <w:rFonts w:hint="eastAsia" w:ascii="宋体" w:hAnsi="宋体" w:eastAsia="宋体" w:cs="宋体"/>
          <w:b/>
          <w:color w:val="auto"/>
          <w:highlight w:val="none"/>
        </w:rPr>
        <w:t>分</w:t>
      </w:r>
    </w:p>
    <w:p w14:paraId="36D8228C">
      <w:pPr>
        <w:pStyle w:val="22"/>
        <w:pageBreakBefore w:val="0"/>
        <w:widowControl w:val="0"/>
        <w:tabs>
          <w:tab w:val="left" w:leader="middleDot" w:pos="8820"/>
        </w:tabs>
        <w:kinsoku/>
        <w:wordWrap/>
        <w:overflowPunct/>
        <w:topLinePunct w:val="0"/>
        <w:bidi w:val="0"/>
        <w:snapToGrid/>
        <w:spacing w:line="360" w:lineRule="auto"/>
        <w:ind w:firstLine="211" w:firstLineChars="100"/>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highlight w:val="none"/>
        </w:rPr>
        <w:t>（1）</w:t>
      </w:r>
      <w:r>
        <w:rPr>
          <w:rFonts w:hint="eastAsia" w:ascii="宋体" w:hAnsi="宋体" w:eastAsia="宋体" w:cs="宋体"/>
          <w:b/>
          <w:bCs w:val="0"/>
          <w:color w:val="auto"/>
          <w:szCs w:val="21"/>
          <w:highlight w:val="none"/>
        </w:rPr>
        <w:t>总体概述</w:t>
      </w:r>
      <w:r>
        <w:rPr>
          <w:rFonts w:hint="eastAsia" w:ascii="宋体" w:hAnsi="宋体" w:eastAsia="宋体" w:cs="宋体"/>
          <w:b/>
          <w:bCs w:val="0"/>
          <w:color w:val="auto"/>
          <w:highlight w:val="none"/>
        </w:rPr>
        <w:t>……………………………………………</w:t>
      </w:r>
      <w:r>
        <w:rPr>
          <w:rFonts w:hint="eastAsia" w:ascii="宋体" w:hAnsi="宋体" w:eastAsia="宋体" w:cs="宋体"/>
          <w:b/>
          <w:color w:val="auto"/>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highlight w:val="none"/>
          <w:lang w:val="en-US" w:eastAsia="zh-CN"/>
        </w:rPr>
        <w:t>9</w:t>
      </w:r>
      <w:r>
        <w:rPr>
          <w:rFonts w:hint="eastAsia" w:ascii="宋体" w:hAnsi="宋体" w:eastAsia="宋体" w:cs="宋体"/>
          <w:b/>
          <w:bCs w:val="0"/>
          <w:color w:val="auto"/>
          <w:szCs w:val="21"/>
          <w:highlight w:val="none"/>
        </w:rPr>
        <w:t>分</w:t>
      </w:r>
    </w:p>
    <w:p w14:paraId="25275A18">
      <w:pPr>
        <w:pStyle w:val="22"/>
        <w:pageBreakBefore w:val="0"/>
        <w:widowControl w:val="0"/>
        <w:kinsoku/>
        <w:wordWrap/>
        <w:overflowPunct/>
        <w:topLinePunct w:val="0"/>
        <w:bidi w:val="0"/>
        <w:snapToGrid/>
        <w:spacing w:line="360" w:lineRule="auto"/>
        <w:ind w:firstLine="535" w:firstLineChars="255"/>
        <w:textAlignment w:val="auto"/>
        <w:rPr>
          <w:rFonts w:hint="eastAsia" w:ascii="宋体" w:hAnsi="宋体" w:eastAsia="宋体" w:cs="宋体"/>
          <w:b w:val="0"/>
          <w:bCs/>
          <w:color w:val="auto"/>
          <w:kern w:val="0"/>
          <w:szCs w:val="21"/>
          <w:highlight w:val="none"/>
          <w:lang w:eastAsia="zh-CN"/>
        </w:rPr>
      </w:pPr>
      <w:r>
        <w:rPr>
          <w:rFonts w:hint="eastAsia" w:ascii="宋体" w:hAnsi="宋体" w:eastAsia="宋体" w:cs="宋体"/>
          <w:b w:val="0"/>
          <w:bCs/>
          <w:color w:val="auto"/>
          <w:kern w:val="0"/>
          <w:szCs w:val="21"/>
          <w:highlight w:val="none"/>
        </w:rPr>
        <w:t>优</w:t>
      </w:r>
      <w:r>
        <w:rPr>
          <w:rFonts w:hint="eastAsia" w:ascii="宋体" w:hAnsi="宋体" w:eastAsia="宋体" w:cs="宋体"/>
          <w:b w:val="0"/>
          <w:bCs/>
          <w:color w:val="auto"/>
          <w:kern w:val="0"/>
          <w:szCs w:val="21"/>
          <w:highlight w:val="none"/>
          <w:lang w:eastAsia="zh-CN"/>
        </w:rPr>
        <w:t>（</w:t>
      </w:r>
      <w:r>
        <w:rPr>
          <w:rFonts w:hint="eastAsia" w:ascii="宋体" w:hAnsi="宋体" w:eastAsia="宋体" w:cs="宋体"/>
          <w:b w:val="0"/>
          <w:bCs/>
          <w:color w:val="auto"/>
          <w:kern w:val="0"/>
          <w:szCs w:val="21"/>
          <w:highlight w:val="none"/>
          <w:lang w:val="en-US" w:eastAsia="zh-CN"/>
        </w:rPr>
        <w:t>9分</w:t>
      </w:r>
      <w:r>
        <w:rPr>
          <w:rFonts w:hint="eastAsia" w:ascii="宋体" w:hAnsi="宋体" w:eastAsia="宋体" w:cs="宋体"/>
          <w:b w:val="0"/>
          <w:bCs/>
          <w:color w:val="auto"/>
          <w:kern w:val="0"/>
          <w:szCs w:val="21"/>
          <w:highlight w:val="none"/>
          <w:lang w:eastAsia="zh-CN"/>
        </w:rPr>
        <w:t>）</w:t>
      </w:r>
      <w:r>
        <w:rPr>
          <w:rFonts w:hint="eastAsia" w:ascii="宋体" w:hAnsi="宋体" w:eastAsia="宋体" w:cs="宋体"/>
          <w:b w:val="0"/>
          <w:bCs/>
          <w:color w:val="auto"/>
          <w:kern w:val="0"/>
          <w:szCs w:val="21"/>
          <w:highlight w:val="none"/>
        </w:rPr>
        <w:t>：对项目总体有深刻认识，表达清晰、完整、严谨、合理，措施先进、具体、有效、成熟；施工段划分清晰、合理，符合规范要求</w:t>
      </w:r>
      <w:r>
        <w:rPr>
          <w:rFonts w:hint="eastAsia" w:ascii="宋体" w:hAnsi="宋体" w:eastAsia="宋体" w:cs="宋体"/>
          <w:b w:val="0"/>
          <w:bCs/>
          <w:color w:val="auto"/>
          <w:kern w:val="0"/>
          <w:szCs w:val="21"/>
          <w:highlight w:val="none"/>
          <w:lang w:eastAsia="zh-CN"/>
        </w:rPr>
        <w:t>；</w:t>
      </w:r>
    </w:p>
    <w:p w14:paraId="1C10550C">
      <w:pPr>
        <w:pStyle w:val="22"/>
        <w:pageBreakBefore w:val="0"/>
        <w:widowControl w:val="0"/>
        <w:kinsoku/>
        <w:wordWrap/>
        <w:overflowPunct/>
        <w:topLinePunct w:val="0"/>
        <w:bidi w:val="0"/>
        <w:snapToGrid/>
        <w:spacing w:line="360" w:lineRule="auto"/>
        <w:ind w:firstLine="535" w:firstLineChars="255"/>
        <w:textAlignment w:val="auto"/>
        <w:rPr>
          <w:rFonts w:hint="eastAsia" w:ascii="宋体" w:hAnsi="宋体" w:eastAsia="宋体" w:cs="宋体"/>
          <w:b w:val="0"/>
          <w:bCs/>
          <w:color w:val="auto"/>
          <w:kern w:val="0"/>
          <w:szCs w:val="21"/>
          <w:highlight w:val="none"/>
          <w:lang w:eastAsia="zh-CN"/>
        </w:rPr>
      </w:pPr>
      <w:r>
        <w:rPr>
          <w:rFonts w:hint="eastAsia" w:ascii="宋体" w:hAnsi="宋体" w:eastAsia="宋体" w:cs="宋体"/>
          <w:b w:val="0"/>
          <w:bCs/>
          <w:color w:val="auto"/>
          <w:kern w:val="0"/>
          <w:szCs w:val="21"/>
          <w:highlight w:val="none"/>
        </w:rPr>
        <w:t>良</w:t>
      </w:r>
      <w:r>
        <w:rPr>
          <w:rFonts w:hint="eastAsia" w:ascii="宋体" w:hAnsi="宋体" w:eastAsia="宋体" w:cs="宋体"/>
          <w:b w:val="0"/>
          <w:bCs/>
          <w:color w:val="auto"/>
          <w:kern w:val="0"/>
          <w:szCs w:val="21"/>
          <w:highlight w:val="none"/>
          <w:lang w:eastAsia="zh-CN"/>
        </w:rPr>
        <w:t>（</w:t>
      </w:r>
      <w:r>
        <w:rPr>
          <w:rFonts w:hint="eastAsia" w:ascii="宋体" w:hAnsi="宋体" w:eastAsia="宋体" w:cs="宋体"/>
          <w:b w:val="0"/>
          <w:bCs/>
          <w:color w:val="auto"/>
          <w:kern w:val="0"/>
          <w:szCs w:val="21"/>
          <w:highlight w:val="none"/>
          <w:lang w:val="en-US" w:eastAsia="zh-CN"/>
        </w:rPr>
        <w:t>6分</w:t>
      </w:r>
      <w:r>
        <w:rPr>
          <w:rFonts w:hint="eastAsia" w:ascii="宋体" w:hAnsi="宋体" w:eastAsia="宋体" w:cs="宋体"/>
          <w:b w:val="0"/>
          <w:bCs/>
          <w:color w:val="auto"/>
          <w:kern w:val="0"/>
          <w:szCs w:val="21"/>
          <w:highlight w:val="none"/>
          <w:lang w:eastAsia="zh-CN"/>
        </w:rPr>
        <w:t>）</w:t>
      </w:r>
      <w:r>
        <w:rPr>
          <w:rFonts w:hint="eastAsia" w:ascii="宋体" w:hAnsi="宋体" w:eastAsia="宋体" w:cs="宋体"/>
          <w:b w:val="0"/>
          <w:bCs/>
          <w:color w:val="auto"/>
          <w:kern w:val="0"/>
          <w:szCs w:val="21"/>
          <w:highlight w:val="none"/>
        </w:rPr>
        <w:t>：对项目总体有一定认识，表达清晰、完整，措施具体有效；施工段划分清晰，符合规范要求</w:t>
      </w:r>
      <w:r>
        <w:rPr>
          <w:rFonts w:hint="eastAsia" w:ascii="宋体" w:hAnsi="宋体" w:eastAsia="宋体" w:cs="宋体"/>
          <w:b w:val="0"/>
          <w:bCs/>
          <w:color w:val="auto"/>
          <w:kern w:val="0"/>
          <w:szCs w:val="21"/>
          <w:highlight w:val="none"/>
          <w:lang w:eastAsia="zh-CN"/>
        </w:rPr>
        <w:t>；</w:t>
      </w:r>
    </w:p>
    <w:p w14:paraId="566162B1">
      <w:pPr>
        <w:pStyle w:val="22"/>
        <w:pageBreakBefore w:val="0"/>
        <w:widowControl w:val="0"/>
        <w:kinsoku/>
        <w:wordWrap/>
        <w:overflowPunct/>
        <w:topLinePunct w:val="0"/>
        <w:bidi w:val="0"/>
        <w:snapToGrid/>
        <w:spacing w:line="360" w:lineRule="auto"/>
        <w:ind w:firstLine="535" w:firstLineChars="255"/>
        <w:textAlignment w:val="auto"/>
        <w:rPr>
          <w:rFonts w:hint="eastAsia" w:ascii="宋体" w:hAnsi="宋体" w:eastAsia="宋体" w:cs="宋体"/>
          <w:b w:val="0"/>
          <w:bCs/>
          <w:color w:val="auto"/>
          <w:kern w:val="0"/>
          <w:szCs w:val="21"/>
          <w:highlight w:val="none"/>
          <w:lang w:eastAsia="zh-CN"/>
        </w:rPr>
      </w:pPr>
      <w:r>
        <w:rPr>
          <w:rFonts w:hint="eastAsia" w:ascii="宋体" w:hAnsi="宋体" w:eastAsia="宋体" w:cs="宋体"/>
          <w:b w:val="0"/>
          <w:bCs/>
          <w:color w:val="auto"/>
          <w:kern w:val="0"/>
          <w:szCs w:val="21"/>
          <w:highlight w:val="none"/>
        </w:rPr>
        <w:t>中</w:t>
      </w:r>
      <w:r>
        <w:rPr>
          <w:rFonts w:hint="eastAsia" w:ascii="宋体" w:hAnsi="宋体" w:eastAsia="宋体" w:cs="宋体"/>
          <w:b w:val="0"/>
          <w:bCs/>
          <w:color w:val="auto"/>
          <w:kern w:val="0"/>
          <w:szCs w:val="21"/>
          <w:highlight w:val="none"/>
          <w:lang w:eastAsia="zh-CN"/>
        </w:rPr>
        <w:t>（</w:t>
      </w:r>
      <w:r>
        <w:rPr>
          <w:rFonts w:hint="eastAsia" w:ascii="宋体" w:hAnsi="宋体" w:eastAsia="宋体" w:cs="宋体"/>
          <w:b w:val="0"/>
          <w:bCs/>
          <w:color w:val="auto"/>
          <w:kern w:val="0"/>
          <w:szCs w:val="21"/>
          <w:highlight w:val="none"/>
          <w:lang w:val="en-US" w:eastAsia="zh-CN"/>
        </w:rPr>
        <w:t>3分</w:t>
      </w:r>
      <w:r>
        <w:rPr>
          <w:rFonts w:hint="eastAsia" w:ascii="宋体" w:hAnsi="宋体" w:eastAsia="宋体" w:cs="宋体"/>
          <w:b w:val="0"/>
          <w:bCs/>
          <w:color w:val="auto"/>
          <w:kern w:val="0"/>
          <w:szCs w:val="21"/>
          <w:highlight w:val="none"/>
          <w:lang w:eastAsia="zh-CN"/>
        </w:rPr>
        <w:t>）</w:t>
      </w:r>
      <w:r>
        <w:rPr>
          <w:rFonts w:hint="eastAsia" w:ascii="宋体" w:hAnsi="宋体" w:eastAsia="宋体" w:cs="宋体"/>
          <w:b w:val="0"/>
          <w:bCs/>
          <w:color w:val="auto"/>
          <w:kern w:val="0"/>
          <w:szCs w:val="21"/>
          <w:highlight w:val="none"/>
        </w:rPr>
        <w:t>：对项目总体有认识，有一定的措施但部分不具体；施工段划分较合理，符合规范要求</w:t>
      </w:r>
      <w:r>
        <w:rPr>
          <w:rFonts w:hint="eastAsia" w:ascii="宋体" w:hAnsi="宋体" w:eastAsia="宋体" w:cs="宋体"/>
          <w:b w:val="0"/>
          <w:bCs/>
          <w:color w:val="auto"/>
          <w:kern w:val="0"/>
          <w:szCs w:val="21"/>
          <w:highlight w:val="none"/>
          <w:lang w:eastAsia="zh-CN"/>
        </w:rPr>
        <w:t>；</w:t>
      </w:r>
    </w:p>
    <w:p w14:paraId="17EA9779">
      <w:pPr>
        <w:pStyle w:val="22"/>
        <w:pageBreakBefore w:val="0"/>
        <w:widowControl w:val="0"/>
        <w:kinsoku/>
        <w:wordWrap/>
        <w:overflowPunct/>
        <w:topLinePunct w:val="0"/>
        <w:bidi w:val="0"/>
        <w:snapToGrid/>
        <w:spacing w:line="360" w:lineRule="auto"/>
        <w:ind w:firstLine="535" w:firstLineChars="255"/>
        <w:textAlignment w:val="auto"/>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rPr>
        <w:t>差</w:t>
      </w:r>
      <w:r>
        <w:rPr>
          <w:rFonts w:hint="eastAsia" w:ascii="宋体" w:hAnsi="宋体" w:eastAsia="宋体" w:cs="宋体"/>
          <w:b w:val="0"/>
          <w:bCs/>
          <w:color w:val="auto"/>
          <w:kern w:val="0"/>
          <w:szCs w:val="21"/>
          <w:highlight w:val="none"/>
          <w:lang w:eastAsia="zh-CN"/>
        </w:rPr>
        <w:t>（</w:t>
      </w:r>
      <w:r>
        <w:rPr>
          <w:rFonts w:hint="eastAsia" w:ascii="宋体" w:hAnsi="宋体" w:eastAsia="宋体" w:cs="宋体"/>
          <w:b w:val="0"/>
          <w:bCs/>
          <w:color w:val="auto"/>
          <w:kern w:val="0"/>
          <w:szCs w:val="21"/>
          <w:highlight w:val="none"/>
          <w:lang w:val="en-US" w:eastAsia="zh-CN"/>
        </w:rPr>
        <w:t>0分</w:t>
      </w:r>
      <w:r>
        <w:rPr>
          <w:rFonts w:hint="eastAsia" w:ascii="宋体" w:hAnsi="宋体" w:eastAsia="宋体" w:cs="宋体"/>
          <w:b w:val="0"/>
          <w:bCs/>
          <w:color w:val="auto"/>
          <w:kern w:val="0"/>
          <w:szCs w:val="21"/>
          <w:highlight w:val="none"/>
          <w:lang w:eastAsia="zh-CN"/>
        </w:rPr>
        <w:t>）</w:t>
      </w:r>
      <w:r>
        <w:rPr>
          <w:rFonts w:hint="eastAsia" w:ascii="宋体" w:hAnsi="宋体" w:eastAsia="宋体" w:cs="宋体"/>
          <w:b w:val="0"/>
          <w:bCs/>
          <w:color w:val="auto"/>
          <w:kern w:val="0"/>
          <w:szCs w:val="21"/>
          <w:highlight w:val="none"/>
        </w:rPr>
        <w:t>：对项目认识不足，表达不清晰，措施不具体；施工段划分不合理。</w:t>
      </w:r>
    </w:p>
    <w:p w14:paraId="0B090DA9">
      <w:pPr>
        <w:pStyle w:val="22"/>
        <w:pageBreakBefore w:val="0"/>
        <w:widowControl w:val="0"/>
        <w:kinsoku/>
        <w:wordWrap/>
        <w:overflowPunct/>
        <w:topLinePunct w:val="0"/>
        <w:bidi w:val="0"/>
        <w:snapToGrid/>
        <w:spacing w:line="360" w:lineRule="auto"/>
        <w:ind w:firstLine="211" w:firstLineChars="100"/>
        <w:textAlignment w:val="auto"/>
        <w:rPr>
          <w:rFonts w:hint="eastAsia" w:ascii="宋体" w:hAnsi="宋体" w:eastAsia="宋体" w:cs="宋体"/>
          <w:b/>
          <w:bCs w:val="0"/>
          <w:color w:val="auto"/>
          <w:highlight w:val="none"/>
        </w:rPr>
      </w:pPr>
      <w:r>
        <w:rPr>
          <w:rFonts w:hint="eastAsia" w:ascii="宋体" w:hAnsi="宋体" w:eastAsia="宋体" w:cs="宋体"/>
          <w:b/>
          <w:bCs w:val="0"/>
          <w:color w:val="auto"/>
          <w:highlight w:val="none"/>
        </w:rPr>
        <w:t>（2）主要施工方法…………</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color w:val="auto"/>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highlight w:val="none"/>
          <w:lang w:val="en-US" w:eastAsia="zh-CN"/>
        </w:rPr>
        <w:t>12</w:t>
      </w:r>
      <w:r>
        <w:rPr>
          <w:rFonts w:hint="eastAsia" w:ascii="宋体" w:hAnsi="宋体" w:eastAsia="宋体" w:cs="宋体"/>
          <w:b/>
          <w:bCs w:val="0"/>
          <w:color w:val="auto"/>
          <w:szCs w:val="21"/>
          <w:highlight w:val="none"/>
        </w:rPr>
        <w:t>分</w:t>
      </w:r>
    </w:p>
    <w:p w14:paraId="621C604C">
      <w:pPr>
        <w:pStyle w:val="22"/>
        <w:pageBreakBefore w:val="0"/>
        <w:widowControl w:val="0"/>
        <w:kinsoku/>
        <w:wordWrap/>
        <w:overflowPunct/>
        <w:topLinePunct w:val="0"/>
        <w:bidi w:val="0"/>
        <w:snapToGrid/>
        <w:spacing w:line="360" w:lineRule="auto"/>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优</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12</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：各主要分部施工方法符合项目实际，有详尽的施工技术方案，工艺先进、方法科学合理、可行，能指导具体施工并确保安全；</w:t>
      </w:r>
    </w:p>
    <w:p w14:paraId="03444985">
      <w:pPr>
        <w:pStyle w:val="22"/>
        <w:pageBreakBefore w:val="0"/>
        <w:widowControl w:val="0"/>
        <w:kinsoku/>
        <w:wordWrap/>
        <w:overflowPunct/>
        <w:topLinePunct w:val="0"/>
        <w:bidi w:val="0"/>
        <w:snapToGrid/>
        <w:spacing w:line="360" w:lineRule="auto"/>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良</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8</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：各主要分部施工方法符合项目实际，有较详尽的施工技术方案，工艺较好、方法科学合理、可行，能指导具体施工并确保安全；</w:t>
      </w:r>
    </w:p>
    <w:p w14:paraId="263A2851">
      <w:pPr>
        <w:pStyle w:val="22"/>
        <w:pageBreakBefore w:val="0"/>
        <w:widowControl w:val="0"/>
        <w:kinsoku/>
        <w:wordWrap/>
        <w:overflowPunct/>
        <w:topLinePunct w:val="0"/>
        <w:bidi w:val="0"/>
        <w:snapToGrid/>
        <w:spacing w:line="360" w:lineRule="auto"/>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中</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：各主要分部施工方法能满足项目需求，有施工技术方案，能指导具体施工并确保安全；</w:t>
      </w:r>
    </w:p>
    <w:p w14:paraId="168083BF">
      <w:pPr>
        <w:pStyle w:val="22"/>
        <w:pageBreakBefore w:val="0"/>
        <w:widowControl w:val="0"/>
        <w:kinsoku/>
        <w:wordWrap/>
        <w:overflowPunct/>
        <w:topLinePunct w:val="0"/>
        <w:bidi w:val="0"/>
        <w:snapToGrid/>
        <w:spacing w:line="360" w:lineRule="auto"/>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差</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0</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：各主要分部施工方法不能满足项目需求，没有施工技术方案，不能指导具体施工并确保安全。</w:t>
      </w:r>
    </w:p>
    <w:p w14:paraId="6C404D78">
      <w:pPr>
        <w:pStyle w:val="22"/>
        <w:pageBreakBefore w:val="0"/>
        <w:widowControl w:val="0"/>
        <w:kinsoku/>
        <w:wordWrap/>
        <w:overflowPunct/>
        <w:topLinePunct w:val="0"/>
        <w:bidi w:val="0"/>
        <w:snapToGrid/>
        <w:spacing w:line="360" w:lineRule="auto"/>
        <w:ind w:firstLine="211" w:firstLineChars="100"/>
        <w:textAlignment w:val="auto"/>
        <w:rPr>
          <w:rFonts w:hint="eastAsia" w:ascii="宋体" w:hAnsi="宋体" w:eastAsia="宋体" w:cs="宋体"/>
          <w:b/>
          <w:bCs w:val="0"/>
          <w:color w:val="auto"/>
          <w:highlight w:val="none"/>
        </w:rPr>
      </w:pPr>
      <w:r>
        <w:rPr>
          <w:rFonts w:hint="eastAsia" w:ascii="宋体" w:hAnsi="宋体" w:eastAsia="宋体" w:cs="宋体"/>
          <w:b/>
          <w:bCs w:val="0"/>
          <w:color w:val="auto"/>
          <w:szCs w:val="21"/>
          <w:highlight w:val="none"/>
        </w:rPr>
        <w:t>（3）施工进度计划和各阶段进度的保证措施</w:t>
      </w:r>
      <w:r>
        <w:rPr>
          <w:rFonts w:hint="eastAsia" w:ascii="宋体" w:hAnsi="宋体" w:eastAsia="宋体" w:cs="宋体"/>
          <w:b/>
          <w:bCs w:val="0"/>
          <w:color w:val="auto"/>
          <w:highlight w:val="none"/>
        </w:rPr>
        <w:t>……</w:t>
      </w:r>
      <w:r>
        <w:rPr>
          <w:rFonts w:hint="eastAsia" w:ascii="宋体" w:hAnsi="宋体" w:eastAsia="宋体" w:cs="宋体"/>
          <w:b/>
          <w:color w:val="auto"/>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highlight w:val="none"/>
          <w:lang w:val="en-US" w:eastAsia="zh-CN"/>
        </w:rPr>
        <w:t>9</w:t>
      </w:r>
      <w:r>
        <w:rPr>
          <w:rFonts w:hint="eastAsia" w:ascii="宋体" w:hAnsi="宋体" w:eastAsia="宋体" w:cs="宋体"/>
          <w:b/>
          <w:bCs w:val="0"/>
          <w:color w:val="auto"/>
          <w:szCs w:val="21"/>
          <w:highlight w:val="none"/>
        </w:rPr>
        <w:t>分</w:t>
      </w:r>
    </w:p>
    <w:p w14:paraId="571B8047">
      <w:pPr>
        <w:pStyle w:val="22"/>
        <w:pageBreakBefore w:val="0"/>
        <w:widowControl w:val="0"/>
        <w:kinsoku/>
        <w:wordWrap/>
        <w:overflowPunct/>
        <w:topLinePunct w:val="0"/>
        <w:bidi w:val="0"/>
        <w:snapToGrid/>
        <w:spacing w:line="360" w:lineRule="auto"/>
        <w:ind w:firstLine="535" w:firstLineChars="255"/>
        <w:textAlignment w:val="auto"/>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优</w:t>
      </w:r>
      <w:r>
        <w:rPr>
          <w:rFonts w:hint="eastAsia" w:ascii="宋体" w:hAnsi="宋体" w:eastAsia="宋体" w:cs="宋体"/>
          <w:b w:val="0"/>
          <w:bCs/>
          <w:color w:val="auto"/>
          <w:kern w:val="0"/>
          <w:szCs w:val="21"/>
          <w:highlight w:val="none"/>
          <w:lang w:eastAsia="zh-CN"/>
        </w:rPr>
        <w:t>（</w:t>
      </w:r>
      <w:r>
        <w:rPr>
          <w:rFonts w:hint="eastAsia" w:ascii="宋体" w:hAnsi="宋体" w:eastAsia="宋体" w:cs="宋体"/>
          <w:b w:val="0"/>
          <w:bCs/>
          <w:color w:val="auto"/>
          <w:kern w:val="0"/>
          <w:szCs w:val="21"/>
          <w:highlight w:val="none"/>
          <w:lang w:val="en-US" w:eastAsia="zh-CN"/>
        </w:rPr>
        <w:t>9分</w:t>
      </w:r>
      <w:r>
        <w:rPr>
          <w:rFonts w:hint="eastAsia" w:ascii="宋体" w:hAnsi="宋体" w:eastAsia="宋体" w:cs="宋体"/>
          <w:b w:val="0"/>
          <w:bCs/>
          <w:color w:val="auto"/>
          <w:kern w:val="0"/>
          <w:szCs w:val="21"/>
          <w:highlight w:val="none"/>
          <w:lang w:eastAsia="zh-CN"/>
        </w:rPr>
        <w:t>）</w:t>
      </w:r>
      <w:r>
        <w:rPr>
          <w:rFonts w:hint="eastAsia" w:ascii="宋体" w:hAnsi="宋体" w:eastAsia="宋体" w:cs="宋体"/>
          <w:b w:val="0"/>
          <w:bCs/>
          <w:color w:val="auto"/>
          <w:szCs w:val="21"/>
          <w:highlight w:val="none"/>
        </w:rPr>
        <w:t>：关键线路清晰、准确、完整，计划编制合理、可行，关键节点的控制措施有力、合理、可行</w:t>
      </w:r>
      <w:r>
        <w:rPr>
          <w:rFonts w:hint="eastAsia" w:ascii="宋体" w:hAnsi="宋体" w:eastAsia="宋体" w:cs="宋体"/>
          <w:b w:val="0"/>
          <w:bCs/>
          <w:color w:val="auto"/>
          <w:szCs w:val="21"/>
          <w:highlight w:val="none"/>
          <w:lang w:eastAsia="zh-CN"/>
        </w:rPr>
        <w:t>；</w:t>
      </w:r>
    </w:p>
    <w:p w14:paraId="7FA95E13">
      <w:pPr>
        <w:pStyle w:val="22"/>
        <w:pageBreakBefore w:val="0"/>
        <w:widowControl w:val="0"/>
        <w:kinsoku/>
        <w:wordWrap/>
        <w:overflowPunct/>
        <w:topLinePunct w:val="0"/>
        <w:bidi w:val="0"/>
        <w:snapToGrid/>
        <w:spacing w:line="360" w:lineRule="auto"/>
        <w:ind w:firstLine="535" w:firstLineChars="255"/>
        <w:textAlignment w:val="auto"/>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良</w:t>
      </w:r>
      <w:r>
        <w:rPr>
          <w:rFonts w:hint="eastAsia" w:ascii="宋体" w:hAnsi="宋体" w:eastAsia="宋体" w:cs="宋体"/>
          <w:b w:val="0"/>
          <w:bCs/>
          <w:color w:val="auto"/>
          <w:kern w:val="0"/>
          <w:szCs w:val="21"/>
          <w:highlight w:val="none"/>
          <w:lang w:eastAsia="zh-CN"/>
        </w:rPr>
        <w:t>（</w:t>
      </w:r>
      <w:r>
        <w:rPr>
          <w:rFonts w:hint="eastAsia" w:ascii="宋体" w:hAnsi="宋体" w:eastAsia="宋体" w:cs="宋体"/>
          <w:b w:val="0"/>
          <w:bCs/>
          <w:color w:val="auto"/>
          <w:kern w:val="0"/>
          <w:szCs w:val="21"/>
          <w:highlight w:val="none"/>
          <w:lang w:val="en-US" w:eastAsia="zh-CN"/>
        </w:rPr>
        <w:t>6分</w:t>
      </w:r>
      <w:r>
        <w:rPr>
          <w:rFonts w:hint="eastAsia" w:ascii="宋体" w:hAnsi="宋体" w:eastAsia="宋体" w:cs="宋体"/>
          <w:b w:val="0"/>
          <w:bCs/>
          <w:color w:val="auto"/>
          <w:kern w:val="0"/>
          <w:szCs w:val="21"/>
          <w:highlight w:val="none"/>
          <w:lang w:eastAsia="zh-CN"/>
        </w:rPr>
        <w:t>）</w:t>
      </w:r>
      <w:r>
        <w:rPr>
          <w:rFonts w:hint="eastAsia" w:ascii="宋体" w:hAnsi="宋体" w:eastAsia="宋体" w:cs="宋体"/>
          <w:b w:val="0"/>
          <w:bCs/>
          <w:color w:val="auto"/>
          <w:szCs w:val="21"/>
          <w:highlight w:val="none"/>
        </w:rPr>
        <w:t>：关键线路清晰、准确、完整，计划编制可行，关键节点的控制措施合理、可行</w:t>
      </w:r>
      <w:r>
        <w:rPr>
          <w:rFonts w:hint="eastAsia" w:ascii="宋体" w:hAnsi="宋体" w:eastAsia="宋体" w:cs="宋体"/>
          <w:b w:val="0"/>
          <w:bCs/>
          <w:color w:val="auto"/>
          <w:szCs w:val="21"/>
          <w:highlight w:val="none"/>
          <w:lang w:eastAsia="zh-CN"/>
        </w:rPr>
        <w:t>；</w:t>
      </w:r>
    </w:p>
    <w:p w14:paraId="0732191D">
      <w:pPr>
        <w:pStyle w:val="22"/>
        <w:pageBreakBefore w:val="0"/>
        <w:widowControl w:val="0"/>
        <w:kinsoku/>
        <w:wordWrap/>
        <w:overflowPunct/>
        <w:topLinePunct w:val="0"/>
        <w:bidi w:val="0"/>
        <w:snapToGrid/>
        <w:spacing w:line="360" w:lineRule="auto"/>
        <w:ind w:firstLine="535" w:firstLineChars="255"/>
        <w:textAlignment w:val="auto"/>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中</w:t>
      </w:r>
      <w:r>
        <w:rPr>
          <w:rFonts w:hint="eastAsia" w:ascii="宋体" w:hAnsi="宋体" w:eastAsia="宋体" w:cs="宋体"/>
          <w:b w:val="0"/>
          <w:bCs/>
          <w:color w:val="auto"/>
          <w:kern w:val="0"/>
          <w:szCs w:val="21"/>
          <w:highlight w:val="none"/>
          <w:lang w:eastAsia="zh-CN"/>
        </w:rPr>
        <w:t>（</w:t>
      </w:r>
      <w:r>
        <w:rPr>
          <w:rFonts w:hint="eastAsia" w:ascii="宋体" w:hAnsi="宋体" w:eastAsia="宋体" w:cs="宋体"/>
          <w:b w:val="0"/>
          <w:bCs/>
          <w:color w:val="auto"/>
          <w:kern w:val="0"/>
          <w:szCs w:val="21"/>
          <w:highlight w:val="none"/>
          <w:lang w:val="en-US" w:eastAsia="zh-CN"/>
        </w:rPr>
        <w:t>3分</w:t>
      </w:r>
      <w:r>
        <w:rPr>
          <w:rFonts w:hint="eastAsia" w:ascii="宋体" w:hAnsi="宋体" w:eastAsia="宋体" w:cs="宋体"/>
          <w:b w:val="0"/>
          <w:bCs/>
          <w:color w:val="auto"/>
          <w:kern w:val="0"/>
          <w:szCs w:val="21"/>
          <w:highlight w:val="none"/>
          <w:lang w:eastAsia="zh-CN"/>
        </w:rPr>
        <w:t>）</w:t>
      </w:r>
      <w:r>
        <w:rPr>
          <w:rFonts w:hint="eastAsia" w:ascii="宋体" w:hAnsi="宋体" w:eastAsia="宋体" w:cs="宋体"/>
          <w:b w:val="0"/>
          <w:bCs/>
          <w:color w:val="auto"/>
          <w:szCs w:val="21"/>
          <w:highlight w:val="none"/>
        </w:rPr>
        <w:t>：关键线路基本准确，计划编制合理，关键节点的控制措施基本可行</w:t>
      </w:r>
      <w:r>
        <w:rPr>
          <w:rFonts w:hint="eastAsia" w:ascii="宋体" w:hAnsi="宋体" w:eastAsia="宋体" w:cs="宋体"/>
          <w:b w:val="0"/>
          <w:bCs/>
          <w:color w:val="auto"/>
          <w:szCs w:val="21"/>
          <w:highlight w:val="none"/>
          <w:lang w:eastAsia="zh-CN"/>
        </w:rPr>
        <w:t>；</w:t>
      </w:r>
    </w:p>
    <w:p w14:paraId="00942234">
      <w:pPr>
        <w:pStyle w:val="22"/>
        <w:pageBreakBefore w:val="0"/>
        <w:widowControl w:val="0"/>
        <w:kinsoku/>
        <w:wordWrap/>
        <w:overflowPunct/>
        <w:topLinePunct w:val="0"/>
        <w:bidi w:val="0"/>
        <w:snapToGrid/>
        <w:spacing w:line="360" w:lineRule="auto"/>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差</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0</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：关键线路不准确，计划编制不合理，关键节点的控制不可行。</w:t>
      </w:r>
    </w:p>
    <w:p w14:paraId="21A9F5F7">
      <w:pPr>
        <w:pStyle w:val="22"/>
        <w:pageBreakBefore w:val="0"/>
        <w:widowControl w:val="0"/>
        <w:kinsoku/>
        <w:wordWrap/>
        <w:overflowPunct/>
        <w:topLinePunct w:val="0"/>
        <w:bidi w:val="0"/>
        <w:snapToGrid/>
        <w:spacing w:line="360" w:lineRule="auto"/>
        <w:ind w:firstLine="211" w:firstLineChars="100"/>
        <w:textAlignment w:val="auto"/>
        <w:rPr>
          <w:rFonts w:hint="eastAsia" w:ascii="宋体" w:hAnsi="宋体" w:eastAsia="宋体" w:cs="宋体"/>
          <w:b/>
          <w:bCs w:val="0"/>
          <w:color w:val="auto"/>
          <w:highlight w:val="none"/>
        </w:rPr>
      </w:pPr>
      <w:r>
        <w:rPr>
          <w:rFonts w:hint="eastAsia" w:ascii="宋体" w:hAnsi="宋体" w:eastAsia="宋体" w:cs="宋体"/>
          <w:b/>
          <w:bCs w:val="0"/>
          <w:color w:val="auto"/>
          <w:szCs w:val="21"/>
          <w:highlight w:val="none"/>
        </w:rPr>
        <w:t>（4）劳动力和材料投入计划及其保证措施</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6</w:t>
      </w:r>
      <w:r>
        <w:rPr>
          <w:rFonts w:hint="eastAsia" w:ascii="宋体" w:hAnsi="宋体" w:eastAsia="宋体" w:cs="宋体"/>
          <w:b/>
          <w:bCs w:val="0"/>
          <w:color w:val="auto"/>
          <w:szCs w:val="21"/>
          <w:highlight w:val="none"/>
        </w:rPr>
        <w:t>分</w:t>
      </w:r>
    </w:p>
    <w:p w14:paraId="228F94F5">
      <w:pPr>
        <w:pStyle w:val="22"/>
        <w:pageBreakBefore w:val="0"/>
        <w:widowControl w:val="0"/>
        <w:kinsoku/>
        <w:wordWrap/>
        <w:overflowPunct/>
        <w:topLinePunct w:val="0"/>
        <w:bidi w:val="0"/>
        <w:snapToGrid/>
        <w:spacing w:line="360" w:lineRule="auto"/>
        <w:ind w:firstLine="535" w:firstLineChars="255"/>
        <w:textAlignment w:val="auto"/>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优</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6</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：投入计划与进度计划呼应，较好满足施工需要，调配投入计划合理、准确</w:t>
      </w:r>
      <w:r>
        <w:rPr>
          <w:rFonts w:hint="eastAsia" w:ascii="宋体" w:hAnsi="宋体" w:eastAsia="宋体" w:cs="宋体"/>
          <w:b w:val="0"/>
          <w:bCs/>
          <w:color w:val="auto"/>
          <w:szCs w:val="21"/>
          <w:highlight w:val="none"/>
          <w:lang w:eastAsia="zh-CN"/>
        </w:rPr>
        <w:t>；</w:t>
      </w:r>
    </w:p>
    <w:p w14:paraId="3915A3E0">
      <w:pPr>
        <w:pStyle w:val="22"/>
        <w:pageBreakBefore w:val="0"/>
        <w:widowControl w:val="0"/>
        <w:kinsoku/>
        <w:wordWrap/>
        <w:overflowPunct/>
        <w:topLinePunct w:val="0"/>
        <w:bidi w:val="0"/>
        <w:snapToGrid/>
        <w:spacing w:line="360" w:lineRule="auto"/>
        <w:ind w:firstLine="535" w:firstLineChars="255"/>
        <w:textAlignment w:val="auto"/>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良</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val="0"/>
          <w:color w:val="auto"/>
          <w:kern w:val="0"/>
          <w:sz w:val="21"/>
          <w:szCs w:val="21"/>
          <w:highlight w:val="none"/>
          <w:lang w:val="en-US" w:eastAsia="zh-CN"/>
        </w:rPr>
        <w:t>4分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：投入计划与进度计划呼应，基本满足施工需要，调配投入计划基本合理、准确</w:t>
      </w:r>
      <w:r>
        <w:rPr>
          <w:rFonts w:hint="eastAsia" w:ascii="宋体" w:hAnsi="宋体" w:eastAsia="宋体" w:cs="宋体"/>
          <w:b w:val="0"/>
          <w:bCs/>
          <w:color w:val="auto"/>
          <w:szCs w:val="21"/>
          <w:highlight w:val="none"/>
          <w:lang w:eastAsia="zh-CN"/>
        </w:rPr>
        <w:t>；</w:t>
      </w:r>
    </w:p>
    <w:p w14:paraId="5C75567D">
      <w:pPr>
        <w:pStyle w:val="22"/>
        <w:pageBreakBefore w:val="0"/>
        <w:widowControl w:val="0"/>
        <w:kinsoku/>
        <w:wordWrap/>
        <w:overflowPunct/>
        <w:topLinePunct w:val="0"/>
        <w:bidi w:val="0"/>
        <w:snapToGrid/>
        <w:spacing w:line="360" w:lineRule="auto"/>
        <w:ind w:firstLine="535" w:firstLineChars="255"/>
        <w:textAlignment w:val="auto"/>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中</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val="0"/>
          <w:color w:val="auto"/>
          <w:kern w:val="0"/>
          <w:sz w:val="21"/>
          <w:szCs w:val="21"/>
          <w:highlight w:val="none"/>
          <w:lang w:val="en-US" w:eastAsia="zh-CN"/>
        </w:rPr>
        <w:t>2分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：投入计划与进度计划呼应，基本满足施工需要，调配投入计划基本合理</w:t>
      </w:r>
      <w:r>
        <w:rPr>
          <w:rFonts w:hint="eastAsia" w:ascii="宋体" w:hAnsi="宋体" w:eastAsia="宋体" w:cs="宋体"/>
          <w:b w:val="0"/>
          <w:bCs/>
          <w:color w:val="auto"/>
          <w:szCs w:val="21"/>
          <w:highlight w:val="none"/>
          <w:lang w:eastAsia="zh-CN"/>
        </w:rPr>
        <w:t>；</w:t>
      </w:r>
    </w:p>
    <w:p w14:paraId="54500456">
      <w:pPr>
        <w:pStyle w:val="22"/>
        <w:pageBreakBefore w:val="0"/>
        <w:widowControl w:val="0"/>
        <w:kinsoku/>
        <w:wordWrap/>
        <w:overflowPunct/>
        <w:topLinePunct w:val="0"/>
        <w:bidi w:val="0"/>
        <w:snapToGrid/>
        <w:spacing w:line="360" w:lineRule="auto"/>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差</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0</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：投入计划与进度计划不呼应，不能满足施工需要。</w:t>
      </w:r>
    </w:p>
    <w:p w14:paraId="659F02F2">
      <w:pPr>
        <w:pStyle w:val="22"/>
        <w:pageBreakBefore w:val="0"/>
        <w:widowControl w:val="0"/>
        <w:kinsoku/>
        <w:wordWrap/>
        <w:overflowPunct/>
        <w:topLinePunct w:val="0"/>
        <w:bidi w:val="0"/>
        <w:snapToGrid/>
        <w:spacing w:line="360" w:lineRule="auto"/>
        <w:ind w:firstLine="211" w:firstLineChars="100"/>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（5）施工平面布置和临时设施布置</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highlight w:val="none"/>
          <w:lang w:val="en-US" w:eastAsia="zh-CN"/>
        </w:rPr>
        <w:t>6</w:t>
      </w:r>
      <w:r>
        <w:rPr>
          <w:rFonts w:hint="eastAsia" w:ascii="宋体" w:hAnsi="宋体" w:eastAsia="宋体" w:cs="宋体"/>
          <w:b/>
          <w:bCs w:val="0"/>
          <w:color w:val="auto"/>
          <w:szCs w:val="21"/>
          <w:highlight w:val="none"/>
        </w:rPr>
        <w:t>分</w:t>
      </w:r>
    </w:p>
    <w:p w14:paraId="0CE42EF8">
      <w:pPr>
        <w:pStyle w:val="22"/>
        <w:pageBreakBefore w:val="0"/>
        <w:widowControl w:val="0"/>
        <w:kinsoku/>
        <w:wordWrap/>
        <w:overflowPunct/>
        <w:topLinePunct w:val="0"/>
        <w:bidi w:val="0"/>
        <w:snapToGrid/>
        <w:spacing w:line="360" w:lineRule="auto"/>
        <w:ind w:firstLine="535" w:firstLineChars="255"/>
        <w:textAlignment w:val="auto"/>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优</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6</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：总体布置有针对性、合理，较好满足施工需要，符合安全、文明生产要求</w:t>
      </w:r>
      <w:r>
        <w:rPr>
          <w:rFonts w:hint="eastAsia" w:ascii="宋体" w:hAnsi="宋体" w:eastAsia="宋体" w:cs="宋体"/>
          <w:b w:val="0"/>
          <w:bCs/>
          <w:color w:val="auto"/>
          <w:szCs w:val="21"/>
          <w:highlight w:val="none"/>
          <w:lang w:eastAsia="zh-CN"/>
        </w:rPr>
        <w:t>；</w:t>
      </w:r>
    </w:p>
    <w:p w14:paraId="69543CEE">
      <w:pPr>
        <w:pStyle w:val="22"/>
        <w:pageBreakBefore w:val="0"/>
        <w:widowControl w:val="0"/>
        <w:kinsoku/>
        <w:wordWrap/>
        <w:overflowPunct/>
        <w:topLinePunct w:val="0"/>
        <w:bidi w:val="0"/>
        <w:snapToGrid/>
        <w:spacing w:line="360" w:lineRule="auto"/>
        <w:ind w:firstLine="535" w:firstLineChars="255"/>
        <w:textAlignment w:val="auto"/>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良</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val="0"/>
          <w:color w:val="auto"/>
          <w:kern w:val="0"/>
          <w:sz w:val="21"/>
          <w:szCs w:val="21"/>
          <w:highlight w:val="none"/>
          <w:lang w:val="en-US" w:eastAsia="zh-CN"/>
        </w:rPr>
        <w:t>4分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：总体布置合理，能满足施工需要，基本符合安全、文明生产要求</w:t>
      </w:r>
      <w:r>
        <w:rPr>
          <w:rFonts w:hint="eastAsia" w:ascii="宋体" w:hAnsi="宋体" w:eastAsia="宋体" w:cs="宋体"/>
          <w:b w:val="0"/>
          <w:bCs/>
          <w:color w:val="auto"/>
          <w:szCs w:val="21"/>
          <w:highlight w:val="none"/>
          <w:lang w:eastAsia="zh-CN"/>
        </w:rPr>
        <w:t>；</w:t>
      </w:r>
    </w:p>
    <w:p w14:paraId="063B1FB1">
      <w:pPr>
        <w:pStyle w:val="22"/>
        <w:pageBreakBefore w:val="0"/>
        <w:widowControl w:val="0"/>
        <w:kinsoku/>
        <w:wordWrap/>
        <w:overflowPunct/>
        <w:topLinePunct w:val="0"/>
        <w:bidi w:val="0"/>
        <w:snapToGrid/>
        <w:spacing w:line="360" w:lineRule="auto"/>
        <w:ind w:firstLine="535" w:firstLineChars="255"/>
        <w:textAlignment w:val="auto"/>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中</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：总体布置基本合理，基本满足施工需要</w:t>
      </w:r>
      <w:r>
        <w:rPr>
          <w:rFonts w:hint="eastAsia" w:ascii="宋体" w:hAnsi="宋体" w:eastAsia="宋体" w:cs="宋体"/>
          <w:b w:val="0"/>
          <w:bCs/>
          <w:color w:val="auto"/>
          <w:szCs w:val="21"/>
          <w:highlight w:val="none"/>
          <w:lang w:eastAsia="zh-CN"/>
        </w:rPr>
        <w:t>；</w:t>
      </w:r>
    </w:p>
    <w:p w14:paraId="425FD3EF">
      <w:pPr>
        <w:pStyle w:val="22"/>
        <w:pageBreakBefore w:val="0"/>
        <w:widowControl w:val="0"/>
        <w:kinsoku/>
        <w:wordWrap/>
        <w:overflowPunct/>
        <w:topLinePunct w:val="0"/>
        <w:bidi w:val="0"/>
        <w:snapToGrid/>
        <w:spacing w:line="360" w:lineRule="auto"/>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差</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0</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：总体布置不合理，不符合安全、文明生产要求。</w:t>
      </w:r>
    </w:p>
    <w:p w14:paraId="1B394AAA">
      <w:pPr>
        <w:pStyle w:val="22"/>
        <w:pageBreakBefore w:val="0"/>
        <w:widowControl w:val="0"/>
        <w:kinsoku/>
        <w:wordWrap/>
        <w:overflowPunct/>
        <w:topLinePunct w:val="0"/>
        <w:bidi w:val="0"/>
        <w:snapToGrid/>
        <w:spacing w:line="360" w:lineRule="auto"/>
        <w:ind w:firstLine="211" w:firstLineChars="100"/>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（6）关键施工技术、工艺及工程实施的重点、难点和解决方案</w:t>
      </w:r>
      <w:r>
        <w:rPr>
          <w:rFonts w:hint="eastAsia" w:ascii="宋体" w:hAnsi="宋体" w:eastAsia="宋体" w:cs="宋体"/>
          <w:b/>
          <w:bCs w:val="0"/>
          <w:color w:val="auto"/>
          <w:highlight w:val="none"/>
        </w:rPr>
        <w:t>……………………………………</w:t>
      </w:r>
      <w:r>
        <w:rPr>
          <w:rFonts w:hint="eastAsia" w:ascii="宋体" w:hAnsi="宋体" w:eastAsia="宋体" w:cs="宋体"/>
          <w:b/>
          <w:bCs w:val="0"/>
          <w:color w:val="auto"/>
          <w:highlight w:val="none"/>
          <w:lang w:val="en-US" w:eastAsia="zh-CN"/>
        </w:rPr>
        <w:t>9</w:t>
      </w:r>
      <w:r>
        <w:rPr>
          <w:rFonts w:hint="eastAsia" w:ascii="宋体" w:hAnsi="宋体" w:eastAsia="宋体" w:cs="宋体"/>
          <w:b/>
          <w:bCs w:val="0"/>
          <w:color w:val="auto"/>
          <w:szCs w:val="21"/>
          <w:highlight w:val="none"/>
        </w:rPr>
        <w:t>分</w:t>
      </w:r>
    </w:p>
    <w:p w14:paraId="37C9F84A">
      <w:pPr>
        <w:pStyle w:val="22"/>
        <w:pageBreakBefore w:val="0"/>
        <w:widowControl w:val="0"/>
        <w:kinsoku/>
        <w:wordWrap/>
        <w:overflowPunct/>
        <w:topLinePunct w:val="0"/>
        <w:bidi w:val="0"/>
        <w:snapToGrid/>
        <w:spacing w:line="360" w:lineRule="auto"/>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优</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9</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：对项目关键技术、工艺有深入的表达，对重点、难点有先进合理的施工措施并有可行的安全措施，解决方案完整、经济、安全、切实可行，措施得力。</w:t>
      </w:r>
    </w:p>
    <w:p w14:paraId="7B469380">
      <w:pPr>
        <w:pStyle w:val="22"/>
        <w:pageBreakBefore w:val="0"/>
        <w:widowControl w:val="0"/>
        <w:kinsoku/>
        <w:wordWrap/>
        <w:overflowPunct/>
        <w:topLinePunct w:val="0"/>
        <w:bidi w:val="0"/>
        <w:snapToGrid/>
        <w:spacing w:line="360" w:lineRule="auto"/>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良</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6</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：对项目关键技术、工艺有深入的表达，对重点、难点有合理的建议，解决方案经济、安全、基本可行。</w:t>
      </w:r>
    </w:p>
    <w:p w14:paraId="79679D3F">
      <w:pPr>
        <w:pStyle w:val="22"/>
        <w:pageBreakBefore w:val="0"/>
        <w:widowControl w:val="0"/>
        <w:kinsoku/>
        <w:wordWrap/>
        <w:overflowPunct/>
        <w:topLinePunct w:val="0"/>
        <w:bidi w:val="0"/>
        <w:snapToGrid/>
        <w:spacing w:line="360" w:lineRule="auto"/>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中</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：对项目关键技术有一定了解，对重点、难点有建议，解决方案基本可行。</w:t>
      </w:r>
    </w:p>
    <w:p w14:paraId="14E5CB7D">
      <w:pPr>
        <w:pStyle w:val="22"/>
        <w:pageBreakBefore w:val="0"/>
        <w:widowControl w:val="0"/>
        <w:kinsoku/>
        <w:wordWrap/>
        <w:overflowPunct/>
        <w:topLinePunct w:val="0"/>
        <w:bidi w:val="0"/>
        <w:snapToGrid/>
        <w:spacing w:line="360" w:lineRule="auto"/>
        <w:ind w:firstLine="535" w:firstLineChars="255"/>
        <w:textAlignment w:val="auto"/>
        <w:rPr>
          <w:rFonts w:hint="eastAsia" w:ascii="宋体" w:hAnsi="宋体" w:eastAsia="宋体" w:cs="宋体"/>
          <w:b w:val="0"/>
          <w:bCs/>
          <w:color w:val="auto"/>
          <w:kern w:val="0"/>
          <w:szCs w:val="21"/>
          <w:highlight w:val="none"/>
        </w:rPr>
      </w:pPr>
      <w:r>
        <w:rPr>
          <w:rFonts w:hint="eastAsia" w:ascii="宋体" w:hAnsi="宋体" w:eastAsia="宋体" w:cs="宋体"/>
          <w:b w:val="0"/>
          <w:bCs/>
          <w:color w:val="auto"/>
          <w:szCs w:val="21"/>
          <w:highlight w:val="none"/>
        </w:rPr>
        <w:t>差</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0</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：对项目关键技术有表述，对重点、难点有建议，解决方案不可行。</w:t>
      </w:r>
    </w:p>
    <w:p w14:paraId="58A87E14">
      <w:pPr>
        <w:pStyle w:val="22"/>
        <w:pageBreakBefore w:val="0"/>
        <w:widowControl w:val="0"/>
        <w:kinsoku/>
        <w:wordWrap/>
        <w:overflowPunct/>
        <w:topLinePunct w:val="0"/>
        <w:bidi w:val="0"/>
        <w:snapToGrid/>
        <w:spacing w:line="360" w:lineRule="auto"/>
        <w:ind w:firstLine="211" w:firstLineChars="100"/>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kern w:val="0"/>
          <w:szCs w:val="21"/>
          <w:highlight w:val="none"/>
        </w:rPr>
        <w:t>（7）安全文明施工措施</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lang w:val="en-US" w:eastAsia="zh-CN"/>
        </w:rPr>
        <w:t>3</w:t>
      </w:r>
      <w:r>
        <w:rPr>
          <w:rFonts w:hint="eastAsia" w:ascii="宋体" w:hAnsi="宋体" w:eastAsia="宋体" w:cs="宋体"/>
          <w:b/>
          <w:bCs w:val="0"/>
          <w:color w:val="auto"/>
          <w:szCs w:val="21"/>
          <w:highlight w:val="none"/>
        </w:rPr>
        <w:t>分</w:t>
      </w:r>
    </w:p>
    <w:p w14:paraId="57E53446">
      <w:pPr>
        <w:pStyle w:val="22"/>
        <w:pageBreakBefore w:val="0"/>
        <w:widowControl w:val="0"/>
        <w:kinsoku/>
        <w:wordWrap/>
        <w:overflowPunct/>
        <w:topLinePunct w:val="0"/>
        <w:bidi w:val="0"/>
        <w:snapToGrid/>
        <w:spacing w:line="360" w:lineRule="auto"/>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优</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val="0"/>
          <w:color w:val="auto"/>
          <w:kern w:val="0"/>
          <w:sz w:val="21"/>
          <w:szCs w:val="21"/>
          <w:highlight w:val="none"/>
          <w:lang w:val="en-US" w:eastAsia="zh-CN"/>
        </w:rPr>
        <w:t>3分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：针对项目实际情况，有先进、具体、完整、可行的实施措施，采用规范正确、清晰。</w:t>
      </w:r>
    </w:p>
    <w:p w14:paraId="49433BB8">
      <w:pPr>
        <w:pStyle w:val="22"/>
        <w:pageBreakBefore w:val="0"/>
        <w:widowControl w:val="0"/>
        <w:kinsoku/>
        <w:wordWrap/>
        <w:overflowPunct/>
        <w:topLinePunct w:val="0"/>
        <w:bidi w:val="0"/>
        <w:snapToGrid/>
        <w:spacing w:line="360" w:lineRule="auto"/>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良</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：针对项目实际情况，有合理的措施且具体、完整，采用规范正确。</w:t>
      </w:r>
    </w:p>
    <w:p w14:paraId="1A9EB5F1">
      <w:pPr>
        <w:pStyle w:val="22"/>
        <w:pageBreakBefore w:val="0"/>
        <w:widowControl w:val="0"/>
        <w:kinsoku/>
        <w:wordWrap/>
        <w:overflowPunct/>
        <w:topLinePunct w:val="0"/>
        <w:bidi w:val="0"/>
        <w:snapToGrid/>
        <w:spacing w:line="360" w:lineRule="auto"/>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中</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val="0"/>
          <w:color w:val="auto"/>
          <w:kern w:val="0"/>
          <w:sz w:val="21"/>
          <w:szCs w:val="21"/>
          <w:highlight w:val="none"/>
          <w:lang w:val="en-US" w:eastAsia="zh-CN"/>
        </w:rPr>
        <w:t>1分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：有基本合理的措施，采用规范正确。</w:t>
      </w:r>
    </w:p>
    <w:p w14:paraId="5F2C7490">
      <w:pPr>
        <w:pStyle w:val="22"/>
        <w:pageBreakBefore w:val="0"/>
        <w:widowControl w:val="0"/>
        <w:kinsoku/>
        <w:wordWrap/>
        <w:overflowPunct/>
        <w:topLinePunct w:val="0"/>
        <w:bidi w:val="0"/>
        <w:snapToGrid/>
        <w:spacing w:line="360" w:lineRule="auto"/>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差</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0</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：安全文明措施不得力，采用规范不正确。</w:t>
      </w:r>
    </w:p>
    <w:p w14:paraId="40DBFCCB">
      <w:pPr>
        <w:pStyle w:val="22"/>
        <w:pageBreakBefore w:val="0"/>
        <w:widowControl w:val="0"/>
        <w:kinsoku/>
        <w:wordWrap/>
        <w:overflowPunct/>
        <w:topLinePunct w:val="0"/>
        <w:bidi w:val="0"/>
        <w:snapToGrid/>
        <w:spacing w:line="360" w:lineRule="auto"/>
        <w:ind w:firstLine="211" w:firstLineChars="100"/>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（8）质量保证与承诺</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highlight w:val="none"/>
          <w:lang w:val="en-US" w:eastAsia="zh-CN"/>
        </w:rPr>
        <w:t>3</w:t>
      </w:r>
      <w:r>
        <w:rPr>
          <w:rFonts w:hint="eastAsia" w:ascii="宋体" w:hAnsi="宋体" w:eastAsia="宋体" w:cs="宋体"/>
          <w:b/>
          <w:bCs w:val="0"/>
          <w:color w:val="auto"/>
          <w:szCs w:val="21"/>
          <w:highlight w:val="none"/>
        </w:rPr>
        <w:t>分</w:t>
      </w:r>
    </w:p>
    <w:p w14:paraId="146A7D52">
      <w:pPr>
        <w:pStyle w:val="22"/>
        <w:pageBreakBefore w:val="0"/>
        <w:widowControl w:val="0"/>
        <w:kinsoku/>
        <w:wordWrap/>
        <w:overflowPunct/>
        <w:topLinePunct w:val="0"/>
        <w:bidi w:val="0"/>
        <w:snapToGrid/>
        <w:spacing w:line="360" w:lineRule="auto"/>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优</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：针对项目实际提出先进、可行、具体的保证措施，超过招标文件的质量要求及施工验收规范要求。</w:t>
      </w:r>
    </w:p>
    <w:p w14:paraId="02AB8060">
      <w:pPr>
        <w:pStyle w:val="22"/>
        <w:pageBreakBefore w:val="0"/>
        <w:widowControl w:val="0"/>
        <w:kinsoku/>
        <w:wordWrap/>
        <w:overflowPunct/>
        <w:topLinePunct w:val="0"/>
        <w:bidi w:val="0"/>
        <w:snapToGrid/>
        <w:spacing w:line="360" w:lineRule="auto"/>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良</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：针对项目实际提出先进、可行、具体的保证措施，满足招标文件的质量要求。</w:t>
      </w:r>
    </w:p>
    <w:p w14:paraId="53ED7B7E">
      <w:pPr>
        <w:pStyle w:val="22"/>
        <w:pageBreakBefore w:val="0"/>
        <w:widowControl w:val="0"/>
        <w:kinsoku/>
        <w:wordWrap/>
        <w:overflowPunct/>
        <w:topLinePunct w:val="0"/>
        <w:bidi w:val="0"/>
        <w:snapToGrid/>
        <w:spacing w:line="360" w:lineRule="auto"/>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中</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val="0"/>
          <w:color w:val="auto"/>
          <w:kern w:val="0"/>
          <w:sz w:val="21"/>
          <w:szCs w:val="21"/>
          <w:highlight w:val="none"/>
          <w:lang w:val="en-US" w:eastAsia="zh-CN"/>
        </w:rPr>
        <w:t>1分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：具体措施可行，满足招标文件的质量要求。</w:t>
      </w:r>
    </w:p>
    <w:p w14:paraId="03542763">
      <w:pPr>
        <w:pStyle w:val="22"/>
        <w:pageBreakBefore w:val="0"/>
        <w:widowControl w:val="0"/>
        <w:kinsoku/>
        <w:wordWrap/>
        <w:overflowPunct/>
        <w:topLinePunct w:val="0"/>
        <w:bidi w:val="0"/>
        <w:snapToGrid/>
        <w:spacing w:line="360" w:lineRule="auto"/>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差</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0</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：措施不可行。</w:t>
      </w:r>
    </w:p>
    <w:p w14:paraId="1ADDC1C2">
      <w:pPr>
        <w:pStyle w:val="22"/>
        <w:pageBreakBefore w:val="0"/>
        <w:widowControl w:val="0"/>
        <w:kinsoku/>
        <w:wordWrap/>
        <w:overflowPunct/>
        <w:topLinePunct w:val="0"/>
        <w:bidi w:val="0"/>
        <w:snapToGrid/>
        <w:spacing w:line="360" w:lineRule="auto"/>
        <w:ind w:firstLine="211" w:firstLineChars="100"/>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（9）新技术应用与承诺</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highlight w:val="none"/>
          <w:lang w:val="en-US" w:eastAsia="zh-CN"/>
        </w:rPr>
        <w:t>3</w:t>
      </w:r>
      <w:r>
        <w:rPr>
          <w:rFonts w:hint="eastAsia" w:ascii="宋体" w:hAnsi="宋体" w:eastAsia="宋体" w:cs="宋体"/>
          <w:b/>
          <w:bCs w:val="0"/>
          <w:color w:val="auto"/>
          <w:szCs w:val="21"/>
          <w:highlight w:val="none"/>
        </w:rPr>
        <w:t>分</w:t>
      </w:r>
    </w:p>
    <w:p w14:paraId="7503A243">
      <w:pPr>
        <w:pStyle w:val="22"/>
        <w:pageBreakBefore w:val="0"/>
        <w:widowControl w:val="0"/>
        <w:kinsoku/>
        <w:wordWrap/>
        <w:overflowPunct/>
        <w:topLinePunct w:val="0"/>
        <w:bidi w:val="0"/>
        <w:snapToGrid/>
        <w:spacing w:line="360" w:lineRule="auto"/>
        <w:ind w:firstLine="535" w:firstLineChars="255"/>
        <w:textAlignment w:val="auto"/>
        <w:rPr>
          <w:rFonts w:hint="eastAsia" w:ascii="宋体" w:hAnsi="宋体" w:eastAsia="宋体" w:cs="宋体"/>
          <w:color w:val="auto"/>
          <w:highlight w:val="none"/>
        </w:rPr>
      </w:pPr>
      <w:r>
        <w:rPr>
          <w:rFonts w:hint="eastAsia" w:ascii="宋体" w:hAnsi="宋体" w:eastAsia="宋体" w:cs="宋体"/>
          <w:color w:val="auto"/>
          <w:highlight w:val="none"/>
        </w:rPr>
        <w:t>优</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：针对项目实际，提出采用新技术的具体措施。新技术的验证材料可靠，对节约投资和工期的保证措施得力、具体、严谨。对采用新技术可能产生的风险预见充分，对新技术的实施有安全生产的可靠方案。</w:t>
      </w:r>
    </w:p>
    <w:p w14:paraId="347D8080">
      <w:pPr>
        <w:pStyle w:val="22"/>
        <w:pageBreakBefore w:val="0"/>
        <w:widowControl w:val="0"/>
        <w:kinsoku/>
        <w:wordWrap/>
        <w:overflowPunct/>
        <w:topLinePunct w:val="0"/>
        <w:bidi w:val="0"/>
        <w:snapToGrid/>
        <w:spacing w:line="360" w:lineRule="auto"/>
        <w:ind w:firstLine="535" w:firstLineChars="255"/>
        <w:textAlignment w:val="auto"/>
        <w:rPr>
          <w:rFonts w:hint="eastAsia" w:ascii="宋体" w:hAnsi="宋体" w:eastAsia="宋体" w:cs="宋体"/>
          <w:color w:val="auto"/>
          <w:highlight w:val="none"/>
        </w:rPr>
      </w:pPr>
      <w:r>
        <w:rPr>
          <w:rFonts w:hint="eastAsia" w:ascii="宋体" w:hAnsi="宋体" w:eastAsia="宋体" w:cs="宋体"/>
          <w:color w:val="auto"/>
          <w:highlight w:val="none"/>
        </w:rPr>
        <w:t>良</w:t>
      </w:r>
      <w:r>
        <w:rPr>
          <w:rFonts w:hint="eastAsia" w:ascii="宋体" w:hAnsi="宋体" w:eastAsia="宋体" w:cs="宋体"/>
          <w:color w:val="auto"/>
          <w:highlight w:val="none"/>
          <w:lang w:eastAsia="zh-CN"/>
        </w:rPr>
        <w:t>（</w:t>
      </w:r>
      <w:r>
        <w:rPr>
          <w:rFonts w:hint="eastAsia" w:ascii="宋体" w:hAnsi="宋体" w:eastAsia="宋体" w:cs="宋体"/>
          <w:b w:val="0"/>
          <w:bCs w:val="0"/>
          <w:color w:val="auto"/>
          <w:kern w:val="0"/>
          <w:sz w:val="21"/>
          <w:szCs w:val="21"/>
          <w:highlight w:val="none"/>
          <w:lang w:val="en-US" w:eastAsia="zh-CN"/>
        </w:rPr>
        <w:t>2分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：针对项目实际，提出采用新技术的具体措施。新技术的验证材料可靠，对节约投资和工期有保证措施。对采用新技术可能产生的风险有一定的预见。</w:t>
      </w:r>
    </w:p>
    <w:p w14:paraId="610C10BC">
      <w:pPr>
        <w:pStyle w:val="22"/>
        <w:pageBreakBefore w:val="0"/>
        <w:widowControl w:val="0"/>
        <w:kinsoku/>
        <w:wordWrap/>
        <w:overflowPunct/>
        <w:topLinePunct w:val="0"/>
        <w:bidi w:val="0"/>
        <w:snapToGrid/>
        <w:spacing w:line="360" w:lineRule="auto"/>
        <w:ind w:firstLine="535" w:firstLineChars="255"/>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rPr>
        <w:t>中</w:t>
      </w:r>
      <w:r>
        <w:rPr>
          <w:rFonts w:hint="eastAsia" w:ascii="宋体" w:hAnsi="宋体" w:eastAsia="宋体" w:cs="宋体"/>
          <w:color w:val="auto"/>
          <w:highlight w:val="none"/>
          <w:lang w:eastAsia="zh-CN"/>
        </w:rPr>
        <w:t>（</w:t>
      </w:r>
      <w:r>
        <w:rPr>
          <w:rFonts w:hint="eastAsia" w:ascii="宋体" w:hAnsi="宋体" w:eastAsia="宋体" w:cs="宋体"/>
          <w:b w:val="0"/>
          <w:bCs w:val="0"/>
          <w:color w:val="auto"/>
          <w:kern w:val="0"/>
          <w:sz w:val="21"/>
          <w:szCs w:val="21"/>
          <w:highlight w:val="none"/>
          <w:lang w:val="en-US" w:eastAsia="zh-CN"/>
        </w:rPr>
        <w:t>1分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：有新技术措施，但验证材料不充分，对节约投资和工期可能有一定收益，对</w:t>
      </w:r>
      <w:r>
        <w:rPr>
          <w:rFonts w:hint="eastAsia" w:ascii="宋体" w:hAnsi="宋体" w:eastAsia="宋体" w:cs="宋体"/>
          <w:color w:val="auto"/>
          <w:sz w:val="21"/>
          <w:szCs w:val="21"/>
          <w:highlight w:val="none"/>
        </w:rPr>
        <w:t>采用新技术可能产生的风险预见不足。</w:t>
      </w:r>
    </w:p>
    <w:p w14:paraId="50104F3C">
      <w:pPr>
        <w:pStyle w:val="22"/>
        <w:pageBreakBefore w:val="0"/>
        <w:widowControl w:val="0"/>
        <w:kinsoku/>
        <w:wordWrap/>
        <w:overflowPunct/>
        <w:topLinePunct w:val="0"/>
        <w:bidi w:val="0"/>
        <w:snapToGrid/>
        <w:spacing w:line="360" w:lineRule="auto"/>
        <w:ind w:firstLine="535" w:firstLineChars="25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：采用的新技术针对性不强或验证材料不可靠，对节约投资和工期没有具体收益。</w:t>
      </w:r>
    </w:p>
    <w:p w14:paraId="1AA72159">
      <w:pPr>
        <w:pageBreakBefore w:val="0"/>
        <w:widowControl w:val="0"/>
        <w:kinsoku/>
        <w:wordWrap/>
        <w:overflowPunct/>
        <w:topLinePunct w:val="0"/>
        <w:bidi w:val="0"/>
        <w:snapToGrid/>
        <w:spacing w:line="360" w:lineRule="auto"/>
        <w:ind w:firstLine="316" w:firstLineChars="150"/>
        <w:textAlignment w:val="auto"/>
        <w:outlineLvl w:val="0"/>
        <w:rPr>
          <w:rFonts w:hint="eastAsia" w:ascii="宋体" w:hAnsi="宋体" w:eastAsia="宋体" w:cs="宋体"/>
          <w:b/>
          <w:bCs/>
          <w:color w:val="auto"/>
          <w:kern w:val="0"/>
          <w:sz w:val="21"/>
          <w:szCs w:val="21"/>
          <w:highlight w:val="none"/>
        </w:rPr>
      </w:pPr>
      <w:bookmarkStart w:id="245" w:name="_Toc23170"/>
      <w:bookmarkStart w:id="246" w:name="_Toc27705"/>
      <w:bookmarkStart w:id="247" w:name="_Toc4007"/>
      <w:r>
        <w:rPr>
          <w:rFonts w:hint="eastAsia" w:ascii="宋体" w:hAnsi="宋体" w:eastAsia="宋体" w:cs="宋体"/>
          <w:b/>
          <w:color w:val="auto"/>
          <w:kern w:val="0"/>
          <w:sz w:val="21"/>
          <w:szCs w:val="21"/>
          <w:highlight w:val="none"/>
        </w:rPr>
        <w:t>注：</w:t>
      </w:r>
      <w:r>
        <w:rPr>
          <w:rFonts w:hint="eastAsia" w:ascii="宋体" w:hAnsi="宋体" w:eastAsia="宋体" w:cs="宋体"/>
          <w:b/>
          <w:bCs/>
          <w:color w:val="auto"/>
          <w:kern w:val="0"/>
          <w:sz w:val="21"/>
          <w:szCs w:val="21"/>
          <w:highlight w:val="none"/>
        </w:rPr>
        <w:t>供应商未提供上述“施工组织方案”相应内容的，相应项不得分。</w:t>
      </w:r>
      <w:bookmarkEnd w:id="245"/>
      <w:bookmarkEnd w:id="246"/>
      <w:bookmarkEnd w:id="247"/>
    </w:p>
    <w:p w14:paraId="752820BA">
      <w:pPr>
        <w:pageBreakBefore w:val="0"/>
        <w:widowControl w:val="0"/>
        <w:tabs>
          <w:tab w:val="left" w:pos="1305"/>
        </w:tabs>
        <w:kinsoku/>
        <w:wordWrap/>
        <w:overflowPunct/>
        <w:topLinePunct w:val="0"/>
        <w:bidi w:val="0"/>
        <w:snapToGrid/>
        <w:spacing w:line="360" w:lineRule="auto"/>
        <w:ind w:firstLine="211" w:firstLineChars="100"/>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3、拟投入主要管理人员配置………………………………………………………………………</w:t>
      </w:r>
      <w:r>
        <w:rPr>
          <w:rFonts w:hint="eastAsia" w:ascii="宋体" w:hAnsi="宋体" w:eastAsia="宋体" w:cs="宋体"/>
          <w:b/>
          <w:bCs/>
          <w:color w:val="auto"/>
          <w:kern w:val="0"/>
          <w:sz w:val="21"/>
          <w:szCs w:val="21"/>
          <w:highlight w:val="none"/>
          <w:lang w:val="en-US" w:eastAsia="zh-CN" w:bidi="ar-SA"/>
        </w:rPr>
        <w:t>……5分</w:t>
      </w:r>
    </w:p>
    <w:p w14:paraId="12D40609">
      <w:pPr>
        <w:keepNext w:val="0"/>
        <w:keepLines w:val="0"/>
        <w:pageBreakBefore w:val="0"/>
        <w:kinsoku/>
        <w:wordWrap/>
        <w:overflowPunct/>
        <w:topLinePunct w:val="0"/>
        <w:autoSpaceDE/>
        <w:autoSpaceDN/>
        <w:bidi w:val="0"/>
        <w:adjustRightInd/>
        <w:spacing w:line="360" w:lineRule="auto"/>
        <w:ind w:firstLine="210" w:firstLineChars="100"/>
        <w:rPr>
          <w:rFonts w:hint="eastAsia" w:ascii="宋体" w:hAnsi="宋体" w:eastAsia="宋体" w:cs="宋体"/>
          <w:b/>
          <w:bCs/>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项目经理</w:t>
      </w:r>
      <w:r>
        <w:rPr>
          <w:rFonts w:hint="eastAsia" w:ascii="宋体" w:hAnsi="宋体" w:eastAsia="宋体" w:cs="宋体"/>
          <w:color w:val="auto"/>
          <w:highlight w:val="none"/>
          <w:lang w:eastAsia="zh-CN"/>
        </w:rPr>
        <w:t>资格</w:t>
      </w:r>
      <w:r>
        <w:rPr>
          <w:rFonts w:hint="eastAsia" w:ascii="宋体" w:hAnsi="宋体" w:eastAsia="宋体" w:cs="宋体"/>
          <w:color w:val="auto"/>
          <w:highlight w:val="none"/>
        </w:rPr>
        <w:t>：具有</w:t>
      </w:r>
      <w:r>
        <w:rPr>
          <w:rFonts w:hint="eastAsia" w:ascii="宋体" w:hAnsi="宋体" w:eastAsia="宋体" w:cs="宋体"/>
          <w:color w:val="auto"/>
          <w:highlight w:val="none"/>
          <w:lang w:val="en-US" w:eastAsia="zh-CN"/>
        </w:rPr>
        <w:t>建筑</w:t>
      </w:r>
      <w:r>
        <w:rPr>
          <w:rFonts w:hint="eastAsia" w:ascii="宋体" w:hAnsi="宋体" w:eastAsia="宋体" w:cs="宋体"/>
          <w:color w:val="auto"/>
          <w:highlight w:val="none"/>
        </w:rPr>
        <w:t>工程贰级及以上注册建造师</w:t>
      </w:r>
      <w:r>
        <w:rPr>
          <w:rFonts w:hint="eastAsia" w:ascii="宋体" w:hAnsi="宋体" w:eastAsia="宋体" w:cs="宋体"/>
          <w:color w:val="auto"/>
          <w:highlight w:val="none"/>
          <w:lang w:eastAsia="zh-CN"/>
        </w:rPr>
        <w:t>及</w:t>
      </w:r>
      <w:r>
        <w:rPr>
          <w:rFonts w:hint="eastAsia" w:ascii="宋体" w:hAnsi="宋体" w:eastAsia="宋体" w:cs="宋体"/>
          <w:color w:val="auto"/>
          <w:kern w:val="0"/>
          <w:highlight w:val="none"/>
          <w:lang w:bidi="ar"/>
        </w:rPr>
        <w:t>安全生产考核合格证书（B类）</w:t>
      </w:r>
      <w:r>
        <w:rPr>
          <w:rFonts w:hint="eastAsia" w:ascii="宋体" w:hAnsi="宋体" w:eastAsia="宋体" w:cs="宋体"/>
          <w:color w:val="auto"/>
          <w:kern w:val="0"/>
          <w:highlight w:val="none"/>
          <w:lang w:eastAsia="zh-CN" w:bidi="ar"/>
        </w:rPr>
        <w:t>且同时具有</w:t>
      </w:r>
      <w:r>
        <w:rPr>
          <w:rFonts w:hint="eastAsia" w:ascii="宋体" w:hAnsi="宋体" w:eastAsia="宋体" w:cs="宋体"/>
          <w:color w:val="auto"/>
          <w:highlight w:val="none"/>
        </w:rPr>
        <w:t>工程师或以上职称</w:t>
      </w:r>
      <w:r>
        <w:rPr>
          <w:rFonts w:hint="eastAsia" w:ascii="宋体" w:hAnsi="宋体" w:eastAsia="宋体" w:cs="宋体"/>
          <w:color w:val="auto"/>
          <w:kern w:val="0"/>
          <w:highlight w:val="none"/>
          <w:lang w:bidi="ar"/>
        </w:rPr>
        <w:t>的得</w:t>
      </w:r>
      <w:r>
        <w:rPr>
          <w:rFonts w:hint="eastAsia" w:ascii="宋体" w:hAnsi="宋体" w:eastAsia="宋体" w:cs="宋体"/>
          <w:color w:val="auto"/>
          <w:kern w:val="0"/>
          <w:highlight w:val="none"/>
          <w:lang w:val="en-US" w:eastAsia="zh-CN" w:bidi="ar"/>
        </w:rPr>
        <w:t>2</w:t>
      </w:r>
      <w:r>
        <w:rPr>
          <w:rFonts w:hint="eastAsia" w:ascii="宋体" w:hAnsi="宋体" w:eastAsia="宋体" w:cs="宋体"/>
          <w:color w:val="auto"/>
          <w:kern w:val="0"/>
          <w:highlight w:val="none"/>
          <w:lang w:bidi="ar"/>
        </w:rPr>
        <w:t>分</w:t>
      </w:r>
      <w:r>
        <w:rPr>
          <w:rFonts w:hint="eastAsia" w:ascii="宋体" w:hAnsi="宋体" w:eastAsia="宋体" w:cs="宋体"/>
          <w:color w:val="auto"/>
          <w:kern w:val="0"/>
          <w:highlight w:val="none"/>
          <w:lang w:eastAsia="zh-CN" w:bidi="ar"/>
        </w:rPr>
        <w:t>，具有助理工程师的得</w:t>
      </w:r>
      <w:r>
        <w:rPr>
          <w:rFonts w:hint="eastAsia" w:ascii="宋体" w:hAnsi="宋体" w:eastAsia="宋体" w:cs="宋体"/>
          <w:color w:val="auto"/>
          <w:kern w:val="0"/>
          <w:highlight w:val="none"/>
          <w:lang w:val="en-US" w:eastAsia="zh-CN" w:bidi="ar"/>
        </w:rPr>
        <w:t>1分。</w:t>
      </w:r>
      <w:r>
        <w:rPr>
          <w:rFonts w:hint="eastAsia" w:ascii="宋体" w:hAnsi="宋体" w:eastAsia="宋体" w:cs="宋体"/>
          <w:b/>
          <w:bCs/>
          <w:color w:val="auto"/>
          <w:highlight w:val="none"/>
        </w:rPr>
        <w:t>（满分</w:t>
      </w: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rPr>
        <w:t>分）</w:t>
      </w:r>
    </w:p>
    <w:p w14:paraId="1679EA9B">
      <w:pPr>
        <w:pStyle w:val="85"/>
        <w:keepNext w:val="0"/>
        <w:keepLines w:val="0"/>
        <w:pageBreakBefore w:val="0"/>
        <w:kinsoku/>
        <w:wordWrap/>
        <w:overflowPunct/>
        <w:topLinePunct w:val="0"/>
        <w:autoSpaceDE/>
        <w:autoSpaceDN/>
        <w:bidi w:val="0"/>
        <w:adjustRightInd/>
        <w:snapToGrid w:val="0"/>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技术负责人职</w:t>
      </w:r>
      <w:bookmarkStart w:id="1996" w:name="_GoBack"/>
      <w:bookmarkEnd w:id="1996"/>
      <w:r>
        <w:rPr>
          <w:rFonts w:hint="eastAsia" w:ascii="宋体" w:hAnsi="宋体" w:eastAsia="宋体" w:cs="宋体"/>
          <w:color w:val="auto"/>
          <w:highlight w:val="none"/>
        </w:rPr>
        <w:t>称：具有工程师或以上职称的得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分，具有助理工程师的得</w:t>
      </w:r>
      <w:r>
        <w:rPr>
          <w:rFonts w:hint="eastAsia" w:ascii="宋体" w:hAnsi="宋体" w:eastAsia="宋体" w:cs="宋体"/>
          <w:color w:val="auto"/>
          <w:highlight w:val="none"/>
          <w:lang w:val="en-US" w:eastAsia="zh-CN"/>
        </w:rPr>
        <w:t>0.5</w:t>
      </w:r>
      <w:r>
        <w:rPr>
          <w:rFonts w:hint="eastAsia" w:ascii="宋体" w:hAnsi="宋体" w:eastAsia="宋体" w:cs="宋体"/>
          <w:color w:val="auto"/>
          <w:highlight w:val="none"/>
        </w:rPr>
        <w:t>分。</w:t>
      </w:r>
      <w:r>
        <w:rPr>
          <w:rFonts w:hint="eastAsia" w:ascii="宋体" w:hAnsi="宋体" w:eastAsia="宋体" w:cs="宋体"/>
          <w:b/>
          <w:bCs/>
          <w:color w:val="auto"/>
          <w:highlight w:val="none"/>
        </w:rPr>
        <w:t>（满分</w:t>
      </w: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rPr>
        <w:t>分）</w:t>
      </w:r>
    </w:p>
    <w:p w14:paraId="59CA63B9">
      <w:pPr>
        <w:keepNext w:val="0"/>
        <w:keepLines w:val="0"/>
        <w:pageBreakBefore w:val="0"/>
        <w:widowControl/>
        <w:kinsoku/>
        <w:wordWrap/>
        <w:overflowPunct/>
        <w:topLinePunct w:val="0"/>
        <w:autoSpaceDE/>
        <w:autoSpaceDN/>
        <w:bidi w:val="0"/>
        <w:adjustRightInd/>
        <w:spacing w:line="360" w:lineRule="auto"/>
        <w:ind w:firstLine="210" w:firstLineChars="100"/>
        <w:jc w:val="left"/>
        <w:textAlignment w:val="center"/>
        <w:rPr>
          <w:rFonts w:hint="eastAsia" w:ascii="宋体" w:hAnsi="宋体" w:eastAsia="宋体" w:cs="宋体"/>
          <w:b/>
          <w:bCs/>
          <w:color w:val="auto"/>
          <w:highlight w:val="none"/>
        </w:rPr>
      </w:pPr>
      <w:r>
        <w:rPr>
          <w:rFonts w:hint="eastAsia" w:ascii="宋体" w:hAnsi="宋体" w:eastAsia="宋体" w:cs="宋体"/>
          <w:color w:val="auto"/>
          <w:kern w:val="0"/>
          <w:highlight w:val="none"/>
          <w:lang w:eastAsia="zh-CN" w:bidi="ar"/>
        </w:rPr>
        <w:t>（</w:t>
      </w:r>
      <w:r>
        <w:rPr>
          <w:rFonts w:hint="eastAsia" w:ascii="宋体" w:hAnsi="宋体" w:eastAsia="宋体" w:cs="宋体"/>
          <w:color w:val="auto"/>
          <w:kern w:val="0"/>
          <w:highlight w:val="none"/>
          <w:lang w:val="en-US" w:eastAsia="zh-CN" w:bidi="ar"/>
        </w:rPr>
        <w:t>3</w:t>
      </w:r>
      <w:r>
        <w:rPr>
          <w:rFonts w:hint="eastAsia" w:ascii="宋体" w:hAnsi="宋体" w:eastAsia="宋体" w:cs="宋体"/>
          <w:color w:val="auto"/>
          <w:kern w:val="0"/>
          <w:highlight w:val="none"/>
          <w:lang w:eastAsia="zh-CN" w:bidi="ar"/>
        </w:rPr>
        <w:t>）</w:t>
      </w:r>
      <w:r>
        <w:rPr>
          <w:rFonts w:hint="eastAsia" w:ascii="宋体" w:hAnsi="宋体" w:eastAsia="宋体" w:cs="宋体"/>
          <w:color w:val="auto"/>
          <w:kern w:val="0"/>
          <w:highlight w:val="none"/>
          <w:lang w:bidi="ar"/>
        </w:rPr>
        <w:t>安全员具备有效的岗位证</w:t>
      </w:r>
      <w:r>
        <w:rPr>
          <w:rFonts w:hint="eastAsia" w:ascii="宋体" w:hAnsi="宋体" w:eastAsia="宋体" w:cs="宋体"/>
          <w:color w:val="auto"/>
          <w:kern w:val="0"/>
          <w:highlight w:val="none"/>
          <w:lang w:eastAsia="zh-CN" w:bidi="ar"/>
        </w:rPr>
        <w:t>书</w:t>
      </w:r>
      <w:r>
        <w:rPr>
          <w:rFonts w:hint="eastAsia" w:ascii="宋体" w:hAnsi="宋体" w:eastAsia="宋体" w:cs="宋体"/>
          <w:color w:val="auto"/>
          <w:kern w:val="0"/>
          <w:highlight w:val="none"/>
          <w:lang w:bidi="ar"/>
        </w:rPr>
        <w:t>及安全生产考核合格证书（C类）且同时</w:t>
      </w:r>
      <w:r>
        <w:rPr>
          <w:rFonts w:hint="eastAsia" w:ascii="宋体" w:hAnsi="宋体" w:eastAsia="宋体" w:cs="宋体"/>
          <w:color w:val="auto"/>
          <w:highlight w:val="none"/>
        </w:rPr>
        <w:t>具有工程师或以上职称的得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分，具有助理工程师的得</w:t>
      </w:r>
      <w:r>
        <w:rPr>
          <w:rFonts w:hint="eastAsia" w:ascii="宋体" w:hAnsi="宋体" w:eastAsia="宋体" w:cs="宋体"/>
          <w:color w:val="auto"/>
          <w:highlight w:val="none"/>
          <w:lang w:val="en-US" w:eastAsia="zh-CN"/>
        </w:rPr>
        <w:t>0.5</w:t>
      </w:r>
      <w:r>
        <w:rPr>
          <w:rFonts w:hint="eastAsia" w:ascii="宋体" w:hAnsi="宋体" w:eastAsia="宋体" w:cs="宋体"/>
          <w:color w:val="auto"/>
          <w:highlight w:val="none"/>
        </w:rPr>
        <w:t>分。</w:t>
      </w:r>
      <w:r>
        <w:rPr>
          <w:rFonts w:hint="eastAsia" w:ascii="宋体" w:hAnsi="宋体" w:eastAsia="宋体" w:cs="宋体"/>
          <w:b/>
          <w:bCs/>
          <w:color w:val="auto"/>
          <w:highlight w:val="none"/>
        </w:rPr>
        <w:t>（满分</w:t>
      </w: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rPr>
        <w:t>分）</w:t>
      </w:r>
    </w:p>
    <w:p w14:paraId="4CB0F24B">
      <w:pPr>
        <w:pageBreakBefore w:val="0"/>
        <w:widowControl/>
        <w:kinsoku/>
        <w:wordWrap/>
        <w:overflowPunct/>
        <w:topLinePunct w:val="0"/>
        <w:bidi w:val="0"/>
        <w:spacing w:line="360" w:lineRule="auto"/>
        <w:ind w:firstLine="210" w:firstLineChars="100"/>
        <w:jc w:val="left"/>
        <w:textAlignment w:val="center"/>
        <w:rPr>
          <w:rFonts w:hint="eastAsia" w:ascii="宋体" w:hAnsi="宋体" w:eastAsia="宋体" w:cs="宋体"/>
          <w:b/>
          <w:bCs/>
          <w:color w:val="auto"/>
          <w:kern w:val="0"/>
          <w:highlight w:val="none"/>
          <w:lang w:bidi="ar"/>
        </w:rPr>
      </w:pPr>
      <w:r>
        <w:rPr>
          <w:rFonts w:hint="eastAsia" w:ascii="宋体" w:hAnsi="宋体" w:eastAsia="宋体" w:cs="宋体"/>
          <w:color w:val="auto"/>
          <w:kern w:val="0"/>
          <w:highlight w:val="none"/>
          <w:lang w:val="en-US" w:eastAsia="zh-CN" w:bidi="ar"/>
        </w:rPr>
        <w:t>（4）</w:t>
      </w:r>
      <w:r>
        <w:rPr>
          <w:rFonts w:hint="eastAsia" w:ascii="宋体" w:hAnsi="宋体" w:eastAsia="宋体" w:cs="宋体"/>
          <w:color w:val="auto"/>
          <w:kern w:val="0"/>
          <w:highlight w:val="none"/>
          <w:lang w:bidi="ar"/>
        </w:rPr>
        <w:t>施工员具备有效的岗位证</w:t>
      </w:r>
      <w:r>
        <w:rPr>
          <w:rFonts w:hint="eastAsia" w:ascii="宋体" w:hAnsi="宋体" w:eastAsia="宋体" w:cs="宋体"/>
          <w:color w:val="auto"/>
          <w:kern w:val="0"/>
          <w:highlight w:val="none"/>
          <w:lang w:eastAsia="zh-CN" w:bidi="ar"/>
        </w:rPr>
        <w:t>书同时</w:t>
      </w:r>
      <w:r>
        <w:rPr>
          <w:rFonts w:hint="eastAsia" w:ascii="宋体" w:hAnsi="宋体" w:eastAsia="宋体" w:cs="宋体"/>
          <w:color w:val="auto"/>
          <w:kern w:val="0"/>
          <w:highlight w:val="none"/>
          <w:lang w:bidi="ar"/>
        </w:rPr>
        <w:t>具有工程师或以上职称的得</w:t>
      </w:r>
      <w:r>
        <w:rPr>
          <w:rFonts w:hint="eastAsia" w:ascii="宋体" w:hAnsi="宋体" w:eastAsia="宋体" w:cs="宋体"/>
          <w:color w:val="auto"/>
          <w:kern w:val="0"/>
          <w:highlight w:val="none"/>
          <w:lang w:val="en-US" w:eastAsia="zh-CN" w:bidi="ar"/>
        </w:rPr>
        <w:t>1</w:t>
      </w:r>
      <w:r>
        <w:rPr>
          <w:rFonts w:hint="eastAsia" w:ascii="宋体" w:hAnsi="宋体" w:eastAsia="宋体" w:cs="宋体"/>
          <w:color w:val="auto"/>
          <w:kern w:val="0"/>
          <w:highlight w:val="none"/>
          <w:lang w:bidi="ar"/>
        </w:rPr>
        <w:t>分，具有助理工程师的得</w:t>
      </w:r>
      <w:r>
        <w:rPr>
          <w:rFonts w:hint="eastAsia" w:ascii="宋体" w:hAnsi="宋体" w:eastAsia="宋体" w:cs="宋体"/>
          <w:color w:val="auto"/>
          <w:kern w:val="0"/>
          <w:highlight w:val="none"/>
          <w:lang w:val="en-US" w:eastAsia="zh-CN" w:bidi="ar"/>
        </w:rPr>
        <w:t>0.5</w:t>
      </w:r>
      <w:r>
        <w:rPr>
          <w:rFonts w:hint="eastAsia" w:ascii="宋体" w:hAnsi="宋体" w:eastAsia="宋体" w:cs="宋体"/>
          <w:color w:val="auto"/>
          <w:kern w:val="0"/>
          <w:highlight w:val="none"/>
          <w:lang w:bidi="ar"/>
        </w:rPr>
        <w:t>分。</w:t>
      </w:r>
      <w:r>
        <w:rPr>
          <w:rFonts w:hint="eastAsia" w:ascii="宋体" w:hAnsi="宋体" w:eastAsia="宋体" w:cs="宋体"/>
          <w:b/>
          <w:bCs/>
          <w:color w:val="auto"/>
          <w:kern w:val="0"/>
          <w:highlight w:val="none"/>
          <w:lang w:bidi="ar"/>
        </w:rPr>
        <w:t>（满分</w:t>
      </w:r>
      <w:r>
        <w:rPr>
          <w:rFonts w:hint="eastAsia" w:ascii="宋体" w:hAnsi="宋体" w:eastAsia="宋体" w:cs="宋体"/>
          <w:b/>
          <w:bCs/>
          <w:color w:val="auto"/>
          <w:kern w:val="0"/>
          <w:highlight w:val="none"/>
          <w:lang w:val="en-US" w:eastAsia="zh-CN" w:bidi="ar"/>
        </w:rPr>
        <w:t>1</w:t>
      </w:r>
      <w:r>
        <w:rPr>
          <w:rFonts w:hint="eastAsia" w:ascii="宋体" w:hAnsi="宋体" w:eastAsia="宋体" w:cs="宋体"/>
          <w:b/>
          <w:bCs/>
          <w:color w:val="auto"/>
          <w:kern w:val="0"/>
          <w:highlight w:val="none"/>
          <w:lang w:bidi="ar"/>
        </w:rPr>
        <w:t>分）</w:t>
      </w:r>
    </w:p>
    <w:p w14:paraId="33C69DBD">
      <w:pPr>
        <w:pageBreakBefore w:val="0"/>
        <w:widowControl w:val="0"/>
        <w:numPr>
          <w:ilvl w:val="0"/>
          <w:numId w:val="3"/>
        </w:numPr>
        <w:tabs>
          <w:tab w:val="left" w:pos="1305"/>
        </w:tabs>
        <w:kinsoku/>
        <w:wordWrap/>
        <w:overflowPunct/>
        <w:topLinePunct w:val="0"/>
        <w:bidi w:val="0"/>
        <w:snapToGrid/>
        <w:spacing w:line="360" w:lineRule="auto"/>
        <w:ind w:left="-1" w:leftChars="0" w:firstLine="211" w:firstLineChars="0"/>
        <w:textAlignment w:val="auto"/>
        <w:rPr>
          <w:rFonts w:hint="eastAsia" w:ascii="宋体" w:hAnsi="宋体" w:eastAsia="宋体" w:cs="宋体"/>
          <w:b/>
          <w:bCs/>
          <w:color w:val="auto"/>
          <w:szCs w:val="21"/>
          <w:highlight w:val="none"/>
        </w:rPr>
      </w:pPr>
      <w:r>
        <w:rPr>
          <w:rFonts w:hint="eastAsia" w:ascii="宋体" w:hAnsi="宋体" w:eastAsia="宋体" w:cs="宋体"/>
          <w:b/>
          <w:bCs/>
          <w:color w:val="auto"/>
          <w:highlight w:val="none"/>
          <w:lang w:val="en-US" w:eastAsia="zh-CN"/>
        </w:rPr>
        <w:t>业绩分</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分</w:t>
      </w:r>
    </w:p>
    <w:p w14:paraId="35167BA2">
      <w:pPr>
        <w:pageBreakBefore w:val="0"/>
        <w:widowControl w:val="0"/>
        <w:tabs>
          <w:tab w:val="left" w:pos="1305"/>
        </w:tabs>
        <w:kinsoku/>
        <w:wordWrap/>
        <w:overflowPunct/>
        <w:topLinePunct w:val="0"/>
        <w:bidi w:val="0"/>
        <w:snapToGrid/>
        <w:spacing w:line="360" w:lineRule="auto"/>
        <w:ind w:firstLine="210" w:firstLineChars="10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lang w:val="en-US" w:eastAsia="zh-CN"/>
        </w:rPr>
        <w:t>202</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年1月1日以来</w:t>
      </w:r>
      <w:r>
        <w:rPr>
          <w:rFonts w:hint="eastAsia" w:ascii="宋体" w:hAnsi="宋体" w:eastAsia="宋体" w:cs="宋体"/>
          <w:color w:val="auto"/>
          <w:highlight w:val="none"/>
        </w:rPr>
        <w:t>完成的</w:t>
      </w:r>
      <w:r>
        <w:rPr>
          <w:rFonts w:hint="eastAsia" w:ascii="宋体" w:hAnsi="宋体" w:eastAsia="宋体" w:cs="宋体"/>
          <w:color w:val="auto"/>
          <w:highlight w:val="none"/>
          <w:lang w:eastAsia="zh-CN"/>
        </w:rPr>
        <w:t>类似项目（</w:t>
      </w:r>
      <w:r>
        <w:rPr>
          <w:rFonts w:hint="eastAsia" w:ascii="宋体" w:hAnsi="宋体" w:eastAsia="宋体" w:cs="宋体"/>
          <w:color w:val="auto"/>
          <w:highlight w:val="none"/>
          <w:lang w:val="en-US" w:eastAsia="zh-CN"/>
        </w:rPr>
        <w:t>建筑</w:t>
      </w:r>
      <w:r>
        <w:rPr>
          <w:rFonts w:hint="eastAsia" w:ascii="宋体" w:hAnsi="宋体" w:eastAsia="宋体" w:cs="宋体"/>
          <w:color w:val="auto"/>
          <w:highlight w:val="none"/>
          <w:lang w:eastAsia="zh-CN"/>
        </w:rPr>
        <w:t>工程施工）业绩，每提供一个得</w:t>
      </w:r>
      <w:r>
        <w:rPr>
          <w:rFonts w:hint="eastAsia" w:ascii="宋体" w:hAnsi="宋体" w:eastAsia="宋体" w:cs="宋体"/>
          <w:color w:val="auto"/>
          <w:highlight w:val="none"/>
          <w:lang w:val="en-US" w:eastAsia="zh-CN"/>
        </w:rPr>
        <w:t>2.5分，满分5分。</w:t>
      </w:r>
      <w:r>
        <w:rPr>
          <w:rFonts w:hint="eastAsia" w:ascii="宋体" w:hAnsi="宋体" w:eastAsia="宋体" w:cs="宋体"/>
          <w:color w:val="auto"/>
          <w:kern w:val="2"/>
          <w:sz w:val="21"/>
          <w:szCs w:val="24"/>
          <w:highlight w:val="none"/>
          <w:lang w:val="en-US" w:eastAsia="zh-CN" w:bidi="ar-SA"/>
        </w:rPr>
        <w:t>以中标、成交通知书或签订的合同为准。</w:t>
      </w:r>
    </w:p>
    <w:p w14:paraId="255BFBA2">
      <w:pPr>
        <w:pStyle w:val="264"/>
        <w:spacing w:line="360" w:lineRule="auto"/>
        <w:ind w:left="0" w:leftChars="0" w:firstLine="0"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 xml:space="preserve">  5、综合得分＝1+2+3+4</w:t>
      </w:r>
    </w:p>
    <w:p w14:paraId="5C50F69A">
      <w:pPr>
        <w:tabs>
          <w:tab w:val="left" w:pos="1305"/>
        </w:tabs>
        <w:spacing w:line="360" w:lineRule="auto"/>
        <w:ind w:firstLine="211" w:firstLineChar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三、推荐成交候选人原则</w:t>
      </w:r>
    </w:p>
    <w:p w14:paraId="39789BCF">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lang w:eastAsia="zh-CN"/>
        </w:rPr>
        <w:t>（</w:t>
      </w:r>
      <w:r>
        <w:rPr>
          <w:rFonts w:hint="eastAsia" w:ascii="宋体" w:hAnsi="宋体" w:eastAsia="宋体" w:cs="宋体"/>
          <w:color w:val="000000"/>
          <w:sz w:val="21"/>
          <w:szCs w:val="21"/>
          <w:highlight w:val="none"/>
          <w:shd w:val="clear" w:color="auto" w:fill="auto"/>
          <w:lang w:val="en-US" w:eastAsia="zh-CN"/>
        </w:rPr>
        <w:t>1</w:t>
      </w:r>
      <w:r>
        <w:rPr>
          <w:rFonts w:hint="eastAsia" w:ascii="宋体" w:hAnsi="宋体" w:eastAsia="宋体" w:cs="宋体"/>
          <w:color w:val="000000"/>
          <w:sz w:val="21"/>
          <w:szCs w:val="21"/>
          <w:highlight w:val="none"/>
          <w:shd w:val="clear" w:color="auto" w:fill="auto"/>
          <w:lang w:eastAsia="zh-CN"/>
        </w:rPr>
        <w:t>）</w:t>
      </w:r>
      <w:r>
        <w:rPr>
          <w:rFonts w:hint="eastAsia" w:ascii="宋体" w:hAnsi="宋体" w:eastAsia="宋体" w:cs="宋体"/>
          <w:color w:val="000000"/>
          <w:sz w:val="21"/>
          <w:szCs w:val="21"/>
          <w:highlight w:val="none"/>
          <w:shd w:val="clear" w:color="auto" w:fill="auto"/>
        </w:rPr>
        <w:t>磋商小组应当根据综合得分情况，按照综合得分由高到低顺序推荐成交候选人，并编写评审报告。磋商小组根据综合得分由高到低排列次序，若得分相同时，以最后报价由低到高顺序排列；若得分相同且最后报价相同的，由磋商小组按照技术指标优劣顺序推荐。</w:t>
      </w:r>
    </w:p>
    <w:p w14:paraId="1AD903AB">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lang w:eastAsia="zh-CN"/>
        </w:rPr>
        <w:t>（</w:t>
      </w:r>
      <w:r>
        <w:rPr>
          <w:rFonts w:hint="eastAsia" w:ascii="宋体" w:hAnsi="宋体" w:eastAsia="宋体" w:cs="宋体"/>
          <w:color w:val="000000"/>
          <w:sz w:val="21"/>
          <w:szCs w:val="21"/>
          <w:highlight w:val="none"/>
          <w:shd w:val="clear" w:color="auto" w:fill="auto"/>
          <w:lang w:val="en-US" w:eastAsia="zh-CN"/>
        </w:rPr>
        <w:t>2</w:t>
      </w:r>
      <w:r>
        <w:rPr>
          <w:rFonts w:hint="eastAsia" w:ascii="宋体" w:hAnsi="宋体" w:eastAsia="宋体" w:cs="宋体"/>
          <w:color w:val="000000"/>
          <w:sz w:val="21"/>
          <w:szCs w:val="21"/>
          <w:highlight w:val="none"/>
          <w:shd w:val="clear" w:color="auto" w:fill="auto"/>
          <w:lang w:eastAsia="zh-CN"/>
        </w:rPr>
        <w:t>）</w:t>
      </w:r>
      <w:r>
        <w:rPr>
          <w:rFonts w:hint="eastAsia" w:ascii="宋体" w:hAnsi="宋体" w:eastAsia="宋体" w:cs="宋体"/>
          <w:color w:val="000000"/>
          <w:sz w:val="21"/>
          <w:szCs w:val="21"/>
          <w:highlight w:val="none"/>
          <w:shd w:val="clear" w:color="auto" w:fill="auto"/>
        </w:rPr>
        <w:t>采购单位应当确定磋商小组推荐排名第一的成交候选人为成交供应商。</w:t>
      </w:r>
    </w:p>
    <w:p w14:paraId="3C8B1C76">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lang w:eastAsia="zh-CN"/>
        </w:rPr>
        <w:t>（</w:t>
      </w:r>
      <w:r>
        <w:rPr>
          <w:rFonts w:hint="eastAsia" w:ascii="宋体" w:hAnsi="宋体" w:eastAsia="宋体" w:cs="宋体"/>
          <w:color w:val="000000"/>
          <w:sz w:val="21"/>
          <w:szCs w:val="21"/>
          <w:highlight w:val="none"/>
          <w:shd w:val="clear" w:color="auto" w:fill="auto"/>
          <w:lang w:val="en-US" w:eastAsia="zh-CN"/>
        </w:rPr>
        <w:t>3</w:t>
      </w:r>
      <w:r>
        <w:rPr>
          <w:rFonts w:hint="eastAsia" w:ascii="宋体" w:hAnsi="宋体" w:eastAsia="宋体" w:cs="宋体"/>
          <w:color w:val="000000"/>
          <w:sz w:val="21"/>
          <w:szCs w:val="21"/>
          <w:highlight w:val="none"/>
          <w:shd w:val="clear" w:color="auto" w:fill="auto"/>
          <w:lang w:eastAsia="zh-CN"/>
        </w:rPr>
        <w:t>）</w:t>
      </w:r>
      <w:r>
        <w:rPr>
          <w:rFonts w:hint="eastAsia" w:ascii="宋体" w:hAnsi="宋体" w:eastAsia="宋体" w:cs="宋体"/>
          <w:color w:val="000000"/>
          <w:sz w:val="21"/>
          <w:szCs w:val="21"/>
          <w:highlight w:val="none"/>
          <w:shd w:val="clear" w:color="auto" w:fill="auto"/>
        </w:rPr>
        <w:t>排名第一的成交候选人放弃成交、因不可抗力提出不能履行合同，或信用信息记录不符合相关规定的，或者磋商文件规定应当提交履约保证金而在规定的期限内未能提交的，采购单位可以依法确定排名第二的成交候选人为成交供应商。</w:t>
      </w:r>
    </w:p>
    <w:p w14:paraId="33485B65">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lang w:eastAsia="zh-CN"/>
        </w:rPr>
        <w:t>（</w:t>
      </w:r>
      <w:r>
        <w:rPr>
          <w:rFonts w:hint="eastAsia" w:ascii="宋体" w:hAnsi="宋体" w:eastAsia="宋体" w:cs="宋体"/>
          <w:color w:val="000000"/>
          <w:sz w:val="21"/>
          <w:szCs w:val="21"/>
          <w:highlight w:val="none"/>
          <w:shd w:val="clear" w:color="auto" w:fill="auto"/>
          <w:lang w:val="en-US" w:eastAsia="zh-CN"/>
        </w:rPr>
        <w:t>4</w:t>
      </w:r>
      <w:r>
        <w:rPr>
          <w:rFonts w:hint="eastAsia" w:ascii="宋体" w:hAnsi="宋体" w:eastAsia="宋体" w:cs="宋体"/>
          <w:color w:val="000000"/>
          <w:sz w:val="21"/>
          <w:szCs w:val="21"/>
          <w:highlight w:val="none"/>
          <w:shd w:val="clear" w:color="auto" w:fill="auto"/>
          <w:lang w:eastAsia="zh-CN"/>
        </w:rPr>
        <w:t>）</w:t>
      </w:r>
      <w:r>
        <w:rPr>
          <w:rFonts w:hint="eastAsia" w:ascii="宋体" w:hAnsi="宋体" w:eastAsia="宋体" w:cs="宋体"/>
          <w:color w:val="000000"/>
          <w:sz w:val="21"/>
          <w:szCs w:val="21"/>
          <w:highlight w:val="none"/>
          <w:shd w:val="clear" w:color="auto" w:fill="auto"/>
        </w:rPr>
        <w:t>排名第二的成交候选人因前款规定的同样原因不能签订合同的，采购单位可以依法确定排名第三的成交候选人为成交供应商。</w:t>
      </w:r>
    </w:p>
    <w:p w14:paraId="4F681ED9">
      <w:pPr>
        <w:pStyle w:val="80"/>
        <w:spacing w:line="360" w:lineRule="auto"/>
        <w:rPr>
          <w:rFonts w:hint="eastAsia" w:ascii="宋体" w:hAnsi="宋体" w:eastAsia="宋体" w:cs="宋体"/>
          <w:color w:val="auto"/>
          <w:highlight w:val="none"/>
        </w:rPr>
      </w:pPr>
    </w:p>
    <w:p w14:paraId="11B731F2">
      <w:pPr>
        <w:pStyle w:val="3"/>
        <w:tabs>
          <w:tab w:val="left" w:pos="0"/>
        </w:tabs>
        <w:autoSpaceDE w:val="0"/>
        <w:autoSpaceDN w:val="0"/>
        <w:adjustRightInd w:val="0"/>
        <w:spacing w:before="0" w:after="0" w:line="360" w:lineRule="auto"/>
        <w:jc w:val="center"/>
        <w:rPr>
          <w:rFonts w:hint="eastAsia" w:ascii="宋体" w:hAnsi="宋体" w:eastAsia="宋体" w:cs="宋体"/>
          <w:color w:val="auto"/>
          <w:sz w:val="32"/>
          <w:szCs w:val="32"/>
          <w:highlight w:val="none"/>
        </w:rPr>
      </w:pPr>
    </w:p>
    <w:p w14:paraId="21F9DBD9">
      <w:pPr>
        <w:rPr>
          <w:rFonts w:hint="eastAsia" w:ascii="宋体" w:hAnsi="宋体" w:eastAsia="宋体" w:cs="宋体"/>
          <w:color w:val="000000"/>
          <w:highlight w:val="none"/>
          <w:shd w:val="clear" w:color="auto" w:fill="auto"/>
        </w:rPr>
      </w:pPr>
    </w:p>
    <w:p w14:paraId="5E2A33FE">
      <w:pPr>
        <w:pStyle w:val="2"/>
        <w:rPr>
          <w:rFonts w:hint="eastAsia" w:ascii="宋体" w:hAnsi="宋体" w:eastAsia="宋体" w:cs="宋体"/>
          <w:color w:val="000000"/>
          <w:highlight w:val="none"/>
          <w:shd w:val="clear" w:color="auto" w:fill="auto"/>
        </w:rPr>
      </w:pPr>
    </w:p>
    <w:p w14:paraId="0C4B1B4D">
      <w:pPr>
        <w:spacing w:line="460" w:lineRule="exact"/>
        <w:rPr>
          <w:rFonts w:hint="eastAsia" w:ascii="宋体" w:hAnsi="宋体" w:eastAsia="宋体" w:cs="宋体"/>
          <w:color w:val="000000"/>
          <w:sz w:val="32"/>
          <w:szCs w:val="32"/>
          <w:highlight w:val="none"/>
          <w:shd w:val="clear" w:color="auto" w:fill="auto"/>
        </w:rPr>
      </w:pPr>
      <w:bookmarkStart w:id="248" w:name="_Toc17369"/>
      <w:r>
        <w:rPr>
          <w:rFonts w:hint="eastAsia" w:ascii="宋体" w:hAnsi="宋体" w:eastAsia="宋体" w:cs="宋体"/>
          <w:b/>
          <w:bCs/>
          <w:color w:val="000000"/>
          <w:sz w:val="24"/>
          <w:highlight w:val="none"/>
          <w:shd w:val="clear" w:color="auto" w:fill="auto"/>
        </w:rPr>
        <w:br w:type="page"/>
      </w:r>
      <w:bookmarkEnd w:id="248"/>
    </w:p>
    <w:p w14:paraId="6A47AA47">
      <w:pPr>
        <w:pStyle w:val="3"/>
        <w:tabs>
          <w:tab w:val="left" w:pos="0"/>
        </w:tabs>
        <w:autoSpaceDE w:val="0"/>
        <w:autoSpaceDN w:val="0"/>
        <w:adjustRightInd w:val="0"/>
        <w:spacing w:before="0" w:after="0" w:line="360" w:lineRule="auto"/>
        <w:jc w:val="center"/>
        <w:rPr>
          <w:rFonts w:hint="eastAsia" w:ascii="宋体" w:hAnsi="宋体" w:eastAsia="宋体" w:cs="宋体"/>
          <w:color w:val="auto"/>
          <w:sz w:val="32"/>
          <w:szCs w:val="32"/>
          <w:highlight w:val="none"/>
        </w:rPr>
      </w:pPr>
      <w:bookmarkStart w:id="249" w:name="_Toc20844"/>
      <w:bookmarkStart w:id="250" w:name="_Toc10473"/>
      <w:r>
        <w:rPr>
          <w:rFonts w:hint="eastAsia" w:ascii="宋体" w:hAnsi="宋体" w:eastAsia="宋体" w:cs="宋体"/>
          <w:color w:val="000000"/>
          <w:sz w:val="32"/>
          <w:szCs w:val="32"/>
          <w:highlight w:val="none"/>
          <w:shd w:val="clear" w:color="auto" w:fill="auto"/>
        </w:rPr>
        <w:t>第</w:t>
      </w:r>
      <w:r>
        <w:rPr>
          <w:rFonts w:hint="eastAsia" w:ascii="宋体" w:hAnsi="宋体" w:eastAsia="宋体" w:cs="宋体"/>
          <w:color w:val="000000"/>
          <w:sz w:val="32"/>
          <w:szCs w:val="32"/>
          <w:highlight w:val="none"/>
          <w:shd w:val="clear" w:color="auto" w:fill="auto"/>
          <w:lang w:eastAsia="zh-CN"/>
        </w:rPr>
        <w:t>五</w:t>
      </w:r>
      <w:r>
        <w:rPr>
          <w:rFonts w:hint="eastAsia" w:ascii="宋体" w:hAnsi="宋体" w:eastAsia="宋体" w:cs="宋体"/>
          <w:color w:val="000000"/>
          <w:sz w:val="32"/>
          <w:szCs w:val="32"/>
          <w:highlight w:val="none"/>
          <w:shd w:val="clear" w:color="auto" w:fill="auto"/>
        </w:rPr>
        <w:t xml:space="preserve">章  </w:t>
      </w:r>
      <w:bookmarkEnd w:id="241"/>
      <w:bookmarkEnd w:id="249"/>
      <w:bookmarkEnd w:id="250"/>
      <w:r>
        <w:rPr>
          <w:rFonts w:hint="eastAsia" w:ascii="宋体" w:hAnsi="宋体" w:eastAsia="宋体" w:cs="宋体"/>
          <w:color w:val="auto"/>
          <w:sz w:val="32"/>
          <w:szCs w:val="32"/>
          <w:highlight w:val="none"/>
        </w:rPr>
        <w:t xml:space="preserve"> 采购合同（合同主要条款及格式）</w:t>
      </w:r>
    </w:p>
    <w:bookmarkEnd w:id="242"/>
    <w:bookmarkEnd w:id="243"/>
    <w:bookmarkEnd w:id="244"/>
    <w:p w14:paraId="7410637D">
      <w:pPr>
        <w:pStyle w:val="94"/>
        <w:numPr>
          <w:ilvl w:val="0"/>
          <w:numId w:val="4"/>
        </w:numPr>
        <w:spacing w:line="360" w:lineRule="auto"/>
        <w:jc w:val="center"/>
        <w:rPr>
          <w:rFonts w:hint="eastAsia" w:ascii="宋体" w:hAnsi="宋体" w:eastAsia="宋体" w:cs="宋体"/>
          <w:color w:val="auto"/>
          <w:sz w:val="32"/>
          <w:highlight w:val="none"/>
        </w:rPr>
      </w:pPr>
      <w:bookmarkStart w:id="251" w:name="_Toc12319"/>
      <w:bookmarkStart w:id="252" w:name="_Toc522201558"/>
      <w:bookmarkStart w:id="253" w:name="_Toc256000031"/>
      <w:bookmarkStart w:id="254" w:name="_Toc73275791"/>
      <w:bookmarkStart w:id="255" w:name="_Toc407135283"/>
      <w:bookmarkStart w:id="256" w:name="_Toc26599"/>
      <w:bookmarkStart w:id="257" w:name="_Toc498945559"/>
      <w:bookmarkStart w:id="258" w:name="_Toc358569763"/>
      <w:bookmarkStart w:id="259" w:name="_Toc3054_WPSOffice_Level1"/>
      <w:bookmarkStart w:id="260" w:name="_Toc30015"/>
      <w:bookmarkStart w:id="261" w:name="_Toc10014"/>
      <w:bookmarkStart w:id="262" w:name="_Toc23350"/>
      <w:bookmarkStart w:id="263" w:name="_Toc24269"/>
      <w:r>
        <w:rPr>
          <w:rFonts w:hint="eastAsia" w:ascii="宋体" w:hAnsi="宋体" w:eastAsia="宋体" w:cs="宋体"/>
          <w:color w:val="auto"/>
          <w:sz w:val="32"/>
          <w:highlight w:val="none"/>
        </w:rPr>
        <w:t>合同协议书</w:t>
      </w:r>
      <w:bookmarkEnd w:id="251"/>
      <w:bookmarkEnd w:id="252"/>
      <w:bookmarkEnd w:id="253"/>
    </w:p>
    <w:p w14:paraId="298A18D2">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发包人（全称）：</w:t>
      </w:r>
      <w:r>
        <w:rPr>
          <w:rFonts w:hint="eastAsia" w:ascii="宋体" w:hAnsi="宋体" w:eastAsia="宋体" w:cs="宋体"/>
          <w:color w:val="auto"/>
          <w:highlight w:val="none"/>
          <w:u w:val="single"/>
        </w:rPr>
        <w:t xml:space="preserve">                              </w:t>
      </w:r>
    </w:p>
    <w:p w14:paraId="6790065E">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承包人（全称）：</w:t>
      </w:r>
      <w:r>
        <w:rPr>
          <w:rFonts w:hint="eastAsia" w:ascii="宋体" w:hAnsi="宋体" w:eastAsia="宋体" w:cs="宋体"/>
          <w:color w:val="auto"/>
          <w:highlight w:val="none"/>
          <w:u w:val="single"/>
        </w:rPr>
        <w:t xml:space="preserve">                              </w:t>
      </w:r>
    </w:p>
    <w:p w14:paraId="00C92A7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根据《中华人民共和国民法典》、《中华人民共和国建筑法》及有关法律规定，遵循平等、自愿、公平和诚实信用的原则，双方就</w:t>
      </w:r>
      <w:r>
        <w:rPr>
          <w:rFonts w:hint="eastAsia" w:ascii="宋体" w:hAnsi="宋体" w:cs="宋体"/>
          <w:color w:val="auto"/>
          <w:highlight w:val="none"/>
          <w:u w:val="single"/>
          <w:lang w:eastAsia="zh-CN"/>
        </w:rPr>
        <w:t>汇通小学预制板房维修改造工程项目</w:t>
      </w:r>
      <w:r>
        <w:rPr>
          <w:rFonts w:hint="eastAsia" w:ascii="宋体" w:hAnsi="宋体" w:eastAsia="宋体" w:cs="宋体"/>
          <w:color w:val="auto"/>
          <w:highlight w:val="none"/>
        </w:rPr>
        <w:t>工程施工及有关事项协商一致，共同达成如下协议：</w:t>
      </w:r>
      <w:bookmarkStart w:id="264" w:name="_Toc351203481"/>
    </w:p>
    <w:p w14:paraId="73A67140">
      <w:pPr>
        <w:spacing w:line="360" w:lineRule="auto"/>
        <w:ind w:firstLine="422" w:firstLineChars="200"/>
        <w:outlineLvl w:val="0"/>
        <w:rPr>
          <w:rFonts w:hint="eastAsia" w:ascii="宋体" w:hAnsi="宋体" w:eastAsia="宋体" w:cs="宋体"/>
          <w:b/>
          <w:bCs/>
          <w:color w:val="auto"/>
          <w:highlight w:val="none"/>
        </w:rPr>
      </w:pPr>
      <w:r>
        <w:rPr>
          <w:rFonts w:hint="eastAsia" w:ascii="宋体" w:hAnsi="宋体" w:eastAsia="宋体" w:cs="宋体"/>
          <w:b/>
          <w:bCs/>
          <w:color w:val="auto"/>
          <w:highlight w:val="none"/>
        </w:rPr>
        <w:t>一、工程概况</w:t>
      </w:r>
      <w:bookmarkEnd w:id="264"/>
    </w:p>
    <w:p w14:paraId="57725132">
      <w:pPr>
        <w:spacing w:line="360" w:lineRule="auto"/>
        <w:ind w:firstLine="411" w:firstLineChars="196"/>
        <w:rPr>
          <w:rFonts w:hint="eastAsia" w:ascii="宋体" w:hAnsi="宋体" w:eastAsia="宋体" w:cs="宋体"/>
          <w:color w:val="auto"/>
          <w:highlight w:val="none"/>
          <w:u w:val="single"/>
        </w:rPr>
      </w:pPr>
      <w:r>
        <w:rPr>
          <w:rFonts w:hint="eastAsia" w:ascii="宋体" w:hAnsi="宋体" w:eastAsia="宋体" w:cs="宋体"/>
          <w:color w:val="auto"/>
          <w:highlight w:val="none"/>
        </w:rPr>
        <w:t>1. 工程名称：</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eastAsia="zh-CN"/>
        </w:rPr>
        <w:t>汇通小学预制板房维修改造工程项目</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3CCE145">
      <w:pPr>
        <w:spacing w:line="360" w:lineRule="auto"/>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2. 工程地点：</w:t>
      </w:r>
      <w:r>
        <w:rPr>
          <w:rFonts w:hint="eastAsia" w:ascii="宋体" w:hAnsi="宋体" w:eastAsia="宋体" w:cs="宋体"/>
          <w:color w:val="auto"/>
          <w:highlight w:val="none"/>
          <w:u w:val="single"/>
        </w:rPr>
        <w:t xml:space="preserve"> 桂林市</w:t>
      </w:r>
      <w:r>
        <w:rPr>
          <w:rFonts w:hint="eastAsia" w:ascii="宋体" w:hAnsi="宋体" w:eastAsia="宋体" w:cs="宋体"/>
          <w:color w:val="auto"/>
          <w:highlight w:val="none"/>
          <w:u w:val="single"/>
          <w:lang w:eastAsia="zh-CN"/>
        </w:rPr>
        <w:t>七星区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7C3C298">
      <w:pPr>
        <w:spacing w:line="360" w:lineRule="auto"/>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3. 工程立项批准文号：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3587599">
      <w:pPr>
        <w:spacing w:line="360" w:lineRule="auto"/>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4. 资金来源：</w:t>
      </w:r>
      <w:r>
        <w:rPr>
          <w:rFonts w:hint="eastAsia" w:ascii="宋体" w:hAnsi="宋体" w:eastAsia="宋体" w:cs="宋体"/>
          <w:color w:val="auto"/>
          <w:highlight w:val="none"/>
          <w:u w:val="single"/>
        </w:rPr>
        <w:t xml:space="preserve"> 财政资金                                </w:t>
      </w:r>
      <w:r>
        <w:rPr>
          <w:rFonts w:hint="eastAsia" w:ascii="宋体" w:hAnsi="宋体" w:eastAsia="宋体" w:cs="宋体"/>
          <w:color w:val="auto"/>
          <w:highlight w:val="none"/>
        </w:rPr>
        <w:t>。</w:t>
      </w:r>
    </w:p>
    <w:p w14:paraId="01E3D35F">
      <w:pPr>
        <w:spacing w:line="360" w:lineRule="auto"/>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5. 工程内容：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69B2CBF">
      <w:pPr>
        <w:spacing w:line="360" w:lineRule="auto"/>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群体工程应附《承包人承揽工程项目一览表》（附件1）。</w:t>
      </w:r>
    </w:p>
    <w:p w14:paraId="5AC50CED">
      <w:pPr>
        <w:keepNext w:val="0"/>
        <w:keepLines w:val="0"/>
        <w:pageBreakBefore w:val="0"/>
        <w:kinsoku/>
        <w:wordWrap/>
        <w:overflowPunct/>
        <w:topLinePunct w:val="0"/>
        <w:bidi w:val="0"/>
        <w:spacing w:line="360" w:lineRule="auto"/>
        <w:ind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 工程承包范围：</w:t>
      </w:r>
      <w:r>
        <w:rPr>
          <w:rFonts w:hint="eastAsia" w:ascii="宋体" w:hAnsi="宋体" w:cs="宋体"/>
          <w:color w:val="000000"/>
          <w:sz w:val="21"/>
          <w:szCs w:val="21"/>
          <w:highlight w:val="none"/>
          <w:shd w:val="clear" w:color="auto" w:fill="auto"/>
          <w:lang w:val="en-US" w:eastAsia="zh-CN"/>
        </w:rPr>
        <w:t>汇通小学预制板房维修改造工程项目，</w:t>
      </w:r>
      <w:r>
        <w:rPr>
          <w:rFonts w:hint="eastAsia" w:ascii="宋体" w:hAnsi="宋体" w:eastAsia="宋体" w:cs="宋体"/>
          <w:color w:val="000000"/>
          <w:sz w:val="21"/>
          <w:szCs w:val="21"/>
          <w:highlight w:val="none"/>
          <w:shd w:val="clear" w:color="auto" w:fill="auto"/>
          <w:lang w:val="en-US" w:eastAsia="zh-CN"/>
        </w:rPr>
        <w:t>具体详见竞争性磋商文件、图纸和工程量清单。</w:t>
      </w:r>
    </w:p>
    <w:p w14:paraId="2CB0F489">
      <w:pPr>
        <w:spacing w:line="360" w:lineRule="auto"/>
        <w:ind w:firstLine="407" w:firstLineChars="193"/>
        <w:outlineLvl w:val="0"/>
        <w:rPr>
          <w:rFonts w:hint="eastAsia" w:ascii="宋体" w:hAnsi="宋体" w:eastAsia="宋体" w:cs="宋体"/>
          <w:b/>
          <w:bCs/>
          <w:color w:val="auto"/>
          <w:highlight w:val="none"/>
        </w:rPr>
      </w:pPr>
      <w:bookmarkStart w:id="265" w:name="_Toc351203482"/>
      <w:r>
        <w:rPr>
          <w:rFonts w:hint="eastAsia" w:ascii="宋体" w:hAnsi="宋体" w:eastAsia="宋体" w:cs="宋体"/>
          <w:b/>
          <w:bCs/>
          <w:color w:val="auto"/>
          <w:highlight w:val="none"/>
        </w:rPr>
        <w:t>二、合同工期</w:t>
      </w:r>
      <w:bookmarkEnd w:id="265"/>
    </w:p>
    <w:p w14:paraId="511A2FD9">
      <w:pPr>
        <w:spacing w:line="360" w:lineRule="auto"/>
        <w:ind w:firstLine="459"/>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工期总日历天数：</w:t>
      </w:r>
      <w:r>
        <w:rPr>
          <w:rFonts w:hint="eastAsia" w:ascii="宋体" w:hAnsi="宋体" w:cs="宋体"/>
          <w:color w:val="auto"/>
          <w:highlight w:val="none"/>
          <w:lang w:val="en-US" w:eastAsia="zh-CN"/>
        </w:rPr>
        <w:t>35日历天。</w:t>
      </w:r>
      <w:r>
        <w:rPr>
          <w:rFonts w:hint="eastAsia" w:ascii="宋体" w:hAnsi="宋体" w:eastAsia="宋体" w:cs="宋体"/>
          <w:color w:val="auto"/>
          <w:highlight w:val="none"/>
          <w:u w:val="single"/>
          <w:lang w:val="en-US" w:eastAsia="zh-CN"/>
        </w:rPr>
        <w:t xml:space="preserve"> 本项目在签订施工合同后至2025年9月1日前须完工，如因学校正常开学及教学导致停工而影响工期的，经双方协商合同工期可相应顺延，承包人须自行承担因工期顺延产生不利因素。</w:t>
      </w:r>
    </w:p>
    <w:p w14:paraId="5CCCE1D5">
      <w:pPr>
        <w:spacing w:line="360" w:lineRule="auto"/>
        <w:ind w:firstLine="459"/>
        <w:outlineLvl w:val="0"/>
        <w:rPr>
          <w:rFonts w:hint="eastAsia" w:ascii="宋体" w:hAnsi="宋体" w:eastAsia="宋体" w:cs="宋体"/>
          <w:b/>
          <w:bCs/>
          <w:color w:val="auto"/>
          <w:highlight w:val="none"/>
        </w:rPr>
      </w:pPr>
      <w:bookmarkStart w:id="266" w:name="_Toc351203483"/>
      <w:r>
        <w:rPr>
          <w:rFonts w:hint="eastAsia" w:ascii="宋体" w:hAnsi="宋体" w:eastAsia="宋体" w:cs="宋体"/>
          <w:b/>
          <w:bCs/>
          <w:color w:val="auto"/>
          <w:highlight w:val="none"/>
        </w:rPr>
        <w:t>三、质量标准</w:t>
      </w:r>
      <w:bookmarkEnd w:id="266"/>
    </w:p>
    <w:p w14:paraId="0E109117">
      <w:pPr>
        <w:spacing w:line="360" w:lineRule="auto"/>
        <w:ind w:firstLine="459"/>
        <w:rPr>
          <w:rFonts w:hint="eastAsia" w:ascii="宋体" w:hAnsi="宋体" w:eastAsia="宋体" w:cs="宋体"/>
          <w:color w:val="auto"/>
          <w:highlight w:val="none"/>
        </w:rPr>
      </w:pPr>
      <w:r>
        <w:rPr>
          <w:rFonts w:hint="eastAsia" w:ascii="宋体" w:hAnsi="宋体" w:eastAsia="宋体" w:cs="宋体"/>
          <w:color w:val="auto"/>
          <w:highlight w:val="none"/>
        </w:rPr>
        <w:t>工程质量符合</w:t>
      </w:r>
      <w:r>
        <w:rPr>
          <w:rFonts w:hint="eastAsia" w:ascii="宋体" w:hAnsi="宋体" w:eastAsia="宋体" w:cs="宋体"/>
          <w:color w:val="auto"/>
          <w:highlight w:val="none"/>
          <w:u w:val="single"/>
        </w:rPr>
        <w:t>           </w:t>
      </w:r>
      <w:r>
        <w:rPr>
          <w:rFonts w:hint="eastAsia" w:ascii="宋体" w:hAnsi="宋体" w:eastAsia="宋体" w:cs="宋体"/>
          <w:color w:val="auto"/>
          <w:highlight w:val="none"/>
        </w:rPr>
        <w:t>标准。</w:t>
      </w:r>
    </w:p>
    <w:p w14:paraId="6E570F12">
      <w:pPr>
        <w:spacing w:line="360" w:lineRule="auto"/>
        <w:ind w:firstLine="459"/>
        <w:outlineLvl w:val="0"/>
        <w:rPr>
          <w:rFonts w:hint="eastAsia" w:ascii="宋体" w:hAnsi="宋体" w:eastAsia="宋体" w:cs="宋体"/>
          <w:b/>
          <w:bCs/>
          <w:color w:val="auto"/>
          <w:highlight w:val="none"/>
        </w:rPr>
      </w:pPr>
      <w:bookmarkStart w:id="267" w:name="_Toc351203484"/>
      <w:r>
        <w:rPr>
          <w:rFonts w:hint="eastAsia" w:ascii="宋体" w:hAnsi="宋体" w:eastAsia="宋体" w:cs="宋体"/>
          <w:b/>
          <w:bCs/>
          <w:color w:val="auto"/>
          <w:highlight w:val="none"/>
        </w:rPr>
        <w:t>四、签约合同价与合同价格形式</w:t>
      </w:r>
      <w:bookmarkEnd w:id="267"/>
    </w:p>
    <w:p w14:paraId="02BCD86B">
      <w:pPr>
        <w:spacing w:line="360" w:lineRule="auto"/>
        <w:ind w:firstLine="459"/>
        <w:rPr>
          <w:rFonts w:hint="eastAsia" w:ascii="宋体" w:hAnsi="宋体" w:eastAsia="宋体" w:cs="宋体"/>
          <w:color w:val="auto"/>
          <w:highlight w:val="none"/>
        </w:rPr>
      </w:pPr>
      <w:r>
        <w:rPr>
          <w:rFonts w:hint="eastAsia" w:ascii="宋体" w:hAnsi="宋体" w:eastAsia="宋体" w:cs="宋体"/>
          <w:color w:val="auto"/>
          <w:highlight w:val="none"/>
        </w:rPr>
        <w:t>1. 签约合同价为：</w:t>
      </w:r>
    </w:p>
    <w:p w14:paraId="225D7E70">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人民币（大写）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p w14:paraId="4E276EE4">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其中：</w:t>
      </w:r>
    </w:p>
    <w:p w14:paraId="22FF850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（1）安全文明施工费：</w:t>
      </w:r>
    </w:p>
    <w:p w14:paraId="158AB500">
      <w:pPr>
        <w:spacing w:line="360" w:lineRule="auto"/>
        <w:ind w:left="420" w:leftChars="200"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人民币（大写）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p w14:paraId="769AA15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（2）材料和工程设备暂估价金额：</w:t>
      </w:r>
    </w:p>
    <w:p w14:paraId="646071BF">
      <w:pPr>
        <w:spacing w:line="360" w:lineRule="auto"/>
        <w:ind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人民币（大写）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p w14:paraId="69D005D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（3）专业工程暂估价金额：</w:t>
      </w:r>
    </w:p>
    <w:p w14:paraId="52126ED7">
      <w:pPr>
        <w:spacing w:line="360" w:lineRule="auto"/>
        <w:ind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人民币（大写）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p w14:paraId="0D96D22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（4）暂列金额：</w:t>
      </w:r>
    </w:p>
    <w:p w14:paraId="5893392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人民币（大写）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p w14:paraId="586D553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（5）扬尘防治费金额：</w:t>
      </w:r>
    </w:p>
    <w:p w14:paraId="15F593ED">
      <w:pPr>
        <w:spacing w:line="360" w:lineRule="auto"/>
        <w:ind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人民币（大写）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p w14:paraId="15CB295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 合同价格形式：   </w:t>
      </w:r>
      <w:r>
        <w:rPr>
          <w:rFonts w:hint="eastAsia" w:ascii="宋体" w:hAnsi="宋体" w:eastAsia="宋体" w:cs="宋体"/>
          <w:color w:val="auto"/>
          <w:highlight w:val="none"/>
          <w:u w:val="single"/>
        </w:rPr>
        <w:t xml:space="preserve">   固定综合单价，总价可调   </w:t>
      </w:r>
      <w:r>
        <w:rPr>
          <w:rFonts w:hint="eastAsia" w:ascii="宋体" w:hAnsi="宋体" w:eastAsia="宋体" w:cs="宋体"/>
          <w:color w:val="auto"/>
          <w:highlight w:val="none"/>
        </w:rPr>
        <w:t>。</w:t>
      </w:r>
    </w:p>
    <w:p w14:paraId="110BD0A2">
      <w:pPr>
        <w:spacing w:line="360" w:lineRule="auto"/>
        <w:ind w:firstLine="422" w:firstLineChars="200"/>
        <w:outlineLvl w:val="0"/>
        <w:rPr>
          <w:rFonts w:hint="eastAsia" w:ascii="宋体" w:hAnsi="宋体" w:eastAsia="宋体" w:cs="宋体"/>
          <w:b/>
          <w:bCs/>
          <w:color w:val="auto"/>
          <w:highlight w:val="none"/>
        </w:rPr>
      </w:pPr>
      <w:bookmarkStart w:id="268" w:name="_Toc351203485"/>
      <w:r>
        <w:rPr>
          <w:rFonts w:hint="eastAsia" w:ascii="宋体" w:hAnsi="宋体" w:eastAsia="宋体" w:cs="宋体"/>
          <w:b/>
          <w:bCs/>
          <w:color w:val="auto"/>
          <w:highlight w:val="none"/>
        </w:rPr>
        <w:t>3.根据市住建〔2016〕34 号文《关于市建成区、临桂新区、</w:t>
      </w:r>
      <w:r>
        <w:rPr>
          <w:rFonts w:hint="eastAsia" w:ascii="宋体" w:hAnsi="宋体" w:eastAsia="宋体" w:cs="宋体"/>
          <w:b/>
          <w:bCs/>
          <w:color w:val="auto"/>
          <w:highlight w:val="none"/>
          <w:lang w:eastAsia="zh-CN"/>
        </w:rPr>
        <w:t>灵川县</w:t>
      </w:r>
      <w:r>
        <w:rPr>
          <w:rFonts w:hint="eastAsia" w:ascii="宋体" w:hAnsi="宋体" w:eastAsia="宋体" w:cs="宋体"/>
          <w:b/>
          <w:bCs/>
          <w:color w:val="auto"/>
          <w:highlight w:val="none"/>
        </w:rPr>
        <w:t>范围内建筑工程新增扬尘防治费用的通知》和市住建〔2018〕32号文《桂林十县范围内建筑工程新增扬尘防治费用的通知》，另计扬尘防治费，本项目扬尘防治费按中标总造价的0.8%计取，由发包人及监理进行现场签证，计入结算总造价。</w:t>
      </w:r>
    </w:p>
    <w:p w14:paraId="45A65348">
      <w:pPr>
        <w:spacing w:line="360" w:lineRule="auto"/>
        <w:ind w:firstLine="422" w:firstLineChars="200"/>
        <w:outlineLvl w:val="0"/>
        <w:rPr>
          <w:rFonts w:hint="eastAsia" w:ascii="宋体" w:hAnsi="宋体" w:eastAsia="宋体" w:cs="宋体"/>
          <w:b/>
          <w:bCs/>
          <w:color w:val="auto"/>
          <w:highlight w:val="none"/>
        </w:rPr>
      </w:pPr>
      <w:r>
        <w:rPr>
          <w:rFonts w:hint="eastAsia" w:ascii="宋体" w:hAnsi="宋体" w:eastAsia="宋体" w:cs="宋体"/>
          <w:b/>
          <w:bCs/>
          <w:color w:val="auto"/>
          <w:highlight w:val="none"/>
        </w:rPr>
        <w:t>五、</w:t>
      </w:r>
      <w:bookmarkEnd w:id="268"/>
      <w:r>
        <w:rPr>
          <w:rFonts w:hint="eastAsia" w:ascii="宋体" w:hAnsi="宋体" w:eastAsia="宋体" w:cs="宋体"/>
          <w:b/>
          <w:bCs/>
          <w:color w:val="auto"/>
          <w:highlight w:val="none"/>
        </w:rPr>
        <w:t>项目经理</w:t>
      </w:r>
    </w:p>
    <w:p w14:paraId="4CDB7C5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承包人项目经理：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DF86B5A">
      <w:pPr>
        <w:spacing w:line="360" w:lineRule="auto"/>
        <w:ind w:firstLine="422" w:firstLineChars="200"/>
        <w:outlineLvl w:val="0"/>
        <w:rPr>
          <w:rFonts w:hint="eastAsia" w:ascii="宋体" w:hAnsi="宋体" w:eastAsia="宋体" w:cs="宋体"/>
          <w:b/>
          <w:bCs/>
          <w:color w:val="auto"/>
          <w:highlight w:val="none"/>
        </w:rPr>
      </w:pPr>
      <w:bookmarkStart w:id="269" w:name="_Toc351203486"/>
      <w:r>
        <w:rPr>
          <w:rFonts w:hint="eastAsia" w:ascii="宋体" w:hAnsi="宋体" w:eastAsia="宋体" w:cs="宋体"/>
          <w:b/>
          <w:bCs/>
          <w:color w:val="auto"/>
          <w:highlight w:val="none"/>
        </w:rPr>
        <w:t>六、合同文件构成</w:t>
      </w:r>
      <w:bookmarkEnd w:id="269"/>
    </w:p>
    <w:p w14:paraId="61E4107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本协议书与下列文件一起构成合同文件：</w:t>
      </w:r>
    </w:p>
    <w:p w14:paraId="46364BA0">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（1）中标通知书（如有）；</w:t>
      </w:r>
    </w:p>
    <w:p w14:paraId="28BE2BE9">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（2）投标函及其附录（如有）； </w:t>
      </w:r>
    </w:p>
    <w:p w14:paraId="4B7DE95D">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（3）专用合同条款及其附件；</w:t>
      </w:r>
    </w:p>
    <w:p w14:paraId="35BB48C9">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（4）通用合同条款；</w:t>
      </w:r>
    </w:p>
    <w:p w14:paraId="7F89B526">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EC37D8F">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4AC0F19">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43AD62F">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（8）其他合同文件：</w:t>
      </w:r>
    </w:p>
    <w:p w14:paraId="76F12C44">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0A4841D6">
      <w:pPr>
        <w:autoSpaceDE w:val="0"/>
        <w:autoSpaceDN w:val="0"/>
        <w:adjustRightInd w:val="0"/>
        <w:spacing w:line="360" w:lineRule="auto"/>
        <w:ind w:firstLine="422" w:firstLineChars="200"/>
        <w:jc w:val="left"/>
        <w:outlineLvl w:val="0"/>
        <w:rPr>
          <w:rFonts w:hint="eastAsia" w:ascii="宋体" w:hAnsi="宋体" w:eastAsia="宋体" w:cs="宋体"/>
          <w:b/>
          <w:bCs/>
          <w:color w:val="auto"/>
          <w:highlight w:val="none"/>
        </w:rPr>
      </w:pPr>
      <w:bookmarkStart w:id="270" w:name="_Toc351203487"/>
      <w:r>
        <w:rPr>
          <w:rFonts w:hint="eastAsia" w:ascii="宋体" w:hAnsi="宋体" w:eastAsia="宋体" w:cs="宋体"/>
          <w:b/>
          <w:bCs/>
          <w:color w:val="auto"/>
          <w:highlight w:val="none"/>
        </w:rPr>
        <w:t>七、承诺</w:t>
      </w:r>
      <w:bookmarkEnd w:id="270"/>
    </w:p>
    <w:p w14:paraId="2686F85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 发包人承诺按照法律规定履行项目审批手续、筹集工程建设资金并按照合同约定的期限和方式支付合同价款。</w:t>
      </w:r>
    </w:p>
    <w:p w14:paraId="3835FEE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 承包人承诺按照法律规定及合同约定组织完成工程施工，确保工程质量和安全，不进行转包及违法分包，并在缺陷责任期及保修期内承担相应的工程维修责任。</w:t>
      </w:r>
    </w:p>
    <w:p w14:paraId="5C65E86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 发包人和承包人通过招投标形式签订合同的，双方理解并承诺不再就同一工程另行签订与合同实质性内容相背离的协议。</w:t>
      </w:r>
      <w:bookmarkStart w:id="271" w:name="_Toc351203488"/>
    </w:p>
    <w:p w14:paraId="02B0F5F4">
      <w:pPr>
        <w:spacing w:line="360" w:lineRule="auto"/>
        <w:ind w:firstLine="422" w:firstLineChars="200"/>
        <w:outlineLvl w:val="0"/>
        <w:rPr>
          <w:rFonts w:hint="eastAsia" w:ascii="宋体" w:hAnsi="宋体" w:eastAsia="宋体" w:cs="宋体"/>
          <w:b/>
          <w:bCs/>
          <w:color w:val="auto"/>
          <w:highlight w:val="none"/>
        </w:rPr>
      </w:pPr>
      <w:r>
        <w:rPr>
          <w:rFonts w:hint="eastAsia" w:ascii="宋体" w:hAnsi="宋体" w:eastAsia="宋体" w:cs="宋体"/>
          <w:b/>
          <w:bCs/>
          <w:color w:val="auto"/>
          <w:highlight w:val="none"/>
        </w:rPr>
        <w:t>八、词语含义</w:t>
      </w:r>
      <w:bookmarkEnd w:id="271"/>
    </w:p>
    <w:p w14:paraId="7AF6B1E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本协议书中词语含义与第二部分通用合同条款中赋予的含义相同。</w:t>
      </w:r>
    </w:p>
    <w:p w14:paraId="1F11E58D">
      <w:pPr>
        <w:spacing w:line="360" w:lineRule="auto"/>
        <w:ind w:firstLine="422" w:firstLineChars="200"/>
        <w:outlineLvl w:val="0"/>
        <w:rPr>
          <w:rFonts w:hint="eastAsia" w:ascii="宋体" w:hAnsi="宋体" w:eastAsia="宋体" w:cs="宋体"/>
          <w:b/>
          <w:bCs/>
          <w:color w:val="auto"/>
          <w:highlight w:val="none"/>
        </w:rPr>
      </w:pPr>
      <w:bookmarkStart w:id="272" w:name="_Toc351203489"/>
      <w:r>
        <w:rPr>
          <w:rFonts w:hint="eastAsia" w:ascii="宋体" w:hAnsi="宋体" w:eastAsia="宋体" w:cs="宋体"/>
          <w:b/>
          <w:bCs/>
          <w:color w:val="auto"/>
          <w:highlight w:val="none"/>
        </w:rPr>
        <w:t>九、签订时间</w:t>
      </w:r>
      <w:bookmarkEnd w:id="272"/>
    </w:p>
    <w:p w14:paraId="42440C3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本合同于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日签订。</w:t>
      </w:r>
    </w:p>
    <w:p w14:paraId="5098B842">
      <w:pPr>
        <w:spacing w:line="360" w:lineRule="auto"/>
        <w:ind w:firstLine="422" w:firstLineChars="200"/>
        <w:outlineLvl w:val="0"/>
        <w:rPr>
          <w:rFonts w:hint="eastAsia" w:ascii="宋体" w:hAnsi="宋体" w:eastAsia="宋体" w:cs="宋体"/>
          <w:b/>
          <w:bCs/>
          <w:color w:val="auto"/>
          <w:highlight w:val="none"/>
        </w:rPr>
      </w:pPr>
      <w:bookmarkStart w:id="273" w:name="_Toc351203490"/>
      <w:r>
        <w:rPr>
          <w:rFonts w:hint="eastAsia" w:ascii="宋体" w:hAnsi="宋体" w:eastAsia="宋体" w:cs="宋体"/>
          <w:b/>
          <w:bCs/>
          <w:color w:val="auto"/>
          <w:highlight w:val="none"/>
        </w:rPr>
        <w:t>十、签订地点</w:t>
      </w:r>
      <w:bookmarkEnd w:id="273"/>
    </w:p>
    <w:p w14:paraId="4F194B3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本合同在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签订。</w:t>
      </w:r>
    </w:p>
    <w:p w14:paraId="4FFFA8F2">
      <w:pPr>
        <w:spacing w:line="360" w:lineRule="auto"/>
        <w:ind w:firstLine="422" w:firstLineChars="200"/>
        <w:outlineLvl w:val="0"/>
        <w:rPr>
          <w:rFonts w:hint="eastAsia" w:ascii="宋体" w:hAnsi="宋体" w:eastAsia="宋体" w:cs="宋体"/>
          <w:b/>
          <w:bCs/>
          <w:color w:val="auto"/>
          <w:highlight w:val="none"/>
        </w:rPr>
      </w:pPr>
      <w:bookmarkStart w:id="274" w:name="_Toc351203491"/>
      <w:r>
        <w:rPr>
          <w:rFonts w:hint="eastAsia" w:ascii="宋体" w:hAnsi="宋体" w:eastAsia="宋体" w:cs="宋体"/>
          <w:b/>
          <w:bCs/>
          <w:color w:val="auto"/>
          <w:highlight w:val="none"/>
        </w:rPr>
        <w:t>十一、补充协议</w:t>
      </w:r>
      <w:bookmarkEnd w:id="274"/>
    </w:p>
    <w:p w14:paraId="24CDCCB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合同未尽事宜，合同当事人另行签订补充协议，补充协议是合同的组成部分。</w:t>
      </w:r>
    </w:p>
    <w:p w14:paraId="23F9C68C">
      <w:pPr>
        <w:spacing w:line="360" w:lineRule="auto"/>
        <w:ind w:firstLine="422" w:firstLineChars="200"/>
        <w:outlineLvl w:val="0"/>
        <w:rPr>
          <w:rFonts w:hint="eastAsia" w:ascii="宋体" w:hAnsi="宋体" w:eastAsia="宋体" w:cs="宋体"/>
          <w:b/>
          <w:bCs/>
          <w:color w:val="auto"/>
          <w:highlight w:val="none"/>
        </w:rPr>
      </w:pPr>
      <w:bookmarkStart w:id="275" w:name="_Toc351203492"/>
      <w:r>
        <w:rPr>
          <w:rFonts w:hint="eastAsia" w:ascii="宋体" w:hAnsi="宋体" w:eastAsia="宋体" w:cs="宋体"/>
          <w:b/>
          <w:bCs/>
          <w:color w:val="auto"/>
          <w:highlight w:val="none"/>
        </w:rPr>
        <w:t>十二、合同生效</w:t>
      </w:r>
      <w:bookmarkEnd w:id="275"/>
    </w:p>
    <w:p w14:paraId="4C28AB0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本合同自</w:t>
      </w:r>
      <w:r>
        <w:rPr>
          <w:rFonts w:hint="eastAsia" w:ascii="宋体" w:hAnsi="宋体" w:eastAsia="宋体" w:cs="宋体"/>
          <w:color w:val="auto"/>
          <w:highlight w:val="none"/>
          <w:u w:val="single"/>
        </w:rPr>
        <w:t xml:space="preserve">    双方签字盖章后    </w:t>
      </w:r>
      <w:r>
        <w:rPr>
          <w:rFonts w:hint="eastAsia" w:ascii="宋体" w:hAnsi="宋体" w:eastAsia="宋体" w:cs="宋体"/>
          <w:color w:val="auto"/>
          <w:highlight w:val="none"/>
        </w:rPr>
        <w:t>生效。</w:t>
      </w:r>
    </w:p>
    <w:p w14:paraId="5D0E6C30">
      <w:pPr>
        <w:spacing w:line="360" w:lineRule="auto"/>
        <w:ind w:firstLine="422" w:firstLineChars="200"/>
        <w:outlineLvl w:val="0"/>
        <w:rPr>
          <w:rFonts w:hint="eastAsia" w:ascii="宋体" w:hAnsi="宋体" w:eastAsia="宋体" w:cs="宋体"/>
          <w:b/>
          <w:bCs/>
          <w:color w:val="auto"/>
          <w:highlight w:val="none"/>
        </w:rPr>
      </w:pPr>
      <w:bookmarkStart w:id="276" w:name="_Toc351203493"/>
      <w:r>
        <w:rPr>
          <w:rFonts w:hint="eastAsia" w:ascii="宋体" w:hAnsi="宋体" w:eastAsia="宋体" w:cs="宋体"/>
          <w:b/>
          <w:bCs/>
          <w:color w:val="auto"/>
          <w:highlight w:val="none"/>
        </w:rPr>
        <w:t>十三、合同份数</w:t>
      </w:r>
      <w:bookmarkEnd w:id="276"/>
    </w:p>
    <w:p w14:paraId="43C2A08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本合同一式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份，均具有同等法律效力，发包人执</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份，承包人执</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w:t>
      </w:r>
    </w:p>
    <w:p w14:paraId="685C139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发包人：  （公章）                              承包人：  （公章）</w:t>
      </w:r>
    </w:p>
    <w:p w14:paraId="6C0489E4">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p>
    <w:p w14:paraId="5D5F1C9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                    法定代表人或其委托代理人：</w:t>
      </w:r>
    </w:p>
    <w:p w14:paraId="1E90178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（签字）                                     （签字）</w:t>
      </w:r>
    </w:p>
    <w:p w14:paraId="4A5A8C52">
      <w:pPr>
        <w:spacing w:line="360" w:lineRule="auto"/>
        <w:rPr>
          <w:rFonts w:hint="eastAsia" w:ascii="宋体" w:hAnsi="宋体" w:eastAsia="宋体" w:cs="宋体"/>
          <w:color w:val="auto"/>
          <w:highlight w:val="none"/>
          <w:u w:val="single"/>
        </w:rPr>
      </w:pPr>
    </w:p>
    <w:p w14:paraId="04080AE6">
      <w:pPr>
        <w:tabs>
          <w:tab w:val="left" w:pos="441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统一社会信用代码：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统一社会信用代码：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3ADB4E8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地  址：</w:t>
      </w:r>
      <w:r>
        <w:rPr>
          <w:rFonts w:hint="eastAsia" w:ascii="宋体" w:hAnsi="宋体" w:eastAsia="宋体" w:cs="宋体"/>
          <w:color w:val="auto"/>
          <w:highlight w:val="none"/>
          <w:u w:val="single"/>
        </w:rPr>
        <w:t xml:space="preserve">                            </w:t>
      </w:r>
    </w:p>
    <w:p w14:paraId="727D0DB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邮政编码：</w:t>
      </w:r>
      <w:r>
        <w:rPr>
          <w:rFonts w:hint="eastAsia" w:ascii="宋体" w:hAnsi="宋体" w:eastAsia="宋体" w:cs="宋体"/>
          <w:color w:val="auto"/>
          <w:highlight w:val="none"/>
          <w:u w:val="single"/>
        </w:rPr>
        <w:t xml:space="preserve">                          </w:t>
      </w:r>
    </w:p>
    <w:p w14:paraId="6CAC2DF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法定代表人：</w:t>
      </w:r>
      <w:r>
        <w:rPr>
          <w:rFonts w:hint="eastAsia" w:ascii="宋体" w:hAnsi="宋体" w:eastAsia="宋体" w:cs="宋体"/>
          <w:color w:val="auto"/>
          <w:highlight w:val="none"/>
          <w:u w:val="single"/>
        </w:rPr>
        <w:t xml:space="preserve">                        </w:t>
      </w:r>
    </w:p>
    <w:p w14:paraId="61180DF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委托代理人：</w:t>
      </w:r>
      <w:r>
        <w:rPr>
          <w:rFonts w:hint="eastAsia" w:ascii="宋体" w:hAnsi="宋体" w:eastAsia="宋体" w:cs="宋体"/>
          <w:color w:val="auto"/>
          <w:highlight w:val="none"/>
          <w:u w:val="single"/>
        </w:rPr>
        <w:t xml:space="preserve">                         </w:t>
      </w:r>
    </w:p>
    <w:p w14:paraId="0CA2E7B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电  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电  话：</w:t>
      </w:r>
      <w:r>
        <w:rPr>
          <w:rFonts w:hint="eastAsia" w:ascii="宋体" w:hAnsi="宋体" w:eastAsia="宋体" w:cs="宋体"/>
          <w:color w:val="auto"/>
          <w:highlight w:val="none"/>
          <w:u w:val="single"/>
        </w:rPr>
        <w:t xml:space="preserve">                            </w:t>
      </w:r>
    </w:p>
    <w:p w14:paraId="4211BF2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传  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传  真：</w:t>
      </w:r>
      <w:r>
        <w:rPr>
          <w:rFonts w:hint="eastAsia" w:ascii="宋体" w:hAnsi="宋体" w:eastAsia="宋体" w:cs="宋体"/>
          <w:color w:val="auto"/>
          <w:highlight w:val="none"/>
          <w:u w:val="single"/>
        </w:rPr>
        <w:t xml:space="preserve">                             </w:t>
      </w:r>
    </w:p>
    <w:p w14:paraId="7C3E3A6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电子信箱：</w:t>
      </w:r>
      <w:r>
        <w:rPr>
          <w:rFonts w:hint="eastAsia" w:ascii="宋体" w:hAnsi="宋体" w:eastAsia="宋体" w:cs="宋体"/>
          <w:color w:val="auto"/>
          <w:highlight w:val="none"/>
          <w:u w:val="single"/>
        </w:rPr>
        <w:t xml:space="preserve">                         </w:t>
      </w:r>
    </w:p>
    <w:p w14:paraId="367E5B6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开户银行：</w:t>
      </w:r>
      <w:r>
        <w:rPr>
          <w:rFonts w:hint="eastAsia" w:ascii="宋体" w:hAnsi="宋体" w:eastAsia="宋体" w:cs="宋体"/>
          <w:color w:val="auto"/>
          <w:highlight w:val="none"/>
          <w:u w:val="single"/>
        </w:rPr>
        <w:t xml:space="preserve">                         </w:t>
      </w:r>
    </w:p>
    <w:p w14:paraId="1F0C4D89">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账  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账  号：</w:t>
      </w:r>
      <w:r>
        <w:rPr>
          <w:rFonts w:hint="eastAsia" w:ascii="宋体" w:hAnsi="宋体" w:eastAsia="宋体" w:cs="宋体"/>
          <w:color w:val="auto"/>
          <w:highlight w:val="none"/>
          <w:u w:val="single"/>
        </w:rPr>
        <w:t xml:space="preserve">                           </w:t>
      </w:r>
    </w:p>
    <w:p w14:paraId="65C6076D">
      <w:pPr>
        <w:widowControl/>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277" w:name="_Toc78449778"/>
      <w:bookmarkStart w:id="278" w:name="_Toc407135192"/>
      <w:bookmarkStart w:id="279" w:name="_Toc389065256"/>
      <w:bookmarkStart w:id="280" w:name="_Toc86847323"/>
      <w:bookmarkStart w:id="281" w:name="_Toc1714491818"/>
      <w:bookmarkStart w:id="282" w:name="_Toc373227691"/>
      <w:bookmarkStart w:id="283" w:name="_Toc373478338"/>
      <w:bookmarkStart w:id="284" w:name="_Toc351203632"/>
      <w:r>
        <w:rPr>
          <w:rFonts w:hint="eastAsia" w:ascii="宋体" w:hAnsi="宋体" w:eastAsia="宋体" w:cs="宋体"/>
          <w:b/>
          <w:bCs/>
          <w:color w:val="auto"/>
          <w:sz w:val="36"/>
          <w:szCs w:val="36"/>
          <w:highlight w:val="none"/>
        </w:rPr>
        <w:t>第二部分 通用合同条款</w:t>
      </w:r>
      <w:bookmarkEnd w:id="277"/>
      <w:bookmarkEnd w:id="278"/>
      <w:bookmarkEnd w:id="279"/>
      <w:bookmarkEnd w:id="280"/>
      <w:bookmarkEnd w:id="281"/>
    </w:p>
    <w:p w14:paraId="5F748594">
      <w:pPr>
        <w:spacing w:line="360" w:lineRule="auto"/>
        <w:ind w:firstLine="420" w:firstLineChars="200"/>
        <w:rPr>
          <w:rFonts w:hint="eastAsia" w:ascii="宋体" w:hAnsi="宋体" w:eastAsia="宋体" w:cs="宋体"/>
          <w:color w:val="auto"/>
          <w:kern w:val="0"/>
          <w:highlight w:val="none"/>
        </w:rPr>
      </w:pPr>
    </w:p>
    <w:p w14:paraId="587BEC25">
      <w:pPr>
        <w:spacing w:line="360" w:lineRule="auto"/>
        <w:ind w:firstLine="422" w:firstLineChars="200"/>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采用《建设工程施工合同（示范文本）》（GF—2017—0201）。</w:t>
      </w:r>
    </w:p>
    <w:bookmarkEnd w:id="282"/>
    <w:bookmarkEnd w:id="283"/>
    <w:bookmarkEnd w:id="284"/>
    <w:p w14:paraId="35393914">
      <w:pPr>
        <w:pStyle w:val="3"/>
        <w:keepNext w:val="0"/>
        <w:keepLines w:val="0"/>
        <w:spacing w:line="360" w:lineRule="auto"/>
        <w:jc w:val="center"/>
        <w:rPr>
          <w:rFonts w:hint="eastAsia" w:ascii="宋体" w:hAnsi="宋体" w:eastAsia="宋体" w:cs="宋体"/>
          <w:b/>
          <w:bCs/>
          <w:color w:val="auto"/>
          <w:kern w:val="2"/>
          <w:sz w:val="36"/>
          <w:szCs w:val="36"/>
          <w:highlight w:val="none"/>
          <w:lang w:val="en-US" w:eastAsia="zh-CN" w:bidi="ar-SA"/>
        </w:rPr>
      </w:pPr>
      <w:bookmarkStart w:id="285" w:name="_Toc704444909"/>
      <w:bookmarkStart w:id="286" w:name="_Toc78449779"/>
      <w:bookmarkStart w:id="287" w:name="_Toc407135193"/>
      <w:bookmarkStart w:id="288" w:name="_Toc389065257"/>
      <w:bookmarkStart w:id="289" w:name="_Toc1204138598"/>
      <w:r>
        <w:rPr>
          <w:rFonts w:hint="eastAsia" w:ascii="宋体" w:hAnsi="宋体" w:eastAsia="宋体" w:cs="宋体"/>
          <w:b/>
          <w:bCs/>
          <w:color w:val="auto"/>
          <w:kern w:val="2"/>
          <w:sz w:val="36"/>
          <w:szCs w:val="36"/>
          <w:highlight w:val="none"/>
          <w:lang w:val="en-US" w:eastAsia="zh-CN" w:bidi="ar-SA"/>
        </w:rPr>
        <w:t>第三部分 专用合同条款</w:t>
      </w:r>
      <w:bookmarkEnd w:id="285"/>
      <w:bookmarkEnd w:id="286"/>
      <w:bookmarkEnd w:id="287"/>
      <w:bookmarkEnd w:id="288"/>
      <w:bookmarkEnd w:id="289"/>
    </w:p>
    <w:p w14:paraId="2CD1A403">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bookmarkStart w:id="290" w:name="_bookmark128"/>
      <w:bookmarkEnd w:id="290"/>
      <w:bookmarkStart w:id="291" w:name="_Toc32227"/>
      <w:bookmarkStart w:id="292" w:name="_Toc497746774"/>
      <w:bookmarkStart w:id="293" w:name="_Toc522201723"/>
      <w:bookmarkStart w:id="294" w:name="_Toc256000172"/>
      <w:bookmarkStart w:id="295" w:name="_Toc418752235"/>
      <w:bookmarkStart w:id="296" w:name="_Toc418751789"/>
      <w:bookmarkStart w:id="297" w:name="_Toc351203633"/>
      <w:bookmarkStart w:id="298" w:name="_Toc497747171"/>
      <w:bookmarkStart w:id="299" w:name="_Toc406522213"/>
      <w:r>
        <w:rPr>
          <w:rFonts w:hint="eastAsia" w:ascii="宋体" w:hAnsi="宋体" w:eastAsia="宋体" w:cs="宋体"/>
          <w:b/>
          <w:bCs/>
          <w:color w:val="auto"/>
          <w:kern w:val="44"/>
          <w:sz w:val="21"/>
          <w:szCs w:val="21"/>
          <w:highlight w:val="none"/>
          <w:lang w:val="en-US" w:eastAsia="zh-CN" w:bidi="ar-SA"/>
        </w:rPr>
        <w:t>1</w:t>
      </w:r>
      <w:bookmarkStart w:id="300" w:name="_Toc296890984"/>
      <w:bookmarkStart w:id="301" w:name="_Toc296503156"/>
      <w:bookmarkStart w:id="302" w:name="_Toc292559361"/>
      <w:bookmarkStart w:id="303" w:name="_Toc297048342"/>
      <w:bookmarkStart w:id="304" w:name="_Toc296346657"/>
      <w:bookmarkStart w:id="305" w:name="_Toc296347155"/>
      <w:bookmarkStart w:id="306" w:name="_Toc292559866"/>
      <w:bookmarkStart w:id="307" w:name="_Toc296944495"/>
      <w:bookmarkStart w:id="308" w:name="_Toc296891196"/>
      <w:bookmarkStart w:id="309" w:name="_Toc297120456"/>
      <w:r>
        <w:rPr>
          <w:rFonts w:hint="eastAsia" w:ascii="宋体" w:hAnsi="宋体" w:eastAsia="宋体" w:cs="宋体"/>
          <w:b/>
          <w:bCs/>
          <w:color w:val="auto"/>
          <w:kern w:val="44"/>
          <w:sz w:val="21"/>
          <w:szCs w:val="21"/>
          <w:highlight w:val="none"/>
          <w:lang w:val="en-US" w:eastAsia="zh-CN" w:bidi="ar-SA"/>
        </w:rPr>
        <w:t>. 一般约定</w:t>
      </w:r>
      <w:bookmarkEnd w:id="291"/>
      <w:bookmarkEnd w:id="292"/>
      <w:bookmarkEnd w:id="293"/>
      <w:bookmarkEnd w:id="294"/>
      <w:bookmarkEnd w:id="295"/>
      <w:bookmarkEnd w:id="296"/>
      <w:bookmarkEnd w:id="297"/>
      <w:bookmarkEnd w:id="298"/>
      <w:bookmarkEnd w:id="299"/>
    </w:p>
    <w:bookmarkEnd w:id="300"/>
    <w:bookmarkEnd w:id="301"/>
    <w:bookmarkEnd w:id="302"/>
    <w:bookmarkEnd w:id="303"/>
    <w:bookmarkEnd w:id="304"/>
    <w:bookmarkEnd w:id="305"/>
    <w:bookmarkEnd w:id="306"/>
    <w:bookmarkEnd w:id="307"/>
    <w:bookmarkEnd w:id="308"/>
    <w:bookmarkEnd w:id="309"/>
    <w:p w14:paraId="2A0DE9F8">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310" w:name="_Toc418752236"/>
      <w:bookmarkStart w:id="311" w:name="_Toc30775"/>
      <w:bookmarkStart w:id="312" w:name="_Toc418751790"/>
      <w:bookmarkStart w:id="313" w:name="_Toc497746775"/>
      <w:bookmarkStart w:id="314" w:name="_Toc522201724"/>
      <w:bookmarkStart w:id="315" w:name="_Toc497747172"/>
      <w:bookmarkStart w:id="316" w:name="_Toc406522214"/>
      <w:bookmarkStart w:id="317" w:name="_Toc256000173"/>
      <w:r>
        <w:rPr>
          <w:rFonts w:hint="eastAsia" w:ascii="宋体" w:hAnsi="宋体" w:eastAsia="宋体" w:cs="宋体"/>
          <w:b/>
          <w:bCs/>
          <w:color w:val="auto"/>
          <w:kern w:val="44"/>
          <w:sz w:val="21"/>
          <w:szCs w:val="21"/>
          <w:highlight w:val="none"/>
          <w:lang w:val="en-US" w:eastAsia="zh-CN" w:bidi="ar-SA"/>
        </w:rPr>
        <w:t>1.1 词语定义</w:t>
      </w:r>
      <w:bookmarkEnd w:id="310"/>
      <w:bookmarkEnd w:id="311"/>
      <w:bookmarkEnd w:id="312"/>
      <w:bookmarkEnd w:id="313"/>
      <w:bookmarkEnd w:id="314"/>
      <w:bookmarkEnd w:id="315"/>
      <w:bookmarkEnd w:id="316"/>
      <w:bookmarkEnd w:id="317"/>
    </w:p>
    <w:p w14:paraId="1B4F48A9">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1.1.1合同</w:t>
      </w:r>
    </w:p>
    <w:p w14:paraId="13B45959">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1.1.1.10其他合同文件包括：</w:t>
      </w:r>
      <w:r>
        <w:rPr>
          <w:rFonts w:hint="eastAsia" w:ascii="宋体" w:hAnsi="宋体" w:eastAsia="宋体" w:cs="宋体"/>
          <w:color w:val="auto"/>
          <w:kern w:val="2"/>
          <w:sz w:val="21"/>
          <w:szCs w:val="21"/>
          <w:highlight w:val="none"/>
          <w:u w:val="single"/>
          <w:lang w:val="en-US" w:eastAsia="zh-CN" w:bidi="ar-SA"/>
        </w:rPr>
        <w:t>（1）本合同协议书；（2）中标通知书；（3）投标书及其附件；（4）本合同专用条款及补充条款；（5）本合同通用条款；（6）标准、规范及有关技术文件；（7）图纸（含图纸修改通知单及图纸设计变更文件）；（8）工程量清单；（9）本工程预算控制价造价成果文件及其他合同文件</w:t>
      </w:r>
      <w:r>
        <w:rPr>
          <w:rFonts w:hint="eastAsia" w:ascii="宋体" w:hAnsi="宋体" w:eastAsia="宋体" w:cs="宋体"/>
          <w:color w:val="auto"/>
          <w:kern w:val="2"/>
          <w:sz w:val="21"/>
          <w:szCs w:val="21"/>
          <w:highlight w:val="none"/>
          <w:lang w:val="en-US" w:eastAsia="zh-CN" w:bidi="ar-SA"/>
        </w:rPr>
        <w:t>。</w:t>
      </w:r>
    </w:p>
    <w:p w14:paraId="5BE6112D">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1.1.2 合同当事人及其他相关方</w:t>
      </w:r>
    </w:p>
    <w:p w14:paraId="34286B8D">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1.1.2.4监理人：</w:t>
      </w:r>
    </w:p>
    <w:p w14:paraId="2BE54BF2">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名    称：</w:t>
      </w:r>
      <w:r>
        <w:rPr>
          <w:rFonts w:hint="eastAsia" w:ascii="宋体" w:hAnsi="宋体" w:eastAsia="宋体" w:cs="宋体"/>
          <w:color w:val="auto"/>
          <w:kern w:val="2"/>
          <w:sz w:val="21"/>
          <w:szCs w:val="21"/>
          <w:highlight w:val="none"/>
          <w:u w:val="single"/>
          <w:lang w:val="en-US" w:eastAsia="zh-CN" w:bidi="ar-SA"/>
        </w:rPr>
        <w:t xml:space="preserve"> 以发包人书面通知为准 </w:t>
      </w:r>
      <w:r>
        <w:rPr>
          <w:rFonts w:hint="eastAsia" w:ascii="宋体" w:hAnsi="宋体" w:eastAsia="宋体" w:cs="宋体"/>
          <w:color w:val="auto"/>
          <w:kern w:val="2"/>
          <w:sz w:val="21"/>
          <w:szCs w:val="21"/>
          <w:highlight w:val="none"/>
          <w:lang w:val="en-US" w:eastAsia="zh-CN" w:bidi="ar-SA"/>
        </w:rPr>
        <w:t>；</w:t>
      </w:r>
    </w:p>
    <w:p w14:paraId="55ACA60C">
      <w:pPr>
        <w:widowControl w:val="0"/>
        <w:spacing w:line="380" w:lineRule="exac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资质类别和等级：</w:t>
      </w:r>
      <w:r>
        <w:rPr>
          <w:rFonts w:hint="eastAsia" w:ascii="宋体" w:hAnsi="宋体" w:eastAsia="宋体" w:cs="宋体"/>
          <w:color w:val="auto"/>
          <w:kern w:val="2"/>
          <w:sz w:val="21"/>
          <w:szCs w:val="21"/>
          <w:highlight w:val="none"/>
          <w:u w:val="single"/>
          <w:lang w:val="en-US" w:eastAsia="zh-CN" w:bidi="ar-SA"/>
        </w:rPr>
        <w:t xml:space="preserve"> 以发包人书面通知为准 </w:t>
      </w:r>
      <w:r>
        <w:rPr>
          <w:rFonts w:hint="eastAsia" w:ascii="宋体" w:hAnsi="宋体" w:eastAsia="宋体" w:cs="宋体"/>
          <w:color w:val="auto"/>
          <w:kern w:val="2"/>
          <w:sz w:val="21"/>
          <w:szCs w:val="21"/>
          <w:highlight w:val="none"/>
          <w:lang w:val="en-US" w:eastAsia="zh-CN" w:bidi="ar-SA"/>
        </w:rPr>
        <w:t>；</w:t>
      </w:r>
    </w:p>
    <w:p w14:paraId="0E34D0F3">
      <w:pPr>
        <w:widowControl w:val="0"/>
        <w:spacing w:line="380" w:lineRule="exac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联系电话：</w:t>
      </w:r>
      <w:r>
        <w:rPr>
          <w:rFonts w:hint="eastAsia" w:ascii="宋体" w:hAnsi="宋体" w:eastAsia="宋体" w:cs="宋体"/>
          <w:color w:val="auto"/>
          <w:kern w:val="2"/>
          <w:sz w:val="21"/>
          <w:szCs w:val="21"/>
          <w:highlight w:val="none"/>
          <w:u w:val="single"/>
          <w:lang w:val="en-US" w:eastAsia="zh-CN" w:bidi="ar-SA"/>
        </w:rPr>
        <w:t xml:space="preserve"> 以发包人书面通知为准 </w:t>
      </w:r>
      <w:r>
        <w:rPr>
          <w:rFonts w:hint="eastAsia" w:ascii="宋体" w:hAnsi="宋体" w:eastAsia="宋体" w:cs="宋体"/>
          <w:color w:val="auto"/>
          <w:kern w:val="2"/>
          <w:sz w:val="21"/>
          <w:szCs w:val="21"/>
          <w:highlight w:val="none"/>
          <w:lang w:val="en-US" w:eastAsia="zh-CN" w:bidi="ar-SA"/>
        </w:rPr>
        <w:t>；</w:t>
      </w:r>
    </w:p>
    <w:p w14:paraId="14D13882">
      <w:pPr>
        <w:widowControl w:val="0"/>
        <w:spacing w:line="380" w:lineRule="exac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电子信箱：</w:t>
      </w:r>
      <w:r>
        <w:rPr>
          <w:rFonts w:hint="eastAsia" w:ascii="宋体" w:hAnsi="宋体" w:eastAsia="宋体" w:cs="宋体"/>
          <w:color w:val="auto"/>
          <w:kern w:val="2"/>
          <w:sz w:val="21"/>
          <w:szCs w:val="21"/>
          <w:highlight w:val="none"/>
          <w:u w:val="single"/>
          <w:lang w:val="en-US" w:eastAsia="zh-CN" w:bidi="ar-SA"/>
        </w:rPr>
        <w:t xml:space="preserve"> 以发包人书面通知为准 </w:t>
      </w:r>
      <w:r>
        <w:rPr>
          <w:rFonts w:hint="eastAsia" w:ascii="宋体" w:hAnsi="宋体" w:eastAsia="宋体" w:cs="宋体"/>
          <w:color w:val="auto"/>
          <w:kern w:val="2"/>
          <w:sz w:val="21"/>
          <w:szCs w:val="21"/>
          <w:highlight w:val="none"/>
          <w:lang w:val="en-US" w:eastAsia="zh-CN" w:bidi="ar-SA"/>
        </w:rPr>
        <w:t>；</w:t>
      </w:r>
    </w:p>
    <w:p w14:paraId="3590BBCE">
      <w:pPr>
        <w:widowControl w:val="0"/>
        <w:spacing w:line="380" w:lineRule="exac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通信地址：</w:t>
      </w:r>
      <w:r>
        <w:rPr>
          <w:rFonts w:hint="eastAsia" w:ascii="宋体" w:hAnsi="宋体" w:eastAsia="宋体" w:cs="宋体"/>
          <w:color w:val="auto"/>
          <w:kern w:val="2"/>
          <w:sz w:val="21"/>
          <w:szCs w:val="21"/>
          <w:highlight w:val="none"/>
          <w:u w:val="single"/>
          <w:lang w:val="en-US" w:eastAsia="zh-CN" w:bidi="ar-SA"/>
        </w:rPr>
        <w:t xml:space="preserve"> 以发包人书面通知为准 </w:t>
      </w:r>
      <w:r>
        <w:rPr>
          <w:rFonts w:hint="eastAsia" w:ascii="宋体" w:hAnsi="宋体" w:eastAsia="宋体" w:cs="宋体"/>
          <w:color w:val="auto"/>
          <w:kern w:val="2"/>
          <w:sz w:val="21"/>
          <w:szCs w:val="21"/>
          <w:highlight w:val="none"/>
          <w:lang w:val="en-US" w:eastAsia="zh-CN" w:bidi="ar-SA"/>
        </w:rPr>
        <w:t>。</w:t>
      </w:r>
    </w:p>
    <w:p w14:paraId="3AB042B8">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1.1.2.5 设计人：</w:t>
      </w:r>
    </w:p>
    <w:p w14:paraId="3F9047DF">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名    称：</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14:paraId="72BD336F">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资质类别和等级：</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14:paraId="5658EC19">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联系电话：</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14:paraId="1F1E4694">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电子信箱：</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14:paraId="4884A39A">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通信地址：</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14:paraId="007CD8E5">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1.1.3 工程和设备</w:t>
      </w:r>
    </w:p>
    <w:p w14:paraId="77E939D3">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1.1.3.7 作为施工现场组成部分的其他场所包括：</w:t>
      </w:r>
      <w:r>
        <w:rPr>
          <w:rFonts w:hint="eastAsia" w:ascii="宋体" w:hAnsi="宋体" w:eastAsia="宋体" w:cs="宋体"/>
          <w:color w:val="auto"/>
          <w:kern w:val="2"/>
          <w:sz w:val="21"/>
          <w:szCs w:val="21"/>
          <w:highlight w:val="none"/>
          <w:u w:val="single"/>
          <w:lang w:val="en-US" w:eastAsia="zh-CN" w:bidi="ar-SA"/>
        </w:rPr>
        <w:t xml:space="preserve">  按通用条款执行</w:t>
      </w:r>
      <w:r>
        <w:rPr>
          <w:rFonts w:hint="eastAsia" w:ascii="宋体" w:hAnsi="宋体" w:eastAsia="宋体" w:cs="宋体"/>
          <w:color w:val="auto"/>
          <w:kern w:val="2"/>
          <w:sz w:val="21"/>
          <w:szCs w:val="21"/>
          <w:highlight w:val="none"/>
          <w:lang w:val="en-US" w:eastAsia="zh-CN" w:bidi="ar-SA"/>
        </w:rPr>
        <w:t>。</w:t>
      </w:r>
    </w:p>
    <w:p w14:paraId="4BA0A863">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1.1.3.9 永久占地包括：</w:t>
      </w:r>
      <w:r>
        <w:rPr>
          <w:rFonts w:hint="eastAsia" w:ascii="宋体" w:hAnsi="宋体" w:eastAsia="宋体" w:cs="宋体"/>
          <w:color w:val="auto"/>
          <w:kern w:val="2"/>
          <w:sz w:val="21"/>
          <w:szCs w:val="21"/>
          <w:highlight w:val="none"/>
          <w:u w:val="single"/>
          <w:lang w:val="en-US" w:eastAsia="zh-CN" w:bidi="ar-SA"/>
        </w:rPr>
        <w:t xml:space="preserve">  为实施工程需永久占用的土地</w:t>
      </w:r>
      <w:r>
        <w:rPr>
          <w:rFonts w:ascii="宋体" w:hAnsi="宋体" w:eastAsia="宋体" w:cs="宋体"/>
          <w:color w:val="auto"/>
          <w:kern w:val="2"/>
          <w:sz w:val="21"/>
          <w:szCs w:val="21"/>
          <w:highlight w:val="none"/>
          <w:u w:val="single"/>
          <w:lang w:val="en-US" w:eastAsia="zh-CN" w:bidi="ar-SA"/>
        </w:rPr>
        <w:t></w:t>
      </w:r>
      <w:r>
        <w:rPr>
          <w:rFonts w:hint="eastAsia" w:ascii="宋体" w:hAnsi="宋体" w:eastAsia="宋体" w:cs="宋体"/>
          <w:color w:val="auto"/>
          <w:kern w:val="2"/>
          <w:sz w:val="21"/>
          <w:szCs w:val="21"/>
          <w:highlight w:val="none"/>
          <w:lang w:val="en-US" w:eastAsia="zh-CN" w:bidi="ar-SA"/>
        </w:rPr>
        <w:t>。</w:t>
      </w:r>
    </w:p>
    <w:p w14:paraId="73934CC5">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1.1.3.10 临时占地包括：</w:t>
      </w:r>
      <w:r>
        <w:rPr>
          <w:rFonts w:hint="eastAsia" w:ascii="宋体" w:hAnsi="宋体" w:eastAsia="宋体" w:cs="宋体"/>
          <w:color w:val="auto"/>
          <w:kern w:val="2"/>
          <w:sz w:val="21"/>
          <w:szCs w:val="21"/>
          <w:highlight w:val="none"/>
          <w:u w:val="single"/>
          <w:lang w:val="en-US" w:eastAsia="zh-CN" w:bidi="ar-SA"/>
        </w:rPr>
        <w:t xml:space="preserve"> 为实施工程需临时占用的土地 </w:t>
      </w:r>
      <w:r>
        <w:rPr>
          <w:rFonts w:hint="eastAsia" w:ascii="宋体" w:hAnsi="宋体" w:eastAsia="宋体" w:cs="宋体"/>
          <w:color w:val="auto"/>
          <w:kern w:val="2"/>
          <w:sz w:val="21"/>
          <w:szCs w:val="21"/>
          <w:highlight w:val="none"/>
          <w:lang w:val="en-US" w:eastAsia="zh-CN" w:bidi="ar-SA"/>
        </w:rPr>
        <w:t>。</w:t>
      </w:r>
    </w:p>
    <w:p w14:paraId="67387650">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318" w:name="_Toc418752237"/>
      <w:bookmarkStart w:id="319" w:name="_Toc406522215"/>
      <w:bookmarkStart w:id="320" w:name="_Toc256000174"/>
      <w:bookmarkStart w:id="321" w:name="_Toc522201725"/>
      <w:bookmarkStart w:id="322" w:name="_Toc497747173"/>
      <w:bookmarkStart w:id="323" w:name="_Toc11311"/>
      <w:bookmarkStart w:id="324" w:name="_Toc418751791"/>
      <w:bookmarkStart w:id="325" w:name="_Toc497746776"/>
      <w:r>
        <w:rPr>
          <w:rFonts w:hint="eastAsia" w:ascii="宋体" w:hAnsi="宋体" w:eastAsia="宋体" w:cs="宋体"/>
          <w:b/>
          <w:bCs/>
          <w:color w:val="auto"/>
          <w:kern w:val="44"/>
          <w:sz w:val="21"/>
          <w:szCs w:val="21"/>
          <w:highlight w:val="none"/>
          <w:lang w:val="en-US" w:eastAsia="zh-CN" w:bidi="ar-SA"/>
        </w:rPr>
        <w:t>1.3法律</w:t>
      </w:r>
      <w:bookmarkEnd w:id="318"/>
      <w:bookmarkEnd w:id="319"/>
      <w:bookmarkEnd w:id="320"/>
      <w:bookmarkEnd w:id="321"/>
      <w:bookmarkEnd w:id="322"/>
      <w:bookmarkEnd w:id="323"/>
      <w:bookmarkEnd w:id="324"/>
      <w:bookmarkEnd w:id="325"/>
      <w:r>
        <w:rPr>
          <w:rFonts w:hint="eastAsia" w:ascii="宋体" w:hAnsi="宋体" w:eastAsia="宋体" w:cs="宋体"/>
          <w:b/>
          <w:bCs/>
          <w:color w:val="auto"/>
          <w:kern w:val="44"/>
          <w:sz w:val="21"/>
          <w:szCs w:val="21"/>
          <w:highlight w:val="none"/>
          <w:lang w:val="en-US" w:eastAsia="zh-CN" w:bidi="ar-SA"/>
        </w:rPr>
        <w:t xml:space="preserve"> </w:t>
      </w:r>
    </w:p>
    <w:p w14:paraId="5ED8F408">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适用于合同的其他规范性文件：</w:t>
      </w:r>
      <w:r>
        <w:rPr>
          <w:rFonts w:hint="eastAsia" w:ascii="宋体" w:hAnsi="宋体" w:eastAsia="宋体" w:cs="宋体"/>
          <w:color w:val="auto"/>
          <w:kern w:val="2"/>
          <w:sz w:val="21"/>
          <w:szCs w:val="21"/>
          <w:highlight w:val="none"/>
          <w:u w:val="single"/>
          <w:lang w:val="en-US" w:eastAsia="zh-CN" w:bidi="ar-SA"/>
        </w:rPr>
        <w:t>同通用条款</w:t>
      </w:r>
      <w:r>
        <w:rPr>
          <w:rFonts w:hint="eastAsia" w:ascii="宋体" w:hAnsi="宋体" w:eastAsia="宋体" w:cs="宋体"/>
          <w:color w:val="auto"/>
          <w:kern w:val="2"/>
          <w:sz w:val="21"/>
          <w:szCs w:val="21"/>
          <w:highlight w:val="none"/>
          <w:lang w:val="en-US" w:eastAsia="zh-CN" w:bidi="ar-SA"/>
        </w:rPr>
        <w:t>。</w:t>
      </w:r>
    </w:p>
    <w:p w14:paraId="6D434E7B">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326" w:name="_Toc256000175"/>
      <w:bookmarkStart w:id="327" w:name="_Toc497747174"/>
      <w:bookmarkStart w:id="328" w:name="_Toc497746777"/>
      <w:bookmarkStart w:id="329" w:name="_Toc418751792"/>
      <w:bookmarkStart w:id="330" w:name="_Toc9178"/>
      <w:bookmarkStart w:id="331" w:name="_Toc522201726"/>
      <w:bookmarkStart w:id="332" w:name="_Toc406522216"/>
      <w:bookmarkStart w:id="333" w:name="_Toc418752238"/>
      <w:r>
        <w:rPr>
          <w:rFonts w:hint="eastAsia" w:ascii="宋体" w:hAnsi="宋体" w:eastAsia="宋体" w:cs="宋体"/>
          <w:b/>
          <w:bCs/>
          <w:color w:val="auto"/>
          <w:kern w:val="44"/>
          <w:sz w:val="21"/>
          <w:szCs w:val="21"/>
          <w:highlight w:val="none"/>
          <w:lang w:val="en-US" w:eastAsia="zh-CN" w:bidi="ar-SA"/>
        </w:rPr>
        <w:t>1.4 标准和规范</w:t>
      </w:r>
      <w:bookmarkEnd w:id="326"/>
      <w:bookmarkEnd w:id="327"/>
      <w:bookmarkEnd w:id="328"/>
      <w:bookmarkEnd w:id="329"/>
      <w:bookmarkEnd w:id="330"/>
      <w:bookmarkEnd w:id="331"/>
      <w:bookmarkEnd w:id="332"/>
      <w:bookmarkEnd w:id="333"/>
    </w:p>
    <w:p w14:paraId="636D9C99">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1.4.1适用于工程的标准规范包括：</w:t>
      </w:r>
      <w:r>
        <w:rPr>
          <w:rFonts w:hint="eastAsia" w:ascii="宋体" w:hAnsi="宋体" w:eastAsia="宋体" w:cs="宋体"/>
          <w:color w:val="auto"/>
          <w:kern w:val="2"/>
          <w:sz w:val="21"/>
          <w:szCs w:val="21"/>
          <w:highlight w:val="none"/>
          <w:u w:val="single"/>
          <w:lang w:val="en-US" w:eastAsia="zh-CN" w:bidi="ar-SA"/>
        </w:rPr>
        <w:t>现行国家、地方、部门有关标准规范</w:t>
      </w:r>
      <w:r>
        <w:rPr>
          <w:rFonts w:hint="eastAsia" w:ascii="宋体" w:hAnsi="宋体" w:eastAsia="宋体" w:cs="宋体"/>
          <w:color w:val="auto"/>
          <w:kern w:val="2"/>
          <w:sz w:val="21"/>
          <w:szCs w:val="21"/>
          <w:highlight w:val="none"/>
          <w:lang w:val="en-US" w:eastAsia="zh-CN" w:bidi="ar-SA"/>
        </w:rPr>
        <w:t>。</w:t>
      </w:r>
    </w:p>
    <w:p w14:paraId="6542686D">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1.4.2 发包人提供国外标准、规范的名称：</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w:t>
      </w:r>
    </w:p>
    <w:p w14:paraId="7F3AB318">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发包人提供国外标准、规范的份数：</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w:t>
      </w:r>
    </w:p>
    <w:p w14:paraId="1431DCE4">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发包人提供国外标准、规范的名称：</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w:t>
      </w:r>
    </w:p>
    <w:p w14:paraId="0C880C72">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1.4.3发包人对工程的技术标准和功能要求的特殊要求：</w:t>
      </w:r>
      <w:r>
        <w:rPr>
          <w:rFonts w:hint="eastAsia" w:ascii="宋体" w:hAnsi="宋体" w:eastAsia="宋体" w:cs="宋体"/>
          <w:color w:val="auto"/>
          <w:kern w:val="2"/>
          <w:sz w:val="21"/>
          <w:szCs w:val="21"/>
          <w:highlight w:val="none"/>
          <w:u w:val="single"/>
          <w:lang w:val="en-US" w:eastAsia="zh-CN" w:bidi="ar-SA"/>
        </w:rPr>
        <w:t xml:space="preserve">无 </w:t>
      </w:r>
      <w:r>
        <w:rPr>
          <w:rFonts w:hint="eastAsia" w:ascii="宋体" w:hAnsi="宋体" w:eastAsia="宋体" w:cs="宋体"/>
          <w:color w:val="auto"/>
          <w:kern w:val="2"/>
          <w:sz w:val="21"/>
          <w:szCs w:val="21"/>
          <w:highlight w:val="none"/>
          <w:lang w:val="en-US" w:eastAsia="zh-CN" w:bidi="ar-SA"/>
        </w:rPr>
        <w:t>。</w:t>
      </w:r>
    </w:p>
    <w:p w14:paraId="14274102">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334" w:name="_Toc256000176"/>
      <w:bookmarkStart w:id="335" w:name="_Toc497747175"/>
      <w:bookmarkStart w:id="336" w:name="_Toc497746778"/>
      <w:bookmarkStart w:id="337" w:name="_Toc522201727"/>
      <w:bookmarkStart w:id="338" w:name="_Toc406522217"/>
      <w:bookmarkStart w:id="339" w:name="_Toc418752239"/>
      <w:bookmarkStart w:id="340" w:name="_Toc19665"/>
      <w:bookmarkStart w:id="341" w:name="_Toc418751793"/>
      <w:r>
        <w:rPr>
          <w:rFonts w:hint="eastAsia" w:ascii="宋体" w:hAnsi="宋体" w:eastAsia="宋体" w:cs="宋体"/>
          <w:b/>
          <w:bCs/>
          <w:color w:val="auto"/>
          <w:kern w:val="44"/>
          <w:sz w:val="21"/>
          <w:szCs w:val="21"/>
          <w:highlight w:val="none"/>
          <w:lang w:val="en-US" w:eastAsia="zh-CN" w:bidi="ar-SA"/>
        </w:rPr>
        <w:t>1.5 合同文件的优先顺序</w:t>
      </w:r>
      <w:bookmarkEnd w:id="334"/>
      <w:bookmarkEnd w:id="335"/>
      <w:bookmarkEnd w:id="336"/>
      <w:bookmarkEnd w:id="337"/>
      <w:bookmarkEnd w:id="338"/>
      <w:bookmarkEnd w:id="339"/>
      <w:bookmarkEnd w:id="340"/>
      <w:bookmarkEnd w:id="341"/>
    </w:p>
    <w:p w14:paraId="10576E1C">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合同文件组成及优先顺序为：</w:t>
      </w:r>
    </w:p>
    <w:p w14:paraId="5BF12F6D">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（1）合同协议书；</w:t>
      </w:r>
    </w:p>
    <w:p w14:paraId="39C1D213">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（2）中标通知书（如果有）；</w:t>
      </w:r>
    </w:p>
    <w:p w14:paraId="532F300E">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（3）投标函及其附录（如果有）；</w:t>
      </w:r>
    </w:p>
    <w:p w14:paraId="0F119D17">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（4）专用合同条款及其附件；</w:t>
      </w:r>
    </w:p>
    <w:p w14:paraId="067DFE30">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（5）通用合同条款；</w:t>
      </w:r>
    </w:p>
    <w:p w14:paraId="3BD9A374">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（6）技术标准和要求 ；</w:t>
      </w:r>
    </w:p>
    <w:p w14:paraId="03822889">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（7）图纸（含图纸修改通知单及图纸设计变更文件） ；</w:t>
      </w:r>
    </w:p>
    <w:p w14:paraId="720432D2">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（8）已标价工程量清单 ；</w:t>
      </w:r>
    </w:p>
    <w:p w14:paraId="6A9F011E">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（9）其他合同文件（包括本工程预算控制价造价成果文件、采购文件等文件）；</w:t>
      </w:r>
    </w:p>
    <w:p w14:paraId="73732D52">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建设工程工程量清单计价规范（GB5050-2013）》及其广西实施细则及桂建标[2019]12号文《自治区住房城乡建设厅关于调整建设工程计价增值税税率的通知》、《建设工程工程量清单计算规范（GB50854～50862-2013）》及其广西实施细则（修订本）。</w:t>
      </w:r>
    </w:p>
    <w:p w14:paraId="29963EED">
      <w:pPr>
        <w:keepNext/>
        <w:keepLines/>
        <w:widowControl w:val="0"/>
        <w:spacing w:line="380" w:lineRule="exact"/>
        <w:ind w:firstLine="422" w:firstLineChars="200"/>
        <w:jc w:val="both"/>
        <w:outlineLvl w:val="0"/>
        <w:rPr>
          <w:rFonts w:ascii="宋体" w:hAnsi="宋体" w:eastAsia="宋体" w:cs="宋体"/>
          <w:b/>
          <w:bCs/>
          <w:color w:val="auto"/>
          <w:kern w:val="0"/>
          <w:sz w:val="21"/>
          <w:szCs w:val="21"/>
          <w:highlight w:val="none"/>
          <w:lang w:val="en-US" w:eastAsia="zh-CN" w:bidi="ar-SA"/>
        </w:rPr>
      </w:pPr>
      <w:bookmarkStart w:id="342" w:name="_Toc502"/>
      <w:bookmarkStart w:id="343" w:name="_Toc256000177"/>
      <w:bookmarkStart w:id="344" w:name="_Toc497747176"/>
      <w:bookmarkStart w:id="345" w:name="_Toc418751794"/>
      <w:bookmarkStart w:id="346" w:name="_Toc497746779"/>
      <w:bookmarkStart w:id="347" w:name="_Toc406522218"/>
      <w:bookmarkStart w:id="348" w:name="_Toc522201728"/>
      <w:bookmarkStart w:id="349" w:name="_Toc418752240"/>
      <w:r>
        <w:rPr>
          <w:rFonts w:hint="eastAsia" w:ascii="宋体" w:hAnsi="宋体" w:eastAsia="宋体" w:cs="宋体"/>
          <w:b/>
          <w:bCs/>
          <w:color w:val="auto"/>
          <w:kern w:val="0"/>
          <w:sz w:val="21"/>
          <w:szCs w:val="21"/>
          <w:highlight w:val="none"/>
          <w:lang w:val="en-US" w:eastAsia="zh-CN" w:bidi="ar-SA"/>
        </w:rPr>
        <w:t>说明：（6）、（7）、（8）、（9）填空内容分别限于技术标准和要求、图纸、已标价工程量清单或预算书、其他合同文件四者之一，其优先顺序可根据采取的不同合同方式由双方约定。</w:t>
      </w:r>
      <w:bookmarkEnd w:id="342"/>
      <w:bookmarkEnd w:id="343"/>
    </w:p>
    <w:p w14:paraId="0DE70718">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350" w:name="_Toc256000178"/>
      <w:bookmarkStart w:id="351" w:name="_Toc29336"/>
      <w:r>
        <w:rPr>
          <w:rFonts w:hint="eastAsia" w:ascii="宋体" w:hAnsi="宋体" w:eastAsia="宋体" w:cs="宋体"/>
          <w:b/>
          <w:bCs/>
          <w:color w:val="auto"/>
          <w:kern w:val="44"/>
          <w:sz w:val="21"/>
          <w:szCs w:val="21"/>
          <w:highlight w:val="none"/>
          <w:lang w:val="en-US" w:eastAsia="zh-CN" w:bidi="ar-SA"/>
        </w:rPr>
        <w:t>1.6 图纸和承包人文件</w:t>
      </w:r>
      <w:bookmarkEnd w:id="344"/>
      <w:bookmarkEnd w:id="345"/>
      <w:bookmarkEnd w:id="346"/>
      <w:bookmarkEnd w:id="347"/>
      <w:bookmarkEnd w:id="348"/>
      <w:bookmarkEnd w:id="349"/>
      <w:bookmarkEnd w:id="350"/>
      <w:bookmarkEnd w:id="351"/>
      <w:r>
        <w:rPr>
          <w:rFonts w:hint="eastAsia" w:ascii="宋体" w:hAnsi="宋体" w:eastAsia="宋体" w:cs="宋体"/>
          <w:b/>
          <w:bCs/>
          <w:color w:val="auto"/>
          <w:kern w:val="44"/>
          <w:sz w:val="21"/>
          <w:szCs w:val="21"/>
          <w:highlight w:val="none"/>
          <w:lang w:val="en-US" w:eastAsia="zh-CN" w:bidi="ar-SA"/>
        </w:rPr>
        <w:tab/>
      </w:r>
    </w:p>
    <w:p w14:paraId="10520227">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1.6.1 图纸的提供</w:t>
      </w:r>
    </w:p>
    <w:p w14:paraId="1A6EC476">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发包人向承包人提供图纸的期限：</w:t>
      </w:r>
      <w:r>
        <w:rPr>
          <w:rFonts w:hint="eastAsia" w:ascii="宋体" w:hAnsi="宋体" w:eastAsia="宋体" w:cs="宋体"/>
          <w:color w:val="auto"/>
          <w:kern w:val="2"/>
          <w:sz w:val="21"/>
          <w:szCs w:val="21"/>
          <w:highlight w:val="none"/>
          <w:u w:val="single"/>
          <w:lang w:val="en-US" w:eastAsia="zh-CN" w:bidi="ar-SA"/>
        </w:rPr>
        <w:t>合同签订生效后7天内</w:t>
      </w:r>
      <w:r>
        <w:rPr>
          <w:rFonts w:hint="eastAsia" w:ascii="宋体" w:hAnsi="宋体" w:eastAsia="宋体" w:cs="宋体"/>
          <w:color w:val="auto"/>
          <w:kern w:val="2"/>
          <w:sz w:val="21"/>
          <w:szCs w:val="21"/>
          <w:highlight w:val="none"/>
          <w:lang w:val="en-US" w:eastAsia="zh-CN" w:bidi="ar-SA"/>
        </w:rPr>
        <w:t>；</w:t>
      </w:r>
    </w:p>
    <w:p w14:paraId="48F8EF3E">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发包人向承包人提供图纸的数量：</w:t>
      </w:r>
      <w:r>
        <w:rPr>
          <w:rFonts w:hint="eastAsia" w:ascii="宋体" w:hAnsi="宋体" w:eastAsia="宋体" w:cs="宋体"/>
          <w:color w:val="auto"/>
          <w:kern w:val="2"/>
          <w:sz w:val="21"/>
          <w:szCs w:val="21"/>
          <w:highlight w:val="none"/>
          <w:u w:val="single"/>
          <w:lang w:val="en-US" w:eastAsia="zh-CN" w:bidi="ar-SA"/>
        </w:rPr>
        <w:t>贰份，上述图纸及技术资料，未经监理工程师和发包人同意，承包人不得提供给与本工程无关的第三方。承包人需要增加图纸套数的，承包人自行复制，复制费用由承包人承担。</w:t>
      </w:r>
    </w:p>
    <w:p w14:paraId="79BD3174">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发包人向承包人提供图纸的内容：</w:t>
      </w:r>
      <w:r>
        <w:rPr>
          <w:rFonts w:hint="eastAsia" w:ascii="宋体" w:hAnsi="宋体" w:eastAsia="宋体" w:cs="宋体"/>
          <w:color w:val="auto"/>
          <w:kern w:val="0"/>
          <w:sz w:val="21"/>
          <w:szCs w:val="21"/>
          <w:highlight w:val="none"/>
          <w:u w:val="single"/>
          <w:lang w:val="en-US" w:eastAsia="zh-CN" w:bidi="ar-SA"/>
        </w:rPr>
        <w:t>全套施工图纸和其他技术资料</w:t>
      </w:r>
      <w:r>
        <w:rPr>
          <w:rFonts w:hint="eastAsia" w:ascii="宋体" w:hAnsi="宋体" w:eastAsia="宋体" w:cs="宋体"/>
          <w:color w:val="auto"/>
          <w:kern w:val="2"/>
          <w:sz w:val="21"/>
          <w:szCs w:val="21"/>
          <w:highlight w:val="none"/>
          <w:lang w:val="en-US" w:eastAsia="zh-CN" w:bidi="ar-SA"/>
        </w:rPr>
        <w:t>。</w:t>
      </w:r>
    </w:p>
    <w:p w14:paraId="124C27F5">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1.6.4 承包人文件</w:t>
      </w:r>
    </w:p>
    <w:p w14:paraId="50FE4D10">
      <w:pPr>
        <w:widowControl w:val="0"/>
        <w:spacing w:line="380" w:lineRule="exact"/>
        <w:ind w:firstLine="420" w:firstLineChars="200"/>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需要由承包人提供的文件，包括：</w:t>
      </w:r>
      <w:r>
        <w:rPr>
          <w:rFonts w:hint="eastAsia" w:ascii="宋体" w:hAnsi="宋体" w:eastAsia="宋体" w:cs="宋体"/>
          <w:color w:val="auto"/>
          <w:kern w:val="2"/>
          <w:sz w:val="21"/>
          <w:szCs w:val="21"/>
          <w:highlight w:val="none"/>
          <w:u w:val="single"/>
          <w:lang w:val="en-US" w:eastAsia="zh-CN" w:bidi="ar-SA"/>
        </w:rPr>
        <w:t>1、施工组织设计；2、工程进度计划；3、管理人员名单、职称、职务、上岗证等；4、安全文明施工措施；5、质量保证体系；6、每周周日前提供当周施工统计报表和下周进度计划各一份交监理工程师及发包人；7</w:t>
      </w:r>
      <w:r>
        <w:rPr>
          <w:rFonts w:hint="eastAsia" w:ascii="宋体" w:hAnsi="宋体" w:eastAsia="宋体" w:cs="宋体"/>
          <w:color w:val="auto"/>
          <w:kern w:val="2"/>
          <w:sz w:val="21"/>
          <w:szCs w:val="21"/>
          <w:highlight w:val="none"/>
          <w:u w:val="single"/>
          <w:lang w:val="zh-CN" w:eastAsia="zh-CN" w:bidi="ar-SA"/>
        </w:rPr>
        <w:t>、</w:t>
      </w:r>
      <w:r>
        <w:rPr>
          <w:rFonts w:hint="eastAsia" w:ascii="宋体" w:hAnsi="宋体" w:eastAsia="宋体" w:cs="宋体"/>
          <w:color w:val="auto"/>
          <w:kern w:val="2"/>
          <w:sz w:val="21"/>
          <w:szCs w:val="21"/>
          <w:highlight w:val="none"/>
          <w:u w:val="single"/>
          <w:lang w:val="en-US" w:eastAsia="zh-CN" w:bidi="ar-SA"/>
        </w:rPr>
        <w:t>施工图以外的大样图、加工图、标准图、以及建筑装饰深化设计图纸设计优化建议等。但设计成果文件需经原设计单位审核及认可。最终设计成果归发包人所有。8、施工日志。9、变更日志。10、经验教训登记册。</w:t>
      </w:r>
    </w:p>
    <w:p w14:paraId="0B600AEE">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承包人提供的文件的期限为：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u w:val="single"/>
          <w:lang w:val="en-US" w:eastAsia="zh-CN" w:bidi="ar-SA"/>
        </w:rPr>
        <w:t xml:space="preserve">开始施工前7天内  </w:t>
      </w:r>
      <w:r>
        <w:rPr>
          <w:rFonts w:hint="eastAsia" w:ascii="宋体" w:hAnsi="宋体" w:eastAsia="宋体" w:cs="宋体"/>
          <w:color w:val="auto"/>
          <w:kern w:val="2"/>
          <w:sz w:val="21"/>
          <w:szCs w:val="21"/>
          <w:highlight w:val="none"/>
          <w:lang w:val="en-US" w:eastAsia="zh-CN" w:bidi="ar-SA"/>
        </w:rPr>
        <w:t>；</w:t>
      </w:r>
    </w:p>
    <w:p w14:paraId="0DEAF92E">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承包人提供的文件的数量为：</w:t>
      </w:r>
      <w:r>
        <w:rPr>
          <w:rFonts w:hint="eastAsia" w:ascii="宋体" w:hAnsi="宋体" w:eastAsia="宋体" w:cs="宋体"/>
          <w:color w:val="auto"/>
          <w:kern w:val="2"/>
          <w:sz w:val="21"/>
          <w:szCs w:val="21"/>
          <w:highlight w:val="none"/>
          <w:u w:val="single"/>
          <w:lang w:val="en-US" w:eastAsia="zh-CN" w:bidi="ar-SA"/>
        </w:rPr>
        <w:t xml:space="preserve">  6</w:t>
      </w:r>
      <w:r>
        <w:rPr>
          <w:rFonts w:hint="eastAsia" w:ascii="宋体" w:hAnsi="宋体" w:eastAsia="宋体" w:cs="宋体"/>
          <w:color w:val="auto"/>
          <w:kern w:val="0"/>
          <w:sz w:val="21"/>
          <w:szCs w:val="21"/>
          <w:highlight w:val="none"/>
          <w:u w:val="single"/>
          <w:lang w:val="en-US" w:eastAsia="zh-CN" w:bidi="ar-SA"/>
        </w:rPr>
        <w:t>份</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14:paraId="3623D8DF">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承包人提供的文件的形式为：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u w:val="single"/>
          <w:lang w:val="en-US" w:eastAsia="zh-CN" w:bidi="ar-SA"/>
        </w:rPr>
        <w:t>纸质版</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14:paraId="69D1C746">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发包人审批承包人文件的期限：</w:t>
      </w:r>
      <w:r>
        <w:rPr>
          <w:rFonts w:hint="eastAsia" w:ascii="宋体" w:hAnsi="宋体" w:eastAsia="宋体" w:cs="宋体"/>
          <w:color w:val="auto"/>
          <w:kern w:val="2"/>
          <w:sz w:val="21"/>
          <w:szCs w:val="21"/>
          <w:highlight w:val="none"/>
          <w:u w:val="single"/>
          <w:lang w:val="en-US" w:eastAsia="zh-CN" w:bidi="ar-SA"/>
        </w:rPr>
        <w:t xml:space="preserve"> 收到承包人提供的文件后七天内 </w:t>
      </w:r>
      <w:r>
        <w:rPr>
          <w:rFonts w:hint="eastAsia" w:ascii="宋体" w:hAnsi="宋体" w:eastAsia="宋体" w:cs="宋体"/>
          <w:color w:val="auto"/>
          <w:kern w:val="2"/>
          <w:sz w:val="21"/>
          <w:szCs w:val="21"/>
          <w:highlight w:val="none"/>
          <w:lang w:val="en-US" w:eastAsia="zh-CN" w:bidi="ar-SA"/>
        </w:rPr>
        <w:t>。</w:t>
      </w:r>
    </w:p>
    <w:p w14:paraId="0584D7BB">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1.6.5 现场图纸准备</w:t>
      </w:r>
    </w:p>
    <w:p w14:paraId="3B42CB66">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关于现场图纸准备的约定：</w:t>
      </w:r>
      <w:r>
        <w:rPr>
          <w:rFonts w:hint="eastAsia" w:ascii="宋体" w:hAnsi="宋体" w:eastAsia="宋体" w:cs="宋体"/>
          <w:color w:val="auto"/>
          <w:kern w:val="2"/>
          <w:sz w:val="21"/>
          <w:szCs w:val="21"/>
          <w:highlight w:val="none"/>
          <w:u w:val="single"/>
          <w:lang w:val="en-US" w:eastAsia="zh-CN" w:bidi="ar-SA"/>
        </w:rPr>
        <w:t xml:space="preserve">  按通用条款执行</w:t>
      </w:r>
      <w:r>
        <w:rPr>
          <w:rFonts w:hint="eastAsia" w:ascii="宋体" w:hAnsi="宋体" w:eastAsia="宋体" w:cs="宋体"/>
          <w:color w:val="auto"/>
          <w:kern w:val="2"/>
          <w:sz w:val="21"/>
          <w:szCs w:val="21"/>
          <w:highlight w:val="none"/>
          <w:lang w:val="en-US" w:eastAsia="zh-CN" w:bidi="ar-SA"/>
        </w:rPr>
        <w:t>。</w:t>
      </w:r>
    </w:p>
    <w:p w14:paraId="0A4AE4AE">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352" w:name="_Toc418752241"/>
      <w:bookmarkStart w:id="353" w:name="_Toc497747177"/>
      <w:bookmarkStart w:id="354" w:name="_Toc406522219"/>
      <w:bookmarkStart w:id="355" w:name="_Toc418751795"/>
      <w:bookmarkStart w:id="356" w:name="_Toc256000179"/>
      <w:bookmarkStart w:id="357" w:name="_Toc20464"/>
      <w:bookmarkStart w:id="358" w:name="_Toc497746780"/>
      <w:bookmarkStart w:id="359" w:name="_Toc522201729"/>
      <w:r>
        <w:rPr>
          <w:rFonts w:hint="eastAsia" w:ascii="宋体" w:hAnsi="宋体" w:eastAsia="宋体" w:cs="宋体"/>
          <w:b/>
          <w:bCs/>
          <w:color w:val="auto"/>
          <w:kern w:val="44"/>
          <w:sz w:val="21"/>
          <w:szCs w:val="21"/>
          <w:highlight w:val="none"/>
          <w:lang w:val="en-US" w:eastAsia="zh-CN" w:bidi="ar-SA"/>
        </w:rPr>
        <w:t>1.7 联络</w:t>
      </w:r>
      <w:bookmarkEnd w:id="352"/>
      <w:bookmarkEnd w:id="353"/>
      <w:bookmarkEnd w:id="354"/>
      <w:bookmarkEnd w:id="355"/>
      <w:bookmarkEnd w:id="356"/>
      <w:bookmarkEnd w:id="357"/>
      <w:bookmarkEnd w:id="358"/>
      <w:bookmarkEnd w:id="359"/>
    </w:p>
    <w:p w14:paraId="6D6EB8E5">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1.7.1发包人和承包人应当在</w:t>
      </w:r>
      <w:r>
        <w:rPr>
          <w:rFonts w:hint="eastAsia" w:ascii="宋体" w:hAnsi="宋体" w:eastAsia="宋体" w:cs="宋体"/>
          <w:color w:val="auto"/>
          <w:kern w:val="2"/>
          <w:sz w:val="21"/>
          <w:szCs w:val="21"/>
          <w:highlight w:val="none"/>
          <w:u w:val="single"/>
          <w:lang w:val="en-US" w:eastAsia="zh-CN" w:bidi="ar-SA"/>
        </w:rPr>
        <w:t xml:space="preserve">  7 </w:t>
      </w:r>
      <w:r>
        <w:rPr>
          <w:rFonts w:hint="eastAsia" w:ascii="宋体" w:hAnsi="宋体" w:eastAsia="宋体" w:cs="宋体"/>
          <w:color w:val="auto"/>
          <w:kern w:val="2"/>
          <w:sz w:val="21"/>
          <w:szCs w:val="21"/>
          <w:highlight w:val="none"/>
          <w:lang w:val="en-US" w:eastAsia="zh-CN" w:bidi="ar-SA"/>
        </w:rPr>
        <w:t>天内将与合同有关的通知、批准、证明、证书、指示、指令、要求、请求、同意、意见、确定和决定等书面函件送达对方当事人。</w:t>
      </w:r>
    </w:p>
    <w:p w14:paraId="0492809A">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1.7.2发包人接收文件的地点：</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14:paraId="6E8FB754">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发包人指定的接收人为：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14:paraId="164AF433">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承包人接收文件的地点：</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u w:val="single"/>
          <w:lang w:val="en-US" w:eastAsia="zh-CN" w:bidi="ar-SA"/>
        </w:rPr>
        <w:t>施工现场项目部</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14:paraId="161AB7EB">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承包人指定的接收人为：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14:paraId="74EF2FC1">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监理人接收文件的地点：</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14:paraId="3B4509C5">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监理人指定的接收人为：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14:paraId="7150DF74">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360" w:name="_Toc256000180"/>
      <w:bookmarkStart w:id="361" w:name="_Toc522201730"/>
      <w:bookmarkStart w:id="362" w:name="_Toc418752242"/>
      <w:bookmarkStart w:id="363" w:name="_Toc19425"/>
      <w:bookmarkStart w:id="364" w:name="_Toc418751796"/>
      <w:bookmarkStart w:id="365" w:name="_Toc497747178"/>
      <w:bookmarkStart w:id="366" w:name="_Toc406522220"/>
      <w:bookmarkStart w:id="367" w:name="_Toc497746781"/>
      <w:r>
        <w:rPr>
          <w:rFonts w:hint="eastAsia" w:ascii="宋体" w:hAnsi="宋体" w:eastAsia="宋体" w:cs="宋体"/>
          <w:b/>
          <w:bCs/>
          <w:color w:val="auto"/>
          <w:kern w:val="44"/>
          <w:sz w:val="21"/>
          <w:szCs w:val="21"/>
          <w:highlight w:val="none"/>
          <w:lang w:val="en-US" w:eastAsia="zh-CN" w:bidi="ar-SA"/>
        </w:rPr>
        <w:t>1.10 交通运输</w:t>
      </w:r>
      <w:bookmarkEnd w:id="360"/>
      <w:bookmarkEnd w:id="361"/>
      <w:bookmarkEnd w:id="362"/>
      <w:bookmarkEnd w:id="363"/>
      <w:bookmarkEnd w:id="364"/>
      <w:bookmarkEnd w:id="365"/>
      <w:bookmarkEnd w:id="366"/>
      <w:bookmarkEnd w:id="367"/>
    </w:p>
    <w:p w14:paraId="00C40EE4">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bookmarkStart w:id="368" w:name="_Toc303539100"/>
      <w:bookmarkStart w:id="369" w:name="_Toc304295521"/>
      <w:bookmarkStart w:id="370" w:name="_Toc318581155"/>
      <w:bookmarkStart w:id="371" w:name="_Toc300934943"/>
      <w:bookmarkStart w:id="372" w:name="_Toc312677986"/>
      <w:r>
        <w:rPr>
          <w:rFonts w:hint="eastAsia" w:ascii="宋体" w:hAnsi="宋体" w:eastAsia="宋体" w:cs="宋体"/>
          <w:color w:val="auto"/>
          <w:kern w:val="2"/>
          <w:sz w:val="21"/>
          <w:szCs w:val="21"/>
          <w:highlight w:val="none"/>
          <w:lang w:val="en-US" w:eastAsia="zh-CN" w:bidi="ar-SA"/>
        </w:rPr>
        <w:t>.10.1 出入现场的权利</w:t>
      </w:r>
    </w:p>
    <w:p w14:paraId="45B0AB34">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关于出入现场的权利的约定：</w:t>
      </w:r>
      <w:r>
        <w:rPr>
          <w:rFonts w:hint="eastAsia" w:ascii="宋体" w:hAnsi="宋体" w:eastAsia="宋体" w:cs="宋体"/>
          <w:color w:val="auto"/>
          <w:kern w:val="2"/>
          <w:sz w:val="21"/>
          <w:szCs w:val="21"/>
          <w:highlight w:val="none"/>
          <w:u w:val="single"/>
          <w:lang w:val="en-US" w:eastAsia="zh-CN" w:bidi="ar-SA"/>
        </w:rPr>
        <w:t xml:space="preserve"> 除正常施工涉及的人员及车辆外，其他人员及车辆进出场内须经过发包人同意，且由承包人进行管理登记 </w:t>
      </w:r>
      <w:r>
        <w:rPr>
          <w:rFonts w:hint="eastAsia" w:ascii="宋体" w:hAnsi="宋体" w:eastAsia="宋体" w:cs="宋体"/>
          <w:color w:val="auto"/>
          <w:kern w:val="2"/>
          <w:sz w:val="21"/>
          <w:szCs w:val="21"/>
          <w:highlight w:val="none"/>
          <w:lang w:val="en-US" w:eastAsia="zh-CN" w:bidi="ar-SA"/>
        </w:rPr>
        <w:t>。</w:t>
      </w:r>
    </w:p>
    <w:bookmarkEnd w:id="368"/>
    <w:bookmarkEnd w:id="369"/>
    <w:bookmarkEnd w:id="370"/>
    <w:bookmarkEnd w:id="371"/>
    <w:bookmarkEnd w:id="372"/>
    <w:p w14:paraId="5F10F5AA">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bookmarkStart w:id="373" w:name="_Toc318581156"/>
      <w:bookmarkStart w:id="374" w:name="_Toc303539101"/>
      <w:bookmarkStart w:id="375" w:name="_Toc300934944"/>
      <w:bookmarkStart w:id="376" w:name="_Toc304295522"/>
      <w:bookmarkStart w:id="377" w:name="_Toc312677987"/>
      <w:r>
        <w:rPr>
          <w:rFonts w:hint="eastAsia" w:ascii="宋体" w:hAnsi="宋体" w:eastAsia="宋体" w:cs="宋体"/>
          <w:color w:val="auto"/>
          <w:kern w:val="2"/>
          <w:sz w:val="21"/>
          <w:szCs w:val="21"/>
          <w:highlight w:val="none"/>
          <w:lang w:val="en-US" w:eastAsia="zh-CN" w:bidi="ar-SA"/>
        </w:rPr>
        <w:t>.10.3 场内交通</w:t>
      </w:r>
    </w:p>
    <w:p w14:paraId="3C722BA7">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关于场外交通和场内交通的边界的约定：</w:t>
      </w:r>
      <w:r>
        <w:rPr>
          <w:rFonts w:hint="eastAsia" w:ascii="宋体" w:hAnsi="宋体" w:eastAsia="宋体" w:cs="宋体"/>
          <w:color w:val="auto"/>
          <w:kern w:val="2"/>
          <w:sz w:val="21"/>
          <w:szCs w:val="21"/>
          <w:highlight w:val="none"/>
          <w:u w:val="single"/>
          <w:lang w:val="en-US" w:eastAsia="zh-CN" w:bidi="ar-SA"/>
        </w:rPr>
        <w:t xml:space="preserve">  规划批复总平用地红线  </w:t>
      </w:r>
      <w:r>
        <w:rPr>
          <w:rFonts w:hint="eastAsia" w:ascii="宋体" w:hAnsi="宋体" w:eastAsia="宋体" w:cs="宋体"/>
          <w:color w:val="auto"/>
          <w:kern w:val="2"/>
          <w:sz w:val="21"/>
          <w:szCs w:val="21"/>
          <w:highlight w:val="none"/>
          <w:lang w:val="en-US" w:eastAsia="zh-CN" w:bidi="ar-SA"/>
        </w:rPr>
        <w:t>。</w:t>
      </w:r>
    </w:p>
    <w:p w14:paraId="7E3218ED">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关于发包人向承包人免费提供满足工程施工需要的场内道路和交通设施的约定：</w:t>
      </w:r>
      <w:r>
        <w:rPr>
          <w:rFonts w:hint="eastAsia" w:ascii="宋体" w:hAnsi="宋体" w:eastAsia="宋体" w:cs="宋体"/>
          <w:color w:val="auto"/>
          <w:kern w:val="2"/>
          <w:sz w:val="21"/>
          <w:szCs w:val="21"/>
          <w:highlight w:val="none"/>
          <w:u w:val="single"/>
          <w:lang w:val="en-US" w:eastAsia="zh-CN" w:bidi="ar-SA"/>
        </w:rPr>
        <w:t>承包人负责场内道路和交通设施的修建并承担相应费用</w:t>
      </w:r>
      <w:r>
        <w:rPr>
          <w:rFonts w:hint="eastAsia" w:ascii="宋体" w:hAnsi="宋体" w:eastAsia="宋体" w:cs="宋体"/>
          <w:color w:val="auto"/>
          <w:kern w:val="2"/>
          <w:sz w:val="21"/>
          <w:szCs w:val="21"/>
          <w:highlight w:val="none"/>
          <w:lang w:val="en-US" w:eastAsia="zh-CN" w:bidi="ar-SA"/>
        </w:rPr>
        <w:t>。</w:t>
      </w:r>
      <w:bookmarkEnd w:id="373"/>
      <w:bookmarkEnd w:id="374"/>
      <w:bookmarkEnd w:id="375"/>
      <w:bookmarkEnd w:id="376"/>
      <w:bookmarkEnd w:id="377"/>
      <w:r>
        <w:rPr>
          <w:rFonts w:hint="eastAsia" w:ascii="宋体" w:hAnsi="宋体" w:eastAsia="宋体" w:cs="宋体"/>
          <w:color w:val="auto"/>
          <w:kern w:val="2"/>
          <w:sz w:val="21"/>
          <w:szCs w:val="21"/>
          <w:highlight w:val="none"/>
          <w:lang w:val="en-US" w:eastAsia="zh-CN" w:bidi="ar-SA"/>
        </w:rPr>
        <w:t xml:space="preserve">  </w:t>
      </w:r>
      <w:bookmarkStart w:id="378" w:name="_Toc318581157"/>
    </w:p>
    <w:p w14:paraId="2C541973">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1.10.4超大件和超重件的运输</w:t>
      </w:r>
    </w:p>
    <w:p w14:paraId="254D298E">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运输超大件或超重件所需的道路和桥梁临时加固改造费用和其他有关费用由</w:t>
      </w:r>
      <w:r>
        <w:rPr>
          <w:rFonts w:hint="eastAsia" w:ascii="宋体" w:hAnsi="宋体" w:eastAsia="宋体" w:cs="宋体"/>
          <w:color w:val="auto"/>
          <w:kern w:val="2"/>
          <w:sz w:val="21"/>
          <w:szCs w:val="21"/>
          <w:highlight w:val="none"/>
          <w:u w:val="single"/>
          <w:lang w:val="en-US" w:eastAsia="zh-CN" w:bidi="ar-SA"/>
        </w:rPr>
        <w:t>承包人</w:t>
      </w:r>
      <w:r>
        <w:rPr>
          <w:rFonts w:hint="eastAsia" w:ascii="宋体" w:hAnsi="宋体" w:eastAsia="宋体" w:cs="宋体"/>
          <w:color w:val="auto"/>
          <w:kern w:val="2"/>
          <w:sz w:val="21"/>
          <w:szCs w:val="21"/>
          <w:highlight w:val="none"/>
          <w:lang w:val="en-US" w:eastAsia="zh-CN" w:bidi="ar-SA"/>
        </w:rPr>
        <w:t>承担。</w:t>
      </w:r>
    </w:p>
    <w:bookmarkEnd w:id="378"/>
    <w:p w14:paraId="7DB50AE4">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379" w:name="_Toc418752243"/>
      <w:bookmarkStart w:id="380" w:name="_Toc418751797"/>
      <w:bookmarkStart w:id="381" w:name="_Toc406522221"/>
      <w:bookmarkStart w:id="382" w:name="_Toc30480"/>
      <w:bookmarkStart w:id="383" w:name="_Toc522201731"/>
      <w:bookmarkStart w:id="384" w:name="_Toc256000181"/>
      <w:bookmarkStart w:id="385" w:name="_Toc497746782"/>
      <w:bookmarkStart w:id="386" w:name="_Toc497747179"/>
      <w:r>
        <w:rPr>
          <w:rFonts w:hint="eastAsia" w:ascii="宋体" w:hAnsi="宋体" w:eastAsia="宋体" w:cs="宋体"/>
          <w:b/>
          <w:bCs/>
          <w:color w:val="auto"/>
          <w:kern w:val="44"/>
          <w:sz w:val="21"/>
          <w:szCs w:val="21"/>
          <w:highlight w:val="none"/>
          <w:lang w:val="en-US" w:eastAsia="zh-CN" w:bidi="ar-SA"/>
        </w:rPr>
        <w:t>1.11 知识产权</w:t>
      </w:r>
      <w:bookmarkEnd w:id="379"/>
      <w:bookmarkEnd w:id="380"/>
      <w:bookmarkEnd w:id="381"/>
      <w:bookmarkEnd w:id="382"/>
      <w:bookmarkEnd w:id="383"/>
      <w:bookmarkEnd w:id="384"/>
      <w:bookmarkEnd w:id="385"/>
      <w:bookmarkEnd w:id="386"/>
    </w:p>
    <w:p w14:paraId="38B22E13">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kern w:val="2"/>
          <w:sz w:val="21"/>
          <w:szCs w:val="21"/>
          <w:highlight w:val="none"/>
          <w:u w:val="single"/>
          <w:lang w:val="en-US" w:eastAsia="zh-CN" w:bidi="ar-SA"/>
        </w:rPr>
        <w:t>著作权属于发包人</w:t>
      </w:r>
      <w:r>
        <w:rPr>
          <w:rFonts w:hint="eastAsia" w:ascii="宋体" w:hAnsi="宋体" w:eastAsia="宋体" w:cs="宋体"/>
          <w:color w:val="auto"/>
          <w:kern w:val="2"/>
          <w:sz w:val="21"/>
          <w:szCs w:val="21"/>
          <w:highlight w:val="none"/>
          <w:lang w:val="en-US" w:eastAsia="zh-CN" w:bidi="ar-SA"/>
        </w:rPr>
        <w:t>。</w:t>
      </w:r>
    </w:p>
    <w:p w14:paraId="08613277">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关于发包人提供的上述文件的使用限制的要求：</w:t>
      </w:r>
      <w:r>
        <w:rPr>
          <w:rFonts w:hint="eastAsia" w:ascii="宋体" w:hAnsi="宋体" w:eastAsia="宋体" w:cs="宋体"/>
          <w:color w:val="auto"/>
          <w:kern w:val="2"/>
          <w:sz w:val="21"/>
          <w:szCs w:val="21"/>
          <w:highlight w:val="none"/>
          <w:u w:val="single"/>
          <w:lang w:val="en-US" w:eastAsia="zh-CN" w:bidi="ar-SA"/>
        </w:rPr>
        <w:t>未经发包人同意，承包人不得为了合同以外的目的而复制、使用上述文件或将之提供给任何第三方</w:t>
      </w:r>
      <w:r>
        <w:rPr>
          <w:rFonts w:hint="eastAsia" w:ascii="宋体" w:hAnsi="宋体" w:eastAsia="宋体" w:cs="宋体"/>
          <w:color w:val="auto"/>
          <w:kern w:val="2"/>
          <w:sz w:val="21"/>
          <w:szCs w:val="21"/>
          <w:highlight w:val="none"/>
          <w:lang w:val="en-US" w:eastAsia="zh-CN" w:bidi="ar-SA"/>
        </w:rPr>
        <w:t>。</w:t>
      </w:r>
    </w:p>
    <w:p w14:paraId="56D70F7B">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1.11.2 关于承包人为实施工程所编制文件的著作权的归属：</w:t>
      </w:r>
      <w:r>
        <w:rPr>
          <w:rFonts w:hint="eastAsia" w:ascii="宋体" w:hAnsi="宋体" w:eastAsia="宋体" w:cs="宋体"/>
          <w:color w:val="auto"/>
          <w:kern w:val="2"/>
          <w:sz w:val="21"/>
          <w:szCs w:val="21"/>
          <w:highlight w:val="none"/>
          <w:u w:val="single"/>
          <w:lang w:val="en-US" w:eastAsia="zh-CN" w:bidi="ar-SA"/>
        </w:rPr>
        <w:t>除署名以外著作权属于发包人</w:t>
      </w:r>
      <w:r>
        <w:rPr>
          <w:rFonts w:hint="eastAsia" w:ascii="宋体" w:hAnsi="宋体" w:eastAsia="宋体" w:cs="宋体"/>
          <w:color w:val="auto"/>
          <w:kern w:val="2"/>
          <w:sz w:val="21"/>
          <w:szCs w:val="21"/>
          <w:highlight w:val="none"/>
          <w:lang w:val="en-US" w:eastAsia="zh-CN" w:bidi="ar-SA"/>
        </w:rPr>
        <w:t>。</w:t>
      </w:r>
    </w:p>
    <w:p w14:paraId="7AA5A831">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关于承包人提供的上述文件的使用限制的要求：</w:t>
      </w:r>
      <w:r>
        <w:rPr>
          <w:rFonts w:hint="eastAsia" w:ascii="宋体" w:hAnsi="宋体" w:eastAsia="宋体" w:cs="宋体"/>
          <w:color w:val="auto"/>
          <w:kern w:val="2"/>
          <w:sz w:val="21"/>
          <w:szCs w:val="21"/>
          <w:highlight w:val="none"/>
          <w:u w:val="single"/>
          <w:lang w:val="en-US" w:eastAsia="zh-CN" w:bidi="ar-SA"/>
        </w:rPr>
        <w:t>未经发包人同意，承包人不得为了合同以外的目的而复制、使用上述文件或将之提供给任何第三方</w:t>
      </w:r>
      <w:r>
        <w:rPr>
          <w:rFonts w:hint="eastAsia" w:ascii="宋体" w:hAnsi="宋体" w:eastAsia="宋体" w:cs="宋体"/>
          <w:color w:val="auto"/>
          <w:kern w:val="2"/>
          <w:sz w:val="21"/>
          <w:szCs w:val="21"/>
          <w:highlight w:val="none"/>
          <w:lang w:val="en-US" w:eastAsia="zh-CN" w:bidi="ar-SA"/>
        </w:rPr>
        <w:t>。</w:t>
      </w:r>
    </w:p>
    <w:p w14:paraId="3129DF9D">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1.11.4 承包人在施工过程中所采用的专利、专有技术、技术秘密的使用费的承担方式：</w:t>
      </w:r>
      <w:r>
        <w:rPr>
          <w:rFonts w:hint="eastAsia" w:ascii="宋体" w:hAnsi="宋体" w:eastAsia="宋体" w:cs="宋体"/>
          <w:color w:val="auto"/>
          <w:kern w:val="2"/>
          <w:sz w:val="21"/>
          <w:szCs w:val="21"/>
          <w:highlight w:val="none"/>
          <w:u w:val="single"/>
          <w:lang w:val="en-US" w:eastAsia="zh-CN" w:bidi="ar-SA"/>
        </w:rPr>
        <w:t>由承包人承担</w:t>
      </w:r>
      <w:r>
        <w:rPr>
          <w:rFonts w:hint="eastAsia" w:ascii="宋体" w:hAnsi="宋体" w:eastAsia="宋体" w:cs="宋体"/>
          <w:color w:val="auto"/>
          <w:kern w:val="2"/>
          <w:sz w:val="21"/>
          <w:szCs w:val="21"/>
          <w:highlight w:val="none"/>
          <w:lang w:val="en-US" w:eastAsia="zh-CN" w:bidi="ar-SA"/>
        </w:rPr>
        <w:t>。</w:t>
      </w:r>
    </w:p>
    <w:p w14:paraId="30BDF8C3">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1.13工程量清单错误的修正</w:t>
      </w:r>
    </w:p>
    <w:p w14:paraId="102D58CE">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出现工程量清单错误时，是否调整合同价格：</w:t>
      </w:r>
      <w:r>
        <w:rPr>
          <w:rFonts w:hint="eastAsia" w:ascii="宋体" w:hAnsi="宋体" w:eastAsia="宋体" w:cs="宋体"/>
          <w:color w:val="auto"/>
          <w:kern w:val="2"/>
          <w:sz w:val="21"/>
          <w:szCs w:val="21"/>
          <w:highlight w:val="none"/>
          <w:u w:val="single"/>
          <w:lang w:val="en-US" w:eastAsia="zh-CN" w:bidi="ar-SA"/>
        </w:rPr>
        <w:t>按《建设工程工程量清单计价规范（GB5050-2013）》及其广西实施细则、《建设工程工程量清单计算规范（GB50854～50862-2013）》及其广西实施细则（修订本）等规定。</w:t>
      </w:r>
    </w:p>
    <w:p w14:paraId="6F4683F2">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允许调整合同价格的工程量偏差范围： </w:t>
      </w:r>
      <w:r>
        <w:rPr>
          <w:rFonts w:hint="eastAsia" w:ascii="宋体" w:hAnsi="宋体" w:eastAsia="宋体" w:cs="宋体"/>
          <w:color w:val="auto"/>
          <w:kern w:val="2"/>
          <w:sz w:val="21"/>
          <w:szCs w:val="21"/>
          <w:highlight w:val="none"/>
          <w:u w:val="single"/>
          <w:lang w:val="en-US" w:eastAsia="zh-CN" w:bidi="ar-SA"/>
        </w:rPr>
        <w:t>按《建设工程工程量清单计价规范（GB5050-2013）》及其广西实施细则、《建设工程工程量清单计算规范（GB50854～50862-2013）》及其广西实施细则（修订本）等规定</w:t>
      </w:r>
      <w:r>
        <w:rPr>
          <w:rFonts w:hint="eastAsia" w:ascii="宋体" w:hAnsi="宋体" w:eastAsia="宋体" w:cs="宋体"/>
          <w:color w:val="auto"/>
          <w:kern w:val="2"/>
          <w:sz w:val="21"/>
          <w:szCs w:val="21"/>
          <w:highlight w:val="none"/>
          <w:lang w:val="en-US" w:eastAsia="zh-CN" w:bidi="ar-SA"/>
        </w:rPr>
        <w:t>。</w:t>
      </w:r>
    </w:p>
    <w:p w14:paraId="66C0D4E9">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bookmarkStart w:id="387" w:name="_Toc418751798"/>
      <w:bookmarkStart w:id="388" w:name="_Toc497747180"/>
      <w:bookmarkStart w:id="389" w:name="_Toc522201732"/>
      <w:bookmarkStart w:id="390" w:name="_Toc497746783"/>
      <w:bookmarkStart w:id="391" w:name="_Toc256000182"/>
      <w:bookmarkStart w:id="392" w:name="_Toc418752244"/>
      <w:bookmarkStart w:id="393" w:name="_Toc406522222"/>
      <w:bookmarkStart w:id="394" w:name="_Toc18348"/>
      <w:bookmarkStart w:id="395" w:name="_Toc351203634"/>
      <w:r>
        <w:rPr>
          <w:rFonts w:hint="eastAsia" w:ascii="宋体" w:hAnsi="宋体" w:eastAsia="宋体" w:cs="宋体"/>
          <w:b/>
          <w:bCs/>
          <w:color w:val="auto"/>
          <w:kern w:val="44"/>
          <w:sz w:val="21"/>
          <w:szCs w:val="21"/>
          <w:highlight w:val="none"/>
          <w:lang w:val="en-US" w:eastAsia="zh-CN" w:bidi="ar-SA"/>
        </w:rPr>
        <w:t>2</w:t>
      </w:r>
      <w:bookmarkStart w:id="396" w:name="_Toc296944496"/>
      <w:bookmarkStart w:id="397" w:name="_Toc292559362"/>
      <w:bookmarkStart w:id="398" w:name="_Toc297120457"/>
      <w:bookmarkStart w:id="399" w:name="_Toc296346658"/>
      <w:bookmarkStart w:id="400" w:name="_Toc296891197"/>
      <w:bookmarkStart w:id="401" w:name="_Toc297048343"/>
      <w:bookmarkStart w:id="402" w:name="_Toc296503157"/>
      <w:bookmarkStart w:id="403" w:name="_Toc292559867"/>
      <w:bookmarkStart w:id="404" w:name="_Toc296347156"/>
      <w:bookmarkStart w:id="405" w:name="_Toc296890985"/>
      <w:r>
        <w:rPr>
          <w:rFonts w:hint="eastAsia" w:ascii="宋体" w:hAnsi="宋体" w:eastAsia="宋体" w:cs="宋体"/>
          <w:b/>
          <w:bCs/>
          <w:color w:val="auto"/>
          <w:kern w:val="44"/>
          <w:sz w:val="21"/>
          <w:szCs w:val="21"/>
          <w:highlight w:val="none"/>
          <w:lang w:val="en-US" w:eastAsia="zh-CN" w:bidi="ar-SA"/>
        </w:rPr>
        <w:t>. 发包人</w:t>
      </w:r>
      <w:bookmarkEnd w:id="387"/>
      <w:bookmarkEnd w:id="388"/>
      <w:bookmarkEnd w:id="389"/>
      <w:bookmarkEnd w:id="390"/>
      <w:bookmarkEnd w:id="391"/>
      <w:bookmarkEnd w:id="392"/>
      <w:bookmarkEnd w:id="393"/>
      <w:bookmarkEnd w:id="394"/>
      <w:bookmarkEnd w:id="395"/>
    </w:p>
    <w:bookmarkEnd w:id="396"/>
    <w:bookmarkEnd w:id="397"/>
    <w:bookmarkEnd w:id="398"/>
    <w:bookmarkEnd w:id="399"/>
    <w:bookmarkEnd w:id="400"/>
    <w:bookmarkEnd w:id="401"/>
    <w:bookmarkEnd w:id="402"/>
    <w:bookmarkEnd w:id="403"/>
    <w:bookmarkEnd w:id="404"/>
    <w:bookmarkEnd w:id="405"/>
    <w:p w14:paraId="77A3A4C5">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406" w:name="_Toc497746784"/>
      <w:bookmarkStart w:id="407" w:name="_Toc418751799"/>
      <w:bookmarkStart w:id="408" w:name="_Toc406522223"/>
      <w:bookmarkStart w:id="409" w:name="_Toc418752245"/>
      <w:bookmarkStart w:id="410" w:name="_Toc4556"/>
      <w:bookmarkStart w:id="411" w:name="_Toc522201733"/>
      <w:bookmarkStart w:id="412" w:name="_Toc497747181"/>
      <w:bookmarkStart w:id="413" w:name="_Toc256000183"/>
      <w:r>
        <w:rPr>
          <w:rFonts w:hint="eastAsia" w:ascii="宋体" w:hAnsi="宋体" w:eastAsia="宋体" w:cs="宋体"/>
          <w:b/>
          <w:bCs/>
          <w:color w:val="auto"/>
          <w:kern w:val="44"/>
          <w:sz w:val="21"/>
          <w:szCs w:val="21"/>
          <w:highlight w:val="none"/>
          <w:lang w:val="en-US" w:eastAsia="zh-CN" w:bidi="ar-SA"/>
        </w:rPr>
        <w:t>2.2 发包人代表</w:t>
      </w:r>
      <w:bookmarkEnd w:id="406"/>
      <w:bookmarkEnd w:id="407"/>
      <w:bookmarkEnd w:id="408"/>
      <w:bookmarkEnd w:id="409"/>
      <w:bookmarkEnd w:id="410"/>
      <w:bookmarkEnd w:id="411"/>
      <w:bookmarkEnd w:id="412"/>
      <w:bookmarkEnd w:id="413"/>
    </w:p>
    <w:p w14:paraId="2FC8EB8D">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发包人代表：</w:t>
      </w:r>
    </w:p>
    <w:p w14:paraId="1738F6FF">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姓    名：</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14:paraId="4A9C35BC">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职    务：</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14:paraId="3D094B42">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联系电话：</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14:paraId="79C660C9">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电子信箱：</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14:paraId="2FCB59D8">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通信地址：</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14:paraId="06EBC7AE">
      <w:pPr>
        <w:widowControl w:val="0"/>
        <w:spacing w:line="380" w:lineRule="exact"/>
        <w:ind w:firstLine="420" w:firstLineChars="200"/>
        <w:jc w:val="both"/>
        <w:rPr>
          <w:rFonts w:ascii="宋体" w:hAnsi="宋体" w:eastAsia="宋体" w:cs="宋体"/>
          <w:b/>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发包人对发包人代表的授权范围如下：</w:t>
      </w:r>
      <w:r>
        <w:rPr>
          <w:rFonts w:hint="eastAsia" w:ascii="宋体" w:hAnsi="宋体" w:eastAsia="宋体" w:cs="宋体"/>
          <w:color w:val="auto"/>
          <w:kern w:val="2"/>
          <w:sz w:val="21"/>
          <w:szCs w:val="21"/>
          <w:highlight w:val="none"/>
          <w:u w:val="single"/>
          <w:lang w:val="en-US" w:eastAsia="zh-CN" w:bidi="ar-SA"/>
        </w:rPr>
        <w:t>对工程进度、质量进行监督、办理中间交工工程验收手续，负责现场签证，解决由发包人授权处理的事宜</w:t>
      </w:r>
      <w:r>
        <w:rPr>
          <w:rFonts w:hint="eastAsia" w:ascii="宋体" w:hAnsi="宋体" w:eastAsia="宋体" w:cs="宋体"/>
          <w:color w:val="auto"/>
          <w:kern w:val="2"/>
          <w:sz w:val="21"/>
          <w:szCs w:val="21"/>
          <w:highlight w:val="none"/>
          <w:lang w:val="en-US" w:eastAsia="zh-CN" w:bidi="ar-SA"/>
        </w:rPr>
        <w:t>。</w:t>
      </w:r>
    </w:p>
    <w:p w14:paraId="6CC08BF9">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414" w:name="_Toc418751800"/>
      <w:bookmarkStart w:id="415" w:name="_Toc497746785"/>
      <w:bookmarkStart w:id="416" w:name="_Toc406522224"/>
      <w:bookmarkStart w:id="417" w:name="_Toc497747182"/>
      <w:bookmarkStart w:id="418" w:name="_Toc418752246"/>
      <w:bookmarkStart w:id="419" w:name="_Toc522201734"/>
      <w:bookmarkStart w:id="420" w:name="_Toc256000184"/>
      <w:bookmarkStart w:id="421" w:name="_Toc10310"/>
      <w:r>
        <w:rPr>
          <w:rFonts w:hint="eastAsia" w:ascii="宋体" w:hAnsi="宋体" w:eastAsia="宋体" w:cs="宋体"/>
          <w:b/>
          <w:bCs/>
          <w:color w:val="auto"/>
          <w:kern w:val="44"/>
          <w:sz w:val="21"/>
          <w:szCs w:val="21"/>
          <w:highlight w:val="none"/>
          <w:lang w:val="en-US" w:eastAsia="zh-CN" w:bidi="ar-SA"/>
        </w:rPr>
        <w:t>2.4 施工现场、施工条件和基础资料的提供</w:t>
      </w:r>
      <w:bookmarkEnd w:id="414"/>
      <w:bookmarkEnd w:id="415"/>
      <w:bookmarkEnd w:id="416"/>
      <w:bookmarkEnd w:id="417"/>
      <w:bookmarkEnd w:id="418"/>
      <w:bookmarkEnd w:id="419"/>
      <w:bookmarkEnd w:id="420"/>
      <w:bookmarkEnd w:id="421"/>
    </w:p>
    <w:p w14:paraId="7105727D">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2.4.1 提供施工现场</w:t>
      </w:r>
    </w:p>
    <w:p w14:paraId="596835D6">
      <w:pPr>
        <w:widowControl w:val="0"/>
        <w:spacing w:line="380" w:lineRule="exact"/>
        <w:ind w:firstLine="420" w:firstLineChars="200"/>
        <w:jc w:val="both"/>
        <w:rPr>
          <w:rFonts w:hint="default"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关于发包人移交施工现场的期限要求：根据发包人实际要求。</w:t>
      </w:r>
    </w:p>
    <w:p w14:paraId="727DFAB0">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2.4.2 提供施工条件</w:t>
      </w:r>
    </w:p>
    <w:p w14:paraId="4C31E82D">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关于发包人应负责提供施工所需要的条件，包括：</w:t>
      </w:r>
      <w:r>
        <w:rPr>
          <w:rFonts w:hint="eastAsia" w:ascii="宋体" w:hAnsi="宋体" w:eastAsia="宋体" w:cs="宋体"/>
          <w:color w:val="auto"/>
          <w:kern w:val="2"/>
          <w:sz w:val="21"/>
          <w:szCs w:val="21"/>
          <w:highlight w:val="none"/>
          <w:u w:val="single"/>
          <w:lang w:val="en-US" w:eastAsia="zh-CN" w:bidi="ar-SA"/>
        </w:rPr>
        <w:t>发包人可配合承包人办理开工所需手续及相关申请，费用由承包人自行解决，施工场地与公共道路的通道，由承包人负责实施，费用已包含在合同价中</w:t>
      </w:r>
      <w:r>
        <w:rPr>
          <w:rFonts w:hint="eastAsia" w:ascii="宋体" w:hAnsi="宋体" w:eastAsia="宋体" w:cs="宋体"/>
          <w:color w:val="auto"/>
          <w:kern w:val="2"/>
          <w:sz w:val="21"/>
          <w:szCs w:val="21"/>
          <w:highlight w:val="none"/>
          <w:lang w:val="en-US" w:eastAsia="zh-CN" w:bidi="ar-SA"/>
        </w:rPr>
        <w:t>。</w:t>
      </w:r>
    </w:p>
    <w:p w14:paraId="2EF60879">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422" w:name="_Toc256000185"/>
      <w:bookmarkStart w:id="423" w:name="_Toc406522225"/>
      <w:bookmarkStart w:id="424" w:name="_Toc522201735"/>
      <w:bookmarkStart w:id="425" w:name="_Toc418752247"/>
      <w:bookmarkStart w:id="426" w:name="_Toc19517"/>
      <w:bookmarkStart w:id="427" w:name="_Toc497746786"/>
      <w:bookmarkStart w:id="428" w:name="_Toc418751801"/>
      <w:bookmarkStart w:id="429" w:name="_Toc497747183"/>
      <w:r>
        <w:rPr>
          <w:rFonts w:hint="eastAsia" w:ascii="宋体" w:hAnsi="宋体" w:eastAsia="宋体" w:cs="宋体"/>
          <w:b/>
          <w:bCs/>
          <w:color w:val="auto"/>
          <w:kern w:val="44"/>
          <w:sz w:val="21"/>
          <w:szCs w:val="21"/>
          <w:highlight w:val="none"/>
          <w:lang w:val="en-US" w:eastAsia="zh-CN" w:bidi="ar-SA"/>
        </w:rPr>
        <w:t>2.5 资金来源证明及支付担保</w:t>
      </w:r>
      <w:bookmarkEnd w:id="422"/>
      <w:bookmarkEnd w:id="423"/>
      <w:bookmarkEnd w:id="424"/>
      <w:bookmarkEnd w:id="425"/>
      <w:bookmarkEnd w:id="426"/>
      <w:bookmarkEnd w:id="427"/>
      <w:bookmarkEnd w:id="428"/>
      <w:bookmarkEnd w:id="429"/>
    </w:p>
    <w:p w14:paraId="6DC9A6B9">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发包人提供资金来源证明的期限要求：</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w:t>
      </w:r>
    </w:p>
    <w:p w14:paraId="61CDD60A">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发包人是否提供支付担保：</w:t>
      </w:r>
      <w:r>
        <w:rPr>
          <w:rFonts w:hint="eastAsia" w:ascii="宋体" w:hAnsi="宋体" w:eastAsia="宋体" w:cs="宋体"/>
          <w:color w:val="auto"/>
          <w:kern w:val="2"/>
          <w:sz w:val="21"/>
          <w:szCs w:val="21"/>
          <w:highlight w:val="none"/>
          <w:u w:val="single"/>
          <w:lang w:val="en-US" w:eastAsia="zh-CN" w:bidi="ar-SA"/>
        </w:rPr>
        <w:t xml:space="preserve">    否　　　   </w:t>
      </w:r>
      <w:r>
        <w:rPr>
          <w:rFonts w:hint="eastAsia" w:ascii="宋体" w:hAnsi="宋体" w:eastAsia="宋体" w:cs="宋体"/>
          <w:color w:val="auto"/>
          <w:kern w:val="2"/>
          <w:sz w:val="21"/>
          <w:szCs w:val="21"/>
          <w:highlight w:val="none"/>
          <w:lang w:val="en-US" w:eastAsia="zh-CN" w:bidi="ar-SA"/>
        </w:rPr>
        <w:t>。</w:t>
      </w:r>
    </w:p>
    <w:p w14:paraId="67283630">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发包人提供支付担保的形式：</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14:paraId="20B158AF">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bookmarkStart w:id="430" w:name="_Toc418752248"/>
      <w:bookmarkStart w:id="431" w:name="_Toc497746787"/>
      <w:bookmarkStart w:id="432" w:name="_Toc406522226"/>
      <w:bookmarkStart w:id="433" w:name="_Toc6230"/>
      <w:bookmarkStart w:id="434" w:name="_Toc497747184"/>
      <w:bookmarkStart w:id="435" w:name="_Toc418751802"/>
      <w:bookmarkStart w:id="436" w:name="_Toc351203635"/>
      <w:bookmarkStart w:id="437" w:name="_Toc256000186"/>
      <w:bookmarkStart w:id="438" w:name="_Toc522201736"/>
      <w:r>
        <w:rPr>
          <w:rFonts w:hint="eastAsia" w:ascii="宋体" w:hAnsi="宋体" w:eastAsia="宋体" w:cs="宋体"/>
          <w:b/>
          <w:bCs/>
          <w:color w:val="auto"/>
          <w:kern w:val="44"/>
          <w:sz w:val="21"/>
          <w:szCs w:val="21"/>
          <w:highlight w:val="none"/>
          <w:lang w:val="en-US" w:eastAsia="zh-CN" w:bidi="ar-SA"/>
        </w:rPr>
        <w:t>3</w:t>
      </w:r>
      <w:bookmarkStart w:id="439" w:name="_Toc296944497"/>
      <w:bookmarkStart w:id="440" w:name="_Toc292559363"/>
      <w:bookmarkStart w:id="441" w:name="_Toc297120458"/>
      <w:bookmarkStart w:id="442" w:name="_Toc296891198"/>
      <w:bookmarkStart w:id="443" w:name="_Toc296503158"/>
      <w:bookmarkStart w:id="444" w:name="_Toc296346659"/>
      <w:bookmarkStart w:id="445" w:name="_Toc297048344"/>
      <w:bookmarkStart w:id="446" w:name="_Toc292559868"/>
      <w:bookmarkStart w:id="447" w:name="_Toc296890986"/>
      <w:bookmarkStart w:id="448" w:name="_Toc296347157"/>
      <w:r>
        <w:rPr>
          <w:rFonts w:hint="eastAsia" w:ascii="宋体" w:hAnsi="宋体" w:eastAsia="宋体" w:cs="宋体"/>
          <w:b/>
          <w:bCs/>
          <w:color w:val="auto"/>
          <w:kern w:val="44"/>
          <w:sz w:val="21"/>
          <w:szCs w:val="21"/>
          <w:highlight w:val="none"/>
          <w:lang w:val="en-US" w:eastAsia="zh-CN" w:bidi="ar-SA"/>
        </w:rPr>
        <w:t>. 承包人</w:t>
      </w:r>
      <w:bookmarkEnd w:id="430"/>
      <w:bookmarkEnd w:id="431"/>
      <w:bookmarkEnd w:id="432"/>
      <w:bookmarkEnd w:id="433"/>
      <w:bookmarkEnd w:id="434"/>
      <w:bookmarkEnd w:id="435"/>
      <w:bookmarkEnd w:id="436"/>
      <w:bookmarkEnd w:id="437"/>
      <w:bookmarkEnd w:id="438"/>
    </w:p>
    <w:bookmarkEnd w:id="439"/>
    <w:bookmarkEnd w:id="440"/>
    <w:bookmarkEnd w:id="441"/>
    <w:bookmarkEnd w:id="442"/>
    <w:bookmarkEnd w:id="443"/>
    <w:bookmarkEnd w:id="444"/>
    <w:bookmarkEnd w:id="445"/>
    <w:bookmarkEnd w:id="446"/>
    <w:bookmarkEnd w:id="447"/>
    <w:bookmarkEnd w:id="448"/>
    <w:p w14:paraId="3A17161D">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449" w:name="_Toc384"/>
      <w:bookmarkStart w:id="450" w:name="_Toc522201737"/>
      <w:bookmarkStart w:id="451" w:name="_Toc406522227"/>
      <w:bookmarkStart w:id="452" w:name="_Toc418752249"/>
      <w:bookmarkStart w:id="453" w:name="_Toc418751803"/>
      <w:bookmarkStart w:id="454" w:name="_Toc497746788"/>
      <w:bookmarkStart w:id="455" w:name="_Toc497747185"/>
      <w:bookmarkStart w:id="456" w:name="_Toc256000187"/>
      <w:r>
        <w:rPr>
          <w:rFonts w:hint="eastAsia" w:ascii="宋体" w:hAnsi="宋体" w:eastAsia="宋体" w:cs="宋体"/>
          <w:b/>
          <w:bCs/>
          <w:color w:val="auto"/>
          <w:kern w:val="44"/>
          <w:sz w:val="21"/>
          <w:szCs w:val="21"/>
          <w:highlight w:val="none"/>
          <w:lang w:val="en-US" w:eastAsia="zh-CN" w:bidi="ar-SA"/>
        </w:rPr>
        <w:t>3.1 承包人的一般义务</w:t>
      </w:r>
      <w:bookmarkEnd w:id="449"/>
      <w:bookmarkEnd w:id="450"/>
      <w:bookmarkEnd w:id="451"/>
      <w:bookmarkEnd w:id="452"/>
      <w:bookmarkEnd w:id="453"/>
      <w:bookmarkEnd w:id="454"/>
      <w:bookmarkEnd w:id="455"/>
      <w:bookmarkEnd w:id="456"/>
    </w:p>
    <w:p w14:paraId="1A8FE21F">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（9）</w:t>
      </w:r>
      <w:r>
        <w:rPr>
          <w:rFonts w:hint="eastAsia" w:ascii="宋体" w:hAnsi="宋体" w:eastAsia="宋体" w:cs="宋体"/>
          <w:color w:val="auto"/>
          <w:kern w:val="2"/>
          <w:sz w:val="21"/>
          <w:szCs w:val="21"/>
          <w:highlight w:val="none"/>
          <w:lang w:val="en-US" w:eastAsia="zh-CN" w:bidi="ar-SA"/>
        </w:rPr>
        <w:t>承包人提交的竣工资料的内容：</w:t>
      </w:r>
      <w:r>
        <w:rPr>
          <w:rFonts w:hint="eastAsia" w:ascii="宋体" w:hAnsi="宋体" w:eastAsia="宋体" w:cs="宋体"/>
          <w:color w:val="auto"/>
          <w:kern w:val="2"/>
          <w:sz w:val="21"/>
          <w:szCs w:val="21"/>
          <w:highlight w:val="none"/>
          <w:u w:val="single"/>
          <w:lang w:val="en-US" w:eastAsia="zh-CN" w:bidi="ar-SA"/>
        </w:rPr>
        <w:t>工程具备竣工验收条件，承包人按工程竣工验收有关规定，向发包人提交符合《建设工程文件归档整理规范》内容装订成册的完整竣工资料及竣工验收报告、工程竣工图</w:t>
      </w:r>
      <w:r>
        <w:rPr>
          <w:rFonts w:hint="eastAsia" w:ascii="宋体" w:hAnsi="宋体" w:eastAsia="宋体" w:cs="宋体"/>
          <w:color w:val="auto"/>
          <w:kern w:val="2"/>
          <w:sz w:val="21"/>
          <w:szCs w:val="21"/>
          <w:highlight w:val="none"/>
          <w:lang w:val="en-US" w:eastAsia="zh-CN" w:bidi="ar-SA"/>
        </w:rPr>
        <w:t>。</w:t>
      </w:r>
    </w:p>
    <w:p w14:paraId="259C066F">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承包人需要提交的竣工资料套数：</w:t>
      </w:r>
      <w:r>
        <w:rPr>
          <w:rFonts w:hint="eastAsia" w:ascii="宋体" w:hAnsi="宋体" w:eastAsia="宋体" w:cs="宋体"/>
          <w:color w:val="auto"/>
          <w:kern w:val="2"/>
          <w:sz w:val="21"/>
          <w:szCs w:val="21"/>
          <w:highlight w:val="none"/>
          <w:u w:val="single"/>
          <w:lang w:val="en-US" w:eastAsia="zh-CN" w:bidi="ar-SA"/>
        </w:rPr>
        <w:t xml:space="preserve">  承包人向发包人提交竣工档案份数为一式四份；备案资料一式两份；建设工程质量监督档案一式两份  </w:t>
      </w:r>
      <w:r>
        <w:rPr>
          <w:rFonts w:hint="eastAsia" w:ascii="宋体" w:hAnsi="宋体" w:eastAsia="宋体" w:cs="宋体"/>
          <w:color w:val="auto"/>
          <w:kern w:val="2"/>
          <w:sz w:val="21"/>
          <w:szCs w:val="21"/>
          <w:highlight w:val="none"/>
          <w:lang w:val="en-US" w:eastAsia="zh-CN" w:bidi="ar-SA"/>
        </w:rPr>
        <w:t>。</w:t>
      </w:r>
    </w:p>
    <w:p w14:paraId="363BC0EA">
      <w:pPr>
        <w:widowControl w:val="0"/>
        <w:spacing w:line="380" w:lineRule="exact"/>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承包人提交的竣工资料的费用承担：</w:t>
      </w:r>
      <w:r>
        <w:rPr>
          <w:rFonts w:hint="eastAsia" w:ascii="宋体" w:hAnsi="宋体" w:eastAsia="宋体" w:cs="宋体"/>
          <w:color w:val="auto"/>
          <w:kern w:val="2"/>
          <w:sz w:val="21"/>
          <w:szCs w:val="21"/>
          <w:highlight w:val="none"/>
          <w:u w:val="single"/>
          <w:lang w:val="en-US" w:eastAsia="zh-CN" w:bidi="ar-SA"/>
        </w:rPr>
        <w:t xml:space="preserve">  由承包人承担相关费用 </w:t>
      </w:r>
      <w:r>
        <w:rPr>
          <w:rFonts w:hint="eastAsia" w:ascii="宋体" w:hAnsi="宋体" w:eastAsia="宋体" w:cs="宋体"/>
          <w:color w:val="auto"/>
          <w:kern w:val="2"/>
          <w:sz w:val="21"/>
          <w:szCs w:val="21"/>
          <w:highlight w:val="none"/>
          <w:lang w:val="en-US" w:eastAsia="zh-CN" w:bidi="ar-SA"/>
        </w:rPr>
        <w:t>。</w:t>
      </w:r>
    </w:p>
    <w:p w14:paraId="66806663">
      <w:pPr>
        <w:widowControl w:val="0"/>
        <w:spacing w:line="380" w:lineRule="exact"/>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承包人提交的竣工资料移交时间：</w:t>
      </w:r>
      <w:r>
        <w:rPr>
          <w:rFonts w:hint="eastAsia" w:ascii="宋体" w:hAnsi="宋体" w:eastAsia="宋体" w:cs="宋体"/>
          <w:color w:val="auto"/>
          <w:kern w:val="2"/>
          <w:sz w:val="21"/>
          <w:szCs w:val="21"/>
          <w:highlight w:val="none"/>
          <w:u w:val="single"/>
          <w:lang w:val="en-US" w:eastAsia="zh-CN" w:bidi="ar-SA"/>
        </w:rPr>
        <w:t xml:space="preserve">  工程竣工验收合格后30天内  </w:t>
      </w:r>
      <w:r>
        <w:rPr>
          <w:rFonts w:hint="eastAsia" w:ascii="宋体" w:hAnsi="宋体" w:eastAsia="宋体" w:cs="宋体"/>
          <w:color w:val="auto"/>
          <w:kern w:val="2"/>
          <w:sz w:val="21"/>
          <w:szCs w:val="21"/>
          <w:highlight w:val="none"/>
          <w:lang w:val="en-US" w:eastAsia="zh-CN" w:bidi="ar-SA"/>
        </w:rPr>
        <w:t>。</w:t>
      </w:r>
    </w:p>
    <w:p w14:paraId="4B265677">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承包人提交的竣工资料形式要求：</w:t>
      </w:r>
      <w:r>
        <w:rPr>
          <w:rFonts w:hint="eastAsia" w:ascii="宋体" w:hAnsi="宋体" w:eastAsia="宋体" w:cs="宋体"/>
          <w:color w:val="auto"/>
          <w:kern w:val="2"/>
          <w:sz w:val="21"/>
          <w:szCs w:val="21"/>
          <w:highlight w:val="none"/>
          <w:u w:val="single"/>
          <w:lang w:val="en-US" w:eastAsia="zh-CN" w:bidi="ar-SA"/>
        </w:rPr>
        <w:t>竣工档案（竣工档案的内容：施工单位竣工验收文件、施工文件、竣工图（按城市建设档案馆要求整理，相关费用由承包人承担）、备案资料（应由承包人提供的部分按桂林市住建局要求整理）、建设工程质量监督档案（应由承包人提供的部分按桂林市建设工程质量监督管理站要求整理）</w:t>
      </w:r>
      <w:r>
        <w:rPr>
          <w:rFonts w:hint="eastAsia" w:ascii="宋体" w:hAnsi="宋体" w:eastAsia="宋体" w:cs="宋体"/>
          <w:color w:val="auto"/>
          <w:kern w:val="2"/>
          <w:sz w:val="21"/>
          <w:szCs w:val="21"/>
          <w:highlight w:val="none"/>
          <w:lang w:val="en-US" w:eastAsia="zh-CN" w:bidi="ar-SA"/>
        </w:rPr>
        <w:t>。</w:t>
      </w:r>
    </w:p>
    <w:p w14:paraId="0601382B">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（10）承包人应履行的其他义务：</w:t>
      </w:r>
      <w:r>
        <w:rPr>
          <w:rFonts w:hint="eastAsia" w:ascii="宋体" w:hAnsi="宋体" w:eastAsia="宋体" w:cs="宋体"/>
          <w:color w:val="auto"/>
          <w:kern w:val="2"/>
          <w:sz w:val="21"/>
          <w:szCs w:val="21"/>
          <w:highlight w:val="none"/>
          <w:u w:val="single"/>
          <w:lang w:val="en-US" w:eastAsia="zh-CN" w:bidi="ar-SA"/>
        </w:rPr>
        <w:t>①施工用水、用电按表计量，费用由承包人承担，由承包人指派专人配合发包人的计量工作，水费及电费按发包人要求进行交付；单位工程内其他单位用水、用电由承包人与相关用水、用电单位协商解决。排水管道接入污水井的部分由施工单位承担，视为已包含在报价中，不再计入工程量。②本工程在施工过程中如存在多个施工单位同时作业时，承包人必须顾全大局、相互协作、密切配合，严格服从发包人和监理单位的协调指挥；承包人须积极协调解决施工过程中存在的各类问题，处理好与相邻施工单位的施工接口关系，否则，发包人有权要求承包人整改或另行指定其他单位来完成相关配合工作，其发生的费用从承包人的工程进度款中扣除，且并不需要承包人同意。承包人应始终采取各种合理的预防措施，对于存在的问题及时反映，对于需要发包人协调解决的问题，要提前提出，否则，由此所造成的损失由承包人承担 。③承包人负责办理施工有关的交通特别通告证、有害污水、环卫、环保和噪音等审批手续，并承担费用，如因承包人未交纳相关费用，发包人有权从工程款中扣除用于支付相关费用并计入结算。④承包人应负责协调解决本项目当地居民对工程施工的人为干扰，施工机械进出、材料运输如需通过居民道路或土地；承包人应当协调与施工现场周边居民的关系，并承担相关费用，确保项目施工顺利进行。⑤承包人应始终采取各种合理的预防措施，防止承包人员或其内部发生任何非法的、骚动的或无序的行为，以保持安定，保护现场及第三人的财产和人身安全。⑥为发包人依法发包的专业工程承包商提供总承包管理与协调服务，并为专业工程承包商提供一切施工方便。为发包人和监理人在施工现场提供必要的办公室和办公桌椅等设备。⑦按建设行政主管部门有关规定配合发包人其他工程的施工等。⑧施工期间和施工完毕后，均应及时对施工场地和为其施工提供的公共道路进行保洁、维护以及维修，产生的垃圾和被破坏的场地，必须遵照监理人和发包人的指示进行清理、修复，并根据实际情况将场地恢复到原有状态，费用自理。⑨由于本工程施工现场为居民区，承包人应合理安排施工时间，确保做到不影响周边居民的正常生活，对居民的合理意见应积极整改，确保工程顺利进行。⑩配合发包人做好安全文明工程、领导检查、宣传等工作。以上相关费用均由承包人承担，并在投标报价清单中综合考虑，不再另计。</w:t>
      </w:r>
      <w:r>
        <w:rPr>
          <w:rFonts w:ascii="Cambria Math" w:hAnsi="Cambria Math" w:eastAsia="宋体" w:cs="Cambria Math"/>
          <w:color w:val="auto"/>
          <w:kern w:val="2"/>
          <w:sz w:val="21"/>
          <w:szCs w:val="21"/>
          <w:highlight w:val="none"/>
          <w:u w:val="single"/>
          <w:lang w:val="en-US" w:eastAsia="zh-CN" w:bidi="ar-SA"/>
        </w:rPr>
        <w:t>⑪</w:t>
      </w:r>
      <w:r>
        <w:rPr>
          <w:rFonts w:hint="eastAsia" w:ascii="宋体" w:hAnsi="宋体" w:eastAsia="宋体" w:cs="宋体"/>
          <w:color w:val="auto"/>
          <w:kern w:val="2"/>
          <w:sz w:val="21"/>
          <w:szCs w:val="21"/>
          <w:highlight w:val="none"/>
          <w:u w:val="single"/>
          <w:lang w:val="en-US" w:eastAsia="zh-CN" w:bidi="ar-SA"/>
        </w:rPr>
        <w:t>承包人在工程施工期间由于承包人原因引起的责任事故，全部由承包人承担经济责任和法律责任。</w:t>
      </w:r>
      <w:r>
        <w:rPr>
          <w:rFonts w:ascii="Cambria Math" w:hAnsi="Cambria Math" w:eastAsia="宋体" w:cs="Cambria Math"/>
          <w:color w:val="auto"/>
          <w:kern w:val="2"/>
          <w:sz w:val="21"/>
          <w:szCs w:val="21"/>
          <w:highlight w:val="none"/>
          <w:u w:val="single"/>
          <w:lang w:val="en-US" w:eastAsia="zh-CN" w:bidi="ar-SA"/>
        </w:rPr>
        <w:t>⑫</w:t>
      </w:r>
      <w:r>
        <w:rPr>
          <w:rFonts w:hint="eastAsia" w:ascii="宋体" w:hAnsi="宋体" w:eastAsia="宋体" w:cs="宋体"/>
          <w:color w:val="auto"/>
          <w:kern w:val="2"/>
          <w:sz w:val="21"/>
          <w:szCs w:val="21"/>
          <w:highlight w:val="none"/>
          <w:u w:val="single"/>
          <w:lang w:val="en-US" w:eastAsia="zh-CN" w:bidi="ar-SA"/>
        </w:rPr>
        <w:t>满足国家、行业、控制标准和验收规范，在质量管理过程中达到或超过质量标准，杜绝重大设备一般及以上质量事故，确保工程无永久性缺陷。</w:t>
      </w:r>
    </w:p>
    <w:p w14:paraId="3391F9F2">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457" w:name="_Toc389065274"/>
      <w:bookmarkStart w:id="458" w:name="_Toc497746789"/>
      <w:bookmarkStart w:id="459" w:name="_Toc418752250"/>
      <w:bookmarkStart w:id="460" w:name="_Toc418518354"/>
      <w:bookmarkStart w:id="461" w:name="_Toc497747186"/>
      <w:bookmarkStart w:id="462" w:name="_Toc373227708"/>
      <w:bookmarkStart w:id="463" w:name="_Toc418061319"/>
      <w:bookmarkStart w:id="464" w:name="_Toc256000188"/>
      <w:bookmarkStart w:id="465" w:name="_Toc522201738"/>
      <w:bookmarkStart w:id="466" w:name="_Toc15700"/>
      <w:bookmarkStart w:id="467" w:name="_Toc418518118"/>
      <w:bookmarkStart w:id="468" w:name="_Toc403578942"/>
      <w:bookmarkStart w:id="469" w:name="_Toc418751804"/>
      <w:bookmarkStart w:id="470" w:name="_Toc373478355"/>
      <w:r>
        <w:rPr>
          <w:rFonts w:hint="eastAsia" w:ascii="宋体" w:hAnsi="宋体" w:eastAsia="宋体" w:cs="宋体"/>
          <w:b/>
          <w:bCs/>
          <w:color w:val="auto"/>
          <w:kern w:val="44"/>
          <w:sz w:val="21"/>
          <w:szCs w:val="21"/>
          <w:highlight w:val="none"/>
          <w:lang w:val="en-US" w:eastAsia="zh-CN" w:bidi="ar-SA"/>
        </w:rPr>
        <w:t>3.2 项目经理</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14:paraId="4E97A519">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3.2.1 </w:t>
      </w:r>
      <w:r>
        <w:rPr>
          <w:rFonts w:hint="eastAsia" w:ascii="宋体" w:hAnsi="宋体" w:eastAsia="宋体" w:cs="宋体"/>
          <w:color w:val="auto"/>
          <w:kern w:val="2"/>
          <w:sz w:val="21"/>
          <w:szCs w:val="21"/>
          <w:highlight w:val="none"/>
          <w:lang w:val="en-US" w:eastAsia="zh-CN" w:bidi="ar-SA"/>
        </w:rPr>
        <w:t>项目经理：</w:t>
      </w:r>
    </w:p>
    <w:p w14:paraId="664AE5BC">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姓    名：</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14:paraId="11D7A71B">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身份证号：</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14:paraId="3F6CC891">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建造师执业资格等级：</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14:paraId="3552EE93">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建造师注册证书号：</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14:paraId="17B70092">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建造师执业印章号：</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14:paraId="74CE2127">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安全生产考核合格证书号：</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14:paraId="43022F91">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联系电话：</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14:paraId="5B3A989B">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电子信箱：</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14:paraId="71DBC807">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通信地址：</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14:paraId="001C1369">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 xml:space="preserve">承包人对项目经理的授权范围如下： </w:t>
      </w:r>
      <w:r>
        <w:rPr>
          <w:rFonts w:hint="eastAsia" w:ascii="宋体" w:hAnsi="宋体" w:eastAsia="宋体" w:cs="宋体"/>
          <w:color w:val="auto"/>
          <w:kern w:val="2"/>
          <w:sz w:val="21"/>
          <w:szCs w:val="21"/>
          <w:highlight w:val="none"/>
          <w:u w:val="single"/>
          <w:lang w:val="en-US" w:eastAsia="zh-CN" w:bidi="ar-SA"/>
        </w:rPr>
        <w:t>（1）对本工程的建设进行全面管理，行使合同约定的权利，履行合同约定的义务；（2）负责本工程的施工组织方案制定和施工组织设计；（3）负责本工程的劳动力组织和机械设备组织；（4）经发包人同意分包的专业工程，项目经理参与选择并使用具有相应资质的分包人； （5）合同约定由承包人采购的材料、工程设备，项目经理参与选择物资供应单位；（6）在授权范围内协调与项目有关的内、外部关系；（7）负责与发包人、监理人办理设计变更、现场签证等手续，及时办理本工程相关索赔；（8）负责签收发包人、监理人往来函件，承包人的要求、通知均应以书面形式由承包人项目经理签字并加盖承包人公司公章后递交发包人；（9）代表承包人接受监理工程师或发包人现场代表发出的指示和指令。但未经承包人盖章同意不得以承包人名义向外融资、 采购材料设备、 租用建筑周转材料、 雇佣劳动力、签订分包合同等从事一切为承包人设立义务或责任的行为</w:t>
      </w:r>
      <w:r>
        <w:rPr>
          <w:rFonts w:hint="eastAsia" w:ascii="宋体" w:hAnsi="宋体" w:eastAsia="宋体" w:cs="宋体"/>
          <w:color w:val="auto"/>
          <w:kern w:val="2"/>
          <w:sz w:val="21"/>
          <w:szCs w:val="21"/>
          <w:highlight w:val="none"/>
          <w:lang w:val="en-US" w:eastAsia="zh-CN" w:bidi="ar-SA"/>
        </w:rPr>
        <w:t>。</w:t>
      </w:r>
    </w:p>
    <w:p w14:paraId="2E3FC89A">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关于项目经理每月在施工现场的时间要求：</w:t>
      </w:r>
      <w:r>
        <w:rPr>
          <w:rFonts w:hint="eastAsia" w:ascii="宋体" w:hAnsi="宋体" w:eastAsia="宋体" w:cs="宋体"/>
          <w:color w:val="auto"/>
          <w:kern w:val="2"/>
          <w:sz w:val="21"/>
          <w:szCs w:val="21"/>
          <w:highlight w:val="none"/>
          <w:u w:val="single"/>
          <w:lang w:val="en-US" w:eastAsia="zh-CN" w:bidi="ar-SA"/>
        </w:rPr>
        <w:t xml:space="preserve">  不少于22个工作日,若项目经理每月在岗时间少于22个工作日，发包人有权更换项目经理，由此造成的一切损失由承包人承担</w:t>
      </w:r>
      <w:r>
        <w:rPr>
          <w:rFonts w:hint="eastAsia" w:ascii="宋体" w:hAnsi="宋体" w:eastAsia="宋体" w:cs="宋体"/>
          <w:color w:val="auto"/>
          <w:kern w:val="2"/>
          <w:sz w:val="21"/>
          <w:szCs w:val="21"/>
          <w:highlight w:val="none"/>
          <w:lang w:val="en-US" w:eastAsia="zh-CN" w:bidi="ar-SA"/>
        </w:rPr>
        <w:t>。</w:t>
      </w:r>
    </w:p>
    <w:p w14:paraId="215E3200">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承包人未提交劳动合同，以及没有为项目经理缴纳社会保险证明的违约责任：</w:t>
      </w:r>
      <w:r>
        <w:rPr>
          <w:rFonts w:hint="eastAsia" w:ascii="宋体" w:hAnsi="宋体" w:eastAsia="宋体" w:cs="宋体"/>
          <w:color w:val="auto"/>
          <w:kern w:val="2"/>
          <w:sz w:val="21"/>
          <w:szCs w:val="21"/>
          <w:highlight w:val="none"/>
          <w:u w:val="single"/>
          <w:lang w:val="en-US" w:eastAsia="zh-CN" w:bidi="ar-SA"/>
        </w:rPr>
        <w:t>承包人不提交上述文件的，项目经理无权履行职责，发包人有权要求更换项目经理，由此增加的费用和延误的工期由承包人承担</w:t>
      </w:r>
      <w:r>
        <w:rPr>
          <w:rFonts w:hint="eastAsia" w:ascii="宋体" w:hAnsi="宋体" w:eastAsia="宋体" w:cs="宋体"/>
          <w:color w:val="auto"/>
          <w:kern w:val="2"/>
          <w:sz w:val="21"/>
          <w:szCs w:val="21"/>
          <w:highlight w:val="none"/>
          <w:lang w:val="en-US" w:eastAsia="zh-CN" w:bidi="ar-SA"/>
        </w:rPr>
        <w:t>。</w:t>
      </w:r>
    </w:p>
    <w:p w14:paraId="047069D6">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项目经理未经批准，擅自离开施工现场的违约责任：</w:t>
      </w:r>
      <w:r>
        <w:rPr>
          <w:rFonts w:hint="eastAsia" w:ascii="宋体" w:hAnsi="宋体" w:eastAsia="宋体" w:cs="宋体"/>
          <w:color w:val="auto"/>
          <w:kern w:val="2"/>
          <w:sz w:val="21"/>
          <w:szCs w:val="21"/>
          <w:highlight w:val="none"/>
          <w:u w:val="single"/>
          <w:lang w:val="en-US" w:eastAsia="zh-CN" w:bidi="ar-SA"/>
        </w:rPr>
        <w:t>项目经理每月在岗带班时间不得少于22天。未经发包人同意或正当理由，项目经理每月在岗带班时间少于22天的，少在岗带班一天，发包人有权处违约金 500元/日（人民币）</w:t>
      </w:r>
      <w:r>
        <w:rPr>
          <w:rFonts w:hint="eastAsia" w:ascii="宋体" w:hAnsi="宋体" w:eastAsia="宋体" w:cs="宋体"/>
          <w:color w:val="auto"/>
          <w:kern w:val="2"/>
          <w:sz w:val="21"/>
          <w:szCs w:val="21"/>
          <w:highlight w:val="none"/>
          <w:lang w:val="en-US" w:eastAsia="zh-CN" w:bidi="ar-SA"/>
        </w:rPr>
        <w:t>。</w:t>
      </w:r>
    </w:p>
    <w:p w14:paraId="02661DD8">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3.2.3 承包人擅自更换项目经理的违约责任：</w:t>
      </w:r>
      <w:r>
        <w:rPr>
          <w:rFonts w:hint="eastAsia" w:ascii="宋体" w:hAnsi="宋体" w:eastAsia="宋体" w:cs="宋体"/>
          <w:color w:val="auto"/>
          <w:kern w:val="2"/>
          <w:sz w:val="21"/>
          <w:szCs w:val="21"/>
          <w:highlight w:val="none"/>
          <w:u w:val="single"/>
          <w:lang w:val="en-US" w:eastAsia="zh-CN" w:bidi="ar-SA"/>
        </w:rPr>
        <w:t>承包人项目经理必须与承包人投标时所承诺的人员一致，并在（开工日期）前到任。在监理人向承包人颁发（竣工证明材料名称）前，项目经理不得同时兼任其他任何项目的项目经理（符合桂建管﹝2013﹞17号和桂建管﹝2014﹞25号文除外）。未经发包人书面同意，承包人擅自更换项目经理的视为违约，违约金处10000元/人•次（人民币）</w:t>
      </w:r>
      <w:r>
        <w:rPr>
          <w:rFonts w:hint="eastAsia" w:ascii="宋体" w:hAnsi="宋体" w:eastAsia="宋体" w:cs="宋体"/>
          <w:color w:val="auto"/>
          <w:kern w:val="2"/>
          <w:sz w:val="21"/>
          <w:szCs w:val="21"/>
          <w:highlight w:val="none"/>
          <w:lang w:val="en-US" w:eastAsia="zh-CN" w:bidi="ar-SA"/>
        </w:rPr>
        <w:t>。</w:t>
      </w:r>
    </w:p>
    <w:p w14:paraId="2E129E05">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3.2.4 承包人无正当理由拒绝更换项目经理的违约责任：</w:t>
      </w:r>
      <w:r>
        <w:rPr>
          <w:rFonts w:hint="eastAsia" w:ascii="宋体" w:hAnsi="宋体" w:eastAsia="宋体" w:cs="宋体"/>
          <w:color w:val="auto"/>
          <w:kern w:val="2"/>
          <w:sz w:val="21"/>
          <w:szCs w:val="21"/>
          <w:highlight w:val="none"/>
          <w:u w:val="single"/>
          <w:lang w:val="en-US" w:eastAsia="zh-CN" w:bidi="ar-SA"/>
        </w:rPr>
        <w:t>因承包人项目经理不称职，发包人要求调换而未及时调换的，视为承包人违约，必须向发包人交纳处罚金5000元/人•次（人民币）</w:t>
      </w:r>
      <w:r>
        <w:rPr>
          <w:rFonts w:hint="eastAsia" w:ascii="宋体" w:hAnsi="宋体" w:eastAsia="宋体" w:cs="宋体"/>
          <w:color w:val="auto"/>
          <w:kern w:val="2"/>
          <w:sz w:val="21"/>
          <w:szCs w:val="21"/>
          <w:highlight w:val="none"/>
          <w:lang w:val="en-US" w:eastAsia="zh-CN" w:bidi="ar-SA"/>
        </w:rPr>
        <w:t>。</w:t>
      </w:r>
    </w:p>
    <w:p w14:paraId="14AAA2AC">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471" w:name="_Toc418752251"/>
      <w:bookmarkStart w:id="472" w:name="_Toc373478356"/>
      <w:bookmarkStart w:id="473" w:name="_Toc497747187"/>
      <w:bookmarkStart w:id="474" w:name="_Toc389065275"/>
      <w:bookmarkStart w:id="475" w:name="_Toc497746790"/>
      <w:bookmarkStart w:id="476" w:name="_Toc522201739"/>
      <w:bookmarkStart w:id="477" w:name="_Toc418751805"/>
      <w:bookmarkStart w:id="478" w:name="_Toc418518355"/>
      <w:bookmarkStart w:id="479" w:name="_Toc418061320"/>
      <w:bookmarkStart w:id="480" w:name="_Toc418518119"/>
      <w:bookmarkStart w:id="481" w:name="_Toc373227709"/>
      <w:bookmarkStart w:id="482" w:name="_Toc256000189"/>
      <w:bookmarkStart w:id="483" w:name="_Toc17613"/>
      <w:bookmarkStart w:id="484" w:name="_Toc403578943"/>
      <w:r>
        <w:rPr>
          <w:rFonts w:hint="eastAsia" w:ascii="宋体" w:hAnsi="宋体" w:eastAsia="宋体" w:cs="宋体"/>
          <w:b/>
          <w:bCs/>
          <w:color w:val="auto"/>
          <w:kern w:val="44"/>
          <w:sz w:val="21"/>
          <w:szCs w:val="21"/>
          <w:highlight w:val="none"/>
          <w:lang w:val="en-US" w:eastAsia="zh-CN" w:bidi="ar-SA"/>
        </w:rPr>
        <w:t>3.3 承包人人员</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14:paraId="2614D89B">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3.3.1 承包人提交项目管理机构及施工现场管理人员安排报告（格式见合同附件6）的期限：</w:t>
      </w:r>
      <w:r>
        <w:rPr>
          <w:rFonts w:hint="eastAsia" w:ascii="宋体" w:hAnsi="宋体" w:eastAsia="宋体" w:cs="宋体"/>
          <w:color w:val="auto"/>
          <w:kern w:val="2"/>
          <w:sz w:val="21"/>
          <w:szCs w:val="21"/>
          <w:highlight w:val="none"/>
          <w:u w:val="single"/>
          <w:lang w:val="en-US" w:eastAsia="zh-CN" w:bidi="ar-SA"/>
        </w:rPr>
        <w:t>开工前7日内</w:t>
      </w:r>
      <w:r>
        <w:rPr>
          <w:rFonts w:hint="eastAsia" w:ascii="宋体" w:hAnsi="宋体" w:eastAsia="宋体" w:cs="宋体"/>
          <w:color w:val="auto"/>
          <w:kern w:val="2"/>
          <w:sz w:val="21"/>
          <w:szCs w:val="21"/>
          <w:highlight w:val="none"/>
          <w:lang w:val="en-US" w:eastAsia="zh-CN" w:bidi="ar-SA"/>
        </w:rPr>
        <w:t>。</w:t>
      </w:r>
    </w:p>
    <w:p w14:paraId="79977DD9">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3.3.3 承包人无正当理由拒绝撤换主要施工管理人员的违约责任：</w:t>
      </w:r>
      <w:r>
        <w:rPr>
          <w:rFonts w:hint="eastAsia" w:ascii="宋体" w:hAnsi="宋体" w:eastAsia="宋体" w:cs="宋体"/>
          <w:color w:val="auto"/>
          <w:kern w:val="2"/>
          <w:sz w:val="21"/>
          <w:szCs w:val="21"/>
          <w:highlight w:val="none"/>
          <w:u w:val="single"/>
          <w:lang w:val="en-US" w:eastAsia="zh-CN" w:bidi="ar-SA"/>
        </w:rPr>
        <w:t>因承包人主要施工管理人员不称职，发包人要求调换而无正当理由拒绝撤换或未及时调换的，视为承包人违约，必须向发包人交纳处罚金，处罚标准：技术负责人3000元/人•次（人民币）；专业工程师1000元/人•次（人民币）</w:t>
      </w:r>
      <w:r>
        <w:rPr>
          <w:rFonts w:hint="eastAsia" w:ascii="宋体" w:hAnsi="宋体" w:eastAsia="宋体" w:cs="宋体"/>
          <w:color w:val="auto"/>
          <w:kern w:val="2"/>
          <w:sz w:val="21"/>
          <w:szCs w:val="21"/>
          <w:highlight w:val="none"/>
          <w:lang w:val="en-US" w:eastAsia="zh-CN" w:bidi="ar-SA"/>
        </w:rPr>
        <w:t>。</w:t>
      </w:r>
    </w:p>
    <w:p w14:paraId="5E439295">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3.3.4 承包人主要施工管理人员离开施工现场的批准要求：</w:t>
      </w:r>
      <w:r>
        <w:rPr>
          <w:rFonts w:hint="eastAsia" w:ascii="宋体" w:hAnsi="宋体" w:eastAsia="宋体" w:cs="宋体"/>
          <w:color w:val="auto"/>
          <w:kern w:val="2"/>
          <w:sz w:val="21"/>
          <w:szCs w:val="21"/>
          <w:highlight w:val="none"/>
          <w:u w:val="single"/>
          <w:lang w:val="en-US" w:eastAsia="zh-CN" w:bidi="ar-SA"/>
        </w:rPr>
        <w:t>经建设单位及监理单位批准同意后</w:t>
      </w:r>
      <w:r>
        <w:rPr>
          <w:rFonts w:hint="eastAsia" w:ascii="宋体" w:hAnsi="宋体" w:eastAsia="宋体" w:cs="宋体"/>
          <w:color w:val="auto"/>
          <w:kern w:val="2"/>
          <w:sz w:val="21"/>
          <w:szCs w:val="21"/>
          <w:highlight w:val="none"/>
          <w:lang w:val="en-US" w:eastAsia="zh-CN" w:bidi="ar-SA"/>
        </w:rPr>
        <w:t>。</w:t>
      </w:r>
    </w:p>
    <w:p w14:paraId="09610658">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3.3.5 承包人擅自更换主要施工管理人员的违约责任：</w:t>
      </w:r>
      <w:r>
        <w:rPr>
          <w:rFonts w:hint="eastAsia" w:ascii="宋体" w:hAnsi="宋体" w:eastAsia="宋体" w:cs="宋体"/>
          <w:color w:val="auto"/>
          <w:kern w:val="2"/>
          <w:sz w:val="21"/>
          <w:szCs w:val="21"/>
          <w:highlight w:val="none"/>
          <w:u w:val="single"/>
          <w:lang w:val="en-US" w:eastAsia="zh-CN" w:bidi="ar-SA"/>
        </w:rPr>
        <w:t>项目技术负责人、专职安全员及其承诺的其它在场管理人员未经发包人书面同意不准擅自更换，擅自更换项目技术负责人处 3000元/人•次（人民币）违约金；擅自更换专职安全员处1000元/人•次（人民币）违约金；擅自更换其它在场管理人员处500元/人•次（人民币）违约金</w:t>
      </w:r>
      <w:r>
        <w:rPr>
          <w:rFonts w:hint="eastAsia" w:ascii="宋体" w:hAnsi="宋体" w:eastAsia="宋体" w:cs="宋体"/>
          <w:color w:val="auto"/>
          <w:kern w:val="2"/>
          <w:sz w:val="21"/>
          <w:szCs w:val="21"/>
          <w:highlight w:val="none"/>
          <w:lang w:val="en-US" w:eastAsia="zh-CN" w:bidi="ar-SA"/>
        </w:rPr>
        <w:t>。</w:t>
      </w:r>
    </w:p>
    <w:p w14:paraId="1F936A17">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承包人主要施工管理人员擅自离开施工现场的违约责任：</w:t>
      </w:r>
      <w:r>
        <w:rPr>
          <w:rFonts w:hint="eastAsia" w:ascii="宋体" w:hAnsi="宋体" w:eastAsia="宋体" w:cs="宋体"/>
          <w:color w:val="auto"/>
          <w:kern w:val="2"/>
          <w:sz w:val="21"/>
          <w:szCs w:val="21"/>
          <w:highlight w:val="none"/>
          <w:u w:val="single"/>
          <w:lang w:val="en-US" w:eastAsia="zh-CN" w:bidi="ar-SA"/>
        </w:rPr>
        <w:t>未经发包人同意，项目技术负责人擅自离岗的，视为承包人违约，发包人有权处违约金800元/人•次（人民币）；未经发包人同意，专职安全员擅自离岗的，视为承包人违约，发包人有权处违约金800元/人•次（人民币）；其它在场管理人员擅自离岗的，视为承包人违约，发包人有权处违约金500元/人•次（人民币）</w:t>
      </w:r>
      <w:r>
        <w:rPr>
          <w:rFonts w:hint="eastAsia" w:ascii="宋体" w:hAnsi="宋体" w:eastAsia="宋体" w:cs="宋体"/>
          <w:color w:val="auto"/>
          <w:kern w:val="2"/>
          <w:sz w:val="21"/>
          <w:szCs w:val="21"/>
          <w:highlight w:val="none"/>
          <w:lang w:val="en-US" w:eastAsia="zh-CN" w:bidi="ar-SA"/>
        </w:rPr>
        <w:t>。</w:t>
      </w:r>
    </w:p>
    <w:p w14:paraId="1383C6C3">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485" w:name="_Toc23218"/>
      <w:bookmarkStart w:id="486" w:name="_Toc497746791"/>
      <w:bookmarkStart w:id="487" w:name="_Toc373227710"/>
      <w:bookmarkStart w:id="488" w:name="_Toc256000190"/>
      <w:bookmarkStart w:id="489" w:name="_Toc373478357"/>
      <w:bookmarkStart w:id="490" w:name="_Toc522201740"/>
      <w:bookmarkStart w:id="491" w:name="_Toc418518120"/>
      <w:bookmarkStart w:id="492" w:name="_Toc418752252"/>
      <w:bookmarkStart w:id="493" w:name="_Toc418518356"/>
      <w:bookmarkStart w:id="494" w:name="_Toc497747188"/>
      <w:bookmarkStart w:id="495" w:name="_Toc418751806"/>
      <w:bookmarkStart w:id="496" w:name="_Toc389065276"/>
      <w:bookmarkStart w:id="497" w:name="_Toc403578944"/>
      <w:bookmarkStart w:id="498" w:name="_Toc418061321"/>
      <w:r>
        <w:rPr>
          <w:rFonts w:hint="eastAsia" w:ascii="宋体" w:hAnsi="宋体" w:eastAsia="宋体" w:cs="宋体"/>
          <w:b/>
          <w:bCs/>
          <w:color w:val="auto"/>
          <w:kern w:val="44"/>
          <w:sz w:val="21"/>
          <w:szCs w:val="21"/>
          <w:highlight w:val="none"/>
          <w:lang w:val="en-US" w:eastAsia="zh-CN" w:bidi="ar-SA"/>
        </w:rPr>
        <w:t>3</w:t>
      </w:r>
      <w:bookmarkStart w:id="499" w:name="_Toc297216151"/>
      <w:bookmarkStart w:id="500" w:name="_Toc304295523"/>
      <w:bookmarkStart w:id="501" w:name="_Toc296890987"/>
      <w:bookmarkStart w:id="502" w:name="_Toc300934945"/>
      <w:bookmarkStart w:id="503" w:name="_Toc297048345"/>
      <w:bookmarkStart w:id="504" w:name="_Toc296944498"/>
      <w:bookmarkStart w:id="505" w:name="_Toc312677988"/>
      <w:bookmarkStart w:id="506" w:name="_Toc296346660"/>
      <w:bookmarkStart w:id="507" w:name="_Toc292559869"/>
      <w:bookmarkStart w:id="508" w:name="_Toc296891199"/>
      <w:bookmarkStart w:id="509" w:name="_Toc292559364"/>
      <w:bookmarkStart w:id="510" w:name="_Toc297120459"/>
      <w:bookmarkStart w:id="511" w:name="_Toc296503159"/>
      <w:bookmarkStart w:id="512" w:name="_Toc296347158"/>
      <w:bookmarkStart w:id="513" w:name="_Toc303539102"/>
      <w:bookmarkStart w:id="514" w:name="_Toc297123492"/>
      <w:r>
        <w:rPr>
          <w:rFonts w:hint="eastAsia" w:ascii="宋体" w:hAnsi="宋体" w:eastAsia="宋体" w:cs="宋体"/>
          <w:b/>
          <w:bCs/>
          <w:color w:val="auto"/>
          <w:kern w:val="44"/>
          <w:sz w:val="21"/>
          <w:szCs w:val="21"/>
          <w:highlight w:val="none"/>
          <w:lang w:val="en-US" w:eastAsia="zh-CN" w:bidi="ar-SA"/>
        </w:rPr>
        <w:t>.5 分包</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14:paraId="5AB08ABF">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bookmarkStart w:id="515" w:name="_Toc297123493"/>
      <w:bookmarkStart w:id="516" w:name="_Toc296944499"/>
      <w:bookmarkStart w:id="517" w:name="_Toc304295524"/>
      <w:bookmarkStart w:id="518" w:name="_Toc297048346"/>
      <w:bookmarkStart w:id="519" w:name="_Toc296347159"/>
      <w:bookmarkStart w:id="520" w:name="_Toc296891200"/>
      <w:bookmarkStart w:id="521" w:name="_Toc297120460"/>
      <w:bookmarkStart w:id="522" w:name="_Toc296503160"/>
      <w:bookmarkStart w:id="523" w:name="_Toc297216152"/>
      <w:bookmarkStart w:id="524" w:name="_Toc303539103"/>
      <w:bookmarkStart w:id="525" w:name="_Toc296890988"/>
      <w:bookmarkStart w:id="526" w:name="_Toc292559870"/>
      <w:bookmarkStart w:id="527" w:name="_Toc300934946"/>
      <w:bookmarkStart w:id="528" w:name="_Toc296346661"/>
      <w:bookmarkStart w:id="529" w:name="_Toc318581158"/>
      <w:bookmarkStart w:id="530" w:name="_Toc312677989"/>
      <w:bookmarkStart w:id="531" w:name="_Toc292559365"/>
      <w:r>
        <w:rPr>
          <w:rFonts w:hint="eastAsia" w:ascii="宋体" w:hAnsi="宋体" w:eastAsia="宋体" w:cs="宋体"/>
          <w:color w:val="auto"/>
          <w:kern w:val="2"/>
          <w:sz w:val="21"/>
          <w:szCs w:val="21"/>
          <w:highlight w:val="none"/>
          <w:lang w:val="en-US" w:eastAsia="zh-CN" w:bidi="ar-SA"/>
        </w:rPr>
        <w:t>.5.1 分包的一般约定</w:t>
      </w:r>
    </w:p>
    <w:p w14:paraId="17EDB649">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禁止分包的工程包括：</w:t>
      </w:r>
      <w:r>
        <w:rPr>
          <w:rFonts w:ascii="宋体" w:hAnsi="宋体" w:eastAsia="宋体" w:cs="宋体"/>
          <w:color w:val="auto"/>
          <w:kern w:val="2"/>
          <w:sz w:val="21"/>
          <w:szCs w:val="21"/>
          <w:highlight w:val="none"/>
          <w:u w:val="single"/>
          <w:lang w:val="en-US" w:eastAsia="zh-CN" w:bidi="ar-SA"/>
        </w:rPr>
        <w:t></w:t>
      </w:r>
      <w:r>
        <w:rPr>
          <w:rFonts w:hint="eastAsia" w:ascii="宋体" w:hAnsi="宋体" w:eastAsia="宋体" w:cs="宋体"/>
          <w:color w:val="auto"/>
          <w:kern w:val="2"/>
          <w:sz w:val="21"/>
          <w:szCs w:val="21"/>
          <w:highlight w:val="none"/>
          <w:u w:val="single"/>
          <w:lang w:val="en-US" w:eastAsia="zh-CN" w:bidi="ar-SA"/>
        </w:rPr>
        <w:t xml:space="preserve">除劳务工程外 </w:t>
      </w:r>
      <w:r>
        <w:rPr>
          <w:rFonts w:hint="eastAsia" w:ascii="宋体" w:hAnsi="宋体" w:eastAsia="宋体" w:cs="宋体"/>
          <w:color w:val="auto"/>
          <w:kern w:val="2"/>
          <w:sz w:val="21"/>
          <w:szCs w:val="21"/>
          <w:highlight w:val="none"/>
          <w:lang w:val="en-US" w:eastAsia="zh-CN" w:bidi="ar-SA"/>
        </w:rPr>
        <w:t>。</w:t>
      </w:r>
    </w:p>
    <w:p w14:paraId="0E7E4630">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主体结构、关键性工作的范围：</w:t>
      </w:r>
      <w:r>
        <w:rPr>
          <w:rFonts w:ascii="宋体" w:hAnsi="宋体" w:eastAsia="宋体" w:cs="宋体"/>
          <w:color w:val="auto"/>
          <w:kern w:val="2"/>
          <w:sz w:val="21"/>
          <w:szCs w:val="21"/>
          <w:highlight w:val="none"/>
          <w:u w:val="single"/>
          <w:lang w:val="en-US" w:eastAsia="zh-CN" w:bidi="ar-SA"/>
        </w:rPr>
        <w:t></w:t>
      </w:r>
      <w:r>
        <w:rPr>
          <w:rFonts w:hint="eastAsia" w:ascii="宋体" w:hAnsi="宋体" w:eastAsia="宋体" w:cs="宋体"/>
          <w:color w:val="auto"/>
          <w:kern w:val="2"/>
          <w:sz w:val="21"/>
          <w:szCs w:val="21"/>
          <w:highlight w:val="none"/>
          <w:u w:val="single"/>
          <w:lang w:val="en-US" w:eastAsia="zh-CN" w:bidi="ar-SA"/>
        </w:rPr>
        <w:t xml:space="preserve">禁止分包  </w:t>
      </w:r>
      <w:r>
        <w:rPr>
          <w:rFonts w:hint="eastAsia" w:ascii="宋体" w:hAnsi="宋体" w:eastAsia="宋体" w:cs="宋体"/>
          <w:color w:val="auto"/>
          <w:kern w:val="2"/>
          <w:sz w:val="21"/>
          <w:szCs w:val="21"/>
          <w:highlight w:val="none"/>
          <w:lang w:val="en-US" w:eastAsia="zh-CN" w:bidi="ar-SA"/>
        </w:rPr>
        <w:t>。</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14:paraId="3AC994BF">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bookmarkStart w:id="532" w:name="_Toc318581159"/>
      <w:bookmarkStart w:id="533" w:name="_Toc312677990"/>
      <w:r>
        <w:rPr>
          <w:rFonts w:hint="eastAsia" w:ascii="宋体" w:hAnsi="宋体" w:eastAsia="宋体" w:cs="宋体"/>
          <w:color w:val="auto"/>
          <w:kern w:val="2"/>
          <w:sz w:val="21"/>
          <w:szCs w:val="21"/>
          <w:highlight w:val="none"/>
          <w:lang w:val="en-US" w:eastAsia="zh-CN" w:bidi="ar-SA"/>
        </w:rPr>
        <w:t>.5.2 分包的确定</w:t>
      </w:r>
    </w:p>
    <w:p w14:paraId="7449C8C5">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允许分包的专业工程包括：</w:t>
      </w:r>
      <w:r>
        <w:rPr>
          <w:rFonts w:hint="eastAsia" w:ascii="宋体" w:hAnsi="宋体" w:eastAsia="宋体" w:cs="宋体"/>
          <w:color w:val="auto"/>
          <w:kern w:val="2"/>
          <w:sz w:val="21"/>
          <w:szCs w:val="21"/>
          <w:highlight w:val="none"/>
          <w:u w:val="single"/>
          <w:lang w:val="en-US" w:eastAsia="zh-CN" w:bidi="ar-SA"/>
        </w:rPr>
        <w:t xml:space="preserve">劳务工程  </w:t>
      </w:r>
      <w:r>
        <w:rPr>
          <w:rFonts w:hint="eastAsia" w:ascii="宋体" w:hAnsi="宋体" w:eastAsia="宋体" w:cs="宋体"/>
          <w:color w:val="auto"/>
          <w:kern w:val="2"/>
          <w:sz w:val="21"/>
          <w:szCs w:val="21"/>
          <w:highlight w:val="none"/>
          <w:lang w:val="en-US" w:eastAsia="zh-CN" w:bidi="ar-SA"/>
        </w:rPr>
        <w:t>。</w:t>
      </w:r>
    </w:p>
    <w:p w14:paraId="5E8B5462">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其他关于分包的约定：</w:t>
      </w:r>
    </w:p>
    <w:p w14:paraId="33563780">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7。</w:t>
      </w:r>
    </w:p>
    <w:p w14:paraId="14AAC838">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（2）在相关分包合同签订并报送有关建设行政主管部门备案后7天内，承包人应当将一份副本提交给监理人，承包人应保障分包工作不得再次分包。</w:t>
      </w:r>
    </w:p>
    <w:p w14:paraId="780A7C07">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（3）未经承包人和监理人审批同意的分包工程和分包人，承包人有权拒绝验收分包工程和支付相应款项，由此引起的发包人费用增加和(或)延误的工期由发包人承担。</w:t>
      </w:r>
    </w:p>
    <w:p w14:paraId="636BEF5F">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3.5.4 分包合同价款 </w:t>
      </w:r>
    </w:p>
    <w:p w14:paraId="513ADC74">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关于分包合同价款支付的约定：</w:t>
      </w:r>
      <w:r>
        <w:rPr>
          <w:rFonts w:hint="eastAsia" w:ascii="宋体" w:hAnsi="宋体" w:eastAsia="宋体" w:cs="宋体"/>
          <w:color w:val="auto"/>
          <w:kern w:val="2"/>
          <w:sz w:val="21"/>
          <w:szCs w:val="21"/>
          <w:highlight w:val="none"/>
          <w:u w:val="single"/>
          <w:lang w:val="en-US" w:eastAsia="zh-CN" w:bidi="ar-SA"/>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bookmarkEnd w:id="532"/>
    <w:bookmarkEnd w:id="533"/>
    <w:p w14:paraId="71410346">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534" w:name="_Toc373478358"/>
      <w:bookmarkStart w:id="535" w:name="_Toc418061322"/>
      <w:bookmarkStart w:id="536" w:name="_Toc418752253"/>
      <w:bookmarkStart w:id="537" w:name="_Toc418518121"/>
      <w:bookmarkStart w:id="538" w:name="_Toc418518357"/>
      <w:bookmarkStart w:id="539" w:name="_Toc497746792"/>
      <w:bookmarkStart w:id="540" w:name="_Toc418751807"/>
      <w:bookmarkStart w:id="541" w:name="_Toc403578945"/>
      <w:bookmarkStart w:id="542" w:name="_Toc497747189"/>
      <w:bookmarkStart w:id="543" w:name="_Toc522201741"/>
      <w:bookmarkStart w:id="544" w:name="_Toc389065277"/>
      <w:bookmarkStart w:id="545" w:name="_Toc256000191"/>
      <w:bookmarkStart w:id="546" w:name="_Toc15492"/>
      <w:bookmarkStart w:id="547" w:name="_Toc373227711"/>
      <w:r>
        <w:rPr>
          <w:rFonts w:hint="eastAsia" w:ascii="宋体" w:hAnsi="宋体" w:eastAsia="宋体" w:cs="宋体"/>
          <w:b/>
          <w:bCs/>
          <w:color w:val="auto"/>
          <w:kern w:val="44"/>
          <w:sz w:val="21"/>
          <w:szCs w:val="21"/>
          <w:highlight w:val="none"/>
          <w:lang w:val="en-US" w:eastAsia="zh-CN" w:bidi="ar-SA"/>
        </w:rPr>
        <w:t>3.6 工程照管与成品、半成品保护</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14:paraId="5EE7B650">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承包人负责照管工程及工程相关的材料、工程设备的起始时间：</w:t>
      </w:r>
      <w:r>
        <w:rPr>
          <w:rFonts w:hint="eastAsia" w:ascii="宋体" w:hAnsi="宋体" w:eastAsia="宋体" w:cs="宋体"/>
          <w:color w:val="auto"/>
          <w:kern w:val="2"/>
          <w:sz w:val="21"/>
          <w:szCs w:val="21"/>
          <w:highlight w:val="none"/>
          <w:u w:val="single"/>
          <w:lang w:val="en-US" w:eastAsia="zh-CN" w:bidi="ar-SA"/>
        </w:rPr>
        <w:t>自发包人向承包人移交施工现场之日起，到颁发工程接收证书之日止</w:t>
      </w:r>
      <w:r>
        <w:rPr>
          <w:rFonts w:hint="eastAsia" w:ascii="宋体" w:hAnsi="宋体" w:eastAsia="宋体" w:cs="宋体"/>
          <w:color w:val="auto"/>
          <w:kern w:val="0"/>
          <w:sz w:val="21"/>
          <w:szCs w:val="21"/>
          <w:highlight w:val="none"/>
          <w:lang w:val="en-US" w:eastAsia="zh-CN" w:bidi="ar-SA"/>
        </w:rPr>
        <w:t>。</w:t>
      </w:r>
    </w:p>
    <w:p w14:paraId="68D5446E">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承包人负责照管工程及工程相关的材料、工程设备的范围：</w:t>
      </w:r>
      <w:r>
        <w:rPr>
          <w:rFonts w:hint="eastAsia" w:ascii="宋体" w:hAnsi="宋体" w:eastAsia="宋体" w:cs="宋体"/>
          <w:color w:val="auto"/>
          <w:kern w:val="2"/>
          <w:sz w:val="21"/>
          <w:szCs w:val="21"/>
          <w:highlight w:val="none"/>
          <w:u w:val="single"/>
          <w:lang w:val="en-US" w:eastAsia="zh-CN" w:bidi="ar-SA"/>
        </w:rPr>
        <w:t>除承包人自身承包范围内的材料、工程设备外，也有义务照管与本项目相关的由发包人另行发包的其他专业工程设备。并有义务避免因自身的原因造成对其他承包人的成品、半成品的损坏、污染</w:t>
      </w:r>
      <w:r>
        <w:rPr>
          <w:rFonts w:hint="eastAsia" w:ascii="宋体" w:hAnsi="宋体" w:eastAsia="宋体" w:cs="宋体"/>
          <w:color w:val="auto"/>
          <w:kern w:val="2"/>
          <w:sz w:val="21"/>
          <w:szCs w:val="21"/>
          <w:highlight w:val="none"/>
          <w:lang w:val="en-US" w:eastAsia="zh-CN" w:bidi="ar-SA"/>
        </w:rPr>
        <w:t>。</w:t>
      </w:r>
    </w:p>
    <w:p w14:paraId="402D0249">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548" w:name="_Toc373478359"/>
      <w:bookmarkStart w:id="549" w:name="_Toc418518358"/>
      <w:bookmarkStart w:id="550" w:name="_Toc522201742"/>
      <w:bookmarkStart w:id="551" w:name="_Toc418518122"/>
      <w:bookmarkStart w:id="552" w:name="_Toc418752254"/>
      <w:bookmarkStart w:id="553" w:name="_Toc389065278"/>
      <w:bookmarkStart w:id="554" w:name="_Toc373227712"/>
      <w:bookmarkStart w:id="555" w:name="_Toc403578946"/>
      <w:bookmarkStart w:id="556" w:name="_Toc497746793"/>
      <w:bookmarkStart w:id="557" w:name="_Toc418751808"/>
      <w:bookmarkStart w:id="558" w:name="_Toc497747190"/>
      <w:bookmarkStart w:id="559" w:name="_Toc418061323"/>
      <w:bookmarkStart w:id="560" w:name="_Toc29496"/>
      <w:bookmarkStart w:id="561" w:name="_Toc256000192"/>
      <w:r>
        <w:rPr>
          <w:rFonts w:hint="eastAsia" w:ascii="宋体" w:hAnsi="宋体" w:eastAsia="宋体" w:cs="宋体"/>
          <w:b/>
          <w:bCs/>
          <w:color w:val="auto"/>
          <w:kern w:val="44"/>
          <w:sz w:val="21"/>
          <w:szCs w:val="21"/>
          <w:highlight w:val="none"/>
          <w:lang w:val="en-US" w:eastAsia="zh-CN" w:bidi="ar-SA"/>
        </w:rPr>
        <w:t>3.7 履约</w:t>
      </w:r>
      <w:bookmarkEnd w:id="548"/>
      <w:bookmarkEnd w:id="549"/>
      <w:bookmarkEnd w:id="550"/>
      <w:bookmarkEnd w:id="551"/>
      <w:bookmarkEnd w:id="552"/>
      <w:bookmarkEnd w:id="553"/>
      <w:bookmarkEnd w:id="554"/>
      <w:bookmarkEnd w:id="555"/>
      <w:bookmarkEnd w:id="556"/>
      <w:bookmarkEnd w:id="557"/>
      <w:bookmarkEnd w:id="558"/>
      <w:bookmarkEnd w:id="559"/>
      <w:r>
        <w:rPr>
          <w:rFonts w:hint="eastAsia" w:ascii="宋体" w:hAnsi="宋体" w:eastAsia="宋体" w:cs="宋体"/>
          <w:b/>
          <w:bCs/>
          <w:color w:val="auto"/>
          <w:kern w:val="44"/>
          <w:sz w:val="21"/>
          <w:szCs w:val="21"/>
          <w:highlight w:val="none"/>
          <w:lang w:val="en-US" w:eastAsia="zh-CN" w:bidi="ar-SA"/>
        </w:rPr>
        <w:t>担保</w:t>
      </w:r>
      <w:bookmarkEnd w:id="560"/>
      <w:bookmarkEnd w:id="561"/>
    </w:p>
    <w:p w14:paraId="57B868A4">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bookmarkStart w:id="562" w:name="_Toc418752255"/>
      <w:bookmarkStart w:id="563" w:name="_Toc389065279"/>
      <w:bookmarkStart w:id="564" w:name="_Toc403578947"/>
      <w:bookmarkStart w:id="565" w:name="_Toc418751809"/>
      <w:bookmarkStart w:id="566" w:name="_Toc418061324"/>
      <w:bookmarkStart w:id="567" w:name="_Toc351203636"/>
      <w:bookmarkStart w:id="568" w:name="_Toc418518359"/>
      <w:bookmarkStart w:id="569" w:name="_Toc373227713"/>
      <w:bookmarkStart w:id="570" w:name="_Toc373478360"/>
      <w:bookmarkStart w:id="571" w:name="_Toc418518123"/>
      <w:r>
        <w:rPr>
          <w:rFonts w:hint="eastAsia" w:ascii="宋体" w:hAnsi="宋体" w:eastAsia="宋体" w:cs="宋体"/>
          <w:color w:val="auto"/>
          <w:kern w:val="2"/>
          <w:sz w:val="21"/>
          <w:szCs w:val="21"/>
          <w:highlight w:val="none"/>
          <w:lang w:val="en-US" w:eastAsia="zh-CN" w:bidi="ar-SA"/>
        </w:rPr>
        <w:t>承包人是否提供履约担保：</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Times New Roman" w:hAnsi="Times New Roman" w:eastAsia="宋体" w:cs="宋体"/>
          <w:color w:val="auto"/>
          <w:kern w:val="2"/>
          <w:sz w:val="21"/>
          <w:szCs w:val="21"/>
          <w:highlight w:val="none"/>
          <w:u w:val="single"/>
          <w:lang w:val="en-US" w:eastAsia="zh-CN" w:bidi="ar-SA"/>
        </w:rPr>
        <w:t>否</w:t>
      </w:r>
      <w:r>
        <w:rPr>
          <w:rFonts w:hint="eastAsia" w:ascii="宋体" w:hAnsi="宋体" w:eastAsia="宋体" w:cs="宋体"/>
          <w:color w:val="auto"/>
          <w:kern w:val="2"/>
          <w:sz w:val="21"/>
          <w:szCs w:val="21"/>
          <w:highlight w:val="none"/>
          <w:u w:val="single"/>
          <w:lang w:val="en-US" w:eastAsia="zh-CN" w:bidi="ar-SA"/>
        </w:rPr>
        <w:t>　</w:t>
      </w:r>
      <w:r>
        <w:rPr>
          <w:rFonts w:hint="eastAsia" w:ascii="宋体" w:hAnsi="宋体" w:eastAsia="宋体" w:cs="宋体"/>
          <w:color w:val="auto"/>
          <w:kern w:val="2"/>
          <w:sz w:val="21"/>
          <w:szCs w:val="21"/>
          <w:highlight w:val="none"/>
          <w:lang w:val="en-US" w:eastAsia="zh-CN" w:bidi="ar-SA"/>
        </w:rPr>
        <w:t>。</w:t>
      </w:r>
    </w:p>
    <w:p w14:paraId="1FCD367A">
      <w:pPr>
        <w:widowControl w:val="0"/>
        <w:spacing w:line="380" w:lineRule="exact"/>
        <w:ind w:firstLine="420" w:firstLineChars="200"/>
        <w:jc w:val="both"/>
        <w:rPr>
          <w:rFonts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承包人提供履约担保的形式、金额及期限的：</w:t>
      </w:r>
      <w:r>
        <w:rPr>
          <w:rFonts w:hint="eastAsia" w:ascii="宋体" w:hAnsi="宋体" w:eastAsia="宋体" w:cs="宋体"/>
          <w:color w:val="auto"/>
          <w:kern w:val="2"/>
          <w:sz w:val="21"/>
          <w:szCs w:val="21"/>
          <w:highlight w:val="none"/>
          <w:u w:val="single"/>
          <w:lang w:val="en-US" w:eastAsia="zh-CN" w:bidi="ar-SA"/>
        </w:rPr>
        <w:t>在收到中标通知书后，承包人须在</w:t>
      </w:r>
      <w:r>
        <w:rPr>
          <w:rFonts w:ascii="宋体" w:hAnsi="宋体" w:eastAsia="宋体" w:cs="宋体"/>
          <w:color w:val="auto"/>
          <w:kern w:val="2"/>
          <w:sz w:val="21"/>
          <w:szCs w:val="21"/>
          <w:highlight w:val="none"/>
          <w:u w:val="single"/>
          <w:lang w:val="en-US" w:eastAsia="zh-CN" w:bidi="ar-SA"/>
        </w:rPr>
        <w:t>3</w:t>
      </w:r>
      <w:r>
        <w:rPr>
          <w:rFonts w:hint="eastAsia" w:ascii="宋体" w:hAnsi="宋体" w:eastAsia="宋体" w:cs="宋体"/>
          <w:color w:val="auto"/>
          <w:kern w:val="2"/>
          <w:sz w:val="21"/>
          <w:szCs w:val="21"/>
          <w:highlight w:val="none"/>
          <w:u w:val="single"/>
          <w:lang w:val="en-US" w:eastAsia="zh-CN" w:bidi="ar-SA"/>
        </w:rPr>
        <w:t>0日内向发包人足额提交合同价款的2%的现金或银行保函或保证保险</w:t>
      </w:r>
      <w:r>
        <w:rPr>
          <w:rFonts w:hint="eastAsia" w:ascii="宋体" w:hAnsi="宋体" w:eastAsia="宋体" w:cs="Times New Roman"/>
          <w:color w:val="auto"/>
          <w:kern w:val="2"/>
          <w:sz w:val="21"/>
          <w:szCs w:val="21"/>
          <w:highlight w:val="none"/>
          <w:u w:val="single"/>
          <w:lang w:val="en-US" w:eastAsia="zh-CN" w:bidi="ar-SA"/>
        </w:rPr>
        <w:t>的</w:t>
      </w:r>
      <w:r>
        <w:rPr>
          <w:rFonts w:hint="eastAsia" w:ascii="宋体" w:hAnsi="宋体" w:eastAsia="宋体" w:cs="宋体"/>
          <w:color w:val="auto"/>
          <w:kern w:val="2"/>
          <w:sz w:val="21"/>
          <w:szCs w:val="21"/>
          <w:highlight w:val="none"/>
          <w:u w:val="single"/>
          <w:lang w:val="en-US" w:eastAsia="zh-CN" w:bidi="ar-SA"/>
        </w:rPr>
        <w:t>履约担保（格式见合同附件8）。履约担保的有效期应当自本合同生效之日起至发包人签认并由监理人向承包人出具（竣工证明材料名称）之日止。如果承包人无法获得一份不带具体截止日期的担保，履约担保中应当有“变更工程竣工日期的，保证期间按照变更后的竣工日期做相应调整”或类似约定的条款。</w:t>
      </w:r>
    </w:p>
    <w:p w14:paraId="350AFFA4">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工程竣工验收合格并对验收发现的问题完成整改后的7个日历天内，</w:t>
      </w:r>
      <w:r>
        <w:rPr>
          <w:rFonts w:hint="eastAsia" w:ascii="宋体" w:hAnsi="宋体" w:eastAsia="宋体" w:cs="宋体"/>
          <w:color w:val="auto"/>
          <w:kern w:val="2"/>
          <w:sz w:val="21"/>
          <w:szCs w:val="21"/>
          <w:highlight w:val="none"/>
          <w:lang w:val="en-US" w:eastAsia="zh-CN" w:bidi="ar-SA"/>
        </w:rPr>
        <w:t>承包人可向发包人申请退还履约保证金。发包人应在收到申请之日起28个日历天内</w:t>
      </w:r>
      <w:r>
        <w:rPr>
          <w:rFonts w:hint="eastAsia" w:ascii="宋体" w:hAnsi="宋体" w:eastAsia="宋体" w:cs="宋体"/>
          <w:color w:val="auto"/>
          <w:kern w:val="0"/>
          <w:sz w:val="21"/>
          <w:szCs w:val="21"/>
          <w:highlight w:val="none"/>
          <w:lang w:val="en-US" w:eastAsia="zh-CN" w:bidi="ar-SA"/>
        </w:rPr>
        <w:t>扣减承包人赔偿金和其他应从承包人扣回的款项后，</w:t>
      </w:r>
      <w:r>
        <w:rPr>
          <w:rFonts w:hint="eastAsia" w:ascii="宋体" w:hAnsi="宋体" w:eastAsia="宋体" w:cs="宋体"/>
          <w:color w:val="auto"/>
          <w:kern w:val="2"/>
          <w:sz w:val="21"/>
          <w:szCs w:val="21"/>
          <w:highlight w:val="none"/>
          <w:lang w:val="en-US" w:eastAsia="zh-CN" w:bidi="ar-SA"/>
        </w:rPr>
        <w:t>将履约保证金退还给承包人（无息）。</w:t>
      </w:r>
    </w:p>
    <w:p w14:paraId="60FEBAB6">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签订合同前承包人必须按市财建（2018）73号文规定将农民工工资保障金存入帐户。工程竣工验收结算经审定后，按照规定程序，将农民工工资保障金没有使用或剩余的金额退还给承包人。</w:t>
      </w:r>
    </w:p>
    <w:p w14:paraId="33B071C9">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bookmarkStart w:id="572" w:name="_Toc522201743"/>
      <w:bookmarkStart w:id="573" w:name="_Toc497746794"/>
      <w:bookmarkStart w:id="574" w:name="_Toc256000193"/>
      <w:bookmarkStart w:id="575" w:name="_Toc497747191"/>
      <w:bookmarkStart w:id="576" w:name="_Toc9870"/>
      <w:r>
        <w:rPr>
          <w:rFonts w:hint="eastAsia" w:ascii="宋体" w:hAnsi="宋体" w:eastAsia="宋体" w:cs="宋体"/>
          <w:b/>
          <w:bCs/>
          <w:color w:val="auto"/>
          <w:kern w:val="44"/>
          <w:sz w:val="21"/>
          <w:szCs w:val="21"/>
          <w:highlight w:val="none"/>
          <w:lang w:val="en-US" w:eastAsia="zh-CN" w:bidi="ar-SA"/>
        </w:rPr>
        <w:t>4</w:t>
      </w:r>
      <w:bookmarkStart w:id="577" w:name="_Toc297048348"/>
      <w:bookmarkStart w:id="578" w:name="_Toc296944501"/>
      <w:bookmarkStart w:id="579" w:name="_Toc292559366"/>
      <w:bookmarkStart w:id="580" w:name="_Toc296891202"/>
      <w:bookmarkStart w:id="581" w:name="_Toc296346663"/>
      <w:bookmarkStart w:id="582" w:name="_Toc267251413"/>
      <w:bookmarkStart w:id="583" w:name="_Toc296503162"/>
      <w:bookmarkStart w:id="584" w:name="_Toc296890990"/>
      <w:bookmarkStart w:id="585" w:name="_Toc296347161"/>
      <w:bookmarkStart w:id="586" w:name="_Toc292559871"/>
      <w:bookmarkStart w:id="587" w:name="_Toc297120462"/>
      <w:r>
        <w:rPr>
          <w:rFonts w:hint="eastAsia" w:ascii="宋体" w:hAnsi="宋体" w:eastAsia="宋体" w:cs="宋体"/>
          <w:b/>
          <w:bCs/>
          <w:color w:val="auto"/>
          <w:kern w:val="44"/>
          <w:sz w:val="21"/>
          <w:szCs w:val="21"/>
          <w:highlight w:val="none"/>
          <w:lang w:val="en-US" w:eastAsia="zh-CN" w:bidi="ar-SA"/>
        </w:rPr>
        <w:t>. 监</w:t>
      </w:r>
      <w:bookmarkEnd w:id="577"/>
      <w:bookmarkEnd w:id="578"/>
      <w:bookmarkEnd w:id="579"/>
      <w:bookmarkEnd w:id="580"/>
      <w:bookmarkEnd w:id="581"/>
      <w:bookmarkEnd w:id="582"/>
      <w:bookmarkEnd w:id="583"/>
      <w:bookmarkEnd w:id="584"/>
      <w:bookmarkEnd w:id="585"/>
      <w:bookmarkEnd w:id="586"/>
      <w:bookmarkEnd w:id="587"/>
      <w:r>
        <w:rPr>
          <w:rFonts w:hint="eastAsia" w:ascii="宋体" w:hAnsi="宋体" w:eastAsia="宋体" w:cs="宋体"/>
          <w:b/>
          <w:bCs/>
          <w:color w:val="auto"/>
          <w:kern w:val="44"/>
          <w:sz w:val="21"/>
          <w:szCs w:val="21"/>
          <w:highlight w:val="none"/>
          <w:lang w:val="en-US" w:eastAsia="zh-CN" w:bidi="ar-SA"/>
        </w:rPr>
        <w:t>理人</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077526AF">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588" w:name="_Toc373227714"/>
      <w:bookmarkStart w:id="589" w:name="_Toc616"/>
      <w:bookmarkStart w:id="590" w:name="_Toc418061325"/>
      <w:bookmarkStart w:id="591" w:name="_Toc418518360"/>
      <w:bookmarkStart w:id="592" w:name="_Toc256000194"/>
      <w:bookmarkStart w:id="593" w:name="_Toc497746795"/>
      <w:bookmarkStart w:id="594" w:name="_Toc522201744"/>
      <w:bookmarkStart w:id="595" w:name="_Toc418518124"/>
      <w:bookmarkStart w:id="596" w:name="_Toc418752256"/>
      <w:bookmarkStart w:id="597" w:name="_Toc389065280"/>
      <w:bookmarkStart w:id="598" w:name="_Toc403578948"/>
      <w:bookmarkStart w:id="599" w:name="_Toc373478361"/>
      <w:bookmarkStart w:id="600" w:name="_Toc497747192"/>
      <w:bookmarkStart w:id="601" w:name="_Toc418751810"/>
      <w:r>
        <w:rPr>
          <w:rFonts w:hint="eastAsia" w:ascii="宋体" w:hAnsi="宋体" w:eastAsia="宋体" w:cs="宋体"/>
          <w:b/>
          <w:bCs/>
          <w:color w:val="auto"/>
          <w:kern w:val="44"/>
          <w:sz w:val="21"/>
          <w:szCs w:val="21"/>
          <w:highlight w:val="none"/>
          <w:lang w:val="en-US" w:eastAsia="zh-CN" w:bidi="ar-SA"/>
        </w:rPr>
        <w:t>4.1 监理人的一般规定</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14:paraId="4571B843">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关于监理人的监理内容：</w:t>
      </w:r>
      <w:r>
        <w:rPr>
          <w:rFonts w:hint="eastAsia" w:ascii="宋体" w:hAnsi="宋体" w:eastAsia="宋体" w:cs="宋体"/>
          <w:color w:val="auto"/>
          <w:kern w:val="2"/>
          <w:sz w:val="21"/>
          <w:szCs w:val="21"/>
          <w:highlight w:val="none"/>
          <w:u w:val="single"/>
          <w:lang w:val="en-US" w:eastAsia="zh-CN" w:bidi="ar-SA"/>
        </w:rPr>
        <w:t xml:space="preserve"> 检查施工承包人工程质量，安全生产管理制度及组织机构人员资格；审查施工承包人员提交的施工进度计划及工程施工范围内所有内容。</w:t>
      </w:r>
    </w:p>
    <w:p w14:paraId="7D9FF311">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关于监理人的监理权限：</w:t>
      </w:r>
      <w:r>
        <w:rPr>
          <w:rFonts w:hint="eastAsia" w:ascii="宋体" w:hAnsi="宋体" w:eastAsia="宋体" w:cs="宋体"/>
          <w:color w:val="auto"/>
          <w:kern w:val="2"/>
          <w:sz w:val="21"/>
          <w:szCs w:val="21"/>
          <w:highlight w:val="none"/>
          <w:u w:val="single"/>
          <w:lang w:val="en-US" w:eastAsia="zh-CN" w:bidi="ar-SA"/>
        </w:rPr>
        <w:t>代表发包人对工程施工相关事项进行检查、查验、审核、验收，并签发相关指示，但监理人无权修改合同，且无权减轻或免除合同约定的承包人的任何责任与义务: 1、在发出施工进度计划和施工方案说明以及有关能引起工程费用实际增加（减少）或延长工期的指令前，应得到发包人的书面批准。2、监理工程师在向承包人发出有关技术规范的重大变更或有关变更合同条款的任何指令前均应获得发包人书面批准。3、工程实际竣工日期提前或超过工程承包合同规定的竣工期限的签证之前应得到发包人的书面批准。4、签证单监理只有证明权，无确认权。5、工程内容和材料变更确认应得到发包人的书面批准。不管通用合同条款如何约定，监理人履行须经发包人批准行使的权利时，应当向承包人出示其行使该权利已经取得发包人批准的文件或者其他合法有效的证明 。</w:t>
      </w:r>
      <w:r>
        <w:rPr>
          <w:rFonts w:hint="eastAsia" w:ascii="宋体" w:hAnsi="宋体" w:eastAsia="宋体" w:cs="宋体"/>
          <w:color w:val="auto"/>
          <w:kern w:val="2"/>
          <w:sz w:val="21"/>
          <w:szCs w:val="21"/>
          <w:highlight w:val="none"/>
          <w:lang w:val="en-US" w:eastAsia="zh-CN" w:bidi="ar-SA"/>
        </w:rPr>
        <w:t xml:space="preserve">  </w:t>
      </w:r>
    </w:p>
    <w:p w14:paraId="5085959C">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关于监理人在施工现场的办公场所、生活场所的提供和费用承担的约定：</w:t>
      </w:r>
      <w:r>
        <w:rPr>
          <w:rFonts w:hint="eastAsia" w:ascii="宋体" w:hAnsi="宋体" w:eastAsia="宋体" w:cs="宋体"/>
          <w:color w:val="auto"/>
          <w:kern w:val="2"/>
          <w:sz w:val="21"/>
          <w:szCs w:val="21"/>
          <w:highlight w:val="none"/>
          <w:u w:val="single"/>
          <w:lang w:val="en-US" w:eastAsia="zh-CN" w:bidi="ar-SA"/>
        </w:rPr>
        <w:t>由承包人为发包人、监理单位免费提供三间办公室</w:t>
      </w:r>
      <w:r>
        <w:rPr>
          <w:rFonts w:hint="eastAsia" w:ascii="宋体" w:hAnsi="宋体" w:eastAsia="宋体" w:cs="Times New Roman"/>
          <w:color w:val="auto"/>
          <w:kern w:val="2"/>
          <w:sz w:val="21"/>
          <w:szCs w:val="21"/>
          <w:highlight w:val="none"/>
          <w:u w:val="single"/>
          <w:lang w:val="en-US" w:eastAsia="zh-CN" w:bidi="ar-SA"/>
        </w:rPr>
        <w:t>并承担相关费用</w:t>
      </w:r>
      <w:r>
        <w:rPr>
          <w:rFonts w:hint="eastAsia" w:ascii="宋体" w:hAnsi="宋体" w:eastAsia="宋体" w:cs="宋体"/>
          <w:color w:val="auto"/>
          <w:kern w:val="2"/>
          <w:sz w:val="21"/>
          <w:szCs w:val="21"/>
          <w:highlight w:val="none"/>
          <w:lang w:val="en-US" w:eastAsia="zh-CN" w:bidi="ar-SA"/>
        </w:rPr>
        <w:t>。</w:t>
      </w:r>
    </w:p>
    <w:p w14:paraId="5DAB3CD7">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602" w:name="_Toc256000195"/>
      <w:bookmarkStart w:id="603" w:name="_Toc373478362"/>
      <w:bookmarkStart w:id="604" w:name="_Toc418752257"/>
      <w:bookmarkStart w:id="605" w:name="_Toc403578949"/>
      <w:bookmarkStart w:id="606" w:name="_Toc373227715"/>
      <w:bookmarkStart w:id="607" w:name="_Toc22711"/>
      <w:bookmarkStart w:id="608" w:name="_Toc389065281"/>
      <w:bookmarkStart w:id="609" w:name="_Toc418518361"/>
      <w:bookmarkStart w:id="610" w:name="_Toc418518125"/>
      <w:bookmarkStart w:id="611" w:name="_Toc497746796"/>
      <w:bookmarkStart w:id="612" w:name="_Toc418061326"/>
      <w:bookmarkStart w:id="613" w:name="_Toc522201745"/>
      <w:bookmarkStart w:id="614" w:name="_Toc497747193"/>
      <w:bookmarkStart w:id="615" w:name="_Toc418751811"/>
      <w:r>
        <w:rPr>
          <w:rFonts w:hint="eastAsia" w:ascii="宋体" w:hAnsi="宋体" w:eastAsia="宋体" w:cs="宋体"/>
          <w:b/>
          <w:bCs/>
          <w:color w:val="auto"/>
          <w:kern w:val="44"/>
          <w:sz w:val="21"/>
          <w:szCs w:val="21"/>
          <w:highlight w:val="none"/>
          <w:lang w:val="en-US" w:eastAsia="zh-CN" w:bidi="ar-SA"/>
        </w:rPr>
        <w:t>4.2 监理人员</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14:paraId="1E30BBDD">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总监理工程师：</w:t>
      </w:r>
    </w:p>
    <w:p w14:paraId="7489258E">
      <w:pPr>
        <w:widowControl w:val="0"/>
        <w:spacing w:line="380" w:lineRule="exac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姓    名：</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14:paraId="29C7AEA2">
      <w:pPr>
        <w:widowControl w:val="0"/>
        <w:spacing w:line="380" w:lineRule="exac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职    务：</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14:paraId="62549E9A">
      <w:pPr>
        <w:widowControl w:val="0"/>
        <w:spacing w:line="380" w:lineRule="exac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监理工程师执业资格证书号：</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14:paraId="72C71347">
      <w:pPr>
        <w:widowControl w:val="0"/>
        <w:spacing w:line="380" w:lineRule="exact"/>
        <w:ind w:firstLine="420" w:firstLineChars="200"/>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联系电话：</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w:t>
      </w:r>
    </w:p>
    <w:p w14:paraId="74BF7547">
      <w:pPr>
        <w:widowControl w:val="0"/>
        <w:spacing w:line="380" w:lineRule="exac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电子信箱：</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w:t>
      </w:r>
    </w:p>
    <w:p w14:paraId="20D9A5CF">
      <w:pPr>
        <w:widowControl w:val="0"/>
        <w:spacing w:line="380" w:lineRule="exact"/>
        <w:ind w:firstLine="420" w:firstLineChars="20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lang w:val="en-US" w:eastAsia="zh-CN" w:bidi="ar-SA"/>
        </w:rPr>
        <w:t>通信地址：</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w:t>
      </w:r>
    </w:p>
    <w:p w14:paraId="24AF9178">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关于监理人的其他约定：</w:t>
      </w:r>
      <w:r>
        <w:rPr>
          <w:rFonts w:hint="eastAsia" w:ascii="宋体" w:hAnsi="宋体" w:eastAsia="宋体" w:cs="宋体"/>
          <w:color w:val="auto"/>
          <w:kern w:val="2"/>
          <w:sz w:val="21"/>
          <w:szCs w:val="21"/>
          <w:highlight w:val="none"/>
          <w:u w:val="single"/>
          <w:lang w:val="en-US" w:eastAsia="zh-CN" w:bidi="ar-SA"/>
        </w:rPr>
        <w:t xml:space="preserve"> 见监理合同 </w:t>
      </w:r>
      <w:r>
        <w:rPr>
          <w:rFonts w:hint="eastAsia" w:ascii="宋体" w:hAnsi="宋体" w:eastAsia="宋体" w:cs="宋体"/>
          <w:color w:val="auto"/>
          <w:kern w:val="2"/>
          <w:sz w:val="21"/>
          <w:szCs w:val="21"/>
          <w:highlight w:val="none"/>
          <w:u w:val="none"/>
          <w:lang w:val="en-US" w:eastAsia="zh-CN" w:bidi="ar-SA"/>
        </w:rPr>
        <w:t>。</w:t>
      </w:r>
    </w:p>
    <w:p w14:paraId="7676A066">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616" w:name="_Toc418751812"/>
      <w:bookmarkStart w:id="617" w:name="_Toc497746797"/>
      <w:bookmarkStart w:id="618" w:name="_Toc418518126"/>
      <w:bookmarkStart w:id="619" w:name="_Toc389065282"/>
      <w:bookmarkStart w:id="620" w:name="_Toc522201746"/>
      <w:bookmarkStart w:id="621" w:name="_Toc403578950"/>
      <w:bookmarkStart w:id="622" w:name="_Toc418518362"/>
      <w:bookmarkStart w:id="623" w:name="_Toc30183"/>
      <w:bookmarkStart w:id="624" w:name="_Toc418061327"/>
      <w:bookmarkStart w:id="625" w:name="_Toc373478363"/>
      <w:bookmarkStart w:id="626" w:name="_Toc256000196"/>
      <w:bookmarkStart w:id="627" w:name="_Toc418752258"/>
      <w:bookmarkStart w:id="628" w:name="_Toc497747194"/>
      <w:bookmarkStart w:id="629" w:name="_Toc373227716"/>
      <w:r>
        <w:rPr>
          <w:rFonts w:hint="eastAsia" w:ascii="宋体" w:hAnsi="宋体" w:eastAsia="宋体" w:cs="宋体"/>
          <w:b/>
          <w:bCs/>
          <w:color w:val="auto"/>
          <w:kern w:val="44"/>
          <w:sz w:val="21"/>
          <w:szCs w:val="21"/>
          <w:highlight w:val="none"/>
          <w:lang w:val="en-US" w:eastAsia="zh-CN" w:bidi="ar-SA"/>
        </w:rPr>
        <w:t>4.4 商定或确定</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p w14:paraId="2DD2A533">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bookmarkStart w:id="630" w:name="_Toc267251418"/>
      <w:r>
        <w:rPr>
          <w:rFonts w:hint="eastAsia" w:ascii="宋体" w:hAnsi="宋体" w:eastAsia="宋体" w:cs="宋体"/>
          <w:color w:val="auto"/>
          <w:kern w:val="2"/>
          <w:sz w:val="21"/>
          <w:szCs w:val="21"/>
          <w:highlight w:val="none"/>
          <w:lang w:val="en-US" w:eastAsia="zh-CN" w:bidi="ar-SA"/>
        </w:rPr>
        <w:t>在发包人和承包人不能通过协商达成一致意见时，发包人授权监理人对以下事项进行确定：</w:t>
      </w:r>
      <w:r>
        <w:rPr>
          <w:rFonts w:hint="eastAsia" w:ascii="宋体" w:hAnsi="宋体" w:eastAsia="宋体" w:cs="宋体"/>
          <w:color w:val="auto"/>
          <w:kern w:val="0"/>
          <w:sz w:val="21"/>
          <w:szCs w:val="21"/>
          <w:highlight w:val="none"/>
          <w:u w:val="single"/>
          <w:lang w:val="en-US" w:eastAsia="zh-CN" w:bidi="ar-SA"/>
        </w:rPr>
        <w:t>无</w:t>
      </w:r>
      <w:r>
        <w:rPr>
          <w:rFonts w:hint="eastAsia" w:ascii="宋体" w:hAnsi="宋体" w:eastAsia="宋体" w:cs="宋体"/>
          <w:color w:val="auto"/>
          <w:kern w:val="2"/>
          <w:sz w:val="21"/>
          <w:szCs w:val="21"/>
          <w:highlight w:val="none"/>
          <w:lang w:val="en-US" w:eastAsia="zh-CN" w:bidi="ar-SA"/>
        </w:rPr>
        <w:t>；</w:t>
      </w:r>
    </w:p>
    <w:p w14:paraId="6750ABBC">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bookmarkStart w:id="631" w:name="_Toc373227717"/>
      <w:bookmarkStart w:id="632" w:name="_Toc497746798"/>
      <w:bookmarkStart w:id="633" w:name="_Toc418518363"/>
      <w:bookmarkStart w:id="634" w:name="_Toc418518127"/>
      <w:bookmarkStart w:id="635" w:name="_Toc418752259"/>
      <w:bookmarkStart w:id="636" w:name="_Toc373478364"/>
      <w:bookmarkStart w:id="637" w:name="_Toc522201747"/>
      <w:bookmarkStart w:id="638" w:name="_Toc25840"/>
      <w:bookmarkStart w:id="639" w:name="_Toc403578951"/>
      <w:bookmarkStart w:id="640" w:name="_Toc256000197"/>
      <w:bookmarkStart w:id="641" w:name="_Toc418751813"/>
      <w:bookmarkStart w:id="642" w:name="_Toc418061328"/>
      <w:bookmarkStart w:id="643" w:name="_Toc351203637"/>
      <w:bookmarkStart w:id="644" w:name="_Toc497747195"/>
      <w:bookmarkStart w:id="645" w:name="_Toc389065283"/>
      <w:r>
        <w:rPr>
          <w:rFonts w:hint="eastAsia" w:ascii="宋体" w:hAnsi="宋体" w:eastAsia="宋体" w:cs="宋体"/>
          <w:b/>
          <w:bCs/>
          <w:color w:val="auto"/>
          <w:kern w:val="44"/>
          <w:sz w:val="21"/>
          <w:szCs w:val="21"/>
          <w:highlight w:val="none"/>
          <w:lang w:val="en-US" w:eastAsia="zh-CN" w:bidi="ar-SA"/>
        </w:rPr>
        <w:t>5</w:t>
      </w:r>
      <w:bookmarkEnd w:id="630"/>
      <w:bookmarkStart w:id="646" w:name="_Toc297120463"/>
      <w:bookmarkStart w:id="647" w:name="_Toc297048349"/>
      <w:bookmarkStart w:id="648" w:name="_Toc292559872"/>
      <w:bookmarkStart w:id="649" w:name="_Toc292559367"/>
      <w:bookmarkStart w:id="650" w:name="_Toc296944502"/>
      <w:bookmarkStart w:id="651" w:name="_Toc296890991"/>
      <w:bookmarkStart w:id="652" w:name="_Toc296503163"/>
      <w:bookmarkStart w:id="653" w:name="_Toc296891203"/>
      <w:bookmarkStart w:id="654" w:name="_Toc296346664"/>
      <w:bookmarkStart w:id="655" w:name="_Toc296347162"/>
      <w:r>
        <w:rPr>
          <w:rFonts w:hint="eastAsia" w:ascii="宋体" w:hAnsi="宋体" w:eastAsia="宋体" w:cs="宋体"/>
          <w:b/>
          <w:bCs/>
          <w:color w:val="auto"/>
          <w:kern w:val="44"/>
          <w:sz w:val="21"/>
          <w:szCs w:val="21"/>
          <w:highlight w:val="none"/>
          <w:lang w:val="en-US" w:eastAsia="zh-CN" w:bidi="ar-SA"/>
        </w:rPr>
        <w:t>. 工程质量</w:t>
      </w:r>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14:paraId="56E452D0">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656" w:name="_Toc256000198"/>
      <w:bookmarkStart w:id="657" w:name="_Toc3897"/>
      <w:bookmarkStart w:id="658" w:name="_Toc389065284"/>
      <w:bookmarkStart w:id="659" w:name="_Toc497746799"/>
      <w:bookmarkStart w:id="660" w:name="_Toc418061329"/>
      <w:bookmarkStart w:id="661" w:name="_Toc418751814"/>
      <w:bookmarkStart w:id="662" w:name="_Toc522201748"/>
      <w:bookmarkStart w:id="663" w:name="_Toc497747196"/>
      <w:bookmarkStart w:id="664" w:name="_Toc373478365"/>
      <w:bookmarkStart w:id="665" w:name="_Toc418518128"/>
      <w:bookmarkStart w:id="666" w:name="_Toc418752260"/>
      <w:bookmarkStart w:id="667" w:name="_Toc418518364"/>
      <w:bookmarkStart w:id="668" w:name="_Toc373227718"/>
      <w:bookmarkStart w:id="669" w:name="_Toc403578952"/>
      <w:r>
        <w:rPr>
          <w:rFonts w:hint="eastAsia" w:ascii="宋体" w:hAnsi="宋体" w:eastAsia="宋体" w:cs="宋体"/>
          <w:b/>
          <w:bCs/>
          <w:color w:val="auto"/>
          <w:kern w:val="44"/>
          <w:sz w:val="21"/>
          <w:szCs w:val="21"/>
          <w:highlight w:val="none"/>
          <w:lang w:val="en-US" w:eastAsia="zh-CN" w:bidi="ar-SA"/>
        </w:rPr>
        <w:t>5.1 质量要求</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14:paraId="7FADC727">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5</w:t>
      </w:r>
      <w:bookmarkStart w:id="670" w:name="_Toc304295527"/>
      <w:bookmarkStart w:id="671" w:name="_Toc297123496"/>
      <w:bookmarkStart w:id="672" w:name="_Toc303539106"/>
      <w:bookmarkStart w:id="673" w:name="_Toc318581164"/>
      <w:bookmarkStart w:id="674" w:name="_Toc297216155"/>
      <w:bookmarkStart w:id="675" w:name="_Toc312677997"/>
      <w:bookmarkStart w:id="676" w:name="_Toc300934949"/>
      <w:r>
        <w:rPr>
          <w:rFonts w:hint="eastAsia" w:ascii="宋体" w:hAnsi="宋体" w:eastAsia="宋体" w:cs="宋体"/>
          <w:color w:val="auto"/>
          <w:kern w:val="2"/>
          <w:sz w:val="21"/>
          <w:szCs w:val="21"/>
          <w:highlight w:val="none"/>
          <w:lang w:val="en-US" w:eastAsia="zh-CN" w:bidi="ar-SA"/>
        </w:rPr>
        <w:t>.1.1 特殊质量标准和要求：</w:t>
      </w:r>
      <w:r>
        <w:rPr>
          <w:rFonts w:hint="eastAsia" w:ascii="宋体" w:hAnsi="宋体" w:eastAsia="宋体" w:cs="宋体"/>
          <w:color w:val="auto"/>
          <w:kern w:val="2"/>
          <w:sz w:val="21"/>
          <w:szCs w:val="21"/>
          <w:highlight w:val="none"/>
          <w:u w:val="single"/>
          <w:lang w:val="en-US" w:eastAsia="zh-CN" w:bidi="ar-SA"/>
        </w:rPr>
        <w:t xml:space="preserve"> 工程质量达到国家验收合格标准 </w:t>
      </w:r>
      <w:r>
        <w:rPr>
          <w:rFonts w:hint="eastAsia" w:ascii="宋体" w:hAnsi="宋体" w:eastAsia="宋体" w:cs="宋体"/>
          <w:color w:val="auto"/>
          <w:kern w:val="2"/>
          <w:sz w:val="21"/>
          <w:szCs w:val="21"/>
          <w:highlight w:val="none"/>
          <w:lang w:val="en-US" w:eastAsia="zh-CN" w:bidi="ar-SA"/>
        </w:rPr>
        <w:t>。</w:t>
      </w:r>
    </w:p>
    <w:p w14:paraId="21F03F8A">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关于工程奖项的约定：</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w:t>
      </w:r>
    </w:p>
    <w:p w14:paraId="67CBE926">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5.3 隐蔽工程检查</w:t>
      </w:r>
    </w:p>
    <w:p w14:paraId="27918585">
      <w:pPr>
        <w:widowControl w:val="0"/>
        <w:spacing w:line="380" w:lineRule="exact"/>
        <w:ind w:firstLine="420" w:firstLineChars="200"/>
        <w:jc w:val="left"/>
        <w:rPr>
          <w:rFonts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5.3.2承包人提前通知监理人隐蔽工程检查的期限的约定：</w:t>
      </w:r>
      <w:r>
        <w:rPr>
          <w:rFonts w:hint="eastAsia" w:ascii="宋体" w:hAnsi="宋体" w:eastAsia="宋体" w:cs="宋体"/>
          <w:color w:val="auto"/>
          <w:kern w:val="0"/>
          <w:sz w:val="21"/>
          <w:szCs w:val="21"/>
          <w:highlight w:val="none"/>
          <w:u w:val="single"/>
          <w:lang w:val="en-US" w:eastAsia="zh-CN" w:bidi="ar-SA"/>
        </w:rPr>
        <w:t>任何部位的隐蔽工程需要覆盖或隐蔽前，承包人均应提前 48 小时通知发包人、监理工程师和质量监督站进行中间验收并拍照，没有发包人、监理工程师和质量监督站的批准，均不得隐蔽或验收。对相关单位所提出涉及工程质量、安全管理等存在问题时，必须进行整改，承包人应在监理人及相关人员指示的时间内修正返工后，由监理人及相关人员重新检查。否则发包人按规定有权进行经济处罚</w:t>
      </w:r>
      <w:r>
        <w:rPr>
          <w:rFonts w:hint="eastAsia" w:ascii="宋体" w:hAnsi="宋体" w:eastAsia="宋体" w:cs="宋体"/>
          <w:bCs/>
          <w:color w:val="auto"/>
          <w:kern w:val="2"/>
          <w:sz w:val="21"/>
          <w:szCs w:val="21"/>
          <w:highlight w:val="none"/>
          <w:u w:val="single"/>
          <w:lang w:val="en-US" w:eastAsia="zh-CN" w:bidi="ar-SA"/>
        </w:rPr>
        <w:t>。</w:t>
      </w:r>
    </w:p>
    <w:p w14:paraId="3AB77EDF">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监理人不能按时进行检查时，应提前</w:t>
      </w:r>
      <w:r>
        <w:rPr>
          <w:rFonts w:hint="eastAsia" w:ascii="宋体" w:hAnsi="宋体" w:eastAsia="宋体" w:cs="宋体"/>
          <w:color w:val="auto"/>
          <w:kern w:val="2"/>
          <w:sz w:val="21"/>
          <w:szCs w:val="21"/>
          <w:highlight w:val="none"/>
          <w:u w:val="single"/>
          <w:lang w:val="en-US" w:eastAsia="zh-CN" w:bidi="ar-SA"/>
        </w:rPr>
        <w:t xml:space="preserve"> 24 </w:t>
      </w:r>
      <w:r>
        <w:rPr>
          <w:rFonts w:hint="eastAsia" w:ascii="宋体" w:hAnsi="宋体" w:eastAsia="宋体" w:cs="宋体"/>
          <w:color w:val="auto"/>
          <w:kern w:val="2"/>
          <w:sz w:val="21"/>
          <w:szCs w:val="21"/>
          <w:highlight w:val="none"/>
          <w:lang w:val="en-US" w:eastAsia="zh-CN" w:bidi="ar-SA"/>
        </w:rPr>
        <w:t>小时提交书面延期要求。</w:t>
      </w:r>
    </w:p>
    <w:p w14:paraId="37C6CD55">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关于延期最长不得超过：</w:t>
      </w:r>
      <w:r>
        <w:rPr>
          <w:rFonts w:hint="eastAsia" w:ascii="宋体" w:hAnsi="宋体" w:eastAsia="宋体" w:cs="宋体"/>
          <w:color w:val="auto"/>
          <w:kern w:val="2"/>
          <w:sz w:val="21"/>
          <w:szCs w:val="21"/>
          <w:highlight w:val="none"/>
          <w:u w:val="single"/>
          <w:lang w:val="en-US" w:eastAsia="zh-CN" w:bidi="ar-SA"/>
        </w:rPr>
        <w:t xml:space="preserve"> 48 </w:t>
      </w:r>
      <w:r>
        <w:rPr>
          <w:rFonts w:hint="eastAsia" w:ascii="宋体" w:hAnsi="宋体" w:eastAsia="宋体" w:cs="宋体"/>
          <w:color w:val="auto"/>
          <w:kern w:val="2"/>
          <w:sz w:val="21"/>
          <w:szCs w:val="21"/>
          <w:highlight w:val="none"/>
          <w:lang w:val="en-US" w:eastAsia="zh-CN" w:bidi="ar-SA"/>
        </w:rPr>
        <w:t>小时。</w:t>
      </w:r>
    </w:p>
    <w:p w14:paraId="2E6486C1">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bookmarkStart w:id="677" w:name="_Toc403578953"/>
      <w:bookmarkStart w:id="678" w:name="_Toc418518365"/>
      <w:bookmarkStart w:id="679" w:name="_Toc418752261"/>
      <w:bookmarkStart w:id="680" w:name="_Toc522201749"/>
      <w:bookmarkStart w:id="681" w:name="_Toc418061330"/>
      <w:bookmarkStart w:id="682" w:name="_Toc418751815"/>
      <w:bookmarkStart w:id="683" w:name="_Toc256000199"/>
      <w:bookmarkStart w:id="684" w:name="_Toc351203638"/>
      <w:bookmarkStart w:id="685" w:name="_Toc497746800"/>
      <w:bookmarkStart w:id="686" w:name="_Toc418518129"/>
      <w:bookmarkStart w:id="687" w:name="_Toc389065285"/>
      <w:bookmarkStart w:id="688" w:name="_Toc373478366"/>
      <w:bookmarkStart w:id="689" w:name="_Toc497747197"/>
      <w:bookmarkStart w:id="690" w:name="_Toc2209"/>
      <w:bookmarkStart w:id="691" w:name="_Toc373227719"/>
      <w:r>
        <w:rPr>
          <w:rFonts w:hint="eastAsia" w:ascii="宋体" w:hAnsi="宋体" w:eastAsia="宋体" w:cs="宋体"/>
          <w:b/>
          <w:bCs/>
          <w:color w:val="auto"/>
          <w:kern w:val="44"/>
          <w:sz w:val="21"/>
          <w:szCs w:val="21"/>
          <w:highlight w:val="none"/>
          <w:lang w:val="en-US" w:eastAsia="zh-CN" w:bidi="ar-SA"/>
        </w:rPr>
        <w:t>6. 安全文明施工与环境保护</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14:paraId="62DE7141">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692" w:name="_Toc373227720"/>
      <w:bookmarkStart w:id="693" w:name="_Toc497746801"/>
      <w:bookmarkStart w:id="694" w:name="_Toc418751816"/>
      <w:bookmarkStart w:id="695" w:name="_Toc418518130"/>
      <w:bookmarkStart w:id="696" w:name="_Toc418518366"/>
      <w:bookmarkStart w:id="697" w:name="_Toc497747198"/>
      <w:bookmarkStart w:id="698" w:name="_Toc389065286"/>
      <w:bookmarkStart w:id="699" w:name="_Toc22612"/>
      <w:bookmarkStart w:id="700" w:name="_Toc256000200"/>
      <w:bookmarkStart w:id="701" w:name="_Toc373478367"/>
      <w:bookmarkStart w:id="702" w:name="_Toc418752262"/>
      <w:bookmarkStart w:id="703" w:name="_Toc522201750"/>
      <w:bookmarkStart w:id="704" w:name="_Toc418061331"/>
      <w:bookmarkStart w:id="705" w:name="_Toc403578954"/>
      <w:r>
        <w:rPr>
          <w:rFonts w:hint="eastAsia" w:ascii="宋体" w:hAnsi="宋体" w:eastAsia="宋体" w:cs="宋体"/>
          <w:b/>
          <w:bCs/>
          <w:color w:val="auto"/>
          <w:kern w:val="44"/>
          <w:sz w:val="21"/>
          <w:szCs w:val="21"/>
          <w:highlight w:val="none"/>
          <w:lang w:val="en-US" w:eastAsia="zh-CN" w:bidi="ar-SA"/>
        </w:rPr>
        <w:t>6.1 安全文明施工</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p w14:paraId="61A9C86A">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6.1.1 项目安全生产的达标目标及相应事项的约定：</w:t>
      </w:r>
      <w:r>
        <w:rPr>
          <w:rFonts w:hint="eastAsia" w:ascii="宋体" w:hAnsi="宋体" w:eastAsia="宋体" w:cs="宋体"/>
          <w:color w:val="auto"/>
          <w:kern w:val="2"/>
          <w:sz w:val="21"/>
          <w:szCs w:val="21"/>
          <w:highlight w:val="none"/>
          <w:u w:val="single"/>
          <w:lang w:val="en-US" w:eastAsia="zh-CN" w:bidi="ar-SA"/>
        </w:rPr>
        <w:t xml:space="preserve"> 按照国家及地方安全文明施工的有关规定执行 </w:t>
      </w:r>
      <w:r>
        <w:rPr>
          <w:rFonts w:hint="eastAsia" w:ascii="宋体" w:hAnsi="宋体" w:eastAsia="宋体" w:cs="宋体"/>
          <w:color w:val="auto"/>
          <w:kern w:val="2"/>
          <w:sz w:val="21"/>
          <w:szCs w:val="21"/>
          <w:highlight w:val="none"/>
          <w:lang w:val="en-US" w:eastAsia="zh-CN" w:bidi="ar-SA"/>
        </w:rPr>
        <w:t>。</w:t>
      </w:r>
    </w:p>
    <w:p w14:paraId="47941C22">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关于安全文明施工奖项的约定：</w:t>
      </w:r>
      <w:r>
        <w:rPr>
          <w:rFonts w:hint="eastAsia" w:ascii="宋体" w:hAnsi="宋体" w:eastAsia="宋体" w:cs="宋体"/>
          <w:color w:val="auto"/>
          <w:kern w:val="2"/>
          <w:sz w:val="21"/>
          <w:szCs w:val="21"/>
          <w:highlight w:val="none"/>
          <w:u w:val="single"/>
          <w:lang w:val="en-US" w:eastAsia="zh-CN" w:bidi="ar-SA"/>
        </w:rPr>
        <w:t xml:space="preserve">  承包人应当负责统一管理施工场地的治安保卫事项，履行合同工程的治安保卫职责  </w:t>
      </w:r>
      <w:r>
        <w:rPr>
          <w:rFonts w:hint="eastAsia" w:ascii="宋体" w:hAnsi="宋体" w:eastAsia="宋体" w:cs="宋体"/>
          <w:color w:val="auto"/>
          <w:kern w:val="2"/>
          <w:sz w:val="21"/>
          <w:szCs w:val="21"/>
          <w:highlight w:val="none"/>
          <w:lang w:val="en-US" w:eastAsia="zh-CN" w:bidi="ar-SA"/>
        </w:rPr>
        <w:t>。</w:t>
      </w:r>
    </w:p>
    <w:p w14:paraId="2617050A">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6.1.4 关于治安保卫的特别约定：</w:t>
      </w:r>
      <w:r>
        <w:rPr>
          <w:rFonts w:hint="eastAsia" w:ascii="宋体" w:hAnsi="宋体" w:eastAsia="宋体" w:cs="宋体"/>
          <w:color w:val="auto"/>
          <w:kern w:val="2"/>
          <w:sz w:val="21"/>
          <w:szCs w:val="21"/>
          <w:highlight w:val="none"/>
          <w:u w:val="single"/>
          <w:lang w:val="en-US" w:eastAsia="zh-CN" w:bidi="ar-SA"/>
        </w:rPr>
        <w:t>承包人应承担施工安全保卫工作及非夜间施工照明的责任，承包人应采取一切合理的预防措施，防止人员伤亡、财产损失事故，费用由承包人承担。承包人生活设施及施工场应自费配备消防设备，防止火灾发生</w:t>
      </w:r>
      <w:r>
        <w:rPr>
          <w:rFonts w:hint="eastAsia" w:ascii="宋体" w:hAnsi="宋体" w:eastAsia="宋体" w:cs="宋体"/>
          <w:color w:val="auto"/>
          <w:kern w:val="2"/>
          <w:sz w:val="21"/>
          <w:szCs w:val="21"/>
          <w:highlight w:val="none"/>
          <w:lang w:val="en-US" w:eastAsia="zh-CN" w:bidi="ar-SA"/>
        </w:rPr>
        <w:t>。</w:t>
      </w:r>
    </w:p>
    <w:p w14:paraId="698963D0">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关于编制施工场地治安管理计划的约定：</w:t>
      </w:r>
      <w:r>
        <w:rPr>
          <w:rFonts w:hint="eastAsia" w:ascii="宋体" w:hAnsi="宋体" w:eastAsia="宋体" w:cs="宋体"/>
          <w:color w:val="auto"/>
          <w:kern w:val="2"/>
          <w:sz w:val="21"/>
          <w:szCs w:val="21"/>
          <w:highlight w:val="none"/>
          <w:u w:val="single"/>
          <w:lang w:val="en-US" w:eastAsia="zh-CN" w:bidi="ar-SA"/>
        </w:rPr>
        <w:t xml:space="preserve">  开工前7天内承包人编制施工场地治安管理计划和突发治安事件紧急预案</w:t>
      </w:r>
      <w:r>
        <w:rPr>
          <w:rFonts w:hint="eastAsia" w:ascii="宋体" w:hAnsi="宋体" w:eastAsia="宋体" w:cs="宋体"/>
          <w:color w:val="auto"/>
          <w:kern w:val="2"/>
          <w:sz w:val="21"/>
          <w:szCs w:val="21"/>
          <w:highlight w:val="none"/>
          <w:lang w:val="en-US" w:eastAsia="zh-CN" w:bidi="ar-SA"/>
        </w:rPr>
        <w:t>。</w:t>
      </w:r>
    </w:p>
    <w:p w14:paraId="5D5DFC86">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6.1.5 文明施工</w:t>
      </w:r>
    </w:p>
    <w:p w14:paraId="1881A521">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合同当事人对文明施工的要求：</w:t>
      </w:r>
      <w:r>
        <w:rPr>
          <w:rFonts w:hint="eastAsia" w:ascii="宋体" w:hAnsi="宋体" w:eastAsia="宋体" w:cs="宋体"/>
          <w:color w:val="auto"/>
          <w:kern w:val="2"/>
          <w:sz w:val="21"/>
          <w:szCs w:val="21"/>
          <w:highlight w:val="none"/>
          <w:u w:val="single"/>
          <w:lang w:val="en-US" w:eastAsia="zh-CN" w:bidi="ar-SA"/>
        </w:rPr>
        <w:t>按照国家及地方安全文明施工的有关规定执行</w:t>
      </w:r>
      <w:r>
        <w:rPr>
          <w:rFonts w:hint="eastAsia" w:ascii="宋体" w:hAnsi="宋体" w:eastAsia="宋体" w:cs="宋体"/>
          <w:color w:val="auto"/>
          <w:kern w:val="2"/>
          <w:sz w:val="21"/>
          <w:szCs w:val="21"/>
          <w:highlight w:val="none"/>
          <w:lang w:val="en-US" w:eastAsia="zh-CN" w:bidi="ar-SA"/>
        </w:rPr>
        <w:t>。</w:t>
      </w:r>
    </w:p>
    <w:p w14:paraId="114EB2F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eastAsia="宋体" w:cs="宋体"/>
          <w:color w:val="auto"/>
          <w:kern w:val="0"/>
          <w:highlight w:val="none"/>
        </w:rPr>
      </w:pPr>
      <w:r>
        <w:rPr>
          <w:rFonts w:hint="eastAsia" w:ascii="宋体" w:hAnsi="宋体" w:eastAsia="宋体" w:cs="宋体"/>
          <w:color w:val="auto"/>
          <w:szCs w:val="21"/>
          <w:highlight w:val="none"/>
        </w:rPr>
        <w:t>6.1.6 关于安全文明施工费支付比例和支付期限的约定：</w:t>
      </w:r>
      <w:r>
        <w:rPr>
          <w:rFonts w:hint="eastAsia" w:ascii="宋体" w:hAnsi="宋体" w:eastAsia="宋体" w:cs="宋体"/>
          <w:color w:val="auto"/>
          <w:kern w:val="0"/>
          <w:highlight w:val="none"/>
          <w:u w:val="single"/>
        </w:rPr>
        <w:t>专款专用</w:t>
      </w:r>
      <w:r>
        <w:rPr>
          <w:rFonts w:hint="eastAsia" w:ascii="宋体" w:hAnsi="宋体" w:eastAsia="宋体" w:cs="宋体"/>
          <w:color w:val="auto"/>
          <w:kern w:val="0"/>
          <w:highlight w:val="none"/>
        </w:rPr>
        <w:t>。具体按《广西壮族自治区建筑工程安全防护、文明施工措施费及管理细则》（桂建质〔2006〕22号）和</w:t>
      </w:r>
      <w:r>
        <w:rPr>
          <w:rFonts w:hint="eastAsia" w:ascii="宋体" w:hAnsi="宋体" w:eastAsia="宋体" w:cs="宋体"/>
          <w:color w:val="auto"/>
          <w:szCs w:val="24"/>
          <w:highlight w:val="none"/>
          <w:u w:val="single"/>
        </w:rPr>
        <w:t>桂林市建规[2007]131号文及市建规[2008]224号文</w:t>
      </w:r>
      <w:r>
        <w:rPr>
          <w:rFonts w:hint="eastAsia" w:ascii="宋体" w:hAnsi="宋体" w:eastAsia="宋体" w:cs="宋体"/>
          <w:color w:val="auto"/>
          <w:kern w:val="0"/>
          <w:highlight w:val="none"/>
        </w:rPr>
        <w:t>相关规定执行。</w:t>
      </w:r>
    </w:p>
    <w:p w14:paraId="4548B360">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2"/>
          <w:highlight w:val="none"/>
          <w:lang w:val="en-US" w:eastAsia="zh-CN" w:bidi="ar-SA"/>
        </w:rPr>
        <w:t>（3）支付约定：</w:t>
      </w:r>
      <w:r>
        <w:rPr>
          <w:rFonts w:hint="eastAsia" w:ascii="宋体" w:hAnsi="宋体" w:eastAsia="宋体" w:cs="宋体"/>
          <w:color w:val="auto"/>
          <w:kern w:val="2"/>
          <w:sz w:val="21"/>
          <w:szCs w:val="22"/>
          <w:highlight w:val="none"/>
          <w:u w:val="single"/>
          <w:lang w:val="en-US" w:eastAsia="zh-CN" w:bidi="ar-SA"/>
        </w:rPr>
        <w:t>具体按《广西壮族自治区建筑工程安全防护、文明施工措施费及管理细则》（桂建质〔2006〕22号）和桂林市建规[2007]131号文及市建规[2008]224号文相关规定执行。</w:t>
      </w:r>
      <w:r>
        <w:rPr>
          <w:rFonts w:hint="eastAsia" w:ascii="宋体" w:hAnsi="宋体" w:eastAsia="宋体" w:cs="宋体"/>
          <w:color w:val="auto"/>
          <w:kern w:val="2"/>
          <w:sz w:val="21"/>
          <w:szCs w:val="21"/>
          <w:highlight w:val="none"/>
          <w:lang w:val="en-US" w:eastAsia="zh-CN" w:bidi="ar-SA"/>
        </w:rPr>
        <w:t xml:space="preserve">  </w:t>
      </w:r>
    </w:p>
    <w:p w14:paraId="7084BCEC">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bookmarkStart w:id="706" w:name="_Toc418061332"/>
      <w:bookmarkStart w:id="707" w:name="_Toc418751817"/>
      <w:bookmarkStart w:id="708" w:name="_Toc418518131"/>
      <w:bookmarkStart w:id="709" w:name="_Toc418752263"/>
      <w:bookmarkStart w:id="710" w:name="_Toc497747199"/>
      <w:bookmarkStart w:id="711" w:name="_Toc373478368"/>
      <w:bookmarkStart w:id="712" w:name="_Toc497746802"/>
      <w:bookmarkStart w:id="713" w:name="_Toc418518367"/>
      <w:bookmarkStart w:id="714" w:name="_Toc403578955"/>
      <w:bookmarkStart w:id="715" w:name="_Toc373227721"/>
      <w:bookmarkStart w:id="716" w:name="_Toc389065287"/>
      <w:r>
        <w:rPr>
          <w:rFonts w:hint="eastAsia" w:ascii="宋体" w:hAnsi="宋体" w:eastAsia="宋体" w:cs="宋体"/>
          <w:color w:val="auto"/>
          <w:kern w:val="2"/>
          <w:sz w:val="21"/>
          <w:szCs w:val="21"/>
          <w:highlight w:val="none"/>
          <w:lang w:val="en-US" w:eastAsia="zh-CN" w:bidi="ar-SA"/>
        </w:rPr>
        <w:t>6.2职业健康</w:t>
      </w:r>
    </w:p>
    <w:p w14:paraId="5F391213">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6.2.3 扬尘防治：严格执行市住建【2016】71号《关于进一步加强全市建筑工地扬尘治理工作的通知》的相关规定。关于扬尘防治费支付比例和支付期限的约定为：</w:t>
      </w:r>
      <w:r>
        <w:rPr>
          <w:rFonts w:hint="eastAsia" w:ascii="宋体" w:hAnsi="宋体" w:eastAsia="宋体" w:cs="宋体"/>
          <w:color w:val="auto"/>
          <w:kern w:val="2"/>
          <w:sz w:val="21"/>
          <w:szCs w:val="21"/>
          <w:highlight w:val="none"/>
          <w:u w:val="single"/>
          <w:lang w:val="en-US" w:eastAsia="zh-CN" w:bidi="ar-SA"/>
        </w:rPr>
        <w:t>无</w:t>
      </w:r>
      <w:r>
        <w:rPr>
          <w:rFonts w:hint="eastAsia" w:ascii="宋体" w:hAnsi="宋体" w:eastAsia="宋体" w:cs="宋体"/>
          <w:color w:val="auto"/>
          <w:kern w:val="2"/>
          <w:sz w:val="21"/>
          <w:szCs w:val="22"/>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w:t>
      </w:r>
    </w:p>
    <w:p w14:paraId="3E0CE594">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6.3 环境保护</w:t>
      </w:r>
      <w:bookmarkEnd w:id="706"/>
      <w:bookmarkEnd w:id="707"/>
      <w:bookmarkEnd w:id="708"/>
      <w:bookmarkEnd w:id="709"/>
      <w:bookmarkEnd w:id="710"/>
      <w:bookmarkEnd w:id="711"/>
      <w:bookmarkEnd w:id="712"/>
      <w:bookmarkEnd w:id="713"/>
      <w:bookmarkEnd w:id="714"/>
      <w:bookmarkEnd w:id="715"/>
      <w:bookmarkEnd w:id="716"/>
      <w:r>
        <w:rPr>
          <w:rFonts w:hint="eastAsia" w:ascii="宋体" w:hAnsi="宋体" w:eastAsia="宋体" w:cs="宋体"/>
          <w:color w:val="auto"/>
          <w:kern w:val="2"/>
          <w:sz w:val="21"/>
          <w:szCs w:val="21"/>
          <w:highlight w:val="none"/>
          <w:lang w:val="en-US" w:eastAsia="zh-CN" w:bidi="ar-SA"/>
        </w:rPr>
        <w:t>因施工需要，经发包人批准，由承包人办理有关施工场地交通、环卫和施工噪音管理等手续，费用由承包人负责。</w:t>
      </w:r>
    </w:p>
    <w:p w14:paraId="18745C15">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经过城市道路的施工车辆，必须按交警、城管、运输等部门相关规定执行。由于施工车辆造成的道路、环境等污染，其责任和费用均由承包人承担。</w:t>
      </w:r>
    </w:p>
    <w:p w14:paraId="221967BF">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环保工作的约定：</w:t>
      </w:r>
      <w:r>
        <w:rPr>
          <w:rFonts w:hint="eastAsia" w:ascii="宋体" w:hAnsi="宋体" w:eastAsia="宋体" w:cs="宋体"/>
          <w:color w:val="auto"/>
          <w:kern w:val="2"/>
          <w:sz w:val="21"/>
          <w:szCs w:val="21"/>
          <w:highlight w:val="none"/>
          <w:u w:val="single"/>
          <w:lang w:val="en-US" w:eastAsia="zh-CN" w:bidi="ar-SA"/>
        </w:rPr>
        <w:t>承包人负责办理有关环保报批手续，并承担相应的费用。在施工期间对环境主要影响是机械声和废水、废渣、尘埃，对此承包人应采取相应的防治措施和严格管理，严格控制污染物排放，污染物排放前必须处理，达到排污标准后再排放。严禁把污染物直接排入江中。控制标准：《地面环境质量标准》GB3838-88Ⅱ。施工完毕后，承包人应及时将被破坏的场地，遵照监理工程师的指示进行清理、修正，并根据实际情况将场地恢复到原有状态，费用自理。</w:t>
      </w:r>
    </w:p>
    <w:bookmarkEnd w:id="670"/>
    <w:bookmarkEnd w:id="671"/>
    <w:bookmarkEnd w:id="672"/>
    <w:bookmarkEnd w:id="673"/>
    <w:bookmarkEnd w:id="674"/>
    <w:bookmarkEnd w:id="675"/>
    <w:bookmarkEnd w:id="676"/>
    <w:p w14:paraId="57CAF295">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bookmarkStart w:id="717" w:name="_Toc497747200"/>
      <w:bookmarkStart w:id="718" w:name="_Toc1895"/>
      <w:bookmarkStart w:id="719" w:name="_Toc403578956"/>
      <w:bookmarkStart w:id="720" w:name="_Toc373478369"/>
      <w:bookmarkStart w:id="721" w:name="_Toc418518132"/>
      <w:bookmarkStart w:id="722" w:name="_Toc522201751"/>
      <w:bookmarkStart w:id="723" w:name="_Toc418518368"/>
      <w:bookmarkStart w:id="724" w:name="_Toc418752264"/>
      <w:bookmarkStart w:id="725" w:name="_Toc497746803"/>
      <w:bookmarkStart w:id="726" w:name="_Toc256000201"/>
      <w:bookmarkStart w:id="727" w:name="_Toc389065288"/>
      <w:bookmarkStart w:id="728" w:name="_Toc373227722"/>
      <w:bookmarkStart w:id="729" w:name="_Toc351203639"/>
      <w:bookmarkStart w:id="730" w:name="_Toc418061333"/>
      <w:bookmarkStart w:id="731" w:name="_Toc418751818"/>
      <w:r>
        <w:rPr>
          <w:rFonts w:hint="eastAsia" w:ascii="宋体" w:hAnsi="宋体" w:eastAsia="宋体" w:cs="宋体"/>
          <w:b/>
          <w:bCs/>
          <w:color w:val="auto"/>
          <w:kern w:val="44"/>
          <w:sz w:val="21"/>
          <w:szCs w:val="21"/>
          <w:highlight w:val="none"/>
          <w:lang w:val="en-US" w:eastAsia="zh-CN" w:bidi="ar-SA"/>
        </w:rPr>
        <w:t>7. 工期和进度</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p w14:paraId="64900833">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732" w:name="_Toc418751819"/>
      <w:bookmarkStart w:id="733" w:name="_Toc373478370"/>
      <w:bookmarkStart w:id="734" w:name="_Toc497746804"/>
      <w:bookmarkStart w:id="735" w:name="_Toc418518369"/>
      <w:bookmarkStart w:id="736" w:name="_Toc418518133"/>
      <w:bookmarkStart w:id="737" w:name="_Toc27095"/>
      <w:bookmarkStart w:id="738" w:name="_Toc418752265"/>
      <w:bookmarkStart w:id="739" w:name="_Toc522201752"/>
      <w:bookmarkStart w:id="740" w:name="_Toc373227723"/>
      <w:bookmarkStart w:id="741" w:name="_Toc418061334"/>
      <w:bookmarkStart w:id="742" w:name="_Toc497747201"/>
      <w:bookmarkStart w:id="743" w:name="_Toc256000202"/>
      <w:bookmarkStart w:id="744" w:name="_Toc403578957"/>
      <w:bookmarkStart w:id="745" w:name="_Toc389065289"/>
      <w:r>
        <w:rPr>
          <w:rFonts w:hint="eastAsia" w:ascii="宋体" w:hAnsi="宋体" w:eastAsia="宋体" w:cs="宋体"/>
          <w:b/>
          <w:bCs/>
          <w:color w:val="auto"/>
          <w:kern w:val="44"/>
          <w:sz w:val="21"/>
          <w:szCs w:val="21"/>
          <w:highlight w:val="none"/>
          <w:lang w:val="en-US" w:eastAsia="zh-CN" w:bidi="ar-SA"/>
        </w:rPr>
        <w:t>7.1 施工组织设计</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p w14:paraId="52AC516F">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7.1.1 合同当事人约定的施工组织设计应包括的其他内容：</w:t>
      </w:r>
      <w:r>
        <w:rPr>
          <w:rFonts w:hint="eastAsia" w:ascii="宋体" w:hAnsi="宋体" w:eastAsia="宋体" w:cs="宋体"/>
          <w:color w:val="auto"/>
          <w:kern w:val="2"/>
          <w:sz w:val="21"/>
          <w:szCs w:val="21"/>
          <w:highlight w:val="none"/>
          <w:u w:val="single"/>
          <w:lang w:val="en-US" w:eastAsia="zh-CN" w:bidi="ar-SA"/>
        </w:rPr>
        <w:t>(1)管理人员名单，含职称、职务并附相关人员岗位证书等复印件；（2）施工进度计划包括总进度计划、分阶段和分项进度计划、设备材料人员进场计划；施工方案说明包括分部、分项工程或工程部位的名称及施工顺序和方法；（3）国家及地方有关规定应当提交的内容。</w:t>
      </w:r>
    </w:p>
    <w:p w14:paraId="44F165FA">
      <w:pPr>
        <w:widowControl w:val="0"/>
        <w:autoSpaceDE w:val="0"/>
        <w:autoSpaceDN w:val="0"/>
        <w:adjustRightInd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7.1.2 </w:t>
      </w:r>
      <w:r>
        <w:rPr>
          <w:rFonts w:hint="eastAsia" w:ascii="宋体" w:hAnsi="宋体" w:eastAsia="宋体" w:cs="宋体"/>
          <w:color w:val="auto"/>
          <w:kern w:val="0"/>
          <w:sz w:val="21"/>
          <w:szCs w:val="21"/>
          <w:highlight w:val="none"/>
          <w:lang w:val="en-US" w:eastAsia="zh-CN" w:bidi="ar-SA"/>
        </w:rPr>
        <w:t>施工组织设计的提交和修改</w:t>
      </w:r>
    </w:p>
    <w:p w14:paraId="71E39648">
      <w:pPr>
        <w:widowControl w:val="0"/>
        <w:autoSpaceDE w:val="0"/>
        <w:autoSpaceDN w:val="0"/>
        <w:adjustRightInd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承包人提交详细施工组织设计的期限的约定：</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u w:val="single"/>
          <w:lang w:val="en-US" w:eastAsia="zh-CN" w:bidi="ar-SA"/>
        </w:rPr>
        <w:t>合同签订后14天内，最迟不得晚于开工通知载明的开工日期前7天</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14:paraId="67888E63">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发包人和监理人在收到详细的施工组织设计后确认或提出修改意见的期限：</w:t>
      </w:r>
      <w:r>
        <w:rPr>
          <w:rFonts w:hint="eastAsia" w:ascii="宋体" w:hAnsi="宋体" w:eastAsia="宋体" w:cs="Times New Roman"/>
          <w:color w:val="auto"/>
          <w:kern w:val="2"/>
          <w:sz w:val="21"/>
          <w:szCs w:val="21"/>
          <w:highlight w:val="none"/>
          <w:u w:val="single"/>
          <w:lang w:val="en-US" w:eastAsia="zh-CN" w:bidi="ar-SA"/>
        </w:rPr>
        <w:t>收到施工组织设计后7天内确认或提出修改意见。</w:t>
      </w:r>
    </w:p>
    <w:p w14:paraId="57513338">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746" w:name="_Toc418061335"/>
      <w:bookmarkStart w:id="747" w:name="_Toc418751820"/>
      <w:bookmarkStart w:id="748" w:name="_Toc21755"/>
      <w:bookmarkStart w:id="749" w:name="_Toc418518134"/>
      <w:bookmarkStart w:id="750" w:name="_Toc373478371"/>
      <w:bookmarkStart w:id="751" w:name="_Toc497747202"/>
      <w:bookmarkStart w:id="752" w:name="_Toc418752266"/>
      <w:bookmarkStart w:id="753" w:name="_Toc418518370"/>
      <w:bookmarkStart w:id="754" w:name="_Toc373227724"/>
      <w:bookmarkStart w:id="755" w:name="_Toc389065290"/>
      <w:bookmarkStart w:id="756" w:name="_Toc497746805"/>
      <w:bookmarkStart w:id="757" w:name="_Toc256000203"/>
      <w:bookmarkStart w:id="758" w:name="_Toc403578958"/>
      <w:bookmarkStart w:id="759" w:name="_Toc522201753"/>
      <w:r>
        <w:rPr>
          <w:rFonts w:hint="eastAsia" w:ascii="宋体" w:hAnsi="宋体" w:eastAsia="宋体" w:cs="宋体"/>
          <w:b/>
          <w:bCs/>
          <w:color w:val="auto"/>
          <w:kern w:val="44"/>
          <w:sz w:val="21"/>
          <w:szCs w:val="21"/>
          <w:highlight w:val="none"/>
          <w:lang w:val="en-US" w:eastAsia="zh-CN" w:bidi="ar-SA"/>
        </w:rPr>
        <w:t>7</w:t>
      </w:r>
      <w:bookmarkStart w:id="760" w:name="_Toc312677479"/>
      <w:bookmarkStart w:id="761" w:name="_Toc304295541"/>
      <w:bookmarkStart w:id="762" w:name="_Toc297216173"/>
      <w:bookmarkStart w:id="763" w:name="_Toc303539123"/>
      <w:bookmarkStart w:id="764" w:name="_Toc312678005"/>
      <w:bookmarkStart w:id="765" w:name="_Toc300934966"/>
      <w:bookmarkStart w:id="766" w:name="_Toc297123514"/>
      <w:r>
        <w:rPr>
          <w:rFonts w:hint="eastAsia" w:ascii="宋体" w:hAnsi="宋体" w:eastAsia="宋体" w:cs="宋体"/>
          <w:b/>
          <w:bCs/>
          <w:color w:val="auto"/>
          <w:kern w:val="44"/>
          <w:sz w:val="21"/>
          <w:szCs w:val="21"/>
          <w:highlight w:val="none"/>
          <w:lang w:val="en-US" w:eastAsia="zh-CN" w:bidi="ar-SA"/>
        </w:rPr>
        <w:t>.2 施工进度计划</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p w14:paraId="1782D2D1">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7.2.2 施工进度计划的修订</w:t>
      </w:r>
    </w:p>
    <w:p w14:paraId="243BC579">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（1）发包人和监理人在收到修订的施工进度计划后确认或提出修改意见的期限：</w:t>
      </w:r>
      <w:r>
        <w:rPr>
          <w:rFonts w:hint="eastAsia" w:ascii="宋体" w:hAnsi="宋体" w:eastAsia="宋体" w:cs="宋体"/>
          <w:color w:val="auto"/>
          <w:kern w:val="2"/>
          <w:sz w:val="21"/>
          <w:szCs w:val="21"/>
          <w:highlight w:val="none"/>
          <w:u w:val="single"/>
          <w:lang w:val="en-US" w:eastAsia="zh-CN" w:bidi="ar-SA"/>
        </w:rPr>
        <w:t>自监理人收到承包人报送的相关进度计划后 7天内。</w:t>
      </w:r>
      <w:r>
        <w:rPr>
          <w:rFonts w:hint="eastAsia" w:ascii="宋体" w:hAnsi="宋体" w:eastAsia="宋体" w:cs="宋体"/>
          <w:color w:val="auto"/>
          <w:kern w:val="2"/>
          <w:sz w:val="21"/>
          <w:szCs w:val="21"/>
          <w:highlight w:val="none"/>
          <w:lang w:val="en-US" w:eastAsia="zh-CN" w:bidi="ar-SA"/>
        </w:rPr>
        <w:t xml:space="preserve"> </w:t>
      </w:r>
    </w:p>
    <w:p w14:paraId="39BCA877">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（2）承包人编制分阶段或分项施工进度计划和施工方案说明的内容：</w:t>
      </w:r>
      <w:r>
        <w:rPr>
          <w:rFonts w:hint="eastAsia" w:ascii="宋体" w:hAnsi="宋体" w:eastAsia="宋体" w:cs="宋体"/>
          <w:color w:val="auto"/>
          <w:kern w:val="2"/>
          <w:sz w:val="21"/>
          <w:szCs w:val="21"/>
          <w:highlight w:val="none"/>
          <w:u w:val="single"/>
          <w:lang w:val="en-US" w:eastAsia="zh-CN" w:bidi="ar-SA"/>
        </w:rPr>
        <w:t>包含但不限于月进度计划、原地面测量方案、不良地基处理方案等。</w:t>
      </w:r>
      <w:r>
        <w:rPr>
          <w:rFonts w:hint="eastAsia" w:ascii="宋体" w:hAnsi="宋体" w:eastAsia="宋体" w:cs="宋体"/>
          <w:color w:val="auto"/>
          <w:kern w:val="2"/>
          <w:sz w:val="21"/>
          <w:szCs w:val="21"/>
          <w:highlight w:val="none"/>
          <w:lang w:val="en-US" w:eastAsia="zh-CN" w:bidi="ar-SA"/>
        </w:rPr>
        <w:t xml:space="preserve"> </w:t>
      </w:r>
    </w:p>
    <w:p w14:paraId="30A63193">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（3） 承包人报送分阶段或分项施工进度计划和施工方案说明的期限： </w:t>
      </w:r>
      <w:r>
        <w:rPr>
          <w:rFonts w:hint="eastAsia" w:ascii="宋体" w:hAnsi="宋体" w:eastAsia="宋体" w:cs="宋体"/>
          <w:color w:val="auto"/>
          <w:kern w:val="2"/>
          <w:sz w:val="21"/>
          <w:szCs w:val="21"/>
          <w:highlight w:val="none"/>
          <w:u w:val="single"/>
          <w:lang w:val="en-US" w:eastAsia="zh-CN" w:bidi="ar-SA"/>
        </w:rPr>
        <w:t>月进度计划于上月 30 日前提交，分项施工进度计划和施工方案说明应不迟于该分项工程施工前14 天提交。</w:t>
      </w:r>
    </w:p>
    <w:p w14:paraId="2A960474">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767" w:name="_Toc403578959"/>
      <w:bookmarkStart w:id="768" w:name="_Toc418751821"/>
      <w:bookmarkStart w:id="769" w:name="_Toc418061336"/>
      <w:bookmarkStart w:id="770" w:name="_Toc373227725"/>
      <w:bookmarkStart w:id="771" w:name="_Toc389065291"/>
      <w:bookmarkStart w:id="772" w:name="_Toc497747203"/>
      <w:bookmarkStart w:id="773" w:name="_Toc522201754"/>
      <w:bookmarkStart w:id="774" w:name="_Toc497746806"/>
      <w:bookmarkStart w:id="775" w:name="_Toc30694"/>
      <w:bookmarkStart w:id="776" w:name="_Toc418518371"/>
      <w:bookmarkStart w:id="777" w:name="_Toc418518135"/>
      <w:bookmarkStart w:id="778" w:name="_Toc373478372"/>
      <w:bookmarkStart w:id="779" w:name="_Toc418752267"/>
      <w:bookmarkStart w:id="780" w:name="_Toc256000204"/>
      <w:r>
        <w:rPr>
          <w:rFonts w:hint="eastAsia" w:ascii="宋体" w:hAnsi="宋体" w:eastAsia="宋体" w:cs="宋体"/>
          <w:b/>
          <w:bCs/>
          <w:color w:val="auto"/>
          <w:kern w:val="44"/>
          <w:sz w:val="21"/>
          <w:szCs w:val="21"/>
          <w:highlight w:val="none"/>
          <w:lang w:val="en-US" w:eastAsia="zh-CN" w:bidi="ar-SA"/>
        </w:rPr>
        <w:t>7.3 开工</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14:paraId="6D00EBBC">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7.3.1 开工准备</w:t>
      </w:r>
    </w:p>
    <w:p w14:paraId="2511D0BE">
      <w:pPr>
        <w:widowControl w:val="0"/>
        <w:spacing w:line="380" w:lineRule="exact"/>
        <w:ind w:firstLine="525" w:firstLineChars="25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关于承包人提交</w:t>
      </w:r>
      <w:r>
        <w:rPr>
          <w:rFonts w:hint="eastAsia" w:ascii="宋体" w:hAnsi="宋体" w:eastAsia="宋体" w:cs="宋体"/>
          <w:color w:val="auto"/>
          <w:kern w:val="0"/>
          <w:sz w:val="21"/>
          <w:szCs w:val="21"/>
          <w:highlight w:val="none"/>
          <w:lang w:val="en-US" w:eastAsia="zh-CN" w:bidi="ar-SA"/>
        </w:rPr>
        <w:t>工程开工报审表的期限：</w:t>
      </w:r>
      <w:r>
        <w:rPr>
          <w:rFonts w:hint="eastAsia" w:ascii="宋体" w:hAnsi="宋体" w:eastAsia="宋体" w:cs="宋体"/>
          <w:color w:val="auto"/>
          <w:kern w:val="2"/>
          <w:sz w:val="21"/>
          <w:szCs w:val="21"/>
          <w:highlight w:val="none"/>
          <w:u w:val="single"/>
          <w:lang w:val="en-US" w:eastAsia="zh-CN" w:bidi="ar-SA"/>
        </w:rPr>
        <w:t xml:space="preserve">  7天   </w:t>
      </w:r>
      <w:r>
        <w:rPr>
          <w:rFonts w:hint="eastAsia" w:ascii="宋体" w:hAnsi="宋体" w:eastAsia="宋体" w:cs="宋体"/>
          <w:color w:val="auto"/>
          <w:kern w:val="2"/>
          <w:sz w:val="21"/>
          <w:szCs w:val="21"/>
          <w:highlight w:val="none"/>
          <w:lang w:val="en-US" w:eastAsia="zh-CN" w:bidi="ar-SA"/>
        </w:rPr>
        <w:t>。</w:t>
      </w:r>
    </w:p>
    <w:p w14:paraId="1F6BF33F">
      <w:pPr>
        <w:widowControl w:val="0"/>
        <w:spacing w:line="380" w:lineRule="exact"/>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关于发包人应完成的其他开工准备工作及期限：</w:t>
      </w:r>
      <w:r>
        <w:rPr>
          <w:rFonts w:hint="eastAsia" w:ascii="宋体" w:hAnsi="宋体" w:eastAsia="宋体" w:cs="宋体"/>
          <w:color w:val="auto"/>
          <w:kern w:val="2"/>
          <w:sz w:val="21"/>
          <w:szCs w:val="21"/>
          <w:highlight w:val="none"/>
          <w:u w:val="single"/>
          <w:lang w:val="en-US" w:eastAsia="zh-CN" w:bidi="ar-SA"/>
        </w:rPr>
        <w:t xml:space="preserve">   7天    </w:t>
      </w:r>
      <w:r>
        <w:rPr>
          <w:rFonts w:hint="eastAsia" w:ascii="宋体" w:hAnsi="宋体" w:eastAsia="宋体" w:cs="宋体"/>
          <w:color w:val="auto"/>
          <w:kern w:val="2"/>
          <w:sz w:val="21"/>
          <w:szCs w:val="21"/>
          <w:highlight w:val="none"/>
          <w:lang w:val="en-US" w:eastAsia="zh-CN" w:bidi="ar-SA"/>
        </w:rPr>
        <w:t>。</w:t>
      </w:r>
    </w:p>
    <w:p w14:paraId="09256455">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 xml:space="preserve"> 关于承包人应完成的其他开工准备工作及期限：</w:t>
      </w:r>
      <w:r>
        <w:rPr>
          <w:rFonts w:hint="eastAsia" w:ascii="宋体" w:hAnsi="宋体" w:eastAsia="宋体" w:cs="宋体"/>
          <w:color w:val="auto"/>
          <w:kern w:val="2"/>
          <w:sz w:val="21"/>
          <w:szCs w:val="21"/>
          <w:highlight w:val="none"/>
          <w:u w:val="single"/>
          <w:lang w:val="en-US" w:eastAsia="zh-CN" w:bidi="ar-SA"/>
        </w:rPr>
        <w:t xml:space="preserve">   7天   </w:t>
      </w:r>
      <w:r>
        <w:rPr>
          <w:rFonts w:hint="eastAsia" w:ascii="宋体" w:hAnsi="宋体" w:eastAsia="宋体" w:cs="宋体"/>
          <w:color w:val="auto"/>
          <w:kern w:val="2"/>
          <w:sz w:val="21"/>
          <w:szCs w:val="21"/>
          <w:highlight w:val="none"/>
          <w:lang w:val="en-US" w:eastAsia="zh-CN" w:bidi="ar-SA"/>
        </w:rPr>
        <w:t>。</w:t>
      </w:r>
    </w:p>
    <w:p w14:paraId="230A364B">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7.3.2 开工通知</w:t>
      </w:r>
    </w:p>
    <w:p w14:paraId="25C82ED7">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因发包人原因造成监理人未能在计划开工日期之日起</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天内发出开工通知的，承包人有权提出价格调整要求，或者解除合同。</w:t>
      </w:r>
    </w:p>
    <w:bookmarkEnd w:id="760"/>
    <w:bookmarkEnd w:id="761"/>
    <w:bookmarkEnd w:id="762"/>
    <w:bookmarkEnd w:id="763"/>
    <w:bookmarkEnd w:id="764"/>
    <w:bookmarkEnd w:id="765"/>
    <w:bookmarkEnd w:id="766"/>
    <w:p w14:paraId="5AC685F8">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781" w:name="_Toc20241"/>
      <w:bookmarkStart w:id="782" w:name="_Toc418751822"/>
      <w:bookmarkStart w:id="783" w:name="_Toc497747204"/>
      <w:bookmarkStart w:id="784" w:name="_Toc403578960"/>
      <w:bookmarkStart w:id="785" w:name="_Toc418752268"/>
      <w:bookmarkStart w:id="786" w:name="_Toc256000205"/>
      <w:bookmarkStart w:id="787" w:name="_Toc373227726"/>
      <w:bookmarkStart w:id="788" w:name="_Toc373478373"/>
      <w:bookmarkStart w:id="789" w:name="_Toc497746807"/>
      <w:bookmarkStart w:id="790" w:name="_Toc522201755"/>
      <w:bookmarkStart w:id="791" w:name="_Toc418518372"/>
      <w:bookmarkStart w:id="792" w:name="_Toc418518136"/>
      <w:bookmarkStart w:id="793" w:name="_Toc418061337"/>
      <w:bookmarkStart w:id="794" w:name="_Toc389065292"/>
      <w:r>
        <w:rPr>
          <w:rFonts w:hint="eastAsia" w:ascii="宋体" w:hAnsi="宋体" w:eastAsia="宋体" w:cs="宋体"/>
          <w:b/>
          <w:bCs/>
          <w:color w:val="auto"/>
          <w:kern w:val="44"/>
          <w:sz w:val="21"/>
          <w:szCs w:val="21"/>
          <w:highlight w:val="none"/>
          <w:lang w:val="en-US" w:eastAsia="zh-CN" w:bidi="ar-SA"/>
        </w:rPr>
        <w:t>7.4 测量放线</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p w14:paraId="1200684E">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7.4.1发包人通过监理人向承包人提供测量基准点、基准线和水准点及其书面资料的期限：</w:t>
      </w:r>
      <w:r>
        <w:rPr>
          <w:rFonts w:hint="eastAsia" w:ascii="宋体" w:hAnsi="宋体" w:eastAsia="宋体" w:cs="宋体"/>
          <w:color w:val="auto"/>
          <w:kern w:val="2"/>
          <w:sz w:val="21"/>
          <w:szCs w:val="21"/>
          <w:highlight w:val="none"/>
          <w:u w:val="single"/>
          <w:lang w:val="en-US" w:eastAsia="zh-CN" w:bidi="ar-SA"/>
        </w:rPr>
        <w:t>开工通知载明的开工日前 7 天，承包人进入工地后进行现场书面交桩。水准点、座标控制点交验完毕，即由承包人负责保护，此后由于破坏或失准带来的重新测量、放点费用及由此造成的其他损失均由承包人负担； 承包人应于开工通知后七天内现场校验，并根据国家测绘基准、测绘系统和工程测量技术规范，按上述基准点（线）以及合同工程精度要求，测设施工控制网，三方做好签认工作；承包人应于开工前3天，并在工程竣工后将施工控制网点移交发包人 。</w:t>
      </w:r>
    </w:p>
    <w:p w14:paraId="5F6F3E73">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795" w:name="_Toc418061338"/>
      <w:bookmarkStart w:id="796" w:name="_Toc389065293"/>
      <w:bookmarkStart w:id="797" w:name="_Toc403578961"/>
      <w:bookmarkStart w:id="798" w:name="_Toc497747205"/>
      <w:bookmarkStart w:id="799" w:name="_Toc418752269"/>
      <w:bookmarkStart w:id="800" w:name="_Toc373227727"/>
      <w:bookmarkStart w:id="801" w:name="_Toc418518373"/>
      <w:bookmarkStart w:id="802" w:name="_Toc762"/>
      <w:bookmarkStart w:id="803" w:name="_Toc497746808"/>
      <w:bookmarkStart w:id="804" w:name="_Toc256000206"/>
      <w:bookmarkStart w:id="805" w:name="_Toc418751823"/>
      <w:bookmarkStart w:id="806" w:name="_Toc522201756"/>
      <w:bookmarkStart w:id="807" w:name="_Toc373478374"/>
      <w:bookmarkStart w:id="808" w:name="_Toc418518137"/>
      <w:r>
        <w:rPr>
          <w:rFonts w:hint="eastAsia" w:ascii="宋体" w:hAnsi="宋体" w:eastAsia="宋体" w:cs="宋体"/>
          <w:b/>
          <w:bCs/>
          <w:color w:val="auto"/>
          <w:kern w:val="44"/>
          <w:sz w:val="21"/>
          <w:szCs w:val="21"/>
          <w:highlight w:val="none"/>
          <w:lang w:val="en-US" w:eastAsia="zh-CN" w:bidi="ar-SA"/>
        </w:rPr>
        <w:t>7</w:t>
      </w:r>
      <w:bookmarkStart w:id="809" w:name="_Toc312678010"/>
      <w:bookmarkStart w:id="810" w:name="_Toc300934968"/>
      <w:bookmarkStart w:id="811" w:name="_Toc297123516"/>
      <w:bookmarkStart w:id="812" w:name="_Toc297216175"/>
      <w:bookmarkStart w:id="813" w:name="_Toc304295546"/>
      <w:bookmarkStart w:id="814" w:name="_Toc303539125"/>
      <w:bookmarkStart w:id="815" w:name="_Toc312677484"/>
      <w:r>
        <w:rPr>
          <w:rFonts w:hint="eastAsia" w:ascii="宋体" w:hAnsi="宋体" w:eastAsia="宋体" w:cs="宋体"/>
          <w:b/>
          <w:bCs/>
          <w:color w:val="auto"/>
          <w:kern w:val="44"/>
          <w:sz w:val="21"/>
          <w:szCs w:val="21"/>
          <w:highlight w:val="none"/>
          <w:lang w:val="en-US" w:eastAsia="zh-CN" w:bidi="ar-SA"/>
        </w:rPr>
        <w:t>.5 工期延误</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bookmarkEnd w:id="809"/>
    <w:bookmarkEnd w:id="810"/>
    <w:bookmarkEnd w:id="811"/>
    <w:bookmarkEnd w:id="812"/>
    <w:bookmarkEnd w:id="813"/>
    <w:bookmarkEnd w:id="814"/>
    <w:bookmarkEnd w:id="815"/>
    <w:p w14:paraId="45BD3B9C">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7.5.1 因发包人原因导致工期延误</w:t>
      </w:r>
    </w:p>
    <w:p w14:paraId="5885926F">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（7）因发包人原因导致工期延误的其他情形：</w:t>
      </w:r>
      <w:r>
        <w:rPr>
          <w:rFonts w:hint="eastAsia" w:ascii="宋体" w:hAnsi="宋体" w:eastAsia="宋体" w:cs="宋体"/>
          <w:color w:val="auto"/>
          <w:kern w:val="2"/>
          <w:sz w:val="21"/>
          <w:szCs w:val="21"/>
          <w:highlight w:val="none"/>
          <w:u w:val="single"/>
          <w:lang w:val="en-US" w:eastAsia="zh-CN" w:bidi="ar-SA"/>
        </w:rPr>
        <w:t xml:space="preserve">无  </w:t>
      </w:r>
      <w:r>
        <w:rPr>
          <w:rFonts w:hint="eastAsia" w:ascii="宋体" w:hAnsi="宋体" w:eastAsia="宋体" w:cs="宋体"/>
          <w:color w:val="auto"/>
          <w:kern w:val="2"/>
          <w:sz w:val="21"/>
          <w:szCs w:val="21"/>
          <w:highlight w:val="none"/>
          <w:lang w:val="en-US" w:eastAsia="zh-CN" w:bidi="ar-SA"/>
        </w:rPr>
        <w:t>。</w:t>
      </w:r>
    </w:p>
    <w:p w14:paraId="04FE64DA">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w:t>
      </w:r>
      <w:bookmarkStart w:id="816" w:name="_Toc312678012"/>
      <w:bookmarkStart w:id="817" w:name="_Toc312677486"/>
      <w:bookmarkStart w:id="818" w:name="_Toc318581169"/>
      <w:bookmarkStart w:id="819" w:name="_Toc297216177"/>
      <w:bookmarkStart w:id="820" w:name="_Toc300934970"/>
      <w:bookmarkStart w:id="821" w:name="_Toc304295548"/>
      <w:bookmarkStart w:id="822" w:name="_Toc303539127"/>
      <w:bookmarkStart w:id="823" w:name="_Toc297123518"/>
      <w:r>
        <w:rPr>
          <w:rFonts w:hint="eastAsia" w:ascii="宋体" w:hAnsi="宋体" w:eastAsia="宋体" w:cs="宋体"/>
          <w:color w:val="auto"/>
          <w:kern w:val="2"/>
          <w:sz w:val="21"/>
          <w:szCs w:val="21"/>
          <w:highlight w:val="none"/>
          <w:lang w:val="en-US" w:eastAsia="zh-CN" w:bidi="ar-SA"/>
        </w:rPr>
        <w:t>.5.2 因承包人原因导致工期延误</w:t>
      </w:r>
    </w:p>
    <w:bookmarkEnd w:id="816"/>
    <w:bookmarkEnd w:id="817"/>
    <w:bookmarkEnd w:id="818"/>
    <w:p w14:paraId="21D40D0B">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双方约定经监理工程师确认，工期相应顺延的情况：</w:t>
      </w:r>
      <w:r>
        <w:rPr>
          <w:rFonts w:hint="eastAsia" w:ascii="宋体" w:hAnsi="宋体" w:eastAsia="宋体" w:cs="宋体"/>
          <w:color w:val="auto"/>
          <w:kern w:val="2"/>
          <w:sz w:val="21"/>
          <w:szCs w:val="21"/>
          <w:highlight w:val="none"/>
          <w:u w:val="single"/>
          <w:lang w:val="en-US" w:eastAsia="zh-CN" w:bidi="ar-SA"/>
        </w:rPr>
        <w:t xml:space="preserve">  本项目在签订施工合同后至2025年9月1日前须完工，如因学校正常开学及教学导致停工而影响工期的，经双方协商合同工期可相应顺延，承包人须自行承担因工期顺延产生不利因素</w:t>
      </w:r>
      <w:r>
        <w:rPr>
          <w:rFonts w:hint="eastAsia" w:ascii="宋体" w:hAnsi="宋体" w:eastAsia="宋体" w:cs="宋体"/>
          <w:color w:val="auto"/>
          <w:kern w:val="2"/>
          <w:sz w:val="21"/>
          <w:szCs w:val="21"/>
          <w:highlight w:val="none"/>
          <w:lang w:val="en-US" w:eastAsia="zh-CN" w:bidi="ar-SA"/>
        </w:rPr>
        <w:t>。</w:t>
      </w:r>
    </w:p>
    <w:p w14:paraId="6A4ACC9D">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因</w:t>
      </w:r>
      <w:bookmarkStart w:id="824" w:name="_Toc318581170"/>
      <w:bookmarkStart w:id="825" w:name="_Toc312677487"/>
      <w:bookmarkStart w:id="826" w:name="_Toc312678013"/>
      <w:r>
        <w:rPr>
          <w:rFonts w:hint="eastAsia" w:ascii="宋体" w:hAnsi="宋体" w:eastAsia="宋体" w:cs="宋体"/>
          <w:color w:val="auto"/>
          <w:kern w:val="2"/>
          <w:sz w:val="21"/>
          <w:szCs w:val="21"/>
          <w:highlight w:val="none"/>
          <w:lang w:val="en-US" w:eastAsia="zh-CN" w:bidi="ar-SA"/>
        </w:rPr>
        <w:t>承包人原因造成工期延误，逾期竣工违约金的计算方法为：</w:t>
      </w:r>
      <w:r>
        <w:rPr>
          <w:rFonts w:hint="eastAsia" w:ascii="宋体" w:hAnsi="宋体" w:eastAsia="宋体" w:cs="宋体"/>
          <w:color w:val="auto"/>
          <w:kern w:val="2"/>
          <w:sz w:val="21"/>
          <w:szCs w:val="21"/>
          <w:highlight w:val="none"/>
          <w:u w:val="single"/>
          <w:lang w:val="en-US" w:eastAsia="zh-CN" w:bidi="ar-SA"/>
        </w:rPr>
        <w:t xml:space="preserve">非上述原因，承包人不能按合同约定的时间竣工，承包人应承担违约责任，并应向发包人支付误期赔偿费（每天赔偿金额为合同价款扣除发包人材料价款、暂估专业工程、暂列金额后的的万分之四），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如非承包人原因造成工期延误则承包人须在规定的时间内提出书面意见，逾期则视为承包人自行放弃。由于承包人原因造成本工程延期三个月的，除按上述标准赔偿给发包人外，发包人有权中止合同，并依法追究承包人的违约责任，由此造成的一切损失均由责任人负责。 </w:t>
      </w:r>
    </w:p>
    <w:bookmarkEnd w:id="819"/>
    <w:bookmarkEnd w:id="820"/>
    <w:bookmarkEnd w:id="821"/>
    <w:bookmarkEnd w:id="822"/>
    <w:bookmarkEnd w:id="823"/>
    <w:bookmarkEnd w:id="824"/>
    <w:bookmarkEnd w:id="825"/>
    <w:bookmarkEnd w:id="826"/>
    <w:p w14:paraId="49C49EB2">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因承包人原因造成工期延误，逾</w:t>
      </w:r>
      <w:bookmarkStart w:id="827" w:name="_Toc318581171"/>
      <w:bookmarkStart w:id="828" w:name="_Toc312678014"/>
      <w:r>
        <w:rPr>
          <w:rFonts w:hint="eastAsia" w:ascii="宋体" w:hAnsi="宋体" w:eastAsia="宋体" w:cs="宋体"/>
          <w:color w:val="auto"/>
          <w:kern w:val="2"/>
          <w:sz w:val="21"/>
          <w:szCs w:val="21"/>
          <w:highlight w:val="none"/>
          <w:lang w:val="en-US" w:eastAsia="zh-CN" w:bidi="ar-SA"/>
        </w:rPr>
        <w:t>期竣工违约金的上限：</w:t>
      </w:r>
      <w:r>
        <w:rPr>
          <w:rFonts w:hint="eastAsia" w:ascii="宋体" w:hAnsi="宋体" w:eastAsia="宋体" w:cs="宋体"/>
          <w:color w:val="auto"/>
          <w:kern w:val="2"/>
          <w:sz w:val="21"/>
          <w:szCs w:val="21"/>
          <w:highlight w:val="none"/>
          <w:u w:val="single"/>
          <w:lang w:val="en-US" w:eastAsia="zh-CN" w:bidi="ar-SA"/>
        </w:rPr>
        <w:t>结算</w:t>
      </w:r>
      <w:r>
        <w:rPr>
          <w:rFonts w:hint="default" w:ascii="宋体" w:hAnsi="宋体" w:eastAsia="宋体" w:cs="宋体"/>
          <w:color w:val="auto"/>
          <w:kern w:val="2"/>
          <w:sz w:val="21"/>
          <w:szCs w:val="21"/>
          <w:highlight w:val="none"/>
          <w:u w:val="single"/>
          <w:lang w:val="en-US" w:eastAsia="zh-CN" w:bidi="ar-SA"/>
        </w:rPr>
        <w:t>总</w:t>
      </w:r>
      <w:r>
        <w:rPr>
          <w:rFonts w:hint="eastAsia" w:ascii="宋体" w:hAnsi="宋体" w:eastAsia="宋体" w:cs="宋体"/>
          <w:color w:val="auto"/>
          <w:kern w:val="2"/>
          <w:sz w:val="21"/>
          <w:szCs w:val="21"/>
          <w:highlight w:val="none"/>
          <w:u w:val="single"/>
          <w:lang w:val="en-US" w:eastAsia="zh-CN" w:bidi="ar-SA"/>
        </w:rPr>
        <w:t>价的3%</w:t>
      </w:r>
      <w:r>
        <w:rPr>
          <w:rFonts w:hint="eastAsia" w:ascii="宋体" w:hAnsi="宋体" w:eastAsia="宋体" w:cs="宋体"/>
          <w:color w:val="auto"/>
          <w:kern w:val="2"/>
          <w:sz w:val="21"/>
          <w:szCs w:val="21"/>
          <w:highlight w:val="none"/>
          <w:lang w:val="en-US" w:eastAsia="zh-CN" w:bidi="ar-SA"/>
        </w:rPr>
        <w:t>。</w:t>
      </w:r>
    </w:p>
    <w:bookmarkEnd w:id="827"/>
    <w:bookmarkEnd w:id="828"/>
    <w:p w14:paraId="749E59E2">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829" w:name="_Toc418518138"/>
      <w:bookmarkStart w:id="830" w:name="_Toc403578962"/>
      <w:bookmarkStart w:id="831" w:name="_Toc256000207"/>
      <w:bookmarkStart w:id="832" w:name="_Toc3953"/>
      <w:bookmarkStart w:id="833" w:name="_Toc497746809"/>
      <w:bookmarkStart w:id="834" w:name="_Toc418752270"/>
      <w:bookmarkStart w:id="835" w:name="_Toc373227728"/>
      <w:bookmarkStart w:id="836" w:name="_Toc418061339"/>
      <w:bookmarkStart w:id="837" w:name="_Toc497747206"/>
      <w:bookmarkStart w:id="838" w:name="_Toc373478375"/>
      <w:bookmarkStart w:id="839" w:name="_Toc418751824"/>
      <w:bookmarkStart w:id="840" w:name="_Toc389065294"/>
      <w:bookmarkStart w:id="841" w:name="_Toc418518374"/>
      <w:bookmarkStart w:id="842" w:name="_Toc522201757"/>
      <w:r>
        <w:rPr>
          <w:rFonts w:hint="eastAsia" w:ascii="宋体" w:hAnsi="宋体" w:eastAsia="宋体" w:cs="宋体"/>
          <w:b/>
          <w:bCs/>
          <w:color w:val="auto"/>
          <w:kern w:val="44"/>
          <w:sz w:val="21"/>
          <w:szCs w:val="21"/>
          <w:highlight w:val="none"/>
          <w:lang w:val="en-US" w:eastAsia="zh-CN" w:bidi="ar-SA"/>
        </w:rPr>
        <w:t>7</w:t>
      </w:r>
      <w:bookmarkStart w:id="843" w:name="_Toc304295549"/>
      <w:bookmarkStart w:id="844" w:name="_Toc297123519"/>
      <w:bookmarkStart w:id="845" w:name="_Toc300934971"/>
      <w:bookmarkStart w:id="846" w:name="_Toc297216178"/>
      <w:bookmarkStart w:id="847" w:name="_Toc303539128"/>
      <w:bookmarkStart w:id="848" w:name="_Toc312678015"/>
      <w:r>
        <w:rPr>
          <w:rFonts w:hint="eastAsia" w:ascii="宋体" w:hAnsi="宋体" w:eastAsia="宋体" w:cs="宋体"/>
          <w:b/>
          <w:bCs/>
          <w:color w:val="auto"/>
          <w:kern w:val="44"/>
          <w:sz w:val="21"/>
          <w:szCs w:val="21"/>
          <w:highlight w:val="none"/>
          <w:lang w:val="en-US" w:eastAsia="zh-CN" w:bidi="ar-SA"/>
        </w:rPr>
        <w:t>.6 不</w:t>
      </w:r>
      <w:bookmarkEnd w:id="843"/>
      <w:bookmarkEnd w:id="844"/>
      <w:bookmarkEnd w:id="845"/>
      <w:bookmarkEnd w:id="846"/>
      <w:bookmarkEnd w:id="847"/>
      <w:bookmarkEnd w:id="848"/>
      <w:r>
        <w:rPr>
          <w:rFonts w:hint="eastAsia" w:ascii="宋体" w:hAnsi="宋体" w:eastAsia="宋体" w:cs="宋体"/>
          <w:b/>
          <w:bCs/>
          <w:color w:val="auto"/>
          <w:kern w:val="44"/>
          <w:sz w:val="21"/>
          <w:szCs w:val="21"/>
          <w:highlight w:val="none"/>
          <w:lang w:val="en-US" w:eastAsia="zh-CN" w:bidi="ar-SA"/>
        </w:rPr>
        <w:t>利物质条件</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p w14:paraId="34A56010">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bookmarkStart w:id="849" w:name="_Toc318581172"/>
      <w:bookmarkStart w:id="850" w:name="_Toc312678016"/>
      <w:bookmarkStart w:id="851" w:name="_Toc304295550"/>
      <w:bookmarkStart w:id="852" w:name="_Toc297216179"/>
      <w:bookmarkStart w:id="853" w:name="_Toc297123520"/>
      <w:bookmarkStart w:id="854" w:name="_Toc300934972"/>
      <w:bookmarkStart w:id="855" w:name="_Toc303539129"/>
      <w:r>
        <w:rPr>
          <w:rFonts w:hint="eastAsia" w:ascii="宋体" w:hAnsi="宋体" w:eastAsia="宋体" w:cs="宋体"/>
          <w:color w:val="auto"/>
          <w:kern w:val="2"/>
          <w:sz w:val="21"/>
          <w:szCs w:val="21"/>
          <w:highlight w:val="none"/>
          <w:lang w:val="en-US" w:eastAsia="zh-CN" w:bidi="ar-SA"/>
        </w:rPr>
        <w:t>不利物质条件的其他情形和有关约定：</w:t>
      </w:r>
      <w:r>
        <w:rPr>
          <w:rFonts w:hint="eastAsia" w:ascii="宋体" w:hAnsi="宋体" w:eastAsia="宋体" w:cs="宋体"/>
          <w:color w:val="auto"/>
          <w:kern w:val="2"/>
          <w:sz w:val="21"/>
          <w:szCs w:val="21"/>
          <w:highlight w:val="none"/>
          <w:u w:val="single"/>
          <w:lang w:val="en-US" w:eastAsia="zh-CN" w:bidi="ar-SA"/>
        </w:rPr>
        <w:t xml:space="preserve">  一周内非承包人原因，停水、停电、停气造成停工连续超过8小时；重大设计变更和工程量增加；发包人手续不全致使施工不能正常进行；发包人未能按约定时间支付工程款致使施工不能正常进行的；非承包人原因的政府及发包人有关的停工通知，以上不利物质条件延误工期的相应延长工期，因发包人原因给承包人造成损失的由发包人相应赔偿承包人，属政府和环境等原因的，双方协商处理</w:t>
      </w:r>
      <w:r>
        <w:rPr>
          <w:rFonts w:hint="eastAsia" w:ascii="宋体" w:hAnsi="宋体" w:eastAsia="宋体" w:cs="宋体"/>
          <w:color w:val="auto"/>
          <w:kern w:val="2"/>
          <w:sz w:val="21"/>
          <w:szCs w:val="21"/>
          <w:highlight w:val="none"/>
          <w:lang w:val="en-US" w:eastAsia="zh-CN" w:bidi="ar-SA"/>
        </w:rPr>
        <w:t>。</w:t>
      </w:r>
    </w:p>
    <w:bookmarkEnd w:id="849"/>
    <w:bookmarkEnd w:id="850"/>
    <w:bookmarkEnd w:id="851"/>
    <w:bookmarkEnd w:id="852"/>
    <w:bookmarkEnd w:id="853"/>
    <w:bookmarkEnd w:id="854"/>
    <w:bookmarkEnd w:id="855"/>
    <w:p w14:paraId="7B12DBFC">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856" w:name="_Toc418518139"/>
      <w:bookmarkStart w:id="857" w:name="_Toc497746810"/>
      <w:bookmarkStart w:id="858" w:name="_Toc418752271"/>
      <w:bookmarkStart w:id="859" w:name="_Toc403578963"/>
      <w:bookmarkStart w:id="860" w:name="_Toc373227729"/>
      <w:bookmarkStart w:id="861" w:name="_Toc418518375"/>
      <w:bookmarkStart w:id="862" w:name="_Toc418751825"/>
      <w:bookmarkStart w:id="863" w:name="_Toc13353"/>
      <w:bookmarkStart w:id="864" w:name="_Toc256000208"/>
      <w:bookmarkStart w:id="865" w:name="_Toc522201758"/>
      <w:bookmarkStart w:id="866" w:name="_Toc418061340"/>
      <w:bookmarkStart w:id="867" w:name="_Toc389065295"/>
      <w:bookmarkStart w:id="868" w:name="_Toc497747207"/>
      <w:bookmarkStart w:id="869" w:name="_Toc373478376"/>
      <w:r>
        <w:rPr>
          <w:rFonts w:hint="eastAsia" w:ascii="宋体" w:hAnsi="宋体" w:eastAsia="宋体" w:cs="宋体"/>
          <w:b/>
          <w:bCs/>
          <w:color w:val="auto"/>
          <w:kern w:val="44"/>
          <w:sz w:val="21"/>
          <w:szCs w:val="21"/>
          <w:highlight w:val="none"/>
          <w:lang w:val="en-US" w:eastAsia="zh-CN" w:bidi="ar-SA"/>
        </w:rPr>
        <w:t>7</w:t>
      </w:r>
      <w:bookmarkStart w:id="870" w:name="_Toc312678017"/>
      <w:bookmarkStart w:id="871" w:name="_Toc303539130"/>
      <w:bookmarkStart w:id="872" w:name="_Toc300934973"/>
      <w:bookmarkStart w:id="873" w:name="_Toc297123521"/>
      <w:bookmarkStart w:id="874" w:name="_Toc297216180"/>
      <w:bookmarkStart w:id="875" w:name="_Toc304295551"/>
      <w:r>
        <w:rPr>
          <w:rFonts w:hint="eastAsia" w:ascii="宋体" w:hAnsi="宋体" w:eastAsia="宋体" w:cs="宋体"/>
          <w:b/>
          <w:bCs/>
          <w:color w:val="auto"/>
          <w:kern w:val="44"/>
          <w:sz w:val="21"/>
          <w:szCs w:val="21"/>
          <w:highlight w:val="none"/>
          <w:lang w:val="en-US" w:eastAsia="zh-CN" w:bidi="ar-SA"/>
        </w:rPr>
        <w:t>.7 异常恶劣的气候条件</w:t>
      </w:r>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p>
    <w:bookmarkEnd w:id="870"/>
    <w:bookmarkEnd w:id="871"/>
    <w:bookmarkEnd w:id="872"/>
    <w:bookmarkEnd w:id="873"/>
    <w:bookmarkEnd w:id="874"/>
    <w:bookmarkEnd w:id="875"/>
    <w:p w14:paraId="0E74B75E">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发包人和承包人同意以下情形视为异常恶劣的气候条件：</w:t>
      </w:r>
    </w:p>
    <w:p w14:paraId="395D6AF6">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bookmarkStart w:id="876" w:name="_Toc389065296"/>
      <w:bookmarkStart w:id="877" w:name="_Toc373478377"/>
      <w:bookmarkStart w:id="878" w:name="_Toc373227730"/>
      <w:bookmarkStart w:id="879" w:name="_Toc418518140"/>
      <w:bookmarkStart w:id="880" w:name="_Toc418518376"/>
      <w:bookmarkStart w:id="881" w:name="_Toc497746811"/>
      <w:bookmarkStart w:id="882" w:name="_Toc418751826"/>
      <w:bookmarkStart w:id="883" w:name="_Toc497747208"/>
      <w:bookmarkStart w:id="884" w:name="_Toc403578964"/>
      <w:bookmarkStart w:id="885" w:name="_Toc418061341"/>
      <w:bookmarkStart w:id="886" w:name="_Toc418752272"/>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u w:val="single"/>
          <w:lang w:val="en-US" w:eastAsia="zh-CN" w:bidi="ar-SA"/>
        </w:rPr>
        <w:t>10级以上持续1天的大风；</w:t>
      </w:r>
    </w:p>
    <w:p w14:paraId="33442685">
      <w:pPr>
        <w:widowControl w:val="0"/>
        <w:numPr>
          <w:ilvl w:val="0"/>
          <w:numId w:val="5"/>
        </w:numPr>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暴雨级以上持续2天的大雨；</w:t>
      </w:r>
    </w:p>
    <w:p w14:paraId="1824D711">
      <w:pPr>
        <w:widowControl w:val="0"/>
        <w:numPr>
          <w:ilvl w:val="0"/>
          <w:numId w:val="5"/>
        </w:numPr>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Times New Roman"/>
          <w:color w:val="auto"/>
          <w:kern w:val="2"/>
          <w:sz w:val="21"/>
          <w:szCs w:val="21"/>
          <w:highlight w:val="none"/>
          <w:u w:val="single"/>
          <w:lang w:val="en-US" w:eastAsia="zh-CN" w:bidi="ar-SA"/>
        </w:rPr>
        <w:t>当地6级以上的破坏性地震；</w:t>
      </w:r>
    </w:p>
    <w:p w14:paraId="4F9AB68A">
      <w:pPr>
        <w:widowControl w:val="0"/>
        <w:numPr>
          <w:ilvl w:val="0"/>
          <w:numId w:val="5"/>
        </w:numPr>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50年以上未发生过的持续2天的高温天气；</w:t>
      </w:r>
    </w:p>
    <w:p w14:paraId="42D67998">
      <w:pPr>
        <w:widowControl w:val="0"/>
        <w:numPr>
          <w:ilvl w:val="0"/>
          <w:numId w:val="5"/>
        </w:numPr>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50年以上未发生的持续2天的低温天气。</w:t>
      </w:r>
    </w:p>
    <w:p w14:paraId="22356E70">
      <w:pPr>
        <w:widowControl w:val="0"/>
        <w:spacing w:line="380" w:lineRule="exact"/>
        <w:ind w:firstLine="630" w:firstLineChars="3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施工场地受淹超过发包人提供设计图纸指明的设计洪水位以及因天气原因无法施工并经监理确认引起延误的情况。承包人有权要求发包人延长工期, 但对上述几种情形，对工程施工造成影响和灾害的，需提供政府相关部门对不可抗力认定的证明材料为依据。</w:t>
      </w:r>
    </w:p>
    <w:p w14:paraId="76B04CBD">
      <w:pPr>
        <w:widowControl w:val="0"/>
        <w:spacing w:line="380" w:lineRule="exact"/>
        <w:jc w:val="left"/>
        <w:rPr>
          <w:rFonts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7.8暂停施工</w:t>
      </w:r>
    </w:p>
    <w:p w14:paraId="2E37FC91">
      <w:pPr>
        <w:widowControl w:val="0"/>
        <w:spacing w:line="380" w:lineRule="exact"/>
        <w:ind w:firstLine="0" w:firstLineChars="0"/>
        <w:jc w:val="both"/>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7.8.2承包人原因引起的暂停施工</w:t>
      </w:r>
    </w:p>
    <w:p w14:paraId="48ED1A51">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承包人承担暂停施工责任的其他情形：</w:t>
      </w:r>
      <w:r>
        <w:rPr>
          <w:rFonts w:hint="eastAsia" w:ascii="宋体" w:hAnsi="宋体" w:eastAsia="宋体" w:cs="宋体"/>
          <w:color w:val="auto"/>
          <w:kern w:val="2"/>
          <w:sz w:val="21"/>
          <w:szCs w:val="21"/>
          <w:highlight w:val="none"/>
          <w:u w:val="single"/>
          <w:lang w:val="en-US" w:eastAsia="zh-CN" w:bidi="ar-SA"/>
        </w:rPr>
        <w:t>（1）监理工程师为保证工程质量和施工安全所指令的暂停施工；（2）因质量安全隐患或事故，被建设行政主管部门及安全生产监督责令暂停施工或自行暂停施工；（3）因承包人违反规范或任何工程质量不合格而进行返工、重建、修建的工期；（4）未按设计要求进行施工、或因施工组织方案不可行导致发包人未能按时审批而影响开工的；（5）工程验收不合格发现存在质量问题或技术问题需要修改的；（6）承包人与发包人未能在约定时间内达成一致而暂停施工；（7）工程质量未达到等级标准要求，发包人要求承包人返工的；（8）承包人因农忙时期而暂停施工；综述其工期不予顺延，责任自负。</w:t>
      </w:r>
    </w:p>
    <w:p w14:paraId="443308EB">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因承包人责任暂停施工延误施工时机而导致遭遇不利条件物质条件和异常恶劣的气候条件、不可抗力造成的工期延误和费用增加由承包人承担。</w:t>
      </w:r>
    </w:p>
    <w:p w14:paraId="4EAC4F72">
      <w:pPr>
        <w:widowControl w:val="0"/>
        <w:spacing w:line="380" w:lineRule="exact"/>
        <w:ind w:firstLine="0" w:firstLineChars="0"/>
        <w:jc w:val="both"/>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7.8.5暂停施工后的复工</w:t>
      </w:r>
    </w:p>
    <w:p w14:paraId="1B014929">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u w:val="single"/>
          <w:lang w:val="en-US" w:eastAsia="zh-CN" w:bidi="ar-SA"/>
        </w:rPr>
        <w:t>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625B2B7A">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887" w:name="_Toc522201759"/>
      <w:bookmarkStart w:id="888" w:name="_Toc256000209"/>
      <w:bookmarkStart w:id="889" w:name="_Toc24473"/>
      <w:r>
        <w:rPr>
          <w:rFonts w:hint="eastAsia" w:ascii="宋体" w:hAnsi="宋体" w:eastAsia="宋体" w:cs="宋体"/>
          <w:b/>
          <w:bCs/>
          <w:color w:val="auto"/>
          <w:kern w:val="44"/>
          <w:sz w:val="21"/>
          <w:szCs w:val="21"/>
          <w:highlight w:val="none"/>
          <w:lang w:val="en-US" w:eastAsia="zh-CN" w:bidi="ar-SA"/>
        </w:rPr>
        <w:t>7.9 提前竣工</w:t>
      </w:r>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p>
    <w:p w14:paraId="388B89A6">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7.9.2提前竣工的奖励：</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w:t>
      </w:r>
    </w:p>
    <w:p w14:paraId="23B9F80B">
      <w:pPr>
        <w:keepNext/>
        <w:keepLines/>
        <w:widowControl w:val="0"/>
        <w:numPr>
          <w:ilvl w:val="0"/>
          <w:numId w:val="6"/>
        </w:numPr>
        <w:spacing w:line="380" w:lineRule="exact"/>
        <w:jc w:val="both"/>
        <w:outlineLvl w:val="0"/>
        <w:rPr>
          <w:rFonts w:ascii="宋体" w:hAnsi="宋体" w:eastAsia="宋体" w:cs="宋体"/>
          <w:b/>
          <w:bCs/>
          <w:color w:val="auto"/>
          <w:kern w:val="44"/>
          <w:sz w:val="21"/>
          <w:szCs w:val="21"/>
          <w:highlight w:val="none"/>
          <w:lang w:val="en-US" w:eastAsia="zh-CN" w:bidi="ar-SA"/>
        </w:rPr>
      </w:pPr>
      <w:bookmarkStart w:id="890" w:name="_Toc373227731"/>
      <w:bookmarkStart w:id="891" w:name="_Toc497747209"/>
      <w:bookmarkStart w:id="892" w:name="_Toc522201760"/>
      <w:bookmarkStart w:id="893" w:name="_Toc418061342"/>
      <w:bookmarkStart w:id="894" w:name="_Toc403578965"/>
      <w:bookmarkStart w:id="895" w:name="_Toc373478378"/>
      <w:bookmarkStart w:id="896" w:name="_Toc418518141"/>
      <w:bookmarkStart w:id="897" w:name="_Toc389065297"/>
      <w:bookmarkStart w:id="898" w:name="_Toc26800"/>
      <w:bookmarkStart w:id="899" w:name="_Toc418752273"/>
      <w:bookmarkStart w:id="900" w:name="_Toc351203640"/>
      <w:bookmarkStart w:id="901" w:name="_Toc418518377"/>
      <w:bookmarkStart w:id="902" w:name="_Toc256000210"/>
      <w:bookmarkStart w:id="903" w:name="_Toc497746812"/>
      <w:bookmarkStart w:id="904" w:name="_Toc418751827"/>
      <w:r>
        <w:rPr>
          <w:rFonts w:hint="eastAsia" w:ascii="宋体" w:hAnsi="宋体" w:eastAsia="宋体" w:cs="宋体"/>
          <w:b/>
          <w:bCs/>
          <w:color w:val="auto"/>
          <w:kern w:val="44"/>
          <w:sz w:val="21"/>
          <w:szCs w:val="21"/>
          <w:highlight w:val="none"/>
          <w:lang w:val="en-US" w:eastAsia="zh-CN" w:bidi="ar-SA"/>
        </w:rPr>
        <w:t>材料与设备</w:t>
      </w:r>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p w14:paraId="1D561317">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ascii="宋体" w:hAnsi="宋体" w:eastAsia="宋体" w:cs="宋体"/>
          <w:color w:val="auto"/>
          <w:kern w:val="2"/>
          <w:sz w:val="21"/>
          <w:szCs w:val="21"/>
          <w:highlight w:val="none"/>
          <w:lang w:val="en-US" w:eastAsia="zh-CN" w:bidi="ar-SA"/>
        </w:rPr>
        <w:t>承包人采购材料和设备的约定：</w:t>
      </w:r>
    </w:p>
    <w:bookmarkEnd w:id="646"/>
    <w:bookmarkEnd w:id="647"/>
    <w:bookmarkEnd w:id="648"/>
    <w:bookmarkEnd w:id="649"/>
    <w:bookmarkEnd w:id="650"/>
    <w:bookmarkEnd w:id="651"/>
    <w:bookmarkEnd w:id="652"/>
    <w:bookmarkEnd w:id="653"/>
    <w:bookmarkEnd w:id="654"/>
    <w:bookmarkEnd w:id="655"/>
    <w:p w14:paraId="1BE315F5">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905" w:name="_Toc418518378"/>
      <w:bookmarkStart w:id="906" w:name="_Toc418751828"/>
      <w:bookmarkStart w:id="907" w:name="_Toc389065298"/>
      <w:bookmarkStart w:id="908" w:name="_Toc418752274"/>
      <w:bookmarkStart w:id="909" w:name="_Toc403578966"/>
      <w:bookmarkStart w:id="910" w:name="_Toc418061343"/>
      <w:bookmarkStart w:id="911" w:name="_Toc497746813"/>
      <w:bookmarkStart w:id="912" w:name="_Toc25254"/>
      <w:bookmarkStart w:id="913" w:name="_Toc522201761"/>
      <w:bookmarkStart w:id="914" w:name="_Toc373227732"/>
      <w:bookmarkStart w:id="915" w:name="_Toc256000211"/>
      <w:bookmarkStart w:id="916" w:name="_Toc418518142"/>
      <w:bookmarkStart w:id="917" w:name="_Toc497747210"/>
      <w:bookmarkStart w:id="918" w:name="_Toc373478379"/>
      <w:r>
        <w:rPr>
          <w:rFonts w:hint="eastAsia" w:ascii="宋体" w:hAnsi="宋体" w:eastAsia="宋体" w:cs="宋体"/>
          <w:b/>
          <w:bCs/>
          <w:color w:val="auto"/>
          <w:kern w:val="44"/>
          <w:sz w:val="21"/>
          <w:szCs w:val="21"/>
          <w:highlight w:val="none"/>
          <w:lang w:val="en-US" w:eastAsia="zh-CN" w:bidi="ar-SA"/>
        </w:rPr>
        <w:t>8.2 承包人采购材料与工程设备</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p>
    <w:p w14:paraId="57D6EBA8">
      <w:pPr>
        <w:widowControl w:val="0"/>
        <w:autoSpaceDE w:val="0"/>
        <w:autoSpaceDN w:val="0"/>
        <w:adjustRightInd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除已标价工程量清单《发包人提供主要材料和工程设备一览表》（表-21）中明确的材料、工程设备外，由承包人负责材料和工程设备的采购、运输和保管。《</w:t>
      </w:r>
      <w:r>
        <w:rPr>
          <w:rFonts w:hint="eastAsia" w:ascii="宋体" w:hAnsi="宋体" w:eastAsia="宋体" w:cs="宋体"/>
          <w:color w:val="auto"/>
          <w:kern w:val="2"/>
          <w:sz w:val="21"/>
          <w:szCs w:val="21"/>
          <w:highlight w:val="none"/>
          <w:lang w:val="en-US" w:eastAsia="zh-CN" w:bidi="ar-SA"/>
        </w:rPr>
        <w:t>承包人提供主要材料和工程设备一览表》</w:t>
      </w:r>
      <w:r>
        <w:rPr>
          <w:rFonts w:hint="eastAsia" w:ascii="宋体" w:hAnsi="宋体" w:eastAsia="宋体" w:cs="宋体"/>
          <w:color w:val="auto"/>
          <w:kern w:val="0"/>
          <w:sz w:val="21"/>
          <w:szCs w:val="21"/>
          <w:highlight w:val="none"/>
          <w:lang w:val="en-US" w:eastAsia="zh-CN" w:bidi="ar-SA"/>
        </w:rPr>
        <w:t>（表-22）见已标价工程量清单。</w:t>
      </w:r>
    </w:p>
    <w:p w14:paraId="2746BCAE">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919" w:name="_Toc20164"/>
      <w:bookmarkStart w:id="920" w:name="_Toc418751829"/>
      <w:bookmarkStart w:id="921" w:name="_Toc522201762"/>
      <w:bookmarkStart w:id="922" w:name="_Toc403578967"/>
      <w:bookmarkStart w:id="923" w:name="_Toc418752275"/>
      <w:bookmarkStart w:id="924" w:name="_Toc497747211"/>
      <w:bookmarkStart w:id="925" w:name="_Toc373227733"/>
      <w:bookmarkStart w:id="926" w:name="_Toc256000212"/>
      <w:bookmarkStart w:id="927" w:name="_Toc418518379"/>
      <w:bookmarkStart w:id="928" w:name="_Toc418518143"/>
      <w:bookmarkStart w:id="929" w:name="_Toc373478380"/>
      <w:bookmarkStart w:id="930" w:name="_Toc389065299"/>
      <w:bookmarkStart w:id="931" w:name="_Toc418061344"/>
      <w:bookmarkStart w:id="932" w:name="_Toc497746814"/>
      <w:r>
        <w:rPr>
          <w:rFonts w:hint="eastAsia" w:ascii="宋体" w:hAnsi="宋体" w:eastAsia="宋体" w:cs="宋体"/>
          <w:b/>
          <w:bCs/>
          <w:color w:val="auto"/>
          <w:kern w:val="44"/>
          <w:sz w:val="21"/>
          <w:szCs w:val="21"/>
          <w:highlight w:val="none"/>
          <w:lang w:val="en-US" w:eastAsia="zh-CN" w:bidi="ar-SA"/>
        </w:rPr>
        <w:t>8</w:t>
      </w:r>
      <w:bookmarkStart w:id="933" w:name="_Toc297216186"/>
      <w:bookmarkStart w:id="934" w:name="_Toc297123527"/>
      <w:bookmarkStart w:id="935" w:name="_Toc296891207"/>
      <w:bookmarkStart w:id="936" w:name="_Toc300934979"/>
      <w:bookmarkStart w:id="937" w:name="_Toc297120467"/>
      <w:bookmarkStart w:id="938" w:name="_Toc296346668"/>
      <w:bookmarkStart w:id="939" w:name="_Toc312678019"/>
      <w:bookmarkStart w:id="940" w:name="_Toc296944506"/>
      <w:bookmarkStart w:id="941" w:name="_Toc280868654"/>
      <w:bookmarkStart w:id="942" w:name="_Toc296890995"/>
      <w:bookmarkStart w:id="943" w:name="_Toc304295556"/>
      <w:bookmarkStart w:id="944" w:name="_Toc296347166"/>
      <w:bookmarkStart w:id="945" w:name="_Toc312677493"/>
      <w:bookmarkStart w:id="946" w:name="_Toc292559372"/>
      <w:bookmarkStart w:id="947" w:name="_Toc296503167"/>
      <w:bookmarkStart w:id="948" w:name="_Toc297048353"/>
      <w:bookmarkStart w:id="949" w:name="_Toc292559877"/>
      <w:bookmarkStart w:id="950" w:name="_Toc303539136"/>
      <w:bookmarkStart w:id="951" w:name="_Toc280868656"/>
      <w:bookmarkStart w:id="952" w:name="_Toc280868655"/>
      <w:bookmarkStart w:id="953" w:name="_Toc267251424"/>
      <w:r>
        <w:rPr>
          <w:rFonts w:hint="eastAsia" w:ascii="宋体" w:hAnsi="宋体" w:eastAsia="宋体" w:cs="宋体"/>
          <w:b/>
          <w:bCs/>
          <w:color w:val="auto"/>
          <w:kern w:val="44"/>
          <w:sz w:val="21"/>
          <w:szCs w:val="21"/>
          <w:highlight w:val="none"/>
          <w:lang w:val="en-US" w:eastAsia="zh-CN" w:bidi="ar-SA"/>
        </w:rPr>
        <w:t>.4 材料与工程设备的保管与使用</w:t>
      </w:r>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p w14:paraId="4C24C11D">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8</w:t>
      </w:r>
      <w:bookmarkStart w:id="954" w:name="_Toc292559878"/>
      <w:bookmarkStart w:id="955" w:name="_Toc292559373"/>
      <w:bookmarkStart w:id="956" w:name="_Toc297048354"/>
      <w:bookmarkStart w:id="957" w:name="_Toc297120468"/>
      <w:bookmarkStart w:id="958" w:name="_Toc297216187"/>
      <w:bookmarkStart w:id="959" w:name="_Toc312677494"/>
      <w:bookmarkStart w:id="960" w:name="_Toc312678020"/>
      <w:bookmarkStart w:id="961" w:name="_Toc296347167"/>
      <w:bookmarkStart w:id="962" w:name="_Toc296890996"/>
      <w:bookmarkStart w:id="963" w:name="_Toc297123528"/>
      <w:bookmarkStart w:id="964" w:name="_Toc300934980"/>
      <w:bookmarkStart w:id="965" w:name="_Toc303539137"/>
      <w:bookmarkStart w:id="966" w:name="_Toc296944507"/>
      <w:bookmarkStart w:id="967" w:name="_Toc296346669"/>
      <w:bookmarkStart w:id="968" w:name="_Toc296891208"/>
      <w:bookmarkStart w:id="969" w:name="_Toc318581173"/>
      <w:bookmarkStart w:id="970" w:name="_Toc304295557"/>
      <w:bookmarkStart w:id="971" w:name="_Toc296503168"/>
      <w:r>
        <w:rPr>
          <w:rFonts w:hint="eastAsia" w:ascii="宋体" w:hAnsi="宋体" w:eastAsia="宋体" w:cs="宋体"/>
          <w:color w:val="auto"/>
          <w:kern w:val="2"/>
          <w:sz w:val="21"/>
          <w:szCs w:val="21"/>
          <w:highlight w:val="none"/>
          <w:lang w:val="en-US" w:eastAsia="zh-CN" w:bidi="ar-SA"/>
        </w:rPr>
        <w:t>.4.1发包人供应的材料设备的保管费用的承担：</w:t>
      </w:r>
      <w:r>
        <w:rPr>
          <w:rFonts w:hint="eastAsia" w:ascii="宋体" w:hAnsi="宋体" w:eastAsia="宋体" w:cs="宋体"/>
          <w:color w:val="auto"/>
          <w:kern w:val="2"/>
          <w:sz w:val="21"/>
          <w:szCs w:val="21"/>
          <w:highlight w:val="none"/>
          <w:u w:val="single"/>
          <w:lang w:val="en-US" w:eastAsia="zh-CN" w:bidi="ar-SA"/>
        </w:rPr>
        <w:t>发包人供应的材料和设备经三方验收合格后，保管费用由承包人承担</w:t>
      </w:r>
      <w:r>
        <w:rPr>
          <w:rFonts w:hint="eastAsia" w:ascii="宋体" w:hAnsi="宋体" w:eastAsia="宋体" w:cs="宋体"/>
          <w:color w:val="auto"/>
          <w:kern w:val="2"/>
          <w:sz w:val="21"/>
          <w:szCs w:val="21"/>
          <w:highlight w:val="none"/>
          <w:lang w:val="en-US" w:eastAsia="zh-CN" w:bidi="ar-SA"/>
        </w:rPr>
        <w:t>。</w:t>
      </w:r>
    </w:p>
    <w:bookmarkEnd w:id="954"/>
    <w:bookmarkEnd w:id="955"/>
    <w:p w14:paraId="4FAE35C0">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972" w:name="_Toc403578968"/>
      <w:bookmarkStart w:id="973" w:name="_Toc28507"/>
      <w:bookmarkStart w:id="974" w:name="_Toc418752276"/>
      <w:bookmarkStart w:id="975" w:name="_Toc373227734"/>
      <w:bookmarkStart w:id="976" w:name="_Toc418061345"/>
      <w:bookmarkStart w:id="977" w:name="_Toc418751830"/>
      <w:bookmarkStart w:id="978" w:name="_Toc373478381"/>
      <w:bookmarkStart w:id="979" w:name="_Toc389065300"/>
      <w:bookmarkStart w:id="980" w:name="_Toc256000213"/>
      <w:bookmarkStart w:id="981" w:name="_Toc497746815"/>
      <w:bookmarkStart w:id="982" w:name="_Toc497747212"/>
      <w:bookmarkStart w:id="983" w:name="_Toc418518144"/>
      <w:bookmarkStart w:id="984" w:name="_Toc522201763"/>
      <w:bookmarkStart w:id="985" w:name="_Toc418518380"/>
      <w:r>
        <w:rPr>
          <w:rFonts w:hint="eastAsia" w:ascii="宋体" w:hAnsi="宋体" w:eastAsia="宋体" w:cs="宋体"/>
          <w:b/>
          <w:bCs/>
          <w:color w:val="auto"/>
          <w:kern w:val="44"/>
          <w:sz w:val="21"/>
          <w:szCs w:val="21"/>
          <w:highlight w:val="none"/>
          <w:lang w:val="en-US" w:eastAsia="zh-CN" w:bidi="ar-SA"/>
        </w:rPr>
        <w:t>8.6 样品</w:t>
      </w:r>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p>
    <w:p w14:paraId="5AECCAAA">
      <w:pPr>
        <w:widowControl w:val="0"/>
        <w:autoSpaceDE w:val="0"/>
        <w:autoSpaceDN w:val="0"/>
        <w:adjustRightInd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8.6.1 样品的报送与封存</w:t>
      </w:r>
    </w:p>
    <w:p w14:paraId="33006FD9">
      <w:pPr>
        <w:widowControl w:val="0"/>
        <w:autoSpaceDE w:val="0"/>
        <w:autoSpaceDN w:val="0"/>
        <w:adjustRightInd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需要承包人报送样品的材料或工程设备，样品的种类、名称、规格、数量要求：</w:t>
      </w:r>
      <w:r>
        <w:rPr>
          <w:rFonts w:hint="eastAsia" w:ascii="宋体" w:hAnsi="宋体" w:eastAsia="宋体" w:cs="宋体"/>
          <w:color w:val="auto"/>
          <w:kern w:val="2"/>
          <w:sz w:val="21"/>
          <w:szCs w:val="21"/>
          <w:highlight w:val="none"/>
          <w:u w:val="single"/>
          <w:lang w:val="en-US" w:eastAsia="zh-CN" w:bidi="ar-SA"/>
        </w:rPr>
        <w:t>主要材料涉及品种、款式、颜色等方面内容的，承包人在进货前需将货物样品报送监理或发包人现场办公室，待设计及发包人确认样品，并封存样品后，承包人方可订货。除上述材料外采购文件和工程量清单中对材料、设备有档次或质量要求的，按采购文件和工程量清单确定；其他由合同各方协商确定。</w:t>
      </w:r>
    </w:p>
    <w:p w14:paraId="5BF5CEB4">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986" w:name="_Toc418061346"/>
      <w:bookmarkStart w:id="987" w:name="_Toc522201764"/>
      <w:bookmarkStart w:id="988" w:name="_Toc418518381"/>
      <w:bookmarkStart w:id="989" w:name="_Toc373227735"/>
      <w:bookmarkStart w:id="990" w:name="_Toc256000214"/>
      <w:bookmarkStart w:id="991" w:name="_Toc418518145"/>
      <w:bookmarkStart w:id="992" w:name="_Toc17908"/>
      <w:bookmarkStart w:id="993" w:name="_Toc418751831"/>
      <w:bookmarkStart w:id="994" w:name="_Toc389065301"/>
      <w:bookmarkStart w:id="995" w:name="_Toc497747213"/>
      <w:bookmarkStart w:id="996" w:name="_Toc497746816"/>
      <w:bookmarkStart w:id="997" w:name="_Toc373478382"/>
      <w:bookmarkStart w:id="998" w:name="_Toc403578969"/>
      <w:bookmarkStart w:id="999" w:name="_Toc418752277"/>
      <w:r>
        <w:rPr>
          <w:rFonts w:hint="eastAsia" w:ascii="宋体" w:hAnsi="宋体" w:eastAsia="宋体" w:cs="宋体"/>
          <w:b/>
          <w:bCs/>
          <w:color w:val="auto"/>
          <w:kern w:val="44"/>
          <w:sz w:val="21"/>
          <w:szCs w:val="21"/>
          <w:highlight w:val="none"/>
          <w:lang w:val="en-US" w:eastAsia="zh-CN" w:bidi="ar-SA"/>
        </w:rPr>
        <w:t>8.8 施工设备和临时设施</w:t>
      </w:r>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p>
    <w:p w14:paraId="32A5F45F">
      <w:pPr>
        <w:widowControl w:val="0"/>
        <w:autoSpaceDE w:val="0"/>
        <w:autoSpaceDN w:val="0"/>
        <w:adjustRightInd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8.8.1 承包人提供的施工设备和临时设施</w:t>
      </w:r>
    </w:p>
    <w:p w14:paraId="12BA8BBF">
      <w:pPr>
        <w:widowControl w:val="0"/>
        <w:autoSpaceDE w:val="0"/>
        <w:autoSpaceDN w:val="0"/>
        <w:adjustRightInd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5。</w:t>
      </w:r>
    </w:p>
    <w:p w14:paraId="3BCA10B1">
      <w:pPr>
        <w:widowControl w:val="0"/>
        <w:autoSpaceDE w:val="0"/>
        <w:autoSpaceDN w:val="0"/>
        <w:adjustRightInd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关于修建临时设施费用承担的约定：</w:t>
      </w:r>
    </w:p>
    <w:p w14:paraId="6F5C5F7E">
      <w:pPr>
        <w:widowControl w:val="0"/>
        <w:autoSpaceDE w:val="0"/>
        <w:autoSpaceDN w:val="0"/>
        <w:adjustRightInd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 xml:space="preserve">①承包人的临时用地（含项目部驻地等）租用费（含拆迁补偿）、临时用地的环保、恢复、临时用地的青苗补偿及地面附着物拆除等费用均由承包人负责，以上费用在投标报价中综合考虑。 </w:t>
      </w:r>
    </w:p>
    <w:p w14:paraId="5E2B6754">
      <w:pPr>
        <w:widowControl w:val="0"/>
        <w:autoSpaceDE w:val="0"/>
        <w:autoSpaceDN w:val="0"/>
        <w:adjustRightInd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 xml:space="preserve">②承包人负责合同实施期间其合同段内临时交通道路和交通设施的修建、维修、养护和交通管理工作，并承担一切费用。 </w:t>
      </w:r>
    </w:p>
    <w:p w14:paraId="7740CAD9">
      <w:pPr>
        <w:widowControl w:val="0"/>
        <w:autoSpaceDE w:val="0"/>
        <w:autoSpaceDN w:val="0"/>
        <w:adjustRightInd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 xml:space="preserve">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 </w:t>
      </w:r>
    </w:p>
    <w:p w14:paraId="7519B696">
      <w:pPr>
        <w:widowControl w:val="0"/>
        <w:autoSpaceDE w:val="0"/>
        <w:autoSpaceDN w:val="0"/>
        <w:adjustRightInd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④承包人在发包人拟开发区域内已经搭设的施工现场办公等临时设施，一旦发包人因开发需要，通知承包人搬迁、拆除的，承包人应无条件在规定期限内搬迁、拆除，发包人不另行支付搬迁、拆除等费用。承包人自行解决民工住宿问题，并承担因此而增加的交通费用、工人生产降效等相关费用。</w:t>
      </w:r>
    </w:p>
    <w:p w14:paraId="2EB0128C">
      <w:pPr>
        <w:widowControl w:val="0"/>
        <w:autoSpaceDE w:val="0"/>
        <w:autoSpaceDN w:val="0"/>
        <w:adjustRightInd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8.8.2 发包人提供的施工设备和临时设施</w:t>
      </w:r>
    </w:p>
    <w:p w14:paraId="0947E33E">
      <w:pPr>
        <w:widowControl w:val="0"/>
        <w:autoSpaceDE w:val="0"/>
        <w:autoSpaceDN w:val="0"/>
        <w:adjustRightInd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发包人提供的施工设备和临时设施：</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w:t>
      </w:r>
    </w:p>
    <w:p w14:paraId="36D2BCD4">
      <w:pPr>
        <w:widowControl w:val="0"/>
        <w:autoSpaceDE w:val="0"/>
        <w:autoSpaceDN w:val="0"/>
        <w:adjustRightInd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发包人提供的施工设备和临时设施的运行、维护、拆除、清运费用的承担人：</w:t>
      </w:r>
      <w:r>
        <w:rPr>
          <w:rFonts w:hint="eastAsia" w:ascii="宋体" w:hAnsi="宋体" w:eastAsia="宋体" w:cs="宋体"/>
          <w:color w:val="auto"/>
          <w:kern w:val="2"/>
          <w:sz w:val="21"/>
          <w:szCs w:val="21"/>
          <w:highlight w:val="none"/>
          <w:u w:val="single"/>
          <w:lang w:val="en-US" w:eastAsia="zh-CN" w:bidi="ar-SA"/>
        </w:rPr>
        <w:t xml:space="preserve">  承包人  </w:t>
      </w:r>
      <w:r>
        <w:rPr>
          <w:rFonts w:hint="eastAsia" w:ascii="宋体" w:hAnsi="宋体" w:eastAsia="宋体" w:cs="宋体"/>
          <w:color w:val="auto"/>
          <w:kern w:val="2"/>
          <w:sz w:val="21"/>
          <w:szCs w:val="21"/>
          <w:highlight w:val="none"/>
          <w:lang w:val="en-US" w:eastAsia="zh-CN" w:bidi="ar-SA"/>
        </w:rPr>
        <w:t>。</w:t>
      </w:r>
    </w:p>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p w14:paraId="101622DE">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bookmarkStart w:id="1000" w:name="_Toc9081"/>
      <w:bookmarkStart w:id="1001" w:name="_Toc418518146"/>
      <w:bookmarkStart w:id="1002" w:name="_Toc418518382"/>
      <w:bookmarkStart w:id="1003" w:name="_Toc497746817"/>
      <w:bookmarkStart w:id="1004" w:name="_Toc389065302"/>
      <w:bookmarkStart w:id="1005" w:name="_Toc418752278"/>
      <w:bookmarkStart w:id="1006" w:name="_Toc256000215"/>
      <w:bookmarkStart w:id="1007" w:name="_Toc351203641"/>
      <w:bookmarkStart w:id="1008" w:name="_Toc418061347"/>
      <w:bookmarkStart w:id="1009" w:name="_Toc373227736"/>
      <w:bookmarkStart w:id="1010" w:name="_Toc418751832"/>
      <w:bookmarkStart w:id="1011" w:name="_Toc522201765"/>
      <w:bookmarkStart w:id="1012" w:name="_Toc497747214"/>
      <w:bookmarkStart w:id="1013" w:name="_Toc403578970"/>
      <w:bookmarkStart w:id="1014" w:name="_Toc373478383"/>
      <w:r>
        <w:rPr>
          <w:rFonts w:hint="eastAsia" w:ascii="宋体" w:hAnsi="宋体" w:eastAsia="宋体" w:cs="宋体"/>
          <w:b/>
          <w:bCs/>
          <w:color w:val="auto"/>
          <w:kern w:val="44"/>
          <w:sz w:val="21"/>
          <w:szCs w:val="21"/>
          <w:highlight w:val="none"/>
          <w:lang w:val="en-US" w:eastAsia="zh-CN" w:bidi="ar-SA"/>
        </w:rPr>
        <w:t>9</w:t>
      </w:r>
      <w:bookmarkEnd w:id="951"/>
      <w:bookmarkEnd w:id="952"/>
      <w:bookmarkEnd w:id="953"/>
      <w:bookmarkStart w:id="1015" w:name="_Toc312677495"/>
      <w:bookmarkStart w:id="1016" w:name="_Toc304295559"/>
      <w:bookmarkStart w:id="1017" w:name="_Toc297216192"/>
      <w:bookmarkStart w:id="1018" w:name="_Toc312678021"/>
      <w:bookmarkStart w:id="1019" w:name="_Toc303539139"/>
      <w:bookmarkStart w:id="1020" w:name="_Toc300934982"/>
      <w:bookmarkStart w:id="1021" w:name="_Toc297123533"/>
      <w:bookmarkStart w:id="1022" w:name="_Toc296346674"/>
      <w:bookmarkStart w:id="1023" w:name="_Toc267251428"/>
      <w:bookmarkStart w:id="1024" w:name="_Toc296891213"/>
      <w:bookmarkStart w:id="1025" w:name="_Toc297048359"/>
      <w:bookmarkStart w:id="1026" w:name="_Toc296503173"/>
      <w:bookmarkStart w:id="1027" w:name="_Toc297120473"/>
      <w:bookmarkStart w:id="1028" w:name="_Toc292559883"/>
      <w:bookmarkStart w:id="1029" w:name="_Toc296944512"/>
      <w:bookmarkStart w:id="1030" w:name="_Toc296891001"/>
      <w:bookmarkStart w:id="1031" w:name="_Toc267251427"/>
      <w:bookmarkStart w:id="1032" w:name="_Toc292559378"/>
      <w:bookmarkStart w:id="1033" w:name="_Toc296347172"/>
      <w:r>
        <w:rPr>
          <w:rFonts w:hint="eastAsia" w:ascii="宋体" w:hAnsi="宋体" w:eastAsia="宋体" w:cs="宋体"/>
          <w:b/>
          <w:bCs/>
          <w:color w:val="auto"/>
          <w:kern w:val="44"/>
          <w:sz w:val="21"/>
          <w:szCs w:val="21"/>
          <w:highlight w:val="none"/>
          <w:lang w:val="en-US" w:eastAsia="zh-CN" w:bidi="ar-SA"/>
        </w:rPr>
        <w:t>. 试验与检验</w:t>
      </w:r>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p>
    <w:bookmarkEnd w:id="1015"/>
    <w:bookmarkEnd w:id="1016"/>
    <w:bookmarkEnd w:id="1017"/>
    <w:bookmarkEnd w:id="1018"/>
    <w:bookmarkEnd w:id="1019"/>
    <w:bookmarkEnd w:id="1020"/>
    <w:bookmarkEnd w:id="1021"/>
    <w:p w14:paraId="6EBE66D7">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1034" w:name="_Toc522201766"/>
      <w:bookmarkStart w:id="1035" w:name="_Toc418751833"/>
      <w:bookmarkStart w:id="1036" w:name="_Toc389065303"/>
      <w:bookmarkStart w:id="1037" w:name="_Toc418518147"/>
      <w:bookmarkStart w:id="1038" w:name="_Toc373478384"/>
      <w:bookmarkStart w:id="1039" w:name="_Toc418752279"/>
      <w:bookmarkStart w:id="1040" w:name="_Toc256000216"/>
      <w:bookmarkStart w:id="1041" w:name="_Toc418518383"/>
      <w:bookmarkStart w:id="1042" w:name="_Toc497746818"/>
      <w:bookmarkStart w:id="1043" w:name="_Toc373227737"/>
      <w:bookmarkStart w:id="1044" w:name="_Toc1963"/>
      <w:bookmarkStart w:id="1045" w:name="_Toc418061348"/>
      <w:bookmarkStart w:id="1046" w:name="_Toc403578971"/>
      <w:bookmarkStart w:id="1047" w:name="_Toc497747215"/>
      <w:r>
        <w:rPr>
          <w:rFonts w:hint="eastAsia" w:ascii="宋体" w:hAnsi="宋体" w:eastAsia="宋体" w:cs="宋体"/>
          <w:b/>
          <w:bCs/>
          <w:color w:val="auto"/>
          <w:kern w:val="44"/>
          <w:sz w:val="21"/>
          <w:szCs w:val="21"/>
          <w:highlight w:val="none"/>
          <w:lang w:val="en-US" w:eastAsia="zh-CN" w:bidi="ar-SA"/>
        </w:rPr>
        <w:t>9</w:t>
      </w:r>
      <w:bookmarkStart w:id="1048" w:name="_Toc312677496"/>
      <w:bookmarkStart w:id="1049" w:name="_Toc304295560"/>
      <w:bookmarkStart w:id="1050" w:name="_Toc297216193"/>
      <w:bookmarkStart w:id="1051" w:name="_Toc312678022"/>
      <w:bookmarkStart w:id="1052" w:name="_Toc300934983"/>
      <w:bookmarkStart w:id="1053" w:name="_Toc303539140"/>
      <w:bookmarkStart w:id="1054" w:name="_Toc297123534"/>
      <w:r>
        <w:rPr>
          <w:rFonts w:hint="eastAsia" w:ascii="宋体" w:hAnsi="宋体" w:eastAsia="宋体" w:cs="宋体"/>
          <w:b/>
          <w:bCs/>
          <w:color w:val="auto"/>
          <w:kern w:val="44"/>
          <w:sz w:val="21"/>
          <w:szCs w:val="21"/>
          <w:highlight w:val="none"/>
          <w:lang w:val="en-US" w:eastAsia="zh-CN" w:bidi="ar-SA"/>
        </w:rPr>
        <w:t>.1 试验设备与试验人员</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p>
    <w:bookmarkEnd w:id="1048"/>
    <w:bookmarkEnd w:id="1049"/>
    <w:bookmarkEnd w:id="1050"/>
    <w:bookmarkEnd w:id="1051"/>
    <w:bookmarkEnd w:id="1052"/>
    <w:bookmarkEnd w:id="1053"/>
    <w:bookmarkEnd w:id="1054"/>
    <w:p w14:paraId="40C60F63">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w:t>
      </w:r>
      <w:bookmarkStart w:id="1055" w:name="_Toc303539141"/>
      <w:bookmarkStart w:id="1056" w:name="_Toc312677497"/>
      <w:bookmarkStart w:id="1057" w:name="_Toc300934984"/>
      <w:bookmarkStart w:id="1058" w:name="_Toc297123535"/>
      <w:bookmarkStart w:id="1059" w:name="_Toc304295561"/>
      <w:bookmarkStart w:id="1060" w:name="_Toc297216194"/>
      <w:bookmarkStart w:id="1061" w:name="_Toc312678023"/>
      <w:bookmarkStart w:id="1062" w:name="_Toc318581174"/>
      <w:r>
        <w:rPr>
          <w:rFonts w:hint="eastAsia" w:ascii="宋体" w:hAnsi="宋体" w:eastAsia="宋体" w:cs="宋体"/>
          <w:color w:val="auto"/>
          <w:kern w:val="2"/>
          <w:sz w:val="21"/>
          <w:szCs w:val="21"/>
          <w:highlight w:val="none"/>
          <w:lang w:val="en-US" w:eastAsia="zh-CN" w:bidi="ar-SA"/>
        </w:rPr>
        <w:t>.1.2 试验设备</w:t>
      </w:r>
    </w:p>
    <w:bookmarkEnd w:id="1055"/>
    <w:bookmarkEnd w:id="1056"/>
    <w:bookmarkEnd w:id="1057"/>
    <w:bookmarkEnd w:id="1058"/>
    <w:bookmarkEnd w:id="1059"/>
    <w:bookmarkEnd w:id="1060"/>
    <w:bookmarkEnd w:id="1061"/>
    <w:p w14:paraId="0EA46E0E">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bookmarkStart w:id="1063" w:name="_Toc303539142"/>
      <w:bookmarkStart w:id="1064" w:name="_Toc297123536"/>
      <w:bookmarkStart w:id="1065" w:name="_Toc297216195"/>
      <w:bookmarkStart w:id="1066" w:name="_Toc304295562"/>
      <w:bookmarkStart w:id="1067" w:name="_Toc300934985"/>
      <w:bookmarkStart w:id="1068" w:name="_Toc312677498"/>
      <w:bookmarkStart w:id="1069" w:name="_Toc312678024"/>
      <w:r>
        <w:rPr>
          <w:rFonts w:hint="eastAsia" w:ascii="宋体" w:hAnsi="宋体" w:eastAsia="宋体" w:cs="宋体"/>
          <w:color w:val="auto"/>
          <w:kern w:val="2"/>
          <w:sz w:val="21"/>
          <w:szCs w:val="21"/>
          <w:highlight w:val="none"/>
          <w:lang w:val="en-US" w:eastAsia="zh-CN" w:bidi="ar-SA"/>
        </w:rPr>
        <w:t>施工现场需要配置的试验场所：</w:t>
      </w:r>
      <w:r>
        <w:rPr>
          <w:rFonts w:hint="eastAsia" w:ascii="宋体" w:hAnsi="宋体" w:eastAsia="宋体" w:cs="宋体"/>
          <w:color w:val="auto"/>
          <w:kern w:val="2"/>
          <w:sz w:val="21"/>
          <w:szCs w:val="21"/>
          <w:highlight w:val="none"/>
          <w:u w:val="single"/>
          <w:lang w:val="en-US" w:eastAsia="zh-CN" w:bidi="ar-SA"/>
        </w:rPr>
        <w:t xml:space="preserve"> 由承包人承担，所需费用包含在投标报价中 </w:t>
      </w:r>
      <w:r>
        <w:rPr>
          <w:rFonts w:hint="eastAsia" w:ascii="宋体" w:hAnsi="宋体" w:eastAsia="宋体" w:cs="宋体"/>
          <w:color w:val="auto"/>
          <w:kern w:val="2"/>
          <w:sz w:val="21"/>
          <w:szCs w:val="21"/>
          <w:highlight w:val="none"/>
          <w:lang w:val="en-US" w:eastAsia="zh-CN" w:bidi="ar-SA"/>
        </w:rPr>
        <w:t xml:space="preserve">。 </w:t>
      </w:r>
    </w:p>
    <w:p w14:paraId="46689DE9">
      <w:pPr>
        <w:widowControl w:val="0"/>
        <w:spacing w:line="380" w:lineRule="exact"/>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施工现场需要配备的试验设备：</w:t>
      </w:r>
      <w:r>
        <w:rPr>
          <w:rFonts w:hint="eastAsia" w:ascii="宋体" w:hAnsi="宋体" w:eastAsia="宋体" w:cs="宋体"/>
          <w:color w:val="auto"/>
          <w:kern w:val="2"/>
          <w:sz w:val="21"/>
          <w:szCs w:val="21"/>
          <w:highlight w:val="none"/>
          <w:u w:val="single"/>
          <w:lang w:val="en-US" w:eastAsia="zh-CN" w:bidi="ar-SA"/>
        </w:rPr>
        <w:t xml:space="preserve"> 由承包人承担，所需费用包含在投标报价中 </w:t>
      </w:r>
      <w:r>
        <w:rPr>
          <w:rFonts w:hint="eastAsia" w:ascii="宋体" w:hAnsi="宋体" w:eastAsia="宋体" w:cs="宋体"/>
          <w:color w:val="auto"/>
          <w:kern w:val="2"/>
          <w:sz w:val="21"/>
          <w:szCs w:val="21"/>
          <w:highlight w:val="none"/>
          <w:lang w:val="en-US" w:eastAsia="zh-CN" w:bidi="ar-SA"/>
        </w:rPr>
        <w:t>。</w:t>
      </w:r>
    </w:p>
    <w:p w14:paraId="3335FB8C">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施工现场需要具备的其他试验条件：</w:t>
      </w:r>
      <w:r>
        <w:rPr>
          <w:rFonts w:hint="eastAsia" w:ascii="宋体" w:hAnsi="宋体" w:eastAsia="宋体" w:cs="宋体"/>
          <w:color w:val="auto"/>
          <w:kern w:val="2"/>
          <w:sz w:val="21"/>
          <w:szCs w:val="21"/>
          <w:highlight w:val="none"/>
          <w:u w:val="single"/>
          <w:lang w:val="en-US" w:eastAsia="zh-CN" w:bidi="ar-SA"/>
        </w:rPr>
        <w:t xml:space="preserve"> 由承包人承担，所需费用包含在投标报价中 </w:t>
      </w:r>
      <w:r>
        <w:rPr>
          <w:rFonts w:hint="eastAsia" w:ascii="宋体" w:hAnsi="宋体" w:eastAsia="宋体" w:cs="宋体"/>
          <w:color w:val="auto"/>
          <w:kern w:val="2"/>
          <w:sz w:val="21"/>
          <w:szCs w:val="21"/>
          <w:highlight w:val="none"/>
          <w:lang w:val="en-US" w:eastAsia="zh-CN" w:bidi="ar-SA"/>
        </w:rPr>
        <w:t>。</w:t>
      </w:r>
    </w:p>
    <w:p w14:paraId="5C176BB9">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1070" w:name="_Toc403578972"/>
      <w:bookmarkStart w:id="1071" w:name="_Toc522201767"/>
      <w:bookmarkStart w:id="1072" w:name="_Toc373227738"/>
      <w:bookmarkStart w:id="1073" w:name="_Toc418751834"/>
      <w:bookmarkStart w:id="1074" w:name="_Toc418061349"/>
      <w:bookmarkStart w:id="1075" w:name="_Toc389065304"/>
      <w:bookmarkStart w:id="1076" w:name="_Toc418518384"/>
      <w:bookmarkStart w:id="1077" w:name="_Toc418752280"/>
      <w:bookmarkStart w:id="1078" w:name="_Toc497746819"/>
      <w:bookmarkStart w:id="1079" w:name="_Toc373478385"/>
      <w:bookmarkStart w:id="1080" w:name="_Toc497747216"/>
      <w:bookmarkStart w:id="1081" w:name="_Toc418518148"/>
      <w:bookmarkStart w:id="1082" w:name="_Toc256000217"/>
      <w:bookmarkStart w:id="1083" w:name="_Toc17097"/>
      <w:r>
        <w:rPr>
          <w:rFonts w:hint="eastAsia" w:ascii="宋体" w:hAnsi="宋体" w:eastAsia="宋体" w:cs="宋体"/>
          <w:b/>
          <w:bCs/>
          <w:color w:val="auto"/>
          <w:kern w:val="44"/>
          <w:sz w:val="21"/>
          <w:szCs w:val="21"/>
          <w:highlight w:val="none"/>
          <w:lang w:val="en-US" w:eastAsia="zh-CN" w:bidi="ar-SA"/>
        </w:rPr>
        <w:t>9.4 现场工艺试验</w:t>
      </w:r>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r>
        <w:rPr>
          <w:rFonts w:hint="eastAsia" w:ascii="宋体" w:hAnsi="宋体" w:eastAsia="宋体" w:cs="宋体"/>
          <w:b/>
          <w:bCs/>
          <w:color w:val="auto"/>
          <w:kern w:val="44"/>
          <w:sz w:val="21"/>
          <w:szCs w:val="21"/>
          <w:highlight w:val="none"/>
          <w:lang w:val="en-US" w:eastAsia="zh-CN" w:bidi="ar-SA"/>
        </w:rPr>
        <w:t xml:space="preserve"> </w:t>
      </w:r>
    </w:p>
    <w:p w14:paraId="6090C485">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现场工艺试验的有关约定：</w:t>
      </w:r>
      <w:r>
        <w:rPr>
          <w:rFonts w:hint="eastAsia" w:ascii="宋体" w:hAnsi="宋体" w:eastAsia="宋体" w:cs="宋体"/>
          <w:color w:val="auto"/>
          <w:kern w:val="2"/>
          <w:sz w:val="21"/>
          <w:szCs w:val="21"/>
          <w:highlight w:val="none"/>
          <w:u w:val="single"/>
          <w:lang w:val="en-US" w:eastAsia="zh-CN" w:bidi="ar-SA"/>
        </w:rPr>
        <w:t xml:space="preserve">  按通用条款执行</w:t>
      </w:r>
      <w:r>
        <w:rPr>
          <w:rFonts w:hint="eastAsia" w:ascii="宋体" w:hAnsi="宋体" w:eastAsia="宋体" w:cs="宋体"/>
          <w:color w:val="auto"/>
          <w:kern w:val="2"/>
          <w:sz w:val="21"/>
          <w:szCs w:val="21"/>
          <w:highlight w:val="none"/>
          <w:lang w:val="en-US" w:eastAsia="zh-CN" w:bidi="ar-SA"/>
        </w:rPr>
        <w:t>。</w:t>
      </w:r>
      <w:bookmarkStart w:id="1084" w:name="_Toc395382541"/>
      <w:bookmarkStart w:id="1085" w:name="_Toc406522259"/>
      <w:bookmarkStart w:id="1086" w:name="_Toc406420990"/>
      <w:bookmarkStart w:id="1087" w:name="OLE_LINK1"/>
    </w:p>
    <w:p w14:paraId="64C595BC">
      <w:pPr>
        <w:widowControl w:val="0"/>
        <w:spacing w:line="380" w:lineRule="exact"/>
        <w:ind w:firstLine="422" w:firstLineChars="200"/>
        <w:jc w:val="left"/>
        <w:rPr>
          <w:rFonts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9.5 检验费用</w:t>
      </w:r>
      <w:bookmarkEnd w:id="1084"/>
      <w:bookmarkEnd w:id="1085"/>
      <w:bookmarkEnd w:id="1086"/>
    </w:p>
    <w:p w14:paraId="5C8731E5">
      <w:pPr>
        <w:widowControl w:val="0"/>
        <w:spacing w:line="380" w:lineRule="exact"/>
        <w:ind w:firstLine="411" w:firstLineChars="196"/>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根据《建设工程质量检测管理办法》（</w:t>
      </w:r>
      <w:r>
        <w:rPr>
          <w:rFonts w:hint="eastAsia" w:ascii="Times New Roman" w:hAnsi="宋体" w:eastAsia="宋体" w:cs="宋体"/>
          <w:color w:val="auto"/>
          <w:kern w:val="2"/>
          <w:sz w:val="21"/>
          <w:szCs w:val="21"/>
          <w:highlight w:val="none"/>
          <w:lang w:val="en-US" w:eastAsia="zh-CN" w:bidi="ar-SA"/>
        </w:rPr>
        <w:t>住建部令57</w:t>
      </w:r>
      <w:r>
        <w:rPr>
          <w:rFonts w:hint="eastAsia" w:ascii="Times New Roman" w:hAnsi="Times New Roman" w:eastAsia="宋体" w:cs="Times New Roman"/>
          <w:color w:val="auto"/>
          <w:kern w:val="2"/>
          <w:sz w:val="21"/>
          <w:szCs w:val="21"/>
          <w:highlight w:val="none"/>
          <w:lang w:val="en-US" w:eastAsia="zh-CN" w:bidi="ar-SA"/>
        </w:rPr>
        <w:t>号</w:t>
      </w:r>
      <w:r>
        <w:rPr>
          <w:rFonts w:hint="eastAsia" w:ascii="宋体" w:hAnsi="宋体" w:eastAsia="宋体" w:cs="宋体"/>
          <w:color w:val="auto"/>
          <w:kern w:val="2"/>
          <w:sz w:val="21"/>
          <w:szCs w:val="21"/>
          <w:highlight w:val="none"/>
          <w:lang w:val="en-US" w:eastAsia="zh-CN" w:bidi="ar-SA"/>
        </w:rPr>
        <w:t>）以及</w:t>
      </w:r>
      <w:r>
        <w:rPr>
          <w:rFonts w:hint="eastAsia" w:ascii="宋体" w:hAnsi="宋体" w:eastAsia="宋体" w:cs="宋体"/>
          <w:bCs/>
          <w:color w:val="auto"/>
          <w:kern w:val="2"/>
          <w:sz w:val="21"/>
          <w:szCs w:val="21"/>
          <w:highlight w:val="none"/>
          <w:lang w:val="en-US" w:eastAsia="zh-CN" w:bidi="ar-SA"/>
        </w:rPr>
        <w:t>《广西壮族自治区建设工程质量检测管理规定》（桂建管〔2013〕11号）</w:t>
      </w:r>
      <w:r>
        <w:rPr>
          <w:rFonts w:hint="eastAsia" w:ascii="宋体" w:hAnsi="宋体" w:eastAsia="宋体" w:cs="宋体"/>
          <w:color w:val="auto"/>
          <w:kern w:val="2"/>
          <w:sz w:val="21"/>
          <w:szCs w:val="21"/>
          <w:highlight w:val="none"/>
          <w:lang w:val="en-US" w:eastAsia="zh-CN" w:bidi="ar-SA"/>
        </w:rPr>
        <w:t>规定，工程质量检测业务由发包人委托有相应资质的检测机构检测。费用从发包人的项目建设经费中支出并直接支付给检测机构，不计入合同价款内。</w:t>
      </w:r>
      <w:bookmarkEnd w:id="1087"/>
    </w:p>
    <w:bookmarkEnd w:id="1062"/>
    <w:bookmarkEnd w:id="1063"/>
    <w:bookmarkEnd w:id="1064"/>
    <w:bookmarkEnd w:id="1065"/>
    <w:bookmarkEnd w:id="1066"/>
    <w:bookmarkEnd w:id="1067"/>
    <w:bookmarkEnd w:id="1068"/>
    <w:bookmarkEnd w:id="1069"/>
    <w:p w14:paraId="57038978">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bookmarkStart w:id="1088" w:name="_Toc497746821"/>
      <w:bookmarkStart w:id="1089" w:name="_Toc522201768"/>
      <w:bookmarkStart w:id="1090" w:name="_Toc497747218"/>
      <w:bookmarkStart w:id="1091" w:name="_Toc389065305"/>
      <w:bookmarkStart w:id="1092" w:name="_Toc403578974"/>
      <w:bookmarkStart w:id="1093" w:name="_Toc418518150"/>
      <w:bookmarkStart w:id="1094" w:name="_Toc418518386"/>
      <w:bookmarkStart w:id="1095" w:name="_Toc418752282"/>
      <w:bookmarkStart w:id="1096" w:name="_Toc418061351"/>
      <w:bookmarkStart w:id="1097" w:name="_Toc373227739"/>
      <w:bookmarkStart w:id="1098" w:name="_Toc256000218"/>
      <w:bookmarkStart w:id="1099" w:name="_Toc373478386"/>
      <w:bookmarkStart w:id="1100" w:name="_Toc351203642"/>
      <w:bookmarkStart w:id="1101" w:name="_Toc418751836"/>
      <w:bookmarkStart w:id="1102" w:name="_Toc131"/>
      <w:r>
        <w:rPr>
          <w:rFonts w:hint="eastAsia" w:ascii="宋体" w:hAnsi="宋体" w:eastAsia="宋体" w:cs="宋体"/>
          <w:b/>
          <w:bCs/>
          <w:color w:val="auto"/>
          <w:kern w:val="44"/>
          <w:sz w:val="21"/>
          <w:szCs w:val="21"/>
          <w:highlight w:val="none"/>
          <w:lang w:val="en-US" w:eastAsia="zh-CN" w:bidi="ar-SA"/>
        </w:rPr>
        <w:t>1</w:t>
      </w:r>
      <w:bookmarkEnd w:id="1022"/>
      <w:bookmarkEnd w:id="1023"/>
      <w:bookmarkEnd w:id="1024"/>
      <w:bookmarkEnd w:id="1025"/>
      <w:bookmarkEnd w:id="1026"/>
      <w:bookmarkEnd w:id="1027"/>
      <w:bookmarkEnd w:id="1028"/>
      <w:bookmarkEnd w:id="1029"/>
      <w:bookmarkEnd w:id="1030"/>
      <w:bookmarkEnd w:id="1031"/>
      <w:bookmarkEnd w:id="1032"/>
      <w:bookmarkEnd w:id="1033"/>
      <w:bookmarkStart w:id="1103" w:name="_Toc292559398"/>
      <w:bookmarkStart w:id="1104" w:name="_Toc303539146"/>
      <w:bookmarkStart w:id="1105" w:name="_Toc296346694"/>
      <w:bookmarkStart w:id="1106" w:name="_Toc297120493"/>
      <w:bookmarkStart w:id="1107" w:name="_Toc296503193"/>
      <w:bookmarkStart w:id="1108" w:name="_Toc297216199"/>
      <w:bookmarkStart w:id="1109" w:name="_Toc297123540"/>
      <w:bookmarkStart w:id="1110" w:name="_Toc296944532"/>
      <w:bookmarkStart w:id="1111" w:name="_Toc304295566"/>
      <w:bookmarkStart w:id="1112" w:name="_Toc296891233"/>
      <w:bookmarkStart w:id="1113" w:name="_Toc296347192"/>
      <w:bookmarkStart w:id="1114" w:name="_Toc297048379"/>
      <w:bookmarkStart w:id="1115" w:name="_Toc292559903"/>
      <w:bookmarkStart w:id="1116" w:name="_Toc300934989"/>
      <w:bookmarkStart w:id="1117" w:name="_Toc296891021"/>
      <w:bookmarkStart w:id="1118" w:name="_Toc312678025"/>
      <w:bookmarkStart w:id="1119" w:name="_Toc312677499"/>
      <w:bookmarkStart w:id="1120" w:name="_Toc267251442"/>
      <w:r>
        <w:rPr>
          <w:rFonts w:hint="eastAsia" w:ascii="宋体" w:hAnsi="宋体" w:eastAsia="宋体" w:cs="宋体"/>
          <w:b/>
          <w:bCs/>
          <w:color w:val="auto"/>
          <w:kern w:val="44"/>
          <w:sz w:val="21"/>
          <w:szCs w:val="21"/>
          <w:highlight w:val="none"/>
          <w:lang w:val="en-US" w:eastAsia="zh-CN" w:bidi="ar-SA"/>
        </w:rPr>
        <w:t>0. 变更</w:t>
      </w:r>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p>
    <w:bookmarkEnd w:id="1118"/>
    <w:bookmarkEnd w:id="1119"/>
    <w:p w14:paraId="1C2C02F0">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1121" w:name="_Toc418751837"/>
      <w:bookmarkStart w:id="1122" w:name="_Toc389065306"/>
      <w:bookmarkStart w:id="1123" w:name="_Toc373227740"/>
      <w:bookmarkStart w:id="1124" w:name="_Toc373478387"/>
      <w:bookmarkStart w:id="1125" w:name="_Toc418518151"/>
      <w:bookmarkStart w:id="1126" w:name="_Toc418518387"/>
      <w:bookmarkStart w:id="1127" w:name="_Toc418752283"/>
      <w:bookmarkStart w:id="1128" w:name="_Toc497747219"/>
      <w:bookmarkStart w:id="1129" w:name="_Toc522201769"/>
      <w:bookmarkStart w:id="1130" w:name="_Toc497746822"/>
      <w:bookmarkStart w:id="1131" w:name="_Toc418061352"/>
      <w:bookmarkStart w:id="1132" w:name="_Toc256000219"/>
      <w:bookmarkStart w:id="1133" w:name="_Toc18311"/>
      <w:bookmarkStart w:id="1134" w:name="_Toc403578975"/>
      <w:r>
        <w:rPr>
          <w:rFonts w:hint="eastAsia" w:ascii="宋体" w:hAnsi="宋体" w:eastAsia="宋体" w:cs="宋体"/>
          <w:b/>
          <w:bCs/>
          <w:color w:val="auto"/>
          <w:kern w:val="44"/>
          <w:sz w:val="21"/>
          <w:szCs w:val="21"/>
          <w:highlight w:val="none"/>
          <w:lang w:val="en-US" w:eastAsia="zh-CN" w:bidi="ar-SA"/>
        </w:rPr>
        <w:t>1</w:t>
      </w:r>
      <w:bookmarkStart w:id="1135" w:name="_Toc296503194"/>
      <w:bookmarkStart w:id="1136" w:name="_Toc312677500"/>
      <w:bookmarkStart w:id="1137" w:name="_Toc296347193"/>
      <w:bookmarkStart w:id="1138" w:name="_Toc296891234"/>
      <w:bookmarkStart w:id="1139" w:name="_Toc296346695"/>
      <w:bookmarkStart w:id="1140" w:name="_Toc297123541"/>
      <w:bookmarkStart w:id="1141" w:name="_Toc297216200"/>
      <w:bookmarkStart w:id="1142" w:name="_Toc304295567"/>
      <w:bookmarkStart w:id="1143" w:name="_Toc292559904"/>
      <w:bookmarkStart w:id="1144" w:name="_Toc297048380"/>
      <w:bookmarkStart w:id="1145" w:name="_Toc300934990"/>
      <w:bookmarkStart w:id="1146" w:name="_Toc296944533"/>
      <w:bookmarkStart w:id="1147" w:name="_Toc303539147"/>
      <w:bookmarkStart w:id="1148" w:name="_Toc312678026"/>
      <w:bookmarkStart w:id="1149" w:name="_Toc296891022"/>
      <w:bookmarkStart w:id="1150" w:name="_Toc292559399"/>
      <w:bookmarkStart w:id="1151" w:name="_Toc297120494"/>
      <w:r>
        <w:rPr>
          <w:rFonts w:hint="eastAsia" w:ascii="宋体" w:hAnsi="宋体" w:eastAsia="宋体" w:cs="宋体"/>
          <w:b/>
          <w:bCs/>
          <w:color w:val="auto"/>
          <w:kern w:val="44"/>
          <w:sz w:val="21"/>
          <w:szCs w:val="21"/>
          <w:highlight w:val="none"/>
          <w:lang w:val="en-US" w:eastAsia="zh-CN" w:bidi="ar-SA"/>
        </w:rPr>
        <w:t>0.1 变更的范围</w:t>
      </w:r>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p>
    <w:p w14:paraId="74C4D3DF">
      <w:pPr>
        <w:widowControl w:val="0"/>
        <w:spacing w:line="380" w:lineRule="exact"/>
        <w:ind w:firstLine="411" w:firstLineChars="196"/>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关于变更的范围的约定：</w:t>
      </w:r>
      <w:r>
        <w:rPr>
          <w:rFonts w:hint="eastAsia" w:ascii="宋体" w:hAnsi="宋体" w:eastAsia="宋体" w:cs="宋体"/>
          <w:color w:val="auto"/>
          <w:kern w:val="2"/>
          <w:sz w:val="21"/>
          <w:szCs w:val="21"/>
          <w:highlight w:val="none"/>
          <w:u w:val="single"/>
          <w:lang w:val="en-US" w:eastAsia="zh-CN" w:bidi="ar-SA"/>
        </w:rPr>
        <w:t>施工期间因不可预见因素或发包人要求所发生的工程量增减（由变更、签证产生），其工程量按实际发生并经监理工程师及发包人签证认可，工程变更综合单价按专用条款第10.4点规定执行</w:t>
      </w:r>
      <w:r>
        <w:rPr>
          <w:rFonts w:hint="eastAsia" w:ascii="宋体" w:hAnsi="宋体" w:eastAsia="宋体" w:cs="宋体"/>
          <w:color w:val="auto"/>
          <w:kern w:val="2"/>
          <w:sz w:val="21"/>
          <w:szCs w:val="21"/>
          <w:highlight w:val="none"/>
          <w:lang w:val="en-US" w:eastAsia="zh-CN" w:bidi="ar-SA"/>
        </w:rPr>
        <w:t>。</w:t>
      </w:r>
      <w:bookmarkStart w:id="1152" w:name="_Toc373478388"/>
      <w:bookmarkStart w:id="1153" w:name="_Toc406522262"/>
      <w:bookmarkStart w:id="1154" w:name="_Toc373227741"/>
      <w:bookmarkStart w:id="1155" w:name="_Toc389065307"/>
      <w:bookmarkStart w:id="1156" w:name="_Toc395382544"/>
    </w:p>
    <w:p w14:paraId="743C2C4A">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1157" w:name="_Toc256000220"/>
      <w:bookmarkStart w:id="1158" w:name="_Toc18837"/>
      <w:r>
        <w:rPr>
          <w:rFonts w:hint="eastAsia" w:ascii="宋体" w:hAnsi="宋体" w:eastAsia="宋体" w:cs="宋体"/>
          <w:b/>
          <w:bCs/>
          <w:color w:val="auto"/>
          <w:kern w:val="44"/>
          <w:sz w:val="21"/>
          <w:szCs w:val="21"/>
          <w:highlight w:val="none"/>
          <w:lang w:val="en-US" w:eastAsia="zh-CN" w:bidi="ar-SA"/>
        </w:rPr>
        <w:t>10.3 变更程序</w:t>
      </w:r>
      <w:bookmarkEnd w:id="1152"/>
      <w:bookmarkEnd w:id="1153"/>
      <w:bookmarkEnd w:id="1154"/>
      <w:bookmarkEnd w:id="1155"/>
      <w:bookmarkEnd w:id="1156"/>
      <w:bookmarkEnd w:id="1157"/>
      <w:bookmarkEnd w:id="1158"/>
    </w:p>
    <w:p w14:paraId="3D347659">
      <w:pPr>
        <w:widowControl w:val="0"/>
        <w:spacing w:line="380" w:lineRule="exact"/>
        <w:ind w:firstLine="411" w:firstLineChars="196"/>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10.3.1 国有投资项目：</w:t>
      </w:r>
    </w:p>
    <w:p w14:paraId="5FC21FF2">
      <w:pPr>
        <w:widowControl w:val="0"/>
        <w:spacing w:line="380" w:lineRule="exact"/>
        <w:ind w:firstLine="411" w:firstLineChars="196"/>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⑴设计变更和工程签证，按桂林市政府或相关部门的规定办理。属不可抗力（自然灾害、突发事件等）造成变更的，按特事特办原则予以办理。</w:t>
      </w:r>
    </w:p>
    <w:p w14:paraId="2B7C428A">
      <w:pPr>
        <w:widowControl w:val="0"/>
        <w:spacing w:line="380" w:lineRule="exact"/>
        <w:ind w:firstLine="411" w:firstLineChars="196"/>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⑵发包人在实施项目过程中，若发生单价变动，由发包人、监理单位、承包人及其他相关单位共同商定并签字确认。</w:t>
      </w:r>
    </w:p>
    <w:p w14:paraId="78F3E665">
      <w:pPr>
        <w:widowControl w:val="0"/>
        <w:spacing w:line="380" w:lineRule="exact"/>
        <w:ind w:firstLine="411" w:firstLineChars="196"/>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⑶ 当合同规定的合同价款调整情况发生后，承包人未在规定时间内通知发包人，或者未在规定时间内提出调整报告，发包人可以根据有关资料，决定是否调整和调整的金额，并书面通知承包人。</w:t>
      </w:r>
    </w:p>
    <w:p w14:paraId="3B476F99">
      <w:pPr>
        <w:widowControl w:val="0"/>
        <w:spacing w:line="380" w:lineRule="exact"/>
        <w:ind w:firstLine="411" w:firstLineChars="196"/>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10.3.2 非国有投资项目： 同通用条款。</w:t>
      </w:r>
    </w:p>
    <w:p w14:paraId="153793BD">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1159" w:name="_Toc389065308"/>
      <w:bookmarkStart w:id="1160" w:name="_Toc30477"/>
      <w:bookmarkStart w:id="1161" w:name="_Toc522201770"/>
      <w:bookmarkStart w:id="1162" w:name="_Toc373478389"/>
      <w:bookmarkStart w:id="1163" w:name="_Toc373227742"/>
      <w:bookmarkStart w:id="1164" w:name="_Toc418518389"/>
      <w:bookmarkStart w:id="1165" w:name="_Toc418061354"/>
      <w:bookmarkStart w:id="1166" w:name="_Toc497746824"/>
      <w:bookmarkStart w:id="1167" w:name="_Toc497747221"/>
      <w:bookmarkStart w:id="1168" w:name="_Toc418518153"/>
      <w:bookmarkStart w:id="1169" w:name="_Toc256000221"/>
      <w:bookmarkStart w:id="1170" w:name="_Toc418752285"/>
      <w:bookmarkStart w:id="1171" w:name="_Toc403578977"/>
      <w:bookmarkStart w:id="1172" w:name="_Toc418751839"/>
      <w:r>
        <w:rPr>
          <w:rFonts w:hint="eastAsia" w:ascii="宋体" w:hAnsi="宋体" w:eastAsia="宋体" w:cs="宋体"/>
          <w:b/>
          <w:bCs/>
          <w:color w:val="auto"/>
          <w:kern w:val="44"/>
          <w:sz w:val="21"/>
          <w:szCs w:val="21"/>
          <w:highlight w:val="none"/>
          <w:lang w:val="en-US" w:eastAsia="zh-CN" w:bidi="ar-SA"/>
        </w:rPr>
        <w:t>10.4 变更估价</w:t>
      </w:r>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p>
    <w:p w14:paraId="16B4746C">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10.4.1 变更估价原则</w:t>
      </w:r>
    </w:p>
    <w:p w14:paraId="54B3E6F3">
      <w:pPr>
        <w:widowControl w:val="0"/>
        <w:spacing w:line="380" w:lineRule="exact"/>
        <w:ind w:firstLine="426"/>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 xml:space="preserve">关于变更估价的约定: </w:t>
      </w:r>
    </w:p>
    <w:p w14:paraId="6EC01B80">
      <w:pPr>
        <w:widowControl w:val="0"/>
        <w:spacing w:line="380" w:lineRule="exact"/>
        <w:ind w:firstLine="426"/>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（1）投标报价中已有适用于变更工程的综合单价，按已有的综合单价；</w:t>
      </w:r>
    </w:p>
    <w:p w14:paraId="1A7FF330">
      <w:pPr>
        <w:widowControl w:val="0"/>
        <w:spacing w:line="380" w:lineRule="exact"/>
        <w:ind w:firstLine="426"/>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（2）投标报价中有类似变更工程的综合单价，可参照投标报价中类似的综合单价确定；</w:t>
      </w:r>
    </w:p>
    <w:p w14:paraId="1EC7A9D8">
      <w:pPr>
        <w:widowControl w:val="0"/>
        <w:spacing w:line="380" w:lineRule="exact"/>
        <w:ind w:firstLine="426"/>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（3）</w:t>
      </w:r>
      <w:r>
        <w:rPr>
          <w:rFonts w:ascii="宋体" w:hAnsi="宋体" w:eastAsia="宋体" w:cs="宋体"/>
          <w:color w:val="auto"/>
          <w:kern w:val="2"/>
          <w:sz w:val="21"/>
          <w:szCs w:val="21"/>
          <w:highlight w:val="none"/>
          <w:u w:val="single"/>
          <w:lang w:val="en-US" w:eastAsia="zh-CN" w:bidi="ar-SA"/>
        </w:rPr>
        <w:t>投标报价中没有适用或类似于变更工程的综合单价，则有定额的套用定额计算，执行本工程编制招标控制价的参考依据，其中材料价格有信息价的按合同该新增子项实施期间《桂林市建设工程造价信息》中的平均价计取（信息价无相关信息的参照信息价中桂林市的平均价），无信息价时按市场价格共同协商初步确定；此类工程结算综合单价=按现行定额计算（管理费、利润取中值）的综合单价×中标下浮系数（中标人的投标总价÷采购预算价），新增项目无定额可套用时，由发包人、承包人及监理三方共同协商初步确定，最终以</w:t>
      </w:r>
      <w:r>
        <w:rPr>
          <w:rFonts w:hint="eastAsia" w:ascii="Times New Roman" w:hAnsi="Times New Roman" w:eastAsia="宋体" w:cs="Times New Roman"/>
          <w:color w:val="auto"/>
          <w:kern w:val="2"/>
          <w:sz w:val="21"/>
          <w:szCs w:val="22"/>
          <w:highlight w:val="none"/>
          <w:u w:val="single"/>
          <w:lang w:val="en-US" w:eastAsia="zh-CN" w:bidi="ar-SA"/>
        </w:rPr>
        <w:t>桂林市七星区财政局</w:t>
      </w:r>
      <w:r>
        <w:rPr>
          <w:rFonts w:ascii="宋体" w:hAnsi="宋体" w:eastAsia="宋体" w:cs="宋体"/>
          <w:color w:val="auto"/>
          <w:kern w:val="2"/>
          <w:sz w:val="21"/>
          <w:szCs w:val="21"/>
          <w:highlight w:val="none"/>
          <w:u w:val="single"/>
          <w:lang w:val="en-US" w:eastAsia="zh-CN" w:bidi="ar-SA"/>
        </w:rPr>
        <w:t>审定或审计单位审定</w:t>
      </w:r>
      <w:r>
        <w:rPr>
          <w:rFonts w:hint="eastAsia" w:ascii="宋体" w:hAnsi="宋体" w:eastAsia="宋体" w:cs="宋体"/>
          <w:color w:val="auto"/>
          <w:kern w:val="2"/>
          <w:sz w:val="21"/>
          <w:szCs w:val="21"/>
          <w:highlight w:val="none"/>
          <w:u w:val="single"/>
          <w:lang w:val="en-US" w:eastAsia="zh-CN" w:bidi="ar-SA"/>
        </w:rPr>
        <w:t>并经发包人及承包人双方确认的金额</w:t>
      </w:r>
      <w:r>
        <w:rPr>
          <w:rFonts w:ascii="宋体" w:hAnsi="宋体" w:eastAsia="宋体" w:cs="宋体"/>
          <w:color w:val="auto"/>
          <w:kern w:val="2"/>
          <w:sz w:val="21"/>
          <w:szCs w:val="21"/>
          <w:highlight w:val="none"/>
          <w:u w:val="single"/>
          <w:lang w:val="en-US" w:eastAsia="zh-CN" w:bidi="ar-SA"/>
        </w:rPr>
        <w:t>为准</w:t>
      </w:r>
      <w:r>
        <w:rPr>
          <w:rFonts w:hint="eastAsia" w:ascii="宋体" w:hAnsi="宋体" w:eastAsia="宋体" w:cs="宋体"/>
          <w:color w:val="auto"/>
          <w:kern w:val="2"/>
          <w:sz w:val="21"/>
          <w:szCs w:val="21"/>
          <w:highlight w:val="none"/>
          <w:u w:val="single"/>
          <w:lang w:val="en-US" w:eastAsia="zh-CN" w:bidi="ar-SA"/>
        </w:rPr>
        <w:t>。</w:t>
      </w:r>
    </w:p>
    <w:p w14:paraId="3A834EA1">
      <w:pPr>
        <w:widowControl w:val="0"/>
        <w:spacing w:line="380" w:lineRule="exact"/>
        <w:ind w:firstLine="426"/>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（4）</w:t>
      </w:r>
      <w:r>
        <w:rPr>
          <w:rFonts w:ascii="宋体" w:hAnsi="宋体" w:eastAsia="宋体" w:cs="宋体"/>
          <w:color w:val="auto"/>
          <w:kern w:val="2"/>
          <w:sz w:val="21"/>
          <w:szCs w:val="21"/>
          <w:highlight w:val="none"/>
          <w:u w:val="single"/>
          <w:lang w:val="en-US" w:eastAsia="zh-CN" w:bidi="ar-SA"/>
        </w:rPr>
        <w:t>若发包人和监理人认为有关的工作不能以实物工程量的方法计算及估值时，则按以下的方法计算：若工程量清单中有计日工价目表，则以计日工价目表中相应的项目计价；若计日工作价目表中无类似项目，则按三方协商的价格估值。附带条件为，承包人须提交每天用于该项工作的时间的记录、相关工人的姓名及经发包人、监理人复核的所用物料的清单。上述数据须于该项工作执行后的一星期内提交给发包人及监理人</w:t>
      </w:r>
      <w:r>
        <w:rPr>
          <w:rFonts w:hint="eastAsia" w:ascii="宋体" w:hAnsi="宋体" w:eastAsia="宋体" w:cs="宋体"/>
          <w:color w:val="auto"/>
          <w:kern w:val="2"/>
          <w:sz w:val="21"/>
          <w:szCs w:val="21"/>
          <w:highlight w:val="none"/>
          <w:u w:val="single"/>
          <w:lang w:val="en-US" w:eastAsia="zh-CN" w:bidi="ar-SA"/>
        </w:rPr>
        <w:t>。</w:t>
      </w:r>
    </w:p>
    <w:p w14:paraId="433CB82A">
      <w:pPr>
        <w:widowControl w:val="0"/>
        <w:spacing w:line="380" w:lineRule="exact"/>
        <w:ind w:firstLine="426"/>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5）暂定价调整方法为：暂定材料价格部分仅调整合同实施期间材料市场价与暂定价之间的材差并计相应的规费和增值税，投标书中相应的综合单价不再调整。专业工程暂估价的确定方法：由承包人申报单价，发包人组织监理人、造价审核机构共同询价确定。如发包人认为材料暂估价及专业工程暂估价需要进行市场询价的，应以询价小组（询价小组由发包人、承包人、监理人组成）调查确认的单价为准。</w:t>
      </w:r>
    </w:p>
    <w:p w14:paraId="070E1BC5">
      <w:pPr>
        <w:widowControl w:val="0"/>
        <w:spacing w:line="380" w:lineRule="exact"/>
        <w:ind w:firstLine="426"/>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（6）无约定的参照我区现行《建设工程工程量清单计价规范》及配套定额相关规定执行。</w:t>
      </w:r>
    </w:p>
    <w:p w14:paraId="66138E86">
      <w:pPr>
        <w:widowControl w:val="0"/>
        <w:spacing w:line="380" w:lineRule="exact"/>
        <w:ind w:firstLine="426"/>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（7）本工程最终结算以</w:t>
      </w:r>
      <w:r>
        <w:rPr>
          <w:rFonts w:hint="eastAsia" w:ascii="Times New Roman" w:hAnsi="Times New Roman" w:eastAsia="宋体" w:cs="Times New Roman"/>
          <w:color w:val="auto"/>
          <w:kern w:val="2"/>
          <w:sz w:val="21"/>
          <w:szCs w:val="22"/>
          <w:highlight w:val="none"/>
          <w:u w:val="single"/>
          <w:lang w:val="en-US" w:eastAsia="zh-CN" w:bidi="ar-SA"/>
        </w:rPr>
        <w:t>桂林市七星区财政局</w:t>
      </w:r>
      <w:r>
        <w:rPr>
          <w:rFonts w:hint="eastAsia" w:ascii="宋体" w:hAnsi="宋体" w:eastAsia="宋体" w:cs="宋体"/>
          <w:color w:val="auto"/>
          <w:kern w:val="2"/>
          <w:sz w:val="21"/>
          <w:szCs w:val="21"/>
          <w:highlight w:val="none"/>
          <w:u w:val="single"/>
          <w:lang w:val="en-US" w:eastAsia="zh-CN" w:bidi="ar-SA"/>
        </w:rPr>
        <w:t>或发包人委托的造价咨询机构审定并经发包人及承包人双方确认的金额为准。</w:t>
      </w:r>
    </w:p>
    <w:p w14:paraId="11828558">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1173" w:name="_Toc497747222"/>
      <w:bookmarkStart w:id="1174" w:name="_Toc403578978"/>
      <w:bookmarkStart w:id="1175" w:name="_Toc497746825"/>
      <w:bookmarkStart w:id="1176" w:name="_Toc418752286"/>
      <w:bookmarkStart w:id="1177" w:name="_Toc522201771"/>
      <w:bookmarkStart w:id="1178" w:name="_Toc373227743"/>
      <w:bookmarkStart w:id="1179" w:name="_Toc389065309"/>
      <w:bookmarkStart w:id="1180" w:name="_Toc418518390"/>
      <w:bookmarkStart w:id="1181" w:name="_Toc418061355"/>
      <w:bookmarkStart w:id="1182" w:name="_Toc26859"/>
      <w:bookmarkStart w:id="1183" w:name="_Toc256000222"/>
      <w:bookmarkStart w:id="1184" w:name="_Toc418751840"/>
      <w:bookmarkStart w:id="1185" w:name="_Toc418518154"/>
      <w:bookmarkStart w:id="1186" w:name="_Toc373478390"/>
      <w:r>
        <w:rPr>
          <w:rFonts w:hint="eastAsia" w:ascii="宋体" w:hAnsi="宋体" w:eastAsia="宋体" w:cs="宋体"/>
          <w:b/>
          <w:bCs/>
          <w:color w:val="auto"/>
          <w:kern w:val="44"/>
          <w:sz w:val="21"/>
          <w:szCs w:val="21"/>
          <w:highlight w:val="none"/>
          <w:lang w:val="en-US" w:eastAsia="zh-CN" w:bidi="ar-SA"/>
        </w:rPr>
        <w:t>1</w:t>
      </w:r>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Start w:id="1187" w:name="_Toc296346698"/>
      <w:bookmarkStart w:id="1188" w:name="_Toc292559907"/>
      <w:bookmarkStart w:id="1189" w:name="_Toc292559402"/>
      <w:bookmarkStart w:id="1190" w:name="_Toc297120497"/>
      <w:bookmarkStart w:id="1191" w:name="_Toc296944536"/>
      <w:bookmarkStart w:id="1192" w:name="_Toc296503197"/>
      <w:bookmarkStart w:id="1193" w:name="_Toc296891237"/>
      <w:bookmarkStart w:id="1194" w:name="_Toc297123544"/>
      <w:bookmarkStart w:id="1195" w:name="_Toc297216203"/>
      <w:bookmarkStart w:id="1196" w:name="_Toc296891025"/>
      <w:bookmarkStart w:id="1197" w:name="_Toc296347196"/>
      <w:bookmarkStart w:id="1198" w:name="_Toc300934993"/>
      <w:bookmarkStart w:id="1199" w:name="_Toc303539150"/>
      <w:bookmarkStart w:id="1200" w:name="_Toc297048383"/>
      <w:bookmarkStart w:id="1201" w:name="_Toc312677503"/>
      <w:bookmarkStart w:id="1202" w:name="_Toc304295570"/>
      <w:bookmarkStart w:id="1203" w:name="_Toc312678029"/>
      <w:r>
        <w:rPr>
          <w:rFonts w:hint="eastAsia" w:ascii="宋体" w:hAnsi="宋体" w:eastAsia="宋体" w:cs="宋体"/>
          <w:b/>
          <w:bCs/>
          <w:color w:val="auto"/>
          <w:kern w:val="44"/>
          <w:sz w:val="21"/>
          <w:szCs w:val="21"/>
          <w:highlight w:val="none"/>
          <w:lang w:val="en-US" w:eastAsia="zh-CN" w:bidi="ar-SA"/>
        </w:rPr>
        <w:t>0.5 承</w:t>
      </w:r>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Start w:id="1204" w:name="_Toc292559408"/>
      <w:bookmarkStart w:id="1205" w:name="_Toc296891031"/>
      <w:bookmarkStart w:id="1206" w:name="_Toc300934994"/>
      <w:bookmarkStart w:id="1207" w:name="_Toc296503203"/>
      <w:bookmarkStart w:id="1208" w:name="_Toc297216204"/>
      <w:bookmarkStart w:id="1209" w:name="_Toc297123545"/>
      <w:bookmarkStart w:id="1210" w:name="_Toc292559913"/>
      <w:bookmarkStart w:id="1211" w:name="_Toc296347202"/>
      <w:bookmarkStart w:id="1212" w:name="_Toc297048389"/>
      <w:bookmarkStart w:id="1213" w:name="_Toc296346704"/>
      <w:bookmarkStart w:id="1214" w:name="_Toc297120503"/>
      <w:bookmarkStart w:id="1215" w:name="_Toc296891243"/>
      <w:bookmarkStart w:id="1216" w:name="_Toc303539151"/>
      <w:bookmarkStart w:id="1217" w:name="_Toc296944542"/>
      <w:r>
        <w:rPr>
          <w:rFonts w:hint="eastAsia" w:ascii="宋体" w:hAnsi="宋体" w:eastAsia="宋体" w:cs="宋体"/>
          <w:b/>
          <w:bCs/>
          <w:color w:val="auto"/>
          <w:kern w:val="44"/>
          <w:sz w:val="21"/>
          <w:szCs w:val="21"/>
          <w:highlight w:val="none"/>
          <w:lang w:val="en-US" w:eastAsia="zh-CN" w:bidi="ar-SA"/>
        </w:rPr>
        <w:t>包人的合理化建议</w:t>
      </w:r>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p>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p w14:paraId="0DB7A98C">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监理人审查承包人合理化建议的期限：</w:t>
      </w:r>
      <w:r>
        <w:rPr>
          <w:rFonts w:hint="eastAsia" w:ascii="宋体" w:hAnsi="宋体" w:eastAsia="宋体" w:cs="宋体"/>
          <w:color w:val="auto"/>
          <w:kern w:val="2"/>
          <w:sz w:val="21"/>
          <w:szCs w:val="21"/>
          <w:highlight w:val="none"/>
          <w:u w:val="single"/>
          <w:lang w:val="en-US" w:eastAsia="zh-CN" w:bidi="ar-SA"/>
        </w:rPr>
        <w:t>监理人应在收到承包人提交的合理化建议后7天内审查完毕并报送发包人，发现其中存在技术上的缺陷，应通知承包人修改</w:t>
      </w:r>
      <w:r>
        <w:rPr>
          <w:rFonts w:hint="eastAsia" w:ascii="宋体" w:hAnsi="宋体" w:eastAsia="宋体" w:cs="宋体"/>
          <w:color w:val="auto"/>
          <w:kern w:val="2"/>
          <w:sz w:val="21"/>
          <w:szCs w:val="21"/>
          <w:highlight w:val="none"/>
          <w:lang w:val="en-US" w:eastAsia="zh-CN" w:bidi="ar-SA"/>
        </w:rPr>
        <w:t>。</w:t>
      </w:r>
    </w:p>
    <w:p w14:paraId="62A284A7">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发包人审批承包人合理化建议的期限：</w:t>
      </w:r>
      <w:r>
        <w:rPr>
          <w:rFonts w:hint="eastAsia" w:ascii="宋体" w:hAnsi="宋体" w:eastAsia="宋体" w:cs="宋体"/>
          <w:color w:val="auto"/>
          <w:kern w:val="2"/>
          <w:sz w:val="21"/>
          <w:szCs w:val="21"/>
          <w:highlight w:val="none"/>
          <w:u w:val="single"/>
          <w:lang w:val="en-US" w:eastAsia="zh-CN" w:bidi="ar-SA"/>
        </w:rPr>
        <w:t>发包人应在收到监理人报送的合理化建议后7天内审批完毕</w:t>
      </w:r>
      <w:r>
        <w:rPr>
          <w:rFonts w:hint="eastAsia" w:ascii="宋体" w:hAnsi="宋体" w:eastAsia="宋体" w:cs="宋体"/>
          <w:color w:val="auto"/>
          <w:kern w:val="2"/>
          <w:sz w:val="21"/>
          <w:szCs w:val="21"/>
          <w:highlight w:val="none"/>
          <w:lang w:val="en-US" w:eastAsia="zh-CN" w:bidi="ar-SA"/>
        </w:rPr>
        <w:t>。</w:t>
      </w:r>
    </w:p>
    <w:p w14:paraId="536A0ECD">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承</w:t>
      </w:r>
      <w:bookmarkStart w:id="1218" w:name="_Toc296503204"/>
      <w:bookmarkStart w:id="1219" w:name="_Toc297216205"/>
      <w:bookmarkStart w:id="1220" w:name="_Toc297120504"/>
      <w:bookmarkStart w:id="1221" w:name="_Toc300934995"/>
      <w:bookmarkStart w:id="1222" w:name="_Toc312677504"/>
      <w:bookmarkStart w:id="1223" w:name="_Toc312678030"/>
      <w:bookmarkStart w:id="1224" w:name="_Toc296346705"/>
      <w:bookmarkStart w:id="1225" w:name="_Toc318581175"/>
      <w:bookmarkStart w:id="1226" w:name="_Toc296347203"/>
      <w:bookmarkStart w:id="1227" w:name="_Toc296891032"/>
      <w:bookmarkStart w:id="1228" w:name="_Toc297048390"/>
      <w:bookmarkStart w:id="1229" w:name="_Toc303539152"/>
      <w:bookmarkStart w:id="1230" w:name="_Toc292559914"/>
      <w:bookmarkStart w:id="1231" w:name="_Toc292559409"/>
      <w:bookmarkStart w:id="1232" w:name="_Toc297123546"/>
      <w:bookmarkStart w:id="1233" w:name="_Toc304295571"/>
      <w:bookmarkStart w:id="1234" w:name="_Toc296891244"/>
      <w:bookmarkStart w:id="1235" w:name="_Toc296944543"/>
      <w:r>
        <w:rPr>
          <w:rFonts w:hint="eastAsia" w:ascii="宋体" w:hAnsi="宋体" w:eastAsia="宋体" w:cs="宋体"/>
          <w:color w:val="auto"/>
          <w:kern w:val="2"/>
          <w:sz w:val="21"/>
          <w:szCs w:val="21"/>
          <w:highlight w:val="none"/>
          <w:lang w:val="en-US" w:eastAsia="zh-CN" w:bidi="ar-SA"/>
        </w:rPr>
        <w:t>包人提出的合理化建议降低了合同价格或者提高了工程经济效益的奖励的方法和金额为：</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w:t>
      </w:r>
    </w:p>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p w14:paraId="7E677328">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1236" w:name="_Toc418518391"/>
      <w:bookmarkStart w:id="1237" w:name="_Toc497746826"/>
      <w:bookmarkStart w:id="1238" w:name="_Toc389065310"/>
      <w:bookmarkStart w:id="1239" w:name="_Toc418752287"/>
      <w:bookmarkStart w:id="1240" w:name="_Toc418061356"/>
      <w:bookmarkStart w:id="1241" w:name="_Toc256000223"/>
      <w:bookmarkStart w:id="1242" w:name="_Toc418751841"/>
      <w:bookmarkStart w:id="1243" w:name="_Toc373227744"/>
      <w:bookmarkStart w:id="1244" w:name="_Toc418518155"/>
      <w:bookmarkStart w:id="1245" w:name="_Toc9456"/>
      <w:bookmarkStart w:id="1246" w:name="_Toc373478391"/>
      <w:bookmarkStart w:id="1247" w:name="_Toc403578979"/>
      <w:bookmarkStart w:id="1248" w:name="_Toc522201772"/>
      <w:bookmarkStart w:id="1249" w:name="_Toc497747223"/>
      <w:r>
        <w:rPr>
          <w:rFonts w:hint="eastAsia" w:ascii="宋体" w:hAnsi="宋体" w:eastAsia="宋体" w:cs="宋体"/>
          <w:b/>
          <w:bCs/>
          <w:color w:val="auto"/>
          <w:kern w:val="44"/>
          <w:sz w:val="21"/>
          <w:szCs w:val="21"/>
          <w:highlight w:val="none"/>
          <w:lang w:val="en-US" w:eastAsia="zh-CN" w:bidi="ar-SA"/>
        </w:rPr>
        <w:t>1</w:t>
      </w:r>
      <w:bookmarkStart w:id="1250" w:name="_Toc296503199"/>
      <w:bookmarkStart w:id="1251" w:name="_Toc312678033"/>
      <w:bookmarkStart w:id="1252" w:name="_Toc296891027"/>
      <w:bookmarkStart w:id="1253" w:name="_Toc297120499"/>
      <w:bookmarkStart w:id="1254" w:name="_Toc297048385"/>
      <w:bookmarkStart w:id="1255" w:name="_Toc304295574"/>
      <w:bookmarkStart w:id="1256" w:name="_Toc297123548"/>
      <w:bookmarkStart w:id="1257" w:name="_Toc303539154"/>
      <w:bookmarkStart w:id="1258" w:name="_Toc296944538"/>
      <w:bookmarkStart w:id="1259" w:name="_Toc297216207"/>
      <w:bookmarkStart w:id="1260" w:name="_Toc292559404"/>
      <w:bookmarkStart w:id="1261" w:name="_Toc292559909"/>
      <w:bookmarkStart w:id="1262" w:name="_Toc300934997"/>
      <w:bookmarkStart w:id="1263" w:name="_Toc312677507"/>
      <w:bookmarkStart w:id="1264" w:name="_Toc296891239"/>
      <w:bookmarkStart w:id="1265" w:name="_Toc296346700"/>
      <w:bookmarkStart w:id="1266" w:name="_Toc296347198"/>
      <w:r>
        <w:rPr>
          <w:rFonts w:hint="eastAsia" w:ascii="宋体" w:hAnsi="宋体" w:eastAsia="宋体" w:cs="宋体"/>
          <w:b/>
          <w:bCs/>
          <w:color w:val="auto"/>
          <w:kern w:val="44"/>
          <w:sz w:val="21"/>
          <w:szCs w:val="21"/>
          <w:highlight w:val="none"/>
          <w:lang w:val="en-US" w:eastAsia="zh-CN" w:bidi="ar-SA"/>
        </w:rPr>
        <w:t>0.7 暂估价</w:t>
      </w:r>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p>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p w14:paraId="299C8677">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暂</w:t>
      </w:r>
      <w:bookmarkStart w:id="1267" w:name="_Toc318581176"/>
      <w:bookmarkStart w:id="1268" w:name="_Toc312677508"/>
      <w:bookmarkStart w:id="1269" w:name="_Toc312678034"/>
      <w:r>
        <w:rPr>
          <w:rFonts w:hint="eastAsia" w:ascii="宋体" w:hAnsi="宋体" w:eastAsia="宋体" w:cs="宋体"/>
          <w:color w:val="auto"/>
          <w:kern w:val="0"/>
          <w:sz w:val="21"/>
          <w:szCs w:val="21"/>
          <w:highlight w:val="none"/>
          <w:lang w:val="en-US" w:eastAsia="zh-CN" w:bidi="ar-SA"/>
        </w:rPr>
        <w:t>估价材料和工程设备的明细详见已标价工程量清单《</w:t>
      </w:r>
      <w:r>
        <w:rPr>
          <w:rFonts w:hint="eastAsia" w:ascii="宋体" w:hAnsi="宋体" w:eastAsia="宋体" w:cs="宋体"/>
          <w:color w:val="auto"/>
          <w:kern w:val="2"/>
          <w:sz w:val="21"/>
          <w:szCs w:val="21"/>
          <w:highlight w:val="none"/>
          <w:lang w:val="en-US" w:eastAsia="zh-CN" w:bidi="ar-SA"/>
        </w:rPr>
        <w:t>材料（工程设备）暂估价格及调整表》</w:t>
      </w:r>
      <w:r>
        <w:rPr>
          <w:rFonts w:hint="eastAsia" w:ascii="宋体" w:hAnsi="宋体" w:eastAsia="宋体" w:cs="宋体"/>
          <w:color w:val="auto"/>
          <w:kern w:val="0"/>
          <w:sz w:val="21"/>
          <w:szCs w:val="21"/>
          <w:highlight w:val="none"/>
          <w:lang w:val="en-US" w:eastAsia="zh-CN" w:bidi="ar-SA"/>
        </w:rPr>
        <w:t>（表12-2）和《</w:t>
      </w:r>
      <w:r>
        <w:rPr>
          <w:rFonts w:hint="eastAsia" w:ascii="宋体" w:hAnsi="宋体" w:eastAsia="宋体" w:cs="宋体"/>
          <w:color w:val="auto"/>
          <w:kern w:val="2"/>
          <w:sz w:val="21"/>
          <w:szCs w:val="21"/>
          <w:highlight w:val="none"/>
          <w:lang w:val="en-US" w:eastAsia="zh-CN" w:bidi="ar-SA"/>
        </w:rPr>
        <w:t>专业工程暂估价表》（</w:t>
      </w:r>
      <w:r>
        <w:rPr>
          <w:rFonts w:hint="eastAsia" w:ascii="宋体" w:hAnsi="宋体" w:eastAsia="宋体" w:cs="宋体"/>
          <w:color w:val="auto"/>
          <w:kern w:val="0"/>
          <w:sz w:val="21"/>
          <w:szCs w:val="21"/>
          <w:highlight w:val="none"/>
          <w:lang w:val="en-US" w:eastAsia="zh-CN" w:bidi="ar-SA"/>
        </w:rPr>
        <w:t>表12-3）。</w:t>
      </w:r>
    </w:p>
    <w:bookmarkEnd w:id="1267"/>
    <w:bookmarkEnd w:id="1268"/>
    <w:bookmarkEnd w:id="1269"/>
    <w:p w14:paraId="0BDA1A09">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bookmarkStart w:id="1270" w:name="_Toc318581177"/>
      <w:bookmarkStart w:id="1271" w:name="_Toc312677509"/>
      <w:bookmarkStart w:id="1272" w:name="_Toc312678035"/>
      <w:r>
        <w:rPr>
          <w:rFonts w:hint="eastAsia" w:ascii="宋体" w:hAnsi="宋体" w:eastAsia="宋体" w:cs="宋体"/>
          <w:color w:val="auto"/>
          <w:kern w:val="2"/>
          <w:sz w:val="21"/>
          <w:szCs w:val="21"/>
          <w:highlight w:val="none"/>
          <w:lang w:val="en-US" w:eastAsia="zh-CN" w:bidi="ar-SA"/>
        </w:rPr>
        <w:t>0.7.1 依法必须招标的暂估价项目</w:t>
      </w:r>
    </w:p>
    <w:bookmarkEnd w:id="1270"/>
    <w:bookmarkEnd w:id="1271"/>
    <w:bookmarkEnd w:id="1272"/>
    <w:p w14:paraId="196CCCA8">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对于依法必须招标的暂估价项目的确认和批准采取第</w:t>
      </w:r>
      <w:r>
        <w:rPr>
          <w:rFonts w:hint="eastAsia" w:ascii="宋体" w:hAnsi="宋体" w:eastAsia="宋体" w:cs="宋体"/>
          <w:color w:val="auto"/>
          <w:kern w:val="2"/>
          <w:sz w:val="21"/>
          <w:szCs w:val="21"/>
          <w:highlight w:val="none"/>
          <w:u w:val="single"/>
          <w:lang w:val="en-US" w:eastAsia="zh-CN" w:bidi="ar-SA"/>
        </w:rPr>
        <w:t xml:space="preserve">  2  </w:t>
      </w:r>
      <w:r>
        <w:rPr>
          <w:rFonts w:hint="eastAsia" w:ascii="宋体" w:hAnsi="宋体" w:eastAsia="宋体" w:cs="宋体"/>
          <w:color w:val="auto"/>
          <w:kern w:val="2"/>
          <w:sz w:val="21"/>
          <w:szCs w:val="21"/>
          <w:highlight w:val="none"/>
          <w:lang w:val="en-US" w:eastAsia="zh-CN" w:bidi="ar-SA"/>
        </w:rPr>
        <w:t>种方式确定。</w:t>
      </w:r>
    </w:p>
    <w:p w14:paraId="1F30E1F9">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10.7.2 不属于依法必须招标的暂估价项目</w:t>
      </w:r>
    </w:p>
    <w:p w14:paraId="5CDBF6AD">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对于不属于依法必须招标的暂估价项目的确认和批准采取第</w:t>
      </w:r>
      <w:r>
        <w:rPr>
          <w:rFonts w:hint="eastAsia" w:ascii="宋体" w:hAnsi="宋体" w:eastAsia="宋体" w:cs="宋体"/>
          <w:color w:val="auto"/>
          <w:kern w:val="2"/>
          <w:sz w:val="21"/>
          <w:szCs w:val="21"/>
          <w:highlight w:val="none"/>
          <w:u w:val="single"/>
          <w:lang w:val="en-US" w:eastAsia="zh-CN" w:bidi="ar-SA"/>
        </w:rPr>
        <w:t xml:space="preserve"> 1 </w:t>
      </w:r>
      <w:r>
        <w:rPr>
          <w:rFonts w:hint="eastAsia" w:ascii="宋体" w:hAnsi="宋体" w:eastAsia="宋体" w:cs="宋体"/>
          <w:color w:val="auto"/>
          <w:kern w:val="2"/>
          <w:sz w:val="21"/>
          <w:szCs w:val="21"/>
          <w:highlight w:val="none"/>
          <w:lang w:val="en-US" w:eastAsia="zh-CN" w:bidi="ar-SA"/>
        </w:rPr>
        <w:t xml:space="preserve"> 种方式确定。</w:t>
      </w:r>
    </w:p>
    <w:p w14:paraId="39506F4E">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第3种方式：</w:t>
      </w:r>
      <w:r>
        <w:rPr>
          <w:rFonts w:hint="eastAsia" w:ascii="宋体" w:hAnsi="宋体" w:eastAsia="宋体" w:cs="宋体"/>
          <w:color w:val="auto"/>
          <w:kern w:val="0"/>
          <w:sz w:val="21"/>
          <w:szCs w:val="21"/>
          <w:highlight w:val="none"/>
          <w:lang w:val="en-US" w:eastAsia="zh-CN" w:bidi="ar-SA"/>
        </w:rPr>
        <w:t>承包人直接实施的暂估价项目</w:t>
      </w:r>
    </w:p>
    <w:p w14:paraId="37AF0F0A">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承包人直接实施的暂估价项目的约定：</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w:t>
      </w:r>
    </w:p>
    <w:p w14:paraId="26E6A3D0">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1273" w:name="_Toc418518392"/>
      <w:bookmarkStart w:id="1274" w:name="_Toc522201773"/>
      <w:bookmarkStart w:id="1275" w:name="_Toc418751842"/>
      <w:bookmarkStart w:id="1276" w:name="_Toc418518156"/>
      <w:bookmarkStart w:id="1277" w:name="_Toc497746827"/>
      <w:bookmarkStart w:id="1278" w:name="_Toc497747224"/>
      <w:bookmarkStart w:id="1279" w:name="_Toc373478392"/>
      <w:bookmarkStart w:id="1280" w:name="_Toc256000224"/>
      <w:bookmarkStart w:id="1281" w:name="_Toc403578980"/>
      <w:bookmarkStart w:id="1282" w:name="_Toc31409"/>
      <w:bookmarkStart w:id="1283" w:name="_Toc418752288"/>
      <w:bookmarkStart w:id="1284" w:name="_Toc389065311"/>
      <w:bookmarkStart w:id="1285" w:name="_Toc373227745"/>
      <w:bookmarkStart w:id="1286" w:name="_Toc418061357"/>
      <w:r>
        <w:rPr>
          <w:rFonts w:hint="eastAsia" w:ascii="宋体" w:hAnsi="宋体" w:eastAsia="宋体" w:cs="宋体"/>
          <w:b/>
          <w:bCs/>
          <w:color w:val="auto"/>
          <w:kern w:val="44"/>
          <w:sz w:val="21"/>
          <w:szCs w:val="21"/>
          <w:highlight w:val="none"/>
          <w:lang w:val="en-US" w:eastAsia="zh-CN" w:bidi="ar-SA"/>
        </w:rPr>
        <w:t>10.8 暂列金额</w:t>
      </w:r>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p>
    <w:p w14:paraId="7D9BA24F">
      <w:pPr>
        <w:widowControl w:val="0"/>
        <w:autoSpaceDE w:val="0"/>
        <w:autoSpaceDN w:val="0"/>
        <w:adjustRightInd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合同当事人关于暂列金额使用的约定：</w:t>
      </w:r>
      <w:r>
        <w:rPr>
          <w:rFonts w:hint="eastAsia" w:ascii="宋体" w:hAnsi="宋体" w:eastAsia="宋体" w:cs="宋体"/>
          <w:color w:val="auto"/>
          <w:kern w:val="2"/>
          <w:sz w:val="21"/>
          <w:szCs w:val="21"/>
          <w:highlight w:val="none"/>
          <w:u w:val="single"/>
          <w:lang w:val="en-US" w:eastAsia="zh-CN" w:bidi="ar-SA"/>
        </w:rPr>
        <w:t xml:space="preserve">（1）已签约合同价中的暂列金额由发包人掌握使用。（2）发包人按照规定所作支付后，暂列金额如有余额归发包人 </w:t>
      </w:r>
      <w:r>
        <w:rPr>
          <w:rFonts w:hint="eastAsia" w:ascii="宋体" w:hAnsi="宋体" w:eastAsia="宋体" w:cs="宋体"/>
          <w:color w:val="auto"/>
          <w:kern w:val="0"/>
          <w:sz w:val="21"/>
          <w:szCs w:val="21"/>
          <w:highlight w:val="none"/>
          <w:lang w:val="en-US" w:eastAsia="zh-CN" w:bidi="ar-SA"/>
        </w:rPr>
        <w:t>。</w:t>
      </w:r>
    </w:p>
    <w:p w14:paraId="6C893C83">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bookmarkStart w:id="1287" w:name="_Toc418752289"/>
      <w:bookmarkStart w:id="1288" w:name="_Toc418518157"/>
      <w:bookmarkStart w:id="1289" w:name="_Toc256000225"/>
      <w:bookmarkStart w:id="1290" w:name="_Toc373227746"/>
      <w:bookmarkStart w:id="1291" w:name="_Toc389065312"/>
      <w:bookmarkStart w:id="1292" w:name="_Toc497746828"/>
      <w:bookmarkStart w:id="1293" w:name="_Toc418061358"/>
      <w:bookmarkStart w:id="1294" w:name="_Toc403578981"/>
      <w:bookmarkStart w:id="1295" w:name="_Toc418518393"/>
      <w:bookmarkStart w:id="1296" w:name="_Toc351203643"/>
      <w:bookmarkStart w:id="1297" w:name="_Toc497747225"/>
      <w:bookmarkStart w:id="1298" w:name="_Toc522201774"/>
      <w:bookmarkStart w:id="1299" w:name="_Toc418751843"/>
      <w:bookmarkStart w:id="1300" w:name="_Toc24560"/>
      <w:bookmarkStart w:id="1301" w:name="_Toc373478393"/>
      <w:r>
        <w:rPr>
          <w:rFonts w:hint="eastAsia" w:ascii="宋体" w:hAnsi="宋体" w:eastAsia="宋体" w:cs="宋体"/>
          <w:b/>
          <w:bCs/>
          <w:color w:val="auto"/>
          <w:kern w:val="44"/>
          <w:sz w:val="21"/>
          <w:szCs w:val="21"/>
          <w:highlight w:val="none"/>
          <w:lang w:val="en-US" w:eastAsia="zh-CN" w:bidi="ar-SA"/>
        </w:rPr>
        <w:t>11. 价格调整</w:t>
      </w:r>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p>
    <w:p w14:paraId="42276A44">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1302" w:name="_Toc497746829"/>
      <w:bookmarkStart w:id="1303" w:name="_Toc418518158"/>
      <w:bookmarkStart w:id="1304" w:name="_Toc373227747"/>
      <w:bookmarkStart w:id="1305" w:name="_Toc418061359"/>
      <w:bookmarkStart w:id="1306" w:name="_Toc256000226"/>
      <w:bookmarkStart w:id="1307" w:name="_Toc403578982"/>
      <w:bookmarkStart w:id="1308" w:name="_Toc418752290"/>
      <w:bookmarkStart w:id="1309" w:name="_Toc522201775"/>
      <w:bookmarkStart w:id="1310" w:name="_Toc389065313"/>
      <w:bookmarkStart w:id="1311" w:name="_Toc497747226"/>
      <w:bookmarkStart w:id="1312" w:name="_Toc418518394"/>
      <w:bookmarkStart w:id="1313" w:name="_Toc418751844"/>
      <w:bookmarkStart w:id="1314" w:name="_Toc373478394"/>
      <w:bookmarkStart w:id="1315" w:name="_Toc12517"/>
      <w:bookmarkStart w:id="1316" w:name="_Toc292559911"/>
      <w:bookmarkStart w:id="1317" w:name="_Toc297123550"/>
      <w:bookmarkStart w:id="1318" w:name="_Toc297216209"/>
      <w:bookmarkStart w:id="1319" w:name="_Toc296346702"/>
      <w:bookmarkStart w:id="1320" w:name="_Toc296944540"/>
      <w:bookmarkStart w:id="1321" w:name="_Toc297048387"/>
      <w:bookmarkStart w:id="1322" w:name="_Toc296891241"/>
      <w:bookmarkStart w:id="1323" w:name="_Toc312678039"/>
      <w:bookmarkStart w:id="1324" w:name="_Toc303539157"/>
      <w:bookmarkStart w:id="1325" w:name="_Toc304295577"/>
      <w:bookmarkStart w:id="1326" w:name="_Toc296347200"/>
      <w:bookmarkStart w:id="1327" w:name="_Toc300935000"/>
      <w:bookmarkStart w:id="1328" w:name="_Toc292559406"/>
      <w:bookmarkStart w:id="1329" w:name="_Toc296503201"/>
      <w:bookmarkStart w:id="1330" w:name="_Toc297120501"/>
      <w:bookmarkStart w:id="1331" w:name="_Toc296891029"/>
      <w:r>
        <w:rPr>
          <w:rFonts w:hint="eastAsia" w:ascii="宋体" w:hAnsi="宋体" w:eastAsia="宋体" w:cs="宋体"/>
          <w:b/>
          <w:bCs/>
          <w:color w:val="auto"/>
          <w:kern w:val="44"/>
          <w:sz w:val="21"/>
          <w:szCs w:val="21"/>
          <w:highlight w:val="none"/>
          <w:lang w:val="en-US" w:eastAsia="zh-CN" w:bidi="ar-SA"/>
        </w:rPr>
        <w:t>11.1 市场价格波动引起的调整</w:t>
      </w:r>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p>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p w14:paraId="393D7785">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市场价格波动是否调整合同价格的约定：</w:t>
      </w:r>
      <w:r>
        <w:rPr>
          <w:rFonts w:hint="eastAsia" w:ascii="宋体" w:hAnsi="宋体" w:eastAsia="宋体" w:cs="宋体"/>
          <w:b/>
          <w:bCs/>
          <w:color w:val="auto"/>
          <w:kern w:val="2"/>
          <w:sz w:val="21"/>
          <w:szCs w:val="21"/>
          <w:highlight w:val="none"/>
          <w:u w:val="single"/>
          <w:lang w:val="en-US" w:eastAsia="zh-CN" w:bidi="ar-SA"/>
        </w:rPr>
        <w:t xml:space="preserve">不调整 </w:t>
      </w:r>
      <w:r>
        <w:rPr>
          <w:rFonts w:hint="eastAsia" w:ascii="宋体" w:hAnsi="宋体" w:eastAsia="宋体" w:cs="宋体"/>
          <w:color w:val="auto"/>
          <w:kern w:val="2"/>
          <w:sz w:val="21"/>
          <w:szCs w:val="21"/>
          <w:highlight w:val="none"/>
          <w:lang w:val="en-US" w:eastAsia="zh-CN" w:bidi="ar-SA"/>
        </w:rPr>
        <w:t>。</w:t>
      </w:r>
    </w:p>
    <w:p w14:paraId="2629BB94">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因市场价格波动调整合同价格，采用以下第</w:t>
      </w:r>
      <w:r>
        <w:rPr>
          <w:rFonts w:hint="eastAsia" w:ascii="宋体" w:hAnsi="宋体" w:eastAsia="宋体" w:cs="宋体"/>
          <w:color w:val="auto"/>
          <w:kern w:val="2"/>
          <w:sz w:val="21"/>
          <w:szCs w:val="21"/>
          <w:highlight w:val="none"/>
          <w:u w:val="single"/>
          <w:lang w:val="en-US" w:eastAsia="zh-CN" w:bidi="ar-SA"/>
        </w:rPr>
        <w:t>2</w:t>
      </w:r>
      <w:r>
        <w:rPr>
          <w:rFonts w:hint="eastAsia" w:ascii="宋体" w:hAnsi="宋体" w:eastAsia="宋体" w:cs="宋体"/>
          <w:color w:val="auto"/>
          <w:kern w:val="2"/>
          <w:sz w:val="21"/>
          <w:szCs w:val="21"/>
          <w:highlight w:val="none"/>
          <w:lang w:val="en-US" w:eastAsia="zh-CN" w:bidi="ar-SA"/>
        </w:rPr>
        <w:t>种方式对合同价格进行调整：</w:t>
      </w:r>
    </w:p>
    <w:p w14:paraId="026D0EEE">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第1种方式：采用价格指数进行价格调整。</w:t>
      </w:r>
    </w:p>
    <w:p w14:paraId="1AC304D3">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关于各可调因子、定值和变值权重，以及基本价格指数及其来源的约定：</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 xml:space="preserve">；  </w:t>
      </w:r>
    </w:p>
    <w:p w14:paraId="32DBF0AF">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第2种方式：采用造价信息进行价格调整。</w:t>
      </w:r>
    </w:p>
    <w:p w14:paraId="1DC49E2C">
      <w:pPr>
        <w:widowControl w:val="0"/>
        <w:spacing w:line="380" w:lineRule="exact"/>
        <w:ind w:firstLine="315" w:firstLineChars="15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（1）关于基准价格的约定： </w:t>
      </w:r>
      <w:r>
        <w:rPr>
          <w:rFonts w:hint="eastAsia" w:ascii="宋体" w:hAnsi="宋体" w:eastAsia="宋体" w:cs="Times New Roman"/>
          <w:color w:val="auto"/>
          <w:kern w:val="2"/>
          <w:sz w:val="21"/>
          <w:szCs w:val="21"/>
          <w:highlight w:val="none"/>
          <w:u w:val="single"/>
          <w:lang w:val="en-US" w:eastAsia="zh-CN" w:bidi="ar-SA"/>
        </w:rPr>
        <w:t>2025年第2期《桂林市建设工程造价信息》同期发布的信息价。</w:t>
      </w:r>
    </w:p>
    <w:p w14:paraId="7717C876">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w:t>
      </w:r>
      <w:r>
        <w:rPr>
          <w:rFonts w:hint="eastAsia" w:ascii="宋体" w:hAnsi="宋体" w:eastAsia="宋体" w:cs="宋体"/>
          <w:color w:val="auto"/>
          <w:kern w:val="0"/>
          <w:sz w:val="21"/>
          <w:szCs w:val="21"/>
          <w:highlight w:val="none"/>
          <w:lang w:val="en-US" w:eastAsia="zh-CN" w:bidi="ar-SA"/>
        </w:rPr>
        <w:t>标人应根据施工期间材料可能由于市场价格上涨（或下跌）因素自行考虑由此引起的风险并计入投标报价中，投标人应对自己的报价承担风险，除本合同约定的钢筋、水泥、商品混凝土、沥青混凝土、碎石、砂、片石、沥青、管材、石材、土方（含购土与弃土）等项材料价格可做调整外，其余材料价格不作调整。</w:t>
      </w:r>
    </w:p>
    <w:p w14:paraId="55AE7304">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①承包人在已标价工程量清单或预算书中载明的材料单价低于基准价格的，合同履行期间材料单价涨幅以基准价格为基础超过5%时，或材料单价跌幅以已标价工程量清单或预算书中载明材料单价为基础超过5%时，其超过部分据实调整。</w:t>
      </w:r>
    </w:p>
    <w:p w14:paraId="6077DD6B">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②承包人在已标价工程量清单或预算书中载明的材料单价高于基准价格的：专用合同条款合同履行期间材料单价跌幅以基准价格为基础超过5%时，材料单价涨幅以已标价工程量清单或预算书中载明材料单价为基础超过5%时，其超过部分据实调整。</w:t>
      </w:r>
    </w:p>
    <w:p w14:paraId="446744CE">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③承包人在已标价工程量清单或预算书中载明的材料单价等于基准单价的：专用合同条款合同履行期间材料单价涨跌幅以基准单价为基础超过±5%时，其超过部分据实调整。</w:t>
      </w:r>
    </w:p>
    <w:p w14:paraId="7A687B5E">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④除专用合同约定的钢筋、水泥、商品混凝土、沥青混凝土、碎石、砂、片石、沥青、管材、石材、土方</w:t>
      </w:r>
      <w:r>
        <w:rPr>
          <w:rFonts w:hint="eastAsia" w:ascii="宋体" w:hAnsi="宋体" w:eastAsia="宋体" w:cs="宋体"/>
          <w:color w:val="auto"/>
          <w:kern w:val="0"/>
          <w:sz w:val="21"/>
          <w:szCs w:val="21"/>
          <w:highlight w:val="none"/>
          <w:lang w:val="en-US" w:eastAsia="zh-CN" w:bidi="ar-SA"/>
        </w:rPr>
        <w:t>（含购土与弃土）</w:t>
      </w:r>
      <w:r>
        <w:rPr>
          <w:rFonts w:hint="eastAsia" w:ascii="宋体" w:hAnsi="宋体" w:eastAsia="宋体" w:cs="宋体"/>
          <w:color w:val="auto"/>
          <w:kern w:val="2"/>
          <w:sz w:val="21"/>
          <w:szCs w:val="21"/>
          <w:highlight w:val="none"/>
          <w:lang w:val="en-US" w:eastAsia="zh-CN" w:bidi="ar-SA"/>
        </w:rPr>
        <w:t>等项材料外，其余材料价格不做调整。调整方法：钢筋、水泥、商品混凝土、沥青混凝土、碎石、砂、片石、沥青、管材、石材、土方</w:t>
      </w:r>
      <w:r>
        <w:rPr>
          <w:rFonts w:hint="eastAsia" w:ascii="宋体" w:hAnsi="宋体" w:eastAsia="宋体" w:cs="宋体"/>
          <w:color w:val="auto"/>
          <w:kern w:val="0"/>
          <w:sz w:val="21"/>
          <w:szCs w:val="21"/>
          <w:highlight w:val="none"/>
          <w:lang w:val="en-US" w:eastAsia="zh-CN" w:bidi="ar-SA"/>
        </w:rPr>
        <w:t>（含购土与弃土）</w:t>
      </w:r>
      <w:r>
        <w:rPr>
          <w:rFonts w:hint="eastAsia" w:ascii="宋体" w:hAnsi="宋体" w:eastAsia="宋体" w:cs="宋体"/>
          <w:color w:val="auto"/>
          <w:kern w:val="2"/>
          <w:sz w:val="21"/>
          <w:szCs w:val="21"/>
          <w:highlight w:val="none"/>
          <w:lang w:val="en-US" w:eastAsia="zh-CN" w:bidi="ar-SA"/>
        </w:rPr>
        <w:t>价格超过部分×中标下浮系数（中标人的投标报价÷预算价），该部分费用列入税前独立费。</w:t>
      </w:r>
    </w:p>
    <w:p w14:paraId="1DC07696">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在工程施工期间，国家及地区如有新的人工费调整政策文件出台，可按国家及地区相关文件进行人工费调差。</w:t>
      </w:r>
    </w:p>
    <w:p w14:paraId="65C649EA">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第3种方式：</w:t>
      </w:r>
      <w:r>
        <w:rPr>
          <w:rFonts w:hint="eastAsia" w:ascii="宋体" w:hAnsi="宋体" w:eastAsia="宋体" w:cs="宋体"/>
          <w:color w:val="auto"/>
          <w:kern w:val="2"/>
          <w:sz w:val="21"/>
          <w:szCs w:val="21"/>
          <w:highlight w:val="none"/>
          <w:u w:val="single"/>
          <w:lang w:val="en-US" w:eastAsia="zh-CN" w:bidi="ar-SA"/>
        </w:rPr>
        <w:t xml:space="preserve">  </w:t>
      </w:r>
      <w:r>
        <w:rPr>
          <w:rFonts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14:paraId="23F61065">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bookmarkStart w:id="1332" w:name="_Toc296891245"/>
      <w:bookmarkStart w:id="1333" w:name="_Toc296891033"/>
      <w:bookmarkStart w:id="1334" w:name="_Toc297048391"/>
      <w:bookmarkStart w:id="1335" w:name="_Toc297120505"/>
      <w:bookmarkStart w:id="1336" w:name="_Toc292559410"/>
      <w:bookmarkStart w:id="1337" w:name="_Toc292559915"/>
      <w:bookmarkStart w:id="1338" w:name="_Toc296944544"/>
      <w:bookmarkStart w:id="1339" w:name="_Toc296503205"/>
      <w:bookmarkStart w:id="1340" w:name="_Toc296346706"/>
      <w:bookmarkStart w:id="1341" w:name="_Toc296347204"/>
      <w:bookmarkStart w:id="1342" w:name="_Toc418751845"/>
      <w:bookmarkStart w:id="1343" w:name="_Toc256000227"/>
      <w:bookmarkStart w:id="1344" w:name="_Toc351203644"/>
      <w:bookmarkStart w:id="1345" w:name="_Toc418061360"/>
      <w:bookmarkStart w:id="1346" w:name="_Toc418518159"/>
      <w:bookmarkStart w:id="1347" w:name="_Toc373227748"/>
      <w:bookmarkStart w:id="1348" w:name="_Toc418752291"/>
      <w:bookmarkStart w:id="1349" w:name="_Toc418518395"/>
      <w:bookmarkStart w:id="1350" w:name="_Toc497747227"/>
      <w:bookmarkStart w:id="1351" w:name="_Toc24415"/>
      <w:bookmarkStart w:id="1352" w:name="_Toc403578983"/>
      <w:bookmarkStart w:id="1353" w:name="_Toc522201776"/>
      <w:bookmarkStart w:id="1354" w:name="_Toc497746830"/>
      <w:bookmarkStart w:id="1355" w:name="_Toc373478395"/>
      <w:bookmarkStart w:id="1356" w:name="_Toc312678040"/>
      <w:bookmarkStart w:id="1357" w:name="_Toc297216211"/>
      <w:bookmarkStart w:id="1358" w:name="_Toc297123552"/>
      <w:bookmarkStart w:id="1359" w:name="_Toc304295579"/>
      <w:bookmarkStart w:id="1360" w:name="_Toc300935002"/>
      <w:bookmarkStart w:id="1361" w:name="_Toc303539159"/>
      <w:r>
        <w:rPr>
          <w:rFonts w:hint="eastAsia" w:ascii="宋体" w:hAnsi="宋体" w:eastAsia="宋体" w:cs="宋体"/>
          <w:b/>
          <w:bCs/>
          <w:color w:val="auto"/>
          <w:kern w:val="44"/>
          <w:sz w:val="21"/>
          <w:szCs w:val="21"/>
          <w:highlight w:val="none"/>
          <w:lang w:val="en-US" w:eastAsia="zh-CN" w:bidi="ar-SA"/>
        </w:rPr>
        <w:t xml:space="preserve">12. </w:t>
      </w:r>
      <w:bookmarkEnd w:id="1332"/>
      <w:bookmarkEnd w:id="1333"/>
      <w:bookmarkEnd w:id="1334"/>
      <w:bookmarkEnd w:id="1335"/>
      <w:bookmarkEnd w:id="1336"/>
      <w:bookmarkEnd w:id="1337"/>
      <w:bookmarkEnd w:id="1338"/>
      <w:bookmarkEnd w:id="1339"/>
      <w:bookmarkEnd w:id="1340"/>
      <w:bookmarkEnd w:id="1341"/>
      <w:r>
        <w:rPr>
          <w:rFonts w:hint="eastAsia" w:ascii="宋体" w:hAnsi="宋体" w:eastAsia="宋体" w:cs="宋体"/>
          <w:b/>
          <w:bCs/>
          <w:color w:val="auto"/>
          <w:kern w:val="44"/>
          <w:sz w:val="21"/>
          <w:szCs w:val="21"/>
          <w:highlight w:val="none"/>
          <w:lang w:val="en-US" w:eastAsia="zh-CN" w:bidi="ar-SA"/>
        </w:rPr>
        <w:t>合同价格、计量与支付</w:t>
      </w:r>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p>
    <w:bookmarkEnd w:id="1356"/>
    <w:bookmarkEnd w:id="1357"/>
    <w:bookmarkEnd w:id="1358"/>
    <w:bookmarkEnd w:id="1359"/>
    <w:bookmarkEnd w:id="1360"/>
    <w:bookmarkEnd w:id="1361"/>
    <w:p w14:paraId="52C95E0E">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1362" w:name="_Toc292559916"/>
      <w:bookmarkStart w:id="1363" w:name="_Toc267251461"/>
      <w:bookmarkStart w:id="1364" w:name="_Toc292559411"/>
      <w:bookmarkStart w:id="1365" w:name="_Toc297120506"/>
      <w:bookmarkStart w:id="1366" w:name="_Toc296346707"/>
      <w:bookmarkStart w:id="1367" w:name="_Toc296891246"/>
      <w:bookmarkStart w:id="1368" w:name="_Toc297048392"/>
      <w:bookmarkStart w:id="1369" w:name="_Toc296944545"/>
      <w:bookmarkStart w:id="1370" w:name="_Toc296503206"/>
      <w:bookmarkStart w:id="1371" w:name="_Toc296347205"/>
      <w:bookmarkStart w:id="1372" w:name="_Toc296891034"/>
      <w:bookmarkStart w:id="1373" w:name="_Toc418518160"/>
      <w:bookmarkStart w:id="1374" w:name="_Toc373478396"/>
      <w:bookmarkStart w:id="1375" w:name="_Toc256000228"/>
      <w:bookmarkStart w:id="1376" w:name="_Toc497747228"/>
      <w:bookmarkStart w:id="1377" w:name="_Toc373227749"/>
      <w:bookmarkStart w:id="1378" w:name="_Toc403578984"/>
      <w:bookmarkStart w:id="1379" w:name="_Toc418061361"/>
      <w:bookmarkStart w:id="1380" w:name="_Toc17812"/>
      <w:bookmarkStart w:id="1381" w:name="_Toc497746831"/>
      <w:bookmarkStart w:id="1382" w:name="_Toc389065314"/>
      <w:bookmarkStart w:id="1383" w:name="_Toc522201777"/>
      <w:bookmarkStart w:id="1384" w:name="_Toc418751846"/>
      <w:bookmarkStart w:id="1385" w:name="_Toc418752292"/>
      <w:bookmarkStart w:id="1386" w:name="_Toc418518396"/>
      <w:bookmarkStart w:id="1387" w:name="_Toc297216212"/>
      <w:bookmarkStart w:id="1388" w:name="_Toc297123553"/>
      <w:bookmarkStart w:id="1389" w:name="_Toc312678041"/>
      <w:bookmarkStart w:id="1390" w:name="_Toc303539160"/>
      <w:bookmarkStart w:id="1391" w:name="_Toc304295580"/>
      <w:bookmarkStart w:id="1392" w:name="_Toc300935003"/>
      <w:r>
        <w:rPr>
          <w:rFonts w:hint="eastAsia" w:ascii="宋体" w:hAnsi="宋体" w:eastAsia="宋体" w:cs="宋体"/>
          <w:b/>
          <w:bCs/>
          <w:color w:val="auto"/>
          <w:kern w:val="44"/>
          <w:sz w:val="21"/>
          <w:szCs w:val="21"/>
          <w:highlight w:val="none"/>
          <w:lang w:val="en-US" w:eastAsia="zh-CN" w:bidi="ar-SA"/>
        </w:rPr>
        <w:t>12.1 合</w:t>
      </w:r>
      <w:bookmarkEnd w:id="1362"/>
      <w:bookmarkEnd w:id="1363"/>
      <w:bookmarkEnd w:id="1364"/>
      <w:r>
        <w:rPr>
          <w:rFonts w:hint="eastAsia" w:ascii="宋体" w:hAnsi="宋体" w:eastAsia="宋体" w:cs="宋体"/>
          <w:b/>
          <w:bCs/>
          <w:color w:val="auto"/>
          <w:kern w:val="44"/>
          <w:sz w:val="21"/>
          <w:szCs w:val="21"/>
          <w:highlight w:val="none"/>
          <w:lang w:val="en-US" w:eastAsia="zh-CN" w:bidi="ar-SA"/>
        </w:rPr>
        <w:t>同价</w:t>
      </w:r>
      <w:bookmarkEnd w:id="1365"/>
      <w:bookmarkEnd w:id="1366"/>
      <w:bookmarkEnd w:id="1367"/>
      <w:bookmarkEnd w:id="1368"/>
      <w:bookmarkEnd w:id="1369"/>
      <w:bookmarkEnd w:id="1370"/>
      <w:bookmarkEnd w:id="1371"/>
      <w:bookmarkEnd w:id="1372"/>
      <w:r>
        <w:rPr>
          <w:rFonts w:hint="eastAsia" w:ascii="宋体" w:hAnsi="宋体" w:eastAsia="宋体" w:cs="宋体"/>
          <w:b/>
          <w:bCs/>
          <w:color w:val="auto"/>
          <w:kern w:val="44"/>
          <w:sz w:val="21"/>
          <w:szCs w:val="21"/>
          <w:highlight w:val="none"/>
          <w:lang w:val="en-US" w:eastAsia="zh-CN" w:bidi="ar-SA"/>
        </w:rPr>
        <w:t>格形式</w:t>
      </w:r>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p>
    <w:bookmarkEnd w:id="1387"/>
    <w:bookmarkEnd w:id="1388"/>
    <w:bookmarkEnd w:id="1389"/>
    <w:bookmarkEnd w:id="1390"/>
    <w:bookmarkEnd w:id="1391"/>
    <w:bookmarkEnd w:id="1392"/>
    <w:p w14:paraId="345D89FC">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bookmarkStart w:id="1393" w:name="_Toc373478397"/>
      <w:bookmarkStart w:id="1394" w:name="_Toc304295581"/>
      <w:bookmarkStart w:id="1395" w:name="_Toc373227750"/>
      <w:bookmarkStart w:id="1396" w:name="_Toc312678042"/>
      <w:bookmarkStart w:id="1397" w:name="_Toc303539161"/>
      <w:bookmarkStart w:id="1398" w:name="_Toc297216213"/>
      <w:bookmarkStart w:id="1399" w:name="_Toc389065315"/>
      <w:bookmarkStart w:id="1400" w:name="_Toc300935004"/>
      <w:bookmarkStart w:id="1401" w:name="_Toc297123554"/>
      <w:bookmarkStart w:id="1402" w:name="_Toc296503207"/>
      <w:bookmarkStart w:id="1403" w:name="_Toc296891035"/>
      <w:bookmarkStart w:id="1404" w:name="_Toc296891247"/>
      <w:bookmarkStart w:id="1405" w:name="_Toc297048393"/>
      <w:bookmarkStart w:id="1406" w:name="_Toc292559412"/>
      <w:bookmarkStart w:id="1407" w:name="_Toc292559917"/>
      <w:bookmarkStart w:id="1408" w:name="_Toc297120507"/>
      <w:bookmarkStart w:id="1409" w:name="_Toc296944546"/>
      <w:bookmarkStart w:id="1410" w:name="_Toc296346708"/>
      <w:bookmarkStart w:id="1411" w:name="_Toc296347206"/>
      <w:r>
        <w:rPr>
          <w:rFonts w:hint="eastAsia" w:ascii="宋体" w:hAnsi="宋体" w:eastAsia="宋体" w:cs="宋体"/>
          <w:color w:val="auto"/>
          <w:kern w:val="2"/>
          <w:sz w:val="21"/>
          <w:szCs w:val="21"/>
          <w:highlight w:val="none"/>
          <w:lang w:val="en-US" w:eastAsia="zh-CN" w:bidi="ar-SA"/>
        </w:rPr>
        <w:t>（1）单价合同。</w:t>
      </w:r>
    </w:p>
    <w:p w14:paraId="1ED6FE06">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本合同价款采用</w:t>
      </w:r>
      <w:r>
        <w:rPr>
          <w:rFonts w:hint="eastAsia" w:ascii="宋体" w:hAnsi="宋体" w:eastAsia="宋体" w:cs="宋体"/>
          <w:color w:val="auto"/>
          <w:kern w:val="2"/>
          <w:sz w:val="21"/>
          <w:szCs w:val="21"/>
          <w:highlight w:val="none"/>
          <w:u w:val="single"/>
          <w:lang w:val="en-US" w:eastAsia="zh-CN" w:bidi="ar-SA"/>
        </w:rPr>
        <w:t>固定综合单价方式</w:t>
      </w:r>
      <w:r>
        <w:rPr>
          <w:rFonts w:hint="eastAsia" w:ascii="宋体" w:hAnsi="宋体" w:eastAsia="宋体" w:cs="宋体"/>
          <w:color w:val="auto"/>
          <w:kern w:val="2"/>
          <w:sz w:val="21"/>
          <w:szCs w:val="21"/>
          <w:highlight w:val="none"/>
          <w:lang w:val="en-US" w:eastAsia="zh-CN" w:bidi="ar-SA"/>
        </w:rPr>
        <w:t>确定。</w:t>
      </w:r>
    </w:p>
    <w:p w14:paraId="3F294807">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综合单价包含的风险范围：</w:t>
      </w:r>
      <w:r>
        <w:rPr>
          <w:rFonts w:hint="eastAsia" w:ascii="宋体" w:hAnsi="宋体" w:eastAsia="宋体" w:cs="宋体"/>
          <w:color w:val="auto"/>
          <w:kern w:val="2"/>
          <w:sz w:val="21"/>
          <w:szCs w:val="21"/>
          <w:highlight w:val="none"/>
          <w:u w:val="single"/>
          <w:lang w:val="en-US" w:eastAsia="zh-CN" w:bidi="ar-SA"/>
        </w:rPr>
        <w:t>除工程变更、政策性调整、本合同约定的材料、设备价格变动风险以外因素。</w:t>
      </w:r>
    </w:p>
    <w:p w14:paraId="6B78E110">
      <w:pPr>
        <w:widowControl w:val="0"/>
        <w:spacing w:line="380" w:lineRule="exact"/>
        <w:ind w:firstLine="441" w:firstLineChars="21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风险范围以外合同价格的调整方法：</w:t>
      </w:r>
    </w:p>
    <w:p w14:paraId="3E23191A">
      <w:pPr>
        <w:widowControl w:val="0"/>
        <w:spacing w:line="380" w:lineRule="exact"/>
        <w:ind w:firstLine="441" w:firstLineChars="21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①工程变更：按10.4.1变更估价原则的约定调整。</w:t>
      </w:r>
    </w:p>
    <w:p w14:paraId="71DD364B">
      <w:pPr>
        <w:widowControl w:val="0"/>
        <w:spacing w:line="380" w:lineRule="exact"/>
        <w:ind w:firstLine="441" w:firstLineChars="21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②政策性调整：按自治区建设行政主管部门颁布的文件执行。</w:t>
      </w:r>
    </w:p>
    <w:p w14:paraId="5CFF5242">
      <w:pPr>
        <w:widowControl w:val="0"/>
        <w:spacing w:line="380" w:lineRule="exact"/>
        <w:ind w:firstLine="441" w:firstLineChars="21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③材料、设备价格变动风险：按11.1的约定调整。</w:t>
      </w:r>
    </w:p>
    <w:p w14:paraId="4833ED85">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④其它：</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14:paraId="4F41D96B">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（2）总价合同。</w:t>
      </w:r>
    </w:p>
    <w:p w14:paraId="77CC3291">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总价包含的风险范围：</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14:paraId="3BD6CBC3">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风险范围以外合同价格的调整方法：</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14:paraId="180F53C6">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（3）其他价格方式：</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14:paraId="5AF5A50B">
      <w:pPr>
        <w:keepNext/>
        <w:keepLines/>
        <w:widowControl w:val="0"/>
        <w:spacing w:line="380" w:lineRule="exact"/>
        <w:ind w:firstLine="422" w:firstLineChars="200"/>
        <w:jc w:val="both"/>
        <w:outlineLvl w:val="0"/>
        <w:rPr>
          <w:rFonts w:hint="default" w:ascii="宋体" w:hAnsi="宋体" w:eastAsia="宋体" w:cs="宋体"/>
          <w:b/>
          <w:bCs/>
          <w:color w:val="auto"/>
          <w:kern w:val="44"/>
          <w:sz w:val="21"/>
          <w:szCs w:val="21"/>
          <w:highlight w:val="none"/>
          <w:lang w:val="en-US" w:eastAsia="zh-CN" w:bidi="ar-SA"/>
        </w:rPr>
      </w:pPr>
      <w:bookmarkStart w:id="1412" w:name="_Toc418061362"/>
      <w:bookmarkStart w:id="1413" w:name="_Toc522201778"/>
      <w:bookmarkStart w:id="1414" w:name="_Toc497747229"/>
      <w:bookmarkStart w:id="1415" w:name="_Toc31994"/>
      <w:bookmarkStart w:id="1416" w:name="_Toc403578985"/>
      <w:bookmarkStart w:id="1417" w:name="_Toc418518397"/>
      <w:bookmarkStart w:id="1418" w:name="_Toc418752293"/>
      <w:bookmarkStart w:id="1419" w:name="_Toc418751847"/>
      <w:bookmarkStart w:id="1420" w:name="_Toc256000229"/>
      <w:bookmarkStart w:id="1421" w:name="_Toc497746832"/>
      <w:bookmarkStart w:id="1422" w:name="_Toc418518161"/>
      <w:r>
        <w:rPr>
          <w:rFonts w:hint="eastAsia" w:ascii="宋体" w:hAnsi="宋体" w:eastAsia="宋体" w:cs="宋体"/>
          <w:b/>
          <w:bCs/>
          <w:color w:val="auto"/>
          <w:kern w:val="44"/>
          <w:sz w:val="21"/>
          <w:szCs w:val="21"/>
          <w:highlight w:val="none"/>
          <w:lang w:val="en-US" w:eastAsia="zh-CN" w:bidi="ar-SA"/>
        </w:rPr>
        <w:t>12.2 预付款</w:t>
      </w:r>
      <w:bookmarkEnd w:id="1393"/>
      <w:bookmarkEnd w:id="1394"/>
      <w:bookmarkEnd w:id="1395"/>
      <w:bookmarkEnd w:id="1396"/>
      <w:bookmarkEnd w:id="1397"/>
      <w:bookmarkEnd w:id="1398"/>
      <w:bookmarkEnd w:id="1399"/>
      <w:bookmarkEnd w:id="1400"/>
      <w:bookmarkEnd w:id="1401"/>
      <w:bookmarkEnd w:id="1412"/>
      <w:bookmarkEnd w:id="1413"/>
      <w:bookmarkEnd w:id="1414"/>
      <w:bookmarkEnd w:id="1415"/>
      <w:bookmarkEnd w:id="1416"/>
      <w:bookmarkEnd w:id="1417"/>
      <w:bookmarkEnd w:id="1418"/>
      <w:bookmarkEnd w:id="1419"/>
      <w:bookmarkEnd w:id="1420"/>
      <w:bookmarkEnd w:id="1421"/>
      <w:bookmarkEnd w:id="1422"/>
    </w:p>
    <w:p w14:paraId="10735573">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1423" w:name="_Toc7140"/>
      <w:r>
        <w:rPr>
          <w:rFonts w:hint="eastAsia" w:ascii="宋体" w:hAnsi="宋体" w:eastAsia="宋体" w:cs="宋体"/>
          <w:b/>
          <w:bCs/>
          <w:color w:val="auto"/>
          <w:kern w:val="44"/>
          <w:sz w:val="21"/>
          <w:szCs w:val="21"/>
          <w:highlight w:val="none"/>
          <w:lang w:val="en-US" w:eastAsia="zh-CN" w:bidi="ar-SA"/>
        </w:rPr>
        <w:t>12.2.1 预付款的支付</w:t>
      </w:r>
      <w:bookmarkEnd w:id="1423"/>
    </w:p>
    <w:p w14:paraId="0744AA13">
      <w:pPr>
        <w:widowControl w:val="0"/>
        <w:spacing w:line="360" w:lineRule="auto"/>
        <w:ind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预付款支付比例或金额：</w:t>
      </w:r>
      <w:r>
        <w:rPr>
          <w:rFonts w:hint="eastAsia" w:ascii="宋体" w:hAnsi="宋体" w:eastAsia="宋体" w:cs="Times New Roman"/>
          <w:color w:val="auto"/>
          <w:kern w:val="2"/>
          <w:sz w:val="21"/>
          <w:szCs w:val="21"/>
          <w:highlight w:val="none"/>
          <w:u w:val="single"/>
          <w:lang w:val="en-US" w:eastAsia="zh-CN" w:bidi="ar-SA"/>
        </w:rPr>
        <w:t>无</w:t>
      </w:r>
    </w:p>
    <w:p w14:paraId="153F9941">
      <w:pPr>
        <w:widowControl w:val="0"/>
        <w:spacing w:line="360" w:lineRule="auto"/>
        <w:ind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预付款支付期限：</w:t>
      </w:r>
      <w:r>
        <w:rPr>
          <w:rFonts w:hint="eastAsia" w:ascii="宋体" w:hAnsi="宋体" w:eastAsia="宋体" w:cs="Times New Roman"/>
          <w:color w:val="auto"/>
          <w:kern w:val="2"/>
          <w:sz w:val="21"/>
          <w:szCs w:val="21"/>
          <w:highlight w:val="none"/>
          <w:u w:val="single"/>
          <w:lang w:val="en-US" w:eastAsia="zh-CN" w:bidi="ar-SA"/>
        </w:rPr>
        <w:t>无</w:t>
      </w:r>
      <w:r>
        <w:rPr>
          <w:rFonts w:hint="eastAsia" w:ascii="宋体" w:hAnsi="宋体" w:eastAsia="宋体" w:cs="Times New Roman"/>
          <w:color w:val="auto"/>
          <w:kern w:val="2"/>
          <w:sz w:val="21"/>
          <w:szCs w:val="21"/>
          <w:highlight w:val="none"/>
          <w:lang w:val="en-US" w:eastAsia="zh-CN" w:bidi="ar-SA"/>
        </w:rPr>
        <w:t>。</w:t>
      </w:r>
    </w:p>
    <w:p w14:paraId="2B88955A">
      <w:pPr>
        <w:widowControl w:val="0"/>
        <w:spacing w:line="360" w:lineRule="auto"/>
        <w:ind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预付款扣回的方式：</w:t>
      </w:r>
      <w:r>
        <w:rPr>
          <w:rFonts w:hint="eastAsia" w:ascii="宋体" w:hAnsi="宋体" w:eastAsia="宋体" w:cs="Times New Roman"/>
          <w:color w:val="auto"/>
          <w:kern w:val="2"/>
          <w:sz w:val="21"/>
          <w:szCs w:val="21"/>
          <w:highlight w:val="none"/>
          <w:u w:val="single"/>
          <w:lang w:val="en-US" w:eastAsia="zh-CN" w:bidi="ar-SA"/>
        </w:rPr>
        <w:t>无。</w:t>
      </w:r>
    </w:p>
    <w:p w14:paraId="3A7D162B">
      <w:pPr>
        <w:pStyle w:val="271"/>
        <w:spacing w:line="360" w:lineRule="auto"/>
        <w:ind w:firstLine="420" w:firstLineChars="200"/>
        <w:rPr>
          <w:rFonts w:hint="eastAsia" w:ascii="宋体" w:hAnsi="宋体"/>
          <w:color w:val="auto"/>
          <w:highlight w:val="none"/>
        </w:rPr>
      </w:pPr>
      <w:bookmarkStart w:id="1424" w:name="_Toc406522273"/>
      <w:bookmarkEnd w:id="1424"/>
      <w:bookmarkStart w:id="1425" w:name="_Toc406419397"/>
      <w:r>
        <w:rPr>
          <w:rFonts w:hint="eastAsia" w:ascii="宋体" w:hAnsi="宋体"/>
          <w:color w:val="auto"/>
          <w:highlight w:val="none"/>
        </w:rPr>
        <w:t>12.2.2预付款担保</w:t>
      </w:r>
      <w:bookmarkEnd w:id="1425"/>
    </w:p>
    <w:p w14:paraId="295D7836">
      <w:pPr>
        <w:widowControl w:val="0"/>
        <w:spacing w:line="360" w:lineRule="auto"/>
        <w:ind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承包人提交预付款担保的期限：</w:t>
      </w:r>
      <w:r>
        <w:rPr>
          <w:rFonts w:hint="eastAsia" w:ascii="宋体" w:hAnsi="宋体" w:eastAsia="宋体" w:cs="Times New Roman"/>
          <w:color w:val="auto"/>
          <w:kern w:val="2"/>
          <w:sz w:val="21"/>
          <w:szCs w:val="21"/>
          <w:highlight w:val="none"/>
          <w:u w:val="single"/>
          <w:lang w:val="en-US" w:eastAsia="zh-CN" w:bidi="ar-SA"/>
        </w:rPr>
        <w:t>/</w:t>
      </w:r>
      <w:r>
        <w:rPr>
          <w:rFonts w:hint="eastAsia" w:ascii="宋体" w:hAnsi="宋体" w:eastAsia="宋体" w:cs="Times New Roman"/>
          <w:color w:val="auto"/>
          <w:kern w:val="2"/>
          <w:sz w:val="21"/>
          <w:szCs w:val="21"/>
          <w:highlight w:val="none"/>
          <w:lang w:val="en-US" w:eastAsia="zh-CN" w:bidi="ar-SA"/>
        </w:rPr>
        <w:t>。</w:t>
      </w:r>
    </w:p>
    <w:p w14:paraId="4B2E27A4">
      <w:pPr>
        <w:widowControl w:val="0"/>
        <w:spacing w:line="360" w:lineRule="auto"/>
        <w:ind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预付款担保的形式为：</w:t>
      </w:r>
      <w:r>
        <w:rPr>
          <w:rFonts w:hint="eastAsia" w:ascii="宋体" w:hAnsi="宋体" w:eastAsia="宋体" w:cs="Times New Roman"/>
          <w:color w:val="auto"/>
          <w:kern w:val="2"/>
          <w:sz w:val="21"/>
          <w:szCs w:val="21"/>
          <w:highlight w:val="none"/>
          <w:u w:val="single"/>
          <w:lang w:val="en-US" w:eastAsia="zh-CN" w:bidi="ar-SA"/>
        </w:rPr>
        <w:t>/</w:t>
      </w:r>
      <w:r>
        <w:rPr>
          <w:rFonts w:hint="eastAsia" w:ascii="宋体" w:hAnsi="宋体" w:eastAsia="宋体" w:cs="Times New Roman"/>
          <w:color w:val="auto"/>
          <w:kern w:val="2"/>
          <w:sz w:val="21"/>
          <w:szCs w:val="21"/>
          <w:highlight w:val="none"/>
          <w:lang w:val="en-US" w:eastAsia="zh-CN" w:bidi="ar-SA"/>
        </w:rPr>
        <w:t>。</w:t>
      </w:r>
    </w:p>
    <w:bookmarkEnd w:id="1402"/>
    <w:bookmarkEnd w:id="1403"/>
    <w:bookmarkEnd w:id="1404"/>
    <w:bookmarkEnd w:id="1405"/>
    <w:bookmarkEnd w:id="1406"/>
    <w:bookmarkEnd w:id="1407"/>
    <w:bookmarkEnd w:id="1408"/>
    <w:bookmarkEnd w:id="1409"/>
    <w:bookmarkEnd w:id="1410"/>
    <w:bookmarkEnd w:id="1411"/>
    <w:p w14:paraId="568C2D0B">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1426" w:name="_Toc522201779"/>
      <w:bookmarkStart w:id="1427" w:name="_Toc418751848"/>
      <w:bookmarkStart w:id="1428" w:name="_Toc418518398"/>
      <w:bookmarkStart w:id="1429" w:name="_Toc373227751"/>
      <w:bookmarkStart w:id="1430" w:name="_Toc256000230"/>
      <w:bookmarkStart w:id="1431" w:name="_Toc9796"/>
      <w:bookmarkStart w:id="1432" w:name="_Toc403578986"/>
      <w:bookmarkStart w:id="1433" w:name="_Toc418752294"/>
      <w:bookmarkStart w:id="1434" w:name="_Toc497746833"/>
      <w:bookmarkStart w:id="1435" w:name="_Toc497747230"/>
      <w:bookmarkStart w:id="1436" w:name="_Toc418518162"/>
      <w:bookmarkStart w:id="1437" w:name="_Toc389065316"/>
      <w:bookmarkStart w:id="1438" w:name="_Toc418061363"/>
      <w:bookmarkStart w:id="1439" w:name="_Toc373478398"/>
      <w:r>
        <w:rPr>
          <w:rFonts w:hint="eastAsia" w:ascii="宋体" w:hAnsi="宋体" w:eastAsia="宋体" w:cs="宋体"/>
          <w:b/>
          <w:bCs/>
          <w:color w:val="auto"/>
          <w:kern w:val="44"/>
          <w:sz w:val="21"/>
          <w:szCs w:val="21"/>
          <w:highlight w:val="none"/>
          <w:lang w:val="en-US" w:eastAsia="zh-CN" w:bidi="ar-SA"/>
        </w:rPr>
        <w:t>12.3 计量</w:t>
      </w:r>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p>
    <w:p w14:paraId="33CCFB53">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bookmarkStart w:id="1440" w:name="_Toc497747231"/>
      <w:bookmarkStart w:id="1441" w:name="_Toc418518399"/>
      <w:bookmarkStart w:id="1442" w:name="_Toc418061364"/>
      <w:bookmarkStart w:id="1443" w:name="_Toc418752295"/>
      <w:bookmarkStart w:id="1444" w:name="_Toc497746834"/>
      <w:bookmarkStart w:id="1445" w:name="_Toc389065317"/>
      <w:bookmarkStart w:id="1446" w:name="_Toc418751849"/>
      <w:bookmarkStart w:id="1447" w:name="_Toc403578987"/>
      <w:bookmarkStart w:id="1448" w:name="_Toc373227752"/>
      <w:bookmarkStart w:id="1449" w:name="_Toc418518163"/>
      <w:bookmarkStart w:id="1450" w:name="_Toc373478399"/>
      <w:r>
        <w:rPr>
          <w:rFonts w:hint="eastAsia" w:ascii="宋体" w:hAnsi="宋体" w:eastAsia="宋体" w:cs="宋体"/>
          <w:color w:val="auto"/>
          <w:kern w:val="2"/>
          <w:sz w:val="21"/>
          <w:szCs w:val="21"/>
          <w:highlight w:val="none"/>
          <w:lang w:val="en-US" w:eastAsia="zh-CN" w:bidi="ar-SA"/>
        </w:rPr>
        <w:t xml:space="preserve">12.3.1 计量原则 </w:t>
      </w:r>
    </w:p>
    <w:p w14:paraId="335D4C54">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工程量计算规则：</w:t>
      </w:r>
      <w:r>
        <w:rPr>
          <w:rFonts w:hint="eastAsia" w:ascii="宋体" w:hAnsi="宋体" w:eastAsia="宋体" w:cs="宋体"/>
          <w:color w:val="auto"/>
          <w:kern w:val="2"/>
          <w:sz w:val="21"/>
          <w:szCs w:val="21"/>
          <w:highlight w:val="none"/>
          <w:u w:val="single"/>
          <w:lang w:val="en-US" w:eastAsia="zh-CN" w:bidi="ar-SA"/>
        </w:rPr>
        <w:t>工程的计量均以《建设工程工程量清单计价规范》 （GB50500－2013）和及其广西壮族自治区实施细则、 《建设工程工程量清单计算规范》 （GB50854～50862－2013）及其广西实施细则（修订本）、本工程补充项目清单为准。</w:t>
      </w:r>
      <w:r>
        <w:rPr>
          <w:rFonts w:hint="eastAsia" w:ascii="宋体" w:hAnsi="宋体" w:eastAsia="宋体" w:cs="宋体"/>
          <w:color w:val="auto"/>
          <w:kern w:val="2"/>
          <w:sz w:val="21"/>
          <w:szCs w:val="21"/>
          <w:highlight w:val="none"/>
          <w:lang w:val="en-US" w:eastAsia="zh-CN" w:bidi="ar-SA"/>
        </w:rPr>
        <w:t xml:space="preserve"> </w:t>
      </w:r>
    </w:p>
    <w:p w14:paraId="7BD40C1D">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 xml:space="preserve">12.3.2 计量周期 </w:t>
      </w:r>
    </w:p>
    <w:p w14:paraId="3A00E905">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关于计量周期的约定：</w:t>
      </w:r>
      <w:r>
        <w:rPr>
          <w:rFonts w:hint="eastAsia" w:ascii="宋体" w:hAnsi="宋体" w:eastAsia="宋体" w:cs="宋体"/>
          <w:color w:val="auto"/>
          <w:kern w:val="2"/>
          <w:sz w:val="21"/>
          <w:szCs w:val="21"/>
          <w:highlight w:val="none"/>
          <w:u w:val="single"/>
          <w:lang w:val="en-US" w:eastAsia="zh-CN" w:bidi="ar-SA"/>
        </w:rPr>
        <w:t xml:space="preserve"> </w:t>
      </w:r>
      <w:r>
        <w:rPr>
          <w:rFonts w:ascii="宋体" w:hAnsi="宋体" w:eastAsia="宋体" w:cs="宋体"/>
          <w:color w:val="auto"/>
          <w:kern w:val="2"/>
          <w:sz w:val="21"/>
          <w:szCs w:val="21"/>
          <w:highlight w:val="none"/>
          <w:u w:val="single"/>
          <w:lang w:val="en-US" w:eastAsia="zh-CN" w:bidi="ar-SA"/>
        </w:rPr>
        <w:t>承包人每月25日前向监理人报送上月20日至本月19日完成的工程量报告，并附具进度款申请单、已完成工程量报表和有关资料</w:t>
      </w:r>
      <w:r>
        <w:rPr>
          <w:rFonts w:hint="eastAsia" w:ascii="宋体" w:hAnsi="宋体" w:eastAsia="宋体" w:cs="宋体"/>
          <w:color w:val="auto"/>
          <w:kern w:val="2"/>
          <w:sz w:val="21"/>
          <w:szCs w:val="21"/>
          <w:highlight w:val="none"/>
          <w:u w:val="single"/>
          <w:lang w:val="en-US" w:eastAsia="zh-CN" w:bidi="ar-SA"/>
        </w:rPr>
        <w:t>。</w:t>
      </w:r>
      <w:r>
        <w:rPr>
          <w:rFonts w:hint="eastAsia" w:ascii="宋体" w:hAnsi="宋体" w:eastAsia="宋体" w:cs="宋体"/>
          <w:color w:val="auto"/>
          <w:kern w:val="2"/>
          <w:sz w:val="21"/>
          <w:szCs w:val="21"/>
          <w:highlight w:val="none"/>
          <w:lang w:val="en-US" w:eastAsia="zh-CN" w:bidi="ar-SA"/>
        </w:rPr>
        <w:t xml:space="preserve"> </w:t>
      </w:r>
    </w:p>
    <w:p w14:paraId="3D35C0AA">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12.3.3 单价合同的计量 </w:t>
      </w:r>
    </w:p>
    <w:p w14:paraId="0D364C10">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关于单价合同计量的约定：</w:t>
      </w:r>
      <w:r>
        <w:rPr>
          <w:rFonts w:hint="eastAsia" w:ascii="宋体" w:hAnsi="宋体" w:eastAsia="宋体" w:cs="宋体"/>
          <w:color w:val="auto"/>
          <w:kern w:val="2"/>
          <w:sz w:val="21"/>
          <w:szCs w:val="21"/>
          <w:highlight w:val="none"/>
          <w:u w:val="single"/>
          <w:lang w:val="en-US" w:eastAsia="zh-CN" w:bidi="ar-SA"/>
        </w:rPr>
        <w:t xml:space="preserve"> (1) </w:t>
      </w:r>
      <w:r>
        <w:rPr>
          <w:rFonts w:ascii="宋体" w:hAnsi="宋体" w:eastAsia="宋体" w:cs="宋体"/>
          <w:color w:val="auto"/>
          <w:kern w:val="2"/>
          <w:sz w:val="21"/>
          <w:szCs w:val="21"/>
          <w:highlight w:val="none"/>
          <w:u w:val="single"/>
          <w:lang w:val="en-US" w:eastAsia="zh-CN" w:bidi="ar-SA"/>
        </w:rPr>
        <w:t>工程量清单所列的工程量，不能作为承包人按合同履行其责任依据，实际施工中发生的工程量增加或减少并不影响承包人履行合同的责任，工程结算以完成的实际工程量为准</w:t>
      </w:r>
      <w:r>
        <w:rPr>
          <w:rFonts w:hint="eastAsia" w:ascii="宋体" w:hAnsi="宋体" w:eastAsia="宋体" w:cs="宋体"/>
          <w:color w:val="auto"/>
          <w:kern w:val="2"/>
          <w:sz w:val="21"/>
          <w:szCs w:val="21"/>
          <w:highlight w:val="none"/>
          <w:u w:val="single"/>
          <w:lang w:val="en-US" w:eastAsia="zh-CN" w:bidi="ar-SA"/>
        </w:rPr>
        <w:t xml:space="preserve">。(2) </w:t>
      </w:r>
      <w:r>
        <w:rPr>
          <w:rFonts w:ascii="宋体" w:hAnsi="宋体" w:eastAsia="宋体" w:cs="宋体"/>
          <w:color w:val="auto"/>
          <w:kern w:val="2"/>
          <w:sz w:val="21"/>
          <w:szCs w:val="21"/>
          <w:highlight w:val="none"/>
          <w:u w:val="single"/>
          <w:lang w:val="en-US" w:eastAsia="zh-CN" w:bidi="ar-SA"/>
        </w:rPr>
        <w:t>除另有规定外，工程师应按照合同通过计量来核实确定已完成的工程量和价款，承包人应得到该价款扣除保留金后的金额。当工程师要对已完工的工程量进行计量时，应适时地通知承包人参加</w:t>
      </w:r>
      <w:r>
        <w:rPr>
          <w:rFonts w:hint="eastAsia" w:ascii="宋体" w:hAnsi="宋体" w:eastAsia="宋体" w:cs="宋体"/>
          <w:color w:val="auto"/>
          <w:kern w:val="2"/>
          <w:sz w:val="21"/>
          <w:szCs w:val="21"/>
          <w:highlight w:val="none"/>
          <w:lang w:val="en-US" w:eastAsia="zh-CN" w:bidi="ar-SA"/>
        </w:rPr>
        <w:t xml:space="preserve">。 </w:t>
      </w:r>
    </w:p>
    <w:p w14:paraId="7F81A050">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12.3.4 总价合同的计量 </w:t>
      </w:r>
    </w:p>
    <w:p w14:paraId="3EF267BE">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关于总价合同计量的约定：</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14:paraId="4680D07D">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12.3.5 总价合同采用支付分解表计量支付的，是否适用第 12.3.4 项〔总价合同的计量〕约定进行计量：</w:t>
      </w:r>
      <w:r>
        <w:rPr>
          <w:rFonts w:hint="eastAsia" w:ascii="宋体" w:hAnsi="宋体" w:eastAsia="宋体" w:cs="宋体"/>
          <w:color w:val="auto"/>
          <w:kern w:val="2"/>
          <w:sz w:val="21"/>
          <w:szCs w:val="21"/>
          <w:highlight w:val="none"/>
          <w:u w:val="single"/>
          <w:lang w:val="en-US" w:eastAsia="zh-CN" w:bidi="ar-SA"/>
        </w:rPr>
        <w:t xml:space="preserve">无 </w:t>
      </w:r>
      <w:r>
        <w:rPr>
          <w:rFonts w:hint="eastAsia" w:ascii="宋体" w:hAnsi="宋体" w:eastAsia="宋体" w:cs="宋体"/>
          <w:color w:val="auto"/>
          <w:kern w:val="2"/>
          <w:sz w:val="21"/>
          <w:szCs w:val="21"/>
          <w:highlight w:val="none"/>
          <w:lang w:val="en-US" w:eastAsia="zh-CN" w:bidi="ar-SA"/>
        </w:rPr>
        <w:t xml:space="preserve">。 </w:t>
      </w:r>
    </w:p>
    <w:p w14:paraId="7C296693">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12.3.6 其他价格形式合同的计量 </w:t>
      </w:r>
    </w:p>
    <w:p w14:paraId="76ED660F">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其他价格形式的计量方式和程序：</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 xml:space="preserve">。 </w:t>
      </w:r>
    </w:p>
    <w:p w14:paraId="1DE494F0">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12.4 工程进度款支付</w:t>
      </w:r>
      <w:bookmarkEnd w:id="1440"/>
      <w:bookmarkEnd w:id="1441"/>
      <w:bookmarkEnd w:id="1442"/>
      <w:bookmarkEnd w:id="1443"/>
      <w:bookmarkEnd w:id="1444"/>
      <w:bookmarkEnd w:id="1445"/>
      <w:bookmarkEnd w:id="1446"/>
      <w:bookmarkEnd w:id="1447"/>
      <w:bookmarkEnd w:id="1448"/>
      <w:bookmarkEnd w:id="1449"/>
      <w:bookmarkEnd w:id="1450"/>
    </w:p>
    <w:p w14:paraId="7CFA90BF">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bookmarkStart w:id="1451" w:name="_Toc296944550"/>
      <w:bookmarkStart w:id="1452" w:name="_Toc297048397"/>
      <w:bookmarkStart w:id="1453" w:name="_Toc292559416"/>
      <w:bookmarkStart w:id="1454" w:name="_Toc303539163"/>
      <w:bookmarkStart w:id="1455" w:name="_Toc297216215"/>
      <w:bookmarkStart w:id="1456" w:name="_Toc300935006"/>
      <w:bookmarkStart w:id="1457" w:name="_Toc296503211"/>
      <w:bookmarkStart w:id="1458" w:name="_Toc296891251"/>
      <w:bookmarkStart w:id="1459" w:name="_Toc296347210"/>
      <w:bookmarkStart w:id="1460" w:name="_Toc296891039"/>
      <w:bookmarkStart w:id="1461" w:name="_Toc297123556"/>
      <w:bookmarkStart w:id="1462" w:name="_Toc297120511"/>
      <w:bookmarkStart w:id="1463" w:name="_Toc296346712"/>
      <w:bookmarkStart w:id="1464" w:name="_Toc292559921"/>
      <w:r>
        <w:rPr>
          <w:rFonts w:hint="eastAsia" w:ascii="宋体" w:hAnsi="宋体" w:eastAsia="宋体" w:cs="宋体"/>
          <w:color w:val="auto"/>
          <w:kern w:val="2"/>
          <w:sz w:val="21"/>
          <w:szCs w:val="21"/>
          <w:highlight w:val="none"/>
          <w:lang w:val="en-US" w:eastAsia="zh-CN" w:bidi="ar-SA"/>
        </w:rPr>
        <w:t>12.4.1 付款周期</w:t>
      </w:r>
    </w:p>
    <w:p w14:paraId="267D297F">
      <w:pPr>
        <w:keepNext w:val="0"/>
        <w:keepLines w:val="0"/>
        <w:pageBreakBefore w:val="0"/>
        <w:widowControl w:val="0"/>
        <w:kinsoku/>
        <w:wordWrap/>
        <w:overflowPunct/>
        <w:topLinePunct w:val="0"/>
        <w:autoSpaceDE/>
        <w:autoSpaceDN/>
        <w:bidi w:val="0"/>
        <w:snapToGrid/>
        <w:spacing w:line="38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关于付款周期的约定：</w:t>
      </w:r>
    </w:p>
    <w:p w14:paraId="50EB76A5">
      <w:pPr>
        <w:keepNext w:val="0"/>
        <w:keepLines w:val="0"/>
        <w:pageBreakBefore w:val="0"/>
        <w:widowControl w:val="0"/>
        <w:kinsoku/>
        <w:wordWrap/>
        <w:overflowPunct/>
        <w:topLinePunct w:val="0"/>
        <w:autoSpaceDE/>
        <w:autoSpaceDN/>
        <w:bidi w:val="0"/>
        <w:adjustRightInd w:val="0"/>
        <w:snapToGrid/>
        <w:spacing w:after="60" w:line="380" w:lineRule="exact"/>
        <w:ind w:left="63" w:leftChars="30" w:right="63" w:rightChars="30" w:firstLine="400"/>
        <w:jc w:val="left"/>
        <w:textAlignment w:val="auto"/>
        <w:rPr>
          <w:rFonts w:hint="default" w:ascii="宋体" w:hAnsi="宋体" w:eastAsia="宋体" w:cs="宋体"/>
          <w:bCs/>
          <w:i w:val="0"/>
          <w:caps w:val="0"/>
          <w:color w:val="auto"/>
          <w:spacing w:val="0"/>
          <w:kern w:val="0"/>
          <w:sz w:val="20"/>
          <w:szCs w:val="21"/>
          <w:highlight w:val="none"/>
          <w:u w:val="single"/>
          <w:shd w:val="clear" w:color="auto" w:fill="auto"/>
          <w:lang w:val="en-US" w:eastAsia="zh-CN" w:bidi="ar-SA"/>
        </w:rPr>
      </w:pPr>
      <w:r>
        <w:rPr>
          <w:rFonts w:hint="eastAsia" w:ascii="宋体" w:hAnsi="宋体" w:eastAsia="宋体" w:cs="宋体"/>
          <w:bCs/>
          <w:i w:val="0"/>
          <w:caps w:val="0"/>
          <w:color w:val="auto"/>
          <w:spacing w:val="0"/>
          <w:kern w:val="0"/>
          <w:sz w:val="21"/>
          <w:szCs w:val="21"/>
          <w:highlight w:val="none"/>
          <w:u w:val="single"/>
          <w:shd w:val="clear" w:color="auto" w:fill="auto"/>
          <w:lang w:val="en-US" w:eastAsia="zh-CN" w:bidi="ar-SA"/>
        </w:rPr>
        <w:t>工程完工100%竣工验收合格后，承包人向发包人提出支付工程进度款申请，发包人支付承包方合同总价金额80％ 作为工程进度款。经财政性投资预决算评审中心或建设单位委托的第三方审计机构审定造价后，工程款支付至最终结算总造价的97%;发包人按工程最终结算总造价的3%预留工程质量保修金，待工程质量保修期满后(两年)返还（无息）。所有支付以财政局拨付到账为准，如因财政系统原因延迟支付的，支付时间顺延，承包人不得催促。</w:t>
      </w:r>
    </w:p>
    <w:p w14:paraId="506A28BF">
      <w:pPr>
        <w:keepNext w:val="0"/>
        <w:keepLines w:val="0"/>
        <w:pageBreakBefore w:val="0"/>
        <w:widowControl w:val="0"/>
        <w:kinsoku/>
        <w:wordWrap/>
        <w:overflowPunct/>
        <w:topLinePunct w:val="0"/>
        <w:autoSpaceDE/>
        <w:autoSpaceDN/>
        <w:bidi w:val="0"/>
        <w:snapToGrid/>
        <w:spacing w:line="380" w:lineRule="exact"/>
        <w:ind w:firstLine="420" w:firstLineChars="200"/>
        <w:jc w:val="left"/>
        <w:textAlignment w:val="auto"/>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每次付款前，承包人应按发包人的要求提供符合相关法律法规的增值税发票，如发票不符合要求，发包人有权拒收，承包人应承担因不合格发票产生的所有责任。</w:t>
      </w:r>
    </w:p>
    <w:p w14:paraId="01943383">
      <w:pPr>
        <w:spacing w:line="360" w:lineRule="auto"/>
        <w:ind w:firstLine="420" w:firstLineChars="200"/>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rPr>
        <w:t>根据自治区办公厅 《关于全面治理拖欠农民工工资问题的实施意见》(桂政办发[2016]113号)、《关于印发广西壮族自治区工程建设领域工人工资支付专用账户管理办法的通知》(桂薪联发[2016]1号)、《</w:t>
      </w:r>
      <w:r>
        <w:rPr>
          <w:rFonts w:hint="eastAsia" w:ascii="宋体" w:hAnsi="宋体" w:eastAsia="宋体" w:cs="Times New Roman"/>
          <w:color w:val="auto"/>
          <w:szCs w:val="21"/>
          <w:highlight w:val="none"/>
          <w:u w:val="single"/>
          <w:lang w:eastAsia="zh-CN"/>
        </w:rPr>
        <w:t>桂林市财政局</w:t>
      </w:r>
      <w:r>
        <w:rPr>
          <w:rFonts w:hint="eastAsia" w:ascii="宋体" w:hAnsi="宋体" w:eastAsia="宋体" w:cs="Times New Roman"/>
          <w:color w:val="auto"/>
          <w:szCs w:val="21"/>
          <w:highlight w:val="none"/>
          <w:u w:val="single"/>
        </w:rPr>
        <w:t>关于落实政府投资工程项目工程款与农民工工资分帐拨款的通知》市财建【2018】73号等文件规定，在全区工程建设领域，实行人工费用和其他工程款分账管理。双方约定：发包人在每次拨付工程进度款或结算款时，按拨付工程款数额的</w:t>
      </w:r>
      <w:r>
        <w:rPr>
          <w:rFonts w:hint="eastAsia" w:ascii="宋体" w:hAnsi="宋体" w:eastAsia="宋体" w:cs="Times New Roman"/>
          <w:color w:val="auto"/>
          <w:szCs w:val="21"/>
          <w:highlight w:val="none"/>
          <w:u w:val="single"/>
          <w:lang w:val="en-US" w:eastAsia="zh-CN"/>
        </w:rPr>
        <w:t>20</w:t>
      </w:r>
      <w:r>
        <w:rPr>
          <w:rFonts w:hint="eastAsia" w:ascii="宋体" w:hAnsi="宋体" w:eastAsia="宋体" w:cs="Times New Roman"/>
          <w:color w:val="auto"/>
          <w:szCs w:val="21"/>
          <w:highlight w:val="none"/>
          <w:u w:val="single"/>
        </w:rPr>
        <w:t xml:space="preserve"> %比例将人工费用拨付到承包人的农民工工资专用账户，用于发放农民工工资。（农民工工资专用账户开户名称： ；开户银行： ；账号：  ）。</w:t>
      </w:r>
    </w:p>
    <w:p w14:paraId="1327E4D0">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12.4.2 进度付款申请单的编制</w:t>
      </w:r>
    </w:p>
    <w:p w14:paraId="2B475060">
      <w:pPr>
        <w:widowControl w:val="0"/>
        <w:spacing w:line="380" w:lineRule="exact"/>
        <w:ind w:firstLine="420" w:firstLineChars="200"/>
        <w:jc w:val="left"/>
        <w:rPr>
          <w:rFonts w:ascii="宋体" w:hAnsi="宋体" w:eastAsia="宋体" w:cs="宋体"/>
          <w:bCs/>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关于进度付款申请单编制的约定：</w:t>
      </w:r>
      <w:r>
        <w:rPr>
          <w:rFonts w:hint="eastAsia" w:ascii="宋体" w:hAnsi="宋体" w:eastAsia="宋体" w:cs="宋体"/>
          <w:bCs/>
          <w:color w:val="auto"/>
          <w:kern w:val="2"/>
          <w:sz w:val="21"/>
          <w:szCs w:val="21"/>
          <w:highlight w:val="none"/>
          <w:u w:val="single"/>
          <w:lang w:val="en-US" w:eastAsia="zh-CN" w:bidi="ar-SA"/>
        </w:rPr>
        <w:t>承包人应在每个计量周期到期后的7天内向发包人提交已完工程进度款支付申请一式四份，详细说明此周期自己认为有权得到的款额，包括分包人已完工程的价款，内容包括已完工程预算书、工程量计算式及劳务队组提供的民工工资支付证明。</w:t>
      </w:r>
    </w:p>
    <w:p w14:paraId="5ED156C6">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r>
        <w:rPr>
          <w:rFonts w:hint="eastAsia" w:ascii="宋体" w:hAnsi="宋体" w:eastAsia="宋体" w:cs="宋体"/>
          <w:color w:val="auto"/>
          <w:kern w:val="2"/>
          <w:sz w:val="21"/>
          <w:szCs w:val="21"/>
          <w:highlight w:val="none"/>
          <w:lang w:val="en-US" w:eastAsia="zh-CN" w:bidi="ar-SA"/>
        </w:rPr>
        <w:t>2.4.3 进度付款申请单的提交</w:t>
      </w:r>
    </w:p>
    <w:p w14:paraId="07DDFA6C">
      <w:pPr>
        <w:widowControl w:val="0"/>
        <w:spacing w:line="380" w:lineRule="exact"/>
        <w:ind w:firstLine="420" w:firstLineChars="200"/>
        <w:jc w:val="left"/>
        <w:rPr>
          <w:rFonts w:ascii="宋体" w:hAnsi="宋体" w:eastAsia="宋体" w:cs="宋体"/>
          <w:bCs/>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（1）单价合同进度付款申请单提交的约定：</w:t>
      </w:r>
      <w:r>
        <w:rPr>
          <w:rFonts w:hint="eastAsia" w:ascii="宋体" w:hAnsi="宋体" w:eastAsia="宋体" w:cs="宋体"/>
          <w:bCs/>
          <w:color w:val="auto"/>
          <w:kern w:val="2"/>
          <w:sz w:val="21"/>
          <w:szCs w:val="21"/>
          <w:highlight w:val="none"/>
          <w:u w:val="single"/>
          <w:lang w:val="en-US" w:eastAsia="zh-CN" w:bidi="ar-SA"/>
        </w:rPr>
        <w:t>承包人应在每个计量周期到期后的3天内向发包人提交支付申请一式三份，承包人当月完成的产值不足合同价的1％时，不支付进度款，累计至下月一并支付。承包人应随投标文件提交不拖欠民工工资的承诺函和措施。具体支付手续按财政性资金支付程序有关规定办理。</w:t>
      </w:r>
    </w:p>
    <w:p w14:paraId="2FCCA9F5">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（2）总价合同进度付款申请单提交的约定：</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14:paraId="0296B0B8">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（3）其他价格形式合同进度付款申请单提交的约定：</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14:paraId="71BEE416">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12.4.4 进度款审核和支付</w:t>
      </w:r>
    </w:p>
    <w:p w14:paraId="4F98DF36">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（1）监理人审查并报送发包人的期限：</w:t>
      </w:r>
      <w:r>
        <w:rPr>
          <w:rFonts w:hint="eastAsia" w:ascii="宋体" w:hAnsi="宋体" w:eastAsia="宋体" w:cs="宋体"/>
          <w:color w:val="auto"/>
          <w:kern w:val="2"/>
          <w:sz w:val="21"/>
          <w:szCs w:val="21"/>
          <w:highlight w:val="none"/>
          <w:u w:val="single"/>
          <w:lang w:val="en-US" w:eastAsia="zh-CN" w:bidi="ar-SA"/>
        </w:rPr>
        <w:t>监理人收到承包人进度付款申请单以及相关资料后 7 天内完成审查并报送发包人</w:t>
      </w:r>
      <w:r>
        <w:rPr>
          <w:rFonts w:hint="eastAsia" w:ascii="宋体" w:hAnsi="宋体" w:eastAsia="宋体" w:cs="宋体"/>
          <w:color w:val="auto"/>
          <w:kern w:val="2"/>
          <w:sz w:val="21"/>
          <w:szCs w:val="21"/>
          <w:highlight w:val="none"/>
          <w:lang w:val="en-US" w:eastAsia="zh-CN" w:bidi="ar-SA"/>
        </w:rPr>
        <w:t>。</w:t>
      </w:r>
    </w:p>
    <w:p w14:paraId="0ACCD8D3">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发包人完成审批并签发进度款支付证书的期限：</w:t>
      </w:r>
      <w:r>
        <w:rPr>
          <w:rFonts w:hint="eastAsia" w:ascii="宋体" w:hAnsi="宋体" w:eastAsia="宋体" w:cs="宋体"/>
          <w:color w:val="auto"/>
          <w:kern w:val="2"/>
          <w:sz w:val="21"/>
          <w:szCs w:val="21"/>
          <w:highlight w:val="none"/>
          <w:u w:val="single"/>
          <w:lang w:val="en-US" w:eastAsia="zh-CN" w:bidi="ar-SA"/>
        </w:rPr>
        <w:t>收到后 7 天内完成审批并签发</w:t>
      </w:r>
      <w:r>
        <w:rPr>
          <w:rFonts w:hint="eastAsia" w:ascii="宋体" w:hAnsi="宋体" w:eastAsia="宋体" w:cs="宋体"/>
          <w:color w:val="auto"/>
          <w:kern w:val="2"/>
          <w:sz w:val="21"/>
          <w:szCs w:val="21"/>
          <w:highlight w:val="none"/>
          <w:lang w:val="en-US" w:eastAsia="zh-CN" w:bidi="ar-SA"/>
        </w:rPr>
        <w:t>。</w:t>
      </w:r>
    </w:p>
    <w:p w14:paraId="7E817BBB">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（2）发包人支付进度款的期限：</w:t>
      </w:r>
      <w:r>
        <w:rPr>
          <w:rFonts w:hint="eastAsia" w:ascii="宋体" w:hAnsi="宋体" w:eastAsia="宋体" w:cs="宋体"/>
          <w:color w:val="auto"/>
          <w:kern w:val="2"/>
          <w:sz w:val="21"/>
          <w:szCs w:val="21"/>
          <w:highlight w:val="none"/>
          <w:u w:val="single"/>
          <w:lang w:val="en-US" w:eastAsia="zh-CN" w:bidi="ar-SA"/>
        </w:rPr>
        <w:t xml:space="preserve">办理相关付款手续后的7天内 </w:t>
      </w:r>
      <w:r>
        <w:rPr>
          <w:rFonts w:hint="eastAsia" w:ascii="宋体" w:hAnsi="宋体" w:eastAsia="宋体" w:cs="宋体"/>
          <w:color w:val="auto"/>
          <w:kern w:val="2"/>
          <w:sz w:val="21"/>
          <w:szCs w:val="21"/>
          <w:highlight w:val="none"/>
          <w:lang w:val="en-US" w:eastAsia="zh-CN" w:bidi="ar-SA"/>
        </w:rPr>
        <w:t>。</w:t>
      </w:r>
    </w:p>
    <w:p w14:paraId="3DC26D49">
      <w:pPr>
        <w:widowControl w:val="0"/>
        <w:spacing w:line="380" w:lineRule="exact"/>
        <w:ind w:firstLine="525" w:firstLineChars="25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发包人逾期支付进度款的违约金的计算方式：</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14:paraId="0EB436E7">
      <w:pPr>
        <w:widowControl w:val="0"/>
        <w:spacing w:line="380" w:lineRule="exact"/>
        <w:ind w:firstLine="525" w:firstLineChars="25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进度款支付方式：</w:t>
      </w:r>
      <w:r>
        <w:rPr>
          <w:rFonts w:hint="eastAsia" w:ascii="宋体" w:hAnsi="宋体" w:eastAsia="宋体" w:cs="宋体"/>
          <w:color w:val="auto"/>
          <w:kern w:val="2"/>
          <w:sz w:val="21"/>
          <w:szCs w:val="21"/>
          <w:highlight w:val="none"/>
          <w:u w:val="single"/>
          <w:lang w:val="en-US" w:eastAsia="zh-CN" w:bidi="ar-SA"/>
        </w:rPr>
        <w:t>银行转账</w:t>
      </w:r>
      <w:r>
        <w:rPr>
          <w:rFonts w:hint="eastAsia" w:ascii="宋体" w:hAnsi="宋体" w:eastAsia="宋体" w:cs="宋体"/>
          <w:color w:val="auto"/>
          <w:kern w:val="2"/>
          <w:sz w:val="21"/>
          <w:szCs w:val="21"/>
          <w:highlight w:val="none"/>
          <w:lang w:val="en-US" w:eastAsia="zh-CN" w:bidi="ar-SA"/>
        </w:rPr>
        <w:t>。</w:t>
      </w:r>
    </w:p>
    <w:p w14:paraId="78EF0D81">
      <w:pPr>
        <w:widowControl w:val="0"/>
        <w:spacing w:line="380" w:lineRule="exact"/>
        <w:ind w:firstLine="525" w:firstLineChars="25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12.4.6 支付分解表的编制</w:t>
      </w:r>
    </w:p>
    <w:p w14:paraId="482ED8B3">
      <w:pPr>
        <w:widowControl w:val="0"/>
        <w:spacing w:line="380" w:lineRule="exact"/>
        <w:ind w:firstLine="525" w:firstLineChars="25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2. 总价合同支付分解表的编制与审批：</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w:t>
      </w:r>
    </w:p>
    <w:p w14:paraId="32FBEAD5">
      <w:pPr>
        <w:widowControl w:val="0"/>
        <w:spacing w:line="380" w:lineRule="exact"/>
        <w:ind w:firstLine="525" w:firstLineChars="25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3. 单价合同的总价项目支付分解表的编制与审批：</w:t>
      </w:r>
      <w:r>
        <w:rPr>
          <w:rFonts w:hint="eastAsia" w:ascii="宋体" w:hAnsi="宋体" w:eastAsia="宋体" w:cs="宋体"/>
          <w:color w:val="auto"/>
          <w:kern w:val="2"/>
          <w:sz w:val="21"/>
          <w:szCs w:val="21"/>
          <w:highlight w:val="none"/>
          <w:u w:val="single"/>
          <w:lang w:val="en-US" w:eastAsia="zh-CN" w:bidi="ar-SA"/>
        </w:rPr>
        <w:t>单价项目不采用支付分解表的方式计算，而按《建设工程工程量清单计价规范（GB50500-2013）广西壮族自治区实施细则（修订本）》的规定执行。</w:t>
      </w:r>
    </w:p>
    <w:bookmarkEnd w:id="1120"/>
    <w:p w14:paraId="4A43FA1A">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bookmarkStart w:id="1465" w:name="_Toc418751850"/>
      <w:bookmarkStart w:id="1466" w:name="_Toc256000231"/>
      <w:bookmarkStart w:id="1467" w:name="_Toc403578988"/>
      <w:bookmarkStart w:id="1468" w:name="_Toc418518164"/>
      <w:bookmarkStart w:id="1469" w:name="_Toc522201780"/>
      <w:bookmarkStart w:id="1470" w:name="_Toc418518400"/>
      <w:bookmarkStart w:id="1471" w:name="_Toc497746835"/>
      <w:bookmarkStart w:id="1472" w:name="_Toc497747232"/>
      <w:bookmarkStart w:id="1473" w:name="_Toc373478400"/>
      <w:bookmarkStart w:id="1474" w:name="_Toc351203645"/>
      <w:bookmarkStart w:id="1475" w:name="_Toc373227753"/>
      <w:bookmarkStart w:id="1476" w:name="_Toc418752296"/>
      <w:bookmarkStart w:id="1477" w:name="_Toc418061365"/>
      <w:bookmarkStart w:id="1478" w:name="_Toc28278"/>
      <w:bookmarkStart w:id="1479" w:name="_Toc389065318"/>
      <w:bookmarkStart w:id="1480" w:name="_Toc296347218"/>
      <w:bookmarkStart w:id="1481" w:name="_Toc297048405"/>
      <w:bookmarkStart w:id="1482" w:name="_Toc296891259"/>
      <w:bookmarkStart w:id="1483" w:name="_Toc296503219"/>
      <w:bookmarkStart w:id="1484" w:name="_Toc292559929"/>
      <w:bookmarkStart w:id="1485" w:name="_Toc304295593"/>
      <w:bookmarkStart w:id="1486" w:name="_Toc312678053"/>
      <w:bookmarkStart w:id="1487" w:name="_Toc296944558"/>
      <w:bookmarkStart w:id="1488" w:name="_Toc297123564"/>
      <w:bookmarkStart w:id="1489" w:name="_Toc296891047"/>
      <w:bookmarkStart w:id="1490" w:name="_Toc300935015"/>
      <w:bookmarkStart w:id="1491" w:name="_Toc297216223"/>
      <w:bookmarkStart w:id="1492" w:name="_Toc292559424"/>
      <w:bookmarkStart w:id="1493" w:name="_Toc297120519"/>
      <w:bookmarkStart w:id="1494" w:name="_Toc296346720"/>
      <w:bookmarkStart w:id="1495" w:name="_Toc303539172"/>
      <w:r>
        <w:rPr>
          <w:rFonts w:hint="eastAsia" w:ascii="宋体" w:hAnsi="宋体" w:eastAsia="宋体" w:cs="宋体"/>
          <w:b/>
          <w:bCs/>
          <w:color w:val="auto"/>
          <w:kern w:val="44"/>
          <w:sz w:val="21"/>
          <w:szCs w:val="21"/>
          <w:highlight w:val="none"/>
          <w:lang w:val="en-US" w:eastAsia="zh-CN" w:bidi="ar-SA"/>
        </w:rPr>
        <w:t>13. 验收和工程试车</w:t>
      </w:r>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p>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p w14:paraId="7E5CC113">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1496" w:name="_Toc389065319"/>
      <w:bookmarkStart w:id="1497" w:name="_Toc522201781"/>
      <w:bookmarkStart w:id="1498" w:name="_Toc373478401"/>
      <w:bookmarkStart w:id="1499" w:name="_Toc497746836"/>
      <w:bookmarkStart w:id="1500" w:name="_Toc403578989"/>
      <w:bookmarkStart w:id="1501" w:name="_Toc373227754"/>
      <w:bookmarkStart w:id="1502" w:name="_Toc256000232"/>
      <w:bookmarkStart w:id="1503" w:name="_Toc497747233"/>
      <w:bookmarkStart w:id="1504" w:name="_Toc418061366"/>
      <w:bookmarkStart w:id="1505" w:name="_Toc418518401"/>
      <w:bookmarkStart w:id="1506" w:name="_Toc418752297"/>
      <w:bookmarkStart w:id="1507" w:name="_Toc18906"/>
      <w:bookmarkStart w:id="1508" w:name="_Toc418518165"/>
      <w:bookmarkStart w:id="1509" w:name="_Toc418751851"/>
      <w:r>
        <w:rPr>
          <w:rFonts w:hint="eastAsia" w:ascii="宋体" w:hAnsi="宋体" w:eastAsia="宋体" w:cs="宋体"/>
          <w:b/>
          <w:bCs/>
          <w:color w:val="auto"/>
          <w:kern w:val="44"/>
          <w:sz w:val="21"/>
          <w:szCs w:val="21"/>
          <w:highlight w:val="none"/>
          <w:lang w:val="en-US" w:eastAsia="zh-CN" w:bidi="ar-SA"/>
        </w:rPr>
        <w:t>13.1 分部分项工程验收</w:t>
      </w:r>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p>
    <w:p w14:paraId="63B857A7">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13.1.2监理人不能按时进行验收时，应提前</w:t>
      </w:r>
      <w:r>
        <w:rPr>
          <w:rFonts w:hint="eastAsia" w:ascii="宋体" w:hAnsi="宋体" w:eastAsia="宋体" w:cs="宋体"/>
          <w:color w:val="auto"/>
          <w:kern w:val="2"/>
          <w:sz w:val="21"/>
          <w:szCs w:val="21"/>
          <w:highlight w:val="none"/>
          <w:u w:val="single"/>
          <w:lang w:val="en-US" w:eastAsia="zh-CN" w:bidi="ar-SA"/>
        </w:rPr>
        <w:t xml:space="preserve"> 24 </w:t>
      </w:r>
      <w:r>
        <w:rPr>
          <w:rFonts w:hint="eastAsia" w:ascii="宋体" w:hAnsi="宋体" w:eastAsia="宋体" w:cs="宋体"/>
          <w:color w:val="auto"/>
          <w:kern w:val="2"/>
          <w:sz w:val="21"/>
          <w:szCs w:val="21"/>
          <w:highlight w:val="none"/>
          <w:lang w:val="en-US" w:eastAsia="zh-CN" w:bidi="ar-SA"/>
        </w:rPr>
        <w:t>小时提交书面延期要求。</w:t>
      </w:r>
    </w:p>
    <w:p w14:paraId="74F60AC3">
      <w:pPr>
        <w:widowControl w:val="0"/>
        <w:spacing w:line="380" w:lineRule="exact"/>
        <w:ind w:firstLine="420" w:firstLineChars="200"/>
        <w:jc w:val="left"/>
        <w:rPr>
          <w:rFonts w:ascii="宋体" w:hAnsi="宋体" w:eastAsia="宋体" w:cs="宋体"/>
          <w:b/>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关于延期最长不得超过：</w:t>
      </w:r>
      <w:r>
        <w:rPr>
          <w:rFonts w:hint="eastAsia" w:ascii="宋体" w:hAnsi="宋体" w:eastAsia="宋体" w:cs="宋体"/>
          <w:color w:val="auto"/>
          <w:kern w:val="2"/>
          <w:sz w:val="21"/>
          <w:szCs w:val="21"/>
          <w:highlight w:val="none"/>
          <w:u w:val="single"/>
          <w:lang w:val="en-US" w:eastAsia="zh-CN" w:bidi="ar-SA"/>
        </w:rPr>
        <w:t xml:space="preserve"> 48 </w:t>
      </w:r>
      <w:r>
        <w:rPr>
          <w:rFonts w:hint="eastAsia" w:ascii="宋体" w:hAnsi="宋体" w:eastAsia="宋体" w:cs="宋体"/>
          <w:color w:val="auto"/>
          <w:kern w:val="2"/>
          <w:sz w:val="21"/>
          <w:szCs w:val="21"/>
          <w:highlight w:val="none"/>
          <w:lang w:val="en-US" w:eastAsia="zh-CN" w:bidi="ar-SA"/>
        </w:rPr>
        <w:t>小时。</w:t>
      </w:r>
    </w:p>
    <w:p w14:paraId="13237507">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1510" w:name="_Toc418751852"/>
      <w:bookmarkStart w:id="1511" w:name="_Toc418752298"/>
      <w:bookmarkStart w:id="1512" w:name="_Toc256000233"/>
      <w:bookmarkStart w:id="1513" w:name="_Toc373478402"/>
      <w:bookmarkStart w:id="1514" w:name="_Toc403578990"/>
      <w:bookmarkStart w:id="1515" w:name="_Toc389065320"/>
      <w:bookmarkStart w:id="1516" w:name="_Toc7662"/>
      <w:bookmarkStart w:id="1517" w:name="_Toc418518166"/>
      <w:bookmarkStart w:id="1518" w:name="_Toc373227755"/>
      <w:bookmarkStart w:id="1519" w:name="_Toc522201782"/>
      <w:bookmarkStart w:id="1520" w:name="_Toc418061367"/>
      <w:bookmarkStart w:id="1521" w:name="_Toc497746837"/>
      <w:bookmarkStart w:id="1522" w:name="_Toc497747234"/>
      <w:bookmarkStart w:id="1523" w:name="_Toc418518402"/>
      <w:bookmarkStart w:id="1524" w:name="_Toc296346724"/>
      <w:bookmarkStart w:id="1525" w:name="_Toc303539173"/>
      <w:bookmarkStart w:id="1526" w:name="_Toc296503223"/>
      <w:bookmarkStart w:id="1527" w:name="_Toc297048409"/>
      <w:bookmarkStart w:id="1528" w:name="_Toc296347222"/>
      <w:bookmarkStart w:id="1529" w:name="_Toc296891051"/>
      <w:bookmarkStart w:id="1530" w:name="_Toc300935016"/>
      <w:bookmarkStart w:id="1531" w:name="_Toc297120523"/>
      <w:bookmarkStart w:id="1532" w:name="_Toc292559933"/>
      <w:bookmarkStart w:id="1533" w:name="_Toc312678056"/>
      <w:bookmarkStart w:id="1534" w:name="_Toc296944562"/>
      <w:bookmarkStart w:id="1535" w:name="_Toc292559428"/>
      <w:bookmarkStart w:id="1536" w:name="_Toc304295596"/>
      <w:bookmarkStart w:id="1537" w:name="_Toc297216224"/>
      <w:bookmarkStart w:id="1538" w:name="_Toc296891263"/>
      <w:bookmarkStart w:id="1539" w:name="_Toc297123565"/>
      <w:bookmarkStart w:id="1540" w:name="_Toc267251475"/>
      <w:bookmarkStart w:id="1541" w:name="_Toc267251472"/>
      <w:bookmarkStart w:id="1542" w:name="_Toc267251473"/>
      <w:bookmarkStart w:id="1543" w:name="_Toc267251471"/>
      <w:bookmarkStart w:id="1544" w:name="_Toc267251470"/>
      <w:bookmarkStart w:id="1545" w:name="_Toc267251476"/>
      <w:bookmarkStart w:id="1546" w:name="_Toc267251474"/>
      <w:r>
        <w:rPr>
          <w:rFonts w:hint="eastAsia" w:ascii="宋体" w:hAnsi="宋体" w:eastAsia="宋体" w:cs="宋体"/>
          <w:b/>
          <w:bCs/>
          <w:color w:val="auto"/>
          <w:kern w:val="44"/>
          <w:sz w:val="21"/>
          <w:szCs w:val="21"/>
          <w:highlight w:val="none"/>
          <w:lang w:val="en-US" w:eastAsia="zh-CN" w:bidi="ar-SA"/>
        </w:rPr>
        <w:t>13.2 竣工验收</w:t>
      </w:r>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p>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p w14:paraId="49E14E11">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bookmarkStart w:id="1547" w:name="_Toc280868704"/>
      <w:bookmarkStart w:id="1548" w:name="_Toc280868705"/>
      <w:bookmarkStart w:id="1549" w:name="_Toc280868706"/>
      <w:bookmarkStart w:id="1550" w:name="_Toc280868707"/>
      <w:bookmarkStart w:id="1551" w:name="_Toc280868708"/>
      <w:bookmarkStart w:id="1552" w:name="_Toc280868709"/>
      <w:r>
        <w:rPr>
          <w:rFonts w:hint="eastAsia" w:ascii="宋体" w:hAnsi="宋体" w:eastAsia="宋体" w:cs="宋体"/>
          <w:color w:val="auto"/>
          <w:kern w:val="2"/>
          <w:sz w:val="21"/>
          <w:szCs w:val="21"/>
          <w:highlight w:val="none"/>
          <w:lang w:val="en-US" w:eastAsia="zh-CN" w:bidi="ar-SA"/>
        </w:rPr>
        <w:t>13.2.1竣工验收条件</w:t>
      </w:r>
    </w:p>
    <w:p w14:paraId="44A2954A">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kern w:val="2"/>
          <w:sz w:val="21"/>
          <w:szCs w:val="21"/>
          <w:highlight w:val="none"/>
          <w:u w:val="single"/>
          <w:lang w:val="en-US" w:eastAsia="zh-CN" w:bidi="ar-SA"/>
        </w:rPr>
        <w:t xml:space="preserve">  1、工程具备竣工验收条件，承包人按工期竣工验收有关规定，向发包人提交符合桂林市城建档案馆归档要求内容装订成册的完整竣工资料及竣工验收报告、工程竣工图。2、承包人所提交的竣工资料必须符合《建设工程归档整理规范》要求，并在结算审批时出具《工程档案验收合格证明》及建设单位接收档案资料清单证明   </w:t>
      </w:r>
      <w:r>
        <w:rPr>
          <w:rFonts w:hint="eastAsia" w:ascii="宋体" w:hAnsi="宋体" w:eastAsia="宋体" w:cs="宋体"/>
          <w:color w:val="auto"/>
          <w:kern w:val="2"/>
          <w:sz w:val="21"/>
          <w:szCs w:val="21"/>
          <w:highlight w:val="none"/>
          <w:lang w:val="en-US" w:eastAsia="zh-CN" w:bidi="ar-SA"/>
        </w:rPr>
        <w:t>。</w:t>
      </w:r>
    </w:p>
    <w:p w14:paraId="644C5649">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竣工验收资料的份数：</w:t>
      </w:r>
      <w:r>
        <w:rPr>
          <w:rFonts w:hint="eastAsia" w:ascii="宋体" w:hAnsi="宋体" w:eastAsia="宋体" w:cs="宋体"/>
          <w:color w:val="auto"/>
          <w:kern w:val="2"/>
          <w:sz w:val="21"/>
          <w:szCs w:val="21"/>
          <w:highlight w:val="none"/>
          <w:u w:val="single"/>
          <w:lang w:val="en-US" w:eastAsia="zh-CN" w:bidi="ar-SA"/>
        </w:rPr>
        <w:t>肆份，承包人承担竣工验收资料编制、立卷及至档案馆归档等一切费用</w:t>
      </w:r>
      <w:r>
        <w:rPr>
          <w:rFonts w:hint="eastAsia" w:ascii="宋体" w:hAnsi="宋体" w:eastAsia="宋体" w:cs="宋体"/>
          <w:color w:val="auto"/>
          <w:kern w:val="2"/>
          <w:sz w:val="21"/>
          <w:szCs w:val="21"/>
          <w:highlight w:val="none"/>
          <w:lang w:val="en-US" w:eastAsia="zh-CN" w:bidi="ar-SA"/>
        </w:rPr>
        <w:t>。</w:t>
      </w:r>
    </w:p>
    <w:p w14:paraId="08FD8BDC">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承包人提供竣工图的约定：</w:t>
      </w:r>
      <w:r>
        <w:rPr>
          <w:rFonts w:hint="eastAsia" w:ascii="宋体" w:hAnsi="宋体" w:eastAsia="宋体" w:cs="宋体"/>
          <w:bCs/>
          <w:color w:val="auto"/>
          <w:kern w:val="2"/>
          <w:sz w:val="21"/>
          <w:szCs w:val="21"/>
          <w:highlight w:val="none"/>
          <w:u w:val="single"/>
          <w:lang w:val="en-US" w:eastAsia="zh-CN" w:bidi="ar-SA"/>
        </w:rPr>
        <w:t>竣工验收正式通过后15天，提供4套竣工图。</w:t>
      </w:r>
    </w:p>
    <w:p w14:paraId="6B58F0FC">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13.2.2竣工验收程序</w:t>
      </w:r>
    </w:p>
    <w:bookmarkEnd w:id="1547"/>
    <w:p w14:paraId="1891FC19">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关于竣工验收程序的约定：</w:t>
      </w:r>
      <w:r>
        <w:rPr>
          <w:rFonts w:hint="eastAsia" w:ascii="宋体" w:hAnsi="宋体" w:eastAsia="宋体" w:cs="宋体"/>
          <w:color w:val="auto"/>
          <w:kern w:val="2"/>
          <w:sz w:val="21"/>
          <w:szCs w:val="21"/>
          <w:highlight w:val="none"/>
          <w:u w:val="single"/>
          <w:lang w:val="en-US" w:eastAsia="zh-CN" w:bidi="ar-SA"/>
        </w:rPr>
        <w:t>由承包人提出申请，经监理工程师及承包人同意后，通知各质检及监督部门进行竣工验收。本工程竣工验收合格后，双方应在验收报告上签字认可，本工程实际竣工日期以建设、设计、勘察、监理、施工五家单位验收小组正式验收签字日期为准。工程保修按合同附件3《工程质量保修书》有关规定执行。</w:t>
      </w:r>
    </w:p>
    <w:p w14:paraId="1A54B499">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发包人不按照本项约定组织竣工验收、颁发工程接收证书的违约金的计算方法：</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w:t>
      </w:r>
    </w:p>
    <w:bookmarkEnd w:id="1548"/>
    <w:p w14:paraId="020BF056">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13.2.5移交、接收全部与部分工程</w:t>
      </w:r>
    </w:p>
    <w:bookmarkEnd w:id="1549"/>
    <w:p w14:paraId="6D5264D6">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承包人向发包人移交工程的期限：</w:t>
      </w:r>
      <w:r>
        <w:rPr>
          <w:rFonts w:hint="eastAsia" w:ascii="宋体" w:hAnsi="宋体" w:eastAsia="宋体" w:cs="宋体"/>
          <w:color w:val="auto"/>
          <w:kern w:val="2"/>
          <w:sz w:val="21"/>
          <w:szCs w:val="21"/>
          <w:highlight w:val="none"/>
          <w:u w:val="single"/>
          <w:lang w:val="en-US" w:eastAsia="zh-CN" w:bidi="ar-SA"/>
        </w:rPr>
        <w:t xml:space="preserve"> 竣工验收整改完毕三日内 </w:t>
      </w:r>
      <w:r>
        <w:rPr>
          <w:rFonts w:hint="eastAsia" w:ascii="宋体" w:hAnsi="宋体" w:eastAsia="宋体" w:cs="宋体"/>
          <w:color w:val="auto"/>
          <w:kern w:val="2"/>
          <w:sz w:val="21"/>
          <w:szCs w:val="21"/>
          <w:highlight w:val="none"/>
          <w:lang w:val="en-US" w:eastAsia="zh-CN" w:bidi="ar-SA"/>
        </w:rPr>
        <w:t>。</w:t>
      </w:r>
    </w:p>
    <w:p w14:paraId="6D8CD7E9">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发包人未按本合同约定接收全部或部分工程的，违约金的计算方法为：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bCs/>
          <w:color w:val="auto"/>
          <w:kern w:val="2"/>
          <w:sz w:val="21"/>
          <w:szCs w:val="21"/>
          <w:highlight w:val="none"/>
          <w:u w:val="single"/>
          <w:lang w:val="en-US" w:eastAsia="zh-CN" w:bidi="ar-SA"/>
        </w:rPr>
        <w:t>每逾期一天，按</w:t>
      </w:r>
      <w:r>
        <w:rPr>
          <w:rFonts w:hint="eastAsia" w:ascii="宋体" w:hAnsi="宋体" w:eastAsia="宋体" w:cs="宋体"/>
          <w:color w:val="auto"/>
          <w:kern w:val="2"/>
          <w:sz w:val="21"/>
          <w:szCs w:val="21"/>
          <w:highlight w:val="none"/>
          <w:u w:val="single"/>
          <w:lang w:val="zh-CN" w:eastAsia="zh-CN" w:bidi="ar-SA"/>
        </w:rPr>
        <w:t>签约合同价</w:t>
      </w:r>
      <w:r>
        <w:rPr>
          <w:rFonts w:hint="eastAsia" w:ascii="宋体" w:hAnsi="宋体" w:eastAsia="宋体" w:cs="宋体"/>
          <w:color w:val="auto"/>
          <w:kern w:val="2"/>
          <w:sz w:val="21"/>
          <w:szCs w:val="21"/>
          <w:highlight w:val="none"/>
          <w:u w:val="single"/>
          <w:lang w:val="en-US" w:eastAsia="zh-CN" w:bidi="ar-SA"/>
        </w:rPr>
        <w:t>款扣除发包人材料价款、暂估专业工程、暂列金额后的万分之四/天</w:t>
      </w:r>
      <w:r>
        <w:rPr>
          <w:rFonts w:hint="eastAsia" w:ascii="宋体" w:hAnsi="宋体" w:eastAsia="宋体" w:cs="宋体"/>
          <w:bCs/>
          <w:color w:val="auto"/>
          <w:kern w:val="2"/>
          <w:sz w:val="21"/>
          <w:szCs w:val="21"/>
          <w:highlight w:val="none"/>
          <w:u w:val="single"/>
          <w:lang w:val="en-US" w:eastAsia="zh-CN" w:bidi="ar-SA"/>
        </w:rPr>
        <w:t xml:space="preserve">支付违约金，最高限额为结算价的3% </w:t>
      </w:r>
      <w:r>
        <w:rPr>
          <w:rFonts w:hint="eastAsia" w:ascii="宋体" w:hAnsi="宋体" w:eastAsia="宋体" w:cs="宋体"/>
          <w:color w:val="auto"/>
          <w:kern w:val="2"/>
          <w:sz w:val="21"/>
          <w:szCs w:val="21"/>
          <w:highlight w:val="none"/>
          <w:lang w:val="en-US" w:eastAsia="zh-CN" w:bidi="ar-SA"/>
        </w:rPr>
        <w:t>。</w:t>
      </w:r>
    </w:p>
    <w:bookmarkEnd w:id="1550"/>
    <w:p w14:paraId="55452864">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承包人未按时移交工程的，违约金的计算方法为：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bCs/>
          <w:color w:val="auto"/>
          <w:kern w:val="2"/>
          <w:sz w:val="21"/>
          <w:szCs w:val="21"/>
          <w:highlight w:val="none"/>
          <w:u w:val="single"/>
          <w:lang w:val="en-US" w:eastAsia="zh-CN" w:bidi="ar-SA"/>
        </w:rPr>
        <w:t>每逾期一天</w:t>
      </w:r>
      <w:r>
        <w:rPr>
          <w:rFonts w:hint="eastAsia" w:ascii="宋体" w:hAnsi="宋体" w:eastAsia="宋体" w:cs="宋体"/>
          <w:color w:val="auto"/>
          <w:kern w:val="2"/>
          <w:sz w:val="21"/>
          <w:szCs w:val="21"/>
          <w:highlight w:val="none"/>
          <w:u w:val="single"/>
          <w:lang w:val="en-US" w:eastAsia="zh-CN" w:bidi="ar-SA"/>
        </w:rPr>
        <w:t>，按</w:t>
      </w:r>
      <w:r>
        <w:rPr>
          <w:rFonts w:hint="eastAsia" w:ascii="宋体" w:hAnsi="宋体" w:eastAsia="宋体" w:cs="宋体"/>
          <w:color w:val="auto"/>
          <w:kern w:val="2"/>
          <w:sz w:val="21"/>
          <w:szCs w:val="21"/>
          <w:highlight w:val="none"/>
          <w:u w:val="single"/>
          <w:lang w:val="zh-CN" w:eastAsia="zh-CN" w:bidi="ar-SA"/>
        </w:rPr>
        <w:t>签约合同价</w:t>
      </w:r>
      <w:r>
        <w:rPr>
          <w:rFonts w:hint="eastAsia" w:ascii="宋体" w:hAnsi="宋体" w:eastAsia="宋体" w:cs="宋体"/>
          <w:color w:val="auto"/>
          <w:kern w:val="2"/>
          <w:sz w:val="21"/>
          <w:szCs w:val="21"/>
          <w:highlight w:val="none"/>
          <w:u w:val="single"/>
          <w:lang w:val="en-US" w:eastAsia="zh-CN" w:bidi="ar-SA"/>
        </w:rPr>
        <w:t xml:space="preserve">款扣除发包人材料价款、暂估专业工程、暂列金额后的万分之四/天支付违约金，最高限额为结算价的3%  </w:t>
      </w:r>
      <w:r>
        <w:rPr>
          <w:rFonts w:hint="eastAsia" w:ascii="宋体" w:hAnsi="宋体" w:eastAsia="宋体" w:cs="宋体"/>
          <w:color w:val="auto"/>
          <w:kern w:val="2"/>
          <w:sz w:val="21"/>
          <w:szCs w:val="21"/>
          <w:highlight w:val="none"/>
          <w:lang w:val="en-US" w:eastAsia="zh-CN" w:bidi="ar-SA"/>
        </w:rPr>
        <w:t>。</w:t>
      </w:r>
    </w:p>
    <w:p w14:paraId="36DB9D0E">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1553" w:name="_Toc418751853"/>
      <w:bookmarkStart w:id="1554" w:name="_Toc403578991"/>
      <w:bookmarkStart w:id="1555" w:name="_Toc418518403"/>
      <w:bookmarkStart w:id="1556" w:name="_Toc373227756"/>
      <w:bookmarkStart w:id="1557" w:name="_Toc418061368"/>
      <w:bookmarkStart w:id="1558" w:name="_Toc256000234"/>
      <w:bookmarkStart w:id="1559" w:name="_Toc389065321"/>
      <w:bookmarkStart w:id="1560" w:name="_Toc522201783"/>
      <w:bookmarkStart w:id="1561" w:name="_Toc418752299"/>
      <w:bookmarkStart w:id="1562" w:name="_Toc497747235"/>
      <w:bookmarkStart w:id="1563" w:name="_Toc10340"/>
      <w:bookmarkStart w:id="1564" w:name="_Toc497746838"/>
      <w:bookmarkStart w:id="1565" w:name="_Toc418518167"/>
      <w:bookmarkStart w:id="1566" w:name="_Toc373478403"/>
      <w:r>
        <w:rPr>
          <w:rFonts w:hint="eastAsia" w:ascii="宋体" w:hAnsi="宋体" w:eastAsia="宋体" w:cs="宋体"/>
          <w:b/>
          <w:bCs/>
          <w:color w:val="auto"/>
          <w:kern w:val="44"/>
          <w:sz w:val="21"/>
          <w:szCs w:val="21"/>
          <w:highlight w:val="none"/>
          <w:lang w:val="en-US" w:eastAsia="zh-CN" w:bidi="ar-SA"/>
        </w:rPr>
        <w:t>13.3 工程试车</w:t>
      </w:r>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p>
    <w:bookmarkEnd w:id="1551"/>
    <w:p w14:paraId="24A4FC85">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13.3.1 试车程序</w:t>
      </w:r>
    </w:p>
    <w:p w14:paraId="031D78BA">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工程试车内容：</w:t>
      </w:r>
      <w:r>
        <w:rPr>
          <w:rFonts w:hint="eastAsia" w:ascii="宋体" w:hAnsi="宋体" w:eastAsia="宋体" w:cs="宋体"/>
          <w:color w:val="auto"/>
          <w:kern w:val="2"/>
          <w:sz w:val="21"/>
          <w:szCs w:val="21"/>
          <w:highlight w:val="none"/>
          <w:u w:val="single"/>
          <w:lang w:val="en-US" w:eastAsia="zh-CN" w:bidi="ar-SA"/>
        </w:rPr>
        <w:t xml:space="preserve">  为达到本工程的验收标准，工程范围内的设施和承包人安装的设备应进行试运行调试，费用由承包人自行负责并已包括在投标报价中 </w:t>
      </w:r>
      <w:r>
        <w:rPr>
          <w:rFonts w:hint="eastAsia" w:ascii="宋体" w:hAnsi="宋体" w:eastAsia="宋体" w:cs="宋体"/>
          <w:color w:val="auto"/>
          <w:kern w:val="2"/>
          <w:sz w:val="21"/>
          <w:szCs w:val="21"/>
          <w:highlight w:val="none"/>
          <w:lang w:val="en-US" w:eastAsia="zh-CN" w:bidi="ar-SA"/>
        </w:rPr>
        <w:t>。</w:t>
      </w:r>
    </w:p>
    <w:p w14:paraId="39BE4A40">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（1）单机无负荷试车费用由</w:t>
      </w:r>
      <w:r>
        <w:rPr>
          <w:rFonts w:hint="eastAsia" w:ascii="宋体" w:hAnsi="宋体" w:eastAsia="宋体" w:cs="宋体"/>
          <w:color w:val="auto"/>
          <w:kern w:val="2"/>
          <w:sz w:val="21"/>
          <w:szCs w:val="21"/>
          <w:highlight w:val="none"/>
          <w:u w:val="single"/>
          <w:lang w:val="en-US" w:eastAsia="zh-CN" w:bidi="ar-SA"/>
        </w:rPr>
        <w:t xml:space="preserve">  承包人组织试运行，费用由承包人</w:t>
      </w:r>
      <w:r>
        <w:rPr>
          <w:rFonts w:hint="eastAsia" w:ascii="宋体" w:hAnsi="宋体" w:eastAsia="宋体" w:cs="宋体"/>
          <w:color w:val="auto"/>
          <w:kern w:val="0"/>
          <w:sz w:val="21"/>
          <w:szCs w:val="21"/>
          <w:highlight w:val="none"/>
          <w:lang w:val="en-US" w:eastAsia="zh-CN" w:bidi="ar-SA"/>
        </w:rPr>
        <w:t>承担；</w:t>
      </w:r>
    </w:p>
    <w:p w14:paraId="2FFF6BDE">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（2）无负荷联动试车费用由</w:t>
      </w:r>
      <w:r>
        <w:rPr>
          <w:rFonts w:hint="eastAsia" w:ascii="宋体" w:hAnsi="宋体" w:eastAsia="宋体" w:cs="宋体"/>
          <w:color w:val="auto"/>
          <w:kern w:val="2"/>
          <w:sz w:val="21"/>
          <w:szCs w:val="21"/>
          <w:highlight w:val="none"/>
          <w:u w:val="single"/>
          <w:lang w:val="en-US" w:eastAsia="zh-CN" w:bidi="ar-SA"/>
        </w:rPr>
        <w:t xml:space="preserve">  承包人组织试运行，费用由承包人</w:t>
      </w:r>
      <w:r>
        <w:rPr>
          <w:rFonts w:hint="eastAsia" w:ascii="宋体" w:hAnsi="宋体" w:eastAsia="宋体" w:cs="宋体"/>
          <w:color w:val="auto"/>
          <w:kern w:val="0"/>
          <w:sz w:val="21"/>
          <w:szCs w:val="21"/>
          <w:highlight w:val="none"/>
          <w:lang w:val="en-US" w:eastAsia="zh-CN" w:bidi="ar-SA"/>
        </w:rPr>
        <w:t>承担。</w:t>
      </w:r>
    </w:p>
    <w:p w14:paraId="60051F5B">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13.3.3 投料试车</w:t>
      </w:r>
    </w:p>
    <w:p w14:paraId="365A48EE">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关于投料试车相关事项的约定：</w:t>
      </w:r>
      <w:r>
        <w:rPr>
          <w:rFonts w:hint="eastAsia" w:ascii="宋体" w:hAnsi="宋体" w:eastAsia="宋体" w:cs="宋体"/>
          <w:color w:val="auto"/>
          <w:kern w:val="2"/>
          <w:sz w:val="21"/>
          <w:szCs w:val="21"/>
          <w:highlight w:val="none"/>
          <w:u w:val="single"/>
          <w:lang w:val="en-US" w:eastAsia="zh-CN" w:bidi="ar-SA"/>
        </w:rPr>
        <w:t xml:space="preserve"> 由承包人组织试运行，费用由承包人承担 </w:t>
      </w:r>
      <w:r>
        <w:rPr>
          <w:rFonts w:hint="eastAsia" w:ascii="宋体" w:hAnsi="宋体" w:eastAsia="宋体" w:cs="宋体"/>
          <w:color w:val="auto"/>
          <w:kern w:val="2"/>
          <w:sz w:val="21"/>
          <w:szCs w:val="21"/>
          <w:highlight w:val="none"/>
          <w:lang w:val="en-US" w:eastAsia="zh-CN" w:bidi="ar-SA"/>
        </w:rPr>
        <w:t>。</w:t>
      </w:r>
    </w:p>
    <w:p w14:paraId="03B2274C">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1567" w:name="_Toc418752300"/>
      <w:bookmarkStart w:id="1568" w:name="_Toc497747236"/>
      <w:bookmarkStart w:id="1569" w:name="_Toc522201784"/>
      <w:bookmarkStart w:id="1570" w:name="_Toc418518168"/>
      <w:bookmarkStart w:id="1571" w:name="_Toc373227757"/>
      <w:bookmarkStart w:id="1572" w:name="_Toc418518404"/>
      <w:bookmarkStart w:id="1573" w:name="_Toc373478404"/>
      <w:bookmarkStart w:id="1574" w:name="_Toc403578992"/>
      <w:bookmarkStart w:id="1575" w:name="_Toc418061369"/>
      <w:bookmarkStart w:id="1576" w:name="_Toc256000235"/>
      <w:bookmarkStart w:id="1577" w:name="_Toc418751854"/>
      <w:bookmarkStart w:id="1578" w:name="_Toc2207"/>
      <w:bookmarkStart w:id="1579" w:name="_Toc497746839"/>
      <w:bookmarkStart w:id="1580" w:name="_Toc389065322"/>
      <w:r>
        <w:rPr>
          <w:rFonts w:hint="eastAsia" w:ascii="宋体" w:hAnsi="宋体" w:eastAsia="宋体" w:cs="宋体"/>
          <w:b/>
          <w:bCs/>
          <w:color w:val="auto"/>
          <w:kern w:val="44"/>
          <w:sz w:val="21"/>
          <w:szCs w:val="21"/>
          <w:highlight w:val="none"/>
          <w:lang w:val="en-US" w:eastAsia="zh-CN" w:bidi="ar-SA"/>
        </w:rPr>
        <w:t>13.6 竣工退场</w:t>
      </w:r>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p>
    <w:p w14:paraId="7F7B6404">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13.6.1 竣工退场</w:t>
      </w:r>
    </w:p>
    <w:p w14:paraId="4AFF064C">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承包人完成竣工退场的期限：</w:t>
      </w:r>
      <w:r>
        <w:rPr>
          <w:rFonts w:hint="eastAsia" w:ascii="宋体" w:hAnsi="宋体" w:eastAsia="宋体" w:cs="宋体"/>
          <w:color w:val="auto"/>
          <w:kern w:val="2"/>
          <w:sz w:val="21"/>
          <w:szCs w:val="21"/>
          <w:highlight w:val="none"/>
          <w:u w:val="single"/>
          <w:lang w:val="en-US" w:eastAsia="zh-CN" w:bidi="ar-SA"/>
        </w:rPr>
        <w:t>监理人颁发(出具)工程接收证书后，承包人负责按照通用合同条款本项约定的要求对施工场地进行清理并承担相关费用，直至监理人检验合格后七日内，如承包人到期后不退场，发包人有权安排其他人员进行清理，费用从承包人工程款中扣除。</w:t>
      </w:r>
    </w:p>
    <w:p w14:paraId="0D7F627D">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bookmarkStart w:id="1581" w:name="_Toc418752301"/>
      <w:bookmarkStart w:id="1582" w:name="_Toc418518169"/>
      <w:bookmarkStart w:id="1583" w:name="_Toc351203646"/>
      <w:bookmarkStart w:id="1584" w:name="_Toc28169"/>
      <w:bookmarkStart w:id="1585" w:name="_Toc418518405"/>
      <w:bookmarkStart w:id="1586" w:name="_Toc373227758"/>
      <w:bookmarkStart w:id="1587" w:name="_Toc256000236"/>
      <w:bookmarkStart w:id="1588" w:name="_Toc418751855"/>
      <w:bookmarkStart w:id="1589" w:name="_Toc497746840"/>
      <w:bookmarkStart w:id="1590" w:name="_Toc403578993"/>
      <w:bookmarkStart w:id="1591" w:name="_Toc497747237"/>
      <w:bookmarkStart w:id="1592" w:name="_Toc373478405"/>
      <w:bookmarkStart w:id="1593" w:name="_Toc522201785"/>
      <w:bookmarkStart w:id="1594" w:name="_Toc418061370"/>
      <w:bookmarkStart w:id="1595" w:name="_Toc389065323"/>
      <w:r>
        <w:rPr>
          <w:rFonts w:hint="eastAsia" w:ascii="宋体" w:hAnsi="宋体" w:eastAsia="宋体" w:cs="宋体"/>
          <w:b/>
          <w:bCs/>
          <w:color w:val="auto"/>
          <w:kern w:val="44"/>
          <w:sz w:val="21"/>
          <w:szCs w:val="21"/>
          <w:highlight w:val="none"/>
          <w:lang w:val="en-US" w:eastAsia="zh-CN" w:bidi="ar-SA"/>
        </w:rPr>
        <w:t>14. 竣工结算</w:t>
      </w:r>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p>
    <w:p w14:paraId="51B8C2C4">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1596" w:name="_Toc389065324"/>
      <w:bookmarkStart w:id="1597" w:name="_Toc418752302"/>
      <w:bookmarkStart w:id="1598" w:name="_Toc256000237"/>
      <w:bookmarkStart w:id="1599" w:name="_Toc418751856"/>
      <w:bookmarkStart w:id="1600" w:name="_Toc403578994"/>
      <w:bookmarkStart w:id="1601" w:name="_Toc23723"/>
      <w:bookmarkStart w:id="1602" w:name="_Toc418061371"/>
      <w:bookmarkStart w:id="1603" w:name="_Toc373227759"/>
      <w:bookmarkStart w:id="1604" w:name="_Toc522201786"/>
      <w:bookmarkStart w:id="1605" w:name="_Toc418518170"/>
      <w:bookmarkStart w:id="1606" w:name="_Toc497747238"/>
      <w:bookmarkStart w:id="1607" w:name="_Toc418518406"/>
      <w:bookmarkStart w:id="1608" w:name="_Toc373478406"/>
      <w:bookmarkStart w:id="1609" w:name="_Toc497746841"/>
      <w:r>
        <w:rPr>
          <w:rFonts w:hint="eastAsia" w:ascii="宋体" w:hAnsi="宋体" w:eastAsia="宋体" w:cs="宋体"/>
          <w:b/>
          <w:bCs/>
          <w:color w:val="auto"/>
          <w:kern w:val="44"/>
          <w:sz w:val="21"/>
          <w:szCs w:val="21"/>
          <w:highlight w:val="none"/>
          <w:lang w:val="en-US" w:eastAsia="zh-CN" w:bidi="ar-SA"/>
        </w:rPr>
        <w:t>14.1 竣工结算申请</w:t>
      </w:r>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p>
    <w:p w14:paraId="09D652A3">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承包人提交竣工结算申请单的期限：</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u w:val="single"/>
          <w:lang w:val="en-US" w:eastAsia="zh-CN" w:bidi="ar-SA"/>
        </w:rPr>
        <w:t>具备竣工收条件后28天内</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14:paraId="5ED0F88B">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竣工结算申请单应包括的内容：</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u w:val="single"/>
          <w:lang w:val="en-US" w:eastAsia="zh-CN" w:bidi="ar-SA"/>
        </w:rPr>
        <w:t>竣工结算由承包人提交相关结算资料（主要包括合同、工程量计算书、结算书、变更设计通知单、签证单、竣工图）齐全后经监理初审、发包人审核后，</w:t>
      </w:r>
      <w:r>
        <w:rPr>
          <w:rFonts w:hint="eastAsia" w:ascii="Times New Roman" w:hAnsi="Times New Roman" w:eastAsia="宋体" w:cs="Times New Roman"/>
          <w:color w:val="auto"/>
          <w:kern w:val="2"/>
          <w:sz w:val="21"/>
          <w:szCs w:val="22"/>
          <w:highlight w:val="none"/>
          <w:u w:val="single"/>
          <w:lang w:val="en-US" w:eastAsia="zh-CN" w:bidi="ar-SA"/>
        </w:rPr>
        <w:t>最终结算以桂林市七星区财政局</w:t>
      </w:r>
      <w:r>
        <w:rPr>
          <w:rFonts w:hint="eastAsia" w:ascii="宋体" w:hAnsi="宋体" w:eastAsia="宋体" w:cs="宋体"/>
          <w:color w:val="auto"/>
          <w:kern w:val="2"/>
          <w:sz w:val="21"/>
          <w:szCs w:val="21"/>
          <w:highlight w:val="none"/>
          <w:u w:val="single"/>
          <w:lang w:val="en-US" w:eastAsia="zh-CN" w:bidi="ar-SA"/>
        </w:rPr>
        <w:t>或发包人委托的造价咨询机构审定并经发包人及承包人双方确认的金额为准</w:t>
      </w:r>
      <w:r>
        <w:rPr>
          <w:rFonts w:hint="eastAsia" w:ascii="宋体" w:hAnsi="宋体" w:eastAsia="宋体" w:cs="宋体"/>
          <w:color w:val="auto"/>
          <w:kern w:val="2"/>
          <w:sz w:val="21"/>
          <w:szCs w:val="21"/>
          <w:highlight w:val="none"/>
          <w:lang w:val="en-US" w:eastAsia="zh-CN" w:bidi="ar-SA"/>
        </w:rPr>
        <w:t>。</w:t>
      </w:r>
    </w:p>
    <w:p w14:paraId="0965215F">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1610" w:name="_Toc256000238"/>
      <w:bookmarkStart w:id="1611" w:name="_Toc373227760"/>
      <w:bookmarkStart w:id="1612" w:name="_Toc497747239"/>
      <w:bookmarkStart w:id="1613" w:name="_Toc418751857"/>
      <w:bookmarkStart w:id="1614" w:name="_Toc418061372"/>
      <w:bookmarkStart w:id="1615" w:name="_Toc24724"/>
      <w:bookmarkStart w:id="1616" w:name="_Toc373478407"/>
      <w:bookmarkStart w:id="1617" w:name="_Toc497746842"/>
      <w:bookmarkStart w:id="1618" w:name="_Toc418752303"/>
      <w:bookmarkStart w:id="1619" w:name="_Toc418518407"/>
      <w:bookmarkStart w:id="1620" w:name="_Toc389065325"/>
      <w:bookmarkStart w:id="1621" w:name="_Toc418518171"/>
      <w:bookmarkStart w:id="1622" w:name="_Toc403578995"/>
      <w:bookmarkStart w:id="1623" w:name="_Toc522201787"/>
      <w:r>
        <w:rPr>
          <w:rFonts w:hint="eastAsia" w:ascii="宋体" w:hAnsi="宋体" w:eastAsia="宋体" w:cs="宋体"/>
          <w:b/>
          <w:bCs/>
          <w:color w:val="auto"/>
          <w:kern w:val="44"/>
          <w:sz w:val="21"/>
          <w:szCs w:val="21"/>
          <w:highlight w:val="none"/>
          <w:lang w:val="en-US" w:eastAsia="zh-CN" w:bidi="ar-SA"/>
        </w:rPr>
        <w:t>14.2 竣工结算审核</w:t>
      </w:r>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p>
    <w:p w14:paraId="32C5D68A">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发包人审批竣工付款申请单的期限：</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616"/>
        <w:gridCol w:w="5817"/>
      </w:tblGrid>
      <w:tr w14:paraId="55E16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19D5A861">
            <w:pPr>
              <w:widowControl w:val="0"/>
              <w:spacing w:line="380" w:lineRule="exact"/>
              <w:jc w:val="center"/>
              <w:rPr>
                <w:rFonts w:ascii="宋体" w:hAnsi="宋体" w:eastAsia="宋体" w:cs="宋体"/>
                <w:bCs/>
                <w:color w:val="auto"/>
                <w:kern w:val="2"/>
                <w:sz w:val="21"/>
                <w:szCs w:val="21"/>
                <w:highlight w:val="none"/>
                <w:lang w:val="en-US" w:eastAsia="zh-CN" w:bidi="ar-SA"/>
              </w:rPr>
            </w:pPr>
          </w:p>
        </w:tc>
        <w:tc>
          <w:tcPr>
            <w:tcW w:w="2616" w:type="dxa"/>
            <w:noWrap w:val="0"/>
            <w:vAlign w:val="center"/>
          </w:tcPr>
          <w:p w14:paraId="0CC2B830">
            <w:pPr>
              <w:widowControl w:val="0"/>
              <w:spacing w:line="380" w:lineRule="exact"/>
              <w:ind w:firstLine="27" w:firstLineChars="13"/>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工程竣工结算报告金额</w:t>
            </w:r>
          </w:p>
        </w:tc>
        <w:tc>
          <w:tcPr>
            <w:tcW w:w="5817" w:type="dxa"/>
            <w:noWrap w:val="0"/>
            <w:vAlign w:val="center"/>
          </w:tcPr>
          <w:p w14:paraId="4507EF5E">
            <w:pPr>
              <w:widowControl w:val="0"/>
              <w:spacing w:line="380" w:lineRule="exact"/>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发包人审查时间</w:t>
            </w:r>
          </w:p>
        </w:tc>
      </w:tr>
      <w:tr w14:paraId="4836D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32B70339">
            <w:pPr>
              <w:widowControl w:val="0"/>
              <w:spacing w:line="380" w:lineRule="exact"/>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w:t>
            </w:r>
          </w:p>
        </w:tc>
        <w:tc>
          <w:tcPr>
            <w:tcW w:w="2616" w:type="dxa"/>
            <w:noWrap w:val="0"/>
            <w:vAlign w:val="center"/>
          </w:tcPr>
          <w:p w14:paraId="0368D9A4">
            <w:pPr>
              <w:widowControl w:val="0"/>
              <w:spacing w:line="380" w:lineRule="exact"/>
              <w:ind w:firstLine="27" w:firstLineChars="13"/>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500万元以下</w:t>
            </w:r>
          </w:p>
        </w:tc>
        <w:tc>
          <w:tcPr>
            <w:tcW w:w="5817" w:type="dxa"/>
            <w:noWrap w:val="0"/>
            <w:vAlign w:val="center"/>
          </w:tcPr>
          <w:p w14:paraId="439742DF">
            <w:pPr>
              <w:widowControl w:val="0"/>
              <w:spacing w:line="380" w:lineRule="exact"/>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从接到竣工结算报告和完整的竣工结算资料之日起20天</w:t>
            </w:r>
          </w:p>
        </w:tc>
      </w:tr>
      <w:tr w14:paraId="25134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5E190D4F">
            <w:pPr>
              <w:widowControl w:val="0"/>
              <w:spacing w:line="380" w:lineRule="exact"/>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w:t>
            </w:r>
          </w:p>
        </w:tc>
        <w:tc>
          <w:tcPr>
            <w:tcW w:w="2616" w:type="dxa"/>
            <w:noWrap w:val="0"/>
            <w:vAlign w:val="center"/>
          </w:tcPr>
          <w:p w14:paraId="6007165D">
            <w:pPr>
              <w:widowControl w:val="0"/>
              <w:spacing w:line="380" w:lineRule="exact"/>
              <w:ind w:firstLine="27" w:firstLineChars="13"/>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500万元-2000万元</w:t>
            </w:r>
          </w:p>
        </w:tc>
        <w:tc>
          <w:tcPr>
            <w:tcW w:w="5817" w:type="dxa"/>
            <w:noWrap w:val="0"/>
            <w:vAlign w:val="center"/>
          </w:tcPr>
          <w:p w14:paraId="46CC3178">
            <w:pPr>
              <w:widowControl w:val="0"/>
              <w:spacing w:line="380" w:lineRule="exact"/>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从接到竣工结算报告和完整的竣工结算资料之日起30天</w:t>
            </w:r>
          </w:p>
        </w:tc>
      </w:tr>
      <w:tr w14:paraId="434CF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7BE63C5A">
            <w:pPr>
              <w:widowControl w:val="0"/>
              <w:spacing w:line="380" w:lineRule="exact"/>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w:t>
            </w:r>
          </w:p>
        </w:tc>
        <w:tc>
          <w:tcPr>
            <w:tcW w:w="2616" w:type="dxa"/>
            <w:noWrap w:val="0"/>
            <w:vAlign w:val="center"/>
          </w:tcPr>
          <w:p w14:paraId="283082D5">
            <w:pPr>
              <w:widowControl w:val="0"/>
              <w:spacing w:line="380" w:lineRule="exact"/>
              <w:ind w:firstLine="27" w:firstLineChars="13"/>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2000万元-5000万元</w:t>
            </w:r>
          </w:p>
        </w:tc>
        <w:tc>
          <w:tcPr>
            <w:tcW w:w="5817" w:type="dxa"/>
            <w:noWrap w:val="0"/>
            <w:vAlign w:val="center"/>
          </w:tcPr>
          <w:p w14:paraId="657A77D7">
            <w:pPr>
              <w:widowControl w:val="0"/>
              <w:spacing w:line="380" w:lineRule="exact"/>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从接到竣工结算报告和完整的竣工结算资料之日起45天</w:t>
            </w:r>
          </w:p>
        </w:tc>
      </w:tr>
      <w:tr w14:paraId="6C106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0F6A7DE5">
            <w:pPr>
              <w:widowControl w:val="0"/>
              <w:spacing w:line="380" w:lineRule="exact"/>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w:t>
            </w:r>
          </w:p>
        </w:tc>
        <w:tc>
          <w:tcPr>
            <w:tcW w:w="2616" w:type="dxa"/>
            <w:noWrap w:val="0"/>
            <w:vAlign w:val="center"/>
          </w:tcPr>
          <w:p w14:paraId="006C9083">
            <w:pPr>
              <w:widowControl w:val="0"/>
              <w:spacing w:line="380" w:lineRule="exact"/>
              <w:ind w:firstLine="27" w:firstLineChars="13"/>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5000万元以上</w:t>
            </w:r>
          </w:p>
        </w:tc>
        <w:tc>
          <w:tcPr>
            <w:tcW w:w="5817" w:type="dxa"/>
            <w:noWrap w:val="0"/>
            <w:vAlign w:val="center"/>
          </w:tcPr>
          <w:p w14:paraId="2BEC5BBB">
            <w:pPr>
              <w:widowControl w:val="0"/>
              <w:spacing w:line="380" w:lineRule="exact"/>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从接到竣工结算报告和完整的竣工结算资料之日起60天</w:t>
            </w:r>
          </w:p>
        </w:tc>
      </w:tr>
    </w:tbl>
    <w:p w14:paraId="1B62B502">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因承包人提供的结算资料不完整而需要补充或承包人不按时对账耽误时间时，审查时间应相应顺延</w:t>
      </w:r>
      <w:r>
        <w:rPr>
          <w:rFonts w:hint="eastAsia" w:ascii="宋体" w:hAnsi="宋体" w:eastAsia="宋体" w:cs="宋体"/>
          <w:color w:val="auto"/>
          <w:kern w:val="2"/>
          <w:sz w:val="21"/>
          <w:szCs w:val="21"/>
          <w:highlight w:val="none"/>
          <w:lang w:val="en-US" w:eastAsia="zh-CN" w:bidi="ar-SA"/>
        </w:rPr>
        <w:t>。</w:t>
      </w:r>
    </w:p>
    <w:p w14:paraId="2852A4BA">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发包人完成竣工付款的期限：</w:t>
      </w:r>
      <w:r>
        <w:rPr>
          <w:rFonts w:ascii="宋体" w:hAnsi="宋体" w:eastAsia="宋体" w:cs="宋体"/>
          <w:color w:val="auto"/>
          <w:kern w:val="2"/>
          <w:sz w:val="21"/>
          <w:szCs w:val="21"/>
          <w:highlight w:val="none"/>
          <w:u w:val="single"/>
          <w:lang w:val="en-US" w:eastAsia="zh-CN" w:bidi="ar-SA"/>
        </w:rPr>
        <w:t>结算审核报告出具</w:t>
      </w:r>
      <w:r>
        <w:rPr>
          <w:rFonts w:hint="eastAsia" w:ascii="宋体" w:hAnsi="宋体" w:eastAsia="宋体" w:cs="宋体"/>
          <w:color w:val="auto"/>
          <w:kern w:val="2"/>
          <w:sz w:val="21"/>
          <w:szCs w:val="21"/>
          <w:highlight w:val="none"/>
          <w:u w:val="single"/>
          <w:lang w:val="en-US" w:eastAsia="zh-CN" w:bidi="ar-SA"/>
        </w:rPr>
        <w:t>后且</w:t>
      </w:r>
      <w:r>
        <w:rPr>
          <w:rFonts w:hint="eastAsia" w:ascii="宋体" w:hAnsi="宋体" w:eastAsia="宋体" w:cs="Times New Roman"/>
          <w:color w:val="auto"/>
          <w:kern w:val="2"/>
          <w:sz w:val="21"/>
          <w:szCs w:val="21"/>
          <w:highlight w:val="none"/>
          <w:u w:val="single"/>
          <w:lang w:val="en-US" w:eastAsia="zh-CN" w:bidi="ar-SA"/>
        </w:rPr>
        <w:t>审核完承包人的竣工付款申请单30天内</w:t>
      </w:r>
      <w:r>
        <w:rPr>
          <w:rFonts w:hint="eastAsia" w:ascii="宋体" w:hAnsi="宋体" w:eastAsia="宋体" w:cs="宋体"/>
          <w:color w:val="auto"/>
          <w:kern w:val="2"/>
          <w:sz w:val="21"/>
          <w:szCs w:val="21"/>
          <w:highlight w:val="none"/>
          <w:lang w:val="en-US" w:eastAsia="zh-CN" w:bidi="ar-SA"/>
        </w:rPr>
        <w:t>。</w:t>
      </w:r>
    </w:p>
    <w:p w14:paraId="51B51D4A">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关于竣工付款证书异议部分复核的方式和程序：</w:t>
      </w:r>
      <w:r>
        <w:rPr>
          <w:rFonts w:hint="eastAsia" w:ascii="宋体" w:hAnsi="宋体" w:eastAsia="宋体" w:cs="宋体"/>
          <w:color w:val="auto"/>
          <w:kern w:val="2"/>
          <w:sz w:val="21"/>
          <w:szCs w:val="21"/>
          <w:highlight w:val="none"/>
          <w:u w:val="single"/>
          <w:lang w:val="en-US" w:eastAsia="zh-CN" w:bidi="ar-SA"/>
        </w:rPr>
        <w:t>存在异议的部分，由承包人核对后对异议部分进行书面描叙，并交由发包人再次审定。</w:t>
      </w:r>
    </w:p>
    <w:p w14:paraId="086DBFD9">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1624" w:name="_Toc522201788"/>
      <w:bookmarkStart w:id="1625" w:name="_Toc418061373"/>
      <w:bookmarkStart w:id="1626" w:name="_Toc403578996"/>
      <w:bookmarkStart w:id="1627" w:name="_Toc418518408"/>
      <w:bookmarkStart w:id="1628" w:name="_Toc256000239"/>
      <w:bookmarkStart w:id="1629" w:name="_Toc418751858"/>
      <w:bookmarkStart w:id="1630" w:name="_Toc497747240"/>
      <w:bookmarkStart w:id="1631" w:name="_Toc389065326"/>
      <w:bookmarkStart w:id="1632" w:name="_Toc373478408"/>
      <w:bookmarkStart w:id="1633" w:name="_Toc418752304"/>
      <w:bookmarkStart w:id="1634" w:name="_Toc497746843"/>
      <w:bookmarkStart w:id="1635" w:name="_Toc8220"/>
      <w:bookmarkStart w:id="1636" w:name="_Toc373227761"/>
      <w:bookmarkStart w:id="1637" w:name="_Toc418518172"/>
      <w:r>
        <w:rPr>
          <w:rFonts w:hint="eastAsia" w:ascii="宋体" w:hAnsi="宋体" w:eastAsia="宋体" w:cs="宋体"/>
          <w:b/>
          <w:bCs/>
          <w:color w:val="auto"/>
          <w:kern w:val="44"/>
          <w:sz w:val="21"/>
          <w:szCs w:val="21"/>
          <w:highlight w:val="none"/>
          <w:lang w:val="en-US" w:eastAsia="zh-CN" w:bidi="ar-SA"/>
        </w:rPr>
        <w:t>14.4 最终结清</w:t>
      </w:r>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p>
    <w:p w14:paraId="09CDE422">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14.4.1 最终结清申请单</w:t>
      </w:r>
    </w:p>
    <w:p w14:paraId="1FE3D3AC">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承包人提交最终结清申请单的份数：</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u w:val="single"/>
          <w:lang w:val="en-US" w:eastAsia="zh-CN" w:bidi="ar-SA"/>
        </w:rPr>
        <w:t xml:space="preserve">一式四份 </w:t>
      </w:r>
      <w:r>
        <w:rPr>
          <w:rFonts w:hint="eastAsia" w:ascii="宋体" w:hAnsi="宋体" w:eastAsia="宋体" w:cs="宋体"/>
          <w:color w:val="auto"/>
          <w:kern w:val="2"/>
          <w:sz w:val="21"/>
          <w:szCs w:val="21"/>
          <w:highlight w:val="none"/>
          <w:lang w:val="en-US" w:eastAsia="zh-CN" w:bidi="ar-SA"/>
        </w:rPr>
        <w:t>。</w:t>
      </w:r>
    </w:p>
    <w:p w14:paraId="21BC2AA7">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承包人提交最终结算申请单的期限：</w:t>
      </w:r>
      <w:r>
        <w:rPr>
          <w:rFonts w:hint="eastAsia" w:ascii="宋体" w:hAnsi="宋体" w:eastAsia="宋体" w:cs="宋体"/>
          <w:color w:val="auto"/>
          <w:kern w:val="0"/>
          <w:sz w:val="21"/>
          <w:szCs w:val="21"/>
          <w:highlight w:val="none"/>
          <w:u w:val="single"/>
          <w:lang w:val="en-US" w:eastAsia="zh-CN" w:bidi="ar-SA"/>
        </w:rPr>
        <w:t>缺陷责任期终止证书签发后14天内向监理人提交4份竣工付款申请单及相关证明材料</w:t>
      </w:r>
      <w:r>
        <w:rPr>
          <w:rFonts w:hint="eastAsia" w:ascii="宋体" w:hAnsi="宋体" w:eastAsia="宋体" w:cs="宋体"/>
          <w:color w:val="auto"/>
          <w:kern w:val="2"/>
          <w:sz w:val="21"/>
          <w:szCs w:val="21"/>
          <w:highlight w:val="none"/>
          <w:lang w:val="en-US" w:eastAsia="zh-CN" w:bidi="ar-SA"/>
        </w:rPr>
        <w:t xml:space="preserve">。 </w:t>
      </w:r>
    </w:p>
    <w:p w14:paraId="549A6383">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14.4.2 最终结清证书和支付</w:t>
      </w:r>
    </w:p>
    <w:p w14:paraId="02F8FD4A">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（1）发包人完成最终结清申请单的审批并颁发最终结清证书的期限：</w:t>
      </w:r>
      <w:r>
        <w:rPr>
          <w:rFonts w:hint="eastAsia" w:ascii="宋体" w:hAnsi="宋体" w:eastAsia="宋体" w:cs="宋体"/>
          <w:color w:val="auto"/>
          <w:kern w:val="0"/>
          <w:sz w:val="21"/>
          <w:szCs w:val="21"/>
          <w:highlight w:val="none"/>
          <w:u w:val="single"/>
          <w:lang w:val="en-US" w:eastAsia="zh-CN" w:bidi="ar-SA"/>
        </w:rPr>
        <w:t xml:space="preserve">按通用条款执行 </w:t>
      </w:r>
      <w:r>
        <w:rPr>
          <w:rFonts w:hint="eastAsia" w:ascii="宋体" w:hAnsi="宋体" w:eastAsia="宋体" w:cs="宋体"/>
          <w:color w:val="auto"/>
          <w:kern w:val="2"/>
          <w:sz w:val="21"/>
          <w:szCs w:val="21"/>
          <w:highlight w:val="none"/>
          <w:lang w:val="en-US" w:eastAsia="zh-CN" w:bidi="ar-SA"/>
        </w:rPr>
        <w:t>。</w:t>
      </w:r>
    </w:p>
    <w:p w14:paraId="72961EE6">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（2）发包人完成支付的期限：</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u w:val="single"/>
          <w:lang w:val="en-US" w:eastAsia="zh-CN" w:bidi="ar-SA"/>
        </w:rPr>
        <w:t xml:space="preserve">在颁发最终结清证书后的30天内 </w:t>
      </w:r>
      <w:r>
        <w:rPr>
          <w:rFonts w:hint="eastAsia" w:ascii="宋体" w:hAnsi="宋体" w:eastAsia="宋体" w:cs="宋体"/>
          <w:color w:val="auto"/>
          <w:kern w:val="2"/>
          <w:sz w:val="21"/>
          <w:szCs w:val="21"/>
          <w:highlight w:val="none"/>
          <w:lang w:val="en-US" w:eastAsia="zh-CN" w:bidi="ar-SA"/>
        </w:rPr>
        <w:t>。</w:t>
      </w:r>
    </w:p>
    <w:bookmarkEnd w:id="1540"/>
    <w:bookmarkEnd w:id="1541"/>
    <w:bookmarkEnd w:id="1542"/>
    <w:bookmarkEnd w:id="1543"/>
    <w:bookmarkEnd w:id="1544"/>
    <w:bookmarkEnd w:id="1545"/>
    <w:bookmarkEnd w:id="1546"/>
    <w:bookmarkEnd w:id="1552"/>
    <w:p w14:paraId="69F2C45B">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bookmarkStart w:id="1638" w:name="_Toc418518409"/>
      <w:bookmarkStart w:id="1639" w:name="_Toc418752305"/>
      <w:bookmarkStart w:id="1640" w:name="_Toc256000240"/>
      <w:bookmarkStart w:id="1641" w:name="_Toc418751859"/>
      <w:bookmarkStart w:id="1642" w:name="_Toc351203647"/>
      <w:bookmarkStart w:id="1643" w:name="_Toc4011"/>
      <w:bookmarkStart w:id="1644" w:name="_Toc522201789"/>
      <w:bookmarkStart w:id="1645" w:name="_Toc403578997"/>
      <w:bookmarkStart w:id="1646" w:name="_Toc389065327"/>
      <w:bookmarkStart w:id="1647" w:name="_Toc497747241"/>
      <w:bookmarkStart w:id="1648" w:name="_Toc497746844"/>
      <w:bookmarkStart w:id="1649" w:name="_Toc373478409"/>
      <w:bookmarkStart w:id="1650" w:name="_Toc373227762"/>
      <w:bookmarkStart w:id="1651" w:name="_Toc418061374"/>
      <w:bookmarkStart w:id="1652" w:name="_Toc418518173"/>
      <w:bookmarkStart w:id="1653" w:name="_Toc267251483"/>
      <w:bookmarkStart w:id="1654" w:name="_Toc267251482"/>
      <w:bookmarkStart w:id="1655" w:name="_Toc267251484"/>
      <w:bookmarkStart w:id="1656" w:name="_Toc267251485"/>
      <w:bookmarkStart w:id="1657" w:name="_Toc267251489"/>
      <w:bookmarkStart w:id="1658" w:name="_Toc267251490"/>
      <w:bookmarkStart w:id="1659" w:name="_Toc267251486"/>
      <w:bookmarkStart w:id="1660" w:name="_Toc267251488"/>
      <w:bookmarkStart w:id="1661" w:name="_Toc267251498"/>
      <w:bookmarkStart w:id="1662" w:name="_Toc267251494"/>
      <w:bookmarkStart w:id="1663" w:name="_Toc267251502"/>
      <w:bookmarkStart w:id="1664" w:name="_Toc267251499"/>
      <w:bookmarkStart w:id="1665" w:name="_Toc267251503"/>
      <w:bookmarkStart w:id="1666" w:name="_Toc267251491"/>
      <w:bookmarkStart w:id="1667" w:name="_Toc267251501"/>
      <w:bookmarkStart w:id="1668" w:name="_Toc267251493"/>
      <w:bookmarkStart w:id="1669" w:name="_Toc267251492"/>
      <w:bookmarkStart w:id="1670" w:name="_Toc267251496"/>
      <w:bookmarkStart w:id="1671" w:name="_Toc267251495"/>
      <w:bookmarkStart w:id="1672" w:name="_Toc267251497"/>
      <w:bookmarkStart w:id="1673" w:name="_Toc267251504"/>
      <w:bookmarkStart w:id="1674" w:name="_Toc267251506"/>
      <w:bookmarkStart w:id="1675" w:name="_Toc267251507"/>
      <w:bookmarkStart w:id="1676" w:name="_Toc267251508"/>
      <w:bookmarkStart w:id="1677" w:name="_Toc267251515"/>
      <w:bookmarkStart w:id="1678" w:name="_Toc267251509"/>
      <w:bookmarkStart w:id="1679" w:name="_Toc267251514"/>
      <w:bookmarkStart w:id="1680" w:name="_Toc267251510"/>
      <w:bookmarkStart w:id="1681" w:name="_Toc267251513"/>
      <w:bookmarkStart w:id="1682" w:name="_Toc267251511"/>
      <w:r>
        <w:rPr>
          <w:rFonts w:hint="eastAsia" w:ascii="宋体" w:hAnsi="宋体" w:eastAsia="宋体" w:cs="宋体"/>
          <w:b/>
          <w:bCs/>
          <w:color w:val="auto"/>
          <w:kern w:val="44"/>
          <w:sz w:val="21"/>
          <w:szCs w:val="21"/>
          <w:highlight w:val="none"/>
          <w:lang w:val="en-US" w:eastAsia="zh-CN" w:bidi="ar-SA"/>
        </w:rPr>
        <w:t>15. 缺陷责任期与保修</w:t>
      </w:r>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p>
    <w:p w14:paraId="2AEC5FB3">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1683" w:name="_Toc418751860"/>
      <w:bookmarkStart w:id="1684" w:name="_Toc418518174"/>
      <w:bookmarkStart w:id="1685" w:name="_Toc418752306"/>
      <w:bookmarkStart w:id="1686" w:name="_Toc256000241"/>
      <w:bookmarkStart w:id="1687" w:name="_Toc497747242"/>
      <w:bookmarkStart w:id="1688" w:name="_Toc373478410"/>
      <w:bookmarkStart w:id="1689" w:name="_Toc389065328"/>
      <w:bookmarkStart w:id="1690" w:name="_Toc373227763"/>
      <w:bookmarkStart w:id="1691" w:name="_Toc522201790"/>
      <w:bookmarkStart w:id="1692" w:name="_Toc497746845"/>
      <w:bookmarkStart w:id="1693" w:name="_Toc418061375"/>
      <w:bookmarkStart w:id="1694" w:name="_Toc18108"/>
      <w:bookmarkStart w:id="1695" w:name="_Toc418518410"/>
      <w:bookmarkStart w:id="1696" w:name="_Toc403578998"/>
      <w:r>
        <w:rPr>
          <w:rFonts w:hint="eastAsia" w:ascii="宋体" w:hAnsi="宋体" w:eastAsia="宋体" w:cs="宋体"/>
          <w:b/>
          <w:bCs/>
          <w:color w:val="auto"/>
          <w:kern w:val="44"/>
          <w:sz w:val="21"/>
          <w:szCs w:val="21"/>
          <w:highlight w:val="none"/>
          <w:lang w:val="en-US" w:eastAsia="zh-CN" w:bidi="ar-SA"/>
        </w:rPr>
        <w:t>15.2 缺陷责任期</w:t>
      </w:r>
      <w:bookmarkEnd w:id="1653"/>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p>
    <w:p w14:paraId="76DEAF52">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缺陷责任期的具体期限：</w:t>
      </w:r>
      <w:r>
        <w:rPr>
          <w:rFonts w:hint="eastAsia" w:ascii="宋体" w:hAnsi="宋体" w:eastAsia="宋体" w:cs="宋体"/>
          <w:color w:val="auto"/>
          <w:kern w:val="2"/>
          <w:sz w:val="21"/>
          <w:szCs w:val="21"/>
          <w:highlight w:val="none"/>
          <w:u w:val="single"/>
          <w:lang w:val="en-US" w:eastAsia="zh-CN" w:bidi="ar-SA"/>
        </w:rPr>
        <w:t>12个月，</w:t>
      </w:r>
      <w:r>
        <w:rPr>
          <w:rFonts w:hint="eastAsia" w:ascii="宋体" w:hAnsi="宋体" w:eastAsia="宋体" w:cs="宋体"/>
          <w:color w:val="auto"/>
          <w:kern w:val="0"/>
          <w:sz w:val="21"/>
          <w:szCs w:val="21"/>
          <w:highlight w:val="none"/>
          <w:u w:val="single"/>
          <w:lang w:val="en-US" w:eastAsia="zh-CN" w:bidi="ar-SA"/>
        </w:rPr>
        <w:t>工程竣工验收合格，自交付使用之日起计算</w:t>
      </w:r>
      <w:r>
        <w:rPr>
          <w:rFonts w:hint="eastAsia" w:ascii="宋体" w:hAnsi="宋体" w:eastAsia="宋体" w:cs="宋体"/>
          <w:color w:val="auto"/>
          <w:kern w:val="2"/>
          <w:sz w:val="21"/>
          <w:szCs w:val="21"/>
          <w:highlight w:val="none"/>
          <w:u w:val="single"/>
          <w:lang w:val="en-US" w:eastAsia="zh-CN" w:bidi="ar-SA"/>
        </w:rPr>
        <w:t xml:space="preserve"> ，按照《建设工程质量管理条例》执行，</w:t>
      </w:r>
      <w:r>
        <w:rPr>
          <w:rFonts w:hint="eastAsia" w:ascii="宋体" w:hAnsi="宋体" w:eastAsia="宋体" w:cs="宋体"/>
          <w:bCs/>
          <w:color w:val="auto"/>
          <w:kern w:val="2"/>
          <w:sz w:val="21"/>
          <w:szCs w:val="21"/>
          <w:highlight w:val="none"/>
          <w:u w:val="single"/>
          <w:lang w:val="en-US" w:eastAsia="zh-CN" w:bidi="ar-SA"/>
        </w:rPr>
        <w:t xml:space="preserve">详见本合同附件3：《工程质量保修书》 </w:t>
      </w:r>
      <w:r>
        <w:rPr>
          <w:rFonts w:hint="eastAsia" w:ascii="宋体" w:hAnsi="宋体" w:eastAsia="宋体" w:cs="宋体"/>
          <w:color w:val="auto"/>
          <w:kern w:val="2"/>
          <w:sz w:val="21"/>
          <w:szCs w:val="21"/>
          <w:highlight w:val="none"/>
          <w:lang w:val="en-US" w:eastAsia="zh-CN" w:bidi="ar-SA"/>
        </w:rPr>
        <w:t>。</w:t>
      </w:r>
    </w:p>
    <w:p w14:paraId="1257B90F">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1697" w:name="_Toc418751861"/>
      <w:bookmarkStart w:id="1698" w:name="_Toc418518411"/>
      <w:bookmarkStart w:id="1699" w:name="_Toc389065329"/>
      <w:bookmarkStart w:id="1700" w:name="_Toc8129"/>
      <w:bookmarkStart w:id="1701" w:name="_Toc373227764"/>
      <w:bookmarkStart w:id="1702" w:name="_Toc418518175"/>
      <w:bookmarkStart w:id="1703" w:name="_Toc418752307"/>
      <w:bookmarkStart w:id="1704" w:name="_Toc497746846"/>
      <w:bookmarkStart w:id="1705" w:name="_Toc403578999"/>
      <w:bookmarkStart w:id="1706" w:name="_Toc256000242"/>
      <w:bookmarkStart w:id="1707" w:name="_Toc497747243"/>
      <w:bookmarkStart w:id="1708" w:name="_Toc418061376"/>
      <w:bookmarkStart w:id="1709" w:name="_Toc522201791"/>
      <w:bookmarkStart w:id="1710" w:name="_Toc373478411"/>
      <w:r>
        <w:rPr>
          <w:rFonts w:hint="eastAsia" w:ascii="宋体" w:hAnsi="宋体" w:eastAsia="宋体" w:cs="宋体"/>
          <w:b/>
          <w:bCs/>
          <w:color w:val="auto"/>
          <w:kern w:val="44"/>
          <w:sz w:val="21"/>
          <w:szCs w:val="21"/>
          <w:highlight w:val="none"/>
          <w:lang w:val="en-US" w:eastAsia="zh-CN" w:bidi="ar-SA"/>
        </w:rPr>
        <w:t>15.3 质量保证金</w:t>
      </w:r>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p>
    <w:p w14:paraId="247D8C43">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关于是否扣留质量保证金的约定：</w:t>
      </w:r>
      <w:r>
        <w:rPr>
          <w:rFonts w:hint="eastAsia" w:ascii="宋体" w:hAnsi="宋体" w:eastAsia="宋体" w:cs="宋体"/>
          <w:color w:val="auto"/>
          <w:kern w:val="0"/>
          <w:sz w:val="21"/>
          <w:szCs w:val="21"/>
          <w:highlight w:val="none"/>
          <w:u w:val="single"/>
          <w:lang w:val="en-US" w:eastAsia="zh-CN" w:bidi="ar-SA"/>
        </w:rPr>
        <w:t xml:space="preserve">按工程价款结算总额的3%作为质保金 </w:t>
      </w:r>
      <w:r>
        <w:rPr>
          <w:rFonts w:hint="eastAsia" w:ascii="宋体" w:hAnsi="宋体" w:eastAsia="宋体" w:cs="宋体"/>
          <w:color w:val="auto"/>
          <w:kern w:val="2"/>
          <w:sz w:val="21"/>
          <w:szCs w:val="21"/>
          <w:highlight w:val="none"/>
          <w:lang w:val="en-US" w:eastAsia="zh-CN" w:bidi="ar-SA"/>
        </w:rPr>
        <w:t>。</w:t>
      </w:r>
    </w:p>
    <w:p w14:paraId="177765C4">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15.3.1 承包人提供质量保证金的方式</w:t>
      </w:r>
    </w:p>
    <w:p w14:paraId="7E937761">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质量保证金采用以下第</w:t>
      </w:r>
      <w:r>
        <w:rPr>
          <w:rFonts w:hint="eastAsia" w:ascii="宋体" w:hAnsi="宋体" w:eastAsia="宋体" w:cs="宋体"/>
          <w:color w:val="auto"/>
          <w:kern w:val="2"/>
          <w:sz w:val="21"/>
          <w:szCs w:val="21"/>
          <w:highlight w:val="none"/>
          <w:u w:val="single"/>
          <w:lang w:val="en-US" w:eastAsia="zh-CN" w:bidi="ar-SA"/>
        </w:rPr>
        <w:t xml:space="preserve">  （2）   </w:t>
      </w:r>
      <w:r>
        <w:rPr>
          <w:rFonts w:hint="eastAsia" w:ascii="宋体" w:hAnsi="宋体" w:eastAsia="宋体" w:cs="宋体"/>
          <w:color w:val="auto"/>
          <w:kern w:val="2"/>
          <w:sz w:val="21"/>
          <w:szCs w:val="21"/>
          <w:highlight w:val="none"/>
          <w:lang w:val="en-US" w:eastAsia="zh-CN" w:bidi="ar-SA"/>
        </w:rPr>
        <w:t>种方式：</w:t>
      </w:r>
    </w:p>
    <w:p w14:paraId="39C89D49">
      <w:pPr>
        <w:widowControl w:val="0"/>
        <w:autoSpaceDE w:val="0"/>
        <w:autoSpaceDN w:val="0"/>
        <w:adjustRightInd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（1）质量保证金保函，保证金额为：</w:t>
      </w:r>
      <w:r>
        <w:rPr>
          <w:rFonts w:hint="eastAsia" w:ascii="宋体" w:hAnsi="宋体" w:eastAsia="宋体" w:cs="宋体"/>
          <w:color w:val="auto"/>
          <w:kern w:val="0"/>
          <w:sz w:val="21"/>
          <w:szCs w:val="21"/>
          <w:highlight w:val="none"/>
          <w:u w:val="single"/>
          <w:lang w:val="en-US" w:eastAsia="zh-CN" w:bidi="ar-SA"/>
        </w:rPr>
        <w:t xml:space="preserve">  /   </w:t>
      </w:r>
      <w:r>
        <w:rPr>
          <w:rFonts w:hint="eastAsia" w:ascii="宋体" w:hAnsi="宋体" w:eastAsia="宋体" w:cs="宋体"/>
          <w:color w:val="auto"/>
          <w:kern w:val="0"/>
          <w:sz w:val="21"/>
          <w:szCs w:val="21"/>
          <w:highlight w:val="none"/>
          <w:lang w:val="en-US" w:eastAsia="zh-CN" w:bidi="ar-SA"/>
        </w:rPr>
        <w:t>；</w:t>
      </w:r>
    </w:p>
    <w:p w14:paraId="4F5E28AB">
      <w:pPr>
        <w:widowControl w:val="0"/>
        <w:autoSpaceDE w:val="0"/>
        <w:autoSpaceDN w:val="0"/>
        <w:adjustRightInd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bCs/>
          <w:color w:val="auto"/>
          <w:kern w:val="2"/>
          <w:sz w:val="21"/>
          <w:szCs w:val="21"/>
          <w:highlight w:val="none"/>
          <w:lang w:val="en-US" w:eastAsia="zh-CN" w:bidi="ar-SA"/>
        </w:rPr>
        <w:t>发包人按工程价款结算总额的</w:t>
      </w:r>
      <w:r>
        <w:rPr>
          <w:rFonts w:hint="eastAsia" w:ascii="宋体" w:hAnsi="宋体" w:eastAsia="宋体" w:cs="宋体"/>
          <w:bCs/>
          <w:color w:val="auto"/>
          <w:kern w:val="2"/>
          <w:sz w:val="21"/>
          <w:szCs w:val="21"/>
          <w:highlight w:val="none"/>
          <w:u w:val="single"/>
          <w:lang w:val="en-US" w:eastAsia="zh-CN" w:bidi="ar-SA"/>
        </w:rPr>
        <w:t xml:space="preserve"> 3 </w:t>
      </w:r>
      <w:r>
        <w:rPr>
          <w:rFonts w:hint="eastAsia" w:ascii="宋体" w:hAnsi="宋体" w:eastAsia="宋体" w:cs="宋体"/>
          <w:bCs/>
          <w:color w:val="auto"/>
          <w:kern w:val="2"/>
          <w:sz w:val="21"/>
          <w:szCs w:val="21"/>
          <w:highlight w:val="none"/>
          <w:lang w:val="en-US" w:eastAsia="zh-CN" w:bidi="ar-SA"/>
        </w:rPr>
        <w:t>%预留工程质量保证金，待缺陷责任期满后返还</w:t>
      </w:r>
      <w:r>
        <w:rPr>
          <w:rFonts w:hint="eastAsia" w:ascii="宋体" w:hAnsi="宋体" w:eastAsia="宋体" w:cs="宋体"/>
          <w:color w:val="auto"/>
          <w:kern w:val="0"/>
          <w:sz w:val="21"/>
          <w:szCs w:val="21"/>
          <w:highlight w:val="none"/>
          <w:lang w:val="en-US" w:eastAsia="zh-CN" w:bidi="ar-SA"/>
        </w:rPr>
        <w:t>；</w:t>
      </w:r>
    </w:p>
    <w:p w14:paraId="67368BF1">
      <w:pPr>
        <w:widowControl w:val="0"/>
        <w:autoSpaceDE w:val="0"/>
        <w:autoSpaceDN w:val="0"/>
        <w:adjustRightInd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（3）其他方式：</w:t>
      </w:r>
      <w:r>
        <w:rPr>
          <w:rFonts w:hint="eastAsia" w:ascii="宋体" w:hAnsi="宋体" w:eastAsia="宋体" w:cs="宋体"/>
          <w:bCs/>
          <w:color w:val="auto"/>
          <w:kern w:val="2"/>
          <w:sz w:val="21"/>
          <w:szCs w:val="21"/>
          <w:highlight w:val="none"/>
          <w:u w:val="single"/>
          <w:lang w:val="en-US" w:eastAsia="zh-CN" w:bidi="ar-SA"/>
        </w:rPr>
        <w:t xml:space="preserve">   /        </w:t>
      </w:r>
      <w:r>
        <w:rPr>
          <w:rFonts w:hint="eastAsia" w:ascii="宋体" w:hAnsi="宋体" w:eastAsia="宋体" w:cs="宋体"/>
          <w:bCs/>
          <w:color w:val="auto"/>
          <w:kern w:val="2"/>
          <w:sz w:val="21"/>
          <w:szCs w:val="21"/>
          <w:highlight w:val="none"/>
          <w:lang w:val="en-US" w:eastAsia="zh-CN" w:bidi="ar-SA"/>
        </w:rPr>
        <w:t>。</w:t>
      </w:r>
    </w:p>
    <w:p w14:paraId="454D49F0">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15.3.2 质量保证金的扣留</w:t>
      </w:r>
    </w:p>
    <w:p w14:paraId="18AF3FC2">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质量保证金的扣留采取以下第</w:t>
      </w:r>
      <w:r>
        <w:rPr>
          <w:rFonts w:hint="eastAsia" w:ascii="宋体" w:hAnsi="宋体" w:eastAsia="宋体" w:cs="宋体"/>
          <w:color w:val="auto"/>
          <w:kern w:val="2"/>
          <w:sz w:val="21"/>
          <w:szCs w:val="21"/>
          <w:highlight w:val="none"/>
          <w:u w:val="single"/>
          <w:lang w:val="en-US" w:eastAsia="zh-CN" w:bidi="ar-SA"/>
        </w:rPr>
        <w:t xml:space="preserve">   （2）   </w:t>
      </w:r>
      <w:r>
        <w:rPr>
          <w:rFonts w:hint="eastAsia" w:ascii="宋体" w:hAnsi="宋体" w:eastAsia="宋体" w:cs="宋体"/>
          <w:color w:val="auto"/>
          <w:kern w:val="2"/>
          <w:sz w:val="21"/>
          <w:szCs w:val="21"/>
          <w:highlight w:val="none"/>
          <w:lang w:val="en-US" w:eastAsia="zh-CN" w:bidi="ar-SA"/>
        </w:rPr>
        <w:t>种方式：</w:t>
      </w:r>
    </w:p>
    <w:p w14:paraId="40E0828D">
      <w:pPr>
        <w:widowControl w:val="0"/>
        <w:autoSpaceDE w:val="0"/>
        <w:autoSpaceDN w:val="0"/>
        <w:adjustRightInd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（1）在支付工程进度款时逐次扣留，在此情形下，质量保证金的计算基数不包括预付款的支付、扣回以及价格调整的金额；</w:t>
      </w:r>
    </w:p>
    <w:p w14:paraId="761BFB7A">
      <w:pPr>
        <w:widowControl w:val="0"/>
        <w:autoSpaceDE w:val="0"/>
        <w:autoSpaceDN w:val="0"/>
        <w:adjustRightInd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（2）工程竣工结算时一次性扣留质量保证金；</w:t>
      </w:r>
    </w:p>
    <w:p w14:paraId="5F3C2EDC">
      <w:pPr>
        <w:widowControl w:val="0"/>
        <w:autoSpaceDE w:val="0"/>
        <w:autoSpaceDN w:val="0"/>
        <w:adjustRightInd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（3）其他扣留方式:</w:t>
      </w:r>
      <w:r>
        <w:rPr>
          <w:rFonts w:hint="eastAsia" w:ascii="宋体" w:hAnsi="宋体" w:eastAsia="宋体" w:cs="宋体"/>
          <w:color w:val="auto"/>
          <w:kern w:val="0"/>
          <w:sz w:val="21"/>
          <w:szCs w:val="21"/>
          <w:highlight w:val="none"/>
          <w:u w:val="single"/>
          <w:lang w:val="en-US" w:eastAsia="zh-CN" w:bidi="ar-SA"/>
        </w:rPr>
        <w:t xml:space="preserve">    /                </w:t>
      </w:r>
      <w:r>
        <w:rPr>
          <w:rFonts w:hint="eastAsia" w:ascii="宋体" w:hAnsi="宋体" w:eastAsia="宋体" w:cs="宋体"/>
          <w:color w:val="auto"/>
          <w:kern w:val="0"/>
          <w:sz w:val="21"/>
          <w:szCs w:val="21"/>
          <w:highlight w:val="none"/>
          <w:lang w:val="en-US" w:eastAsia="zh-CN" w:bidi="ar-SA"/>
        </w:rPr>
        <w:t>。</w:t>
      </w:r>
    </w:p>
    <w:p w14:paraId="3A8FFA17">
      <w:pPr>
        <w:widowControl w:val="0"/>
        <w:spacing w:line="380" w:lineRule="exact"/>
        <w:ind w:firstLine="420" w:firstLineChars="200"/>
        <w:jc w:val="left"/>
        <w:rPr>
          <w:rFonts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关于质量保证金的补充约定：</w:t>
      </w:r>
      <w:r>
        <w:rPr>
          <w:rFonts w:hint="eastAsia" w:ascii="宋体" w:hAnsi="宋体" w:eastAsia="宋体" w:cs="宋体"/>
          <w:color w:val="auto"/>
          <w:kern w:val="2"/>
          <w:sz w:val="21"/>
          <w:szCs w:val="21"/>
          <w:highlight w:val="none"/>
          <w:u w:val="single"/>
          <w:lang w:val="en-US" w:eastAsia="zh-CN" w:bidi="ar-SA"/>
        </w:rPr>
        <w:t>承包人未按照法律法规有关规定和合同约定履行质量保修义务的，发包人有权从质量保证金中扣留用于质量保修的各项支出。</w:t>
      </w:r>
      <w:r>
        <w:rPr>
          <w:rFonts w:hint="eastAsia" w:ascii="宋体" w:hAnsi="宋体" w:eastAsia="宋体" w:cs="宋体"/>
          <w:color w:val="auto"/>
          <w:kern w:val="0"/>
          <w:sz w:val="21"/>
          <w:szCs w:val="21"/>
          <w:highlight w:val="none"/>
          <w:u w:val="single"/>
          <w:lang w:val="en-US" w:eastAsia="zh-CN" w:bidi="ar-SA"/>
        </w:rPr>
        <w:t>发包人在工程缺陷责任期满后 14 天内将保修金一次性返回给承包人（无息）。质量保证金的返还，并不能免除承包人按照合同约定应承担的质量保修责任和应履行的质量保修义务。</w:t>
      </w:r>
    </w:p>
    <w:bookmarkEnd w:id="1654"/>
    <w:bookmarkEnd w:id="1655"/>
    <w:p w14:paraId="446F9A20">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1711" w:name="_Toc418751862"/>
      <w:bookmarkStart w:id="1712" w:name="_Toc497747244"/>
      <w:bookmarkStart w:id="1713" w:name="_Toc373478412"/>
      <w:bookmarkStart w:id="1714" w:name="_Toc418518412"/>
      <w:bookmarkStart w:id="1715" w:name="_Toc522201792"/>
      <w:bookmarkStart w:id="1716" w:name="_Toc418752308"/>
      <w:bookmarkStart w:id="1717" w:name="_Toc11190"/>
      <w:bookmarkStart w:id="1718" w:name="_Toc373227765"/>
      <w:bookmarkStart w:id="1719" w:name="_Toc418518176"/>
      <w:bookmarkStart w:id="1720" w:name="_Toc418061377"/>
      <w:bookmarkStart w:id="1721" w:name="_Toc389065330"/>
      <w:bookmarkStart w:id="1722" w:name="_Toc497746847"/>
      <w:bookmarkStart w:id="1723" w:name="_Toc403579000"/>
      <w:bookmarkStart w:id="1724" w:name="_Toc256000243"/>
      <w:r>
        <w:rPr>
          <w:rFonts w:hint="eastAsia" w:ascii="宋体" w:hAnsi="宋体" w:eastAsia="宋体" w:cs="宋体"/>
          <w:b/>
          <w:bCs/>
          <w:color w:val="auto"/>
          <w:kern w:val="44"/>
          <w:sz w:val="21"/>
          <w:szCs w:val="21"/>
          <w:highlight w:val="none"/>
          <w:lang w:val="en-US" w:eastAsia="zh-CN" w:bidi="ar-SA"/>
        </w:rPr>
        <w:t>15.4 保修</w:t>
      </w:r>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p>
    <w:bookmarkEnd w:id="1656"/>
    <w:p w14:paraId="65F8EA72">
      <w:pPr>
        <w:widowControl w:val="0"/>
        <w:spacing w:line="380" w:lineRule="exact"/>
        <w:ind w:firstLine="409" w:firstLineChars="195"/>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15.4.1 保修责任</w:t>
      </w:r>
    </w:p>
    <w:p w14:paraId="4D4A4E85">
      <w:pPr>
        <w:widowControl w:val="0"/>
        <w:spacing w:line="380" w:lineRule="exact"/>
        <w:ind w:firstLine="409" w:firstLineChars="195"/>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工程保修期为：</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根据《建设工程质量管理条例》及有关规定，约定本工程的保修期详见《工程质量保修书》。</w:t>
      </w:r>
    </w:p>
    <w:p w14:paraId="052E8FCA">
      <w:pPr>
        <w:widowControl w:val="0"/>
        <w:spacing w:line="380" w:lineRule="exact"/>
        <w:ind w:firstLine="409" w:firstLineChars="195"/>
        <w:jc w:val="left"/>
        <w:rPr>
          <w:rFonts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工程保修书具体内容见合同附件3。</w:t>
      </w:r>
    </w:p>
    <w:p w14:paraId="2FDB0B72">
      <w:pPr>
        <w:widowControl w:val="0"/>
        <w:spacing w:line="380" w:lineRule="exact"/>
        <w:ind w:firstLine="409" w:firstLineChars="195"/>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15.4.3 修复通知</w:t>
      </w:r>
    </w:p>
    <w:p w14:paraId="32F121C5">
      <w:pPr>
        <w:widowControl w:val="0"/>
        <w:spacing w:line="380" w:lineRule="exact"/>
        <w:ind w:firstLine="409" w:firstLineChars="195"/>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承包人收到保修通知并到达工程现场的合理时间：</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 xml:space="preserve"> 1、属于保修范围、内容的项目，承包人应当在接到保修通知之日起三天内派人保修。承包人不在约定期限内派人保修的，发包人有权直接安排维修，费用从工程保修金中扣除，不足部分发包人有权向承包人追索。2、发生紧急抢修事故的，承包人在接到事故通知后，应当立即到达事故现场抢修。3、对于涉及设备的质量问题，应当提出保修方案，及时更换设备，承包人实施保修。属于涉及结构安全的质量问题，应当按照《房屋建筑工程质量保修办法》的规定，立即向当地建设行政主管部门报告，采取安全防范措施；由原设计单位或者具有相应资质等级的设计单位提出保修方案，承包人实施保修。4、质量保修完成后，由发包人组织验收。5、保修费用由造成质量缺陷的责任方承担 。</w:t>
      </w:r>
    </w:p>
    <w:bookmarkEnd w:id="1657"/>
    <w:bookmarkEnd w:id="1658"/>
    <w:bookmarkEnd w:id="1659"/>
    <w:bookmarkEnd w:id="1660"/>
    <w:p w14:paraId="54456871">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bookmarkStart w:id="1725" w:name="_Toc351203648"/>
      <w:bookmarkStart w:id="1726" w:name="_Toc522201793"/>
      <w:bookmarkStart w:id="1727" w:name="_Toc418518177"/>
      <w:bookmarkStart w:id="1728" w:name="_Toc373478413"/>
      <w:bookmarkStart w:id="1729" w:name="_Toc418518413"/>
      <w:bookmarkStart w:id="1730" w:name="_Toc373227766"/>
      <w:bookmarkStart w:id="1731" w:name="_Toc497746848"/>
      <w:bookmarkStart w:id="1732" w:name="_Toc256000244"/>
      <w:bookmarkStart w:id="1733" w:name="_Toc403579001"/>
      <w:bookmarkStart w:id="1734" w:name="_Toc389065331"/>
      <w:bookmarkStart w:id="1735" w:name="_Toc418061378"/>
      <w:bookmarkStart w:id="1736" w:name="_Toc19894"/>
      <w:bookmarkStart w:id="1737" w:name="_Toc497747245"/>
      <w:bookmarkStart w:id="1738" w:name="_Toc418751863"/>
      <w:bookmarkStart w:id="1739" w:name="_Toc418752309"/>
      <w:bookmarkStart w:id="1740" w:name="_Toc280868717"/>
      <w:bookmarkStart w:id="1741" w:name="_Toc280868718"/>
      <w:r>
        <w:rPr>
          <w:rFonts w:hint="eastAsia" w:ascii="宋体" w:hAnsi="宋体" w:eastAsia="宋体" w:cs="宋体"/>
          <w:b/>
          <w:bCs/>
          <w:color w:val="auto"/>
          <w:kern w:val="44"/>
          <w:sz w:val="21"/>
          <w:szCs w:val="21"/>
          <w:highlight w:val="none"/>
          <w:lang w:val="en-US" w:eastAsia="zh-CN" w:bidi="ar-SA"/>
        </w:rPr>
        <w:t>16. 违约</w:t>
      </w:r>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p>
    <w:p w14:paraId="60B9E7E2">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1742" w:name="_Toc403579002"/>
      <w:bookmarkStart w:id="1743" w:name="_Toc522201794"/>
      <w:bookmarkStart w:id="1744" w:name="_Toc389065332"/>
      <w:bookmarkStart w:id="1745" w:name="_Toc418751864"/>
      <w:bookmarkStart w:id="1746" w:name="_Toc418752310"/>
      <w:bookmarkStart w:id="1747" w:name="_Toc13645"/>
      <w:bookmarkStart w:id="1748" w:name="_Toc418518178"/>
      <w:bookmarkStart w:id="1749" w:name="_Toc497746849"/>
      <w:bookmarkStart w:id="1750" w:name="_Toc418518414"/>
      <w:bookmarkStart w:id="1751" w:name="_Toc373478414"/>
      <w:bookmarkStart w:id="1752" w:name="_Toc418061379"/>
      <w:bookmarkStart w:id="1753" w:name="_Toc256000245"/>
      <w:bookmarkStart w:id="1754" w:name="_Toc497747246"/>
      <w:bookmarkStart w:id="1755" w:name="_Toc373227767"/>
      <w:r>
        <w:rPr>
          <w:rFonts w:hint="eastAsia" w:ascii="宋体" w:hAnsi="宋体" w:eastAsia="宋体" w:cs="宋体"/>
          <w:b/>
          <w:bCs/>
          <w:color w:val="auto"/>
          <w:kern w:val="44"/>
          <w:sz w:val="21"/>
          <w:szCs w:val="21"/>
          <w:highlight w:val="none"/>
          <w:lang w:val="en-US" w:eastAsia="zh-CN" w:bidi="ar-SA"/>
        </w:rPr>
        <w:t>16.1 发包人违约</w:t>
      </w:r>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p>
    <w:p w14:paraId="2C69D91F">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16.1.1发包人违约的情形</w:t>
      </w:r>
    </w:p>
    <w:p w14:paraId="0A7DACD5">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发包人违约的其他情形：</w:t>
      </w:r>
      <w:r>
        <w:rPr>
          <w:rFonts w:hint="eastAsia" w:ascii="宋体" w:hAnsi="宋体" w:eastAsia="宋体" w:cs="宋体"/>
          <w:color w:val="auto"/>
          <w:kern w:val="0"/>
          <w:sz w:val="21"/>
          <w:szCs w:val="21"/>
          <w:highlight w:val="none"/>
          <w:u w:val="single"/>
          <w:lang w:val="en-US" w:eastAsia="zh-CN" w:bidi="ar-SA"/>
        </w:rPr>
        <w:t xml:space="preserve">    无   </w:t>
      </w:r>
      <w:r>
        <w:rPr>
          <w:rFonts w:hint="eastAsia" w:ascii="宋体" w:hAnsi="宋体" w:eastAsia="宋体" w:cs="宋体"/>
          <w:color w:val="auto"/>
          <w:kern w:val="0"/>
          <w:sz w:val="21"/>
          <w:szCs w:val="21"/>
          <w:highlight w:val="none"/>
          <w:lang w:val="en-US" w:eastAsia="zh-CN" w:bidi="ar-SA"/>
        </w:rPr>
        <w:t>。</w:t>
      </w:r>
    </w:p>
    <w:p w14:paraId="66CDF7A1">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16.1.2 发包人违约的责任</w:t>
      </w:r>
    </w:p>
    <w:p w14:paraId="5778C189">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发包人违约责任的承担方式和计算方法：</w:t>
      </w:r>
    </w:p>
    <w:p w14:paraId="5D701FA4">
      <w:pPr>
        <w:widowControl w:val="0"/>
        <w:spacing w:line="380" w:lineRule="exact"/>
        <w:ind w:firstLine="420" w:firstLineChars="200"/>
        <w:jc w:val="left"/>
        <w:rPr>
          <w:rFonts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（1）因发包人原因未能在计划开工日期前7天内下达开工通知的违约责任：</w:t>
      </w:r>
      <w:r>
        <w:rPr>
          <w:rFonts w:hint="eastAsia" w:ascii="宋体" w:hAnsi="宋体" w:eastAsia="宋体" w:cs="宋体"/>
          <w:color w:val="auto"/>
          <w:kern w:val="0"/>
          <w:sz w:val="21"/>
          <w:szCs w:val="21"/>
          <w:highlight w:val="none"/>
          <w:u w:val="single"/>
          <w:lang w:val="en-US" w:eastAsia="zh-CN" w:bidi="ar-SA"/>
        </w:rPr>
        <w:t>工期相应顺延</w:t>
      </w:r>
      <w:r>
        <w:rPr>
          <w:rFonts w:hint="eastAsia" w:ascii="宋体" w:hAnsi="宋体" w:eastAsia="宋体" w:cs="宋体"/>
          <w:color w:val="auto"/>
          <w:kern w:val="0"/>
          <w:sz w:val="21"/>
          <w:szCs w:val="21"/>
          <w:highlight w:val="none"/>
          <w:lang w:val="en-US" w:eastAsia="zh-CN" w:bidi="ar-SA"/>
        </w:rPr>
        <w:t>。</w:t>
      </w:r>
    </w:p>
    <w:p w14:paraId="21F8BCD5">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（2）因发包人原因未能按合同约定支付合同价款的违约责任：</w:t>
      </w:r>
      <w:r>
        <w:rPr>
          <w:rFonts w:hint="eastAsia" w:ascii="宋体" w:hAnsi="宋体" w:eastAsia="宋体" w:cs="宋体"/>
          <w:color w:val="auto"/>
          <w:kern w:val="0"/>
          <w:sz w:val="21"/>
          <w:szCs w:val="21"/>
          <w:highlight w:val="none"/>
          <w:u w:val="single"/>
          <w:lang w:val="en-US" w:eastAsia="zh-CN" w:bidi="ar-SA"/>
        </w:rPr>
        <w:t xml:space="preserve"> / </w:t>
      </w:r>
      <w:r>
        <w:rPr>
          <w:rFonts w:hint="eastAsia" w:ascii="宋体" w:hAnsi="宋体" w:eastAsia="宋体" w:cs="宋体"/>
          <w:color w:val="auto"/>
          <w:kern w:val="0"/>
          <w:sz w:val="21"/>
          <w:szCs w:val="21"/>
          <w:highlight w:val="none"/>
          <w:lang w:val="en-US" w:eastAsia="zh-CN" w:bidi="ar-SA"/>
        </w:rPr>
        <w:t>。</w:t>
      </w:r>
    </w:p>
    <w:p w14:paraId="03CE406A">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（3）发包人违反第10.1款〔变更的范围〕第（2）项约定，自行实施被取消的工作或转由他人实施的违约责任：</w:t>
      </w:r>
      <w:r>
        <w:rPr>
          <w:rFonts w:hint="eastAsia" w:ascii="宋体" w:hAnsi="宋体" w:eastAsia="宋体" w:cs="宋体"/>
          <w:color w:val="auto"/>
          <w:kern w:val="0"/>
          <w:sz w:val="21"/>
          <w:szCs w:val="21"/>
          <w:highlight w:val="none"/>
          <w:u w:val="single"/>
          <w:lang w:val="en-US" w:eastAsia="zh-CN" w:bidi="ar-SA"/>
        </w:rPr>
        <w:t xml:space="preserve">  按通用条款执行  </w:t>
      </w:r>
      <w:r>
        <w:rPr>
          <w:rFonts w:hint="eastAsia" w:ascii="宋体" w:hAnsi="宋体" w:eastAsia="宋体" w:cs="宋体"/>
          <w:color w:val="auto"/>
          <w:kern w:val="0"/>
          <w:sz w:val="21"/>
          <w:szCs w:val="21"/>
          <w:highlight w:val="none"/>
          <w:lang w:val="en-US" w:eastAsia="zh-CN" w:bidi="ar-SA"/>
        </w:rPr>
        <w:t>。</w:t>
      </w:r>
    </w:p>
    <w:p w14:paraId="7999C594">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 w:val="21"/>
          <w:szCs w:val="21"/>
          <w:highlight w:val="none"/>
          <w:u w:val="single"/>
          <w:lang w:val="en-US" w:eastAsia="zh-CN" w:bidi="ar-SA"/>
        </w:rPr>
        <w:t>工期相应顺延</w:t>
      </w:r>
      <w:r>
        <w:rPr>
          <w:rFonts w:hint="eastAsia" w:ascii="宋体" w:hAnsi="宋体" w:eastAsia="宋体" w:cs="宋体"/>
          <w:color w:val="auto"/>
          <w:kern w:val="0"/>
          <w:sz w:val="21"/>
          <w:szCs w:val="21"/>
          <w:highlight w:val="none"/>
          <w:lang w:val="en-US" w:eastAsia="zh-CN" w:bidi="ar-SA"/>
        </w:rPr>
        <w:t>。</w:t>
      </w:r>
    </w:p>
    <w:p w14:paraId="5E905AFD">
      <w:pPr>
        <w:widowControl w:val="0"/>
        <w:spacing w:line="380" w:lineRule="exact"/>
        <w:ind w:firstLine="420" w:firstLineChars="200"/>
        <w:jc w:val="left"/>
        <w:rPr>
          <w:rFonts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（5）因发包人违反合同约定造成暂停施工的违约责任：</w:t>
      </w:r>
      <w:r>
        <w:rPr>
          <w:rFonts w:hint="eastAsia" w:ascii="宋体" w:hAnsi="宋体" w:eastAsia="宋体" w:cs="宋体"/>
          <w:color w:val="auto"/>
          <w:kern w:val="0"/>
          <w:sz w:val="21"/>
          <w:szCs w:val="21"/>
          <w:highlight w:val="none"/>
          <w:u w:val="single"/>
          <w:lang w:val="en-US" w:eastAsia="zh-CN" w:bidi="ar-SA"/>
        </w:rPr>
        <w:t>按通用条款执行</w:t>
      </w:r>
      <w:r>
        <w:rPr>
          <w:rFonts w:hint="eastAsia" w:ascii="宋体" w:hAnsi="宋体" w:eastAsia="宋体" w:cs="宋体"/>
          <w:color w:val="auto"/>
          <w:kern w:val="0"/>
          <w:sz w:val="21"/>
          <w:szCs w:val="21"/>
          <w:highlight w:val="none"/>
          <w:lang w:val="en-US" w:eastAsia="zh-CN" w:bidi="ar-SA"/>
        </w:rPr>
        <w:t>。</w:t>
      </w:r>
    </w:p>
    <w:p w14:paraId="04F3B67D">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（6）发包人无正当理由没有在约定期限内发出复工指示，导致承包人无法复工的违约责任：</w:t>
      </w:r>
      <w:r>
        <w:rPr>
          <w:rFonts w:hint="eastAsia" w:ascii="宋体" w:hAnsi="宋体" w:eastAsia="宋体" w:cs="宋体"/>
          <w:color w:val="auto"/>
          <w:kern w:val="0"/>
          <w:sz w:val="21"/>
          <w:szCs w:val="21"/>
          <w:highlight w:val="none"/>
          <w:u w:val="single"/>
          <w:lang w:val="en-US" w:eastAsia="zh-CN" w:bidi="ar-SA"/>
        </w:rPr>
        <w:t xml:space="preserve">   按通用条款执行</w:t>
      </w:r>
      <w:r>
        <w:rPr>
          <w:rFonts w:hint="eastAsia" w:ascii="宋体" w:hAnsi="宋体" w:eastAsia="宋体" w:cs="宋体"/>
          <w:color w:val="auto"/>
          <w:kern w:val="0"/>
          <w:sz w:val="21"/>
          <w:szCs w:val="21"/>
          <w:highlight w:val="none"/>
          <w:lang w:val="en-US" w:eastAsia="zh-CN" w:bidi="ar-SA"/>
        </w:rPr>
        <w:t>。</w:t>
      </w:r>
    </w:p>
    <w:p w14:paraId="6EF16150">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（7）其他：</w:t>
      </w:r>
      <w:r>
        <w:rPr>
          <w:rFonts w:hint="eastAsia" w:ascii="宋体" w:hAnsi="宋体" w:eastAsia="宋体" w:cs="宋体"/>
          <w:color w:val="auto"/>
          <w:kern w:val="0"/>
          <w:sz w:val="21"/>
          <w:szCs w:val="21"/>
          <w:highlight w:val="none"/>
          <w:u w:val="single"/>
          <w:lang w:val="en-US" w:eastAsia="zh-CN" w:bidi="ar-SA"/>
        </w:rPr>
        <w:t xml:space="preserve">  /  </w:t>
      </w:r>
      <w:r>
        <w:rPr>
          <w:rFonts w:hint="eastAsia" w:ascii="宋体" w:hAnsi="宋体" w:eastAsia="宋体" w:cs="宋体"/>
          <w:color w:val="auto"/>
          <w:kern w:val="0"/>
          <w:sz w:val="21"/>
          <w:szCs w:val="21"/>
          <w:highlight w:val="none"/>
          <w:lang w:val="en-US" w:eastAsia="zh-CN" w:bidi="ar-SA"/>
        </w:rPr>
        <w:t>。</w:t>
      </w:r>
    </w:p>
    <w:p w14:paraId="13D3FAAF">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16.1.3 因发包人违约解除合同</w:t>
      </w:r>
    </w:p>
    <w:p w14:paraId="718266F7">
      <w:pPr>
        <w:widowControl w:val="0"/>
        <w:autoSpaceDE w:val="0"/>
        <w:autoSpaceDN w:val="0"/>
        <w:adjustRightInd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承包人按16.1.1项〔发包人违约的情形〕约定暂停施工满</w:t>
      </w:r>
      <w:r>
        <w:rPr>
          <w:rFonts w:hint="eastAsia" w:ascii="宋体" w:hAnsi="宋体" w:eastAsia="宋体" w:cs="宋体"/>
          <w:color w:val="auto"/>
          <w:kern w:val="0"/>
          <w:sz w:val="21"/>
          <w:szCs w:val="21"/>
          <w:highlight w:val="none"/>
          <w:u w:val="single"/>
          <w:lang w:val="en-US" w:eastAsia="zh-CN" w:bidi="ar-SA"/>
        </w:rPr>
        <w:t xml:space="preserve">  /  </w:t>
      </w:r>
      <w:r>
        <w:rPr>
          <w:rFonts w:hint="eastAsia" w:ascii="宋体" w:hAnsi="宋体" w:eastAsia="宋体" w:cs="宋体"/>
          <w:color w:val="auto"/>
          <w:kern w:val="0"/>
          <w:sz w:val="21"/>
          <w:szCs w:val="21"/>
          <w:highlight w:val="none"/>
          <w:lang w:val="en-US" w:eastAsia="zh-CN" w:bidi="ar-SA"/>
        </w:rPr>
        <w:t>天后发包人仍不纠正其违约行为并致使合同目的不能实现的，承包人有权解除合同。</w:t>
      </w:r>
    </w:p>
    <w:p w14:paraId="3718E094">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1756" w:name="_Toc497746850"/>
      <w:bookmarkStart w:id="1757" w:name="_Toc522201795"/>
      <w:bookmarkStart w:id="1758" w:name="_Toc373227768"/>
      <w:bookmarkStart w:id="1759" w:name="_Toc256000246"/>
      <w:bookmarkStart w:id="1760" w:name="_Toc497747247"/>
      <w:bookmarkStart w:id="1761" w:name="_Toc418752311"/>
      <w:bookmarkStart w:id="1762" w:name="_Toc418518179"/>
      <w:bookmarkStart w:id="1763" w:name="_Toc30772"/>
      <w:bookmarkStart w:id="1764" w:name="_Toc418061380"/>
      <w:bookmarkStart w:id="1765" w:name="_Toc403579003"/>
      <w:bookmarkStart w:id="1766" w:name="_Toc418751865"/>
      <w:bookmarkStart w:id="1767" w:name="_Toc389065333"/>
      <w:bookmarkStart w:id="1768" w:name="_Toc373478415"/>
      <w:bookmarkStart w:id="1769" w:name="_Toc418518415"/>
      <w:r>
        <w:rPr>
          <w:rFonts w:hint="eastAsia" w:ascii="宋体" w:hAnsi="宋体" w:eastAsia="宋体" w:cs="宋体"/>
          <w:b/>
          <w:bCs/>
          <w:color w:val="auto"/>
          <w:kern w:val="44"/>
          <w:sz w:val="21"/>
          <w:szCs w:val="21"/>
          <w:highlight w:val="none"/>
          <w:lang w:val="en-US" w:eastAsia="zh-CN" w:bidi="ar-SA"/>
        </w:rPr>
        <w:t>16.2 承包人违约</w:t>
      </w:r>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p>
    <w:p w14:paraId="679FEDF4">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16.2.1 承包人违约的情形</w:t>
      </w:r>
    </w:p>
    <w:p w14:paraId="2DB3B0CD">
      <w:pPr>
        <w:widowControl w:val="0"/>
        <w:spacing w:line="380" w:lineRule="exact"/>
        <w:ind w:firstLine="420" w:firstLineChars="200"/>
        <w:jc w:val="left"/>
        <w:rPr>
          <w:rFonts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承包人违约的其他情形：</w:t>
      </w:r>
      <w:r>
        <w:rPr>
          <w:rFonts w:hint="eastAsia" w:ascii="宋体" w:hAnsi="宋体" w:eastAsia="宋体" w:cs="宋体"/>
          <w:color w:val="auto"/>
          <w:kern w:val="0"/>
          <w:sz w:val="21"/>
          <w:szCs w:val="21"/>
          <w:highlight w:val="none"/>
          <w:u w:val="single"/>
          <w:lang w:val="en-US" w:eastAsia="zh-CN" w:bidi="ar-SA"/>
        </w:rPr>
        <w:t xml:space="preserve">按通用条款执行 </w:t>
      </w:r>
      <w:r>
        <w:rPr>
          <w:rFonts w:hint="eastAsia" w:ascii="宋体" w:hAnsi="宋体" w:eastAsia="宋体" w:cs="宋体"/>
          <w:color w:val="auto"/>
          <w:kern w:val="0"/>
          <w:sz w:val="21"/>
          <w:szCs w:val="21"/>
          <w:highlight w:val="none"/>
          <w:lang w:val="en-US" w:eastAsia="zh-CN" w:bidi="ar-SA"/>
        </w:rPr>
        <w:t>。</w:t>
      </w:r>
    </w:p>
    <w:p w14:paraId="33744A1F">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16.2.2承包人违约的责任</w:t>
      </w:r>
    </w:p>
    <w:p w14:paraId="1B980ACF">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承包人违约责任的承担方式和计算方法：</w:t>
      </w:r>
    </w:p>
    <w:p w14:paraId="2AFC8FFC">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3161A11B">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（2）承包人有本合同通用条款第16.2.1（6）条情形的，或经监理人检验认为修复质量不合格而承包人拒绝再进行修补的，发包人将扣除承包人全部质量保证金。</w:t>
      </w:r>
    </w:p>
    <w:p w14:paraId="42619D6D">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w:t>
      </w:r>
      <w:r>
        <w:rPr>
          <w:rFonts w:hint="eastAsia" w:ascii="宋体" w:hAnsi="宋体" w:eastAsia="宋体" w:cs="宋体"/>
          <w:color w:val="auto"/>
          <w:kern w:val="2"/>
          <w:sz w:val="21"/>
          <w:szCs w:val="21"/>
          <w:highlight w:val="none"/>
          <w:lang w:val="en-US" w:eastAsia="zh-CN" w:bidi="ar-SA"/>
        </w:rPr>
        <w:t>承包人在合同期内，完成合同规定的全部工程，且质量合格，在本工程施工竣工验收后十五天内可申请返还全部或部分罚款，返还金额由监理人审核，发包人批准。罚款金额返还时不包括银行利息。</w:t>
      </w:r>
      <w:r>
        <w:rPr>
          <w:rFonts w:hint="eastAsia" w:ascii="宋体" w:hAnsi="宋体" w:eastAsia="宋体" w:cs="宋体"/>
          <w:color w:val="auto"/>
          <w:kern w:val="0"/>
          <w:sz w:val="21"/>
          <w:szCs w:val="21"/>
          <w:highlight w:val="none"/>
          <w:lang w:val="en-US" w:eastAsia="zh-CN" w:bidi="ar-SA"/>
        </w:rPr>
        <w:t>承包人履约保证金被罚款后由发包人从最后一次计量支付时扣除相应金额补足履约保证金。</w:t>
      </w:r>
    </w:p>
    <w:p w14:paraId="031ADB83">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16.2.3 因承包人违约解除合同</w:t>
      </w:r>
    </w:p>
    <w:p w14:paraId="27872083">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关于承包人违约解除合同的特别约定：</w:t>
      </w:r>
      <w:r>
        <w:rPr>
          <w:rFonts w:hint="eastAsia" w:ascii="宋体" w:hAnsi="宋体" w:eastAsia="宋体" w:cs="宋体"/>
          <w:color w:val="auto"/>
          <w:kern w:val="0"/>
          <w:sz w:val="21"/>
          <w:szCs w:val="21"/>
          <w:highlight w:val="none"/>
          <w:u w:val="single"/>
          <w:lang w:val="en-US" w:eastAsia="zh-CN" w:bidi="ar-SA"/>
        </w:rPr>
        <w:t>承包人有违反以下情况之一的，发包人有权解除合同，并没收其全部履约保证金</w:t>
      </w:r>
      <w:r>
        <w:rPr>
          <w:rFonts w:hint="eastAsia" w:ascii="宋体" w:hAnsi="宋体" w:eastAsia="宋体" w:cs="宋体"/>
          <w:color w:val="auto"/>
          <w:kern w:val="0"/>
          <w:sz w:val="21"/>
          <w:szCs w:val="21"/>
          <w:highlight w:val="none"/>
          <w:lang w:val="en-US" w:eastAsia="zh-CN" w:bidi="ar-SA"/>
        </w:rPr>
        <w:t>。</w:t>
      </w:r>
    </w:p>
    <w:p w14:paraId="17E2A6DE">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(1)承包人无正当理由不按开工通知的要求及时进场组织施工和不按签订协议书时商定的进度计划有效地开展施工准备，造成工期延误的；</w:t>
      </w:r>
    </w:p>
    <w:p w14:paraId="7E799286">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(2)承包人违反本合同通用条款第3.5条规定私自将合同或合同的任何部分或任何权利转让给其他人，或私自将工程或工程的一部分分包出去的；</w:t>
      </w:r>
    </w:p>
    <w:p w14:paraId="53BADD4A">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(3)未经监理人批准，承包人私自将已按投标文件承诺进入工地的工程设备、施工设备、临时工程或材料撤离工地的；</w:t>
      </w:r>
    </w:p>
    <w:p w14:paraId="6D2CFE18">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(4)由于承包人原因拒绝按合同进度计划及时完成合同规定的工程，而又未采取有效措施赶上进度，造成工期延误的；</w:t>
      </w:r>
    </w:p>
    <w:p w14:paraId="5CB4DB1E">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(5)承包人否认合同有效或拒绝履行合同规定的承包人义务，或由于法律、财务等原因导致承包人无法继续履行或实质上已停止履行合同的义务的；</w:t>
      </w:r>
    </w:p>
    <w:p w14:paraId="76F73571">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(6)合同签订之日起十五日内，承包人无法按合同规定及投标文件的承诺进场经监理工程师认可的全部人员和机械的。</w:t>
      </w:r>
    </w:p>
    <w:p w14:paraId="25D51727">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1"/>
          <w:szCs w:val="21"/>
          <w:highlight w:val="none"/>
          <w:u w:val="single"/>
          <w:lang w:val="en-US" w:eastAsia="zh-CN" w:bidi="ar-SA"/>
        </w:rPr>
        <w:t xml:space="preserve">   协商决定   </w:t>
      </w:r>
      <w:r>
        <w:rPr>
          <w:rFonts w:hint="eastAsia" w:ascii="宋体" w:hAnsi="宋体" w:eastAsia="宋体" w:cs="宋体"/>
          <w:color w:val="auto"/>
          <w:kern w:val="0"/>
          <w:sz w:val="21"/>
          <w:szCs w:val="21"/>
          <w:highlight w:val="none"/>
          <w:lang w:val="en-US" w:eastAsia="zh-CN" w:bidi="ar-SA"/>
        </w:rPr>
        <w:t>。</w:t>
      </w:r>
    </w:p>
    <w:p w14:paraId="3FBFE591">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bookmarkStart w:id="1770" w:name="_Toc351203649"/>
      <w:bookmarkStart w:id="1771" w:name="_Toc418061381"/>
      <w:bookmarkStart w:id="1772" w:name="_Toc418751866"/>
      <w:bookmarkStart w:id="1773" w:name="_Toc497747248"/>
      <w:bookmarkStart w:id="1774" w:name="_Toc256000247"/>
      <w:bookmarkStart w:id="1775" w:name="_Toc373478416"/>
      <w:bookmarkStart w:id="1776" w:name="_Toc418518180"/>
      <w:bookmarkStart w:id="1777" w:name="_Toc23333"/>
      <w:bookmarkStart w:id="1778" w:name="_Toc418752312"/>
      <w:bookmarkStart w:id="1779" w:name="_Toc373227769"/>
      <w:bookmarkStart w:id="1780" w:name="_Toc389065334"/>
      <w:bookmarkStart w:id="1781" w:name="_Toc522201796"/>
      <w:bookmarkStart w:id="1782" w:name="_Toc403579004"/>
      <w:bookmarkStart w:id="1783" w:name="_Toc418518416"/>
      <w:bookmarkStart w:id="1784" w:name="_Toc497746851"/>
      <w:r>
        <w:rPr>
          <w:rFonts w:hint="eastAsia" w:ascii="宋体" w:hAnsi="宋体" w:eastAsia="宋体" w:cs="宋体"/>
          <w:b/>
          <w:bCs/>
          <w:color w:val="auto"/>
          <w:kern w:val="44"/>
          <w:sz w:val="21"/>
          <w:szCs w:val="21"/>
          <w:highlight w:val="none"/>
          <w:lang w:val="en-US" w:eastAsia="zh-CN" w:bidi="ar-SA"/>
        </w:rPr>
        <w:t>17. 不可抗力</w:t>
      </w:r>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r>
        <w:rPr>
          <w:rFonts w:hint="eastAsia" w:ascii="宋体" w:hAnsi="宋体" w:eastAsia="宋体" w:cs="宋体"/>
          <w:b/>
          <w:bCs/>
          <w:color w:val="auto"/>
          <w:kern w:val="44"/>
          <w:sz w:val="21"/>
          <w:szCs w:val="21"/>
          <w:highlight w:val="none"/>
          <w:lang w:val="en-US" w:eastAsia="zh-CN" w:bidi="ar-SA"/>
        </w:rPr>
        <w:t xml:space="preserve"> </w:t>
      </w:r>
      <w:bookmarkEnd w:id="1740"/>
    </w:p>
    <w:p w14:paraId="67A457D5">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1785" w:name="_Toc522201797"/>
      <w:bookmarkStart w:id="1786" w:name="_Toc403579005"/>
      <w:bookmarkStart w:id="1787" w:name="_Toc418518417"/>
      <w:bookmarkStart w:id="1788" w:name="_Toc9557"/>
      <w:bookmarkStart w:id="1789" w:name="_Toc418518181"/>
      <w:bookmarkStart w:id="1790" w:name="_Toc389065335"/>
      <w:bookmarkStart w:id="1791" w:name="_Toc373227770"/>
      <w:bookmarkStart w:id="1792" w:name="_Toc373478417"/>
      <w:bookmarkStart w:id="1793" w:name="_Toc418752313"/>
      <w:bookmarkStart w:id="1794" w:name="_Toc256000248"/>
      <w:bookmarkStart w:id="1795" w:name="_Toc497746852"/>
      <w:bookmarkStart w:id="1796" w:name="_Toc418061382"/>
      <w:bookmarkStart w:id="1797" w:name="_Toc497747249"/>
      <w:bookmarkStart w:id="1798" w:name="_Toc418751867"/>
      <w:r>
        <w:rPr>
          <w:rFonts w:hint="eastAsia" w:ascii="宋体" w:hAnsi="宋体" w:eastAsia="宋体" w:cs="宋体"/>
          <w:b/>
          <w:bCs/>
          <w:color w:val="auto"/>
          <w:kern w:val="44"/>
          <w:sz w:val="21"/>
          <w:szCs w:val="21"/>
          <w:highlight w:val="none"/>
          <w:lang w:val="en-US" w:eastAsia="zh-CN" w:bidi="ar-SA"/>
        </w:rPr>
        <w:t>17.1 不可抗力的确认</w:t>
      </w:r>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p>
    <w:p w14:paraId="329D6B81">
      <w:pPr>
        <w:widowControl w:val="0"/>
        <w:spacing w:line="380" w:lineRule="exact"/>
        <w:ind w:firstLine="420" w:firstLineChars="200"/>
        <w:jc w:val="both"/>
        <w:rPr>
          <w:rFonts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除通用合同条款约定的不可抗力事件之外，视为不可抗力的其他情形：</w:t>
      </w:r>
      <w:r>
        <w:rPr>
          <w:rFonts w:hint="eastAsia" w:ascii="宋体" w:hAnsi="宋体" w:eastAsia="宋体" w:cs="宋体"/>
          <w:color w:val="auto"/>
          <w:kern w:val="0"/>
          <w:sz w:val="21"/>
          <w:szCs w:val="21"/>
          <w:highlight w:val="none"/>
          <w:u w:val="single"/>
          <w:lang w:val="en-US" w:eastAsia="zh-CN" w:bidi="ar-SA"/>
        </w:rPr>
        <w:t>（1）、6级以上地震；（2）、10级以上持续1天的大风；（3）、暴雨级以上持续1天的大雨；（4）、50年以上未发生过，持续2天的高温天气；（5）、50年以上未发生过，持续2天的低温天气；（6）、50年以上未发生过 的洪水；（7）、战争、敌对行动（不论宣战与否）、入侵、外敌行动；（8）、暴乱、骚乱、叛乱、革命、暴动，或军事政变、篡夺政权、内战等；（9）、由于任何有危险性物质所引起的离子辐射或放射性污染；（10）、以音速飞行的飞机或其他飞行装置产生的压力波；（11）、对以上几种形式，应以造成灾害和影响施工为准</w:t>
      </w:r>
      <w:r>
        <w:rPr>
          <w:rFonts w:hint="eastAsia" w:ascii="宋体" w:hAnsi="宋体" w:eastAsia="宋体" w:cs="宋体"/>
          <w:color w:val="auto"/>
          <w:kern w:val="0"/>
          <w:sz w:val="21"/>
          <w:szCs w:val="21"/>
          <w:highlight w:val="none"/>
          <w:lang w:val="en-US" w:eastAsia="zh-CN" w:bidi="ar-SA"/>
        </w:rPr>
        <w:t>。</w:t>
      </w:r>
    </w:p>
    <w:p w14:paraId="54FFDF6E">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1799" w:name="_Toc403579006"/>
      <w:bookmarkStart w:id="1800" w:name="_Toc418518418"/>
      <w:bookmarkStart w:id="1801" w:name="_Toc497747250"/>
      <w:bookmarkStart w:id="1802" w:name="_Toc373478418"/>
      <w:bookmarkStart w:id="1803" w:name="_Toc418751868"/>
      <w:bookmarkStart w:id="1804" w:name="_Toc19438"/>
      <w:bookmarkStart w:id="1805" w:name="_Toc389065336"/>
      <w:bookmarkStart w:id="1806" w:name="_Toc522201798"/>
      <w:bookmarkStart w:id="1807" w:name="_Toc418518182"/>
      <w:bookmarkStart w:id="1808" w:name="_Toc256000249"/>
      <w:bookmarkStart w:id="1809" w:name="_Toc497746853"/>
      <w:bookmarkStart w:id="1810" w:name="_Toc418752314"/>
      <w:bookmarkStart w:id="1811" w:name="_Toc418061383"/>
      <w:bookmarkStart w:id="1812" w:name="_Toc373227771"/>
      <w:r>
        <w:rPr>
          <w:rFonts w:hint="eastAsia" w:ascii="宋体" w:hAnsi="宋体" w:eastAsia="宋体" w:cs="宋体"/>
          <w:b/>
          <w:bCs/>
          <w:color w:val="auto"/>
          <w:kern w:val="44"/>
          <w:sz w:val="21"/>
          <w:szCs w:val="21"/>
          <w:highlight w:val="none"/>
          <w:lang w:val="en-US" w:eastAsia="zh-CN" w:bidi="ar-SA"/>
        </w:rPr>
        <w:t>17.4 因不可抗力解除合同</w:t>
      </w:r>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p>
    <w:p w14:paraId="40D468E0">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合同解除后，发包人应在商定或确定发包人应支付款项后</w:t>
      </w:r>
      <w:r>
        <w:rPr>
          <w:rFonts w:hint="eastAsia" w:ascii="宋体" w:hAnsi="宋体" w:eastAsia="宋体" w:cs="宋体"/>
          <w:color w:val="auto"/>
          <w:kern w:val="2"/>
          <w:sz w:val="21"/>
          <w:szCs w:val="21"/>
          <w:highlight w:val="none"/>
          <w:u w:val="single"/>
          <w:lang w:val="en-US" w:eastAsia="zh-CN" w:bidi="ar-SA"/>
        </w:rPr>
        <w:t xml:space="preserve"> 30 </w:t>
      </w:r>
      <w:r>
        <w:rPr>
          <w:rFonts w:hint="eastAsia" w:ascii="宋体" w:hAnsi="宋体" w:eastAsia="宋体" w:cs="宋体"/>
          <w:color w:val="auto"/>
          <w:kern w:val="2"/>
          <w:sz w:val="21"/>
          <w:szCs w:val="21"/>
          <w:highlight w:val="none"/>
          <w:lang w:val="en-US" w:eastAsia="zh-CN" w:bidi="ar-SA"/>
        </w:rPr>
        <w:t>天内完成款项的支付。</w:t>
      </w:r>
    </w:p>
    <w:p w14:paraId="5B0AB503">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bookmarkStart w:id="1813" w:name="_Toc351203650"/>
      <w:bookmarkStart w:id="1814" w:name="_Toc403579007"/>
      <w:bookmarkStart w:id="1815" w:name="_Toc373227772"/>
      <w:bookmarkStart w:id="1816" w:name="_Toc389065337"/>
      <w:bookmarkStart w:id="1817" w:name="_Toc28180"/>
      <w:bookmarkStart w:id="1818" w:name="_Toc497747251"/>
      <w:bookmarkStart w:id="1819" w:name="_Toc522201799"/>
      <w:bookmarkStart w:id="1820" w:name="_Toc418752315"/>
      <w:bookmarkStart w:id="1821" w:name="_Toc418518183"/>
      <w:bookmarkStart w:id="1822" w:name="_Toc373478419"/>
      <w:bookmarkStart w:id="1823" w:name="_Toc418751869"/>
      <w:bookmarkStart w:id="1824" w:name="_Toc418061384"/>
      <w:bookmarkStart w:id="1825" w:name="_Toc256000250"/>
      <w:bookmarkStart w:id="1826" w:name="_Toc497746854"/>
      <w:bookmarkStart w:id="1827" w:name="_Toc418518419"/>
      <w:r>
        <w:rPr>
          <w:rFonts w:hint="eastAsia" w:ascii="宋体" w:hAnsi="宋体" w:eastAsia="宋体" w:cs="宋体"/>
          <w:b/>
          <w:bCs/>
          <w:color w:val="auto"/>
          <w:kern w:val="44"/>
          <w:sz w:val="21"/>
          <w:szCs w:val="21"/>
          <w:highlight w:val="none"/>
          <w:lang w:val="en-US" w:eastAsia="zh-CN" w:bidi="ar-SA"/>
        </w:rPr>
        <w:t>18. 保险</w:t>
      </w:r>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p>
    <w:bookmarkEnd w:id="1741"/>
    <w:p w14:paraId="6D9C6BF5">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1828" w:name="_Toc418518184"/>
      <w:bookmarkStart w:id="1829" w:name="_Toc418752316"/>
      <w:bookmarkStart w:id="1830" w:name="_Toc389065338"/>
      <w:bookmarkStart w:id="1831" w:name="_Toc373227773"/>
      <w:bookmarkStart w:id="1832" w:name="_Toc418518420"/>
      <w:bookmarkStart w:id="1833" w:name="_Toc497747252"/>
      <w:bookmarkStart w:id="1834" w:name="_Toc522201800"/>
      <w:bookmarkStart w:id="1835" w:name="_Toc497746855"/>
      <w:bookmarkStart w:id="1836" w:name="_Toc418751870"/>
      <w:bookmarkStart w:id="1837" w:name="_Toc373478420"/>
      <w:bookmarkStart w:id="1838" w:name="_Toc418061385"/>
      <w:bookmarkStart w:id="1839" w:name="_Toc5504"/>
      <w:bookmarkStart w:id="1840" w:name="_Toc403579008"/>
      <w:bookmarkStart w:id="1841" w:name="_Toc256000251"/>
      <w:r>
        <w:rPr>
          <w:rFonts w:hint="eastAsia" w:ascii="宋体" w:hAnsi="宋体" w:eastAsia="宋体" w:cs="宋体"/>
          <w:b/>
          <w:bCs/>
          <w:color w:val="auto"/>
          <w:kern w:val="44"/>
          <w:sz w:val="21"/>
          <w:szCs w:val="21"/>
          <w:highlight w:val="none"/>
          <w:lang w:val="en-US" w:eastAsia="zh-CN" w:bidi="ar-SA"/>
        </w:rPr>
        <w:t>18.1 工程保险</w:t>
      </w:r>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p>
    <w:p w14:paraId="43189C30">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关于工程保险的特别约定：</w:t>
      </w:r>
      <w:r>
        <w:rPr>
          <w:rFonts w:hint="eastAsia" w:ascii="宋体" w:hAnsi="宋体" w:eastAsia="宋体" w:cs="宋体"/>
          <w:color w:val="auto"/>
          <w:kern w:val="0"/>
          <w:sz w:val="21"/>
          <w:szCs w:val="21"/>
          <w:highlight w:val="none"/>
          <w:u w:val="single"/>
          <w:lang w:val="en-US" w:eastAsia="zh-CN" w:bidi="ar-SA"/>
        </w:rPr>
        <w:t>承包人应投保建筑工程一切险并承担与之相关的所有费用</w:t>
      </w:r>
      <w:r>
        <w:rPr>
          <w:rFonts w:hint="eastAsia" w:ascii="宋体" w:hAnsi="宋体" w:eastAsia="宋体" w:cs="宋体"/>
          <w:color w:val="auto"/>
          <w:kern w:val="0"/>
          <w:sz w:val="21"/>
          <w:szCs w:val="21"/>
          <w:highlight w:val="none"/>
          <w:lang w:val="en-US" w:eastAsia="zh-CN" w:bidi="ar-SA"/>
        </w:rPr>
        <w:t>。</w:t>
      </w:r>
    </w:p>
    <w:p w14:paraId="753226AA">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1842" w:name="_Toc418751871"/>
      <w:bookmarkStart w:id="1843" w:name="_Toc256000252"/>
      <w:bookmarkStart w:id="1844" w:name="_Toc389065339"/>
      <w:bookmarkStart w:id="1845" w:name="_Toc418061386"/>
      <w:bookmarkStart w:id="1846" w:name="_Toc418752317"/>
      <w:bookmarkStart w:id="1847" w:name="_Toc373227774"/>
      <w:bookmarkStart w:id="1848" w:name="_Toc497746856"/>
      <w:bookmarkStart w:id="1849" w:name="_Toc497747253"/>
      <w:bookmarkStart w:id="1850" w:name="_Toc18063"/>
      <w:bookmarkStart w:id="1851" w:name="_Toc403579009"/>
      <w:bookmarkStart w:id="1852" w:name="_Toc373478421"/>
      <w:bookmarkStart w:id="1853" w:name="_Toc418518185"/>
      <w:bookmarkStart w:id="1854" w:name="_Toc418518421"/>
      <w:bookmarkStart w:id="1855" w:name="_Toc522201801"/>
      <w:r>
        <w:rPr>
          <w:rFonts w:hint="eastAsia" w:ascii="宋体" w:hAnsi="宋体" w:eastAsia="宋体" w:cs="宋体"/>
          <w:b/>
          <w:bCs/>
          <w:color w:val="auto"/>
          <w:kern w:val="44"/>
          <w:sz w:val="21"/>
          <w:szCs w:val="21"/>
          <w:highlight w:val="none"/>
          <w:lang w:val="en-US" w:eastAsia="zh-CN" w:bidi="ar-SA"/>
        </w:rPr>
        <w:t>18.3 其他保险</w:t>
      </w:r>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p>
    <w:p w14:paraId="1066C3DA">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关于其他保险的约定：</w:t>
      </w:r>
      <w:r>
        <w:rPr>
          <w:rFonts w:hint="eastAsia" w:ascii="宋体" w:hAnsi="宋体" w:eastAsia="宋体" w:cs="宋体"/>
          <w:color w:val="auto"/>
          <w:kern w:val="0"/>
          <w:sz w:val="21"/>
          <w:szCs w:val="21"/>
          <w:highlight w:val="none"/>
          <w:u w:val="single"/>
          <w:lang w:val="en-US" w:eastAsia="zh-CN" w:bidi="ar-SA"/>
        </w:rPr>
        <w:t>承包人根据市建协字【2009】3号文必须</w:t>
      </w:r>
      <w:r>
        <w:rPr>
          <w:rFonts w:hint="eastAsia" w:ascii="宋体" w:hAnsi="宋体" w:eastAsia="宋体" w:cs="宋体"/>
          <w:color w:val="auto"/>
          <w:kern w:val="2"/>
          <w:sz w:val="21"/>
          <w:szCs w:val="21"/>
          <w:highlight w:val="none"/>
          <w:u w:val="single"/>
          <w:lang w:val="en-US" w:eastAsia="zh-CN" w:bidi="ar-SA"/>
        </w:rPr>
        <w:t>为施工现场从事施工的所有作业人员和管理人员办理意外伤害保险，并支付保险费</w:t>
      </w:r>
      <w:r>
        <w:rPr>
          <w:rFonts w:hint="eastAsia" w:ascii="宋体" w:hAnsi="宋体" w:eastAsia="宋体" w:cs="宋体"/>
          <w:bCs/>
          <w:color w:val="auto"/>
          <w:kern w:val="2"/>
          <w:sz w:val="21"/>
          <w:szCs w:val="21"/>
          <w:highlight w:val="none"/>
          <w:lang w:val="en-US" w:eastAsia="zh-CN" w:bidi="ar-SA"/>
        </w:rPr>
        <w:t>。</w:t>
      </w:r>
    </w:p>
    <w:p w14:paraId="71E4F485">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承包人是否应为其施工设备等办理财产保险：</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u w:val="single"/>
          <w:lang w:val="en-US" w:eastAsia="zh-CN" w:bidi="ar-SA"/>
        </w:rPr>
        <w:t>按通用条款执行，无特殊约定</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14:paraId="409BE4DC">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1856" w:name="_Toc389065340"/>
      <w:bookmarkStart w:id="1857" w:name="_Toc418751872"/>
      <w:bookmarkStart w:id="1858" w:name="_Toc497746857"/>
      <w:bookmarkStart w:id="1859" w:name="_Toc497747254"/>
      <w:bookmarkStart w:id="1860" w:name="_Toc522201802"/>
      <w:bookmarkStart w:id="1861" w:name="_Toc373478422"/>
      <w:bookmarkStart w:id="1862" w:name="_Toc418518422"/>
      <w:bookmarkStart w:id="1863" w:name="_Toc256000253"/>
      <w:bookmarkStart w:id="1864" w:name="_Toc418518186"/>
      <w:bookmarkStart w:id="1865" w:name="_Toc2718"/>
      <w:bookmarkStart w:id="1866" w:name="_Toc373227775"/>
      <w:bookmarkStart w:id="1867" w:name="_Toc418752318"/>
      <w:bookmarkStart w:id="1868" w:name="_Toc418061387"/>
      <w:bookmarkStart w:id="1869" w:name="_Toc403579010"/>
      <w:r>
        <w:rPr>
          <w:rFonts w:hint="eastAsia" w:ascii="宋体" w:hAnsi="宋体" w:eastAsia="宋体" w:cs="宋体"/>
          <w:b/>
          <w:bCs/>
          <w:color w:val="auto"/>
          <w:kern w:val="44"/>
          <w:sz w:val="21"/>
          <w:szCs w:val="21"/>
          <w:highlight w:val="none"/>
          <w:lang w:val="en-US" w:eastAsia="zh-CN" w:bidi="ar-SA"/>
        </w:rPr>
        <w:t>18.7 通知义务</w:t>
      </w:r>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p>
    <w:p w14:paraId="68B7D82D">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关于变更保险合同时的通知义务的约定：</w:t>
      </w:r>
      <w:r>
        <w:rPr>
          <w:rFonts w:hint="eastAsia" w:ascii="宋体" w:hAnsi="宋体" w:eastAsia="宋体" w:cs="宋体"/>
          <w:color w:val="auto"/>
          <w:kern w:val="2"/>
          <w:sz w:val="21"/>
          <w:szCs w:val="21"/>
          <w:highlight w:val="none"/>
          <w:u w:val="single"/>
          <w:lang w:val="en-US" w:eastAsia="zh-CN" w:bidi="ar-SA"/>
        </w:rPr>
        <w:t xml:space="preserve">  变更应通知当事人 </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bookmarkEnd w:id="1661"/>
    <w:bookmarkEnd w:id="1662"/>
    <w:bookmarkEnd w:id="1663"/>
    <w:bookmarkEnd w:id="1664"/>
    <w:bookmarkEnd w:id="1665"/>
    <w:bookmarkEnd w:id="1666"/>
    <w:bookmarkEnd w:id="1667"/>
    <w:bookmarkEnd w:id="1668"/>
    <w:bookmarkEnd w:id="1669"/>
    <w:bookmarkEnd w:id="1670"/>
    <w:bookmarkEnd w:id="1671"/>
    <w:bookmarkEnd w:id="1672"/>
    <w:p w14:paraId="5DB3F73F">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bookmarkStart w:id="1870" w:name="_Toc418061388"/>
      <w:bookmarkStart w:id="1871" w:name="_Toc373478423"/>
      <w:bookmarkStart w:id="1872" w:name="_Toc497747255"/>
      <w:bookmarkStart w:id="1873" w:name="_Toc522201803"/>
      <w:bookmarkStart w:id="1874" w:name="_Toc4397"/>
      <w:bookmarkStart w:id="1875" w:name="_Toc389065341"/>
      <w:bookmarkStart w:id="1876" w:name="_Toc497746858"/>
      <w:bookmarkStart w:id="1877" w:name="_Toc373227776"/>
      <w:bookmarkStart w:id="1878" w:name="_Toc256000254"/>
      <w:bookmarkStart w:id="1879" w:name="_Toc418752319"/>
      <w:bookmarkStart w:id="1880" w:name="_Toc403579011"/>
      <w:bookmarkStart w:id="1881" w:name="_Toc418518187"/>
      <w:bookmarkStart w:id="1882" w:name="_Toc418751873"/>
      <w:bookmarkStart w:id="1883" w:name="_Toc351203651"/>
      <w:bookmarkStart w:id="1884" w:name="_Toc418518423"/>
      <w:r>
        <w:rPr>
          <w:rFonts w:hint="eastAsia" w:ascii="宋体" w:hAnsi="宋体" w:eastAsia="宋体" w:cs="宋体"/>
          <w:b/>
          <w:bCs/>
          <w:color w:val="auto"/>
          <w:kern w:val="44"/>
          <w:sz w:val="21"/>
          <w:szCs w:val="21"/>
          <w:highlight w:val="none"/>
          <w:lang w:val="en-US" w:eastAsia="zh-CN" w:bidi="ar-SA"/>
        </w:rPr>
        <w:t>20. 争议解决</w:t>
      </w:r>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p>
    <w:bookmarkEnd w:id="1673"/>
    <w:bookmarkEnd w:id="1674"/>
    <w:p w14:paraId="50561F60">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1885" w:name="_Toc497747256"/>
      <w:bookmarkStart w:id="1886" w:name="_Toc418061389"/>
      <w:bookmarkStart w:id="1887" w:name="_Toc418752320"/>
      <w:bookmarkStart w:id="1888" w:name="_Toc373478424"/>
      <w:bookmarkStart w:id="1889" w:name="_Toc418518188"/>
      <w:bookmarkStart w:id="1890" w:name="_Toc256000255"/>
      <w:bookmarkStart w:id="1891" w:name="_Toc418751874"/>
      <w:bookmarkStart w:id="1892" w:name="_Toc418518424"/>
      <w:bookmarkStart w:id="1893" w:name="_Toc403579012"/>
      <w:bookmarkStart w:id="1894" w:name="_Toc389065342"/>
      <w:bookmarkStart w:id="1895" w:name="_Toc15352"/>
      <w:bookmarkStart w:id="1896" w:name="_Toc497746859"/>
      <w:bookmarkStart w:id="1897" w:name="_Toc373227777"/>
      <w:bookmarkStart w:id="1898" w:name="_Toc522201804"/>
      <w:r>
        <w:rPr>
          <w:rFonts w:hint="eastAsia" w:ascii="宋体" w:hAnsi="宋体" w:eastAsia="宋体" w:cs="宋体"/>
          <w:b/>
          <w:bCs/>
          <w:color w:val="auto"/>
          <w:kern w:val="44"/>
          <w:sz w:val="21"/>
          <w:szCs w:val="21"/>
          <w:highlight w:val="none"/>
          <w:lang w:val="en-US" w:eastAsia="zh-CN" w:bidi="ar-SA"/>
        </w:rPr>
        <w:t>20.3 争</w:t>
      </w:r>
      <w:bookmarkEnd w:id="1675"/>
      <w:r>
        <w:rPr>
          <w:rFonts w:hint="eastAsia" w:ascii="宋体" w:hAnsi="宋体" w:eastAsia="宋体" w:cs="宋体"/>
          <w:b/>
          <w:bCs/>
          <w:color w:val="auto"/>
          <w:kern w:val="44"/>
          <w:sz w:val="21"/>
          <w:szCs w:val="21"/>
          <w:highlight w:val="none"/>
          <w:lang w:val="en-US" w:eastAsia="zh-CN" w:bidi="ar-SA"/>
        </w:rPr>
        <w:t>议评审</w:t>
      </w:r>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p>
    <w:p w14:paraId="5028A560">
      <w:pPr>
        <w:widowControl w:val="0"/>
        <w:spacing w:line="380" w:lineRule="exact"/>
        <w:ind w:left="149" w:leftChars="71" w:firstLine="315" w:firstLineChars="15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合同当事人是否同意将工程争议提交争议评审小组决定：</w:t>
      </w:r>
      <w:r>
        <w:rPr>
          <w:rFonts w:hint="eastAsia" w:ascii="宋体" w:hAnsi="宋体" w:eastAsia="宋体" w:cs="宋体"/>
          <w:color w:val="auto"/>
          <w:kern w:val="2"/>
          <w:sz w:val="21"/>
          <w:szCs w:val="21"/>
          <w:highlight w:val="none"/>
          <w:u w:val="single"/>
          <w:lang w:val="en-US" w:eastAsia="zh-CN" w:bidi="ar-SA"/>
        </w:rPr>
        <w:t xml:space="preserve">  不同意  </w:t>
      </w:r>
      <w:r>
        <w:rPr>
          <w:rFonts w:hint="eastAsia" w:ascii="宋体" w:hAnsi="宋体" w:eastAsia="宋体" w:cs="宋体"/>
          <w:color w:val="auto"/>
          <w:kern w:val="2"/>
          <w:sz w:val="21"/>
          <w:szCs w:val="21"/>
          <w:highlight w:val="none"/>
          <w:lang w:val="en-US" w:eastAsia="zh-CN" w:bidi="ar-SA"/>
        </w:rPr>
        <w:t>。</w:t>
      </w:r>
    </w:p>
    <w:p w14:paraId="3A94679C">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20.3.1 争议评审小组的确定</w:t>
      </w:r>
    </w:p>
    <w:p w14:paraId="3AECAA10">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争议评审小组成员的确定：</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14:paraId="6EF9E9D8">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选定争议评审员的期限：</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14:paraId="209AFB59">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争议评审小组成员的报酬承担方式：</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14:paraId="6D45D554">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其他事项的约定：</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14:paraId="52E1F544">
      <w:pPr>
        <w:widowControl w:val="0"/>
        <w:autoSpaceDE w:val="0"/>
        <w:autoSpaceDN w:val="0"/>
        <w:adjustRightInd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20.3.2 争议评审小组的决定</w:t>
      </w:r>
    </w:p>
    <w:p w14:paraId="38454927">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合同当事人关于本项的约定：</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14:paraId="1B05F957">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bookmarkStart w:id="1899" w:name="_Toc256000256"/>
      <w:bookmarkStart w:id="1900" w:name="_Toc418061390"/>
      <w:bookmarkStart w:id="1901" w:name="_Toc373478425"/>
      <w:bookmarkStart w:id="1902" w:name="_Toc403579013"/>
      <w:bookmarkStart w:id="1903" w:name="_Toc418752321"/>
      <w:bookmarkStart w:id="1904" w:name="_Toc373227778"/>
      <w:bookmarkStart w:id="1905" w:name="_Toc418751875"/>
      <w:bookmarkStart w:id="1906" w:name="_Toc7204"/>
      <w:bookmarkStart w:id="1907" w:name="_Toc522201805"/>
      <w:bookmarkStart w:id="1908" w:name="_Toc418518425"/>
      <w:bookmarkStart w:id="1909" w:name="_Toc418518189"/>
      <w:bookmarkStart w:id="1910" w:name="_Toc389065343"/>
      <w:bookmarkStart w:id="1911" w:name="_Toc497747257"/>
      <w:bookmarkStart w:id="1912" w:name="_Toc497746860"/>
      <w:r>
        <w:rPr>
          <w:rFonts w:hint="eastAsia" w:ascii="宋体" w:hAnsi="宋体" w:eastAsia="宋体" w:cs="宋体"/>
          <w:b/>
          <w:bCs/>
          <w:color w:val="auto"/>
          <w:kern w:val="44"/>
          <w:sz w:val="21"/>
          <w:szCs w:val="21"/>
          <w:highlight w:val="none"/>
          <w:lang w:val="en-US" w:eastAsia="zh-CN" w:bidi="ar-SA"/>
        </w:rPr>
        <w:t>20.4 仲裁或诉讼</w:t>
      </w:r>
      <w:bookmarkEnd w:id="1676"/>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p>
    <w:p w14:paraId="16C76B40">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因合同及合同有关事项发生的争议，按下列第</w:t>
      </w:r>
      <w:r>
        <w:rPr>
          <w:rFonts w:hint="eastAsia" w:ascii="宋体" w:hAnsi="宋体" w:eastAsia="宋体" w:cs="宋体"/>
          <w:color w:val="auto"/>
          <w:kern w:val="2"/>
          <w:sz w:val="21"/>
          <w:szCs w:val="21"/>
          <w:highlight w:val="none"/>
          <w:u w:val="single"/>
          <w:lang w:val="en-US" w:eastAsia="zh-CN" w:bidi="ar-SA"/>
        </w:rPr>
        <w:t xml:space="preserve">    （2）    </w:t>
      </w:r>
      <w:r>
        <w:rPr>
          <w:rFonts w:hint="eastAsia" w:ascii="宋体" w:hAnsi="宋体" w:eastAsia="宋体" w:cs="宋体"/>
          <w:color w:val="auto"/>
          <w:kern w:val="2"/>
          <w:sz w:val="21"/>
          <w:szCs w:val="21"/>
          <w:highlight w:val="none"/>
          <w:lang w:val="en-US" w:eastAsia="zh-CN" w:bidi="ar-SA"/>
        </w:rPr>
        <w:t>种方式解决：</w:t>
      </w:r>
    </w:p>
    <w:p w14:paraId="070CF2BD">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（1）提请仲裁委员会按照该会仲裁规则进行仲裁，仲裁裁决是终局的，对合同双方均有约束力。</w:t>
      </w:r>
    </w:p>
    <w:p w14:paraId="2B55BF1D">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（2）向</w:t>
      </w:r>
      <w:r>
        <w:rPr>
          <w:rFonts w:hint="eastAsia" w:ascii="宋体" w:hAnsi="宋体" w:eastAsia="宋体" w:cs="宋体"/>
          <w:color w:val="auto"/>
          <w:kern w:val="2"/>
          <w:sz w:val="21"/>
          <w:szCs w:val="21"/>
          <w:highlight w:val="none"/>
          <w:u w:val="single"/>
          <w:lang w:val="en-US" w:eastAsia="zh-CN" w:bidi="ar-SA"/>
        </w:rPr>
        <w:t>桂林市本工程辖区内</w:t>
      </w:r>
      <w:r>
        <w:rPr>
          <w:rFonts w:hint="eastAsia" w:ascii="宋体" w:hAnsi="宋体" w:eastAsia="宋体" w:cs="宋体"/>
          <w:color w:val="auto"/>
          <w:kern w:val="2"/>
          <w:sz w:val="21"/>
          <w:szCs w:val="21"/>
          <w:highlight w:val="none"/>
          <w:lang w:val="en-US" w:eastAsia="zh-CN" w:bidi="ar-SA"/>
        </w:rPr>
        <w:t>人民法院起诉。</w:t>
      </w:r>
      <w:bookmarkEnd w:id="1677"/>
      <w:bookmarkEnd w:id="1678"/>
      <w:bookmarkEnd w:id="1679"/>
      <w:bookmarkEnd w:id="1680"/>
      <w:bookmarkEnd w:id="1681"/>
      <w:bookmarkEnd w:id="1682"/>
    </w:p>
    <w:p w14:paraId="3E99CD65">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bookmarkStart w:id="1913" w:name="_Toc389065344"/>
      <w:bookmarkStart w:id="1914" w:name="_Toc256000257"/>
      <w:bookmarkStart w:id="1915" w:name="_Toc522201806"/>
      <w:bookmarkStart w:id="1916" w:name="_Toc497746861"/>
      <w:bookmarkStart w:id="1917" w:name="_Toc497747258"/>
      <w:bookmarkStart w:id="1918" w:name="_Toc373478426"/>
      <w:bookmarkStart w:id="1919" w:name="_Toc395382582"/>
      <w:bookmarkStart w:id="1920" w:name="_Toc373227779"/>
      <w:bookmarkStart w:id="1921" w:name="_Toc17961"/>
      <w:r>
        <w:rPr>
          <w:rFonts w:hint="eastAsia" w:ascii="宋体" w:hAnsi="宋体" w:eastAsia="宋体" w:cs="宋体"/>
          <w:b/>
          <w:bCs/>
          <w:color w:val="auto"/>
          <w:kern w:val="44"/>
          <w:sz w:val="21"/>
          <w:szCs w:val="21"/>
          <w:highlight w:val="none"/>
          <w:lang w:val="en-US" w:eastAsia="zh-CN" w:bidi="ar-SA"/>
        </w:rPr>
        <w:t>21. 补充条款</w:t>
      </w:r>
      <w:bookmarkEnd w:id="1913"/>
      <w:bookmarkEnd w:id="1914"/>
      <w:bookmarkEnd w:id="1915"/>
      <w:bookmarkEnd w:id="1916"/>
      <w:bookmarkEnd w:id="1917"/>
      <w:bookmarkEnd w:id="1918"/>
      <w:bookmarkEnd w:id="1919"/>
      <w:bookmarkEnd w:id="1920"/>
      <w:bookmarkEnd w:id="1921"/>
    </w:p>
    <w:p w14:paraId="1987088E">
      <w:pPr>
        <w:widowControl w:val="0"/>
        <w:autoSpaceDE w:val="0"/>
        <w:autoSpaceDN w:val="0"/>
        <w:adjustRightInd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21.1 根据桂劳社[2003]150 号文，承包人在投标时必须在投标文件中承诺，在发包人发出交款通知之日起 7 个工作日内足额将民工工资保障金转入建设行政主管部门设立的农民工工资保障金专用帐号。发包人按节点足额支付工程款后，一旦其承包的建设工程项目中出现拖欠农民工工资情况的，由主管部门从其农民工工资保障金中先予支付。 </w:t>
      </w:r>
    </w:p>
    <w:p w14:paraId="23067F79">
      <w:pPr>
        <w:widowControl w:val="0"/>
        <w:autoSpaceDE w:val="0"/>
        <w:autoSpaceDN w:val="0"/>
        <w:adjustRightInd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21.2 承包方采用新工艺新材料，必须在使用前 2 个月，向发包方提交相关的技术资料、发明专利、产品证书、样品及应用的实例、单价组成等有关资料；经发包方、设计单位认可后方可使用，凡未经批准擅自使用者除费用自行承担外还应赔偿发包方由此引起的经济损失。 </w:t>
      </w:r>
    </w:p>
    <w:p w14:paraId="10BF6526">
      <w:pPr>
        <w:widowControl w:val="0"/>
        <w:autoSpaceDE w:val="0"/>
        <w:autoSpaceDN w:val="0"/>
        <w:adjustRightInd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21.3 赶工费、夜间施工费由投标人结合自身企业的实际情况及对施工现场的考察、提供的图纸等各方面的资料自行报价，并包干使用，今后不作任何调整和签证。</w:t>
      </w:r>
    </w:p>
    <w:p w14:paraId="3623C098">
      <w:pPr>
        <w:widowControl w:val="0"/>
        <w:autoSpaceDE w:val="0"/>
        <w:autoSpaceDN w:val="0"/>
        <w:adjustRightInd w:val="0"/>
        <w:spacing w:line="380" w:lineRule="exact"/>
        <w:ind w:firstLine="420" w:firstLineChars="20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21.4 根据《建设工程质量检测管理办法》（</w:t>
      </w:r>
      <w:r>
        <w:rPr>
          <w:rFonts w:hint="eastAsia" w:ascii="Times New Roman" w:hAnsi="宋体" w:eastAsia="宋体" w:cs="宋体"/>
          <w:color w:val="auto"/>
          <w:kern w:val="2"/>
          <w:sz w:val="21"/>
          <w:szCs w:val="21"/>
          <w:highlight w:val="none"/>
          <w:lang w:val="en-US" w:eastAsia="zh-CN" w:bidi="ar-SA"/>
        </w:rPr>
        <w:t>住建部令57</w:t>
      </w:r>
      <w:r>
        <w:rPr>
          <w:rFonts w:hint="eastAsia" w:ascii="Times New Roman" w:hAnsi="Times New Roman" w:eastAsia="宋体" w:cs="Times New Roman"/>
          <w:color w:val="auto"/>
          <w:kern w:val="2"/>
          <w:sz w:val="21"/>
          <w:szCs w:val="21"/>
          <w:highlight w:val="none"/>
          <w:lang w:val="en-US" w:eastAsia="zh-CN" w:bidi="ar-SA"/>
        </w:rPr>
        <w:t>号</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 xml:space="preserve">以及《广西壮族自治区建设工程质量检测管理规定》（桂建管〔2013〕11 号）规定，工程质量检测业务由发包人委托有相应资质的检测机构检测。费用从发包人的项目建设经费中支出并直接支付给检测机构，不计入合同价款内。 </w:t>
      </w:r>
    </w:p>
    <w:p w14:paraId="32AAA527">
      <w:pPr>
        <w:widowControl w:val="0"/>
        <w:autoSpaceDE w:val="0"/>
        <w:autoSpaceDN w:val="0"/>
        <w:spacing w:line="380" w:lineRule="exact"/>
        <w:ind w:firstLine="420" w:firstLineChars="20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u w:val="none"/>
          <w:lang w:val="en-US" w:eastAsia="zh-CN" w:bidi="ar-SA"/>
        </w:rPr>
        <w:t>21.5承包人的结算申报价的核减额（即：结算送审价-审定的结算价）超过审定的结算价的8%时，则超出送审价8%部分审减（增）额的审核服务费由承包人承担，承担费用计算式为：[（结算送审价-审定的结算价）-结算送审价×8%]×【发包人相关部门规定结算审核计取的费率（或发包人与造价咨询机构签订的造价咨询合同中的约定的费率）】，由发包人从承包人的工程价款中予以扣除后支付给中介机构（或由承包人自行支付至相关单位指定账户）</w:t>
      </w:r>
    </w:p>
    <w:p w14:paraId="4F82FA6B">
      <w:pPr>
        <w:widowControl w:val="0"/>
        <w:autoSpaceDE w:val="0"/>
        <w:autoSpaceDN w:val="0"/>
        <w:adjustRightInd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21.6 发包人需要持散装水泥、多孔砖、砼砌块的材料发票原件到政府有关部门办理退款手续，承包人必须及时提供。否则，发包人有权按政府有关部门收缴标准及数额在承包人工程款中扣罚。 </w:t>
      </w:r>
    </w:p>
    <w:p w14:paraId="53446168">
      <w:pPr>
        <w:widowControl w:val="0"/>
        <w:autoSpaceDE w:val="0"/>
        <w:autoSpaceDN w:val="0"/>
        <w:adjustRightInd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21.7 由于承包人不能按时提供属承包人应提供的文件导致发包人不能及时办理施工许可证，所有造成的后果由承包人承担责任。造成发包人损失的，承包人应赔偿发包人损失。 </w:t>
      </w:r>
    </w:p>
    <w:p w14:paraId="1284CD60">
      <w:pPr>
        <w:widowControl w:val="0"/>
        <w:autoSpaceDE w:val="0"/>
        <w:autoSpaceDN w:val="0"/>
        <w:adjustRightInd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21.8 已完工程成品保护的特殊要求及费用承担： 已竣工工程未交付发包人之前，承包人负责已完工程的成品保护工作，保护期间发生损坏，承包人自费予以修复。工程已交付发包人或发包人提前使用后的损坏及所需的修理费用、 工程成品毁损的风险， 由发包人承担。 若发包人要求承包人采取特殊措施保护的，由发包人就保护的工程部位和相应的追加合同价款另外进行协商。 </w:t>
      </w:r>
    </w:p>
    <w:p w14:paraId="25B88DC9">
      <w:pPr>
        <w:widowControl w:val="0"/>
        <w:autoSpaceDE w:val="0"/>
        <w:autoSpaceDN w:val="0"/>
        <w:adjustRightInd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21.9 材料严格保证质量，相同类型材料质量应一致，若发现有材料以次品冒充，则该部分所有材料均按次品处理且须重新更换合格材料才能使用。 </w:t>
      </w:r>
    </w:p>
    <w:p w14:paraId="02E14164">
      <w:pPr>
        <w:widowControl w:val="0"/>
        <w:autoSpaceDE w:val="0"/>
        <w:autoSpaceDN w:val="0"/>
        <w:adjustRightInd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21.10 承包人必须配合监理工程师和发包人派驻工程师的工作，一切签证事宜均须在规定的时间内作出书面签证申请，过期补签无效，发包人超过规定期限没有签证的视为此签证发包人已同意。夜间施工增加费（含夜间加班加点）已包含在合同价款内，施工期间不予再签证。 </w:t>
      </w:r>
    </w:p>
    <w:p w14:paraId="7A9B6715">
      <w:pPr>
        <w:widowControl w:val="0"/>
        <w:autoSpaceDE w:val="0"/>
        <w:autoSpaceDN w:val="0"/>
        <w:adjustRightInd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21.11 承包人有以下情形之一者，视为违约，发包人有权依法解除合同，没收其全部履约保证金，承包人还应承担相应的法律责任。  </w:t>
      </w:r>
    </w:p>
    <w:p w14:paraId="3DAC03D5">
      <w:pPr>
        <w:widowControl w:val="0"/>
        <w:autoSpaceDE w:val="0"/>
        <w:autoSpaceDN w:val="0"/>
        <w:adjustRightInd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① 经有关建设主管部门鉴定确认，承包人有挂靠行为。 </w:t>
      </w:r>
    </w:p>
    <w:p w14:paraId="15D109AF">
      <w:pPr>
        <w:widowControl w:val="0"/>
        <w:autoSpaceDE w:val="0"/>
        <w:autoSpaceDN w:val="0"/>
        <w:adjustRightInd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② 转包工程，以牟取转让费、管理费。  </w:t>
      </w:r>
    </w:p>
    <w:p w14:paraId="712DEE50">
      <w:pPr>
        <w:widowControl w:val="0"/>
        <w:autoSpaceDE w:val="0"/>
        <w:autoSpaceDN w:val="0"/>
        <w:adjustRightInd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③ 自签订合同之日起 15 日内，因承包人责任无法组织合同规定的人员、机械进场或进场人员机械与合同严重不符。 </w:t>
      </w:r>
    </w:p>
    <w:p w14:paraId="0275C83A">
      <w:pPr>
        <w:widowControl w:val="0"/>
        <w:autoSpaceDE w:val="0"/>
        <w:autoSpaceDN w:val="0"/>
        <w:adjustRightInd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21.12 工程竣工验收通过后 14 天之内，承包人必须将临时工棚、建筑垃圾等全部清理出现场，否则从第15天起，每天处以1000元罚款且不办理结算。</w:t>
      </w:r>
    </w:p>
    <w:p w14:paraId="5C5F5F32">
      <w:pPr>
        <w:widowControl w:val="0"/>
        <w:autoSpaceDE w:val="0"/>
        <w:autoSpaceDN w:val="0"/>
        <w:adjustRightInd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21.13 凡进入本工程工作的妇女应持有计生证、否则不准安排工作，禁止使用童工。</w:t>
      </w:r>
    </w:p>
    <w:p w14:paraId="00D1EA10">
      <w:pPr>
        <w:widowControl w:val="0"/>
        <w:autoSpaceDE w:val="0"/>
        <w:autoSpaceDN w:val="0"/>
        <w:adjustRightInd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21.14 如因政策性原因或者项目暂时（或永久）取消导致开工延误或无法开工，发包人不支付承包人任何赔偿或补偿，并可根据政策要求或项目情况延时开工或取消部分合同内容。</w:t>
      </w:r>
    </w:p>
    <w:p w14:paraId="0ECC2BE6">
      <w:pPr>
        <w:keepNext w:val="0"/>
        <w:keepLines w:val="0"/>
        <w:pageBreakBefore w:val="0"/>
        <w:widowControl/>
        <w:kinsoku w:val="0"/>
        <w:wordWrap/>
        <w:overflowPunct/>
        <w:topLinePunct w:val="0"/>
        <w:autoSpaceDE w:val="0"/>
        <w:autoSpaceDN w:val="0"/>
        <w:bidi w:val="0"/>
        <w:adjustRightInd w:val="0"/>
        <w:snapToGrid w:val="0"/>
        <w:spacing w:before="91" w:line="360" w:lineRule="auto"/>
        <w:ind w:left="1"/>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21.15 承包人应自行协调与施工现场周边及居民的关系，确保项目施工顺利进行。发包人不再支付承包人因协调施工现场周边及居民关系而发生的任何费用。</w:t>
      </w:r>
    </w:p>
    <w:p w14:paraId="71780920">
      <w:pPr>
        <w:keepNext w:val="0"/>
        <w:keepLines w:val="0"/>
        <w:pageBreakBefore w:val="0"/>
        <w:widowControl/>
        <w:kinsoku w:val="0"/>
        <w:wordWrap/>
        <w:overflowPunct/>
        <w:topLinePunct w:val="0"/>
        <w:autoSpaceDE w:val="0"/>
        <w:autoSpaceDN w:val="0"/>
        <w:bidi w:val="0"/>
        <w:adjustRightInd w:val="0"/>
        <w:snapToGrid w:val="0"/>
        <w:spacing w:before="91" w:line="360" w:lineRule="auto"/>
        <w:ind w:left="1"/>
        <w:textAlignment w:val="baseline"/>
        <w:rPr>
          <w:rFonts w:hint="eastAsia" w:ascii="宋体" w:hAnsi="宋体" w:eastAsia="宋体" w:cs="宋体"/>
          <w:color w:val="auto"/>
          <w:spacing w:val="-13"/>
          <w:sz w:val="21"/>
          <w:szCs w:val="21"/>
          <w:highlight w:val="none"/>
        </w:rPr>
      </w:pPr>
    </w:p>
    <w:p w14:paraId="329AFA42">
      <w:pPr>
        <w:keepNext w:val="0"/>
        <w:keepLines w:val="0"/>
        <w:pageBreakBefore w:val="0"/>
        <w:widowControl/>
        <w:kinsoku w:val="0"/>
        <w:wordWrap/>
        <w:overflowPunct/>
        <w:topLinePunct w:val="0"/>
        <w:autoSpaceDE w:val="0"/>
        <w:autoSpaceDN w:val="0"/>
        <w:bidi w:val="0"/>
        <w:adjustRightInd w:val="0"/>
        <w:snapToGrid w:val="0"/>
        <w:spacing w:before="91" w:line="360" w:lineRule="auto"/>
        <w:ind w:left="1"/>
        <w:textAlignment w:val="baseline"/>
        <w:rPr>
          <w:rFonts w:hint="eastAsia" w:ascii="宋体" w:hAnsi="宋体" w:eastAsia="宋体" w:cs="宋体"/>
          <w:color w:val="auto"/>
          <w:spacing w:val="-13"/>
          <w:sz w:val="21"/>
          <w:szCs w:val="21"/>
          <w:highlight w:val="none"/>
        </w:rPr>
      </w:pPr>
    </w:p>
    <w:p w14:paraId="77A19A8D">
      <w:pPr>
        <w:keepNext w:val="0"/>
        <w:keepLines w:val="0"/>
        <w:pageBreakBefore w:val="0"/>
        <w:widowControl/>
        <w:kinsoku w:val="0"/>
        <w:wordWrap/>
        <w:overflowPunct/>
        <w:topLinePunct w:val="0"/>
        <w:autoSpaceDE w:val="0"/>
        <w:autoSpaceDN w:val="0"/>
        <w:bidi w:val="0"/>
        <w:adjustRightInd w:val="0"/>
        <w:snapToGrid w:val="0"/>
        <w:spacing w:before="91" w:line="360" w:lineRule="auto"/>
        <w:ind w:left="1"/>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3"/>
          <w:sz w:val="21"/>
          <w:szCs w:val="21"/>
          <w:highlight w:val="none"/>
        </w:rPr>
        <w:t>附件</w:t>
      </w:r>
      <w:r>
        <w:rPr>
          <w:rFonts w:hint="eastAsia" w:ascii="宋体" w:hAnsi="宋体" w:cs="宋体"/>
          <w:color w:val="auto"/>
          <w:spacing w:val="-13"/>
          <w:sz w:val="21"/>
          <w:szCs w:val="21"/>
          <w:highlight w:val="none"/>
          <w:lang w:eastAsia="zh-CN"/>
        </w:rPr>
        <w:t>：</w:t>
      </w:r>
    </w:p>
    <w:p w14:paraId="560A72BB">
      <w:pPr>
        <w:pStyle w:val="2"/>
        <w:keepNext w:val="0"/>
        <w:keepLines w:val="0"/>
        <w:pageBreakBefore w:val="0"/>
        <w:widowControl/>
        <w:kinsoku w:val="0"/>
        <w:wordWrap/>
        <w:overflowPunct/>
        <w:topLinePunct w:val="0"/>
        <w:autoSpaceDE w:val="0"/>
        <w:autoSpaceDN w:val="0"/>
        <w:bidi w:val="0"/>
        <w:adjustRightInd w:val="0"/>
        <w:snapToGrid w:val="0"/>
        <w:spacing w:before="191"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附件</w:t>
      </w:r>
      <w:r>
        <w:rPr>
          <w:rFonts w:hint="eastAsia" w:ascii="宋体" w:hAnsi="宋体" w:eastAsia="宋体" w:cs="宋体"/>
          <w:color w:val="auto"/>
          <w:spacing w:val="-15"/>
          <w:sz w:val="21"/>
          <w:szCs w:val="21"/>
          <w:highlight w:val="none"/>
        </w:rPr>
        <w:t xml:space="preserve"> </w:t>
      </w:r>
      <w:r>
        <w:rPr>
          <w:rFonts w:hint="eastAsia" w:ascii="宋体" w:hAnsi="宋体" w:eastAsia="宋体" w:cs="宋体"/>
          <w:color w:val="auto"/>
          <w:spacing w:val="6"/>
          <w:sz w:val="21"/>
          <w:szCs w:val="21"/>
          <w:highlight w:val="none"/>
        </w:rPr>
        <w:t>1：承包人承揽工程项目一览表</w:t>
      </w:r>
    </w:p>
    <w:p w14:paraId="1B0F5656">
      <w:pPr>
        <w:pStyle w:val="2"/>
        <w:keepNext w:val="0"/>
        <w:keepLines w:val="0"/>
        <w:pageBreakBefore w:val="0"/>
        <w:widowControl/>
        <w:kinsoku w:val="0"/>
        <w:wordWrap/>
        <w:overflowPunct/>
        <w:topLinePunct w:val="0"/>
        <w:autoSpaceDE w:val="0"/>
        <w:autoSpaceDN w:val="0"/>
        <w:bidi w:val="0"/>
        <w:adjustRightInd w:val="0"/>
        <w:snapToGrid w:val="0"/>
        <w:spacing w:before="164"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附件</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6"/>
          <w:sz w:val="21"/>
          <w:szCs w:val="21"/>
          <w:highlight w:val="none"/>
        </w:rPr>
        <w:t>2：工程质量保修书</w:t>
      </w:r>
    </w:p>
    <w:p w14:paraId="71E3EE26">
      <w:pPr>
        <w:pStyle w:val="2"/>
        <w:keepNext w:val="0"/>
        <w:keepLines w:val="0"/>
        <w:pageBreakBefore w:val="0"/>
        <w:widowControl/>
        <w:kinsoku w:val="0"/>
        <w:wordWrap/>
        <w:overflowPunct/>
        <w:topLinePunct w:val="0"/>
        <w:autoSpaceDE w:val="0"/>
        <w:autoSpaceDN w:val="0"/>
        <w:bidi w:val="0"/>
        <w:adjustRightInd w:val="0"/>
        <w:snapToGrid w:val="0"/>
        <w:spacing w:before="162"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附件</w:t>
      </w:r>
      <w:r>
        <w:rPr>
          <w:rFonts w:hint="eastAsia" w:ascii="宋体" w:hAnsi="宋体" w:eastAsia="宋体" w:cs="宋体"/>
          <w:color w:val="auto"/>
          <w:spacing w:val="-23"/>
          <w:sz w:val="21"/>
          <w:szCs w:val="21"/>
          <w:highlight w:val="none"/>
        </w:rPr>
        <w:t xml:space="preserve"> </w:t>
      </w:r>
      <w:r>
        <w:rPr>
          <w:rFonts w:hint="eastAsia" w:ascii="宋体" w:hAnsi="宋体" w:eastAsia="宋体" w:cs="宋体"/>
          <w:color w:val="auto"/>
          <w:spacing w:val="6"/>
          <w:sz w:val="21"/>
          <w:szCs w:val="21"/>
          <w:highlight w:val="none"/>
        </w:rPr>
        <w:t>3：主要建设工程文件目录</w:t>
      </w:r>
    </w:p>
    <w:p w14:paraId="4630D0B8">
      <w:pPr>
        <w:pStyle w:val="2"/>
        <w:keepNext w:val="0"/>
        <w:keepLines w:val="0"/>
        <w:pageBreakBefore w:val="0"/>
        <w:widowControl/>
        <w:kinsoku w:val="0"/>
        <w:wordWrap/>
        <w:overflowPunct/>
        <w:topLinePunct w:val="0"/>
        <w:autoSpaceDE w:val="0"/>
        <w:autoSpaceDN w:val="0"/>
        <w:bidi w:val="0"/>
        <w:adjustRightInd w:val="0"/>
        <w:snapToGrid w:val="0"/>
        <w:spacing w:before="162"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附件</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8"/>
          <w:sz w:val="21"/>
          <w:szCs w:val="21"/>
          <w:highlight w:val="none"/>
        </w:rPr>
        <w:t>4：承包人用于本工程施工的机械设备表</w:t>
      </w:r>
    </w:p>
    <w:p w14:paraId="64260FBE">
      <w:pPr>
        <w:pStyle w:val="2"/>
        <w:keepNext w:val="0"/>
        <w:keepLines w:val="0"/>
        <w:pageBreakBefore w:val="0"/>
        <w:widowControl/>
        <w:kinsoku w:val="0"/>
        <w:wordWrap/>
        <w:overflowPunct/>
        <w:topLinePunct w:val="0"/>
        <w:autoSpaceDE w:val="0"/>
        <w:autoSpaceDN w:val="0"/>
        <w:bidi w:val="0"/>
        <w:adjustRightInd w:val="0"/>
        <w:snapToGrid w:val="0"/>
        <w:spacing w:before="162"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附件</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7"/>
          <w:sz w:val="21"/>
          <w:szCs w:val="21"/>
          <w:highlight w:val="none"/>
        </w:rPr>
        <w:t>5：承包人主要施工管理人员表</w:t>
      </w:r>
    </w:p>
    <w:p w14:paraId="49D9EAFE">
      <w:pPr>
        <w:pStyle w:val="2"/>
        <w:keepNext w:val="0"/>
        <w:keepLines w:val="0"/>
        <w:pageBreakBefore w:val="0"/>
        <w:widowControl/>
        <w:kinsoku w:val="0"/>
        <w:wordWrap/>
        <w:overflowPunct/>
        <w:topLinePunct w:val="0"/>
        <w:autoSpaceDE w:val="0"/>
        <w:autoSpaceDN w:val="0"/>
        <w:bidi w:val="0"/>
        <w:adjustRightInd w:val="0"/>
        <w:snapToGrid w:val="0"/>
        <w:spacing w:before="165"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附件</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7"/>
          <w:sz w:val="21"/>
          <w:szCs w:val="21"/>
          <w:highlight w:val="none"/>
        </w:rPr>
        <w:t>6：分包人主要施工管理人员表</w:t>
      </w:r>
    </w:p>
    <w:p w14:paraId="6A8B63F5">
      <w:pPr>
        <w:pStyle w:val="2"/>
        <w:keepNext w:val="0"/>
        <w:keepLines w:val="0"/>
        <w:pageBreakBefore w:val="0"/>
        <w:widowControl/>
        <w:kinsoku w:val="0"/>
        <w:wordWrap/>
        <w:overflowPunct/>
        <w:topLinePunct w:val="0"/>
        <w:autoSpaceDE w:val="0"/>
        <w:autoSpaceDN w:val="0"/>
        <w:bidi w:val="0"/>
        <w:adjustRightInd w:val="0"/>
        <w:snapToGrid w:val="0"/>
        <w:spacing w:before="162"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附件</w:t>
      </w:r>
      <w:r>
        <w:rPr>
          <w:rFonts w:hint="eastAsia" w:ascii="宋体" w:hAnsi="宋体" w:eastAsia="宋体" w:cs="宋体"/>
          <w:color w:val="auto"/>
          <w:spacing w:val="-24"/>
          <w:sz w:val="21"/>
          <w:szCs w:val="21"/>
          <w:highlight w:val="none"/>
        </w:rPr>
        <w:t xml:space="preserve"> </w:t>
      </w:r>
      <w:r>
        <w:rPr>
          <w:rFonts w:hint="eastAsia" w:ascii="宋体" w:hAnsi="宋体" w:eastAsia="宋体" w:cs="宋体"/>
          <w:color w:val="auto"/>
          <w:spacing w:val="7"/>
          <w:sz w:val="21"/>
          <w:szCs w:val="21"/>
          <w:highlight w:val="none"/>
        </w:rPr>
        <w:t>7：履约担保格式（独立保函、非独立保函）</w:t>
      </w:r>
    </w:p>
    <w:p w14:paraId="606F5BC0">
      <w:pPr>
        <w:pStyle w:val="2"/>
        <w:keepNext w:val="0"/>
        <w:keepLines w:val="0"/>
        <w:pageBreakBefore w:val="0"/>
        <w:widowControl/>
        <w:kinsoku w:val="0"/>
        <w:wordWrap/>
        <w:overflowPunct/>
        <w:topLinePunct w:val="0"/>
        <w:autoSpaceDE w:val="0"/>
        <w:autoSpaceDN w:val="0"/>
        <w:bidi w:val="0"/>
        <w:adjustRightInd w:val="0"/>
        <w:snapToGrid w:val="0"/>
        <w:spacing w:before="162"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附件</w:t>
      </w:r>
      <w:r>
        <w:rPr>
          <w:rFonts w:hint="eastAsia" w:ascii="宋体" w:hAnsi="宋体" w:eastAsia="宋体" w:cs="宋体"/>
          <w:color w:val="auto"/>
          <w:spacing w:val="-20"/>
          <w:sz w:val="21"/>
          <w:szCs w:val="21"/>
          <w:highlight w:val="none"/>
        </w:rPr>
        <w:t xml:space="preserve"> </w:t>
      </w:r>
      <w:r>
        <w:rPr>
          <w:rFonts w:hint="eastAsia" w:ascii="宋体" w:hAnsi="宋体" w:eastAsia="宋体" w:cs="宋体"/>
          <w:color w:val="auto"/>
          <w:spacing w:val="7"/>
          <w:sz w:val="21"/>
          <w:szCs w:val="21"/>
          <w:highlight w:val="none"/>
        </w:rPr>
        <w:t>8：预付款担保格式（独立保函、非独立保函）</w:t>
      </w:r>
    </w:p>
    <w:p w14:paraId="1CFEFBB0">
      <w:pPr>
        <w:pStyle w:val="2"/>
        <w:keepNext w:val="0"/>
        <w:keepLines w:val="0"/>
        <w:pageBreakBefore w:val="0"/>
        <w:widowControl/>
        <w:kinsoku w:val="0"/>
        <w:wordWrap/>
        <w:overflowPunct/>
        <w:topLinePunct w:val="0"/>
        <w:autoSpaceDE w:val="0"/>
        <w:autoSpaceDN w:val="0"/>
        <w:bidi w:val="0"/>
        <w:adjustRightInd w:val="0"/>
        <w:snapToGrid w:val="0"/>
        <w:spacing w:before="165"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附件</w:t>
      </w:r>
      <w:r>
        <w:rPr>
          <w:rFonts w:hint="eastAsia" w:ascii="宋体" w:hAnsi="宋体" w:eastAsia="宋体" w:cs="宋体"/>
          <w:color w:val="auto"/>
          <w:spacing w:val="-24"/>
          <w:sz w:val="21"/>
          <w:szCs w:val="21"/>
          <w:highlight w:val="none"/>
        </w:rPr>
        <w:t xml:space="preserve"> </w:t>
      </w:r>
      <w:r>
        <w:rPr>
          <w:rFonts w:hint="eastAsia" w:ascii="宋体" w:hAnsi="宋体" w:eastAsia="宋体" w:cs="宋体"/>
          <w:color w:val="auto"/>
          <w:spacing w:val="7"/>
          <w:sz w:val="21"/>
          <w:szCs w:val="21"/>
          <w:highlight w:val="none"/>
        </w:rPr>
        <w:t>9：支付担保格式（独立保函、非独立保函）</w:t>
      </w:r>
    </w:p>
    <w:p w14:paraId="5610C35D">
      <w:pPr>
        <w:pStyle w:val="2"/>
        <w:keepNext w:val="0"/>
        <w:keepLines w:val="0"/>
        <w:pageBreakBefore w:val="0"/>
        <w:widowControl/>
        <w:kinsoku w:val="0"/>
        <w:wordWrap/>
        <w:overflowPunct/>
        <w:topLinePunct w:val="0"/>
        <w:autoSpaceDE w:val="0"/>
        <w:autoSpaceDN w:val="0"/>
        <w:bidi w:val="0"/>
        <w:adjustRightInd w:val="0"/>
        <w:snapToGrid w:val="0"/>
        <w:spacing w:before="162"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附件</w:t>
      </w:r>
      <w:r>
        <w:rPr>
          <w:rFonts w:hint="eastAsia" w:ascii="宋体" w:hAnsi="宋体" w:eastAsia="宋体" w:cs="宋体"/>
          <w:color w:val="auto"/>
          <w:spacing w:val="-15"/>
          <w:sz w:val="21"/>
          <w:szCs w:val="21"/>
          <w:highlight w:val="none"/>
        </w:rPr>
        <w:t xml:space="preserve"> </w:t>
      </w:r>
      <w:r>
        <w:rPr>
          <w:rFonts w:hint="eastAsia" w:ascii="宋体" w:hAnsi="宋体" w:eastAsia="宋体" w:cs="宋体"/>
          <w:color w:val="auto"/>
          <w:spacing w:val="6"/>
          <w:sz w:val="21"/>
          <w:szCs w:val="21"/>
          <w:highlight w:val="none"/>
        </w:rPr>
        <w:t>10：预付款支付申请（核准）表</w:t>
      </w:r>
    </w:p>
    <w:p w14:paraId="0DB0CA3F">
      <w:pPr>
        <w:pStyle w:val="2"/>
        <w:keepNext w:val="0"/>
        <w:keepLines w:val="0"/>
        <w:pageBreakBefore w:val="0"/>
        <w:widowControl/>
        <w:kinsoku w:val="0"/>
        <w:wordWrap/>
        <w:overflowPunct/>
        <w:topLinePunct w:val="0"/>
        <w:autoSpaceDE w:val="0"/>
        <w:autoSpaceDN w:val="0"/>
        <w:bidi w:val="0"/>
        <w:adjustRightInd w:val="0"/>
        <w:snapToGrid w:val="0"/>
        <w:spacing w:before="162"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附件</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6"/>
          <w:sz w:val="21"/>
          <w:szCs w:val="21"/>
          <w:highlight w:val="none"/>
        </w:rPr>
        <w:t>11：进度款支付申请（核准）表</w:t>
      </w:r>
    </w:p>
    <w:p w14:paraId="45E15F20">
      <w:pPr>
        <w:pStyle w:val="2"/>
        <w:keepNext w:val="0"/>
        <w:keepLines w:val="0"/>
        <w:pageBreakBefore w:val="0"/>
        <w:widowControl/>
        <w:kinsoku w:val="0"/>
        <w:wordWrap/>
        <w:overflowPunct/>
        <w:topLinePunct w:val="0"/>
        <w:autoSpaceDE w:val="0"/>
        <w:autoSpaceDN w:val="0"/>
        <w:bidi w:val="0"/>
        <w:adjustRightInd w:val="0"/>
        <w:snapToGrid w:val="0"/>
        <w:spacing w:before="162"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附件</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6"/>
          <w:sz w:val="21"/>
          <w:szCs w:val="21"/>
          <w:highlight w:val="none"/>
        </w:rPr>
        <w:t>12：竣工结算款支付申请（核准）表</w:t>
      </w:r>
    </w:p>
    <w:p w14:paraId="23FF38A9">
      <w:pPr>
        <w:pStyle w:val="2"/>
        <w:keepNext w:val="0"/>
        <w:keepLines w:val="0"/>
        <w:pageBreakBefore w:val="0"/>
        <w:widowControl/>
        <w:kinsoku w:val="0"/>
        <w:wordWrap/>
        <w:overflowPunct/>
        <w:topLinePunct w:val="0"/>
        <w:autoSpaceDE w:val="0"/>
        <w:autoSpaceDN w:val="0"/>
        <w:bidi w:val="0"/>
        <w:adjustRightInd w:val="0"/>
        <w:snapToGrid w:val="0"/>
        <w:spacing w:before="162"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附件</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6"/>
          <w:sz w:val="21"/>
          <w:szCs w:val="21"/>
          <w:highlight w:val="none"/>
        </w:rPr>
        <w:t>13：最终结算款支付申请（核准）表</w:t>
      </w:r>
    </w:p>
    <w:p w14:paraId="25272507">
      <w:pPr>
        <w:pStyle w:val="2"/>
        <w:keepNext w:val="0"/>
        <w:keepLines w:val="0"/>
        <w:pageBreakBefore w:val="0"/>
        <w:widowControl/>
        <w:kinsoku w:val="0"/>
        <w:wordWrap/>
        <w:overflowPunct/>
        <w:topLinePunct w:val="0"/>
        <w:autoSpaceDE w:val="0"/>
        <w:autoSpaceDN w:val="0"/>
        <w:bidi w:val="0"/>
        <w:adjustRightInd w:val="0"/>
        <w:snapToGrid w:val="0"/>
        <w:spacing w:before="162"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附件</w:t>
      </w:r>
      <w:r>
        <w:rPr>
          <w:rFonts w:hint="eastAsia" w:ascii="宋体" w:hAnsi="宋体" w:eastAsia="宋体" w:cs="宋体"/>
          <w:color w:val="auto"/>
          <w:spacing w:val="-15"/>
          <w:sz w:val="21"/>
          <w:szCs w:val="21"/>
          <w:highlight w:val="none"/>
        </w:rPr>
        <w:t xml:space="preserve"> </w:t>
      </w:r>
      <w:r>
        <w:rPr>
          <w:rFonts w:hint="eastAsia" w:ascii="宋体" w:hAnsi="宋体" w:eastAsia="宋体" w:cs="宋体"/>
          <w:color w:val="auto"/>
          <w:spacing w:val="6"/>
          <w:sz w:val="21"/>
          <w:szCs w:val="21"/>
          <w:highlight w:val="none"/>
        </w:rPr>
        <w:t>14：总价合同进度款支付分解表</w:t>
      </w:r>
    </w:p>
    <w:p w14:paraId="62E71558">
      <w:pPr>
        <w:spacing w:before="337" w:line="222" w:lineRule="auto"/>
        <w:rPr>
          <w:rFonts w:hint="eastAsia" w:ascii="宋体" w:hAnsi="宋体" w:eastAsia="宋体" w:cs="宋体"/>
          <w:color w:val="auto"/>
          <w:spacing w:val="-17"/>
          <w:sz w:val="21"/>
          <w:szCs w:val="21"/>
          <w:highlight w:val="none"/>
        </w:rPr>
      </w:pPr>
    </w:p>
    <w:p w14:paraId="7094917B">
      <w:pPr>
        <w:spacing w:before="337" w:line="222" w:lineRule="auto"/>
        <w:rPr>
          <w:rFonts w:hint="eastAsia" w:ascii="宋体" w:hAnsi="宋体" w:eastAsia="宋体" w:cs="宋体"/>
          <w:color w:val="auto"/>
          <w:spacing w:val="-17"/>
          <w:sz w:val="30"/>
          <w:szCs w:val="30"/>
          <w:highlight w:val="none"/>
        </w:rPr>
        <w:sectPr>
          <w:footerReference r:id="rId6" w:type="default"/>
          <w:pgSz w:w="11905" w:h="16838"/>
          <w:pgMar w:top="1134" w:right="1134" w:bottom="1134" w:left="1134" w:header="0" w:footer="850" w:gutter="0"/>
          <w:pgNumType w:fmt="decimal"/>
          <w:cols w:space="720" w:num="1"/>
          <w:rtlGutter w:val="0"/>
          <w:docGrid w:linePitch="0" w:charSpace="0"/>
        </w:sectPr>
      </w:pPr>
    </w:p>
    <w:p w14:paraId="57F32FED">
      <w:pPr>
        <w:spacing w:before="337" w:line="222" w:lineRule="auto"/>
        <w:rPr>
          <w:rFonts w:hint="eastAsia" w:ascii="宋体" w:hAnsi="宋体" w:eastAsia="宋体" w:cs="宋体"/>
          <w:color w:val="auto"/>
          <w:sz w:val="30"/>
          <w:szCs w:val="30"/>
          <w:highlight w:val="none"/>
        </w:rPr>
      </w:pPr>
      <w:r>
        <w:rPr>
          <w:rFonts w:hint="eastAsia" w:ascii="宋体" w:hAnsi="宋体" w:eastAsia="宋体" w:cs="宋体"/>
          <w:color w:val="auto"/>
          <w:spacing w:val="-17"/>
          <w:sz w:val="30"/>
          <w:szCs w:val="30"/>
          <w:highlight w:val="none"/>
        </w:rPr>
        <w:t>附件</w:t>
      </w:r>
      <w:r>
        <w:rPr>
          <w:rFonts w:hint="eastAsia" w:ascii="宋体" w:hAnsi="宋体" w:eastAsia="宋体" w:cs="宋体"/>
          <w:color w:val="auto"/>
          <w:spacing w:val="-39"/>
          <w:sz w:val="30"/>
          <w:szCs w:val="30"/>
          <w:highlight w:val="none"/>
        </w:rPr>
        <w:t xml:space="preserve"> </w:t>
      </w:r>
      <w:r>
        <w:rPr>
          <w:rFonts w:hint="eastAsia" w:ascii="宋体" w:hAnsi="宋体" w:eastAsia="宋体" w:cs="宋体"/>
          <w:color w:val="auto"/>
          <w:spacing w:val="-17"/>
          <w:sz w:val="30"/>
          <w:szCs w:val="30"/>
          <w:highlight w:val="none"/>
        </w:rPr>
        <w:t>1：</w:t>
      </w:r>
    </w:p>
    <w:p w14:paraId="740CDF25">
      <w:pPr>
        <w:spacing w:before="197" w:line="222" w:lineRule="auto"/>
        <w:ind w:left="5464"/>
        <w:rPr>
          <w:rFonts w:hint="eastAsia" w:ascii="宋体" w:hAnsi="宋体" w:eastAsia="宋体" w:cs="宋体"/>
          <w:color w:val="auto"/>
          <w:sz w:val="30"/>
          <w:szCs w:val="30"/>
          <w:highlight w:val="none"/>
        </w:rPr>
      </w:pPr>
      <w:r>
        <w:rPr>
          <w:rFonts w:hint="eastAsia" w:ascii="宋体" w:hAnsi="宋体" w:eastAsia="宋体" w:cs="宋体"/>
          <w:color w:val="auto"/>
          <w:spacing w:val="-1"/>
          <w:sz w:val="30"/>
          <w:szCs w:val="30"/>
          <w:highlight w:val="none"/>
        </w:rPr>
        <w:t>承包人承揽工程项目一览表</w:t>
      </w:r>
    </w:p>
    <w:p w14:paraId="17CBF3AC">
      <w:pPr>
        <w:spacing w:line="105" w:lineRule="exact"/>
        <w:rPr>
          <w:rFonts w:hint="eastAsia" w:ascii="宋体" w:hAnsi="宋体" w:eastAsia="宋体" w:cs="宋体"/>
          <w:color w:val="auto"/>
          <w:highlight w:val="none"/>
        </w:rPr>
      </w:pPr>
    </w:p>
    <w:tbl>
      <w:tblPr>
        <w:tblStyle w:val="265"/>
        <w:tblW w:w="13819" w:type="dxa"/>
        <w:tblInd w:w="3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4"/>
        <w:gridCol w:w="1439"/>
        <w:gridCol w:w="1619"/>
        <w:gridCol w:w="1660"/>
        <w:gridCol w:w="850"/>
        <w:gridCol w:w="1559"/>
        <w:gridCol w:w="2125"/>
        <w:gridCol w:w="1417"/>
        <w:gridCol w:w="851"/>
        <w:gridCol w:w="855"/>
      </w:tblGrid>
      <w:tr w14:paraId="075EA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444" w:type="dxa"/>
            <w:noWrap w:val="0"/>
            <w:vAlign w:val="top"/>
          </w:tcPr>
          <w:p w14:paraId="730DC94C">
            <w:pPr>
              <w:autoSpaceDE w:val="0"/>
              <w:autoSpaceDN w:val="0"/>
              <w:spacing w:before="117" w:line="251" w:lineRule="auto"/>
              <w:ind w:left="110" w:right="90" w:firstLine="4"/>
              <w:rPr>
                <w:rFonts w:hint="eastAsia" w:ascii="宋体" w:hAnsi="宋体" w:eastAsia="宋体" w:cs="宋体"/>
                <w:color w:val="auto"/>
                <w:sz w:val="28"/>
                <w:szCs w:val="28"/>
                <w:highlight w:val="none"/>
              </w:rPr>
            </w:pPr>
            <w:r>
              <w:rPr>
                <w:rFonts w:hint="eastAsia" w:ascii="宋体" w:hAnsi="宋体" w:eastAsia="宋体" w:cs="宋体"/>
                <w:color w:val="auto"/>
                <w:spacing w:val="28"/>
                <w:sz w:val="28"/>
                <w:szCs w:val="28"/>
                <w:highlight w:val="none"/>
              </w:rPr>
              <w:t>单位工程</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9"/>
                <w:sz w:val="28"/>
                <w:szCs w:val="28"/>
                <w:highlight w:val="none"/>
              </w:rPr>
              <w:t>名称</w:t>
            </w:r>
          </w:p>
        </w:tc>
        <w:tc>
          <w:tcPr>
            <w:tcW w:w="1439" w:type="dxa"/>
            <w:noWrap w:val="0"/>
            <w:vAlign w:val="top"/>
          </w:tcPr>
          <w:p w14:paraId="60FA6CBE">
            <w:pPr>
              <w:autoSpaceDE w:val="0"/>
              <w:autoSpaceDN w:val="0"/>
              <w:spacing w:line="244" w:lineRule="auto"/>
              <w:rPr>
                <w:rFonts w:hint="eastAsia" w:ascii="宋体" w:hAnsi="宋体" w:eastAsia="宋体" w:cs="宋体"/>
                <w:color w:val="auto"/>
                <w:sz w:val="21"/>
                <w:highlight w:val="none"/>
              </w:rPr>
            </w:pPr>
          </w:p>
          <w:p w14:paraId="16E61926">
            <w:pPr>
              <w:autoSpaceDE w:val="0"/>
              <w:autoSpaceDN w:val="0"/>
              <w:spacing w:before="91" w:line="224" w:lineRule="auto"/>
              <w:ind w:left="105"/>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建设规模</w:t>
            </w:r>
          </w:p>
        </w:tc>
        <w:tc>
          <w:tcPr>
            <w:tcW w:w="1619" w:type="dxa"/>
            <w:noWrap w:val="0"/>
            <w:vAlign w:val="top"/>
          </w:tcPr>
          <w:p w14:paraId="5B9A67C7">
            <w:pPr>
              <w:autoSpaceDE w:val="0"/>
              <w:autoSpaceDN w:val="0"/>
              <w:spacing w:before="117" w:line="251" w:lineRule="auto"/>
              <w:ind w:left="99" w:right="88" w:firstLine="7"/>
              <w:rPr>
                <w:rFonts w:hint="eastAsia" w:ascii="宋体" w:hAnsi="宋体" w:eastAsia="宋体" w:cs="宋体"/>
                <w:color w:val="auto"/>
                <w:sz w:val="28"/>
                <w:szCs w:val="28"/>
                <w:highlight w:val="none"/>
              </w:rPr>
            </w:pPr>
            <w:r>
              <w:rPr>
                <w:rFonts w:hint="eastAsia" w:ascii="宋体" w:hAnsi="宋体" w:eastAsia="宋体" w:cs="宋体"/>
                <w:color w:val="auto"/>
                <w:spacing w:val="-18"/>
                <w:sz w:val="28"/>
                <w:szCs w:val="28"/>
                <w:highlight w:val="none"/>
              </w:rPr>
              <w:t>建 筑 面</w:t>
            </w:r>
            <w:r>
              <w:rPr>
                <w:rFonts w:hint="eastAsia" w:ascii="宋体" w:hAnsi="宋体" w:eastAsia="宋体" w:cs="宋体"/>
                <w:color w:val="auto"/>
                <w:spacing w:val="-14"/>
                <w:sz w:val="28"/>
                <w:szCs w:val="28"/>
                <w:highlight w:val="none"/>
              </w:rPr>
              <w:t xml:space="preserve"> </w:t>
            </w:r>
            <w:r>
              <w:rPr>
                <w:rFonts w:hint="eastAsia" w:ascii="宋体" w:hAnsi="宋体" w:eastAsia="宋体" w:cs="宋体"/>
                <w:color w:val="auto"/>
                <w:spacing w:val="-18"/>
                <w:sz w:val="28"/>
                <w:szCs w:val="28"/>
                <w:highlight w:val="none"/>
              </w:rPr>
              <w:t>积</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3"/>
                <w:sz w:val="28"/>
                <w:szCs w:val="28"/>
                <w:highlight w:val="none"/>
              </w:rPr>
              <w:t>(平方米)</w:t>
            </w:r>
          </w:p>
        </w:tc>
        <w:tc>
          <w:tcPr>
            <w:tcW w:w="1660" w:type="dxa"/>
            <w:noWrap w:val="0"/>
            <w:vAlign w:val="top"/>
          </w:tcPr>
          <w:p w14:paraId="21B9790C">
            <w:pPr>
              <w:autoSpaceDE w:val="0"/>
              <w:autoSpaceDN w:val="0"/>
              <w:spacing w:line="244" w:lineRule="auto"/>
              <w:rPr>
                <w:rFonts w:hint="eastAsia" w:ascii="宋体" w:hAnsi="宋体" w:eastAsia="宋体" w:cs="宋体"/>
                <w:color w:val="auto"/>
                <w:sz w:val="21"/>
                <w:highlight w:val="none"/>
              </w:rPr>
            </w:pPr>
          </w:p>
          <w:p w14:paraId="110F85F7">
            <w:pPr>
              <w:autoSpaceDE w:val="0"/>
              <w:autoSpaceDN w:val="0"/>
              <w:spacing w:before="91" w:line="224" w:lineRule="auto"/>
              <w:ind w:left="113"/>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结构形式</w:t>
            </w:r>
          </w:p>
        </w:tc>
        <w:tc>
          <w:tcPr>
            <w:tcW w:w="850" w:type="dxa"/>
            <w:noWrap w:val="0"/>
            <w:vAlign w:val="top"/>
          </w:tcPr>
          <w:p w14:paraId="5A580A5F">
            <w:pPr>
              <w:autoSpaceDE w:val="0"/>
              <w:autoSpaceDN w:val="0"/>
              <w:spacing w:line="244" w:lineRule="auto"/>
              <w:rPr>
                <w:rFonts w:hint="eastAsia" w:ascii="宋体" w:hAnsi="宋体" w:eastAsia="宋体" w:cs="宋体"/>
                <w:color w:val="auto"/>
                <w:sz w:val="21"/>
                <w:highlight w:val="none"/>
              </w:rPr>
            </w:pPr>
          </w:p>
          <w:p w14:paraId="0E3FDA4F">
            <w:pPr>
              <w:autoSpaceDE w:val="0"/>
              <w:autoSpaceDN w:val="0"/>
              <w:spacing w:before="91" w:line="224" w:lineRule="auto"/>
              <w:ind w:left="110"/>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层数</w:t>
            </w:r>
          </w:p>
        </w:tc>
        <w:tc>
          <w:tcPr>
            <w:tcW w:w="1559" w:type="dxa"/>
            <w:noWrap w:val="0"/>
            <w:vAlign w:val="top"/>
          </w:tcPr>
          <w:p w14:paraId="4CED5DA7">
            <w:pPr>
              <w:autoSpaceDE w:val="0"/>
              <w:autoSpaceDN w:val="0"/>
              <w:spacing w:line="245" w:lineRule="auto"/>
              <w:rPr>
                <w:rFonts w:hint="eastAsia" w:ascii="宋体" w:hAnsi="宋体" w:eastAsia="宋体" w:cs="宋体"/>
                <w:color w:val="auto"/>
                <w:sz w:val="21"/>
                <w:highlight w:val="none"/>
              </w:rPr>
            </w:pPr>
          </w:p>
          <w:p w14:paraId="15743627">
            <w:pPr>
              <w:autoSpaceDE w:val="0"/>
              <w:autoSpaceDN w:val="0"/>
              <w:spacing w:before="91" w:line="222" w:lineRule="auto"/>
              <w:ind w:left="124"/>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生产能力</w:t>
            </w:r>
          </w:p>
        </w:tc>
        <w:tc>
          <w:tcPr>
            <w:tcW w:w="2125" w:type="dxa"/>
            <w:noWrap w:val="0"/>
            <w:vAlign w:val="top"/>
          </w:tcPr>
          <w:p w14:paraId="2451DE2E">
            <w:pPr>
              <w:autoSpaceDE w:val="0"/>
              <w:autoSpaceDN w:val="0"/>
              <w:spacing w:line="244" w:lineRule="auto"/>
              <w:rPr>
                <w:rFonts w:hint="eastAsia" w:ascii="宋体" w:hAnsi="宋体" w:eastAsia="宋体" w:cs="宋体"/>
                <w:color w:val="auto"/>
                <w:sz w:val="21"/>
                <w:highlight w:val="none"/>
              </w:rPr>
            </w:pPr>
          </w:p>
          <w:p w14:paraId="1483FF1F">
            <w:pPr>
              <w:autoSpaceDE w:val="0"/>
              <w:autoSpaceDN w:val="0"/>
              <w:spacing w:before="91" w:line="223" w:lineRule="auto"/>
              <w:ind w:left="108"/>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设备安装内容</w:t>
            </w:r>
          </w:p>
        </w:tc>
        <w:tc>
          <w:tcPr>
            <w:tcW w:w="1417" w:type="dxa"/>
            <w:noWrap w:val="0"/>
            <w:vAlign w:val="top"/>
          </w:tcPr>
          <w:p w14:paraId="323E34E1">
            <w:pPr>
              <w:autoSpaceDE w:val="0"/>
              <w:autoSpaceDN w:val="0"/>
              <w:spacing w:before="117" w:line="251" w:lineRule="auto"/>
              <w:ind w:left="110" w:right="84" w:firstLine="7"/>
              <w:rPr>
                <w:rFonts w:hint="eastAsia" w:ascii="宋体" w:hAnsi="宋体" w:eastAsia="宋体" w:cs="宋体"/>
                <w:color w:val="auto"/>
                <w:sz w:val="28"/>
                <w:szCs w:val="28"/>
                <w:highlight w:val="none"/>
              </w:rPr>
            </w:pPr>
            <w:r>
              <w:rPr>
                <w:rFonts w:hint="eastAsia" w:ascii="宋体" w:hAnsi="宋体" w:eastAsia="宋体" w:cs="宋体"/>
                <w:color w:val="auto"/>
                <w:spacing w:val="22"/>
                <w:sz w:val="28"/>
                <w:szCs w:val="28"/>
                <w:highlight w:val="none"/>
              </w:rPr>
              <w:t>合同价格</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6"/>
                <w:sz w:val="28"/>
                <w:szCs w:val="28"/>
                <w:highlight w:val="none"/>
              </w:rPr>
              <w:t>（元）</w:t>
            </w:r>
          </w:p>
        </w:tc>
        <w:tc>
          <w:tcPr>
            <w:tcW w:w="851" w:type="dxa"/>
            <w:noWrap w:val="0"/>
            <w:vAlign w:val="top"/>
          </w:tcPr>
          <w:p w14:paraId="182862CB">
            <w:pPr>
              <w:autoSpaceDE w:val="0"/>
              <w:autoSpaceDN w:val="0"/>
              <w:spacing w:before="117" w:line="251" w:lineRule="auto"/>
              <w:ind w:left="168" w:right="85" w:hanging="59"/>
              <w:rPr>
                <w:rFonts w:hint="eastAsia" w:ascii="宋体" w:hAnsi="宋体" w:eastAsia="宋体" w:cs="宋体"/>
                <w:color w:val="auto"/>
                <w:sz w:val="28"/>
                <w:szCs w:val="28"/>
                <w:highlight w:val="none"/>
              </w:rPr>
            </w:pPr>
            <w:r>
              <w:rPr>
                <w:rFonts w:hint="eastAsia" w:ascii="宋体" w:hAnsi="宋体" w:eastAsia="宋体" w:cs="宋体"/>
                <w:color w:val="auto"/>
                <w:spacing w:val="-17"/>
                <w:sz w:val="28"/>
                <w:szCs w:val="28"/>
                <w:highlight w:val="none"/>
              </w:rPr>
              <w:t>开 工</w:t>
            </w:r>
            <w:r>
              <w:rPr>
                <w:rFonts w:hint="eastAsia" w:ascii="宋体" w:hAnsi="宋体" w:eastAsia="宋体" w:cs="宋体"/>
                <w:color w:val="auto"/>
                <w:spacing w:val="1"/>
                <w:sz w:val="28"/>
                <w:szCs w:val="28"/>
                <w:highlight w:val="none"/>
              </w:rPr>
              <w:t xml:space="preserve"> </w:t>
            </w:r>
            <w:r>
              <w:rPr>
                <w:rFonts w:hint="eastAsia" w:ascii="宋体" w:hAnsi="宋体" w:eastAsia="宋体" w:cs="宋体"/>
                <w:color w:val="auto"/>
                <w:spacing w:val="-39"/>
                <w:sz w:val="28"/>
                <w:szCs w:val="28"/>
                <w:highlight w:val="none"/>
              </w:rPr>
              <w:t>日期</w:t>
            </w:r>
          </w:p>
        </w:tc>
        <w:tc>
          <w:tcPr>
            <w:tcW w:w="855" w:type="dxa"/>
            <w:noWrap w:val="0"/>
            <w:vAlign w:val="top"/>
          </w:tcPr>
          <w:p w14:paraId="34003BB2">
            <w:pPr>
              <w:autoSpaceDE w:val="0"/>
              <w:autoSpaceDN w:val="0"/>
              <w:spacing w:before="117" w:line="251" w:lineRule="auto"/>
              <w:ind w:left="169" w:right="88" w:hanging="57"/>
              <w:rPr>
                <w:rFonts w:hint="eastAsia" w:ascii="宋体" w:hAnsi="宋体" w:eastAsia="宋体" w:cs="宋体"/>
                <w:color w:val="auto"/>
                <w:sz w:val="28"/>
                <w:szCs w:val="28"/>
                <w:highlight w:val="none"/>
              </w:rPr>
            </w:pPr>
            <w:r>
              <w:rPr>
                <w:rFonts w:hint="eastAsia" w:ascii="宋体" w:hAnsi="宋体" w:eastAsia="宋体" w:cs="宋体"/>
                <w:color w:val="auto"/>
                <w:spacing w:val="-17"/>
                <w:sz w:val="28"/>
                <w:szCs w:val="28"/>
                <w:highlight w:val="none"/>
              </w:rPr>
              <w:t>竣 工</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39"/>
                <w:sz w:val="28"/>
                <w:szCs w:val="28"/>
                <w:highlight w:val="none"/>
              </w:rPr>
              <w:t>日期</w:t>
            </w:r>
          </w:p>
        </w:tc>
      </w:tr>
      <w:tr w14:paraId="3F542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44" w:type="dxa"/>
            <w:noWrap w:val="0"/>
            <w:vAlign w:val="top"/>
          </w:tcPr>
          <w:p w14:paraId="34308A65">
            <w:pPr>
              <w:autoSpaceDE w:val="0"/>
              <w:autoSpaceDN w:val="0"/>
              <w:rPr>
                <w:rFonts w:hint="eastAsia" w:ascii="宋体" w:hAnsi="宋体" w:eastAsia="宋体" w:cs="宋体"/>
                <w:color w:val="auto"/>
                <w:sz w:val="21"/>
                <w:highlight w:val="none"/>
              </w:rPr>
            </w:pPr>
          </w:p>
        </w:tc>
        <w:tc>
          <w:tcPr>
            <w:tcW w:w="1439" w:type="dxa"/>
            <w:noWrap w:val="0"/>
            <w:vAlign w:val="top"/>
          </w:tcPr>
          <w:p w14:paraId="481B86F1">
            <w:pPr>
              <w:autoSpaceDE w:val="0"/>
              <w:autoSpaceDN w:val="0"/>
              <w:rPr>
                <w:rFonts w:hint="eastAsia" w:ascii="宋体" w:hAnsi="宋体" w:eastAsia="宋体" w:cs="宋体"/>
                <w:color w:val="auto"/>
                <w:sz w:val="21"/>
                <w:highlight w:val="none"/>
              </w:rPr>
            </w:pPr>
          </w:p>
        </w:tc>
        <w:tc>
          <w:tcPr>
            <w:tcW w:w="1619" w:type="dxa"/>
            <w:noWrap w:val="0"/>
            <w:vAlign w:val="top"/>
          </w:tcPr>
          <w:p w14:paraId="3E2EED8D">
            <w:pPr>
              <w:autoSpaceDE w:val="0"/>
              <w:autoSpaceDN w:val="0"/>
              <w:rPr>
                <w:rFonts w:hint="eastAsia" w:ascii="宋体" w:hAnsi="宋体" w:eastAsia="宋体" w:cs="宋体"/>
                <w:color w:val="auto"/>
                <w:sz w:val="21"/>
                <w:highlight w:val="none"/>
              </w:rPr>
            </w:pPr>
          </w:p>
        </w:tc>
        <w:tc>
          <w:tcPr>
            <w:tcW w:w="1660" w:type="dxa"/>
            <w:noWrap w:val="0"/>
            <w:vAlign w:val="top"/>
          </w:tcPr>
          <w:p w14:paraId="2E8FB396">
            <w:pPr>
              <w:autoSpaceDE w:val="0"/>
              <w:autoSpaceDN w:val="0"/>
              <w:rPr>
                <w:rFonts w:hint="eastAsia" w:ascii="宋体" w:hAnsi="宋体" w:eastAsia="宋体" w:cs="宋体"/>
                <w:color w:val="auto"/>
                <w:sz w:val="21"/>
                <w:highlight w:val="none"/>
              </w:rPr>
            </w:pPr>
          </w:p>
        </w:tc>
        <w:tc>
          <w:tcPr>
            <w:tcW w:w="850" w:type="dxa"/>
            <w:noWrap w:val="0"/>
            <w:vAlign w:val="top"/>
          </w:tcPr>
          <w:p w14:paraId="0330EE03">
            <w:pPr>
              <w:autoSpaceDE w:val="0"/>
              <w:autoSpaceDN w:val="0"/>
              <w:rPr>
                <w:rFonts w:hint="eastAsia" w:ascii="宋体" w:hAnsi="宋体" w:eastAsia="宋体" w:cs="宋体"/>
                <w:color w:val="auto"/>
                <w:sz w:val="21"/>
                <w:highlight w:val="none"/>
              </w:rPr>
            </w:pPr>
          </w:p>
        </w:tc>
        <w:tc>
          <w:tcPr>
            <w:tcW w:w="1559" w:type="dxa"/>
            <w:noWrap w:val="0"/>
            <w:vAlign w:val="top"/>
          </w:tcPr>
          <w:p w14:paraId="064902DC">
            <w:pPr>
              <w:autoSpaceDE w:val="0"/>
              <w:autoSpaceDN w:val="0"/>
              <w:rPr>
                <w:rFonts w:hint="eastAsia" w:ascii="宋体" w:hAnsi="宋体" w:eastAsia="宋体" w:cs="宋体"/>
                <w:color w:val="auto"/>
                <w:sz w:val="21"/>
                <w:highlight w:val="none"/>
              </w:rPr>
            </w:pPr>
          </w:p>
        </w:tc>
        <w:tc>
          <w:tcPr>
            <w:tcW w:w="2125" w:type="dxa"/>
            <w:noWrap w:val="0"/>
            <w:vAlign w:val="top"/>
          </w:tcPr>
          <w:p w14:paraId="1ABAB485">
            <w:pPr>
              <w:autoSpaceDE w:val="0"/>
              <w:autoSpaceDN w:val="0"/>
              <w:rPr>
                <w:rFonts w:hint="eastAsia" w:ascii="宋体" w:hAnsi="宋体" w:eastAsia="宋体" w:cs="宋体"/>
                <w:color w:val="auto"/>
                <w:sz w:val="21"/>
                <w:highlight w:val="none"/>
              </w:rPr>
            </w:pPr>
          </w:p>
        </w:tc>
        <w:tc>
          <w:tcPr>
            <w:tcW w:w="1417" w:type="dxa"/>
            <w:noWrap w:val="0"/>
            <w:vAlign w:val="top"/>
          </w:tcPr>
          <w:p w14:paraId="42BD426A">
            <w:pPr>
              <w:autoSpaceDE w:val="0"/>
              <w:autoSpaceDN w:val="0"/>
              <w:rPr>
                <w:rFonts w:hint="eastAsia" w:ascii="宋体" w:hAnsi="宋体" w:eastAsia="宋体" w:cs="宋体"/>
                <w:color w:val="auto"/>
                <w:sz w:val="21"/>
                <w:highlight w:val="none"/>
              </w:rPr>
            </w:pPr>
          </w:p>
        </w:tc>
        <w:tc>
          <w:tcPr>
            <w:tcW w:w="851" w:type="dxa"/>
            <w:noWrap w:val="0"/>
            <w:vAlign w:val="top"/>
          </w:tcPr>
          <w:p w14:paraId="142E276B">
            <w:pPr>
              <w:autoSpaceDE w:val="0"/>
              <w:autoSpaceDN w:val="0"/>
              <w:rPr>
                <w:rFonts w:hint="eastAsia" w:ascii="宋体" w:hAnsi="宋体" w:eastAsia="宋体" w:cs="宋体"/>
                <w:color w:val="auto"/>
                <w:sz w:val="21"/>
                <w:highlight w:val="none"/>
              </w:rPr>
            </w:pPr>
          </w:p>
        </w:tc>
        <w:tc>
          <w:tcPr>
            <w:tcW w:w="855" w:type="dxa"/>
            <w:noWrap w:val="0"/>
            <w:vAlign w:val="top"/>
          </w:tcPr>
          <w:p w14:paraId="63068B22">
            <w:pPr>
              <w:autoSpaceDE w:val="0"/>
              <w:autoSpaceDN w:val="0"/>
              <w:rPr>
                <w:rFonts w:hint="eastAsia" w:ascii="宋体" w:hAnsi="宋体" w:eastAsia="宋体" w:cs="宋体"/>
                <w:color w:val="auto"/>
                <w:sz w:val="21"/>
                <w:highlight w:val="none"/>
              </w:rPr>
            </w:pPr>
          </w:p>
        </w:tc>
      </w:tr>
      <w:tr w14:paraId="212CF3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44" w:type="dxa"/>
            <w:noWrap w:val="0"/>
            <w:vAlign w:val="top"/>
          </w:tcPr>
          <w:p w14:paraId="401F0963">
            <w:pPr>
              <w:autoSpaceDE w:val="0"/>
              <w:autoSpaceDN w:val="0"/>
              <w:rPr>
                <w:rFonts w:hint="eastAsia" w:ascii="宋体" w:hAnsi="宋体" w:eastAsia="宋体" w:cs="宋体"/>
                <w:color w:val="auto"/>
                <w:sz w:val="21"/>
                <w:highlight w:val="none"/>
              </w:rPr>
            </w:pPr>
          </w:p>
        </w:tc>
        <w:tc>
          <w:tcPr>
            <w:tcW w:w="1439" w:type="dxa"/>
            <w:noWrap w:val="0"/>
            <w:vAlign w:val="top"/>
          </w:tcPr>
          <w:p w14:paraId="34850D8E">
            <w:pPr>
              <w:autoSpaceDE w:val="0"/>
              <w:autoSpaceDN w:val="0"/>
              <w:rPr>
                <w:rFonts w:hint="eastAsia" w:ascii="宋体" w:hAnsi="宋体" w:eastAsia="宋体" w:cs="宋体"/>
                <w:color w:val="auto"/>
                <w:sz w:val="21"/>
                <w:highlight w:val="none"/>
              </w:rPr>
            </w:pPr>
          </w:p>
        </w:tc>
        <w:tc>
          <w:tcPr>
            <w:tcW w:w="1619" w:type="dxa"/>
            <w:noWrap w:val="0"/>
            <w:vAlign w:val="top"/>
          </w:tcPr>
          <w:p w14:paraId="128C14CB">
            <w:pPr>
              <w:autoSpaceDE w:val="0"/>
              <w:autoSpaceDN w:val="0"/>
              <w:rPr>
                <w:rFonts w:hint="eastAsia" w:ascii="宋体" w:hAnsi="宋体" w:eastAsia="宋体" w:cs="宋体"/>
                <w:color w:val="auto"/>
                <w:sz w:val="21"/>
                <w:highlight w:val="none"/>
              </w:rPr>
            </w:pPr>
          </w:p>
        </w:tc>
        <w:tc>
          <w:tcPr>
            <w:tcW w:w="1660" w:type="dxa"/>
            <w:noWrap w:val="0"/>
            <w:vAlign w:val="top"/>
          </w:tcPr>
          <w:p w14:paraId="06AE5146">
            <w:pPr>
              <w:autoSpaceDE w:val="0"/>
              <w:autoSpaceDN w:val="0"/>
              <w:rPr>
                <w:rFonts w:hint="eastAsia" w:ascii="宋体" w:hAnsi="宋体" w:eastAsia="宋体" w:cs="宋体"/>
                <w:color w:val="auto"/>
                <w:sz w:val="21"/>
                <w:highlight w:val="none"/>
              </w:rPr>
            </w:pPr>
          </w:p>
        </w:tc>
        <w:tc>
          <w:tcPr>
            <w:tcW w:w="850" w:type="dxa"/>
            <w:noWrap w:val="0"/>
            <w:vAlign w:val="top"/>
          </w:tcPr>
          <w:p w14:paraId="15B69E80">
            <w:pPr>
              <w:autoSpaceDE w:val="0"/>
              <w:autoSpaceDN w:val="0"/>
              <w:rPr>
                <w:rFonts w:hint="eastAsia" w:ascii="宋体" w:hAnsi="宋体" w:eastAsia="宋体" w:cs="宋体"/>
                <w:color w:val="auto"/>
                <w:sz w:val="21"/>
                <w:highlight w:val="none"/>
              </w:rPr>
            </w:pPr>
          </w:p>
        </w:tc>
        <w:tc>
          <w:tcPr>
            <w:tcW w:w="1559" w:type="dxa"/>
            <w:noWrap w:val="0"/>
            <w:vAlign w:val="top"/>
          </w:tcPr>
          <w:p w14:paraId="1F149547">
            <w:pPr>
              <w:autoSpaceDE w:val="0"/>
              <w:autoSpaceDN w:val="0"/>
              <w:rPr>
                <w:rFonts w:hint="eastAsia" w:ascii="宋体" w:hAnsi="宋体" w:eastAsia="宋体" w:cs="宋体"/>
                <w:color w:val="auto"/>
                <w:sz w:val="21"/>
                <w:highlight w:val="none"/>
              </w:rPr>
            </w:pPr>
          </w:p>
        </w:tc>
        <w:tc>
          <w:tcPr>
            <w:tcW w:w="2125" w:type="dxa"/>
            <w:noWrap w:val="0"/>
            <w:vAlign w:val="top"/>
          </w:tcPr>
          <w:p w14:paraId="452DA489">
            <w:pPr>
              <w:autoSpaceDE w:val="0"/>
              <w:autoSpaceDN w:val="0"/>
              <w:rPr>
                <w:rFonts w:hint="eastAsia" w:ascii="宋体" w:hAnsi="宋体" w:eastAsia="宋体" w:cs="宋体"/>
                <w:color w:val="auto"/>
                <w:sz w:val="21"/>
                <w:highlight w:val="none"/>
              </w:rPr>
            </w:pPr>
          </w:p>
        </w:tc>
        <w:tc>
          <w:tcPr>
            <w:tcW w:w="1417" w:type="dxa"/>
            <w:noWrap w:val="0"/>
            <w:vAlign w:val="top"/>
          </w:tcPr>
          <w:p w14:paraId="00FB7C93">
            <w:pPr>
              <w:autoSpaceDE w:val="0"/>
              <w:autoSpaceDN w:val="0"/>
              <w:rPr>
                <w:rFonts w:hint="eastAsia" w:ascii="宋体" w:hAnsi="宋体" w:eastAsia="宋体" w:cs="宋体"/>
                <w:color w:val="auto"/>
                <w:sz w:val="21"/>
                <w:highlight w:val="none"/>
              </w:rPr>
            </w:pPr>
          </w:p>
        </w:tc>
        <w:tc>
          <w:tcPr>
            <w:tcW w:w="851" w:type="dxa"/>
            <w:noWrap w:val="0"/>
            <w:vAlign w:val="top"/>
          </w:tcPr>
          <w:p w14:paraId="1676913A">
            <w:pPr>
              <w:autoSpaceDE w:val="0"/>
              <w:autoSpaceDN w:val="0"/>
              <w:rPr>
                <w:rFonts w:hint="eastAsia" w:ascii="宋体" w:hAnsi="宋体" w:eastAsia="宋体" w:cs="宋体"/>
                <w:color w:val="auto"/>
                <w:sz w:val="21"/>
                <w:highlight w:val="none"/>
              </w:rPr>
            </w:pPr>
          </w:p>
        </w:tc>
        <w:tc>
          <w:tcPr>
            <w:tcW w:w="855" w:type="dxa"/>
            <w:noWrap w:val="0"/>
            <w:vAlign w:val="top"/>
          </w:tcPr>
          <w:p w14:paraId="18FF371E">
            <w:pPr>
              <w:autoSpaceDE w:val="0"/>
              <w:autoSpaceDN w:val="0"/>
              <w:rPr>
                <w:rFonts w:hint="eastAsia" w:ascii="宋体" w:hAnsi="宋体" w:eastAsia="宋体" w:cs="宋体"/>
                <w:color w:val="auto"/>
                <w:sz w:val="21"/>
                <w:highlight w:val="none"/>
              </w:rPr>
            </w:pPr>
          </w:p>
        </w:tc>
      </w:tr>
      <w:tr w14:paraId="58431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44" w:type="dxa"/>
            <w:noWrap w:val="0"/>
            <w:vAlign w:val="top"/>
          </w:tcPr>
          <w:p w14:paraId="5720959E">
            <w:pPr>
              <w:autoSpaceDE w:val="0"/>
              <w:autoSpaceDN w:val="0"/>
              <w:rPr>
                <w:rFonts w:hint="eastAsia" w:ascii="宋体" w:hAnsi="宋体" w:eastAsia="宋体" w:cs="宋体"/>
                <w:color w:val="auto"/>
                <w:sz w:val="21"/>
                <w:highlight w:val="none"/>
              </w:rPr>
            </w:pPr>
          </w:p>
        </w:tc>
        <w:tc>
          <w:tcPr>
            <w:tcW w:w="1439" w:type="dxa"/>
            <w:noWrap w:val="0"/>
            <w:vAlign w:val="top"/>
          </w:tcPr>
          <w:p w14:paraId="4DF1B63E">
            <w:pPr>
              <w:autoSpaceDE w:val="0"/>
              <w:autoSpaceDN w:val="0"/>
              <w:rPr>
                <w:rFonts w:hint="eastAsia" w:ascii="宋体" w:hAnsi="宋体" w:eastAsia="宋体" w:cs="宋体"/>
                <w:color w:val="auto"/>
                <w:sz w:val="21"/>
                <w:highlight w:val="none"/>
              </w:rPr>
            </w:pPr>
          </w:p>
        </w:tc>
        <w:tc>
          <w:tcPr>
            <w:tcW w:w="1619" w:type="dxa"/>
            <w:noWrap w:val="0"/>
            <w:vAlign w:val="top"/>
          </w:tcPr>
          <w:p w14:paraId="387D9846">
            <w:pPr>
              <w:autoSpaceDE w:val="0"/>
              <w:autoSpaceDN w:val="0"/>
              <w:rPr>
                <w:rFonts w:hint="eastAsia" w:ascii="宋体" w:hAnsi="宋体" w:eastAsia="宋体" w:cs="宋体"/>
                <w:color w:val="auto"/>
                <w:sz w:val="21"/>
                <w:highlight w:val="none"/>
              </w:rPr>
            </w:pPr>
          </w:p>
        </w:tc>
        <w:tc>
          <w:tcPr>
            <w:tcW w:w="1660" w:type="dxa"/>
            <w:noWrap w:val="0"/>
            <w:vAlign w:val="top"/>
          </w:tcPr>
          <w:p w14:paraId="3F19CF06">
            <w:pPr>
              <w:autoSpaceDE w:val="0"/>
              <w:autoSpaceDN w:val="0"/>
              <w:rPr>
                <w:rFonts w:hint="eastAsia" w:ascii="宋体" w:hAnsi="宋体" w:eastAsia="宋体" w:cs="宋体"/>
                <w:color w:val="auto"/>
                <w:sz w:val="21"/>
                <w:highlight w:val="none"/>
              </w:rPr>
            </w:pPr>
          </w:p>
        </w:tc>
        <w:tc>
          <w:tcPr>
            <w:tcW w:w="850" w:type="dxa"/>
            <w:noWrap w:val="0"/>
            <w:vAlign w:val="top"/>
          </w:tcPr>
          <w:p w14:paraId="374BE07C">
            <w:pPr>
              <w:autoSpaceDE w:val="0"/>
              <w:autoSpaceDN w:val="0"/>
              <w:rPr>
                <w:rFonts w:hint="eastAsia" w:ascii="宋体" w:hAnsi="宋体" w:eastAsia="宋体" w:cs="宋体"/>
                <w:color w:val="auto"/>
                <w:sz w:val="21"/>
                <w:highlight w:val="none"/>
              </w:rPr>
            </w:pPr>
          </w:p>
        </w:tc>
        <w:tc>
          <w:tcPr>
            <w:tcW w:w="1559" w:type="dxa"/>
            <w:noWrap w:val="0"/>
            <w:vAlign w:val="top"/>
          </w:tcPr>
          <w:p w14:paraId="2C72BECC">
            <w:pPr>
              <w:autoSpaceDE w:val="0"/>
              <w:autoSpaceDN w:val="0"/>
              <w:rPr>
                <w:rFonts w:hint="eastAsia" w:ascii="宋体" w:hAnsi="宋体" w:eastAsia="宋体" w:cs="宋体"/>
                <w:color w:val="auto"/>
                <w:sz w:val="21"/>
                <w:highlight w:val="none"/>
              </w:rPr>
            </w:pPr>
          </w:p>
        </w:tc>
        <w:tc>
          <w:tcPr>
            <w:tcW w:w="2125" w:type="dxa"/>
            <w:noWrap w:val="0"/>
            <w:vAlign w:val="top"/>
          </w:tcPr>
          <w:p w14:paraId="384A5DE7">
            <w:pPr>
              <w:autoSpaceDE w:val="0"/>
              <w:autoSpaceDN w:val="0"/>
              <w:rPr>
                <w:rFonts w:hint="eastAsia" w:ascii="宋体" w:hAnsi="宋体" w:eastAsia="宋体" w:cs="宋体"/>
                <w:color w:val="auto"/>
                <w:sz w:val="21"/>
                <w:highlight w:val="none"/>
              </w:rPr>
            </w:pPr>
          </w:p>
        </w:tc>
        <w:tc>
          <w:tcPr>
            <w:tcW w:w="1417" w:type="dxa"/>
            <w:noWrap w:val="0"/>
            <w:vAlign w:val="top"/>
          </w:tcPr>
          <w:p w14:paraId="7BF16C81">
            <w:pPr>
              <w:autoSpaceDE w:val="0"/>
              <w:autoSpaceDN w:val="0"/>
              <w:rPr>
                <w:rFonts w:hint="eastAsia" w:ascii="宋体" w:hAnsi="宋体" w:eastAsia="宋体" w:cs="宋体"/>
                <w:color w:val="auto"/>
                <w:sz w:val="21"/>
                <w:highlight w:val="none"/>
              </w:rPr>
            </w:pPr>
          </w:p>
        </w:tc>
        <w:tc>
          <w:tcPr>
            <w:tcW w:w="851" w:type="dxa"/>
            <w:noWrap w:val="0"/>
            <w:vAlign w:val="top"/>
          </w:tcPr>
          <w:p w14:paraId="2E6A0939">
            <w:pPr>
              <w:autoSpaceDE w:val="0"/>
              <w:autoSpaceDN w:val="0"/>
              <w:rPr>
                <w:rFonts w:hint="eastAsia" w:ascii="宋体" w:hAnsi="宋体" w:eastAsia="宋体" w:cs="宋体"/>
                <w:color w:val="auto"/>
                <w:sz w:val="21"/>
                <w:highlight w:val="none"/>
              </w:rPr>
            </w:pPr>
          </w:p>
        </w:tc>
        <w:tc>
          <w:tcPr>
            <w:tcW w:w="855" w:type="dxa"/>
            <w:noWrap w:val="0"/>
            <w:vAlign w:val="top"/>
          </w:tcPr>
          <w:p w14:paraId="39414B21">
            <w:pPr>
              <w:autoSpaceDE w:val="0"/>
              <w:autoSpaceDN w:val="0"/>
              <w:rPr>
                <w:rFonts w:hint="eastAsia" w:ascii="宋体" w:hAnsi="宋体" w:eastAsia="宋体" w:cs="宋体"/>
                <w:color w:val="auto"/>
                <w:sz w:val="21"/>
                <w:highlight w:val="none"/>
              </w:rPr>
            </w:pPr>
          </w:p>
        </w:tc>
      </w:tr>
      <w:tr w14:paraId="08B89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44" w:type="dxa"/>
            <w:noWrap w:val="0"/>
            <w:vAlign w:val="top"/>
          </w:tcPr>
          <w:p w14:paraId="2668634A">
            <w:pPr>
              <w:autoSpaceDE w:val="0"/>
              <w:autoSpaceDN w:val="0"/>
              <w:rPr>
                <w:rFonts w:hint="eastAsia" w:ascii="宋体" w:hAnsi="宋体" w:eastAsia="宋体" w:cs="宋体"/>
                <w:color w:val="auto"/>
                <w:sz w:val="21"/>
                <w:highlight w:val="none"/>
              </w:rPr>
            </w:pPr>
          </w:p>
        </w:tc>
        <w:tc>
          <w:tcPr>
            <w:tcW w:w="1439" w:type="dxa"/>
            <w:noWrap w:val="0"/>
            <w:vAlign w:val="top"/>
          </w:tcPr>
          <w:p w14:paraId="46E2666E">
            <w:pPr>
              <w:autoSpaceDE w:val="0"/>
              <w:autoSpaceDN w:val="0"/>
              <w:rPr>
                <w:rFonts w:hint="eastAsia" w:ascii="宋体" w:hAnsi="宋体" w:eastAsia="宋体" w:cs="宋体"/>
                <w:color w:val="auto"/>
                <w:sz w:val="21"/>
                <w:highlight w:val="none"/>
              </w:rPr>
            </w:pPr>
          </w:p>
        </w:tc>
        <w:tc>
          <w:tcPr>
            <w:tcW w:w="1619" w:type="dxa"/>
            <w:noWrap w:val="0"/>
            <w:vAlign w:val="top"/>
          </w:tcPr>
          <w:p w14:paraId="652FF693">
            <w:pPr>
              <w:autoSpaceDE w:val="0"/>
              <w:autoSpaceDN w:val="0"/>
              <w:rPr>
                <w:rFonts w:hint="eastAsia" w:ascii="宋体" w:hAnsi="宋体" w:eastAsia="宋体" w:cs="宋体"/>
                <w:color w:val="auto"/>
                <w:sz w:val="21"/>
                <w:highlight w:val="none"/>
              </w:rPr>
            </w:pPr>
          </w:p>
        </w:tc>
        <w:tc>
          <w:tcPr>
            <w:tcW w:w="1660" w:type="dxa"/>
            <w:noWrap w:val="0"/>
            <w:vAlign w:val="top"/>
          </w:tcPr>
          <w:p w14:paraId="6B16E55F">
            <w:pPr>
              <w:autoSpaceDE w:val="0"/>
              <w:autoSpaceDN w:val="0"/>
              <w:rPr>
                <w:rFonts w:hint="eastAsia" w:ascii="宋体" w:hAnsi="宋体" w:eastAsia="宋体" w:cs="宋体"/>
                <w:color w:val="auto"/>
                <w:sz w:val="21"/>
                <w:highlight w:val="none"/>
              </w:rPr>
            </w:pPr>
          </w:p>
        </w:tc>
        <w:tc>
          <w:tcPr>
            <w:tcW w:w="850" w:type="dxa"/>
            <w:noWrap w:val="0"/>
            <w:vAlign w:val="top"/>
          </w:tcPr>
          <w:p w14:paraId="0E4E6CA4">
            <w:pPr>
              <w:autoSpaceDE w:val="0"/>
              <w:autoSpaceDN w:val="0"/>
              <w:rPr>
                <w:rFonts w:hint="eastAsia" w:ascii="宋体" w:hAnsi="宋体" w:eastAsia="宋体" w:cs="宋体"/>
                <w:color w:val="auto"/>
                <w:sz w:val="21"/>
                <w:highlight w:val="none"/>
              </w:rPr>
            </w:pPr>
          </w:p>
        </w:tc>
        <w:tc>
          <w:tcPr>
            <w:tcW w:w="1559" w:type="dxa"/>
            <w:noWrap w:val="0"/>
            <w:vAlign w:val="top"/>
          </w:tcPr>
          <w:p w14:paraId="008B76BF">
            <w:pPr>
              <w:autoSpaceDE w:val="0"/>
              <w:autoSpaceDN w:val="0"/>
              <w:rPr>
                <w:rFonts w:hint="eastAsia" w:ascii="宋体" w:hAnsi="宋体" w:eastAsia="宋体" w:cs="宋体"/>
                <w:color w:val="auto"/>
                <w:sz w:val="21"/>
                <w:highlight w:val="none"/>
              </w:rPr>
            </w:pPr>
          </w:p>
        </w:tc>
        <w:tc>
          <w:tcPr>
            <w:tcW w:w="2125" w:type="dxa"/>
            <w:noWrap w:val="0"/>
            <w:vAlign w:val="top"/>
          </w:tcPr>
          <w:p w14:paraId="43672DD7">
            <w:pPr>
              <w:autoSpaceDE w:val="0"/>
              <w:autoSpaceDN w:val="0"/>
              <w:rPr>
                <w:rFonts w:hint="eastAsia" w:ascii="宋体" w:hAnsi="宋体" w:eastAsia="宋体" w:cs="宋体"/>
                <w:color w:val="auto"/>
                <w:sz w:val="21"/>
                <w:highlight w:val="none"/>
              </w:rPr>
            </w:pPr>
          </w:p>
        </w:tc>
        <w:tc>
          <w:tcPr>
            <w:tcW w:w="1417" w:type="dxa"/>
            <w:noWrap w:val="0"/>
            <w:vAlign w:val="top"/>
          </w:tcPr>
          <w:p w14:paraId="509A3C4F">
            <w:pPr>
              <w:autoSpaceDE w:val="0"/>
              <w:autoSpaceDN w:val="0"/>
              <w:rPr>
                <w:rFonts w:hint="eastAsia" w:ascii="宋体" w:hAnsi="宋体" w:eastAsia="宋体" w:cs="宋体"/>
                <w:color w:val="auto"/>
                <w:sz w:val="21"/>
                <w:highlight w:val="none"/>
              </w:rPr>
            </w:pPr>
          </w:p>
        </w:tc>
        <w:tc>
          <w:tcPr>
            <w:tcW w:w="851" w:type="dxa"/>
            <w:noWrap w:val="0"/>
            <w:vAlign w:val="top"/>
          </w:tcPr>
          <w:p w14:paraId="319D07B6">
            <w:pPr>
              <w:autoSpaceDE w:val="0"/>
              <w:autoSpaceDN w:val="0"/>
              <w:rPr>
                <w:rFonts w:hint="eastAsia" w:ascii="宋体" w:hAnsi="宋体" w:eastAsia="宋体" w:cs="宋体"/>
                <w:color w:val="auto"/>
                <w:sz w:val="21"/>
                <w:highlight w:val="none"/>
              </w:rPr>
            </w:pPr>
          </w:p>
        </w:tc>
        <w:tc>
          <w:tcPr>
            <w:tcW w:w="855" w:type="dxa"/>
            <w:noWrap w:val="0"/>
            <w:vAlign w:val="top"/>
          </w:tcPr>
          <w:p w14:paraId="5819BB95">
            <w:pPr>
              <w:autoSpaceDE w:val="0"/>
              <w:autoSpaceDN w:val="0"/>
              <w:rPr>
                <w:rFonts w:hint="eastAsia" w:ascii="宋体" w:hAnsi="宋体" w:eastAsia="宋体" w:cs="宋体"/>
                <w:color w:val="auto"/>
                <w:sz w:val="21"/>
                <w:highlight w:val="none"/>
              </w:rPr>
            </w:pPr>
          </w:p>
        </w:tc>
      </w:tr>
      <w:tr w14:paraId="76663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44" w:type="dxa"/>
            <w:noWrap w:val="0"/>
            <w:vAlign w:val="top"/>
          </w:tcPr>
          <w:p w14:paraId="4CA8028B">
            <w:pPr>
              <w:autoSpaceDE w:val="0"/>
              <w:autoSpaceDN w:val="0"/>
              <w:rPr>
                <w:rFonts w:hint="eastAsia" w:ascii="宋体" w:hAnsi="宋体" w:eastAsia="宋体" w:cs="宋体"/>
                <w:color w:val="auto"/>
                <w:sz w:val="21"/>
                <w:highlight w:val="none"/>
              </w:rPr>
            </w:pPr>
          </w:p>
        </w:tc>
        <w:tc>
          <w:tcPr>
            <w:tcW w:w="1439" w:type="dxa"/>
            <w:noWrap w:val="0"/>
            <w:vAlign w:val="top"/>
          </w:tcPr>
          <w:p w14:paraId="35192041">
            <w:pPr>
              <w:autoSpaceDE w:val="0"/>
              <w:autoSpaceDN w:val="0"/>
              <w:rPr>
                <w:rFonts w:hint="eastAsia" w:ascii="宋体" w:hAnsi="宋体" w:eastAsia="宋体" w:cs="宋体"/>
                <w:color w:val="auto"/>
                <w:sz w:val="21"/>
                <w:highlight w:val="none"/>
              </w:rPr>
            </w:pPr>
          </w:p>
        </w:tc>
        <w:tc>
          <w:tcPr>
            <w:tcW w:w="1619" w:type="dxa"/>
            <w:noWrap w:val="0"/>
            <w:vAlign w:val="top"/>
          </w:tcPr>
          <w:p w14:paraId="6624902C">
            <w:pPr>
              <w:autoSpaceDE w:val="0"/>
              <w:autoSpaceDN w:val="0"/>
              <w:rPr>
                <w:rFonts w:hint="eastAsia" w:ascii="宋体" w:hAnsi="宋体" w:eastAsia="宋体" w:cs="宋体"/>
                <w:color w:val="auto"/>
                <w:sz w:val="21"/>
                <w:highlight w:val="none"/>
              </w:rPr>
            </w:pPr>
          </w:p>
        </w:tc>
        <w:tc>
          <w:tcPr>
            <w:tcW w:w="1660" w:type="dxa"/>
            <w:noWrap w:val="0"/>
            <w:vAlign w:val="top"/>
          </w:tcPr>
          <w:p w14:paraId="3787CFBA">
            <w:pPr>
              <w:autoSpaceDE w:val="0"/>
              <w:autoSpaceDN w:val="0"/>
              <w:rPr>
                <w:rFonts w:hint="eastAsia" w:ascii="宋体" w:hAnsi="宋体" w:eastAsia="宋体" w:cs="宋体"/>
                <w:color w:val="auto"/>
                <w:sz w:val="21"/>
                <w:highlight w:val="none"/>
              </w:rPr>
            </w:pPr>
          </w:p>
        </w:tc>
        <w:tc>
          <w:tcPr>
            <w:tcW w:w="850" w:type="dxa"/>
            <w:noWrap w:val="0"/>
            <w:vAlign w:val="top"/>
          </w:tcPr>
          <w:p w14:paraId="524B3881">
            <w:pPr>
              <w:autoSpaceDE w:val="0"/>
              <w:autoSpaceDN w:val="0"/>
              <w:rPr>
                <w:rFonts w:hint="eastAsia" w:ascii="宋体" w:hAnsi="宋体" w:eastAsia="宋体" w:cs="宋体"/>
                <w:color w:val="auto"/>
                <w:sz w:val="21"/>
                <w:highlight w:val="none"/>
              </w:rPr>
            </w:pPr>
          </w:p>
        </w:tc>
        <w:tc>
          <w:tcPr>
            <w:tcW w:w="1559" w:type="dxa"/>
            <w:noWrap w:val="0"/>
            <w:vAlign w:val="top"/>
          </w:tcPr>
          <w:p w14:paraId="5F459F55">
            <w:pPr>
              <w:autoSpaceDE w:val="0"/>
              <w:autoSpaceDN w:val="0"/>
              <w:rPr>
                <w:rFonts w:hint="eastAsia" w:ascii="宋体" w:hAnsi="宋体" w:eastAsia="宋体" w:cs="宋体"/>
                <w:color w:val="auto"/>
                <w:sz w:val="21"/>
                <w:highlight w:val="none"/>
              </w:rPr>
            </w:pPr>
          </w:p>
        </w:tc>
        <w:tc>
          <w:tcPr>
            <w:tcW w:w="2125" w:type="dxa"/>
            <w:noWrap w:val="0"/>
            <w:vAlign w:val="top"/>
          </w:tcPr>
          <w:p w14:paraId="3D0A84D5">
            <w:pPr>
              <w:autoSpaceDE w:val="0"/>
              <w:autoSpaceDN w:val="0"/>
              <w:rPr>
                <w:rFonts w:hint="eastAsia" w:ascii="宋体" w:hAnsi="宋体" w:eastAsia="宋体" w:cs="宋体"/>
                <w:color w:val="auto"/>
                <w:sz w:val="21"/>
                <w:highlight w:val="none"/>
              </w:rPr>
            </w:pPr>
          </w:p>
        </w:tc>
        <w:tc>
          <w:tcPr>
            <w:tcW w:w="1417" w:type="dxa"/>
            <w:noWrap w:val="0"/>
            <w:vAlign w:val="top"/>
          </w:tcPr>
          <w:p w14:paraId="08F42DD4">
            <w:pPr>
              <w:autoSpaceDE w:val="0"/>
              <w:autoSpaceDN w:val="0"/>
              <w:rPr>
                <w:rFonts w:hint="eastAsia" w:ascii="宋体" w:hAnsi="宋体" w:eastAsia="宋体" w:cs="宋体"/>
                <w:color w:val="auto"/>
                <w:sz w:val="21"/>
                <w:highlight w:val="none"/>
              </w:rPr>
            </w:pPr>
          </w:p>
        </w:tc>
        <w:tc>
          <w:tcPr>
            <w:tcW w:w="851" w:type="dxa"/>
            <w:noWrap w:val="0"/>
            <w:vAlign w:val="top"/>
          </w:tcPr>
          <w:p w14:paraId="2959A940">
            <w:pPr>
              <w:autoSpaceDE w:val="0"/>
              <w:autoSpaceDN w:val="0"/>
              <w:rPr>
                <w:rFonts w:hint="eastAsia" w:ascii="宋体" w:hAnsi="宋体" w:eastAsia="宋体" w:cs="宋体"/>
                <w:color w:val="auto"/>
                <w:sz w:val="21"/>
                <w:highlight w:val="none"/>
              </w:rPr>
            </w:pPr>
          </w:p>
        </w:tc>
        <w:tc>
          <w:tcPr>
            <w:tcW w:w="855" w:type="dxa"/>
            <w:noWrap w:val="0"/>
            <w:vAlign w:val="top"/>
          </w:tcPr>
          <w:p w14:paraId="3DF2F49B">
            <w:pPr>
              <w:autoSpaceDE w:val="0"/>
              <w:autoSpaceDN w:val="0"/>
              <w:rPr>
                <w:rFonts w:hint="eastAsia" w:ascii="宋体" w:hAnsi="宋体" w:eastAsia="宋体" w:cs="宋体"/>
                <w:color w:val="auto"/>
                <w:sz w:val="21"/>
                <w:highlight w:val="none"/>
              </w:rPr>
            </w:pPr>
          </w:p>
        </w:tc>
      </w:tr>
      <w:tr w14:paraId="6FAE9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44" w:type="dxa"/>
            <w:noWrap w:val="0"/>
            <w:vAlign w:val="top"/>
          </w:tcPr>
          <w:p w14:paraId="480D7C5E">
            <w:pPr>
              <w:autoSpaceDE w:val="0"/>
              <w:autoSpaceDN w:val="0"/>
              <w:rPr>
                <w:rFonts w:hint="eastAsia" w:ascii="宋体" w:hAnsi="宋体" w:eastAsia="宋体" w:cs="宋体"/>
                <w:color w:val="auto"/>
                <w:sz w:val="21"/>
                <w:highlight w:val="none"/>
              </w:rPr>
            </w:pPr>
          </w:p>
        </w:tc>
        <w:tc>
          <w:tcPr>
            <w:tcW w:w="1439" w:type="dxa"/>
            <w:noWrap w:val="0"/>
            <w:vAlign w:val="top"/>
          </w:tcPr>
          <w:p w14:paraId="66C788F5">
            <w:pPr>
              <w:autoSpaceDE w:val="0"/>
              <w:autoSpaceDN w:val="0"/>
              <w:rPr>
                <w:rFonts w:hint="eastAsia" w:ascii="宋体" w:hAnsi="宋体" w:eastAsia="宋体" w:cs="宋体"/>
                <w:color w:val="auto"/>
                <w:sz w:val="21"/>
                <w:highlight w:val="none"/>
              </w:rPr>
            </w:pPr>
          </w:p>
        </w:tc>
        <w:tc>
          <w:tcPr>
            <w:tcW w:w="1619" w:type="dxa"/>
            <w:noWrap w:val="0"/>
            <w:vAlign w:val="top"/>
          </w:tcPr>
          <w:p w14:paraId="1E8ED43B">
            <w:pPr>
              <w:autoSpaceDE w:val="0"/>
              <w:autoSpaceDN w:val="0"/>
              <w:rPr>
                <w:rFonts w:hint="eastAsia" w:ascii="宋体" w:hAnsi="宋体" w:eastAsia="宋体" w:cs="宋体"/>
                <w:color w:val="auto"/>
                <w:sz w:val="21"/>
                <w:highlight w:val="none"/>
              </w:rPr>
            </w:pPr>
          </w:p>
        </w:tc>
        <w:tc>
          <w:tcPr>
            <w:tcW w:w="1660" w:type="dxa"/>
            <w:noWrap w:val="0"/>
            <w:vAlign w:val="top"/>
          </w:tcPr>
          <w:p w14:paraId="024B4764">
            <w:pPr>
              <w:autoSpaceDE w:val="0"/>
              <w:autoSpaceDN w:val="0"/>
              <w:rPr>
                <w:rFonts w:hint="eastAsia" w:ascii="宋体" w:hAnsi="宋体" w:eastAsia="宋体" w:cs="宋体"/>
                <w:color w:val="auto"/>
                <w:sz w:val="21"/>
                <w:highlight w:val="none"/>
              </w:rPr>
            </w:pPr>
          </w:p>
        </w:tc>
        <w:tc>
          <w:tcPr>
            <w:tcW w:w="850" w:type="dxa"/>
            <w:noWrap w:val="0"/>
            <w:vAlign w:val="top"/>
          </w:tcPr>
          <w:p w14:paraId="7E488D46">
            <w:pPr>
              <w:autoSpaceDE w:val="0"/>
              <w:autoSpaceDN w:val="0"/>
              <w:rPr>
                <w:rFonts w:hint="eastAsia" w:ascii="宋体" w:hAnsi="宋体" w:eastAsia="宋体" w:cs="宋体"/>
                <w:color w:val="auto"/>
                <w:sz w:val="21"/>
                <w:highlight w:val="none"/>
              </w:rPr>
            </w:pPr>
          </w:p>
        </w:tc>
        <w:tc>
          <w:tcPr>
            <w:tcW w:w="1559" w:type="dxa"/>
            <w:noWrap w:val="0"/>
            <w:vAlign w:val="top"/>
          </w:tcPr>
          <w:p w14:paraId="69106D97">
            <w:pPr>
              <w:autoSpaceDE w:val="0"/>
              <w:autoSpaceDN w:val="0"/>
              <w:rPr>
                <w:rFonts w:hint="eastAsia" w:ascii="宋体" w:hAnsi="宋体" w:eastAsia="宋体" w:cs="宋体"/>
                <w:color w:val="auto"/>
                <w:sz w:val="21"/>
                <w:highlight w:val="none"/>
              </w:rPr>
            </w:pPr>
          </w:p>
        </w:tc>
        <w:tc>
          <w:tcPr>
            <w:tcW w:w="2125" w:type="dxa"/>
            <w:noWrap w:val="0"/>
            <w:vAlign w:val="top"/>
          </w:tcPr>
          <w:p w14:paraId="070676D1">
            <w:pPr>
              <w:autoSpaceDE w:val="0"/>
              <w:autoSpaceDN w:val="0"/>
              <w:rPr>
                <w:rFonts w:hint="eastAsia" w:ascii="宋体" w:hAnsi="宋体" w:eastAsia="宋体" w:cs="宋体"/>
                <w:color w:val="auto"/>
                <w:sz w:val="21"/>
                <w:highlight w:val="none"/>
              </w:rPr>
            </w:pPr>
          </w:p>
        </w:tc>
        <w:tc>
          <w:tcPr>
            <w:tcW w:w="1417" w:type="dxa"/>
            <w:noWrap w:val="0"/>
            <w:vAlign w:val="top"/>
          </w:tcPr>
          <w:p w14:paraId="70300C6F">
            <w:pPr>
              <w:autoSpaceDE w:val="0"/>
              <w:autoSpaceDN w:val="0"/>
              <w:rPr>
                <w:rFonts w:hint="eastAsia" w:ascii="宋体" w:hAnsi="宋体" w:eastAsia="宋体" w:cs="宋体"/>
                <w:color w:val="auto"/>
                <w:sz w:val="21"/>
                <w:highlight w:val="none"/>
              </w:rPr>
            </w:pPr>
          </w:p>
        </w:tc>
        <w:tc>
          <w:tcPr>
            <w:tcW w:w="851" w:type="dxa"/>
            <w:noWrap w:val="0"/>
            <w:vAlign w:val="top"/>
          </w:tcPr>
          <w:p w14:paraId="4C36FC20">
            <w:pPr>
              <w:autoSpaceDE w:val="0"/>
              <w:autoSpaceDN w:val="0"/>
              <w:rPr>
                <w:rFonts w:hint="eastAsia" w:ascii="宋体" w:hAnsi="宋体" w:eastAsia="宋体" w:cs="宋体"/>
                <w:color w:val="auto"/>
                <w:sz w:val="21"/>
                <w:highlight w:val="none"/>
              </w:rPr>
            </w:pPr>
          </w:p>
        </w:tc>
        <w:tc>
          <w:tcPr>
            <w:tcW w:w="855" w:type="dxa"/>
            <w:noWrap w:val="0"/>
            <w:vAlign w:val="top"/>
          </w:tcPr>
          <w:p w14:paraId="0EC9C095">
            <w:pPr>
              <w:autoSpaceDE w:val="0"/>
              <w:autoSpaceDN w:val="0"/>
              <w:rPr>
                <w:rFonts w:hint="eastAsia" w:ascii="宋体" w:hAnsi="宋体" w:eastAsia="宋体" w:cs="宋体"/>
                <w:color w:val="auto"/>
                <w:sz w:val="21"/>
                <w:highlight w:val="none"/>
              </w:rPr>
            </w:pPr>
          </w:p>
        </w:tc>
      </w:tr>
      <w:tr w14:paraId="0F882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44" w:type="dxa"/>
            <w:noWrap w:val="0"/>
            <w:vAlign w:val="top"/>
          </w:tcPr>
          <w:p w14:paraId="658059A9">
            <w:pPr>
              <w:autoSpaceDE w:val="0"/>
              <w:autoSpaceDN w:val="0"/>
              <w:rPr>
                <w:rFonts w:hint="eastAsia" w:ascii="宋体" w:hAnsi="宋体" w:eastAsia="宋体" w:cs="宋体"/>
                <w:color w:val="auto"/>
                <w:sz w:val="21"/>
                <w:highlight w:val="none"/>
              </w:rPr>
            </w:pPr>
          </w:p>
        </w:tc>
        <w:tc>
          <w:tcPr>
            <w:tcW w:w="1439" w:type="dxa"/>
            <w:noWrap w:val="0"/>
            <w:vAlign w:val="top"/>
          </w:tcPr>
          <w:p w14:paraId="2120C1B2">
            <w:pPr>
              <w:autoSpaceDE w:val="0"/>
              <w:autoSpaceDN w:val="0"/>
              <w:rPr>
                <w:rFonts w:hint="eastAsia" w:ascii="宋体" w:hAnsi="宋体" w:eastAsia="宋体" w:cs="宋体"/>
                <w:color w:val="auto"/>
                <w:sz w:val="21"/>
                <w:highlight w:val="none"/>
              </w:rPr>
            </w:pPr>
          </w:p>
        </w:tc>
        <w:tc>
          <w:tcPr>
            <w:tcW w:w="1619" w:type="dxa"/>
            <w:noWrap w:val="0"/>
            <w:vAlign w:val="top"/>
          </w:tcPr>
          <w:p w14:paraId="17DBFFCA">
            <w:pPr>
              <w:autoSpaceDE w:val="0"/>
              <w:autoSpaceDN w:val="0"/>
              <w:rPr>
                <w:rFonts w:hint="eastAsia" w:ascii="宋体" w:hAnsi="宋体" w:eastAsia="宋体" w:cs="宋体"/>
                <w:color w:val="auto"/>
                <w:sz w:val="21"/>
                <w:highlight w:val="none"/>
              </w:rPr>
            </w:pPr>
          </w:p>
        </w:tc>
        <w:tc>
          <w:tcPr>
            <w:tcW w:w="1660" w:type="dxa"/>
            <w:noWrap w:val="0"/>
            <w:vAlign w:val="top"/>
          </w:tcPr>
          <w:p w14:paraId="4D8D7E51">
            <w:pPr>
              <w:autoSpaceDE w:val="0"/>
              <w:autoSpaceDN w:val="0"/>
              <w:rPr>
                <w:rFonts w:hint="eastAsia" w:ascii="宋体" w:hAnsi="宋体" w:eastAsia="宋体" w:cs="宋体"/>
                <w:color w:val="auto"/>
                <w:sz w:val="21"/>
                <w:highlight w:val="none"/>
              </w:rPr>
            </w:pPr>
          </w:p>
        </w:tc>
        <w:tc>
          <w:tcPr>
            <w:tcW w:w="850" w:type="dxa"/>
            <w:noWrap w:val="0"/>
            <w:vAlign w:val="top"/>
          </w:tcPr>
          <w:p w14:paraId="526F6A36">
            <w:pPr>
              <w:autoSpaceDE w:val="0"/>
              <w:autoSpaceDN w:val="0"/>
              <w:rPr>
                <w:rFonts w:hint="eastAsia" w:ascii="宋体" w:hAnsi="宋体" w:eastAsia="宋体" w:cs="宋体"/>
                <w:color w:val="auto"/>
                <w:sz w:val="21"/>
                <w:highlight w:val="none"/>
              </w:rPr>
            </w:pPr>
          </w:p>
        </w:tc>
        <w:tc>
          <w:tcPr>
            <w:tcW w:w="1559" w:type="dxa"/>
            <w:noWrap w:val="0"/>
            <w:vAlign w:val="top"/>
          </w:tcPr>
          <w:p w14:paraId="0CC774EA">
            <w:pPr>
              <w:autoSpaceDE w:val="0"/>
              <w:autoSpaceDN w:val="0"/>
              <w:rPr>
                <w:rFonts w:hint="eastAsia" w:ascii="宋体" w:hAnsi="宋体" w:eastAsia="宋体" w:cs="宋体"/>
                <w:color w:val="auto"/>
                <w:sz w:val="21"/>
                <w:highlight w:val="none"/>
              </w:rPr>
            </w:pPr>
          </w:p>
        </w:tc>
        <w:tc>
          <w:tcPr>
            <w:tcW w:w="2125" w:type="dxa"/>
            <w:noWrap w:val="0"/>
            <w:vAlign w:val="top"/>
          </w:tcPr>
          <w:p w14:paraId="7070519D">
            <w:pPr>
              <w:autoSpaceDE w:val="0"/>
              <w:autoSpaceDN w:val="0"/>
              <w:rPr>
                <w:rFonts w:hint="eastAsia" w:ascii="宋体" w:hAnsi="宋体" w:eastAsia="宋体" w:cs="宋体"/>
                <w:color w:val="auto"/>
                <w:sz w:val="21"/>
                <w:highlight w:val="none"/>
              </w:rPr>
            </w:pPr>
          </w:p>
        </w:tc>
        <w:tc>
          <w:tcPr>
            <w:tcW w:w="1417" w:type="dxa"/>
            <w:noWrap w:val="0"/>
            <w:vAlign w:val="top"/>
          </w:tcPr>
          <w:p w14:paraId="309DBC28">
            <w:pPr>
              <w:autoSpaceDE w:val="0"/>
              <w:autoSpaceDN w:val="0"/>
              <w:rPr>
                <w:rFonts w:hint="eastAsia" w:ascii="宋体" w:hAnsi="宋体" w:eastAsia="宋体" w:cs="宋体"/>
                <w:color w:val="auto"/>
                <w:sz w:val="21"/>
                <w:highlight w:val="none"/>
              </w:rPr>
            </w:pPr>
          </w:p>
        </w:tc>
        <w:tc>
          <w:tcPr>
            <w:tcW w:w="851" w:type="dxa"/>
            <w:noWrap w:val="0"/>
            <w:vAlign w:val="top"/>
          </w:tcPr>
          <w:p w14:paraId="3A36D954">
            <w:pPr>
              <w:autoSpaceDE w:val="0"/>
              <w:autoSpaceDN w:val="0"/>
              <w:rPr>
                <w:rFonts w:hint="eastAsia" w:ascii="宋体" w:hAnsi="宋体" w:eastAsia="宋体" w:cs="宋体"/>
                <w:color w:val="auto"/>
                <w:sz w:val="21"/>
                <w:highlight w:val="none"/>
              </w:rPr>
            </w:pPr>
          </w:p>
        </w:tc>
        <w:tc>
          <w:tcPr>
            <w:tcW w:w="855" w:type="dxa"/>
            <w:noWrap w:val="0"/>
            <w:vAlign w:val="top"/>
          </w:tcPr>
          <w:p w14:paraId="00AEF57F">
            <w:pPr>
              <w:autoSpaceDE w:val="0"/>
              <w:autoSpaceDN w:val="0"/>
              <w:rPr>
                <w:rFonts w:hint="eastAsia" w:ascii="宋体" w:hAnsi="宋体" w:eastAsia="宋体" w:cs="宋体"/>
                <w:color w:val="auto"/>
                <w:sz w:val="21"/>
                <w:highlight w:val="none"/>
              </w:rPr>
            </w:pPr>
          </w:p>
        </w:tc>
      </w:tr>
      <w:tr w14:paraId="49723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44" w:type="dxa"/>
            <w:noWrap w:val="0"/>
            <w:vAlign w:val="top"/>
          </w:tcPr>
          <w:p w14:paraId="174434BA">
            <w:pPr>
              <w:autoSpaceDE w:val="0"/>
              <w:autoSpaceDN w:val="0"/>
              <w:rPr>
                <w:rFonts w:hint="eastAsia" w:ascii="宋体" w:hAnsi="宋体" w:eastAsia="宋体" w:cs="宋体"/>
                <w:color w:val="auto"/>
                <w:sz w:val="21"/>
                <w:highlight w:val="none"/>
              </w:rPr>
            </w:pPr>
          </w:p>
        </w:tc>
        <w:tc>
          <w:tcPr>
            <w:tcW w:w="1439" w:type="dxa"/>
            <w:noWrap w:val="0"/>
            <w:vAlign w:val="top"/>
          </w:tcPr>
          <w:p w14:paraId="59312B0C">
            <w:pPr>
              <w:autoSpaceDE w:val="0"/>
              <w:autoSpaceDN w:val="0"/>
              <w:rPr>
                <w:rFonts w:hint="eastAsia" w:ascii="宋体" w:hAnsi="宋体" w:eastAsia="宋体" w:cs="宋体"/>
                <w:color w:val="auto"/>
                <w:sz w:val="21"/>
                <w:highlight w:val="none"/>
              </w:rPr>
            </w:pPr>
          </w:p>
        </w:tc>
        <w:tc>
          <w:tcPr>
            <w:tcW w:w="1619" w:type="dxa"/>
            <w:noWrap w:val="0"/>
            <w:vAlign w:val="top"/>
          </w:tcPr>
          <w:p w14:paraId="3B35AFAD">
            <w:pPr>
              <w:autoSpaceDE w:val="0"/>
              <w:autoSpaceDN w:val="0"/>
              <w:rPr>
                <w:rFonts w:hint="eastAsia" w:ascii="宋体" w:hAnsi="宋体" w:eastAsia="宋体" w:cs="宋体"/>
                <w:color w:val="auto"/>
                <w:sz w:val="21"/>
                <w:highlight w:val="none"/>
              </w:rPr>
            </w:pPr>
          </w:p>
        </w:tc>
        <w:tc>
          <w:tcPr>
            <w:tcW w:w="1660" w:type="dxa"/>
            <w:noWrap w:val="0"/>
            <w:vAlign w:val="top"/>
          </w:tcPr>
          <w:p w14:paraId="3DCAF1E1">
            <w:pPr>
              <w:autoSpaceDE w:val="0"/>
              <w:autoSpaceDN w:val="0"/>
              <w:rPr>
                <w:rFonts w:hint="eastAsia" w:ascii="宋体" w:hAnsi="宋体" w:eastAsia="宋体" w:cs="宋体"/>
                <w:color w:val="auto"/>
                <w:sz w:val="21"/>
                <w:highlight w:val="none"/>
              </w:rPr>
            </w:pPr>
          </w:p>
        </w:tc>
        <w:tc>
          <w:tcPr>
            <w:tcW w:w="850" w:type="dxa"/>
            <w:noWrap w:val="0"/>
            <w:vAlign w:val="top"/>
          </w:tcPr>
          <w:p w14:paraId="2C3963EC">
            <w:pPr>
              <w:autoSpaceDE w:val="0"/>
              <w:autoSpaceDN w:val="0"/>
              <w:rPr>
                <w:rFonts w:hint="eastAsia" w:ascii="宋体" w:hAnsi="宋体" w:eastAsia="宋体" w:cs="宋体"/>
                <w:color w:val="auto"/>
                <w:sz w:val="21"/>
                <w:highlight w:val="none"/>
              </w:rPr>
            </w:pPr>
          </w:p>
        </w:tc>
        <w:tc>
          <w:tcPr>
            <w:tcW w:w="1559" w:type="dxa"/>
            <w:noWrap w:val="0"/>
            <w:vAlign w:val="top"/>
          </w:tcPr>
          <w:p w14:paraId="715DE251">
            <w:pPr>
              <w:autoSpaceDE w:val="0"/>
              <w:autoSpaceDN w:val="0"/>
              <w:rPr>
                <w:rFonts w:hint="eastAsia" w:ascii="宋体" w:hAnsi="宋体" w:eastAsia="宋体" w:cs="宋体"/>
                <w:color w:val="auto"/>
                <w:sz w:val="21"/>
                <w:highlight w:val="none"/>
              </w:rPr>
            </w:pPr>
          </w:p>
        </w:tc>
        <w:tc>
          <w:tcPr>
            <w:tcW w:w="2125" w:type="dxa"/>
            <w:noWrap w:val="0"/>
            <w:vAlign w:val="top"/>
          </w:tcPr>
          <w:p w14:paraId="5D7C5230">
            <w:pPr>
              <w:autoSpaceDE w:val="0"/>
              <w:autoSpaceDN w:val="0"/>
              <w:rPr>
                <w:rFonts w:hint="eastAsia" w:ascii="宋体" w:hAnsi="宋体" w:eastAsia="宋体" w:cs="宋体"/>
                <w:color w:val="auto"/>
                <w:sz w:val="21"/>
                <w:highlight w:val="none"/>
              </w:rPr>
            </w:pPr>
          </w:p>
        </w:tc>
        <w:tc>
          <w:tcPr>
            <w:tcW w:w="1417" w:type="dxa"/>
            <w:noWrap w:val="0"/>
            <w:vAlign w:val="top"/>
          </w:tcPr>
          <w:p w14:paraId="0167B1D7">
            <w:pPr>
              <w:autoSpaceDE w:val="0"/>
              <w:autoSpaceDN w:val="0"/>
              <w:rPr>
                <w:rFonts w:hint="eastAsia" w:ascii="宋体" w:hAnsi="宋体" w:eastAsia="宋体" w:cs="宋体"/>
                <w:color w:val="auto"/>
                <w:sz w:val="21"/>
                <w:highlight w:val="none"/>
              </w:rPr>
            </w:pPr>
          </w:p>
        </w:tc>
        <w:tc>
          <w:tcPr>
            <w:tcW w:w="851" w:type="dxa"/>
            <w:noWrap w:val="0"/>
            <w:vAlign w:val="top"/>
          </w:tcPr>
          <w:p w14:paraId="0C6EE3FB">
            <w:pPr>
              <w:autoSpaceDE w:val="0"/>
              <w:autoSpaceDN w:val="0"/>
              <w:rPr>
                <w:rFonts w:hint="eastAsia" w:ascii="宋体" w:hAnsi="宋体" w:eastAsia="宋体" w:cs="宋体"/>
                <w:color w:val="auto"/>
                <w:sz w:val="21"/>
                <w:highlight w:val="none"/>
              </w:rPr>
            </w:pPr>
          </w:p>
        </w:tc>
        <w:tc>
          <w:tcPr>
            <w:tcW w:w="855" w:type="dxa"/>
            <w:noWrap w:val="0"/>
            <w:vAlign w:val="top"/>
          </w:tcPr>
          <w:p w14:paraId="52022956">
            <w:pPr>
              <w:autoSpaceDE w:val="0"/>
              <w:autoSpaceDN w:val="0"/>
              <w:rPr>
                <w:rFonts w:hint="eastAsia" w:ascii="宋体" w:hAnsi="宋体" w:eastAsia="宋体" w:cs="宋体"/>
                <w:color w:val="auto"/>
                <w:sz w:val="21"/>
                <w:highlight w:val="none"/>
              </w:rPr>
            </w:pPr>
          </w:p>
        </w:tc>
      </w:tr>
      <w:tr w14:paraId="76C9F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44" w:type="dxa"/>
            <w:noWrap w:val="0"/>
            <w:vAlign w:val="top"/>
          </w:tcPr>
          <w:p w14:paraId="2420DF89">
            <w:pPr>
              <w:autoSpaceDE w:val="0"/>
              <w:autoSpaceDN w:val="0"/>
              <w:rPr>
                <w:rFonts w:hint="eastAsia" w:ascii="宋体" w:hAnsi="宋体" w:eastAsia="宋体" w:cs="宋体"/>
                <w:color w:val="auto"/>
                <w:sz w:val="21"/>
                <w:highlight w:val="none"/>
              </w:rPr>
            </w:pPr>
          </w:p>
        </w:tc>
        <w:tc>
          <w:tcPr>
            <w:tcW w:w="1439" w:type="dxa"/>
            <w:noWrap w:val="0"/>
            <w:vAlign w:val="top"/>
          </w:tcPr>
          <w:p w14:paraId="615847AF">
            <w:pPr>
              <w:autoSpaceDE w:val="0"/>
              <w:autoSpaceDN w:val="0"/>
              <w:rPr>
                <w:rFonts w:hint="eastAsia" w:ascii="宋体" w:hAnsi="宋体" w:eastAsia="宋体" w:cs="宋体"/>
                <w:color w:val="auto"/>
                <w:sz w:val="21"/>
                <w:highlight w:val="none"/>
              </w:rPr>
            </w:pPr>
          </w:p>
        </w:tc>
        <w:tc>
          <w:tcPr>
            <w:tcW w:w="1619" w:type="dxa"/>
            <w:noWrap w:val="0"/>
            <w:vAlign w:val="top"/>
          </w:tcPr>
          <w:p w14:paraId="02087822">
            <w:pPr>
              <w:autoSpaceDE w:val="0"/>
              <w:autoSpaceDN w:val="0"/>
              <w:rPr>
                <w:rFonts w:hint="eastAsia" w:ascii="宋体" w:hAnsi="宋体" w:eastAsia="宋体" w:cs="宋体"/>
                <w:color w:val="auto"/>
                <w:sz w:val="21"/>
                <w:highlight w:val="none"/>
              </w:rPr>
            </w:pPr>
          </w:p>
        </w:tc>
        <w:tc>
          <w:tcPr>
            <w:tcW w:w="1660" w:type="dxa"/>
            <w:noWrap w:val="0"/>
            <w:vAlign w:val="top"/>
          </w:tcPr>
          <w:p w14:paraId="7E16BE35">
            <w:pPr>
              <w:autoSpaceDE w:val="0"/>
              <w:autoSpaceDN w:val="0"/>
              <w:rPr>
                <w:rFonts w:hint="eastAsia" w:ascii="宋体" w:hAnsi="宋体" w:eastAsia="宋体" w:cs="宋体"/>
                <w:color w:val="auto"/>
                <w:sz w:val="21"/>
                <w:highlight w:val="none"/>
              </w:rPr>
            </w:pPr>
          </w:p>
        </w:tc>
        <w:tc>
          <w:tcPr>
            <w:tcW w:w="850" w:type="dxa"/>
            <w:noWrap w:val="0"/>
            <w:vAlign w:val="top"/>
          </w:tcPr>
          <w:p w14:paraId="41BCD50D">
            <w:pPr>
              <w:autoSpaceDE w:val="0"/>
              <w:autoSpaceDN w:val="0"/>
              <w:rPr>
                <w:rFonts w:hint="eastAsia" w:ascii="宋体" w:hAnsi="宋体" w:eastAsia="宋体" w:cs="宋体"/>
                <w:color w:val="auto"/>
                <w:sz w:val="21"/>
                <w:highlight w:val="none"/>
              </w:rPr>
            </w:pPr>
          </w:p>
        </w:tc>
        <w:tc>
          <w:tcPr>
            <w:tcW w:w="1559" w:type="dxa"/>
            <w:noWrap w:val="0"/>
            <w:vAlign w:val="top"/>
          </w:tcPr>
          <w:p w14:paraId="096734BA">
            <w:pPr>
              <w:autoSpaceDE w:val="0"/>
              <w:autoSpaceDN w:val="0"/>
              <w:rPr>
                <w:rFonts w:hint="eastAsia" w:ascii="宋体" w:hAnsi="宋体" w:eastAsia="宋体" w:cs="宋体"/>
                <w:color w:val="auto"/>
                <w:sz w:val="21"/>
                <w:highlight w:val="none"/>
              </w:rPr>
            </w:pPr>
          </w:p>
        </w:tc>
        <w:tc>
          <w:tcPr>
            <w:tcW w:w="2125" w:type="dxa"/>
            <w:noWrap w:val="0"/>
            <w:vAlign w:val="top"/>
          </w:tcPr>
          <w:p w14:paraId="24E7BFAB">
            <w:pPr>
              <w:autoSpaceDE w:val="0"/>
              <w:autoSpaceDN w:val="0"/>
              <w:rPr>
                <w:rFonts w:hint="eastAsia" w:ascii="宋体" w:hAnsi="宋体" w:eastAsia="宋体" w:cs="宋体"/>
                <w:color w:val="auto"/>
                <w:sz w:val="21"/>
                <w:highlight w:val="none"/>
              </w:rPr>
            </w:pPr>
          </w:p>
        </w:tc>
        <w:tc>
          <w:tcPr>
            <w:tcW w:w="1417" w:type="dxa"/>
            <w:noWrap w:val="0"/>
            <w:vAlign w:val="top"/>
          </w:tcPr>
          <w:p w14:paraId="3EE53FD2">
            <w:pPr>
              <w:autoSpaceDE w:val="0"/>
              <w:autoSpaceDN w:val="0"/>
              <w:rPr>
                <w:rFonts w:hint="eastAsia" w:ascii="宋体" w:hAnsi="宋体" w:eastAsia="宋体" w:cs="宋体"/>
                <w:color w:val="auto"/>
                <w:sz w:val="21"/>
                <w:highlight w:val="none"/>
              </w:rPr>
            </w:pPr>
          </w:p>
        </w:tc>
        <w:tc>
          <w:tcPr>
            <w:tcW w:w="851" w:type="dxa"/>
            <w:noWrap w:val="0"/>
            <w:vAlign w:val="top"/>
          </w:tcPr>
          <w:p w14:paraId="6F2B0B19">
            <w:pPr>
              <w:autoSpaceDE w:val="0"/>
              <w:autoSpaceDN w:val="0"/>
              <w:rPr>
                <w:rFonts w:hint="eastAsia" w:ascii="宋体" w:hAnsi="宋体" w:eastAsia="宋体" w:cs="宋体"/>
                <w:color w:val="auto"/>
                <w:sz w:val="21"/>
                <w:highlight w:val="none"/>
              </w:rPr>
            </w:pPr>
          </w:p>
        </w:tc>
        <w:tc>
          <w:tcPr>
            <w:tcW w:w="855" w:type="dxa"/>
            <w:noWrap w:val="0"/>
            <w:vAlign w:val="top"/>
          </w:tcPr>
          <w:p w14:paraId="06E84D94">
            <w:pPr>
              <w:autoSpaceDE w:val="0"/>
              <w:autoSpaceDN w:val="0"/>
              <w:rPr>
                <w:rFonts w:hint="eastAsia" w:ascii="宋体" w:hAnsi="宋体" w:eastAsia="宋体" w:cs="宋体"/>
                <w:color w:val="auto"/>
                <w:sz w:val="21"/>
                <w:highlight w:val="none"/>
              </w:rPr>
            </w:pPr>
          </w:p>
        </w:tc>
      </w:tr>
      <w:tr w14:paraId="43AA5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444" w:type="dxa"/>
            <w:noWrap w:val="0"/>
            <w:vAlign w:val="top"/>
          </w:tcPr>
          <w:p w14:paraId="7862C124">
            <w:pPr>
              <w:autoSpaceDE w:val="0"/>
              <w:autoSpaceDN w:val="0"/>
              <w:rPr>
                <w:rFonts w:hint="eastAsia" w:ascii="宋体" w:hAnsi="宋体" w:eastAsia="宋体" w:cs="宋体"/>
                <w:color w:val="auto"/>
                <w:sz w:val="21"/>
                <w:highlight w:val="none"/>
              </w:rPr>
            </w:pPr>
          </w:p>
        </w:tc>
        <w:tc>
          <w:tcPr>
            <w:tcW w:w="1439" w:type="dxa"/>
            <w:noWrap w:val="0"/>
            <w:vAlign w:val="top"/>
          </w:tcPr>
          <w:p w14:paraId="4BF4EDE3">
            <w:pPr>
              <w:autoSpaceDE w:val="0"/>
              <w:autoSpaceDN w:val="0"/>
              <w:rPr>
                <w:rFonts w:hint="eastAsia" w:ascii="宋体" w:hAnsi="宋体" w:eastAsia="宋体" w:cs="宋体"/>
                <w:color w:val="auto"/>
                <w:sz w:val="21"/>
                <w:highlight w:val="none"/>
              </w:rPr>
            </w:pPr>
          </w:p>
        </w:tc>
        <w:tc>
          <w:tcPr>
            <w:tcW w:w="1619" w:type="dxa"/>
            <w:noWrap w:val="0"/>
            <w:vAlign w:val="top"/>
          </w:tcPr>
          <w:p w14:paraId="34DB6DE6">
            <w:pPr>
              <w:autoSpaceDE w:val="0"/>
              <w:autoSpaceDN w:val="0"/>
              <w:rPr>
                <w:rFonts w:hint="eastAsia" w:ascii="宋体" w:hAnsi="宋体" w:eastAsia="宋体" w:cs="宋体"/>
                <w:color w:val="auto"/>
                <w:sz w:val="21"/>
                <w:highlight w:val="none"/>
              </w:rPr>
            </w:pPr>
          </w:p>
        </w:tc>
        <w:tc>
          <w:tcPr>
            <w:tcW w:w="1660" w:type="dxa"/>
            <w:noWrap w:val="0"/>
            <w:vAlign w:val="top"/>
          </w:tcPr>
          <w:p w14:paraId="1CBB3DAA">
            <w:pPr>
              <w:autoSpaceDE w:val="0"/>
              <w:autoSpaceDN w:val="0"/>
              <w:rPr>
                <w:rFonts w:hint="eastAsia" w:ascii="宋体" w:hAnsi="宋体" w:eastAsia="宋体" w:cs="宋体"/>
                <w:color w:val="auto"/>
                <w:sz w:val="21"/>
                <w:highlight w:val="none"/>
              </w:rPr>
            </w:pPr>
          </w:p>
        </w:tc>
        <w:tc>
          <w:tcPr>
            <w:tcW w:w="850" w:type="dxa"/>
            <w:noWrap w:val="0"/>
            <w:vAlign w:val="top"/>
          </w:tcPr>
          <w:p w14:paraId="66AFCF05">
            <w:pPr>
              <w:autoSpaceDE w:val="0"/>
              <w:autoSpaceDN w:val="0"/>
              <w:rPr>
                <w:rFonts w:hint="eastAsia" w:ascii="宋体" w:hAnsi="宋体" w:eastAsia="宋体" w:cs="宋体"/>
                <w:color w:val="auto"/>
                <w:sz w:val="21"/>
                <w:highlight w:val="none"/>
              </w:rPr>
            </w:pPr>
          </w:p>
        </w:tc>
        <w:tc>
          <w:tcPr>
            <w:tcW w:w="1559" w:type="dxa"/>
            <w:noWrap w:val="0"/>
            <w:vAlign w:val="top"/>
          </w:tcPr>
          <w:p w14:paraId="164A15C5">
            <w:pPr>
              <w:autoSpaceDE w:val="0"/>
              <w:autoSpaceDN w:val="0"/>
              <w:rPr>
                <w:rFonts w:hint="eastAsia" w:ascii="宋体" w:hAnsi="宋体" w:eastAsia="宋体" w:cs="宋体"/>
                <w:color w:val="auto"/>
                <w:sz w:val="21"/>
                <w:highlight w:val="none"/>
              </w:rPr>
            </w:pPr>
          </w:p>
        </w:tc>
        <w:tc>
          <w:tcPr>
            <w:tcW w:w="2125" w:type="dxa"/>
            <w:noWrap w:val="0"/>
            <w:vAlign w:val="top"/>
          </w:tcPr>
          <w:p w14:paraId="4B5E995C">
            <w:pPr>
              <w:autoSpaceDE w:val="0"/>
              <w:autoSpaceDN w:val="0"/>
              <w:rPr>
                <w:rFonts w:hint="eastAsia" w:ascii="宋体" w:hAnsi="宋体" w:eastAsia="宋体" w:cs="宋体"/>
                <w:color w:val="auto"/>
                <w:sz w:val="21"/>
                <w:highlight w:val="none"/>
              </w:rPr>
            </w:pPr>
          </w:p>
        </w:tc>
        <w:tc>
          <w:tcPr>
            <w:tcW w:w="1417" w:type="dxa"/>
            <w:noWrap w:val="0"/>
            <w:vAlign w:val="top"/>
          </w:tcPr>
          <w:p w14:paraId="0A396FF6">
            <w:pPr>
              <w:autoSpaceDE w:val="0"/>
              <w:autoSpaceDN w:val="0"/>
              <w:rPr>
                <w:rFonts w:hint="eastAsia" w:ascii="宋体" w:hAnsi="宋体" w:eastAsia="宋体" w:cs="宋体"/>
                <w:color w:val="auto"/>
                <w:sz w:val="21"/>
                <w:highlight w:val="none"/>
              </w:rPr>
            </w:pPr>
          </w:p>
        </w:tc>
        <w:tc>
          <w:tcPr>
            <w:tcW w:w="851" w:type="dxa"/>
            <w:noWrap w:val="0"/>
            <w:vAlign w:val="top"/>
          </w:tcPr>
          <w:p w14:paraId="296B5C54">
            <w:pPr>
              <w:autoSpaceDE w:val="0"/>
              <w:autoSpaceDN w:val="0"/>
              <w:rPr>
                <w:rFonts w:hint="eastAsia" w:ascii="宋体" w:hAnsi="宋体" w:eastAsia="宋体" w:cs="宋体"/>
                <w:color w:val="auto"/>
                <w:sz w:val="21"/>
                <w:highlight w:val="none"/>
              </w:rPr>
            </w:pPr>
          </w:p>
        </w:tc>
        <w:tc>
          <w:tcPr>
            <w:tcW w:w="855" w:type="dxa"/>
            <w:noWrap w:val="0"/>
            <w:vAlign w:val="top"/>
          </w:tcPr>
          <w:p w14:paraId="55CF2458">
            <w:pPr>
              <w:autoSpaceDE w:val="0"/>
              <w:autoSpaceDN w:val="0"/>
              <w:rPr>
                <w:rFonts w:hint="eastAsia" w:ascii="宋体" w:hAnsi="宋体" w:eastAsia="宋体" w:cs="宋体"/>
                <w:color w:val="auto"/>
                <w:sz w:val="21"/>
                <w:highlight w:val="none"/>
              </w:rPr>
            </w:pPr>
          </w:p>
        </w:tc>
      </w:tr>
    </w:tbl>
    <w:p w14:paraId="23FB13AF">
      <w:pPr>
        <w:rPr>
          <w:rFonts w:hint="eastAsia" w:ascii="宋体" w:hAnsi="宋体" w:eastAsia="宋体" w:cs="宋体"/>
          <w:color w:val="auto"/>
          <w:sz w:val="21"/>
          <w:highlight w:val="none"/>
        </w:rPr>
      </w:pPr>
    </w:p>
    <w:p w14:paraId="69DAC6B5">
      <w:pPr>
        <w:rPr>
          <w:rFonts w:hint="eastAsia" w:ascii="宋体" w:hAnsi="宋体" w:eastAsia="宋体" w:cs="宋体"/>
          <w:color w:val="auto"/>
          <w:sz w:val="21"/>
          <w:szCs w:val="21"/>
          <w:highlight w:val="none"/>
        </w:rPr>
        <w:sectPr>
          <w:pgSz w:w="16838" w:h="11905" w:orient="landscape"/>
          <w:pgMar w:top="1134" w:right="1134" w:bottom="1134" w:left="1134" w:header="0" w:footer="850" w:gutter="0"/>
          <w:pgNumType w:fmt="decimal"/>
          <w:cols w:space="720" w:num="1"/>
          <w:rtlGutter w:val="0"/>
          <w:docGrid w:linePitch="0" w:charSpace="0"/>
        </w:sectPr>
      </w:pPr>
    </w:p>
    <w:p w14:paraId="4B4EA174">
      <w:pPr>
        <w:pStyle w:val="2"/>
        <w:spacing w:before="59" w:line="219" w:lineRule="auto"/>
        <w:ind w:left="35"/>
        <w:rPr>
          <w:rFonts w:hint="eastAsia" w:ascii="宋体" w:hAnsi="宋体" w:eastAsia="宋体" w:cs="宋体"/>
          <w:color w:val="auto"/>
          <w:sz w:val="30"/>
          <w:szCs w:val="30"/>
          <w:highlight w:val="none"/>
        </w:rPr>
      </w:pPr>
      <w:r>
        <w:rPr>
          <w:rFonts w:hint="eastAsia" w:ascii="宋体" w:hAnsi="宋体" w:eastAsia="宋体" w:cs="宋体"/>
          <w:color w:val="auto"/>
          <w:spacing w:val="-11"/>
          <w:sz w:val="30"/>
          <w:szCs w:val="30"/>
          <w:highlight w:val="none"/>
        </w:rPr>
        <w:t>附件</w:t>
      </w:r>
      <w:r>
        <w:rPr>
          <w:rFonts w:hint="eastAsia" w:ascii="宋体" w:hAnsi="宋体" w:eastAsia="宋体" w:cs="宋体"/>
          <w:color w:val="auto"/>
          <w:spacing w:val="-66"/>
          <w:sz w:val="30"/>
          <w:szCs w:val="30"/>
          <w:highlight w:val="none"/>
        </w:rPr>
        <w:t xml:space="preserve"> </w:t>
      </w:r>
      <w:r>
        <w:rPr>
          <w:rFonts w:hint="eastAsia" w:ascii="宋体" w:hAnsi="宋体" w:eastAsia="宋体" w:cs="宋体"/>
          <w:color w:val="auto"/>
          <w:spacing w:val="-11"/>
          <w:sz w:val="30"/>
          <w:szCs w:val="30"/>
          <w:highlight w:val="none"/>
        </w:rPr>
        <w:t>2：</w:t>
      </w:r>
    </w:p>
    <w:p w14:paraId="411F4D94">
      <w:pPr>
        <w:spacing w:before="64" w:line="219" w:lineRule="auto"/>
        <w:ind w:left="3988"/>
        <w:rPr>
          <w:rFonts w:hint="eastAsia" w:ascii="宋体" w:hAnsi="宋体" w:eastAsia="宋体" w:cs="宋体"/>
          <w:b/>
          <w:bCs/>
          <w:color w:val="auto"/>
          <w:highlight w:val="none"/>
        </w:rPr>
      </w:pPr>
      <w:r>
        <w:rPr>
          <w:rFonts w:hint="eastAsia" w:ascii="宋体" w:hAnsi="宋体" w:eastAsia="宋体" w:cs="宋体"/>
          <w:b/>
          <w:bCs/>
          <w:color w:val="auto"/>
          <w:spacing w:val="-2"/>
          <w:sz w:val="30"/>
          <w:szCs w:val="30"/>
          <w:highlight w:val="none"/>
        </w:rPr>
        <w:t>工程质量保修书</w:t>
      </w:r>
    </w:p>
    <w:p w14:paraId="57210815">
      <w:pPr>
        <w:spacing w:before="65" w:line="228" w:lineRule="auto"/>
        <w:ind w:left="430"/>
        <w:rPr>
          <w:rFonts w:hint="eastAsia" w:ascii="宋体" w:hAnsi="宋体" w:eastAsia="宋体" w:cs="宋体"/>
          <w:color w:val="auto"/>
          <w:spacing w:val="8"/>
          <w:sz w:val="20"/>
          <w:szCs w:val="20"/>
          <w:highlight w:val="none"/>
        </w:rPr>
      </w:pPr>
    </w:p>
    <w:p w14:paraId="2E193F9E">
      <w:pPr>
        <w:spacing w:before="65" w:line="228" w:lineRule="auto"/>
        <w:ind w:left="430"/>
        <w:rPr>
          <w:rFonts w:hint="eastAsia" w:ascii="宋体" w:hAnsi="宋体" w:eastAsia="宋体" w:cs="宋体"/>
          <w:color w:val="auto"/>
          <w:spacing w:val="8"/>
          <w:sz w:val="20"/>
          <w:szCs w:val="20"/>
          <w:highlight w:val="none"/>
        </w:rPr>
      </w:pPr>
    </w:p>
    <w:p w14:paraId="48748E3E">
      <w:pPr>
        <w:spacing w:before="65" w:line="228" w:lineRule="auto"/>
        <w:ind w:left="430"/>
        <w:rPr>
          <w:rFonts w:hint="eastAsia" w:ascii="宋体" w:hAnsi="宋体" w:eastAsia="宋体" w:cs="宋体"/>
          <w:color w:val="auto"/>
          <w:sz w:val="21"/>
          <w:szCs w:val="21"/>
          <w:highlight w:val="none"/>
          <w:u w:val="none" w:color="auto"/>
          <w:lang w:val="en-US" w:eastAsia="zh-CN"/>
        </w:rPr>
      </w:pPr>
      <w:r>
        <w:rPr>
          <w:rFonts w:hint="eastAsia" w:ascii="宋体" w:hAnsi="宋体" w:eastAsia="宋体" w:cs="宋体"/>
          <w:color w:val="auto"/>
          <w:spacing w:val="8"/>
          <w:sz w:val="21"/>
          <w:szCs w:val="21"/>
          <w:highlight w:val="none"/>
        </w:rPr>
        <w:t>发包人（全称</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12"/>
          <w:sz w:val="21"/>
          <w:szCs w:val="21"/>
          <w:highlight w:val="none"/>
          <w:u w:val="single"/>
          <w:lang w:val="en-US" w:eastAsia="zh-CN"/>
        </w:rPr>
        <w:t>桂林市七星区人民政府教育局</w:t>
      </w:r>
      <w:r>
        <w:rPr>
          <w:rFonts w:hint="eastAsia" w:ascii="宋体" w:hAnsi="宋体" w:eastAsia="宋体" w:cs="宋体"/>
          <w:color w:val="auto"/>
          <w:spacing w:val="12"/>
          <w:sz w:val="21"/>
          <w:szCs w:val="21"/>
          <w:highlight w:val="none"/>
          <w:u w:val="single" w:color="auto"/>
          <w:lang w:val="en-US" w:eastAsia="zh-CN"/>
        </w:rPr>
        <w:t xml:space="preserve">   </w:t>
      </w:r>
      <w:r>
        <w:rPr>
          <w:rFonts w:hint="eastAsia" w:ascii="宋体" w:hAnsi="宋体" w:eastAsia="宋体" w:cs="宋体"/>
          <w:color w:val="auto"/>
          <w:spacing w:val="12"/>
          <w:sz w:val="21"/>
          <w:szCs w:val="21"/>
          <w:highlight w:val="none"/>
          <w:u w:val="none" w:color="auto"/>
          <w:lang w:val="en-US" w:eastAsia="zh-CN"/>
        </w:rPr>
        <w:t xml:space="preserve">    </w:t>
      </w:r>
    </w:p>
    <w:p w14:paraId="2C76B3AB">
      <w:pPr>
        <w:spacing w:before="173" w:line="228" w:lineRule="auto"/>
        <w:ind w:left="42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6"/>
          <w:sz w:val="21"/>
          <w:szCs w:val="21"/>
          <w:highlight w:val="none"/>
        </w:rPr>
        <w:t>承包人（全称</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6"/>
          <w:sz w:val="21"/>
          <w:szCs w:val="21"/>
          <w:highlight w:val="none"/>
          <w:u w:val="single" w:color="auto"/>
        </w:rPr>
        <w:t>中标后填写</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u w:val="single" w:color="auto"/>
          <w:lang w:val="en-US" w:eastAsia="zh-CN"/>
        </w:rPr>
        <w:t xml:space="preserve"> </w:t>
      </w:r>
    </w:p>
    <w:p w14:paraId="0C4CE812">
      <w:pPr>
        <w:pStyle w:val="2"/>
        <w:spacing w:line="262" w:lineRule="auto"/>
        <w:rPr>
          <w:rFonts w:hint="eastAsia" w:ascii="宋体" w:hAnsi="宋体" w:eastAsia="宋体" w:cs="宋体"/>
          <w:color w:val="auto"/>
          <w:sz w:val="21"/>
          <w:szCs w:val="21"/>
          <w:highlight w:val="none"/>
        </w:rPr>
      </w:pPr>
    </w:p>
    <w:p w14:paraId="2F32E875">
      <w:pPr>
        <w:pStyle w:val="2"/>
        <w:spacing w:line="262" w:lineRule="auto"/>
        <w:rPr>
          <w:rFonts w:hint="eastAsia" w:ascii="宋体" w:hAnsi="宋体" w:eastAsia="宋体" w:cs="宋体"/>
          <w:color w:val="auto"/>
          <w:sz w:val="21"/>
          <w:szCs w:val="21"/>
          <w:highlight w:val="none"/>
        </w:rPr>
      </w:pPr>
    </w:p>
    <w:p w14:paraId="18408EF1">
      <w:pPr>
        <w:spacing w:before="65" w:line="388" w:lineRule="auto"/>
        <w:ind w:left="8" w:right="16" w:firstLine="421"/>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发包人和承包人根据《中华人民共和国建筑法》和《建设工程质量管理条例》以</w:t>
      </w:r>
      <w:r>
        <w:rPr>
          <w:rFonts w:hint="eastAsia" w:ascii="宋体" w:hAnsi="宋体" w:eastAsia="宋体" w:cs="宋体"/>
          <w:color w:val="auto"/>
          <w:spacing w:val="5"/>
          <w:sz w:val="21"/>
          <w:szCs w:val="21"/>
          <w:highlight w:val="none"/>
        </w:rPr>
        <w:t>及其他相关管理规定，</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经协商一致就</w:t>
      </w:r>
      <w:r>
        <w:rPr>
          <w:rFonts w:hint="eastAsia" w:ascii="宋体" w:hAnsi="宋体" w:cs="宋体"/>
          <w:color w:val="auto"/>
          <w:spacing w:val="9"/>
          <w:sz w:val="21"/>
          <w:szCs w:val="21"/>
          <w:highlight w:val="none"/>
          <w:u w:val="single" w:color="auto"/>
          <w:lang w:val="en-US" w:eastAsia="zh-CN"/>
        </w:rPr>
        <w:t xml:space="preserve">                    </w:t>
      </w:r>
      <w:r>
        <w:rPr>
          <w:rFonts w:hint="eastAsia" w:ascii="宋体" w:hAnsi="宋体" w:eastAsia="宋体" w:cs="宋体"/>
          <w:color w:val="auto"/>
          <w:spacing w:val="8"/>
          <w:sz w:val="21"/>
          <w:szCs w:val="21"/>
          <w:highlight w:val="none"/>
          <w:u w:val="single" w:color="auto"/>
        </w:rPr>
        <w:t xml:space="preserve"> </w:t>
      </w:r>
      <w:r>
        <w:rPr>
          <w:rFonts w:hint="eastAsia" w:ascii="宋体" w:hAnsi="宋体" w:eastAsia="宋体" w:cs="宋体"/>
          <w:color w:val="auto"/>
          <w:spacing w:val="8"/>
          <w:sz w:val="21"/>
          <w:szCs w:val="21"/>
          <w:highlight w:val="none"/>
        </w:rPr>
        <w:t>（工程全称）签订工程质量保修</w:t>
      </w:r>
      <w:r>
        <w:rPr>
          <w:rFonts w:hint="eastAsia" w:ascii="宋体" w:hAnsi="宋体" w:eastAsia="宋体" w:cs="宋体"/>
          <w:color w:val="auto"/>
          <w:spacing w:val="-2"/>
          <w:sz w:val="21"/>
          <w:szCs w:val="21"/>
          <w:highlight w:val="none"/>
        </w:rPr>
        <w:t>书。</w:t>
      </w:r>
    </w:p>
    <w:p w14:paraId="3E07EF28">
      <w:pPr>
        <w:spacing w:before="174" w:line="228" w:lineRule="auto"/>
        <w:ind w:left="43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一、工程质量保修范围和内容</w:t>
      </w:r>
    </w:p>
    <w:p w14:paraId="4E051338">
      <w:pPr>
        <w:spacing w:before="173" w:line="228" w:lineRule="auto"/>
        <w:ind w:left="426"/>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承包人在质量保修期内，按照有关法律规定和合同约定，承担工程质量保修责任。</w:t>
      </w:r>
    </w:p>
    <w:p w14:paraId="2E0F53D9">
      <w:pPr>
        <w:spacing w:before="172" w:line="388" w:lineRule="auto"/>
        <w:ind w:left="7" w:firstLine="42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质量保修范围包括地基基础工程、主体结构工程，屋面防水工程、有防水要求的卫生间、</w:t>
      </w:r>
      <w:r>
        <w:rPr>
          <w:rFonts w:hint="eastAsia" w:ascii="宋体" w:hAnsi="宋体" w:eastAsia="宋体" w:cs="宋体"/>
          <w:color w:val="auto"/>
          <w:spacing w:val="8"/>
          <w:sz w:val="21"/>
          <w:szCs w:val="21"/>
          <w:highlight w:val="none"/>
        </w:rPr>
        <w:t>房间和外墙</w:t>
      </w:r>
      <w:r>
        <w:rPr>
          <w:rFonts w:hint="eastAsia" w:ascii="宋体" w:hAnsi="宋体" w:eastAsia="宋体" w:cs="宋体"/>
          <w:color w:val="auto"/>
          <w:spacing w:val="6"/>
          <w:sz w:val="21"/>
          <w:szCs w:val="21"/>
          <w:highlight w:val="none"/>
        </w:rPr>
        <w:t>面的防渗漏，供热与供冷系统，电气管线、给排水管道、设备安装和装修工程，以及双方约定的其他项目。</w:t>
      </w:r>
      <w:r>
        <w:rPr>
          <w:rFonts w:hint="eastAsia" w:ascii="宋体" w:hAnsi="宋体" w:eastAsia="宋体" w:cs="宋体"/>
          <w:color w:val="auto"/>
          <w:spacing w:val="2"/>
          <w:sz w:val="21"/>
          <w:szCs w:val="21"/>
          <w:highlight w:val="none"/>
        </w:rPr>
        <w:t>具体保修的内容，双方约定如下：</w:t>
      </w:r>
      <w:r>
        <w:rPr>
          <w:rFonts w:hint="eastAsia" w:ascii="宋体" w:hAnsi="宋体" w:eastAsia="宋体" w:cs="宋体"/>
          <w:color w:val="auto"/>
          <w:spacing w:val="2"/>
          <w:sz w:val="21"/>
          <w:szCs w:val="21"/>
          <w:highlight w:val="none"/>
          <w:u w:val="single" w:color="auto"/>
        </w:rPr>
        <w:t>施</w:t>
      </w:r>
      <w:r>
        <w:rPr>
          <w:rFonts w:hint="eastAsia" w:ascii="宋体" w:hAnsi="宋体" w:eastAsia="宋体" w:cs="宋体"/>
          <w:color w:val="auto"/>
          <w:spacing w:val="-44"/>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工</w:t>
      </w:r>
      <w:r>
        <w:rPr>
          <w:rFonts w:hint="eastAsia" w:ascii="宋体" w:hAnsi="宋体" w:eastAsia="宋体" w:cs="宋体"/>
          <w:color w:val="auto"/>
          <w:spacing w:val="-41"/>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范</w:t>
      </w:r>
      <w:r>
        <w:rPr>
          <w:rFonts w:hint="eastAsia" w:ascii="宋体" w:hAnsi="宋体" w:eastAsia="宋体" w:cs="宋体"/>
          <w:color w:val="auto"/>
          <w:spacing w:val="-30"/>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围</w:t>
      </w:r>
      <w:r>
        <w:rPr>
          <w:rFonts w:hint="eastAsia" w:ascii="宋体" w:hAnsi="宋体" w:eastAsia="宋体" w:cs="宋体"/>
          <w:color w:val="auto"/>
          <w:spacing w:val="-21"/>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内</w:t>
      </w:r>
      <w:r>
        <w:rPr>
          <w:rFonts w:hint="eastAsia" w:ascii="宋体" w:hAnsi="宋体" w:eastAsia="宋体" w:cs="宋体"/>
          <w:color w:val="auto"/>
          <w:spacing w:val="-48"/>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及</w:t>
      </w:r>
      <w:r>
        <w:rPr>
          <w:rFonts w:hint="eastAsia" w:ascii="宋体" w:hAnsi="宋体" w:eastAsia="宋体" w:cs="宋体"/>
          <w:color w:val="auto"/>
          <w:spacing w:val="-43"/>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设</w:t>
      </w:r>
      <w:r>
        <w:rPr>
          <w:rFonts w:hint="eastAsia" w:ascii="宋体" w:hAnsi="宋体" w:eastAsia="宋体" w:cs="宋体"/>
          <w:color w:val="auto"/>
          <w:spacing w:val="-46"/>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计</w:t>
      </w:r>
      <w:r>
        <w:rPr>
          <w:rFonts w:hint="eastAsia" w:ascii="宋体" w:hAnsi="宋体" w:eastAsia="宋体" w:cs="宋体"/>
          <w:color w:val="auto"/>
          <w:spacing w:val="-47"/>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变</w:t>
      </w:r>
      <w:r>
        <w:rPr>
          <w:rFonts w:hint="eastAsia" w:ascii="宋体" w:hAnsi="宋体" w:eastAsia="宋体" w:cs="宋体"/>
          <w:color w:val="auto"/>
          <w:spacing w:val="-46"/>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更</w:t>
      </w:r>
      <w:r>
        <w:rPr>
          <w:rFonts w:hint="eastAsia" w:ascii="宋体" w:hAnsi="宋体" w:eastAsia="宋体" w:cs="宋体"/>
          <w:color w:val="auto"/>
          <w:spacing w:val="-32"/>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、签</w:t>
      </w:r>
      <w:r>
        <w:rPr>
          <w:rFonts w:hint="eastAsia" w:ascii="宋体" w:hAnsi="宋体" w:eastAsia="宋体" w:cs="宋体"/>
          <w:color w:val="auto"/>
          <w:spacing w:val="-46"/>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证</w:t>
      </w:r>
      <w:r>
        <w:rPr>
          <w:rFonts w:hint="eastAsia" w:ascii="宋体" w:hAnsi="宋体" w:eastAsia="宋体" w:cs="宋体"/>
          <w:color w:val="auto"/>
          <w:spacing w:val="-47"/>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包</w:t>
      </w:r>
      <w:r>
        <w:rPr>
          <w:rFonts w:hint="eastAsia" w:ascii="宋体" w:hAnsi="宋体" w:eastAsia="宋体" w:cs="宋体"/>
          <w:color w:val="auto"/>
          <w:spacing w:val="-48"/>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含</w:t>
      </w:r>
      <w:r>
        <w:rPr>
          <w:rFonts w:hint="eastAsia" w:ascii="宋体" w:hAnsi="宋体" w:eastAsia="宋体" w:cs="宋体"/>
          <w:color w:val="auto"/>
          <w:spacing w:val="-30"/>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的</w:t>
      </w:r>
      <w:r>
        <w:rPr>
          <w:rFonts w:hint="eastAsia" w:ascii="宋体" w:hAnsi="宋体" w:eastAsia="宋体" w:cs="宋体"/>
          <w:color w:val="auto"/>
          <w:spacing w:val="-44"/>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rPr>
        <w:t>工</w:t>
      </w:r>
      <w:r>
        <w:rPr>
          <w:rFonts w:hint="eastAsia" w:ascii="宋体" w:hAnsi="宋体" w:eastAsia="宋体" w:cs="宋体"/>
          <w:color w:val="auto"/>
          <w:spacing w:val="-47"/>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rPr>
        <w:t>程</w:t>
      </w:r>
      <w:r>
        <w:rPr>
          <w:rFonts w:hint="eastAsia" w:ascii="宋体" w:hAnsi="宋体" w:eastAsia="宋体" w:cs="宋体"/>
          <w:color w:val="auto"/>
          <w:spacing w:val="-43"/>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rPr>
        <w:t>项 目（含</w:t>
      </w:r>
      <w:r>
        <w:rPr>
          <w:rFonts w:hint="eastAsia" w:ascii="宋体" w:hAnsi="宋体" w:eastAsia="宋体" w:cs="宋体"/>
          <w:color w:val="auto"/>
          <w:spacing w:val="-47"/>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rPr>
        <w:t>承</w:t>
      </w:r>
      <w:r>
        <w:rPr>
          <w:rFonts w:hint="eastAsia" w:ascii="宋体" w:hAnsi="宋体" w:eastAsia="宋体" w:cs="宋体"/>
          <w:color w:val="auto"/>
          <w:spacing w:val="-46"/>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rPr>
        <w:t>包</w:t>
      </w:r>
      <w:r>
        <w:rPr>
          <w:rFonts w:hint="eastAsia" w:ascii="宋体" w:hAnsi="宋体" w:eastAsia="宋体" w:cs="宋体"/>
          <w:color w:val="auto"/>
          <w:spacing w:val="-47"/>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rPr>
        <w:t>人</w:t>
      </w:r>
      <w:r>
        <w:rPr>
          <w:rFonts w:hint="eastAsia" w:ascii="宋体" w:hAnsi="宋体" w:eastAsia="宋体" w:cs="宋体"/>
          <w:color w:val="auto"/>
          <w:spacing w:val="-48"/>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rPr>
        <w:t>采</w:t>
      </w:r>
      <w:r>
        <w:rPr>
          <w:rFonts w:hint="eastAsia" w:ascii="宋体" w:hAnsi="宋体" w:eastAsia="宋体" w:cs="宋体"/>
          <w:color w:val="auto"/>
          <w:spacing w:val="22"/>
          <w:sz w:val="21"/>
          <w:szCs w:val="21"/>
          <w:highlight w:val="none"/>
          <w:u w:val="single" w:color="auto"/>
        </w:rPr>
        <w:t>购的设备</w:t>
      </w:r>
      <w:r>
        <w:rPr>
          <w:rFonts w:hint="eastAsia" w:ascii="宋体" w:hAnsi="宋体" w:eastAsia="宋体" w:cs="宋体"/>
          <w:color w:val="auto"/>
          <w:spacing w:val="-21"/>
          <w:sz w:val="21"/>
          <w:szCs w:val="21"/>
          <w:highlight w:val="none"/>
          <w:u w:val="single" w:color="auto"/>
        </w:rPr>
        <w:t xml:space="preserve"> </w:t>
      </w:r>
      <w:r>
        <w:rPr>
          <w:rFonts w:hint="eastAsia" w:ascii="宋体" w:hAnsi="宋体" w:eastAsia="宋体" w:cs="宋体"/>
          <w:color w:val="auto"/>
          <w:spacing w:val="22"/>
          <w:sz w:val="21"/>
          <w:szCs w:val="21"/>
          <w:highlight w:val="none"/>
          <w:u w:val="single" w:color="auto"/>
        </w:rPr>
        <w:t>）</w:t>
      </w:r>
      <w:r>
        <w:rPr>
          <w:rFonts w:hint="eastAsia" w:ascii="宋体" w:hAnsi="宋体" w:eastAsia="宋体" w:cs="宋体"/>
          <w:color w:val="auto"/>
          <w:spacing w:val="56"/>
          <w:sz w:val="21"/>
          <w:szCs w:val="21"/>
          <w:highlight w:val="none"/>
          <w:u w:val="single" w:color="auto"/>
        </w:rPr>
        <w:t xml:space="preserve"> </w:t>
      </w:r>
      <w:r>
        <w:rPr>
          <w:rFonts w:hint="eastAsia" w:ascii="宋体" w:hAnsi="宋体" w:eastAsia="宋体" w:cs="宋体"/>
          <w:color w:val="auto"/>
          <w:spacing w:val="22"/>
          <w:sz w:val="21"/>
          <w:szCs w:val="21"/>
          <w:highlight w:val="none"/>
        </w:rPr>
        <w:t>。</w:t>
      </w:r>
    </w:p>
    <w:p w14:paraId="529BB231">
      <w:pPr>
        <w:spacing w:before="172" w:line="228" w:lineRule="auto"/>
        <w:ind w:left="43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二、质量保修期</w:t>
      </w:r>
    </w:p>
    <w:p w14:paraId="67BF8B05">
      <w:pPr>
        <w:spacing w:before="173" w:line="228" w:lineRule="auto"/>
        <w:ind w:left="426"/>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根据《建设工程质量管理条例》及有关规定，工程的质量保修期如下：</w:t>
      </w:r>
    </w:p>
    <w:p w14:paraId="52E2D3C2">
      <w:pPr>
        <w:spacing w:before="173" w:line="228" w:lineRule="auto"/>
        <w:ind w:left="442"/>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1、地基基础工程和主体结构工程为设计文件规定的该工</w:t>
      </w:r>
      <w:r>
        <w:rPr>
          <w:rFonts w:hint="eastAsia" w:ascii="宋体" w:hAnsi="宋体" w:eastAsia="宋体" w:cs="宋体"/>
          <w:color w:val="auto"/>
          <w:spacing w:val="8"/>
          <w:sz w:val="21"/>
          <w:szCs w:val="21"/>
          <w:highlight w:val="none"/>
        </w:rPr>
        <w:t>程合理使用年限；</w:t>
      </w:r>
    </w:p>
    <w:p w14:paraId="450B538C">
      <w:pPr>
        <w:spacing w:before="173" w:line="228" w:lineRule="auto"/>
        <w:ind w:left="429"/>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2、屋面防水工程、有防水要求的卫生间、房间和外墙面的防渗漏为</w:t>
      </w:r>
      <w:r>
        <w:rPr>
          <w:rFonts w:hint="eastAsia" w:ascii="宋体" w:hAnsi="宋体" w:eastAsia="宋体" w:cs="宋体"/>
          <w:color w:val="auto"/>
          <w:spacing w:val="-24"/>
          <w:sz w:val="21"/>
          <w:szCs w:val="21"/>
          <w:highlight w:val="none"/>
        </w:rPr>
        <w:t xml:space="preserve"> </w:t>
      </w:r>
      <w:r>
        <w:rPr>
          <w:rFonts w:hint="eastAsia" w:ascii="宋体" w:hAnsi="宋体" w:eastAsia="宋体" w:cs="宋体"/>
          <w:color w:val="auto"/>
          <w:spacing w:val="8"/>
          <w:sz w:val="21"/>
          <w:szCs w:val="21"/>
          <w:highlight w:val="none"/>
        </w:rPr>
        <w:t>5</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8"/>
          <w:sz w:val="21"/>
          <w:szCs w:val="21"/>
          <w:highlight w:val="none"/>
        </w:rPr>
        <w:t>年；</w:t>
      </w:r>
    </w:p>
    <w:p w14:paraId="1432DDAB">
      <w:pPr>
        <w:spacing w:before="173" w:line="228" w:lineRule="auto"/>
        <w:ind w:left="431"/>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3、装修工程为</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4"/>
          <w:sz w:val="21"/>
          <w:szCs w:val="21"/>
          <w:highlight w:val="none"/>
        </w:rPr>
        <w:t>2</w:t>
      </w:r>
      <w:r>
        <w:rPr>
          <w:rFonts w:hint="eastAsia" w:ascii="宋体" w:hAnsi="宋体" w:eastAsia="宋体" w:cs="宋体"/>
          <w:color w:val="auto"/>
          <w:spacing w:val="-37"/>
          <w:sz w:val="21"/>
          <w:szCs w:val="21"/>
          <w:highlight w:val="none"/>
        </w:rPr>
        <w:t xml:space="preserve"> </w:t>
      </w:r>
      <w:r>
        <w:rPr>
          <w:rFonts w:hint="eastAsia" w:ascii="宋体" w:hAnsi="宋体" w:eastAsia="宋体" w:cs="宋体"/>
          <w:color w:val="auto"/>
          <w:spacing w:val="4"/>
          <w:sz w:val="21"/>
          <w:szCs w:val="21"/>
          <w:highlight w:val="none"/>
        </w:rPr>
        <w:t>年；</w:t>
      </w:r>
    </w:p>
    <w:p w14:paraId="5E927C63">
      <w:pPr>
        <w:spacing w:before="173" w:line="228" w:lineRule="auto"/>
        <w:ind w:left="426"/>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4、电气管线、给排水管道、设备安装工程</w:t>
      </w:r>
      <w:r>
        <w:rPr>
          <w:rFonts w:hint="eastAsia" w:ascii="宋体" w:hAnsi="宋体" w:eastAsia="宋体" w:cs="宋体"/>
          <w:color w:val="auto"/>
          <w:spacing w:val="7"/>
          <w:sz w:val="21"/>
          <w:szCs w:val="21"/>
          <w:highlight w:val="none"/>
        </w:rPr>
        <w:t>为</w:t>
      </w:r>
      <w:r>
        <w:rPr>
          <w:rFonts w:hint="eastAsia" w:ascii="宋体" w:hAnsi="宋体" w:eastAsia="宋体" w:cs="宋体"/>
          <w:color w:val="auto"/>
          <w:spacing w:val="-37"/>
          <w:sz w:val="21"/>
          <w:szCs w:val="21"/>
          <w:highlight w:val="none"/>
        </w:rPr>
        <w:t xml:space="preserve"> </w:t>
      </w:r>
      <w:r>
        <w:rPr>
          <w:rFonts w:hint="eastAsia" w:ascii="宋体" w:hAnsi="宋体" w:eastAsia="宋体" w:cs="宋体"/>
          <w:color w:val="auto"/>
          <w:spacing w:val="7"/>
          <w:sz w:val="21"/>
          <w:szCs w:val="21"/>
          <w:highlight w:val="none"/>
        </w:rPr>
        <w:t>2</w:t>
      </w:r>
      <w:r>
        <w:rPr>
          <w:rFonts w:hint="eastAsia" w:ascii="宋体" w:hAnsi="宋体" w:eastAsia="宋体" w:cs="宋体"/>
          <w:color w:val="auto"/>
          <w:spacing w:val="-37"/>
          <w:sz w:val="21"/>
          <w:szCs w:val="21"/>
          <w:highlight w:val="none"/>
        </w:rPr>
        <w:t xml:space="preserve"> </w:t>
      </w:r>
      <w:r>
        <w:rPr>
          <w:rFonts w:hint="eastAsia" w:ascii="宋体" w:hAnsi="宋体" w:eastAsia="宋体" w:cs="宋体"/>
          <w:color w:val="auto"/>
          <w:spacing w:val="7"/>
          <w:sz w:val="21"/>
          <w:szCs w:val="21"/>
          <w:highlight w:val="none"/>
        </w:rPr>
        <w:t>年；</w:t>
      </w:r>
    </w:p>
    <w:p w14:paraId="238DB242">
      <w:pPr>
        <w:spacing w:before="173" w:line="227" w:lineRule="auto"/>
        <w:ind w:left="431"/>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5、供热与供冷系统为</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pacing w:val="7"/>
          <w:sz w:val="21"/>
          <w:szCs w:val="21"/>
          <w:highlight w:val="none"/>
        </w:rPr>
        <w:t>2</w:t>
      </w:r>
      <w:r>
        <w:rPr>
          <w:rFonts w:hint="eastAsia" w:ascii="宋体" w:hAnsi="宋体" w:eastAsia="宋体" w:cs="宋体"/>
          <w:color w:val="auto"/>
          <w:spacing w:val="-37"/>
          <w:sz w:val="21"/>
          <w:szCs w:val="21"/>
          <w:highlight w:val="none"/>
        </w:rPr>
        <w:t xml:space="preserve"> </w:t>
      </w:r>
      <w:r>
        <w:rPr>
          <w:rFonts w:hint="eastAsia" w:ascii="宋体" w:hAnsi="宋体" w:eastAsia="宋体" w:cs="宋体"/>
          <w:color w:val="auto"/>
          <w:spacing w:val="7"/>
          <w:sz w:val="21"/>
          <w:szCs w:val="21"/>
          <w:highlight w:val="none"/>
        </w:rPr>
        <w:t>个采暖期、供冷期；</w:t>
      </w:r>
    </w:p>
    <w:p w14:paraId="10065938">
      <w:pPr>
        <w:spacing w:before="174" w:line="228" w:lineRule="auto"/>
        <w:ind w:left="428"/>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6、给排水设施、道路等配套工程为</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pacing w:val="7"/>
          <w:sz w:val="21"/>
          <w:szCs w:val="21"/>
          <w:highlight w:val="none"/>
        </w:rPr>
        <w:t>2</w:t>
      </w:r>
      <w:r>
        <w:rPr>
          <w:rFonts w:hint="eastAsia" w:ascii="宋体" w:hAnsi="宋体" w:eastAsia="宋体" w:cs="宋体"/>
          <w:color w:val="auto"/>
          <w:spacing w:val="-37"/>
          <w:sz w:val="21"/>
          <w:szCs w:val="21"/>
          <w:highlight w:val="none"/>
        </w:rPr>
        <w:t xml:space="preserve"> </w:t>
      </w:r>
      <w:r>
        <w:rPr>
          <w:rFonts w:hint="eastAsia" w:ascii="宋体" w:hAnsi="宋体" w:eastAsia="宋体" w:cs="宋体"/>
          <w:color w:val="auto"/>
          <w:spacing w:val="7"/>
          <w:sz w:val="21"/>
          <w:szCs w:val="21"/>
          <w:highlight w:val="none"/>
        </w:rPr>
        <w:t>年。</w:t>
      </w:r>
    </w:p>
    <w:p w14:paraId="4C373E08">
      <w:pPr>
        <w:spacing w:before="173" w:line="228" w:lineRule="auto"/>
        <w:ind w:left="426"/>
        <w:rPr>
          <w:rFonts w:hint="eastAsia" w:ascii="宋体" w:hAnsi="宋体" w:eastAsia="宋体" w:cs="宋体"/>
          <w:color w:val="auto"/>
          <w:spacing w:val="8"/>
          <w:sz w:val="21"/>
          <w:szCs w:val="21"/>
          <w:highlight w:val="none"/>
          <w:u w:val="single"/>
        </w:rPr>
      </w:pPr>
      <w:r>
        <w:rPr>
          <w:rFonts w:hint="eastAsia" w:ascii="宋体" w:hAnsi="宋体" w:eastAsia="宋体" w:cs="宋体"/>
          <w:color w:val="auto"/>
          <w:spacing w:val="8"/>
          <w:sz w:val="21"/>
          <w:szCs w:val="21"/>
          <w:highlight w:val="none"/>
          <w:lang w:val="en-US" w:eastAsia="zh-CN"/>
        </w:rPr>
        <w:t>7</w:t>
      </w:r>
      <w:r>
        <w:rPr>
          <w:rFonts w:hint="eastAsia" w:ascii="宋体" w:hAnsi="宋体" w:eastAsia="宋体" w:cs="宋体"/>
          <w:color w:val="auto"/>
          <w:spacing w:val="8"/>
          <w:sz w:val="21"/>
          <w:szCs w:val="21"/>
          <w:highlight w:val="none"/>
        </w:rPr>
        <w:t>．其他项目保修期限约定如下：</w:t>
      </w:r>
      <w:r>
        <w:rPr>
          <w:rFonts w:hint="eastAsia" w:ascii="宋体" w:hAnsi="宋体" w:eastAsia="宋体" w:cs="宋体"/>
          <w:color w:val="auto"/>
          <w:spacing w:val="8"/>
          <w:sz w:val="21"/>
          <w:szCs w:val="21"/>
          <w:highlight w:val="none"/>
          <w:u w:val="single"/>
        </w:rPr>
        <w:t>质量保修规范按行业规范执行，如国家有新规定，则按新规</w:t>
      </w:r>
    </w:p>
    <w:p w14:paraId="39FDECB6">
      <w:pPr>
        <w:spacing w:before="173" w:line="228" w:lineRule="auto"/>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u w:val="single"/>
        </w:rPr>
        <w:t>定执行</w:t>
      </w:r>
      <w:r>
        <w:rPr>
          <w:rFonts w:hint="eastAsia" w:ascii="宋体" w:hAnsi="宋体" w:eastAsia="宋体" w:cs="宋体"/>
          <w:color w:val="auto"/>
          <w:spacing w:val="8"/>
          <w:sz w:val="21"/>
          <w:szCs w:val="21"/>
          <w:highlight w:val="none"/>
        </w:rPr>
        <w:t>。</w:t>
      </w:r>
    </w:p>
    <w:p w14:paraId="498D6C69">
      <w:pPr>
        <w:spacing w:before="173" w:line="228" w:lineRule="auto"/>
        <w:ind w:left="426"/>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质量保修期自工程竣工验收合格之日起计算。</w:t>
      </w:r>
    </w:p>
    <w:p w14:paraId="3631B678">
      <w:pPr>
        <w:spacing w:before="173" w:line="228" w:lineRule="auto"/>
        <w:ind w:left="426"/>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三、缺陷责任期</w:t>
      </w:r>
    </w:p>
    <w:p w14:paraId="4BA350B5">
      <w:pPr>
        <w:spacing w:before="173" w:line="228" w:lineRule="auto"/>
        <w:ind w:left="442"/>
        <w:rPr>
          <w:rFonts w:hint="eastAsia" w:ascii="宋体" w:hAnsi="宋体" w:eastAsia="宋体" w:cs="宋体"/>
          <w:color w:val="auto"/>
          <w:spacing w:val="10"/>
          <w:sz w:val="21"/>
          <w:szCs w:val="21"/>
          <w:highlight w:val="none"/>
        </w:rPr>
      </w:pPr>
      <w:r>
        <w:rPr>
          <w:rFonts w:hint="eastAsia" w:ascii="宋体" w:hAnsi="宋体" w:eastAsia="宋体" w:cs="宋体"/>
          <w:color w:val="auto"/>
          <w:spacing w:val="9"/>
          <w:sz w:val="21"/>
          <w:szCs w:val="21"/>
          <w:highlight w:val="none"/>
        </w:rPr>
        <w:t>工程缺陷责</w:t>
      </w:r>
      <w:r>
        <w:rPr>
          <w:rFonts w:hint="eastAsia" w:ascii="宋体" w:hAnsi="宋体" w:eastAsia="宋体" w:cs="宋体"/>
          <w:color w:val="auto"/>
          <w:spacing w:val="11"/>
          <w:sz w:val="21"/>
          <w:szCs w:val="21"/>
          <w:highlight w:val="none"/>
        </w:rPr>
        <w:t>任期为</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11"/>
          <w:sz w:val="21"/>
          <w:szCs w:val="21"/>
          <w:highlight w:val="none"/>
          <w:u w:val="single" w:color="auto"/>
        </w:rPr>
        <w:t>24</w:t>
      </w:r>
      <w:r>
        <w:rPr>
          <w:rFonts w:hint="eastAsia" w:ascii="宋体" w:hAnsi="宋体" w:eastAsia="宋体" w:cs="宋体"/>
          <w:color w:val="auto"/>
          <w:spacing w:val="-38"/>
          <w:sz w:val="21"/>
          <w:szCs w:val="21"/>
          <w:highlight w:val="none"/>
          <w:u w:val="single" w:color="auto"/>
        </w:rPr>
        <w:t xml:space="preserve"> </w:t>
      </w:r>
      <w:r>
        <w:rPr>
          <w:rFonts w:hint="eastAsia" w:ascii="宋体" w:hAnsi="宋体" w:eastAsia="宋体" w:cs="宋体"/>
          <w:color w:val="auto"/>
          <w:spacing w:val="11"/>
          <w:sz w:val="21"/>
          <w:szCs w:val="21"/>
          <w:highlight w:val="none"/>
        </w:rPr>
        <w:t>个月，缺陷责任期自工程竣工验收合格之日起计算。缺</w:t>
      </w:r>
      <w:r>
        <w:rPr>
          <w:rFonts w:hint="eastAsia" w:ascii="宋体" w:hAnsi="宋体" w:eastAsia="宋体" w:cs="宋体"/>
          <w:color w:val="auto"/>
          <w:spacing w:val="10"/>
          <w:sz w:val="21"/>
          <w:szCs w:val="21"/>
          <w:highlight w:val="none"/>
        </w:rPr>
        <w:t>陷责任期终止</w:t>
      </w:r>
    </w:p>
    <w:p w14:paraId="1394A308">
      <w:pPr>
        <w:spacing w:before="173" w:line="228" w:lineRule="auto"/>
        <w:rPr>
          <w:rFonts w:hint="eastAsia" w:ascii="宋体" w:hAnsi="宋体" w:eastAsia="宋体" w:cs="宋体"/>
          <w:color w:val="auto"/>
          <w:spacing w:val="9"/>
          <w:sz w:val="21"/>
          <w:szCs w:val="21"/>
          <w:highlight w:val="none"/>
        </w:rPr>
      </w:pPr>
      <w:r>
        <w:rPr>
          <w:rFonts w:hint="eastAsia" w:ascii="宋体" w:hAnsi="宋体" w:eastAsia="宋体" w:cs="宋体"/>
          <w:color w:val="auto"/>
          <w:spacing w:val="10"/>
          <w:sz w:val="21"/>
          <w:szCs w:val="21"/>
          <w:highlight w:val="none"/>
        </w:rPr>
        <w:t>后，</w:t>
      </w:r>
      <w:r>
        <w:rPr>
          <w:rFonts w:hint="eastAsia" w:ascii="宋体" w:hAnsi="宋体" w:eastAsia="宋体" w:cs="宋体"/>
          <w:color w:val="auto"/>
          <w:spacing w:val="9"/>
          <w:sz w:val="21"/>
          <w:szCs w:val="21"/>
          <w:highlight w:val="none"/>
        </w:rPr>
        <w:t>发包人应退还质量保证金。</w:t>
      </w:r>
    </w:p>
    <w:p w14:paraId="677E243E">
      <w:pPr>
        <w:spacing w:before="172" w:line="228" w:lineRule="auto"/>
        <w:ind w:left="552"/>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四、质量保修责任</w:t>
      </w:r>
    </w:p>
    <w:p w14:paraId="06E54FBE">
      <w:pPr>
        <w:spacing w:before="173" w:line="228" w:lineRule="auto"/>
        <w:ind w:left="442"/>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1．属于保修范围、 内容的项目，承包人应当在接到保修通知之日起 7 天内派人保修。承</w:t>
      </w:r>
    </w:p>
    <w:p w14:paraId="644D2173">
      <w:pPr>
        <w:spacing w:before="173" w:line="228" w:lineRule="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包人不在约定期限内派人保修的，发包人可以委托他人修理。</w:t>
      </w:r>
    </w:p>
    <w:p w14:paraId="328B158E">
      <w:pPr>
        <w:spacing w:before="173" w:line="228" w:lineRule="auto"/>
        <w:ind w:left="429"/>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2．发生紧急事故需抢修的，承包人在接到事故通知后，应当立即到达事故现场抢修。</w:t>
      </w:r>
    </w:p>
    <w:p w14:paraId="7F30F63F">
      <w:pPr>
        <w:spacing w:before="65" w:line="388" w:lineRule="auto"/>
        <w:ind w:left="6" w:right="1" w:firstLine="425"/>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3．对于涉及结构安全的质量问题，应当按照</w:t>
      </w:r>
      <w:r>
        <w:rPr>
          <w:rFonts w:hint="eastAsia" w:ascii="宋体" w:hAnsi="宋体" w:eastAsia="宋体" w:cs="宋体"/>
          <w:color w:val="auto"/>
          <w:spacing w:val="11"/>
          <w:sz w:val="21"/>
          <w:szCs w:val="21"/>
          <w:highlight w:val="none"/>
        </w:rPr>
        <w:t>《建设工程质量管理条例》的规定，立即向当地建设行</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政主管部门和有关部门报告，采取安全防范措施，并由原设计人或者具有相应资质等级的设计人提出保修</w:t>
      </w:r>
      <w:r>
        <w:rPr>
          <w:rFonts w:hint="eastAsia" w:ascii="宋体" w:hAnsi="宋体" w:eastAsia="宋体" w:cs="宋体"/>
          <w:color w:val="auto"/>
          <w:spacing w:val="8"/>
          <w:sz w:val="21"/>
          <w:szCs w:val="21"/>
          <w:highlight w:val="none"/>
        </w:rPr>
        <w:t>方案，承包人实施保修。</w:t>
      </w:r>
    </w:p>
    <w:p w14:paraId="3C44C71F">
      <w:pPr>
        <w:spacing w:before="173" w:line="228" w:lineRule="auto"/>
        <w:ind w:left="426"/>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4．质量保修完成后，由发包人组织验收。</w:t>
      </w:r>
    </w:p>
    <w:p w14:paraId="2612308E">
      <w:pPr>
        <w:spacing w:before="173" w:line="228" w:lineRule="auto"/>
        <w:ind w:left="43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五、保修费用</w:t>
      </w:r>
    </w:p>
    <w:p w14:paraId="4484DBF0">
      <w:pPr>
        <w:spacing w:before="173" w:line="228" w:lineRule="auto"/>
        <w:ind w:left="427"/>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保修费用由造成质量缺陷的责任方承担。</w:t>
      </w:r>
    </w:p>
    <w:p w14:paraId="207DCC29">
      <w:pPr>
        <w:spacing w:before="173" w:line="228" w:lineRule="auto"/>
        <w:ind w:left="428"/>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六、双方约定的其他工程质量保修事项：</w:t>
      </w:r>
      <w:r>
        <w:rPr>
          <w:rFonts w:hint="eastAsia" w:ascii="宋体" w:hAnsi="宋体" w:eastAsia="宋体" w:cs="宋体"/>
          <w:color w:val="auto"/>
          <w:spacing w:val="8"/>
          <w:sz w:val="21"/>
          <w:szCs w:val="21"/>
          <w:highlight w:val="none"/>
          <w:u w:val="single" w:color="auto"/>
        </w:rPr>
        <w:t xml:space="preserve">     </w:t>
      </w:r>
      <w:r>
        <w:rPr>
          <w:rFonts w:hint="eastAsia" w:ascii="宋体" w:hAnsi="宋体" w:eastAsia="宋体" w:cs="宋体"/>
          <w:color w:val="auto"/>
          <w:spacing w:val="7"/>
          <w:sz w:val="21"/>
          <w:szCs w:val="21"/>
          <w:highlight w:val="none"/>
          <w:u w:val="single" w:color="auto"/>
        </w:rPr>
        <w:t xml:space="preserve">  </w:t>
      </w:r>
      <w:r>
        <w:rPr>
          <w:rFonts w:hint="eastAsia" w:ascii="宋体" w:hAnsi="宋体" w:eastAsia="宋体" w:cs="宋体"/>
          <w:color w:val="auto"/>
          <w:spacing w:val="7"/>
          <w:sz w:val="21"/>
          <w:szCs w:val="21"/>
          <w:highlight w:val="none"/>
        </w:rPr>
        <w:t>。</w:t>
      </w:r>
    </w:p>
    <w:p w14:paraId="3D0B4113">
      <w:pPr>
        <w:spacing w:before="65" w:line="388" w:lineRule="auto"/>
        <w:ind w:left="6" w:right="1" w:firstLine="425"/>
        <w:rPr>
          <w:rFonts w:hint="eastAsia" w:ascii="宋体" w:hAnsi="宋体" w:eastAsia="宋体" w:cs="宋体"/>
          <w:color w:val="auto"/>
          <w:spacing w:val="12"/>
          <w:sz w:val="21"/>
          <w:szCs w:val="21"/>
          <w:highlight w:val="none"/>
        </w:rPr>
      </w:pPr>
      <w:r>
        <w:rPr>
          <w:rFonts w:hint="eastAsia" w:ascii="宋体" w:hAnsi="宋体" w:eastAsia="宋体" w:cs="宋体"/>
          <w:color w:val="auto"/>
          <w:spacing w:val="12"/>
          <w:sz w:val="21"/>
          <w:szCs w:val="21"/>
          <w:highlight w:val="none"/>
        </w:rPr>
        <w:t>工程质量保修书由发包人、承包人在工程竣工验收前共同签署，作为施工合同附件，其有效期限至保修期满。</w:t>
      </w:r>
    </w:p>
    <w:p w14:paraId="2428467E">
      <w:pPr>
        <w:spacing w:before="18"/>
        <w:rPr>
          <w:rFonts w:hint="eastAsia" w:ascii="宋体" w:hAnsi="宋体" w:eastAsia="宋体" w:cs="宋体"/>
          <w:color w:val="auto"/>
          <w:sz w:val="21"/>
          <w:szCs w:val="21"/>
          <w:highlight w:val="none"/>
        </w:rPr>
      </w:pPr>
    </w:p>
    <w:p w14:paraId="6826C4B8">
      <w:pPr>
        <w:spacing w:before="17"/>
        <w:rPr>
          <w:rFonts w:hint="eastAsia" w:ascii="宋体" w:hAnsi="宋体" w:eastAsia="宋体" w:cs="宋体"/>
          <w:color w:val="auto"/>
          <w:sz w:val="21"/>
          <w:szCs w:val="21"/>
          <w:highlight w:val="none"/>
        </w:rPr>
      </w:pPr>
    </w:p>
    <w:p w14:paraId="336A60DD">
      <w:pPr>
        <w:spacing w:before="17"/>
        <w:rPr>
          <w:rFonts w:hint="eastAsia" w:ascii="宋体" w:hAnsi="宋体" w:eastAsia="宋体" w:cs="宋体"/>
          <w:color w:val="auto"/>
          <w:sz w:val="21"/>
          <w:szCs w:val="21"/>
          <w:highlight w:val="none"/>
        </w:rPr>
      </w:pPr>
    </w:p>
    <w:p w14:paraId="4E9ACC1D">
      <w:pPr>
        <w:rPr>
          <w:rFonts w:hint="eastAsia" w:ascii="宋体" w:hAnsi="宋体" w:eastAsia="宋体" w:cs="宋体"/>
          <w:color w:val="auto"/>
          <w:sz w:val="21"/>
          <w:szCs w:val="21"/>
          <w:highlight w:val="none"/>
        </w:rPr>
        <w:sectPr>
          <w:headerReference r:id="rId7" w:type="default"/>
          <w:footerReference r:id="rId8" w:type="default"/>
          <w:pgSz w:w="11905" w:h="16838"/>
          <w:pgMar w:top="1134" w:right="1134" w:bottom="1134" w:left="1134" w:header="0" w:footer="850" w:gutter="0"/>
          <w:pgNumType w:fmt="decimal"/>
          <w:cols w:space="720" w:num="1"/>
          <w:rtlGutter w:val="0"/>
          <w:docGrid w:linePitch="0" w:charSpace="0"/>
        </w:sectPr>
      </w:pPr>
    </w:p>
    <w:p w14:paraId="5E9D2D71">
      <w:pPr>
        <w:spacing w:before="42" w:line="240" w:lineRule="auto"/>
        <w:ind w:left="43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发包人(公章)：</w:t>
      </w:r>
      <w:r>
        <w:rPr>
          <w:rFonts w:hint="eastAsia" w:ascii="宋体" w:hAnsi="宋体" w:eastAsia="宋体" w:cs="宋体"/>
          <w:color w:val="auto"/>
          <w:sz w:val="21"/>
          <w:szCs w:val="21"/>
          <w:highlight w:val="none"/>
          <w:u w:val="single" w:color="auto"/>
        </w:rPr>
        <w:t xml:space="preserve">               </w:t>
      </w:r>
    </w:p>
    <w:p w14:paraId="31938D8A">
      <w:pPr>
        <w:spacing w:before="174" w:line="240" w:lineRule="auto"/>
        <w:ind w:left="426"/>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地</w:t>
      </w:r>
      <w:r>
        <w:rPr>
          <w:rFonts w:hint="eastAsia" w:ascii="宋体" w:hAnsi="宋体" w:eastAsia="宋体" w:cs="宋体"/>
          <w:color w:val="auto"/>
          <w:spacing w:val="10"/>
          <w:sz w:val="21"/>
          <w:szCs w:val="21"/>
          <w:highlight w:val="none"/>
        </w:rPr>
        <w:t xml:space="preserve">  </w:t>
      </w:r>
      <w:r>
        <w:rPr>
          <w:rFonts w:hint="eastAsia" w:ascii="宋体" w:hAnsi="宋体" w:eastAsia="宋体" w:cs="宋体"/>
          <w:color w:val="auto"/>
          <w:spacing w:val="3"/>
          <w:sz w:val="21"/>
          <w:szCs w:val="21"/>
          <w:highlight w:val="none"/>
        </w:rPr>
        <w:t>址：</w:t>
      </w:r>
      <w:r>
        <w:rPr>
          <w:rFonts w:hint="eastAsia" w:ascii="宋体" w:hAnsi="宋体" w:eastAsia="宋体" w:cs="宋体"/>
          <w:color w:val="auto"/>
          <w:sz w:val="21"/>
          <w:szCs w:val="21"/>
          <w:highlight w:val="none"/>
          <w:u w:val="single" w:color="auto"/>
        </w:rPr>
        <w:t xml:space="preserve">                    </w:t>
      </w:r>
    </w:p>
    <w:p w14:paraId="274717EB">
      <w:pPr>
        <w:spacing w:before="163" w:line="240" w:lineRule="auto"/>
        <w:ind w:left="427"/>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法定代表人(签字)：</w:t>
      </w:r>
      <w:r>
        <w:rPr>
          <w:rFonts w:hint="eastAsia" w:ascii="宋体" w:hAnsi="宋体" w:eastAsia="宋体" w:cs="宋体"/>
          <w:color w:val="auto"/>
          <w:sz w:val="21"/>
          <w:szCs w:val="21"/>
          <w:highlight w:val="none"/>
          <w:u w:val="single" w:color="auto"/>
        </w:rPr>
        <w:t xml:space="preserve">           </w:t>
      </w:r>
    </w:p>
    <w:p w14:paraId="70E770A5">
      <w:pPr>
        <w:spacing w:before="173" w:line="240" w:lineRule="auto"/>
        <w:ind w:left="426"/>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委托代理人(签字)：</w:t>
      </w:r>
      <w:r>
        <w:rPr>
          <w:rFonts w:hint="eastAsia" w:ascii="宋体" w:hAnsi="宋体" w:eastAsia="宋体" w:cs="宋体"/>
          <w:color w:val="auto"/>
          <w:sz w:val="21"/>
          <w:szCs w:val="21"/>
          <w:highlight w:val="none"/>
          <w:u w:val="single" w:color="auto"/>
        </w:rPr>
        <w:t xml:space="preserve">           </w:t>
      </w:r>
    </w:p>
    <w:p w14:paraId="435D2566">
      <w:pPr>
        <w:spacing w:before="173" w:line="240" w:lineRule="auto"/>
        <w:ind w:left="451"/>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电</w:t>
      </w:r>
      <w:r>
        <w:rPr>
          <w:rFonts w:hint="eastAsia" w:ascii="宋体" w:hAnsi="宋体" w:eastAsia="宋体" w:cs="宋体"/>
          <w:color w:val="auto"/>
          <w:spacing w:val="10"/>
          <w:sz w:val="21"/>
          <w:szCs w:val="21"/>
          <w:highlight w:val="none"/>
        </w:rPr>
        <w:t xml:space="preserve">  </w:t>
      </w:r>
      <w:r>
        <w:rPr>
          <w:rFonts w:hint="eastAsia" w:ascii="宋体" w:hAnsi="宋体" w:eastAsia="宋体" w:cs="宋体"/>
          <w:color w:val="auto"/>
          <w:spacing w:val="-5"/>
          <w:sz w:val="21"/>
          <w:szCs w:val="21"/>
          <w:highlight w:val="none"/>
        </w:rPr>
        <w:t>话：</w:t>
      </w:r>
      <w:r>
        <w:rPr>
          <w:rFonts w:hint="eastAsia" w:ascii="宋体" w:hAnsi="宋体" w:eastAsia="宋体" w:cs="宋体"/>
          <w:color w:val="auto"/>
          <w:sz w:val="21"/>
          <w:szCs w:val="21"/>
          <w:highlight w:val="none"/>
          <w:u w:val="single" w:color="auto"/>
        </w:rPr>
        <w:t xml:space="preserve">                    </w:t>
      </w:r>
    </w:p>
    <w:p w14:paraId="20CE5EC4">
      <w:pPr>
        <w:spacing w:before="171" w:line="240" w:lineRule="auto"/>
        <w:ind w:left="425"/>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传</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pacing w:val="3"/>
          <w:sz w:val="21"/>
          <w:szCs w:val="21"/>
          <w:highlight w:val="none"/>
        </w:rPr>
        <w:t>真：</w:t>
      </w:r>
      <w:r>
        <w:rPr>
          <w:rFonts w:hint="eastAsia" w:ascii="宋体" w:hAnsi="宋体" w:eastAsia="宋体" w:cs="宋体"/>
          <w:color w:val="auto"/>
          <w:sz w:val="21"/>
          <w:szCs w:val="21"/>
          <w:highlight w:val="none"/>
          <w:u w:val="single" w:color="auto"/>
        </w:rPr>
        <w:t xml:space="preserve">                    </w:t>
      </w:r>
    </w:p>
    <w:p w14:paraId="44489ED8">
      <w:pPr>
        <w:spacing w:before="174" w:line="240" w:lineRule="auto"/>
        <w:ind w:left="427"/>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开户银行：</w:t>
      </w:r>
      <w:r>
        <w:rPr>
          <w:rFonts w:hint="eastAsia" w:ascii="宋体" w:hAnsi="宋体" w:eastAsia="宋体" w:cs="宋体"/>
          <w:color w:val="auto"/>
          <w:sz w:val="21"/>
          <w:szCs w:val="21"/>
          <w:highlight w:val="none"/>
          <w:u w:val="single" w:color="auto"/>
        </w:rPr>
        <w:t xml:space="preserve">                  </w:t>
      </w:r>
    </w:p>
    <w:p w14:paraId="2089A9D2">
      <w:pPr>
        <w:spacing w:before="173" w:line="240" w:lineRule="auto"/>
        <w:ind w:left="43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w:t>
      </w:r>
      <w:r>
        <w:rPr>
          <w:rFonts w:hint="eastAsia" w:ascii="宋体" w:hAnsi="宋体" w:eastAsia="宋体" w:cs="宋体"/>
          <w:color w:val="auto"/>
          <w:spacing w:val="12"/>
          <w:sz w:val="21"/>
          <w:szCs w:val="21"/>
          <w:highlight w:val="none"/>
        </w:rPr>
        <w:t xml:space="preserve">  </w:t>
      </w:r>
      <w:r>
        <w:rPr>
          <w:rFonts w:hint="eastAsia" w:ascii="宋体" w:hAnsi="宋体" w:eastAsia="宋体" w:cs="宋体"/>
          <w:color w:val="auto"/>
          <w:sz w:val="21"/>
          <w:szCs w:val="21"/>
          <w:highlight w:val="none"/>
        </w:rPr>
        <w:t>号：</w:t>
      </w:r>
      <w:r>
        <w:rPr>
          <w:rFonts w:hint="eastAsia" w:ascii="宋体" w:hAnsi="宋体" w:eastAsia="宋体" w:cs="宋体"/>
          <w:color w:val="auto"/>
          <w:sz w:val="21"/>
          <w:szCs w:val="21"/>
          <w:highlight w:val="none"/>
          <w:u w:val="single" w:color="auto"/>
        </w:rPr>
        <w:t xml:space="preserve">                    </w:t>
      </w:r>
    </w:p>
    <w:p w14:paraId="71136889">
      <w:pPr>
        <w:spacing w:before="172" w:line="240" w:lineRule="auto"/>
        <w:ind w:left="442"/>
        <w:rPr>
          <w:rFonts w:hint="eastAsia" w:ascii="宋体" w:hAnsi="宋体" w:eastAsia="宋体" w:cs="宋体"/>
          <w:color w:val="auto"/>
          <w:sz w:val="21"/>
          <w:szCs w:val="21"/>
          <w:highlight w:val="none"/>
          <w:u w:val="single" w:color="auto"/>
        </w:rPr>
      </w:pPr>
      <w:r>
        <w:rPr>
          <w:rFonts w:hint="eastAsia" w:ascii="宋体" w:hAnsi="宋体" w:eastAsia="宋体" w:cs="宋体"/>
          <w:color w:val="auto"/>
          <w:spacing w:val="5"/>
          <w:sz w:val="21"/>
          <w:szCs w:val="21"/>
          <w:highlight w:val="none"/>
        </w:rPr>
        <w:t>邮政编码：</w:t>
      </w:r>
      <w:r>
        <w:rPr>
          <w:rFonts w:hint="eastAsia" w:ascii="宋体" w:hAnsi="宋体" w:eastAsia="宋体" w:cs="宋体"/>
          <w:color w:val="auto"/>
          <w:sz w:val="21"/>
          <w:szCs w:val="21"/>
          <w:highlight w:val="none"/>
          <w:u w:val="single" w:color="auto"/>
        </w:rPr>
        <w:t xml:space="preserve">                  </w:t>
      </w:r>
    </w:p>
    <w:p w14:paraId="4597F398">
      <w:pPr>
        <w:spacing w:before="42" w:line="240" w:lineRule="auto"/>
        <w:ind w:left="430"/>
        <w:rPr>
          <w:rFonts w:hint="eastAsia" w:ascii="宋体" w:hAnsi="宋体" w:eastAsia="宋体" w:cs="宋体"/>
          <w:color w:val="auto"/>
          <w:spacing w:val="7"/>
          <w:sz w:val="21"/>
          <w:szCs w:val="21"/>
          <w:highlight w:val="none"/>
        </w:rPr>
      </w:pPr>
    </w:p>
    <w:p w14:paraId="62A3862F">
      <w:pPr>
        <w:spacing w:before="42" w:line="240" w:lineRule="auto"/>
        <w:ind w:left="430"/>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 xml:space="preserve">承包人(公章)：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7"/>
          <w:sz w:val="21"/>
          <w:szCs w:val="21"/>
          <w:highlight w:val="none"/>
        </w:rPr>
        <w:t xml:space="preserve">              </w:t>
      </w:r>
    </w:p>
    <w:p w14:paraId="2B1D700F">
      <w:pPr>
        <w:spacing w:before="42" w:line="240" w:lineRule="auto"/>
        <w:ind w:left="430"/>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 xml:space="preserve">地  址：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7"/>
          <w:sz w:val="21"/>
          <w:szCs w:val="21"/>
          <w:highlight w:val="none"/>
        </w:rPr>
        <w:t xml:space="preserve">                    </w:t>
      </w:r>
    </w:p>
    <w:p w14:paraId="3B85CD60">
      <w:pPr>
        <w:spacing w:before="42" w:line="240" w:lineRule="auto"/>
        <w:ind w:left="430"/>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 xml:space="preserve">法定代表人(签字)：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7"/>
          <w:sz w:val="21"/>
          <w:szCs w:val="21"/>
          <w:highlight w:val="none"/>
        </w:rPr>
        <w:t xml:space="preserve">           </w:t>
      </w:r>
    </w:p>
    <w:p w14:paraId="7868DBDF">
      <w:pPr>
        <w:spacing w:before="42" w:line="240" w:lineRule="auto"/>
        <w:ind w:left="430"/>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 xml:space="preserve">委托代理人(签字)：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7"/>
          <w:sz w:val="21"/>
          <w:szCs w:val="21"/>
          <w:highlight w:val="none"/>
        </w:rPr>
        <w:t xml:space="preserve">           </w:t>
      </w:r>
    </w:p>
    <w:p w14:paraId="71A576FE">
      <w:pPr>
        <w:spacing w:before="42" w:line="240" w:lineRule="auto"/>
        <w:ind w:left="430"/>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 xml:space="preserve">电  话：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7"/>
          <w:sz w:val="21"/>
          <w:szCs w:val="21"/>
          <w:highlight w:val="none"/>
        </w:rPr>
        <w:t xml:space="preserve">                     </w:t>
      </w:r>
    </w:p>
    <w:p w14:paraId="16F4F78D">
      <w:pPr>
        <w:spacing w:before="42" w:line="240" w:lineRule="auto"/>
        <w:ind w:left="430"/>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 xml:space="preserve">传  真：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7"/>
          <w:sz w:val="21"/>
          <w:szCs w:val="21"/>
          <w:highlight w:val="none"/>
        </w:rPr>
        <w:t xml:space="preserve">                     </w:t>
      </w:r>
    </w:p>
    <w:p w14:paraId="76E14F96">
      <w:pPr>
        <w:spacing w:before="42" w:line="240" w:lineRule="auto"/>
        <w:ind w:left="430"/>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 xml:space="preserve">开户银行：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7"/>
          <w:sz w:val="21"/>
          <w:szCs w:val="21"/>
          <w:highlight w:val="none"/>
        </w:rPr>
        <w:t xml:space="preserve">                   </w:t>
      </w:r>
    </w:p>
    <w:p w14:paraId="53C086E7">
      <w:pPr>
        <w:spacing w:before="42" w:line="240" w:lineRule="auto"/>
        <w:ind w:left="430"/>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 xml:space="preserve">账  号：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7"/>
          <w:sz w:val="21"/>
          <w:szCs w:val="21"/>
          <w:highlight w:val="none"/>
        </w:rPr>
        <w:t xml:space="preserve">                    </w:t>
      </w:r>
    </w:p>
    <w:p w14:paraId="1C0EE02E">
      <w:pPr>
        <w:spacing w:before="42" w:line="240" w:lineRule="auto"/>
        <w:ind w:left="430"/>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邮政编码：</w:t>
      </w:r>
      <w:r>
        <w:rPr>
          <w:rFonts w:hint="eastAsia" w:ascii="宋体" w:hAnsi="宋体" w:eastAsia="宋体" w:cs="宋体"/>
          <w:color w:val="auto"/>
          <w:sz w:val="21"/>
          <w:szCs w:val="21"/>
          <w:highlight w:val="none"/>
          <w:u w:val="single" w:color="auto"/>
        </w:rPr>
        <w:t xml:space="preserve">               </w:t>
      </w:r>
    </w:p>
    <w:p w14:paraId="7229CF93">
      <w:pPr>
        <w:tabs>
          <w:tab w:val="left" w:pos="567"/>
        </w:tabs>
        <w:spacing w:line="360" w:lineRule="exact"/>
        <w:jc w:val="center"/>
        <w:outlineLvl w:val="9"/>
        <w:rPr>
          <w:rFonts w:hint="eastAsia" w:ascii="宋体" w:hAnsi="宋体" w:eastAsia="宋体" w:cs="宋体"/>
          <w:b/>
          <w:color w:val="000000"/>
          <w:kern w:val="44"/>
          <w:sz w:val="32"/>
          <w:highlight w:val="none"/>
          <w:shd w:val="clear" w:color="auto" w:fill="auto"/>
        </w:rPr>
      </w:pPr>
    </w:p>
    <w:p w14:paraId="22BDE4C3">
      <w:pPr>
        <w:tabs>
          <w:tab w:val="left" w:pos="567"/>
        </w:tabs>
        <w:spacing w:line="360" w:lineRule="exact"/>
        <w:jc w:val="center"/>
        <w:outlineLvl w:val="9"/>
        <w:rPr>
          <w:rFonts w:hint="eastAsia" w:ascii="宋体" w:hAnsi="宋体" w:eastAsia="宋体" w:cs="宋体"/>
          <w:b/>
          <w:color w:val="000000"/>
          <w:kern w:val="44"/>
          <w:sz w:val="32"/>
          <w:highlight w:val="none"/>
          <w:shd w:val="clear" w:color="auto" w:fill="auto"/>
        </w:rPr>
      </w:pPr>
    </w:p>
    <w:p w14:paraId="2C3668C3">
      <w:pPr>
        <w:tabs>
          <w:tab w:val="left" w:pos="567"/>
        </w:tabs>
        <w:spacing w:line="360" w:lineRule="exact"/>
        <w:jc w:val="center"/>
        <w:outlineLvl w:val="9"/>
        <w:rPr>
          <w:rFonts w:hint="eastAsia" w:ascii="宋体" w:hAnsi="宋体" w:eastAsia="宋体" w:cs="宋体"/>
          <w:b/>
          <w:color w:val="000000"/>
          <w:kern w:val="44"/>
          <w:sz w:val="32"/>
          <w:highlight w:val="none"/>
          <w:shd w:val="clear" w:color="auto" w:fill="auto"/>
        </w:rPr>
      </w:pPr>
    </w:p>
    <w:p w14:paraId="638B2FC1">
      <w:pPr>
        <w:tabs>
          <w:tab w:val="left" w:pos="567"/>
        </w:tabs>
        <w:spacing w:line="360" w:lineRule="exact"/>
        <w:jc w:val="center"/>
        <w:outlineLvl w:val="9"/>
        <w:rPr>
          <w:rFonts w:hint="eastAsia" w:ascii="宋体" w:hAnsi="宋体" w:eastAsia="宋体" w:cs="宋体"/>
          <w:b/>
          <w:color w:val="000000"/>
          <w:kern w:val="44"/>
          <w:sz w:val="32"/>
          <w:highlight w:val="none"/>
          <w:shd w:val="clear" w:color="auto" w:fill="auto"/>
        </w:rPr>
      </w:pPr>
    </w:p>
    <w:p w14:paraId="284D0E2E">
      <w:pPr>
        <w:tabs>
          <w:tab w:val="left" w:pos="567"/>
        </w:tabs>
        <w:spacing w:line="360" w:lineRule="exact"/>
        <w:jc w:val="center"/>
        <w:outlineLvl w:val="9"/>
        <w:rPr>
          <w:rFonts w:hint="eastAsia" w:ascii="宋体" w:hAnsi="宋体" w:eastAsia="宋体" w:cs="宋体"/>
          <w:b/>
          <w:color w:val="000000"/>
          <w:kern w:val="44"/>
          <w:sz w:val="32"/>
          <w:highlight w:val="none"/>
          <w:shd w:val="clear" w:color="auto" w:fill="auto"/>
        </w:rPr>
      </w:pPr>
    </w:p>
    <w:p w14:paraId="0CFF178E">
      <w:pPr>
        <w:tabs>
          <w:tab w:val="left" w:pos="567"/>
        </w:tabs>
        <w:spacing w:line="360" w:lineRule="exact"/>
        <w:jc w:val="center"/>
        <w:outlineLvl w:val="9"/>
        <w:rPr>
          <w:rFonts w:hint="eastAsia" w:ascii="宋体" w:hAnsi="宋体" w:eastAsia="宋体" w:cs="宋体"/>
          <w:b/>
          <w:color w:val="000000"/>
          <w:kern w:val="44"/>
          <w:sz w:val="32"/>
          <w:highlight w:val="none"/>
          <w:shd w:val="clear" w:color="auto" w:fill="auto"/>
        </w:rPr>
      </w:pPr>
    </w:p>
    <w:p w14:paraId="02AAF686">
      <w:pPr>
        <w:tabs>
          <w:tab w:val="left" w:pos="567"/>
        </w:tabs>
        <w:spacing w:line="360" w:lineRule="exact"/>
        <w:jc w:val="center"/>
        <w:outlineLvl w:val="9"/>
        <w:rPr>
          <w:rFonts w:hint="eastAsia" w:ascii="宋体" w:hAnsi="宋体" w:eastAsia="宋体" w:cs="宋体"/>
          <w:b/>
          <w:color w:val="000000"/>
          <w:kern w:val="44"/>
          <w:sz w:val="32"/>
          <w:highlight w:val="none"/>
          <w:shd w:val="clear" w:color="auto" w:fill="auto"/>
        </w:rPr>
      </w:pPr>
    </w:p>
    <w:p w14:paraId="339136F7">
      <w:pPr>
        <w:tabs>
          <w:tab w:val="left" w:pos="567"/>
        </w:tabs>
        <w:spacing w:line="360" w:lineRule="exact"/>
        <w:jc w:val="center"/>
        <w:outlineLvl w:val="9"/>
        <w:rPr>
          <w:rFonts w:hint="eastAsia" w:ascii="宋体" w:hAnsi="宋体" w:eastAsia="宋体" w:cs="宋体"/>
          <w:b/>
          <w:color w:val="000000"/>
          <w:kern w:val="44"/>
          <w:sz w:val="32"/>
          <w:highlight w:val="none"/>
          <w:shd w:val="clear" w:color="auto" w:fill="auto"/>
        </w:rPr>
      </w:pPr>
    </w:p>
    <w:p w14:paraId="589E8643">
      <w:pPr>
        <w:tabs>
          <w:tab w:val="left" w:pos="567"/>
        </w:tabs>
        <w:spacing w:line="360" w:lineRule="exact"/>
        <w:jc w:val="center"/>
        <w:outlineLvl w:val="9"/>
        <w:rPr>
          <w:rFonts w:hint="eastAsia" w:ascii="宋体" w:hAnsi="宋体" w:eastAsia="宋体" w:cs="宋体"/>
          <w:b/>
          <w:color w:val="000000"/>
          <w:kern w:val="44"/>
          <w:sz w:val="32"/>
          <w:highlight w:val="none"/>
          <w:shd w:val="clear" w:color="auto" w:fill="auto"/>
        </w:rPr>
      </w:pPr>
    </w:p>
    <w:p w14:paraId="2210DD95">
      <w:pPr>
        <w:tabs>
          <w:tab w:val="left" w:pos="567"/>
        </w:tabs>
        <w:spacing w:line="360" w:lineRule="exact"/>
        <w:jc w:val="center"/>
        <w:outlineLvl w:val="9"/>
        <w:rPr>
          <w:rFonts w:hint="eastAsia" w:ascii="宋体" w:hAnsi="宋体" w:eastAsia="宋体" w:cs="宋体"/>
          <w:b/>
          <w:color w:val="000000"/>
          <w:kern w:val="44"/>
          <w:sz w:val="32"/>
          <w:highlight w:val="none"/>
          <w:shd w:val="clear" w:color="auto" w:fill="auto"/>
        </w:rPr>
      </w:pPr>
    </w:p>
    <w:p w14:paraId="6357F602">
      <w:pPr>
        <w:tabs>
          <w:tab w:val="left" w:pos="567"/>
        </w:tabs>
        <w:spacing w:line="360" w:lineRule="exact"/>
        <w:jc w:val="center"/>
        <w:outlineLvl w:val="9"/>
        <w:rPr>
          <w:rFonts w:hint="eastAsia" w:ascii="宋体" w:hAnsi="宋体" w:eastAsia="宋体" w:cs="宋体"/>
          <w:b/>
          <w:color w:val="000000"/>
          <w:kern w:val="44"/>
          <w:sz w:val="32"/>
          <w:highlight w:val="none"/>
          <w:shd w:val="clear" w:color="auto" w:fill="auto"/>
        </w:rPr>
      </w:pPr>
    </w:p>
    <w:p w14:paraId="1737A06C">
      <w:pPr>
        <w:tabs>
          <w:tab w:val="left" w:pos="567"/>
        </w:tabs>
        <w:spacing w:line="360" w:lineRule="exact"/>
        <w:jc w:val="center"/>
        <w:outlineLvl w:val="9"/>
        <w:rPr>
          <w:rFonts w:hint="eastAsia" w:ascii="宋体" w:hAnsi="宋体" w:eastAsia="宋体" w:cs="宋体"/>
          <w:b/>
          <w:color w:val="000000"/>
          <w:kern w:val="44"/>
          <w:sz w:val="32"/>
          <w:highlight w:val="none"/>
          <w:shd w:val="clear" w:color="auto" w:fill="auto"/>
        </w:rPr>
      </w:pPr>
    </w:p>
    <w:p w14:paraId="7CA528AB">
      <w:pPr>
        <w:tabs>
          <w:tab w:val="left" w:pos="567"/>
        </w:tabs>
        <w:spacing w:line="360" w:lineRule="exact"/>
        <w:jc w:val="center"/>
        <w:outlineLvl w:val="9"/>
        <w:rPr>
          <w:rFonts w:hint="eastAsia" w:ascii="宋体" w:hAnsi="宋体" w:eastAsia="宋体" w:cs="宋体"/>
          <w:b/>
          <w:color w:val="000000"/>
          <w:kern w:val="44"/>
          <w:sz w:val="32"/>
          <w:highlight w:val="none"/>
          <w:shd w:val="clear" w:color="auto" w:fill="auto"/>
        </w:rPr>
      </w:pPr>
    </w:p>
    <w:p w14:paraId="79DBD081">
      <w:pPr>
        <w:tabs>
          <w:tab w:val="left" w:pos="567"/>
        </w:tabs>
        <w:spacing w:line="360" w:lineRule="exact"/>
        <w:jc w:val="center"/>
        <w:outlineLvl w:val="9"/>
        <w:rPr>
          <w:rFonts w:hint="eastAsia" w:ascii="宋体" w:hAnsi="宋体" w:eastAsia="宋体" w:cs="宋体"/>
          <w:b/>
          <w:color w:val="000000"/>
          <w:kern w:val="44"/>
          <w:sz w:val="32"/>
          <w:highlight w:val="none"/>
          <w:shd w:val="clear" w:color="auto" w:fill="auto"/>
        </w:rPr>
      </w:pPr>
    </w:p>
    <w:p w14:paraId="10E3AFFD">
      <w:pPr>
        <w:tabs>
          <w:tab w:val="left" w:pos="567"/>
        </w:tabs>
        <w:spacing w:line="360" w:lineRule="exact"/>
        <w:jc w:val="center"/>
        <w:outlineLvl w:val="9"/>
        <w:rPr>
          <w:rFonts w:hint="eastAsia" w:ascii="宋体" w:hAnsi="宋体" w:eastAsia="宋体" w:cs="宋体"/>
          <w:b/>
          <w:color w:val="000000"/>
          <w:kern w:val="44"/>
          <w:sz w:val="32"/>
          <w:highlight w:val="none"/>
          <w:shd w:val="clear" w:color="auto" w:fill="auto"/>
        </w:rPr>
      </w:pPr>
    </w:p>
    <w:p w14:paraId="36D5B272">
      <w:pPr>
        <w:tabs>
          <w:tab w:val="left" w:pos="567"/>
        </w:tabs>
        <w:spacing w:line="360" w:lineRule="exact"/>
        <w:jc w:val="center"/>
        <w:outlineLvl w:val="9"/>
        <w:rPr>
          <w:rFonts w:hint="eastAsia" w:ascii="宋体" w:hAnsi="宋体" w:eastAsia="宋体" w:cs="宋体"/>
          <w:b/>
          <w:color w:val="000000"/>
          <w:kern w:val="44"/>
          <w:sz w:val="32"/>
          <w:highlight w:val="none"/>
          <w:shd w:val="clear" w:color="auto" w:fill="auto"/>
        </w:rPr>
      </w:pPr>
    </w:p>
    <w:p w14:paraId="0999EF8A">
      <w:pPr>
        <w:tabs>
          <w:tab w:val="left" w:pos="567"/>
        </w:tabs>
        <w:spacing w:line="360" w:lineRule="exact"/>
        <w:jc w:val="center"/>
        <w:outlineLvl w:val="9"/>
        <w:rPr>
          <w:rFonts w:hint="eastAsia" w:ascii="宋体" w:hAnsi="宋体" w:eastAsia="宋体" w:cs="宋体"/>
          <w:b/>
          <w:color w:val="000000"/>
          <w:kern w:val="44"/>
          <w:sz w:val="32"/>
          <w:highlight w:val="none"/>
          <w:shd w:val="clear" w:color="auto" w:fill="auto"/>
        </w:rPr>
      </w:pPr>
    </w:p>
    <w:bookmarkEnd w:id="254"/>
    <w:bookmarkEnd w:id="255"/>
    <w:bookmarkEnd w:id="256"/>
    <w:bookmarkEnd w:id="257"/>
    <w:bookmarkEnd w:id="258"/>
    <w:bookmarkEnd w:id="259"/>
    <w:bookmarkEnd w:id="260"/>
    <w:p w14:paraId="44ED146E">
      <w:pPr>
        <w:spacing w:line="500" w:lineRule="exact"/>
        <w:jc w:val="center"/>
        <w:rPr>
          <w:rFonts w:hint="eastAsia" w:ascii="宋体" w:hAnsi="宋体" w:eastAsia="宋体" w:cs="宋体"/>
          <w:bCs w:val="0"/>
          <w:color w:val="000000"/>
          <w:kern w:val="0"/>
          <w:sz w:val="32"/>
          <w:highlight w:val="none"/>
          <w:shd w:val="clear" w:color="auto" w:fill="auto"/>
        </w:rPr>
      </w:pPr>
      <w:bookmarkStart w:id="1922" w:name="_Toc389145997"/>
      <w:bookmarkStart w:id="1923" w:name="_Toc207443031"/>
      <w:bookmarkStart w:id="1924" w:name="_Toc29864"/>
      <w:bookmarkStart w:id="1925" w:name="_Toc267582061"/>
      <w:bookmarkStart w:id="1926" w:name="_Toc22282"/>
      <w:bookmarkStart w:id="1927" w:name="_Toc455670848"/>
      <w:r>
        <w:rPr>
          <w:rFonts w:hint="eastAsia" w:ascii="宋体" w:hAnsi="宋体" w:eastAsia="宋体" w:cs="宋体"/>
          <w:b/>
          <w:bCs/>
          <w:color w:val="000000"/>
          <w:kern w:val="0"/>
          <w:sz w:val="32"/>
          <w:highlight w:val="none"/>
          <w:shd w:val="clear" w:color="auto" w:fill="auto"/>
        </w:rPr>
        <w:t xml:space="preserve">第六章 </w:t>
      </w:r>
      <w:bookmarkEnd w:id="1922"/>
      <w:bookmarkEnd w:id="1923"/>
      <w:bookmarkEnd w:id="1924"/>
      <w:bookmarkEnd w:id="1925"/>
      <w:bookmarkEnd w:id="1926"/>
      <w:bookmarkEnd w:id="1927"/>
      <w:bookmarkStart w:id="1928" w:name="_Toc7080"/>
      <w:bookmarkStart w:id="1929" w:name="_Toc11330"/>
      <w:r>
        <w:rPr>
          <w:rFonts w:hint="eastAsia" w:ascii="宋体" w:hAnsi="宋体" w:eastAsia="宋体" w:cs="宋体"/>
          <w:b/>
          <w:bCs/>
          <w:color w:val="000000"/>
          <w:kern w:val="0"/>
          <w:sz w:val="32"/>
          <w:highlight w:val="none"/>
          <w:shd w:val="clear" w:color="auto" w:fill="auto"/>
        </w:rPr>
        <w:t xml:space="preserve"> </w:t>
      </w:r>
      <w:bookmarkEnd w:id="1928"/>
      <w:bookmarkEnd w:id="1929"/>
      <w:bookmarkStart w:id="1930" w:name="_Toc13185"/>
      <w:r>
        <w:rPr>
          <w:rFonts w:hint="eastAsia" w:ascii="宋体" w:hAnsi="宋体" w:eastAsia="宋体" w:cs="宋体"/>
          <w:b/>
          <w:bCs/>
          <w:color w:val="000000"/>
          <w:kern w:val="0"/>
          <w:sz w:val="32"/>
          <w:highlight w:val="none"/>
          <w:shd w:val="clear" w:color="auto" w:fill="auto"/>
        </w:rPr>
        <w:t>响应文件（格式）</w:t>
      </w:r>
      <w:bookmarkEnd w:id="1930"/>
    </w:p>
    <w:p w14:paraId="72853385">
      <w:pPr>
        <w:spacing w:line="500" w:lineRule="exact"/>
        <w:rPr>
          <w:rFonts w:hint="eastAsia" w:ascii="宋体" w:hAnsi="宋体" w:eastAsia="宋体" w:cs="宋体"/>
          <w:color w:val="000000"/>
          <w:kern w:val="0"/>
          <w:sz w:val="20"/>
          <w:szCs w:val="20"/>
          <w:highlight w:val="none"/>
          <w:shd w:val="clear" w:color="auto" w:fill="auto"/>
        </w:rPr>
      </w:pPr>
    </w:p>
    <w:bookmarkEnd w:id="261"/>
    <w:bookmarkEnd w:id="262"/>
    <w:bookmarkEnd w:id="263"/>
    <w:p w14:paraId="2D88B94D">
      <w:pPr>
        <w:pStyle w:val="22"/>
        <w:spacing w:line="360" w:lineRule="auto"/>
        <w:rPr>
          <w:rFonts w:hint="eastAsia" w:ascii="宋体" w:hAnsi="宋体" w:eastAsia="宋体" w:cs="宋体"/>
          <w:b/>
          <w:color w:val="auto"/>
          <w:sz w:val="44"/>
          <w:szCs w:val="44"/>
          <w:highlight w:val="none"/>
        </w:rPr>
      </w:pPr>
      <w:bookmarkStart w:id="1931" w:name="_Toc18351"/>
      <w:bookmarkStart w:id="1932" w:name="_Toc21496"/>
      <w:bookmarkStart w:id="1933" w:name="_Toc497927069"/>
      <w:r>
        <w:rPr>
          <w:rFonts w:hint="eastAsia" w:ascii="宋体" w:hAnsi="宋体" w:eastAsia="宋体" w:cs="宋体"/>
          <w:b/>
          <w:color w:val="auto"/>
          <w:sz w:val="32"/>
          <w:highlight w:val="none"/>
        </w:rPr>
        <w:t>一、响应文件标记</w:t>
      </w:r>
      <w:bookmarkEnd w:id="1931"/>
      <w:bookmarkEnd w:id="1932"/>
      <w:bookmarkEnd w:id="1933"/>
    </w:p>
    <w:p w14:paraId="1652A4C8">
      <w:pPr>
        <w:pStyle w:val="80"/>
        <w:spacing w:line="360" w:lineRule="auto"/>
        <w:rPr>
          <w:rFonts w:hint="eastAsia" w:ascii="宋体" w:hAnsi="宋体" w:eastAsia="宋体" w:cs="宋体"/>
          <w:color w:val="auto"/>
          <w:highlight w:val="none"/>
        </w:rPr>
      </w:pPr>
    </w:p>
    <w:p w14:paraId="2C0C6CF3">
      <w:pPr>
        <w:snapToGrid w:val="0"/>
        <w:spacing w:before="120" w:beforeLines="50" w:after="50"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响 应 文 件</w:t>
      </w:r>
    </w:p>
    <w:p w14:paraId="419DBE98">
      <w:pPr>
        <w:snapToGrid w:val="0"/>
        <w:spacing w:before="120" w:beforeLines="50" w:after="50" w:line="360" w:lineRule="auto"/>
        <w:ind w:firstLine="480" w:firstLineChars="150"/>
        <w:rPr>
          <w:rFonts w:hint="eastAsia" w:ascii="宋体" w:hAnsi="宋体" w:eastAsia="宋体" w:cs="宋体"/>
          <w:b/>
          <w:color w:val="auto"/>
          <w:sz w:val="28"/>
          <w:szCs w:val="28"/>
          <w:highlight w:val="none"/>
        </w:rPr>
      </w:pPr>
      <w:r>
        <w:rPr>
          <w:rFonts w:hint="eastAsia" w:ascii="宋体" w:hAnsi="宋体" w:eastAsia="宋体" w:cs="宋体"/>
          <w:color w:val="auto"/>
          <w:sz w:val="32"/>
          <w:szCs w:val="32"/>
          <w:highlight w:val="none"/>
        </w:rPr>
        <w:t xml:space="preserve">                       </w:t>
      </w:r>
    </w:p>
    <w:p w14:paraId="2D3E154A">
      <w:pPr>
        <w:snapToGrid w:val="0"/>
        <w:spacing w:before="120" w:beforeLines="50" w:after="50" w:line="360" w:lineRule="auto"/>
        <w:rPr>
          <w:rFonts w:hint="eastAsia" w:ascii="宋体" w:hAnsi="宋体" w:eastAsia="宋体" w:cs="宋体"/>
          <w:b/>
          <w:color w:val="auto"/>
          <w:sz w:val="28"/>
          <w:szCs w:val="28"/>
          <w:highlight w:val="none"/>
        </w:rPr>
      </w:pPr>
    </w:p>
    <w:p w14:paraId="010EAC30">
      <w:pPr>
        <w:snapToGrid w:val="0"/>
        <w:spacing w:before="120" w:beforeLines="50" w:after="50" w:line="360" w:lineRule="auto"/>
        <w:jc w:val="center"/>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项目名称：</w:t>
      </w:r>
    </w:p>
    <w:p w14:paraId="2EF38460">
      <w:pPr>
        <w:snapToGrid w:val="0"/>
        <w:spacing w:before="120" w:beforeLines="50" w:after="50" w:line="360" w:lineRule="auto"/>
        <w:ind w:firstLine="2704" w:firstLineChars="962"/>
        <w:jc w:val="center"/>
        <w:rPr>
          <w:rFonts w:hint="eastAsia" w:ascii="宋体" w:hAnsi="宋体" w:eastAsia="宋体" w:cs="宋体"/>
          <w:b/>
          <w:color w:val="auto"/>
          <w:sz w:val="28"/>
          <w:szCs w:val="28"/>
          <w:highlight w:val="none"/>
        </w:rPr>
      </w:pPr>
    </w:p>
    <w:p w14:paraId="7F7BAA3E">
      <w:pPr>
        <w:snapToGrid w:val="0"/>
        <w:spacing w:before="120" w:beforeLines="50" w:after="50"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p>
    <w:p w14:paraId="185A9162">
      <w:pPr>
        <w:pStyle w:val="80"/>
        <w:spacing w:line="360" w:lineRule="auto"/>
        <w:rPr>
          <w:rFonts w:hint="eastAsia" w:ascii="宋体" w:hAnsi="宋体" w:eastAsia="宋体" w:cs="宋体"/>
          <w:b/>
          <w:color w:val="auto"/>
          <w:sz w:val="28"/>
          <w:szCs w:val="28"/>
          <w:highlight w:val="none"/>
        </w:rPr>
      </w:pPr>
    </w:p>
    <w:p w14:paraId="127D2089">
      <w:pPr>
        <w:pStyle w:val="80"/>
        <w:spacing w:line="360" w:lineRule="auto"/>
        <w:rPr>
          <w:rFonts w:hint="eastAsia" w:ascii="宋体" w:hAnsi="宋体" w:eastAsia="宋体" w:cs="宋体"/>
          <w:b/>
          <w:color w:val="auto"/>
          <w:sz w:val="28"/>
          <w:szCs w:val="28"/>
          <w:highlight w:val="none"/>
        </w:rPr>
      </w:pPr>
    </w:p>
    <w:p w14:paraId="7E238F22">
      <w:pPr>
        <w:pStyle w:val="80"/>
        <w:spacing w:line="360" w:lineRule="auto"/>
        <w:rPr>
          <w:rFonts w:hint="eastAsia" w:ascii="宋体" w:hAnsi="宋体" w:eastAsia="宋体" w:cs="宋体"/>
          <w:b/>
          <w:color w:val="auto"/>
          <w:sz w:val="28"/>
          <w:szCs w:val="28"/>
          <w:highlight w:val="none"/>
        </w:rPr>
      </w:pPr>
    </w:p>
    <w:p w14:paraId="5652FFE7">
      <w:pPr>
        <w:snapToGrid w:val="0"/>
        <w:spacing w:before="120" w:beforeLines="50" w:after="50" w:line="360" w:lineRule="auto"/>
        <w:jc w:val="center"/>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采购代理机构：</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eastAsia="zh-CN"/>
        </w:rPr>
        <w:t>广西鼎策工程顾问有限责任公司</w:t>
      </w:r>
    </w:p>
    <w:p w14:paraId="35CCCA7F">
      <w:pPr>
        <w:pStyle w:val="6"/>
        <w:spacing w:line="360" w:lineRule="auto"/>
        <w:rPr>
          <w:rFonts w:hint="eastAsia" w:ascii="宋体" w:hAnsi="宋体" w:eastAsia="宋体" w:cs="宋体"/>
          <w:color w:val="auto"/>
          <w:highlight w:val="none"/>
        </w:rPr>
      </w:pPr>
    </w:p>
    <w:p w14:paraId="6C59619A">
      <w:pPr>
        <w:pStyle w:val="17"/>
        <w:spacing w:line="360" w:lineRule="auto"/>
        <w:ind w:left="900" w:hanging="480" w:hangingChars="200"/>
        <w:rPr>
          <w:rFonts w:hint="eastAsia" w:ascii="宋体" w:hAnsi="宋体" w:eastAsia="宋体" w:cs="宋体"/>
          <w:bCs/>
          <w:color w:val="auto"/>
          <w:sz w:val="24"/>
          <w:highlight w:val="none"/>
        </w:rPr>
      </w:pPr>
      <w:bookmarkStart w:id="1934" w:name="_Toc20319_WPSOffice_Level2"/>
      <w:bookmarkStart w:id="1935" w:name="_Toc4932_WPSOffice_Level2"/>
      <w:r>
        <w:rPr>
          <w:rFonts w:hint="eastAsia" w:ascii="宋体" w:hAnsi="宋体" w:eastAsia="宋体" w:cs="宋体"/>
          <w:bCs/>
          <w:color w:val="auto"/>
          <w:sz w:val="24"/>
          <w:highlight w:val="none"/>
        </w:rPr>
        <w:t>磋商供应商[公章(CA签章)、自然人除外]：</w:t>
      </w:r>
      <w:r>
        <w:rPr>
          <w:rFonts w:hint="eastAsia" w:ascii="宋体" w:hAnsi="宋体" w:eastAsia="宋体" w:cs="宋体"/>
          <w:bCs/>
          <w:color w:val="auto"/>
          <w:sz w:val="24"/>
          <w:highlight w:val="none"/>
          <w:u w:val="single"/>
        </w:rPr>
        <w:t xml:space="preserve">                       </w:t>
      </w:r>
      <w:bookmarkEnd w:id="1934"/>
      <w:bookmarkEnd w:id="1935"/>
      <w:r>
        <w:rPr>
          <w:rFonts w:hint="eastAsia" w:ascii="宋体" w:hAnsi="宋体" w:eastAsia="宋体" w:cs="宋体"/>
          <w:bCs/>
          <w:color w:val="auto"/>
          <w:sz w:val="24"/>
          <w:highlight w:val="none"/>
          <w:u w:val="single"/>
        </w:rPr>
        <w:t xml:space="preserve">       </w:t>
      </w:r>
    </w:p>
    <w:p w14:paraId="6E9890C3">
      <w:pPr>
        <w:pStyle w:val="22"/>
        <w:spacing w:line="360" w:lineRule="auto"/>
        <w:ind w:firstLine="420"/>
        <w:rPr>
          <w:rFonts w:hint="eastAsia" w:ascii="宋体" w:hAnsi="宋体" w:eastAsia="宋体" w:cs="宋体"/>
          <w:color w:val="auto"/>
          <w:sz w:val="24"/>
          <w:szCs w:val="24"/>
          <w:highlight w:val="none"/>
        </w:rPr>
      </w:pPr>
      <w:bookmarkStart w:id="1936" w:name="_Toc32056_WPSOffice_Level2"/>
      <w:bookmarkStart w:id="1937" w:name="_Toc9622_WPSOffice_Level2"/>
      <w:r>
        <w:rPr>
          <w:rFonts w:hint="eastAsia" w:ascii="宋体" w:hAnsi="宋体" w:eastAsia="宋体" w:cs="宋体"/>
          <w:color w:val="auto"/>
          <w:sz w:val="24"/>
          <w:szCs w:val="24"/>
          <w:highlight w:val="none"/>
        </w:rPr>
        <w:t>法定代表人、负责人、自然人或相应的委托代理人签字[或盖章(CA签章)]</w:t>
      </w:r>
    </w:p>
    <w:p w14:paraId="06668242">
      <w:pPr>
        <w:pStyle w:val="17"/>
        <w:spacing w:line="360" w:lineRule="auto"/>
        <w:ind w:left="900" w:hanging="480" w:hanging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（属自然人的应在签名处加盖大拇指指印或个人CA签章）：</w:t>
      </w:r>
      <w:r>
        <w:rPr>
          <w:rFonts w:hint="eastAsia" w:ascii="宋体" w:hAnsi="宋体" w:eastAsia="宋体" w:cs="宋体"/>
          <w:color w:val="auto"/>
          <w:sz w:val="24"/>
          <w:highlight w:val="none"/>
          <w:u w:val="single"/>
        </w:rPr>
        <w:t xml:space="preserve">              </w:t>
      </w:r>
    </w:p>
    <w:p w14:paraId="14C83B6E">
      <w:pPr>
        <w:pStyle w:val="17"/>
        <w:spacing w:line="360" w:lineRule="auto"/>
        <w:ind w:left="900" w:hanging="480" w:hangingChars="2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联系电话：</w:t>
      </w:r>
      <w:bookmarkEnd w:id="1936"/>
      <w:bookmarkEnd w:id="1937"/>
      <w:r>
        <w:rPr>
          <w:rFonts w:hint="eastAsia" w:ascii="宋体" w:hAnsi="宋体" w:eastAsia="宋体" w:cs="宋体"/>
          <w:bCs/>
          <w:color w:val="auto"/>
          <w:sz w:val="24"/>
          <w:highlight w:val="none"/>
          <w:u w:val="single"/>
        </w:rPr>
        <w:t xml:space="preserve">                                                </w:t>
      </w:r>
    </w:p>
    <w:p w14:paraId="4ABA1570">
      <w:pPr>
        <w:pStyle w:val="17"/>
        <w:spacing w:line="360" w:lineRule="auto"/>
        <w:ind w:left="900" w:hanging="480" w:hangingChars="200"/>
        <w:rPr>
          <w:rFonts w:hint="eastAsia" w:ascii="宋体" w:hAnsi="宋体" w:eastAsia="宋体" w:cs="宋体"/>
          <w:bCs/>
          <w:color w:val="auto"/>
          <w:sz w:val="24"/>
          <w:highlight w:val="none"/>
        </w:rPr>
      </w:pPr>
      <w:bookmarkStart w:id="1938" w:name="_Toc26465_WPSOffice_Level2"/>
      <w:bookmarkStart w:id="1939" w:name="_Toc15933_WPSOffice_Level2"/>
      <w:r>
        <w:rPr>
          <w:rFonts w:hint="eastAsia" w:ascii="宋体" w:hAnsi="宋体" w:eastAsia="宋体" w:cs="宋体"/>
          <w:bCs/>
          <w:color w:val="auto"/>
          <w:sz w:val="24"/>
          <w:highlight w:val="none"/>
        </w:rPr>
        <w:t>日期：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bookmarkEnd w:id="1938"/>
      <w:bookmarkEnd w:id="1939"/>
    </w:p>
    <w:p w14:paraId="35355822">
      <w:pPr>
        <w:pStyle w:val="17"/>
        <w:spacing w:line="360" w:lineRule="auto"/>
        <w:ind w:left="900" w:hanging="480" w:hangingChars="200"/>
        <w:rPr>
          <w:rFonts w:hint="eastAsia" w:ascii="宋体" w:hAnsi="宋体" w:eastAsia="宋体" w:cs="宋体"/>
          <w:bCs/>
          <w:color w:val="auto"/>
          <w:sz w:val="24"/>
          <w:highlight w:val="none"/>
        </w:rPr>
      </w:pPr>
    </w:p>
    <w:p w14:paraId="50FAC1EA">
      <w:pPr>
        <w:pStyle w:val="17"/>
        <w:spacing w:line="360" w:lineRule="auto"/>
        <w:ind w:left="0" w:leftChars="0" w:firstLine="0" w:firstLineChars="0"/>
        <w:rPr>
          <w:rFonts w:hint="eastAsia" w:ascii="宋体" w:hAnsi="宋体" w:eastAsia="宋体" w:cs="宋体"/>
          <w:bCs/>
          <w:color w:val="auto"/>
          <w:sz w:val="24"/>
          <w:highlight w:val="none"/>
        </w:rPr>
      </w:pPr>
    </w:p>
    <w:p w14:paraId="0F8E4E71">
      <w:pPr>
        <w:numPr>
          <w:ilvl w:val="0"/>
          <w:numId w:val="7"/>
        </w:numPr>
        <w:spacing w:line="360" w:lineRule="auto"/>
        <w:rPr>
          <w:rFonts w:hint="eastAsia" w:ascii="宋体" w:hAnsi="宋体" w:eastAsia="宋体" w:cs="宋体"/>
          <w:b/>
          <w:bCs/>
          <w:color w:val="auto"/>
          <w:sz w:val="28"/>
          <w:szCs w:val="28"/>
          <w:highlight w:val="none"/>
        </w:rPr>
      </w:pPr>
      <w:bookmarkStart w:id="1940" w:name="_Toc21615"/>
      <w:bookmarkStart w:id="1941" w:name="_Toc497927070"/>
      <w:bookmarkStart w:id="1942" w:name="_Toc19430"/>
      <w:r>
        <w:rPr>
          <w:rFonts w:hint="eastAsia" w:ascii="宋体" w:hAnsi="宋体" w:eastAsia="宋体" w:cs="宋体"/>
          <w:b/>
          <w:bCs/>
          <w:color w:val="auto"/>
          <w:sz w:val="32"/>
          <w:szCs w:val="32"/>
          <w:highlight w:val="none"/>
        </w:rPr>
        <w:t>响应文件组成</w:t>
      </w:r>
      <w:bookmarkEnd w:id="1940"/>
      <w:bookmarkEnd w:id="1941"/>
      <w:bookmarkEnd w:id="1942"/>
    </w:p>
    <w:p w14:paraId="7831C325">
      <w:pPr>
        <w:numPr>
          <w:ilvl w:val="0"/>
          <w:numId w:val="8"/>
        </w:numPr>
        <w:spacing w:line="360" w:lineRule="auto"/>
        <w:ind w:firstLine="568" w:firstLineChars="20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资格性响应证明材料</w:t>
      </w:r>
    </w:p>
    <w:p w14:paraId="277C1FA9">
      <w:pPr>
        <w:numPr>
          <w:ilvl w:val="0"/>
          <w:numId w:val="8"/>
        </w:numPr>
        <w:spacing w:line="360" w:lineRule="auto"/>
        <w:ind w:firstLine="568" w:firstLineChars="20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符合性响应证明材料</w:t>
      </w:r>
    </w:p>
    <w:p w14:paraId="21332578">
      <w:pPr>
        <w:numPr>
          <w:ilvl w:val="0"/>
          <w:numId w:val="8"/>
        </w:numPr>
        <w:spacing w:line="360" w:lineRule="auto"/>
        <w:ind w:firstLine="568" w:firstLineChars="20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其他有效证明材料</w:t>
      </w:r>
    </w:p>
    <w:p w14:paraId="51BA7F26">
      <w:pPr>
        <w:pStyle w:val="80"/>
        <w:spacing w:line="360" w:lineRule="auto"/>
        <w:rPr>
          <w:rFonts w:hint="eastAsia" w:ascii="宋体" w:hAnsi="宋体" w:eastAsia="宋体" w:cs="宋体"/>
          <w:color w:val="auto"/>
          <w:highlight w:val="none"/>
        </w:rPr>
      </w:pPr>
    </w:p>
    <w:p w14:paraId="3FEF9411">
      <w:pPr>
        <w:tabs>
          <w:tab w:val="left" w:pos="5040"/>
        </w:tabs>
        <w:spacing w:line="360" w:lineRule="auto"/>
        <w:rPr>
          <w:rFonts w:hint="eastAsia" w:ascii="宋体" w:hAnsi="宋体" w:eastAsia="宋体" w:cs="宋体"/>
          <w:color w:val="auto"/>
          <w:szCs w:val="21"/>
          <w:highlight w:val="none"/>
        </w:rPr>
      </w:pPr>
    </w:p>
    <w:p w14:paraId="0818E582">
      <w:pPr>
        <w:pStyle w:val="2"/>
        <w:spacing w:line="360" w:lineRule="auto"/>
        <w:rPr>
          <w:rFonts w:hint="eastAsia" w:ascii="宋体" w:hAnsi="宋体" w:eastAsia="宋体" w:cs="宋体"/>
          <w:color w:val="auto"/>
          <w:szCs w:val="21"/>
          <w:highlight w:val="none"/>
        </w:rPr>
      </w:pPr>
    </w:p>
    <w:p w14:paraId="2FBAB371">
      <w:pPr>
        <w:pStyle w:val="2"/>
        <w:spacing w:line="360" w:lineRule="auto"/>
        <w:rPr>
          <w:rFonts w:hint="eastAsia" w:ascii="宋体" w:hAnsi="宋体" w:eastAsia="宋体" w:cs="宋体"/>
          <w:color w:val="auto"/>
          <w:szCs w:val="21"/>
          <w:highlight w:val="none"/>
        </w:rPr>
      </w:pPr>
    </w:p>
    <w:p w14:paraId="46A77642">
      <w:pPr>
        <w:pStyle w:val="2"/>
        <w:spacing w:line="360" w:lineRule="auto"/>
        <w:rPr>
          <w:rFonts w:hint="eastAsia" w:ascii="宋体" w:hAnsi="宋体" w:eastAsia="宋体" w:cs="宋体"/>
          <w:color w:val="auto"/>
          <w:szCs w:val="21"/>
          <w:highlight w:val="none"/>
        </w:rPr>
      </w:pPr>
    </w:p>
    <w:p w14:paraId="669E0E21">
      <w:pPr>
        <w:pStyle w:val="2"/>
        <w:spacing w:line="360" w:lineRule="auto"/>
        <w:rPr>
          <w:rFonts w:hint="eastAsia" w:ascii="宋体" w:hAnsi="宋体" w:eastAsia="宋体" w:cs="宋体"/>
          <w:color w:val="auto"/>
          <w:szCs w:val="21"/>
          <w:highlight w:val="none"/>
        </w:rPr>
      </w:pPr>
    </w:p>
    <w:p w14:paraId="44138A4E">
      <w:pPr>
        <w:spacing w:line="360" w:lineRule="auto"/>
        <w:rPr>
          <w:rFonts w:hint="eastAsia" w:ascii="宋体" w:hAnsi="宋体" w:eastAsia="宋体" w:cs="宋体"/>
          <w:color w:val="auto"/>
          <w:szCs w:val="21"/>
          <w:highlight w:val="none"/>
        </w:rPr>
      </w:pPr>
    </w:p>
    <w:p w14:paraId="7810D491">
      <w:pPr>
        <w:pStyle w:val="80"/>
        <w:spacing w:line="360" w:lineRule="auto"/>
        <w:rPr>
          <w:rFonts w:hint="eastAsia" w:ascii="宋体" w:hAnsi="宋体" w:eastAsia="宋体" w:cs="宋体"/>
          <w:color w:val="auto"/>
          <w:szCs w:val="21"/>
          <w:highlight w:val="none"/>
        </w:rPr>
      </w:pPr>
    </w:p>
    <w:p w14:paraId="1CBE7BEB">
      <w:pPr>
        <w:pStyle w:val="80"/>
        <w:spacing w:line="360" w:lineRule="auto"/>
        <w:rPr>
          <w:rFonts w:hint="eastAsia" w:ascii="宋体" w:hAnsi="宋体" w:eastAsia="宋体" w:cs="宋体"/>
          <w:color w:val="auto"/>
          <w:szCs w:val="21"/>
          <w:highlight w:val="none"/>
        </w:rPr>
      </w:pPr>
    </w:p>
    <w:p w14:paraId="3255F341">
      <w:pPr>
        <w:pStyle w:val="80"/>
        <w:spacing w:line="360" w:lineRule="auto"/>
        <w:rPr>
          <w:rFonts w:hint="eastAsia" w:ascii="宋体" w:hAnsi="宋体" w:eastAsia="宋体" w:cs="宋体"/>
          <w:color w:val="auto"/>
          <w:szCs w:val="21"/>
          <w:highlight w:val="none"/>
        </w:rPr>
      </w:pPr>
    </w:p>
    <w:p w14:paraId="6FB4748B">
      <w:pPr>
        <w:pStyle w:val="80"/>
        <w:spacing w:line="360" w:lineRule="auto"/>
        <w:rPr>
          <w:rFonts w:hint="eastAsia" w:ascii="宋体" w:hAnsi="宋体" w:eastAsia="宋体" w:cs="宋体"/>
          <w:color w:val="auto"/>
          <w:szCs w:val="21"/>
          <w:highlight w:val="none"/>
        </w:rPr>
      </w:pPr>
    </w:p>
    <w:p w14:paraId="1BF0527C">
      <w:pPr>
        <w:pStyle w:val="80"/>
        <w:spacing w:line="360" w:lineRule="auto"/>
        <w:rPr>
          <w:rFonts w:hint="eastAsia" w:ascii="宋体" w:hAnsi="宋体" w:eastAsia="宋体" w:cs="宋体"/>
          <w:color w:val="auto"/>
          <w:szCs w:val="21"/>
          <w:highlight w:val="none"/>
        </w:rPr>
      </w:pPr>
    </w:p>
    <w:p w14:paraId="05BB7BE1">
      <w:pPr>
        <w:pStyle w:val="80"/>
        <w:spacing w:line="360" w:lineRule="auto"/>
        <w:rPr>
          <w:rFonts w:hint="eastAsia" w:ascii="宋体" w:hAnsi="宋体" w:eastAsia="宋体" w:cs="宋体"/>
          <w:color w:val="auto"/>
          <w:szCs w:val="21"/>
          <w:highlight w:val="none"/>
        </w:rPr>
      </w:pPr>
    </w:p>
    <w:p w14:paraId="5875A726">
      <w:pPr>
        <w:pStyle w:val="80"/>
        <w:spacing w:line="360" w:lineRule="auto"/>
        <w:rPr>
          <w:rFonts w:hint="eastAsia" w:ascii="宋体" w:hAnsi="宋体" w:eastAsia="宋体" w:cs="宋体"/>
          <w:color w:val="auto"/>
          <w:szCs w:val="21"/>
          <w:highlight w:val="none"/>
        </w:rPr>
      </w:pPr>
    </w:p>
    <w:p w14:paraId="1FC447EA">
      <w:pPr>
        <w:pStyle w:val="80"/>
        <w:spacing w:line="360" w:lineRule="auto"/>
        <w:rPr>
          <w:rFonts w:hint="eastAsia" w:ascii="宋体" w:hAnsi="宋体" w:eastAsia="宋体" w:cs="宋体"/>
          <w:color w:val="auto"/>
          <w:szCs w:val="21"/>
          <w:highlight w:val="none"/>
        </w:rPr>
      </w:pPr>
    </w:p>
    <w:p w14:paraId="582B7144">
      <w:pPr>
        <w:pStyle w:val="80"/>
        <w:spacing w:line="360" w:lineRule="auto"/>
        <w:rPr>
          <w:rFonts w:hint="eastAsia" w:ascii="宋体" w:hAnsi="宋体" w:eastAsia="宋体" w:cs="宋体"/>
          <w:color w:val="auto"/>
          <w:szCs w:val="21"/>
          <w:highlight w:val="none"/>
        </w:rPr>
      </w:pPr>
    </w:p>
    <w:p w14:paraId="52CAAB03">
      <w:pPr>
        <w:pStyle w:val="80"/>
        <w:spacing w:line="360" w:lineRule="auto"/>
        <w:rPr>
          <w:rFonts w:hint="eastAsia" w:ascii="宋体" w:hAnsi="宋体" w:eastAsia="宋体" w:cs="宋体"/>
          <w:color w:val="auto"/>
          <w:szCs w:val="21"/>
          <w:highlight w:val="none"/>
        </w:rPr>
      </w:pPr>
    </w:p>
    <w:p w14:paraId="076F7058">
      <w:pPr>
        <w:pStyle w:val="80"/>
        <w:spacing w:line="360" w:lineRule="auto"/>
        <w:rPr>
          <w:rFonts w:hint="eastAsia" w:ascii="宋体" w:hAnsi="宋体" w:eastAsia="宋体" w:cs="宋体"/>
          <w:color w:val="auto"/>
          <w:szCs w:val="21"/>
          <w:highlight w:val="none"/>
        </w:rPr>
      </w:pPr>
    </w:p>
    <w:p w14:paraId="5A4146E6">
      <w:pPr>
        <w:pStyle w:val="80"/>
        <w:spacing w:line="360" w:lineRule="auto"/>
        <w:rPr>
          <w:rFonts w:hint="eastAsia" w:ascii="宋体" w:hAnsi="宋体" w:eastAsia="宋体" w:cs="宋体"/>
          <w:color w:val="auto"/>
          <w:szCs w:val="21"/>
          <w:highlight w:val="none"/>
        </w:rPr>
      </w:pPr>
    </w:p>
    <w:p w14:paraId="55C708EC">
      <w:pPr>
        <w:pStyle w:val="80"/>
        <w:spacing w:line="360" w:lineRule="auto"/>
        <w:rPr>
          <w:rFonts w:hint="eastAsia" w:ascii="宋体" w:hAnsi="宋体" w:eastAsia="宋体" w:cs="宋体"/>
          <w:color w:val="auto"/>
          <w:szCs w:val="21"/>
          <w:highlight w:val="none"/>
        </w:rPr>
      </w:pPr>
    </w:p>
    <w:p w14:paraId="0F2A2282">
      <w:pPr>
        <w:pStyle w:val="80"/>
        <w:spacing w:line="360" w:lineRule="auto"/>
        <w:rPr>
          <w:rFonts w:hint="eastAsia" w:ascii="宋体" w:hAnsi="宋体" w:eastAsia="宋体" w:cs="宋体"/>
          <w:color w:val="auto"/>
          <w:szCs w:val="21"/>
          <w:highlight w:val="none"/>
        </w:rPr>
      </w:pPr>
    </w:p>
    <w:p w14:paraId="436D5F5D">
      <w:pPr>
        <w:pStyle w:val="80"/>
        <w:spacing w:line="360" w:lineRule="auto"/>
        <w:rPr>
          <w:rFonts w:hint="eastAsia" w:ascii="宋体" w:hAnsi="宋体" w:eastAsia="宋体" w:cs="宋体"/>
          <w:color w:val="auto"/>
          <w:szCs w:val="21"/>
          <w:highlight w:val="none"/>
        </w:rPr>
      </w:pPr>
    </w:p>
    <w:p w14:paraId="0002D34C">
      <w:pPr>
        <w:pStyle w:val="80"/>
        <w:spacing w:line="360" w:lineRule="auto"/>
        <w:rPr>
          <w:rFonts w:hint="eastAsia" w:ascii="宋体" w:hAnsi="宋体" w:eastAsia="宋体" w:cs="宋体"/>
          <w:color w:val="auto"/>
          <w:szCs w:val="21"/>
          <w:highlight w:val="none"/>
        </w:rPr>
      </w:pPr>
    </w:p>
    <w:p w14:paraId="05353748">
      <w:pPr>
        <w:pStyle w:val="80"/>
        <w:spacing w:line="360" w:lineRule="auto"/>
        <w:rPr>
          <w:rFonts w:hint="eastAsia" w:ascii="宋体" w:hAnsi="宋体" w:eastAsia="宋体" w:cs="宋体"/>
          <w:color w:val="auto"/>
          <w:szCs w:val="21"/>
          <w:highlight w:val="none"/>
        </w:rPr>
      </w:pPr>
    </w:p>
    <w:p w14:paraId="1FD77EDA">
      <w:pPr>
        <w:pStyle w:val="6"/>
        <w:spacing w:line="360" w:lineRule="auto"/>
        <w:jc w:val="center"/>
        <w:rPr>
          <w:rFonts w:hint="eastAsia" w:ascii="宋体" w:hAnsi="宋体" w:eastAsia="宋体" w:cs="宋体"/>
          <w:color w:val="auto"/>
          <w:highlight w:val="none"/>
        </w:rPr>
      </w:pPr>
      <w:bookmarkStart w:id="1943" w:name="_Toc497927071"/>
      <w:bookmarkStart w:id="1944" w:name="_Toc11067"/>
      <w:bookmarkStart w:id="1945" w:name="_Toc7185"/>
      <w:r>
        <w:rPr>
          <w:rFonts w:hint="eastAsia" w:ascii="宋体" w:hAnsi="宋体" w:eastAsia="宋体" w:cs="宋体"/>
          <w:color w:val="auto"/>
          <w:sz w:val="32"/>
          <w:szCs w:val="32"/>
          <w:highlight w:val="none"/>
        </w:rPr>
        <w:t>（一）资格性响应证明材料目录</w:t>
      </w:r>
      <w:bookmarkEnd w:id="1943"/>
      <w:bookmarkEnd w:id="1944"/>
      <w:bookmarkEnd w:id="1945"/>
      <w:r>
        <w:rPr>
          <w:rFonts w:hint="eastAsia" w:ascii="宋体" w:hAnsi="宋体" w:eastAsia="宋体" w:cs="宋体"/>
          <w:color w:val="auto"/>
          <w:sz w:val="32"/>
          <w:szCs w:val="32"/>
          <w:highlight w:val="none"/>
        </w:rPr>
        <w:t>（根据所提供内容自行编写）</w:t>
      </w:r>
    </w:p>
    <w:p w14:paraId="5275A72F">
      <w:pPr>
        <w:tabs>
          <w:tab w:val="left" w:pos="357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1.供应商相应的法定代表人、负责人、自然人身份证正反两面复印件</w:t>
      </w:r>
      <w:r>
        <w:rPr>
          <w:rFonts w:hint="eastAsia" w:ascii="宋体" w:hAnsi="宋体" w:eastAsia="宋体" w:cs="宋体"/>
          <w:b/>
          <w:bCs/>
          <w:color w:val="auto"/>
          <w:szCs w:val="21"/>
          <w:highlight w:val="none"/>
        </w:rPr>
        <w:t>（必须提供）</w:t>
      </w:r>
      <w:r>
        <w:rPr>
          <w:rFonts w:hint="eastAsia" w:ascii="宋体" w:hAnsi="宋体" w:eastAsia="宋体" w:cs="宋体"/>
          <w:color w:val="auto"/>
          <w:szCs w:val="21"/>
          <w:highlight w:val="none"/>
        </w:rPr>
        <w:t>；</w:t>
      </w:r>
    </w:p>
    <w:p w14:paraId="2F8DA185">
      <w:pPr>
        <w:tabs>
          <w:tab w:val="left" w:pos="357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的授权委托书原件、委托代理人身份证正反面复印件以及由县级以上（含县级）社会养老保险经办机构出具的供应商为委托代理人交纳的响应文件递交截止时间前半年内任意连续三个月社保证明复印件（委托代理时必须提供）。除供应商为以下三种情形的：</w:t>
      </w:r>
    </w:p>
    <w:p w14:paraId="540A90C8">
      <w:pPr>
        <w:tabs>
          <w:tab w:val="left" w:pos="357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如供应商为截标时间前60日以内成立的公司，可以提供供应商与委托代理人签订的劳动合同复印件代替社保证明复印件；</w:t>
      </w:r>
    </w:p>
    <w:p w14:paraId="463663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（2）如供应商为事业单位，可以提供事业单位机构编制管理证复印件或事业单位机构为其发放工资的工资条复印件代替社保证明复印件；</w:t>
      </w:r>
    </w:p>
    <w:p w14:paraId="394E4F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（3）如委托代理人为免缴纳社保人员，提供免缴纳社保的证明材料复印件及供应商与委托代理人签订的劳动合同复印件代替社保证明复印件。</w:t>
      </w:r>
    </w:p>
    <w:p w14:paraId="64650876">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【属自然人的应提供由县级以上（含县级）社会养老保险经办机构出具的自然人本人及委托代理人所交纳的响应文件递交截止时间前半年内任意连续三个月社保证明复印件</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（委托代理时必须提供）</w:t>
      </w:r>
      <w:r>
        <w:rPr>
          <w:rFonts w:hint="eastAsia" w:ascii="宋体" w:hAnsi="宋体" w:eastAsia="宋体" w:cs="宋体"/>
          <w:color w:val="auto"/>
          <w:szCs w:val="21"/>
          <w:highlight w:val="none"/>
        </w:rPr>
        <w:t>；</w:t>
      </w:r>
    </w:p>
    <w:p w14:paraId="46155217">
      <w:pPr>
        <w:tabs>
          <w:tab w:val="left" w:pos="357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3.供应商参加政府采购活动前3年内在经营活动中没有重大违法记录及有关信用信息的书面声明</w:t>
      </w:r>
      <w:r>
        <w:rPr>
          <w:rFonts w:hint="eastAsia" w:ascii="宋体" w:hAnsi="宋体" w:eastAsia="宋体" w:cs="宋体"/>
          <w:b/>
          <w:bCs/>
          <w:color w:val="auto"/>
          <w:szCs w:val="21"/>
          <w:highlight w:val="none"/>
        </w:rPr>
        <w:t>（必须提供）</w:t>
      </w:r>
      <w:r>
        <w:rPr>
          <w:rFonts w:hint="eastAsia" w:ascii="宋体" w:hAnsi="宋体" w:eastAsia="宋体" w:cs="宋体"/>
          <w:color w:val="auto"/>
          <w:szCs w:val="21"/>
          <w:highlight w:val="none"/>
        </w:rPr>
        <w:t>；</w:t>
      </w:r>
    </w:p>
    <w:p w14:paraId="2FF4228F">
      <w:pPr>
        <w:spacing w:line="360" w:lineRule="auto"/>
        <w:ind w:left="420" w:left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4.供应商的法人或者其他组织营业执照等证明文件复印件</w:t>
      </w:r>
      <w:r>
        <w:rPr>
          <w:rFonts w:hint="eastAsia" w:ascii="宋体" w:hAnsi="宋体" w:eastAsia="宋体" w:cs="宋体"/>
          <w:b/>
          <w:color w:val="auto"/>
          <w:kern w:val="0"/>
          <w:szCs w:val="21"/>
          <w:highlight w:val="none"/>
        </w:rPr>
        <w:t>（必须提供，自然人除外）</w:t>
      </w:r>
      <w:r>
        <w:rPr>
          <w:rFonts w:hint="eastAsia" w:ascii="宋体" w:hAnsi="宋体" w:eastAsia="宋体" w:cs="宋体"/>
          <w:bCs/>
          <w:color w:val="auto"/>
          <w:kern w:val="0"/>
          <w:szCs w:val="21"/>
          <w:highlight w:val="none"/>
        </w:rPr>
        <w:t>；</w:t>
      </w:r>
    </w:p>
    <w:p w14:paraId="55FB14EC">
      <w:pPr>
        <w:tabs>
          <w:tab w:val="left" w:pos="357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bCs/>
          <w:color w:val="auto"/>
          <w:kern w:val="0"/>
          <w:szCs w:val="21"/>
          <w:highlight w:val="none"/>
        </w:rPr>
        <w:t>供应商有效的资质证书复印件</w:t>
      </w:r>
      <w:r>
        <w:rPr>
          <w:rFonts w:hint="eastAsia" w:ascii="宋体" w:hAnsi="宋体" w:eastAsia="宋体" w:cs="宋体"/>
          <w:b/>
          <w:bCs/>
          <w:color w:val="auto"/>
          <w:szCs w:val="21"/>
          <w:highlight w:val="none"/>
        </w:rPr>
        <w:t>（必须提供）；</w:t>
      </w:r>
    </w:p>
    <w:p w14:paraId="62201D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6.供应商有效的安全生产许可证书复印件</w:t>
      </w:r>
      <w:r>
        <w:rPr>
          <w:rFonts w:hint="eastAsia" w:ascii="宋体" w:hAnsi="宋体" w:eastAsia="宋体" w:cs="宋体"/>
          <w:b/>
          <w:bCs/>
          <w:color w:val="auto"/>
          <w:szCs w:val="21"/>
          <w:highlight w:val="none"/>
        </w:rPr>
        <w:t>（必须提供）；</w:t>
      </w:r>
    </w:p>
    <w:p w14:paraId="6A5F4B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7.供应商202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年度财务状况报告</w:t>
      </w:r>
      <w:r>
        <w:rPr>
          <w:rFonts w:hint="eastAsia" w:ascii="宋体" w:hAnsi="宋体" w:eastAsia="宋体" w:cs="宋体"/>
          <w:b/>
          <w:bCs/>
          <w:color w:val="auto"/>
          <w:szCs w:val="21"/>
          <w:highlight w:val="none"/>
        </w:rPr>
        <w:t>（必须提供，可以是磋商供应商自行编制也可是通过第三方审计公司编制，如为自行编制至少须提供现金流量表、负债表及利润表（损益表）</w:t>
      </w:r>
      <w:r>
        <w:rPr>
          <w:rFonts w:hint="eastAsia" w:ascii="宋体" w:hAnsi="宋体" w:eastAsia="宋体" w:cs="宋体"/>
          <w:b/>
          <w:bCs/>
          <w:color w:val="auto"/>
          <w:szCs w:val="21"/>
          <w:highlight w:val="none"/>
          <w:lang w:eastAsia="zh-CN"/>
        </w:rPr>
        <w:t>，新成立的公司，提供自成立之日起至磋商截止时间前一个月的报告</w:t>
      </w: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w:t>
      </w:r>
    </w:p>
    <w:p w14:paraId="1668EBA2">
      <w:pPr>
        <w:spacing w:line="360" w:lineRule="auto"/>
        <w:ind w:left="420"/>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8.供应商近半年内任意一个月或任一季度依法缴纳税收的证明材料[增值税缴纳发票(税收完税证明)</w:t>
      </w:r>
    </w:p>
    <w:p w14:paraId="78BFA934">
      <w:pPr>
        <w:spacing w:line="360" w:lineRule="auto"/>
        <w:rPr>
          <w:rFonts w:hint="eastAsia" w:ascii="宋体" w:hAnsi="宋体" w:eastAsia="宋体" w:cs="宋体"/>
          <w:b/>
          <w:bCs/>
          <w:color w:val="auto"/>
          <w:szCs w:val="21"/>
          <w:highlight w:val="none"/>
        </w:rPr>
      </w:pPr>
      <w:r>
        <w:rPr>
          <w:rFonts w:hint="eastAsia" w:ascii="宋体" w:hAnsi="宋体" w:eastAsia="宋体" w:cs="宋体"/>
          <w:bCs/>
          <w:color w:val="auto"/>
          <w:kern w:val="0"/>
          <w:szCs w:val="21"/>
          <w:highlight w:val="none"/>
          <w:lang w:val="en-US" w:eastAsia="zh-CN"/>
        </w:rPr>
        <w:t>或企业所得税完税证明或税务部门出具的免税证明]复印件</w:t>
      </w:r>
      <w:r>
        <w:rPr>
          <w:rFonts w:hint="eastAsia" w:ascii="宋体" w:hAnsi="宋体" w:eastAsia="宋体" w:cs="宋体"/>
          <w:b/>
          <w:bCs/>
          <w:color w:val="auto"/>
          <w:szCs w:val="21"/>
          <w:highlight w:val="none"/>
          <w:lang w:val="en-US" w:eastAsia="zh-CN"/>
        </w:rPr>
        <w:t xml:space="preserve">（必须提供）； </w:t>
      </w:r>
    </w:p>
    <w:p w14:paraId="7055B65C">
      <w:pPr>
        <w:numPr>
          <w:ilvl w:val="0"/>
          <w:numId w:val="9"/>
        </w:numPr>
        <w:spacing w:line="360" w:lineRule="auto"/>
        <w:ind w:left="420"/>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提供服务企业属于小型、微型企业【中小微型企业划分标准按照《国家统计局关于印发《统计上</w:t>
      </w:r>
    </w:p>
    <w:p w14:paraId="26EA6826">
      <w:pPr>
        <w:numPr>
          <w:ilvl w:val="0"/>
          <w:numId w:val="0"/>
        </w:numPr>
        <w:spacing w:line="360" w:lineRule="auto"/>
        <w:rPr>
          <w:rFonts w:hint="eastAsia" w:ascii="宋体" w:hAnsi="宋体" w:eastAsia="宋体" w:cs="宋体"/>
          <w:b/>
          <w:bCs/>
          <w:color w:val="auto"/>
          <w:szCs w:val="21"/>
          <w:highlight w:val="none"/>
          <w:lang w:eastAsia="zh-CN"/>
        </w:rPr>
      </w:pPr>
      <w:r>
        <w:rPr>
          <w:rFonts w:hint="eastAsia" w:ascii="宋体" w:hAnsi="宋体" w:eastAsia="宋体" w:cs="宋体"/>
          <w:bCs/>
          <w:color w:val="auto"/>
          <w:kern w:val="0"/>
          <w:szCs w:val="21"/>
          <w:highlight w:val="none"/>
          <w:lang w:val="en-US" w:eastAsia="zh-CN"/>
        </w:rPr>
        <w:t>大中小微型企业划分办法〔2017〕》的通知》（国统字〔2017〕213 号）执行，具体划分标准见第四章评标办法中附表《统计上大中小微型企业划分标准》】，以提供的《中小企业声明函》（见附件）为准</w:t>
      </w:r>
      <w:r>
        <w:rPr>
          <w:rFonts w:hint="eastAsia" w:ascii="宋体" w:hAnsi="宋体" w:eastAsia="宋体" w:cs="宋体"/>
          <w:b/>
          <w:bCs/>
          <w:color w:val="auto"/>
          <w:kern w:val="0"/>
          <w:sz w:val="20"/>
          <w:szCs w:val="20"/>
          <w:highlight w:val="none"/>
          <w:lang w:val="en-US" w:eastAsia="zh-CN" w:bidi="ar"/>
        </w:rPr>
        <w:t>（必须提供）；</w:t>
      </w:r>
    </w:p>
    <w:p w14:paraId="46F1A2C0">
      <w:pPr>
        <w:spacing w:line="360" w:lineRule="auto"/>
        <w:rPr>
          <w:rFonts w:hint="eastAsia" w:ascii="宋体" w:hAnsi="宋体" w:eastAsia="宋体" w:cs="宋体"/>
          <w:b/>
          <w:color w:val="auto"/>
          <w:sz w:val="28"/>
          <w:szCs w:val="28"/>
          <w:highlight w:val="none"/>
        </w:rPr>
      </w:pPr>
    </w:p>
    <w:p w14:paraId="54AD5D47">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1.</w:t>
      </w:r>
      <w:r>
        <w:rPr>
          <w:rFonts w:hint="eastAsia" w:ascii="宋体" w:hAnsi="宋体" w:eastAsia="宋体" w:cs="宋体"/>
          <w:b/>
          <w:color w:val="auto"/>
          <w:sz w:val="28"/>
          <w:szCs w:val="28"/>
          <w:highlight w:val="none"/>
        </w:rPr>
        <w:t>供应商相应的法定代表人、负责人、自然人身份证正反两面复印件（必须提供）；</w:t>
      </w:r>
    </w:p>
    <w:p w14:paraId="68107F31">
      <w:pPr>
        <w:spacing w:line="360" w:lineRule="auto"/>
        <w:rPr>
          <w:rFonts w:hint="eastAsia" w:ascii="宋体" w:hAnsi="宋体" w:eastAsia="宋体" w:cs="宋体"/>
          <w:b/>
          <w:color w:val="auto"/>
          <w:sz w:val="28"/>
          <w:szCs w:val="28"/>
          <w:highlight w:val="none"/>
        </w:rPr>
      </w:pPr>
    </w:p>
    <w:p w14:paraId="41B15C86">
      <w:pPr>
        <w:pStyle w:val="2"/>
        <w:rPr>
          <w:rFonts w:hint="eastAsia" w:ascii="宋体" w:hAnsi="宋体" w:eastAsia="宋体" w:cs="宋体"/>
          <w:b/>
          <w:color w:val="auto"/>
          <w:sz w:val="28"/>
          <w:szCs w:val="28"/>
          <w:highlight w:val="none"/>
        </w:rPr>
      </w:pPr>
    </w:p>
    <w:p w14:paraId="6F7611D8">
      <w:pPr>
        <w:rPr>
          <w:rFonts w:hint="eastAsia" w:ascii="宋体" w:hAnsi="宋体" w:eastAsia="宋体" w:cs="宋体"/>
          <w:b/>
          <w:color w:val="auto"/>
          <w:sz w:val="28"/>
          <w:szCs w:val="28"/>
          <w:highlight w:val="none"/>
        </w:rPr>
      </w:pPr>
    </w:p>
    <w:p w14:paraId="3022F741">
      <w:pPr>
        <w:pStyle w:val="2"/>
        <w:rPr>
          <w:rFonts w:hint="eastAsia"/>
          <w:highlight w:val="none"/>
        </w:rPr>
      </w:pPr>
    </w:p>
    <w:p w14:paraId="05100D91">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供应商的授权委托书原件、委托代理人身份证正反面复印件以及由县级以上（含县级）社会养老保险经办机构出具的供应商为委托代理人交纳的响应文件递交截止时间前半年内任意连续三个月社保证明复印件（委托代理时必须提供）。除供应商为以下三种情形的：</w:t>
      </w:r>
    </w:p>
    <w:p w14:paraId="0F5143C6">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 如供应商为截标时间前60日以内成立的公司，可以提供供应商与委托代理人签订的劳动合同复印件代替社保证明复印件；</w:t>
      </w:r>
    </w:p>
    <w:p w14:paraId="24D3A8ED">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（2）如供应商为事业单位，可以提供事业单位机构编制管理证复印件或事业单位机构为其发放工资的工资条复印件代替社保证明复印件；</w:t>
      </w:r>
    </w:p>
    <w:p w14:paraId="36D34E19">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（3）如委托代理人为免缴纳社保人员，提供免缴纳社保的证明材料复印件及供应商与委托代理人签订的劳动合同复印件代替社保证明复印件。</w:t>
      </w:r>
    </w:p>
    <w:p w14:paraId="77AFB7AA">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【属自然人的应提供由县级以上（含县级）社会养老保险经办机构出具的自然人本人及委托代理人所交纳的响应文件递交截止时间前半年内任意连续三个月社保证明复印件】（委托代理时必须提供）</w:t>
      </w:r>
    </w:p>
    <w:p w14:paraId="24D006F8">
      <w:pPr>
        <w:spacing w:line="360" w:lineRule="auto"/>
        <w:rPr>
          <w:rFonts w:hint="eastAsia" w:ascii="宋体" w:hAnsi="宋体" w:eastAsia="宋体" w:cs="宋体"/>
          <w:b/>
          <w:color w:val="auto"/>
          <w:sz w:val="28"/>
          <w:szCs w:val="28"/>
          <w:highlight w:val="none"/>
        </w:rPr>
      </w:pPr>
    </w:p>
    <w:p w14:paraId="513F735D">
      <w:pPr>
        <w:pStyle w:val="22"/>
        <w:spacing w:line="360" w:lineRule="auto"/>
        <w:rPr>
          <w:rFonts w:hint="eastAsia" w:ascii="宋体" w:hAnsi="宋体" w:eastAsia="宋体" w:cs="宋体"/>
          <w:b/>
          <w:color w:val="auto"/>
          <w:sz w:val="32"/>
          <w:highlight w:val="none"/>
        </w:rPr>
      </w:pPr>
    </w:p>
    <w:p w14:paraId="53AEBDE6">
      <w:pPr>
        <w:spacing w:line="360" w:lineRule="auto"/>
        <w:rPr>
          <w:rFonts w:hint="eastAsia" w:ascii="宋体" w:hAnsi="宋体" w:eastAsia="宋体" w:cs="宋体"/>
          <w:b/>
          <w:color w:val="auto"/>
          <w:sz w:val="32"/>
          <w:highlight w:val="none"/>
        </w:rPr>
      </w:pPr>
    </w:p>
    <w:p w14:paraId="34A2064E">
      <w:pPr>
        <w:pStyle w:val="4"/>
        <w:spacing w:line="360" w:lineRule="auto"/>
        <w:rPr>
          <w:rFonts w:hint="eastAsia" w:ascii="宋体" w:hAnsi="宋体" w:eastAsia="宋体" w:cs="宋体"/>
          <w:color w:val="auto"/>
          <w:highlight w:val="none"/>
        </w:rPr>
      </w:pPr>
    </w:p>
    <w:p w14:paraId="5F8BE4E0">
      <w:pPr>
        <w:spacing w:line="360" w:lineRule="auto"/>
        <w:rPr>
          <w:rFonts w:hint="eastAsia" w:ascii="宋体" w:hAnsi="宋体" w:eastAsia="宋体" w:cs="宋体"/>
          <w:color w:val="auto"/>
          <w:highlight w:val="none"/>
        </w:rPr>
      </w:pPr>
    </w:p>
    <w:p w14:paraId="52903059">
      <w:pPr>
        <w:pStyle w:val="22"/>
        <w:spacing w:line="360" w:lineRule="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附件：            </w:t>
      </w:r>
    </w:p>
    <w:p w14:paraId="4595F43F">
      <w:pPr>
        <w:pStyle w:val="22"/>
        <w:spacing w:line="360" w:lineRule="auto"/>
        <w:ind w:firstLine="630" w:firstLineChars="196"/>
        <w:jc w:val="center"/>
        <w:rPr>
          <w:rFonts w:hint="eastAsia" w:ascii="宋体" w:hAnsi="宋体" w:eastAsia="宋体" w:cs="宋体"/>
          <w:b/>
          <w:color w:val="auto"/>
          <w:sz w:val="32"/>
          <w:highlight w:val="none"/>
        </w:rPr>
      </w:pPr>
      <w:bookmarkStart w:id="1946" w:name="_Toc964_WPSOffice_Level1"/>
      <w:bookmarkStart w:id="1947" w:name="_Toc5420_WPSOffice_Level1"/>
      <w:r>
        <w:rPr>
          <w:rFonts w:hint="eastAsia" w:ascii="宋体" w:hAnsi="宋体" w:eastAsia="宋体" w:cs="宋体"/>
          <w:b/>
          <w:color w:val="auto"/>
          <w:sz w:val="32"/>
          <w:highlight w:val="none"/>
        </w:rPr>
        <w:t>授权委托书（格式一）</w:t>
      </w:r>
      <w:bookmarkEnd w:id="1946"/>
      <w:bookmarkEnd w:id="1947"/>
    </w:p>
    <w:p w14:paraId="25DE2146">
      <w:pPr>
        <w:pStyle w:val="22"/>
        <w:spacing w:line="360" w:lineRule="auto"/>
        <w:rPr>
          <w:rFonts w:hint="eastAsia" w:ascii="宋体" w:hAnsi="宋体" w:eastAsia="宋体" w:cs="宋体"/>
          <w:color w:val="auto"/>
          <w:highlight w:val="none"/>
        </w:rPr>
      </w:pPr>
    </w:p>
    <w:p w14:paraId="1DDBCD83">
      <w:pPr>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eastAsia="zh-CN"/>
        </w:rPr>
        <w:t>广西鼎策工程顾问有限责任公司</w:t>
      </w:r>
      <w:r>
        <w:rPr>
          <w:rFonts w:hint="eastAsia" w:ascii="宋体" w:hAnsi="宋体" w:eastAsia="宋体" w:cs="宋体"/>
          <w:color w:val="auto"/>
          <w:szCs w:val="21"/>
          <w:highlight w:val="none"/>
          <w:u w:val="single"/>
        </w:rPr>
        <w:t xml:space="preserve"> </w:t>
      </w:r>
    </w:p>
    <w:p w14:paraId="6C2C0AB4">
      <w:pPr>
        <w:spacing w:line="360" w:lineRule="auto"/>
        <w:rPr>
          <w:rFonts w:hint="eastAsia" w:ascii="宋体" w:hAnsi="宋体" w:eastAsia="宋体" w:cs="宋体"/>
          <w:color w:val="auto"/>
          <w:szCs w:val="21"/>
          <w:highlight w:val="none"/>
        </w:rPr>
      </w:pPr>
    </w:p>
    <w:p w14:paraId="461C6E90">
      <w:pPr>
        <w:pStyle w:val="22"/>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我</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（姓名）系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（供应商名称）的法定代表人（负责人），现授权委托本单位在职职工</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 名）以我公司名义参加</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（项目名称及项目编号）        </w:t>
      </w:r>
      <w:r>
        <w:rPr>
          <w:rFonts w:hint="eastAsia" w:ascii="宋体" w:hAnsi="宋体" w:eastAsia="宋体" w:cs="宋体"/>
          <w:color w:val="auto"/>
          <w:highlight w:val="none"/>
        </w:rPr>
        <w:t>项目的磋商活动，并代表我方全权办理针对上述项目的磋商、签约等具体事务和签署相关文件。</w:t>
      </w:r>
    </w:p>
    <w:p w14:paraId="4D2F1B6A">
      <w:pPr>
        <w:pStyle w:val="22"/>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我方对被授权人的签字事项负全部责任。</w:t>
      </w:r>
    </w:p>
    <w:p w14:paraId="4653ECBB">
      <w:pPr>
        <w:pStyle w:val="22"/>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授权委托代理期限：从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日起至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日止。</w:t>
      </w:r>
    </w:p>
    <w:p w14:paraId="59D343B3">
      <w:pPr>
        <w:pStyle w:val="22"/>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p>
    <w:p w14:paraId="62968CC3">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代理人无转委托权,特此委托。 </w:t>
      </w:r>
    </w:p>
    <w:p w14:paraId="1EB2FED5">
      <w:pPr>
        <w:spacing w:line="360" w:lineRule="auto"/>
        <w:ind w:firstLine="420" w:firstLineChars="200"/>
        <w:rPr>
          <w:rFonts w:hint="eastAsia" w:ascii="宋体" w:hAnsi="宋体" w:eastAsia="宋体" w:cs="宋体"/>
          <w:color w:val="auto"/>
          <w:kern w:val="0"/>
          <w:highlight w:val="none"/>
        </w:rPr>
      </w:pPr>
    </w:p>
    <w:p w14:paraId="76A067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我已在下面签字，以资证明。</w:t>
      </w:r>
    </w:p>
    <w:p w14:paraId="485875DA">
      <w:pPr>
        <w:spacing w:line="360" w:lineRule="auto"/>
        <w:ind w:firstLine="420" w:firstLineChars="200"/>
        <w:rPr>
          <w:rFonts w:hint="eastAsia" w:ascii="宋体" w:hAnsi="宋体" w:eastAsia="宋体" w:cs="宋体"/>
          <w:color w:val="auto"/>
          <w:szCs w:val="21"/>
          <w:highlight w:val="none"/>
        </w:rPr>
      </w:pPr>
    </w:p>
    <w:p w14:paraId="6BD7BCB3">
      <w:pPr>
        <w:spacing w:line="360" w:lineRule="auto"/>
        <w:ind w:firstLine="420" w:firstLineChars="200"/>
        <w:rPr>
          <w:rFonts w:hint="eastAsia" w:ascii="宋体" w:hAnsi="宋体" w:eastAsia="宋体" w:cs="宋体"/>
          <w:color w:val="auto"/>
          <w:szCs w:val="21"/>
          <w:highlight w:val="none"/>
        </w:rPr>
      </w:pPr>
    </w:p>
    <w:p w14:paraId="238EB6AD">
      <w:pPr>
        <w:snapToGrid w:val="0"/>
        <w:spacing w:line="360" w:lineRule="auto"/>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磋商供应商[公章（CA签章）]：</w:t>
      </w:r>
      <w:r>
        <w:rPr>
          <w:rFonts w:hint="eastAsia" w:ascii="宋体" w:hAnsi="宋体" w:eastAsia="宋体" w:cs="宋体"/>
          <w:color w:val="auto"/>
          <w:szCs w:val="21"/>
          <w:highlight w:val="none"/>
          <w:u w:val="single"/>
        </w:rPr>
        <w:t xml:space="preserve">                                   </w:t>
      </w:r>
    </w:p>
    <w:p w14:paraId="14222DDB">
      <w:pPr>
        <w:snapToGrid w:val="0"/>
        <w:spacing w:line="360" w:lineRule="auto"/>
        <w:ind w:firstLine="420"/>
        <w:rPr>
          <w:rFonts w:hint="eastAsia" w:ascii="宋体" w:hAnsi="宋体" w:eastAsia="宋体" w:cs="宋体"/>
          <w:color w:val="auto"/>
          <w:szCs w:val="21"/>
          <w:highlight w:val="none"/>
        </w:rPr>
      </w:pPr>
    </w:p>
    <w:p w14:paraId="01C32D0D">
      <w:pPr>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szCs w:val="21"/>
          <w:highlight w:val="none"/>
        </w:rPr>
        <w:t>法定代表人（负责人）签字（或个人CA签章）：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0B076BE8">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1BBA47D4">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 如供应商为截标时间前60日以内成立的公司，可以提供供应商与委托代理人签订的劳动合同复印件代替社保证明复印件；</w:t>
      </w:r>
    </w:p>
    <w:p w14:paraId="3D181C3E">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（2）如供应商为事业单位，可以提供事业单位机构编制管理证复印件或事业单位机构为其发放工资的工资条复印件代替社保证明复印件；</w:t>
      </w:r>
    </w:p>
    <w:p w14:paraId="785F5F54">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（3）如委托代理人为免缴纳社保人员，提供免缴纳社保的证明材料复印件及供应商与委托代理人签订的劳动合同复印件代替社保证明复印件。</w:t>
      </w:r>
    </w:p>
    <w:p w14:paraId="75400065">
      <w:pPr>
        <w:pStyle w:val="22"/>
        <w:spacing w:line="360" w:lineRule="auto"/>
        <w:ind w:firstLine="420" w:firstLineChars="200"/>
        <w:rPr>
          <w:rFonts w:hint="eastAsia" w:ascii="宋体" w:hAnsi="宋体" w:eastAsia="宋体" w:cs="宋体"/>
          <w:color w:val="auto"/>
          <w:highlight w:val="none"/>
        </w:rPr>
      </w:pPr>
    </w:p>
    <w:p w14:paraId="1F9ADD23">
      <w:pPr>
        <w:pStyle w:val="22"/>
        <w:spacing w:line="360" w:lineRule="auto"/>
        <w:jc w:val="center"/>
        <w:rPr>
          <w:rFonts w:hint="eastAsia" w:ascii="宋体" w:hAnsi="宋体" w:eastAsia="宋体" w:cs="宋体"/>
          <w:b/>
          <w:color w:val="auto"/>
          <w:sz w:val="32"/>
          <w:highlight w:val="none"/>
        </w:rPr>
      </w:pPr>
      <w:bookmarkStart w:id="1948" w:name="_Toc21370_WPSOffice_Level1"/>
      <w:bookmarkStart w:id="1949" w:name="_Toc6975_WPSOffice_Level1"/>
      <w:r>
        <w:rPr>
          <w:rFonts w:hint="eastAsia" w:ascii="宋体" w:hAnsi="宋体" w:eastAsia="宋体" w:cs="宋体"/>
          <w:b/>
          <w:color w:val="auto"/>
          <w:sz w:val="32"/>
          <w:highlight w:val="none"/>
        </w:rPr>
        <w:t>授权委托书（格式二）</w:t>
      </w:r>
      <w:bookmarkEnd w:id="1948"/>
      <w:bookmarkEnd w:id="1949"/>
    </w:p>
    <w:p w14:paraId="59EFFF7C">
      <w:pPr>
        <w:pStyle w:val="22"/>
        <w:spacing w:line="360" w:lineRule="auto"/>
        <w:rPr>
          <w:rFonts w:hint="eastAsia" w:ascii="宋体" w:hAnsi="宋体" w:eastAsia="宋体" w:cs="宋体"/>
          <w:b/>
          <w:color w:val="auto"/>
          <w:sz w:val="32"/>
          <w:highlight w:val="none"/>
        </w:rPr>
      </w:pPr>
    </w:p>
    <w:p w14:paraId="65435E79">
      <w:pPr>
        <w:pStyle w:val="22"/>
        <w:spacing w:line="360" w:lineRule="auto"/>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hAnsi="宋体" w:cs="宋体"/>
          <w:color w:val="auto"/>
          <w:szCs w:val="21"/>
          <w:highlight w:val="none"/>
          <w:u w:val="single"/>
          <w:lang w:eastAsia="zh-CN"/>
        </w:rPr>
        <w:t>广西鼎策工程顾问有限责任公司</w:t>
      </w:r>
      <w:r>
        <w:rPr>
          <w:rFonts w:hint="eastAsia" w:ascii="宋体" w:hAnsi="宋体" w:eastAsia="宋体" w:cs="宋体"/>
          <w:color w:val="auto"/>
          <w:szCs w:val="21"/>
          <w:highlight w:val="none"/>
          <w:u w:val="single"/>
        </w:rPr>
        <w:t xml:space="preserve"> </w:t>
      </w:r>
    </w:p>
    <w:p w14:paraId="5DBC8A3A">
      <w:pPr>
        <w:spacing w:line="360" w:lineRule="auto"/>
        <w:rPr>
          <w:rFonts w:hint="eastAsia" w:ascii="宋体" w:hAnsi="宋体" w:eastAsia="宋体" w:cs="宋体"/>
          <w:color w:val="auto"/>
          <w:highlight w:val="none"/>
        </w:rPr>
      </w:pPr>
    </w:p>
    <w:p w14:paraId="47331342">
      <w:pPr>
        <w:pStyle w:val="22"/>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我</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（姓名）系自然人，现授权委托</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 名）以本人名义参加</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（项目名称及项目编号）        </w:t>
      </w:r>
      <w:r>
        <w:rPr>
          <w:rFonts w:hint="eastAsia" w:ascii="宋体" w:hAnsi="宋体" w:eastAsia="宋体" w:cs="宋体"/>
          <w:color w:val="auto"/>
          <w:highlight w:val="none"/>
        </w:rPr>
        <w:t>项目的磋商活动，并代表本人全权办理针对上述项目的磋商、签约等具体事务和签署相关文件。</w:t>
      </w:r>
    </w:p>
    <w:p w14:paraId="3CD91C12">
      <w:pPr>
        <w:pStyle w:val="22"/>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本人对被授权人的签字事项负全部责任。</w:t>
      </w:r>
    </w:p>
    <w:p w14:paraId="5894D0AF">
      <w:pPr>
        <w:pStyle w:val="22"/>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授权委托代理期限：从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日起至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日止。</w:t>
      </w:r>
    </w:p>
    <w:p w14:paraId="27982753">
      <w:pPr>
        <w:pStyle w:val="22"/>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p>
    <w:p w14:paraId="33A8C20A">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代理人无转委托权,特此委托。 </w:t>
      </w:r>
    </w:p>
    <w:p w14:paraId="14EEAB4F">
      <w:pPr>
        <w:spacing w:line="360" w:lineRule="auto"/>
        <w:ind w:firstLine="420" w:firstLineChars="200"/>
        <w:rPr>
          <w:rFonts w:hint="eastAsia" w:ascii="宋体" w:hAnsi="宋体" w:eastAsia="宋体" w:cs="宋体"/>
          <w:color w:val="auto"/>
          <w:kern w:val="0"/>
          <w:highlight w:val="none"/>
        </w:rPr>
      </w:pPr>
    </w:p>
    <w:p w14:paraId="1417670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我已在下面签字，以资证明。</w:t>
      </w:r>
    </w:p>
    <w:p w14:paraId="3633602A">
      <w:pPr>
        <w:spacing w:line="360" w:lineRule="auto"/>
        <w:ind w:firstLine="420" w:firstLineChars="200"/>
        <w:rPr>
          <w:rFonts w:hint="eastAsia" w:ascii="宋体" w:hAnsi="宋体" w:eastAsia="宋体" w:cs="宋体"/>
          <w:color w:val="auto"/>
          <w:szCs w:val="21"/>
          <w:highlight w:val="none"/>
        </w:rPr>
      </w:pPr>
    </w:p>
    <w:p w14:paraId="338EF746">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自然人签字并在签名处加盖大拇指指印或个人CA签章：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3294A09">
      <w:pPr>
        <w:pStyle w:val="22"/>
        <w:spacing w:line="360" w:lineRule="auto"/>
        <w:ind w:left="420" w:leftChars="200"/>
        <w:rPr>
          <w:rFonts w:hint="eastAsia" w:ascii="宋体" w:hAnsi="宋体" w:eastAsia="宋体" w:cs="宋体"/>
          <w:color w:val="auto"/>
          <w:szCs w:val="21"/>
          <w:highlight w:val="none"/>
        </w:rPr>
      </w:pPr>
    </w:p>
    <w:p w14:paraId="118C5760">
      <w:pPr>
        <w:pStyle w:val="22"/>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附：委托代理人身份证正反面复印件</w:t>
      </w:r>
    </w:p>
    <w:p w14:paraId="19F29E91">
      <w:pPr>
        <w:spacing w:line="360" w:lineRule="auto"/>
        <w:rPr>
          <w:rFonts w:hint="eastAsia" w:ascii="宋体" w:hAnsi="宋体" w:eastAsia="宋体" w:cs="宋体"/>
          <w:b/>
          <w:color w:val="auto"/>
          <w:szCs w:val="21"/>
          <w:highlight w:val="none"/>
        </w:rPr>
      </w:pPr>
    </w:p>
    <w:p w14:paraId="0CDA084A">
      <w:pPr>
        <w:pStyle w:val="2"/>
        <w:spacing w:line="360" w:lineRule="auto"/>
        <w:rPr>
          <w:rFonts w:hint="eastAsia" w:ascii="宋体" w:hAnsi="宋体" w:eastAsia="宋体" w:cs="宋体"/>
          <w:b/>
          <w:color w:val="auto"/>
          <w:szCs w:val="21"/>
          <w:highlight w:val="none"/>
        </w:rPr>
      </w:pPr>
    </w:p>
    <w:p w14:paraId="6D4D6FDF">
      <w:pPr>
        <w:pStyle w:val="2"/>
        <w:spacing w:line="360" w:lineRule="auto"/>
        <w:rPr>
          <w:rFonts w:hint="eastAsia" w:ascii="宋体" w:hAnsi="宋体" w:eastAsia="宋体" w:cs="宋体"/>
          <w:b/>
          <w:color w:val="auto"/>
          <w:szCs w:val="21"/>
          <w:highlight w:val="none"/>
        </w:rPr>
      </w:pPr>
    </w:p>
    <w:p w14:paraId="0A5E54C6">
      <w:pPr>
        <w:pStyle w:val="2"/>
        <w:spacing w:line="360" w:lineRule="auto"/>
        <w:rPr>
          <w:rFonts w:hint="eastAsia" w:ascii="宋体" w:hAnsi="宋体" w:eastAsia="宋体" w:cs="宋体"/>
          <w:b/>
          <w:color w:val="auto"/>
          <w:szCs w:val="21"/>
          <w:highlight w:val="none"/>
        </w:rPr>
      </w:pPr>
    </w:p>
    <w:p w14:paraId="2614E4CA">
      <w:pPr>
        <w:pStyle w:val="2"/>
        <w:spacing w:line="360" w:lineRule="auto"/>
        <w:rPr>
          <w:rFonts w:hint="eastAsia" w:ascii="宋体" w:hAnsi="宋体" w:eastAsia="宋体" w:cs="宋体"/>
          <w:b/>
          <w:color w:val="auto"/>
          <w:szCs w:val="21"/>
          <w:highlight w:val="none"/>
        </w:rPr>
      </w:pPr>
    </w:p>
    <w:p w14:paraId="391799BA">
      <w:pPr>
        <w:pStyle w:val="2"/>
        <w:spacing w:line="360" w:lineRule="auto"/>
        <w:rPr>
          <w:rFonts w:hint="eastAsia" w:ascii="宋体" w:hAnsi="宋体" w:eastAsia="宋体" w:cs="宋体"/>
          <w:b/>
          <w:color w:val="auto"/>
          <w:szCs w:val="21"/>
          <w:highlight w:val="none"/>
        </w:rPr>
      </w:pPr>
    </w:p>
    <w:p w14:paraId="38E33023">
      <w:pPr>
        <w:pStyle w:val="2"/>
        <w:spacing w:line="360" w:lineRule="auto"/>
        <w:rPr>
          <w:rFonts w:hint="eastAsia" w:ascii="宋体" w:hAnsi="宋体" w:eastAsia="宋体" w:cs="宋体"/>
          <w:b/>
          <w:color w:val="auto"/>
          <w:szCs w:val="21"/>
          <w:highlight w:val="none"/>
        </w:rPr>
      </w:pPr>
    </w:p>
    <w:p w14:paraId="512559A7">
      <w:pPr>
        <w:pStyle w:val="2"/>
        <w:spacing w:line="360" w:lineRule="auto"/>
        <w:rPr>
          <w:rFonts w:hint="eastAsia" w:ascii="宋体" w:hAnsi="宋体" w:eastAsia="宋体" w:cs="宋体"/>
          <w:b/>
          <w:color w:val="auto"/>
          <w:szCs w:val="21"/>
          <w:highlight w:val="none"/>
        </w:rPr>
      </w:pPr>
    </w:p>
    <w:p w14:paraId="4943C63B">
      <w:pPr>
        <w:pStyle w:val="2"/>
        <w:spacing w:line="360" w:lineRule="auto"/>
        <w:rPr>
          <w:rFonts w:hint="eastAsia" w:ascii="宋体" w:hAnsi="宋体" w:eastAsia="宋体" w:cs="宋体"/>
          <w:b/>
          <w:color w:val="auto"/>
          <w:szCs w:val="21"/>
          <w:highlight w:val="none"/>
        </w:rPr>
      </w:pPr>
    </w:p>
    <w:p w14:paraId="15958B4E">
      <w:pPr>
        <w:pStyle w:val="2"/>
        <w:spacing w:line="360" w:lineRule="auto"/>
        <w:rPr>
          <w:rFonts w:hint="eastAsia" w:ascii="宋体" w:hAnsi="宋体" w:eastAsia="宋体" w:cs="宋体"/>
          <w:b/>
          <w:color w:val="auto"/>
          <w:szCs w:val="21"/>
          <w:highlight w:val="none"/>
        </w:rPr>
      </w:pPr>
    </w:p>
    <w:p w14:paraId="29D94CC8">
      <w:pPr>
        <w:pStyle w:val="2"/>
        <w:spacing w:line="360" w:lineRule="auto"/>
        <w:rPr>
          <w:rFonts w:hint="eastAsia" w:ascii="宋体" w:hAnsi="宋体" w:eastAsia="宋体" w:cs="宋体"/>
          <w:b/>
          <w:color w:val="auto"/>
          <w:szCs w:val="21"/>
          <w:highlight w:val="none"/>
        </w:rPr>
      </w:pPr>
    </w:p>
    <w:p w14:paraId="4D2C46AA">
      <w:pPr>
        <w:pStyle w:val="2"/>
        <w:spacing w:line="360" w:lineRule="auto"/>
        <w:rPr>
          <w:rFonts w:hint="eastAsia" w:ascii="宋体" w:hAnsi="宋体" w:eastAsia="宋体" w:cs="宋体"/>
          <w:b/>
          <w:color w:val="auto"/>
          <w:szCs w:val="21"/>
          <w:highlight w:val="none"/>
        </w:rPr>
      </w:pPr>
    </w:p>
    <w:p w14:paraId="7BF56CC6">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3.供应商参加政府采购活动前3年内在经营活动中没有重大违法记录及有关信用信息的书面声明（必须提供）；</w:t>
      </w:r>
    </w:p>
    <w:p w14:paraId="588FA401">
      <w:pPr>
        <w:pStyle w:val="22"/>
        <w:spacing w:line="360" w:lineRule="auto"/>
        <w:ind w:left="420" w:leftChars="200" w:firstLine="157" w:firstLineChars="49"/>
        <w:rPr>
          <w:rFonts w:hint="eastAsia" w:ascii="宋体" w:hAnsi="宋体" w:eastAsia="宋体" w:cs="宋体"/>
          <w:b/>
          <w:color w:val="auto"/>
          <w:sz w:val="32"/>
          <w:szCs w:val="32"/>
          <w:highlight w:val="none"/>
        </w:rPr>
      </w:pPr>
    </w:p>
    <w:p w14:paraId="51DF8C59">
      <w:pPr>
        <w:pStyle w:val="22"/>
        <w:spacing w:line="360" w:lineRule="auto"/>
        <w:ind w:left="420" w:leftChars="200" w:firstLine="157" w:firstLineChars="4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w:t>
      </w:r>
    </w:p>
    <w:p w14:paraId="2A2A7750">
      <w:pPr>
        <w:pStyle w:val="22"/>
        <w:spacing w:line="36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w:t>
      </w:r>
    </w:p>
    <w:p w14:paraId="361509C9">
      <w:pPr>
        <w:pStyle w:val="22"/>
        <w:spacing w:line="360" w:lineRule="auto"/>
        <w:jc w:val="center"/>
        <w:rPr>
          <w:rFonts w:hint="eastAsia" w:ascii="宋体" w:hAnsi="宋体" w:eastAsia="宋体" w:cs="宋体"/>
          <w:b/>
          <w:color w:val="auto"/>
          <w:sz w:val="32"/>
          <w:szCs w:val="32"/>
          <w:highlight w:val="none"/>
        </w:rPr>
      </w:pPr>
      <w:bookmarkStart w:id="1950" w:name="_Toc30890_WPSOffice_Level1"/>
      <w:bookmarkStart w:id="1951" w:name="_Toc30304_WPSOffice_Level1"/>
      <w:r>
        <w:rPr>
          <w:rFonts w:hint="eastAsia" w:ascii="宋体" w:hAnsi="宋体" w:eastAsia="宋体" w:cs="宋体"/>
          <w:b/>
          <w:color w:val="auto"/>
          <w:sz w:val="32"/>
          <w:szCs w:val="32"/>
          <w:highlight w:val="none"/>
        </w:rPr>
        <w:t>声   明</w:t>
      </w:r>
      <w:bookmarkEnd w:id="1950"/>
      <w:bookmarkEnd w:id="1951"/>
    </w:p>
    <w:p w14:paraId="12728E42">
      <w:pPr>
        <w:pStyle w:val="22"/>
        <w:spacing w:line="360" w:lineRule="auto"/>
        <w:rPr>
          <w:rFonts w:hint="eastAsia" w:ascii="宋体" w:hAnsi="宋体" w:eastAsia="宋体" w:cs="宋体"/>
          <w:b/>
          <w:color w:val="auto"/>
          <w:sz w:val="32"/>
          <w:szCs w:val="32"/>
          <w:highlight w:val="none"/>
        </w:rPr>
      </w:pPr>
    </w:p>
    <w:p w14:paraId="06892E29">
      <w:pPr>
        <w:pStyle w:val="22"/>
        <w:spacing w:line="360" w:lineRule="auto"/>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hAnsi="宋体" w:cs="宋体"/>
          <w:color w:val="auto"/>
          <w:szCs w:val="21"/>
          <w:highlight w:val="none"/>
          <w:u w:val="single"/>
          <w:lang w:eastAsia="zh-CN"/>
        </w:rPr>
        <w:t>广西鼎策工程顾问有限责任公司</w:t>
      </w:r>
      <w:r>
        <w:rPr>
          <w:rFonts w:hint="eastAsia" w:ascii="宋体" w:hAnsi="宋体" w:eastAsia="宋体" w:cs="宋体"/>
          <w:color w:val="auto"/>
          <w:szCs w:val="21"/>
          <w:highlight w:val="none"/>
          <w:u w:val="single"/>
        </w:rPr>
        <w:t xml:space="preserve"> </w:t>
      </w:r>
    </w:p>
    <w:p w14:paraId="53F6C426">
      <w:pPr>
        <w:spacing w:line="360" w:lineRule="auto"/>
        <w:rPr>
          <w:rFonts w:hint="eastAsia" w:ascii="宋体" w:hAnsi="宋体" w:eastAsia="宋体" w:cs="宋体"/>
          <w:color w:val="auto"/>
          <w:szCs w:val="21"/>
          <w:highlight w:val="none"/>
          <w:u w:val="single"/>
        </w:rPr>
      </w:pPr>
    </w:p>
    <w:p w14:paraId="26A92BD7">
      <w:pPr>
        <w:pStyle w:val="2"/>
        <w:spacing w:line="360" w:lineRule="auto"/>
        <w:rPr>
          <w:rFonts w:hint="eastAsia" w:ascii="宋体" w:hAnsi="宋体" w:eastAsia="宋体" w:cs="宋体"/>
          <w:color w:val="auto"/>
          <w:highlight w:val="none"/>
        </w:rPr>
      </w:pPr>
    </w:p>
    <w:p w14:paraId="29C205A3">
      <w:pPr>
        <w:pStyle w:val="22"/>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37EB9368">
      <w:pPr>
        <w:spacing w:line="360" w:lineRule="auto"/>
        <w:rPr>
          <w:rFonts w:hint="eastAsia" w:ascii="宋体" w:hAnsi="宋体" w:eastAsia="宋体" w:cs="宋体"/>
          <w:color w:val="auto"/>
          <w:highlight w:val="none"/>
        </w:rPr>
      </w:pPr>
    </w:p>
    <w:p w14:paraId="5C7F60D3">
      <w:pPr>
        <w:snapToGrid w:val="0"/>
        <w:spacing w:line="360" w:lineRule="auto"/>
        <w:ind w:firstLine="1890" w:firstLineChars="900"/>
        <w:rPr>
          <w:rFonts w:hint="eastAsia" w:ascii="宋体" w:hAnsi="宋体" w:eastAsia="宋体" w:cs="宋体"/>
          <w:color w:val="auto"/>
          <w:highlight w:val="none"/>
        </w:rPr>
      </w:pPr>
      <w:r>
        <w:rPr>
          <w:rFonts w:hint="eastAsia" w:ascii="宋体" w:hAnsi="宋体" w:eastAsia="宋体" w:cs="宋体"/>
          <w:color w:val="auto"/>
          <w:szCs w:val="21"/>
          <w:highlight w:val="none"/>
        </w:rPr>
        <w:t>磋商供应商[公章(CA签章)，自然人签字或个人CA签章]：</w:t>
      </w:r>
      <w:r>
        <w:rPr>
          <w:rFonts w:hint="eastAsia" w:ascii="宋体" w:hAnsi="宋体" w:eastAsia="宋体" w:cs="宋体"/>
          <w:color w:val="auto"/>
          <w:szCs w:val="21"/>
          <w:highlight w:val="none"/>
          <w:u w:val="single"/>
        </w:rPr>
        <w:t xml:space="preserve">                                         </w:t>
      </w:r>
    </w:p>
    <w:p w14:paraId="67BE308B">
      <w:pPr>
        <w:pStyle w:val="22"/>
        <w:spacing w:line="360" w:lineRule="auto"/>
        <w:ind w:firstLine="3990" w:firstLineChars="1900"/>
        <w:rPr>
          <w:rFonts w:hint="eastAsia" w:ascii="宋体" w:hAnsi="宋体" w:eastAsia="宋体" w:cs="宋体"/>
          <w:color w:val="auto"/>
          <w:highlight w:val="none"/>
        </w:rPr>
      </w:pPr>
    </w:p>
    <w:p w14:paraId="3F689D6E">
      <w:pPr>
        <w:pStyle w:val="22"/>
        <w:spacing w:line="360" w:lineRule="auto"/>
        <w:ind w:firstLine="3990" w:firstLineChars="1900"/>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78B4CC51">
      <w:pPr>
        <w:pStyle w:val="22"/>
        <w:spacing w:line="360" w:lineRule="auto"/>
        <w:rPr>
          <w:rFonts w:hint="eastAsia" w:ascii="宋体" w:hAnsi="宋体" w:eastAsia="宋体" w:cs="宋体"/>
          <w:b/>
          <w:color w:val="auto"/>
          <w:sz w:val="28"/>
          <w:szCs w:val="28"/>
          <w:highlight w:val="none"/>
        </w:rPr>
      </w:pPr>
    </w:p>
    <w:p w14:paraId="431417F4">
      <w:pPr>
        <w:pStyle w:val="22"/>
        <w:spacing w:line="360" w:lineRule="auto"/>
        <w:rPr>
          <w:rFonts w:hint="eastAsia" w:ascii="宋体" w:hAnsi="宋体" w:eastAsia="宋体" w:cs="宋体"/>
          <w:b/>
          <w:color w:val="auto"/>
          <w:sz w:val="28"/>
          <w:szCs w:val="28"/>
          <w:highlight w:val="none"/>
        </w:rPr>
      </w:pPr>
    </w:p>
    <w:p w14:paraId="095DC3A8">
      <w:pPr>
        <w:pStyle w:val="6"/>
        <w:rPr>
          <w:rFonts w:hint="eastAsia" w:ascii="宋体" w:hAnsi="宋体" w:eastAsia="宋体" w:cs="宋体"/>
          <w:b w:val="0"/>
          <w:color w:val="auto"/>
          <w:sz w:val="28"/>
          <w:szCs w:val="28"/>
          <w:highlight w:val="none"/>
        </w:rPr>
      </w:pPr>
    </w:p>
    <w:p w14:paraId="1B35C28F">
      <w:pPr>
        <w:rPr>
          <w:rFonts w:hint="eastAsia" w:ascii="宋体" w:hAnsi="宋体" w:eastAsia="宋体" w:cs="宋体"/>
          <w:b/>
          <w:color w:val="auto"/>
          <w:sz w:val="28"/>
          <w:szCs w:val="28"/>
          <w:highlight w:val="none"/>
        </w:rPr>
      </w:pPr>
    </w:p>
    <w:p w14:paraId="0B583CAE">
      <w:pPr>
        <w:rPr>
          <w:rFonts w:hint="eastAsia" w:ascii="宋体" w:hAnsi="宋体" w:eastAsia="宋体" w:cs="宋体"/>
          <w:b/>
          <w:color w:val="auto"/>
          <w:sz w:val="28"/>
          <w:szCs w:val="28"/>
          <w:highlight w:val="none"/>
        </w:rPr>
      </w:pPr>
    </w:p>
    <w:p w14:paraId="7938613A">
      <w:pPr>
        <w:rPr>
          <w:rFonts w:hint="eastAsia" w:ascii="宋体" w:hAnsi="宋体" w:eastAsia="宋体" w:cs="宋体"/>
          <w:b/>
          <w:color w:val="auto"/>
          <w:sz w:val="28"/>
          <w:szCs w:val="28"/>
          <w:highlight w:val="none"/>
        </w:rPr>
      </w:pPr>
    </w:p>
    <w:p w14:paraId="4C7941CD">
      <w:pPr>
        <w:pStyle w:val="22"/>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4.供应商的法人或者其他组织营业执照等证明文件复印件（必须提供，自然人除外）；</w:t>
      </w:r>
    </w:p>
    <w:p w14:paraId="59684672">
      <w:pPr>
        <w:tabs>
          <w:tab w:val="left" w:pos="1305"/>
        </w:tabs>
        <w:spacing w:line="360" w:lineRule="auto"/>
        <w:rPr>
          <w:rFonts w:hint="eastAsia" w:ascii="宋体" w:hAnsi="宋体" w:eastAsia="宋体" w:cs="宋体"/>
          <w:b/>
          <w:color w:val="auto"/>
          <w:szCs w:val="21"/>
          <w:highlight w:val="none"/>
        </w:rPr>
      </w:pPr>
    </w:p>
    <w:p w14:paraId="76BA1F31">
      <w:pPr>
        <w:tabs>
          <w:tab w:val="left" w:pos="1305"/>
        </w:tabs>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7DC51164">
      <w:pPr>
        <w:spacing w:line="360" w:lineRule="auto"/>
        <w:rPr>
          <w:rFonts w:hint="eastAsia" w:ascii="宋体" w:hAnsi="宋体" w:eastAsia="宋体" w:cs="宋体"/>
          <w:b/>
          <w:bCs/>
          <w:color w:val="auto"/>
          <w:sz w:val="28"/>
          <w:szCs w:val="28"/>
          <w:highlight w:val="none"/>
        </w:rPr>
      </w:pPr>
    </w:p>
    <w:p w14:paraId="6A399750">
      <w:pPr>
        <w:pStyle w:val="22"/>
        <w:spacing w:line="360" w:lineRule="auto"/>
        <w:rPr>
          <w:rFonts w:hint="eastAsia" w:ascii="宋体" w:hAnsi="宋体" w:eastAsia="宋体" w:cs="宋体"/>
          <w:b/>
          <w:color w:val="auto"/>
          <w:sz w:val="28"/>
          <w:szCs w:val="28"/>
          <w:highlight w:val="none"/>
        </w:rPr>
      </w:pPr>
    </w:p>
    <w:p w14:paraId="02562DED">
      <w:pPr>
        <w:pStyle w:val="22"/>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5.供应商有效的资质证书复印件（必须提供）；</w:t>
      </w:r>
    </w:p>
    <w:p w14:paraId="7251C1A8">
      <w:pPr>
        <w:pStyle w:val="22"/>
        <w:spacing w:line="360" w:lineRule="auto"/>
        <w:rPr>
          <w:rFonts w:hint="eastAsia" w:ascii="宋体" w:hAnsi="宋体" w:eastAsia="宋体" w:cs="宋体"/>
          <w:b/>
          <w:color w:val="auto"/>
          <w:sz w:val="28"/>
          <w:szCs w:val="28"/>
          <w:highlight w:val="none"/>
        </w:rPr>
      </w:pPr>
    </w:p>
    <w:p w14:paraId="620F3BFB">
      <w:pPr>
        <w:pStyle w:val="12"/>
        <w:spacing w:line="360" w:lineRule="auto"/>
        <w:ind w:left="420" w:leftChars="200"/>
        <w:rPr>
          <w:rFonts w:hint="eastAsia" w:ascii="宋体" w:hAnsi="宋体" w:eastAsia="宋体" w:cs="宋体"/>
          <w:color w:val="auto"/>
          <w:highlight w:val="none"/>
        </w:rPr>
      </w:pPr>
    </w:p>
    <w:p w14:paraId="73F1746E">
      <w:pPr>
        <w:pStyle w:val="22"/>
        <w:spacing w:line="360" w:lineRule="auto"/>
        <w:rPr>
          <w:rFonts w:hint="eastAsia" w:ascii="宋体" w:hAnsi="宋体" w:eastAsia="宋体" w:cs="宋体"/>
          <w:b/>
          <w:color w:val="auto"/>
          <w:sz w:val="28"/>
          <w:szCs w:val="28"/>
          <w:highlight w:val="none"/>
        </w:rPr>
      </w:pPr>
    </w:p>
    <w:p w14:paraId="6EDE7C0A">
      <w:pPr>
        <w:pStyle w:val="22"/>
        <w:spacing w:line="360" w:lineRule="auto"/>
        <w:rPr>
          <w:rFonts w:hint="eastAsia" w:ascii="宋体" w:hAnsi="宋体" w:eastAsia="宋体" w:cs="宋体"/>
          <w:b/>
          <w:color w:val="auto"/>
          <w:sz w:val="28"/>
          <w:szCs w:val="28"/>
          <w:highlight w:val="none"/>
        </w:rPr>
      </w:pPr>
    </w:p>
    <w:p w14:paraId="2BB3FED5">
      <w:pPr>
        <w:pStyle w:val="22"/>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6.供应商有效的安全生产许可证书复印件（必须提供）；</w:t>
      </w:r>
    </w:p>
    <w:p w14:paraId="354DEF78">
      <w:pPr>
        <w:pStyle w:val="22"/>
        <w:spacing w:line="360" w:lineRule="auto"/>
        <w:rPr>
          <w:rFonts w:hint="eastAsia" w:ascii="宋体" w:hAnsi="宋体" w:eastAsia="宋体" w:cs="宋体"/>
          <w:b/>
          <w:color w:val="auto"/>
          <w:sz w:val="28"/>
          <w:szCs w:val="28"/>
          <w:highlight w:val="none"/>
        </w:rPr>
      </w:pPr>
    </w:p>
    <w:p w14:paraId="3E59C44A">
      <w:pPr>
        <w:pStyle w:val="22"/>
        <w:spacing w:line="360" w:lineRule="auto"/>
        <w:rPr>
          <w:rFonts w:hint="eastAsia" w:ascii="宋体" w:hAnsi="宋体" w:eastAsia="宋体" w:cs="宋体"/>
          <w:b/>
          <w:color w:val="auto"/>
          <w:sz w:val="28"/>
          <w:szCs w:val="28"/>
          <w:highlight w:val="none"/>
        </w:rPr>
      </w:pPr>
    </w:p>
    <w:p w14:paraId="5F9B68CB">
      <w:pPr>
        <w:pStyle w:val="22"/>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7.供应商202</w:t>
      </w: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年度财务状况报告（必须提供，可以是磋商供应商自行编制也可是通过第三方审计公司编制，如为自行编制至少须提供现金流量表、负债表及利润表（损益表）</w:t>
      </w:r>
      <w:r>
        <w:rPr>
          <w:rFonts w:hint="eastAsia" w:ascii="宋体" w:hAnsi="宋体" w:eastAsia="宋体" w:cs="宋体"/>
          <w:b/>
          <w:color w:val="auto"/>
          <w:sz w:val="28"/>
          <w:szCs w:val="28"/>
          <w:highlight w:val="none"/>
          <w:lang w:eastAsia="zh-CN"/>
        </w:rPr>
        <w:t>，新成立的公司，提供自成立之日起至磋商截止时间前一个月的报告</w:t>
      </w:r>
      <w:r>
        <w:rPr>
          <w:rFonts w:hint="eastAsia" w:ascii="宋体" w:hAnsi="宋体" w:eastAsia="宋体" w:cs="宋体"/>
          <w:b/>
          <w:color w:val="auto"/>
          <w:sz w:val="28"/>
          <w:szCs w:val="28"/>
          <w:highlight w:val="none"/>
        </w:rPr>
        <w:t>）；</w:t>
      </w:r>
    </w:p>
    <w:p w14:paraId="34016F50">
      <w:pPr>
        <w:pStyle w:val="12"/>
        <w:spacing w:line="360" w:lineRule="auto"/>
        <w:ind w:left="0" w:leftChars="0"/>
        <w:rPr>
          <w:rFonts w:hint="eastAsia" w:ascii="宋体" w:hAnsi="宋体" w:eastAsia="宋体" w:cs="宋体"/>
          <w:b/>
          <w:color w:val="auto"/>
          <w:sz w:val="28"/>
          <w:szCs w:val="28"/>
          <w:highlight w:val="none"/>
        </w:rPr>
      </w:pPr>
    </w:p>
    <w:p w14:paraId="13842635">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lang w:val="en-US" w:eastAsia="zh-CN" w:bidi="ar"/>
        </w:rPr>
        <w:t xml:space="preserve">8.供应商在磋商当天前近半年内任意一个月或任一季度依法缴纳税收的证 </w:t>
      </w:r>
    </w:p>
    <w:p w14:paraId="7BB2D73A">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lang w:val="en-US" w:eastAsia="zh-CN" w:bidi="ar"/>
        </w:rPr>
        <w:t xml:space="preserve">明材料（增值税发票(税收完税证明)或企业所得税完税证明或税务部门出 </w:t>
      </w:r>
    </w:p>
    <w:p w14:paraId="16A1F18B">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lang w:val="en-US" w:eastAsia="zh-CN" w:bidi="ar"/>
        </w:rPr>
        <w:t>具的免税证明）复印件（必须提供）。</w:t>
      </w:r>
    </w:p>
    <w:p w14:paraId="64CC5AC3">
      <w:pPr>
        <w:rPr>
          <w:rFonts w:hint="eastAsia" w:ascii="宋体" w:hAnsi="宋体" w:eastAsia="宋体" w:cs="宋体"/>
          <w:b/>
          <w:color w:val="auto"/>
          <w:sz w:val="28"/>
          <w:szCs w:val="28"/>
          <w:highlight w:val="none"/>
        </w:rPr>
      </w:pPr>
    </w:p>
    <w:p w14:paraId="615BD5F7">
      <w:pPr>
        <w:spacing w:line="360" w:lineRule="auto"/>
        <w:jc w:val="center"/>
        <w:rPr>
          <w:rStyle w:val="87"/>
          <w:rFonts w:hint="eastAsia" w:ascii="宋体" w:hAnsi="宋体" w:eastAsia="宋体" w:cs="宋体"/>
          <w:b/>
          <w:bCs/>
          <w:color w:val="auto"/>
          <w:kern w:val="0"/>
          <w:szCs w:val="21"/>
          <w:highlight w:val="none"/>
        </w:rPr>
      </w:pPr>
      <w:r>
        <w:rPr>
          <w:rFonts w:hint="eastAsia" w:ascii="宋体" w:hAnsi="宋体" w:eastAsia="宋体" w:cs="宋体"/>
          <w:b/>
          <w:bCs/>
          <w:iCs/>
          <w:color w:val="auto"/>
          <w:sz w:val="28"/>
          <w:szCs w:val="28"/>
          <w:highlight w:val="none"/>
          <w:lang w:val="en-US" w:eastAsia="zh-CN"/>
        </w:rPr>
        <w:t>9</w:t>
      </w:r>
      <w:r>
        <w:rPr>
          <w:rFonts w:hint="eastAsia" w:ascii="宋体" w:hAnsi="宋体" w:eastAsia="宋体" w:cs="宋体"/>
          <w:b/>
          <w:bCs/>
          <w:iCs/>
          <w:color w:val="auto"/>
          <w:sz w:val="28"/>
          <w:szCs w:val="28"/>
          <w:highlight w:val="none"/>
        </w:rPr>
        <w:t>.</w:t>
      </w:r>
      <w:bookmarkStart w:id="1952" w:name="_Toc20297"/>
      <w:r>
        <w:rPr>
          <w:rFonts w:hint="eastAsia" w:ascii="宋体" w:hAnsi="宋体" w:eastAsia="宋体" w:cs="宋体"/>
          <w:b/>
          <w:bCs/>
          <w:iCs/>
          <w:color w:val="auto"/>
          <w:sz w:val="28"/>
          <w:szCs w:val="28"/>
          <w:highlight w:val="none"/>
          <w:lang w:val="en-US" w:eastAsia="zh-CN"/>
        </w:rPr>
        <w:t>供应商的中小企业声明函(必须提供)或供应商属于监狱企业的由省级以上监狱管理局、戒毒管理局等 (含新疆生产建设兵团) 出具的属于监狱企业的证明文件 (必须提供)或符合条件的残疾人福利性单位的《残疾人福利性单位声明函》</w:t>
      </w:r>
    </w:p>
    <w:p w14:paraId="796AA206">
      <w:pPr>
        <w:spacing w:line="360" w:lineRule="auto"/>
        <w:jc w:val="center"/>
        <w:rPr>
          <w:rStyle w:val="87"/>
          <w:rFonts w:hint="eastAsia" w:ascii="宋体" w:hAnsi="宋体" w:eastAsia="宋体" w:cs="宋体"/>
          <w:b/>
          <w:bCs/>
          <w:color w:val="auto"/>
          <w:kern w:val="0"/>
          <w:sz w:val="24"/>
          <w:highlight w:val="none"/>
        </w:rPr>
      </w:pPr>
      <w:r>
        <w:rPr>
          <w:rStyle w:val="87"/>
          <w:rFonts w:hint="eastAsia" w:ascii="宋体" w:hAnsi="宋体" w:eastAsia="宋体" w:cs="宋体"/>
          <w:b/>
          <w:bCs/>
          <w:color w:val="auto"/>
          <w:kern w:val="0"/>
          <w:sz w:val="24"/>
          <w:highlight w:val="none"/>
        </w:rPr>
        <w:t>中小企业声明函（工程）</w:t>
      </w:r>
      <w:bookmarkEnd w:id="1952"/>
    </w:p>
    <w:p w14:paraId="3EAF7AD2">
      <w:pPr>
        <w:pStyle w:val="78"/>
        <w:spacing w:line="360" w:lineRule="auto"/>
        <w:ind w:left="63" w:right="63"/>
        <w:rPr>
          <w:rFonts w:hint="eastAsia" w:ascii="宋体" w:hAnsi="宋体" w:eastAsia="宋体" w:cs="宋体"/>
          <w:color w:val="auto"/>
          <w:sz w:val="21"/>
          <w:szCs w:val="21"/>
          <w:highlight w:val="none"/>
        </w:rPr>
      </w:pPr>
    </w:p>
    <w:p w14:paraId="69B827AA">
      <w:pPr>
        <w:spacing w:line="360" w:lineRule="auto"/>
        <w:ind w:firstLine="482"/>
        <w:jc w:val="left"/>
        <w:rPr>
          <w:rStyle w:val="87"/>
          <w:rFonts w:hint="eastAsia" w:ascii="宋体" w:hAnsi="宋体" w:eastAsia="宋体" w:cs="宋体"/>
          <w:color w:val="auto"/>
          <w:kern w:val="0"/>
          <w:szCs w:val="21"/>
          <w:highlight w:val="none"/>
        </w:rPr>
      </w:pPr>
      <w:r>
        <w:rPr>
          <w:rStyle w:val="87"/>
          <w:rFonts w:hint="eastAsia" w:ascii="宋体" w:hAnsi="宋体" w:eastAsia="宋体" w:cs="宋体"/>
          <w:color w:val="auto"/>
          <w:kern w:val="0"/>
          <w:szCs w:val="21"/>
          <w:highlight w:val="none"/>
        </w:rPr>
        <w:t>本公司郑重声明，根据《政府采购促进中小企业发展管理办法》（财库﹝2020﹞46 号）的规定，本公司参加</w:t>
      </w:r>
      <w:r>
        <w:rPr>
          <w:rStyle w:val="87"/>
          <w:rFonts w:hint="eastAsia" w:ascii="宋体" w:hAnsi="宋体" w:eastAsia="宋体" w:cs="宋体"/>
          <w:color w:val="auto"/>
          <w:kern w:val="0"/>
          <w:szCs w:val="21"/>
          <w:highlight w:val="none"/>
          <w:u w:val="single" w:color="000000"/>
        </w:rPr>
        <w:t>（单位名称）</w:t>
      </w:r>
      <w:r>
        <w:rPr>
          <w:rStyle w:val="87"/>
          <w:rFonts w:hint="eastAsia" w:ascii="宋体" w:hAnsi="宋体" w:eastAsia="宋体" w:cs="宋体"/>
          <w:color w:val="auto"/>
          <w:kern w:val="0"/>
          <w:szCs w:val="21"/>
          <w:highlight w:val="none"/>
        </w:rPr>
        <w:t>的</w:t>
      </w:r>
      <w:r>
        <w:rPr>
          <w:rStyle w:val="87"/>
          <w:rFonts w:hint="eastAsia" w:ascii="宋体" w:hAnsi="宋体" w:eastAsia="宋体" w:cs="宋体"/>
          <w:color w:val="auto"/>
          <w:kern w:val="0"/>
          <w:szCs w:val="21"/>
          <w:highlight w:val="none"/>
          <w:u w:val="single" w:color="000000"/>
        </w:rPr>
        <w:t>（项目名称）</w:t>
      </w:r>
      <w:r>
        <w:rPr>
          <w:rStyle w:val="87"/>
          <w:rFonts w:hint="eastAsia" w:ascii="宋体" w:hAnsi="宋体" w:eastAsia="宋体" w:cs="宋体"/>
          <w:color w:val="auto"/>
          <w:kern w:val="0"/>
          <w:szCs w:val="21"/>
          <w:highlight w:val="none"/>
        </w:rPr>
        <w:t>采购活动，工程的施工单位全部为符合政策要求的中小企业。相关企业（含联合体中的中小企业、签订分包意向协议的中小企业）的具体情况如下：</w:t>
      </w:r>
    </w:p>
    <w:p w14:paraId="0257F8D0">
      <w:pPr>
        <w:spacing w:line="360" w:lineRule="auto"/>
        <w:ind w:firstLine="482"/>
        <w:jc w:val="left"/>
        <w:rPr>
          <w:rStyle w:val="87"/>
          <w:rFonts w:hint="eastAsia" w:ascii="宋体" w:hAnsi="宋体" w:eastAsia="宋体" w:cs="宋体"/>
          <w:color w:val="auto"/>
          <w:kern w:val="0"/>
          <w:szCs w:val="21"/>
          <w:highlight w:val="none"/>
        </w:rPr>
      </w:pPr>
      <w:r>
        <w:rPr>
          <w:rStyle w:val="87"/>
          <w:rFonts w:hint="eastAsia" w:ascii="宋体" w:hAnsi="宋体" w:eastAsia="宋体" w:cs="宋体"/>
          <w:color w:val="auto"/>
          <w:kern w:val="0"/>
          <w:szCs w:val="21"/>
          <w:highlight w:val="none"/>
        </w:rPr>
        <w:t xml:space="preserve">1. </w:t>
      </w:r>
      <w:r>
        <w:rPr>
          <w:rStyle w:val="87"/>
          <w:rFonts w:hint="eastAsia" w:ascii="宋体" w:hAnsi="宋体" w:eastAsia="宋体" w:cs="宋体"/>
          <w:color w:val="auto"/>
          <w:kern w:val="0"/>
          <w:szCs w:val="21"/>
          <w:highlight w:val="none"/>
          <w:u w:val="single" w:color="000000"/>
        </w:rPr>
        <w:t xml:space="preserve">（标的名称） </w:t>
      </w:r>
      <w:r>
        <w:rPr>
          <w:rStyle w:val="87"/>
          <w:rFonts w:hint="eastAsia" w:ascii="宋体" w:hAnsi="宋体" w:eastAsia="宋体" w:cs="宋体"/>
          <w:color w:val="auto"/>
          <w:kern w:val="0"/>
          <w:szCs w:val="21"/>
          <w:highlight w:val="none"/>
        </w:rPr>
        <w:t xml:space="preserve">，属于 </w:t>
      </w:r>
      <w:r>
        <w:rPr>
          <w:rStyle w:val="87"/>
          <w:rFonts w:hint="eastAsia" w:ascii="宋体" w:hAnsi="宋体" w:eastAsia="宋体" w:cs="宋体"/>
          <w:color w:val="auto"/>
          <w:kern w:val="0"/>
          <w:szCs w:val="21"/>
          <w:highlight w:val="none"/>
          <w:u w:val="single" w:color="000000"/>
        </w:rPr>
        <w:t xml:space="preserve">（招标文件中明确的所属行业） </w:t>
      </w:r>
      <w:r>
        <w:rPr>
          <w:rStyle w:val="87"/>
          <w:rFonts w:hint="eastAsia" w:ascii="宋体" w:hAnsi="宋体" w:eastAsia="宋体" w:cs="宋体"/>
          <w:color w:val="auto"/>
          <w:kern w:val="0"/>
          <w:szCs w:val="21"/>
          <w:highlight w:val="none"/>
        </w:rPr>
        <w:t>； 承接企业为</w:t>
      </w:r>
      <w:r>
        <w:rPr>
          <w:rStyle w:val="87"/>
          <w:rFonts w:hint="eastAsia" w:ascii="宋体" w:hAnsi="宋体" w:eastAsia="宋体" w:cs="宋体"/>
          <w:color w:val="auto"/>
          <w:kern w:val="0"/>
          <w:szCs w:val="21"/>
          <w:highlight w:val="none"/>
          <w:u w:val="single" w:color="000000"/>
        </w:rPr>
        <w:t>（企业名称）</w:t>
      </w:r>
      <w:r>
        <w:rPr>
          <w:rStyle w:val="87"/>
          <w:rFonts w:hint="eastAsia" w:ascii="宋体" w:hAnsi="宋体" w:eastAsia="宋体" w:cs="宋体"/>
          <w:color w:val="auto"/>
          <w:kern w:val="0"/>
          <w:szCs w:val="21"/>
          <w:highlight w:val="none"/>
        </w:rPr>
        <w:t>，从业人员</w:t>
      </w:r>
      <w:r>
        <w:rPr>
          <w:rStyle w:val="87"/>
          <w:rFonts w:hint="eastAsia" w:ascii="宋体" w:hAnsi="宋体" w:eastAsia="宋体" w:cs="宋体"/>
          <w:color w:val="auto"/>
          <w:kern w:val="0"/>
          <w:szCs w:val="21"/>
          <w:highlight w:val="none"/>
          <w:u w:val="single" w:color="000000"/>
        </w:rPr>
        <w:t xml:space="preserve">    </w:t>
      </w:r>
      <w:r>
        <w:rPr>
          <w:rStyle w:val="87"/>
          <w:rFonts w:hint="eastAsia" w:ascii="宋体" w:hAnsi="宋体" w:eastAsia="宋体" w:cs="宋体"/>
          <w:color w:val="auto"/>
          <w:kern w:val="0"/>
          <w:szCs w:val="21"/>
          <w:highlight w:val="none"/>
        </w:rPr>
        <w:t>人，营业收入为</w:t>
      </w:r>
      <w:r>
        <w:rPr>
          <w:rStyle w:val="87"/>
          <w:rFonts w:hint="eastAsia" w:ascii="宋体" w:hAnsi="宋体" w:eastAsia="宋体" w:cs="宋体"/>
          <w:color w:val="auto"/>
          <w:kern w:val="0"/>
          <w:szCs w:val="21"/>
          <w:highlight w:val="none"/>
          <w:u w:val="single" w:color="000000"/>
        </w:rPr>
        <w:t xml:space="preserve">    </w:t>
      </w:r>
      <w:r>
        <w:rPr>
          <w:rStyle w:val="87"/>
          <w:rFonts w:hint="eastAsia" w:ascii="宋体" w:hAnsi="宋体" w:eastAsia="宋体" w:cs="宋体"/>
          <w:color w:val="auto"/>
          <w:kern w:val="0"/>
          <w:szCs w:val="21"/>
          <w:highlight w:val="none"/>
        </w:rPr>
        <w:t>万元，资产总额为</w:t>
      </w:r>
      <w:r>
        <w:rPr>
          <w:rStyle w:val="87"/>
          <w:rFonts w:hint="eastAsia" w:ascii="宋体" w:hAnsi="宋体" w:eastAsia="宋体" w:cs="宋体"/>
          <w:color w:val="auto"/>
          <w:kern w:val="0"/>
          <w:szCs w:val="21"/>
          <w:highlight w:val="none"/>
          <w:u w:val="single" w:color="000000"/>
        </w:rPr>
        <w:t xml:space="preserve">    </w:t>
      </w:r>
      <w:r>
        <w:rPr>
          <w:rStyle w:val="87"/>
          <w:rFonts w:hint="eastAsia" w:ascii="宋体" w:hAnsi="宋体" w:eastAsia="宋体" w:cs="宋体"/>
          <w:color w:val="auto"/>
          <w:kern w:val="0"/>
          <w:szCs w:val="21"/>
          <w:highlight w:val="none"/>
        </w:rPr>
        <w:t>万元，属于</w:t>
      </w:r>
      <w:r>
        <w:rPr>
          <w:rStyle w:val="87"/>
          <w:rFonts w:hint="eastAsia" w:ascii="宋体" w:hAnsi="宋体" w:eastAsia="宋体" w:cs="宋体"/>
          <w:color w:val="auto"/>
          <w:kern w:val="0"/>
          <w:szCs w:val="21"/>
          <w:highlight w:val="none"/>
          <w:u w:val="single" w:color="000000"/>
        </w:rPr>
        <w:t>（中型企业、 小型企业、微型企业）</w:t>
      </w:r>
      <w:r>
        <w:rPr>
          <w:rStyle w:val="87"/>
          <w:rFonts w:hint="eastAsia" w:ascii="宋体" w:hAnsi="宋体" w:eastAsia="宋体" w:cs="宋体"/>
          <w:color w:val="auto"/>
          <w:kern w:val="0"/>
          <w:szCs w:val="21"/>
          <w:highlight w:val="none"/>
        </w:rPr>
        <w:t xml:space="preserve">； </w:t>
      </w:r>
    </w:p>
    <w:p w14:paraId="26BDA36C">
      <w:pPr>
        <w:spacing w:line="360" w:lineRule="auto"/>
        <w:ind w:firstLine="482"/>
        <w:jc w:val="left"/>
        <w:rPr>
          <w:rStyle w:val="87"/>
          <w:rFonts w:hint="eastAsia" w:ascii="宋体" w:hAnsi="宋体" w:eastAsia="宋体" w:cs="宋体"/>
          <w:color w:val="auto"/>
          <w:kern w:val="0"/>
          <w:szCs w:val="21"/>
          <w:highlight w:val="none"/>
        </w:rPr>
      </w:pPr>
      <w:r>
        <w:rPr>
          <w:rStyle w:val="87"/>
          <w:rFonts w:hint="eastAsia" w:ascii="宋体" w:hAnsi="宋体" w:eastAsia="宋体" w:cs="宋体"/>
          <w:color w:val="auto"/>
          <w:kern w:val="0"/>
          <w:szCs w:val="21"/>
          <w:highlight w:val="none"/>
        </w:rPr>
        <w:t>以上企业，不属于大企业的分支机构，不存在控股股东 为大企业的情形，也不存在与大企业的负责人为同一人的情形。</w:t>
      </w:r>
    </w:p>
    <w:p w14:paraId="3E6F0A0E">
      <w:pPr>
        <w:spacing w:line="360" w:lineRule="auto"/>
        <w:ind w:firstLine="482"/>
        <w:jc w:val="left"/>
        <w:rPr>
          <w:rStyle w:val="87"/>
          <w:rFonts w:hint="eastAsia" w:ascii="宋体" w:hAnsi="宋体" w:eastAsia="宋体" w:cs="宋体"/>
          <w:color w:val="auto"/>
          <w:kern w:val="0"/>
          <w:szCs w:val="21"/>
          <w:highlight w:val="none"/>
        </w:rPr>
      </w:pPr>
      <w:r>
        <w:rPr>
          <w:rStyle w:val="87"/>
          <w:rFonts w:hint="eastAsia" w:ascii="宋体" w:hAnsi="宋体" w:eastAsia="宋体" w:cs="宋体"/>
          <w:color w:val="auto"/>
          <w:kern w:val="0"/>
          <w:szCs w:val="21"/>
          <w:highlight w:val="none"/>
        </w:rPr>
        <w:t xml:space="preserve">本企业对上述声明内容的真实性负责。如有虚假，将依法承担相应责任。 </w:t>
      </w:r>
    </w:p>
    <w:p w14:paraId="1B2D3699">
      <w:pPr>
        <w:spacing w:line="360" w:lineRule="auto"/>
        <w:ind w:firstLine="482"/>
        <w:jc w:val="left"/>
        <w:rPr>
          <w:rStyle w:val="87"/>
          <w:rFonts w:hint="eastAsia" w:ascii="宋体" w:hAnsi="宋体" w:eastAsia="宋体" w:cs="宋体"/>
          <w:color w:val="auto"/>
          <w:kern w:val="0"/>
          <w:szCs w:val="21"/>
          <w:highlight w:val="none"/>
        </w:rPr>
      </w:pPr>
    </w:p>
    <w:p w14:paraId="3AF13639">
      <w:pPr>
        <w:widowControl/>
        <w:spacing w:line="360" w:lineRule="auto"/>
        <w:ind w:firstLine="2310" w:firstLineChars="1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磋商供应商[公章(CA签章)]：</w:t>
      </w:r>
      <w:r>
        <w:rPr>
          <w:rFonts w:hint="eastAsia" w:ascii="宋体" w:hAnsi="宋体" w:eastAsia="宋体" w:cs="宋体"/>
          <w:color w:val="auto"/>
          <w:szCs w:val="21"/>
          <w:highlight w:val="none"/>
          <w:u w:val="single"/>
        </w:rPr>
        <w:t xml:space="preserve">                                    </w:t>
      </w:r>
    </w:p>
    <w:p w14:paraId="4F2C2655">
      <w:pPr>
        <w:pStyle w:val="22"/>
        <w:spacing w:line="360" w:lineRule="auto"/>
        <w:ind w:left="2940" w:leftChars="1400" w:firstLine="630" w:firstLineChars="300"/>
        <w:rPr>
          <w:rFonts w:hint="eastAsia" w:ascii="宋体" w:hAnsi="宋体" w:eastAsia="宋体" w:cs="宋体"/>
          <w:color w:val="auto"/>
          <w:highlight w:val="none"/>
        </w:rPr>
      </w:pPr>
    </w:p>
    <w:p w14:paraId="3D6B1D5A">
      <w:pPr>
        <w:spacing w:line="360" w:lineRule="auto"/>
        <w:ind w:left="420"/>
        <w:jc w:val="center"/>
        <w:rPr>
          <w:rFonts w:hint="eastAsia" w:ascii="宋体" w:hAnsi="宋体" w:eastAsia="宋体" w:cs="宋体"/>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313C9221">
      <w:pPr>
        <w:pStyle w:val="32"/>
        <w:spacing w:line="360" w:lineRule="auto"/>
        <w:rPr>
          <w:rFonts w:hint="eastAsia" w:ascii="宋体" w:hAnsi="宋体" w:eastAsia="宋体" w:cs="宋体"/>
          <w:b/>
          <w:bCs/>
          <w:color w:val="auto"/>
          <w:highlight w:val="none"/>
        </w:rPr>
      </w:pPr>
      <w:r>
        <w:rPr>
          <w:rFonts w:hint="eastAsia" w:ascii="宋体" w:hAnsi="宋体" w:eastAsia="宋体" w:cs="宋体"/>
          <w:b/>
          <w:color w:val="auto"/>
          <w:sz w:val="21"/>
          <w:szCs w:val="21"/>
          <w:highlight w:val="none"/>
        </w:rPr>
        <w:t>备注：供应商应按照中小微型企业划分标准按照《国家统计局关于印发《统计上大中小微型企业划分办法〔2017〕》的通知》（国统字〔2017〕213号）的划分标准进行如实申明，如提供虚假申明应依法承担相应法律责任。如成交人为小型和微型企业的，成交结果将同时公告（或成交人的《中小企业声明函》，接受社会监督。</w:t>
      </w:r>
    </w:p>
    <w:p w14:paraId="4E8F2C5B">
      <w:pPr>
        <w:spacing w:line="360" w:lineRule="auto"/>
        <w:rPr>
          <w:rStyle w:val="87"/>
          <w:rFonts w:hint="eastAsia" w:ascii="宋体" w:hAnsi="宋体" w:eastAsia="宋体" w:cs="宋体"/>
          <w:b/>
          <w:bCs/>
          <w:color w:val="auto"/>
          <w:sz w:val="30"/>
          <w:szCs w:val="30"/>
          <w:highlight w:val="none"/>
        </w:rPr>
      </w:pPr>
    </w:p>
    <w:p w14:paraId="4F9548A3">
      <w:pPr>
        <w:spacing w:line="360" w:lineRule="auto"/>
        <w:rPr>
          <w:rStyle w:val="87"/>
          <w:rFonts w:hint="eastAsia" w:ascii="宋体" w:hAnsi="宋体" w:eastAsia="宋体" w:cs="宋体"/>
          <w:b/>
          <w:bCs/>
          <w:color w:val="auto"/>
          <w:highlight w:val="none"/>
        </w:rPr>
      </w:pPr>
      <w:r>
        <w:rPr>
          <w:rStyle w:val="87"/>
          <w:rFonts w:hint="eastAsia" w:ascii="宋体" w:hAnsi="宋体" w:eastAsia="宋体" w:cs="宋体"/>
          <w:b/>
          <w:bCs/>
          <w:color w:val="auto"/>
          <w:sz w:val="30"/>
          <w:szCs w:val="30"/>
          <w:highlight w:val="none"/>
        </w:rPr>
        <w:t>附表</w:t>
      </w:r>
    </w:p>
    <w:p w14:paraId="450DCA17">
      <w:pPr>
        <w:spacing w:before="120" w:after="120" w:line="360" w:lineRule="auto"/>
        <w:jc w:val="center"/>
        <w:rPr>
          <w:rStyle w:val="87"/>
          <w:rFonts w:hint="eastAsia" w:ascii="宋体" w:hAnsi="宋体" w:eastAsia="宋体" w:cs="宋体"/>
          <w:b/>
          <w:bCs/>
          <w:color w:val="auto"/>
          <w:kern w:val="0"/>
          <w:sz w:val="30"/>
          <w:szCs w:val="30"/>
          <w:highlight w:val="none"/>
        </w:rPr>
      </w:pPr>
      <w:r>
        <w:rPr>
          <w:rStyle w:val="87"/>
          <w:rFonts w:hint="eastAsia" w:ascii="宋体" w:hAnsi="宋体" w:eastAsia="宋体" w:cs="宋体"/>
          <w:b/>
          <w:bCs/>
          <w:color w:val="auto"/>
          <w:kern w:val="0"/>
          <w:sz w:val="30"/>
          <w:szCs w:val="30"/>
          <w:highlight w:val="none"/>
        </w:rPr>
        <w:t>统计上大中小微型企业划分标准</w:t>
      </w:r>
    </w:p>
    <w:tbl>
      <w:tblPr>
        <w:tblStyle w:val="3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3"/>
        <w:gridCol w:w="1369"/>
        <w:gridCol w:w="709"/>
        <w:gridCol w:w="1125"/>
        <w:gridCol w:w="1701"/>
        <w:gridCol w:w="1426"/>
        <w:gridCol w:w="992"/>
      </w:tblGrid>
      <w:tr w14:paraId="79FBF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blHeader/>
          <w:jc w:val="center"/>
        </w:trPr>
        <w:tc>
          <w:tcPr>
            <w:tcW w:w="2113"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7A3D03EE">
            <w:pPr>
              <w:spacing w:line="360" w:lineRule="auto"/>
              <w:jc w:val="center"/>
              <w:rPr>
                <w:rStyle w:val="87"/>
                <w:rFonts w:hint="eastAsia" w:ascii="宋体" w:hAnsi="宋体" w:eastAsia="宋体" w:cs="宋体"/>
                <w:b/>
                <w:bCs/>
                <w:color w:val="auto"/>
                <w:kern w:val="0"/>
                <w:sz w:val="18"/>
                <w:szCs w:val="21"/>
                <w:highlight w:val="none"/>
              </w:rPr>
            </w:pPr>
            <w:r>
              <w:rPr>
                <w:rStyle w:val="87"/>
                <w:rFonts w:hint="eastAsia" w:ascii="宋体" w:hAnsi="宋体" w:eastAsia="宋体" w:cs="宋体"/>
                <w:b/>
                <w:bCs/>
                <w:color w:val="auto"/>
                <w:kern w:val="0"/>
                <w:sz w:val="18"/>
                <w:szCs w:val="21"/>
                <w:highlight w:val="none"/>
              </w:rPr>
              <w:t>行业名称</w:t>
            </w:r>
          </w:p>
        </w:tc>
        <w:tc>
          <w:tcPr>
            <w:tcW w:w="1369"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38333A07">
            <w:pPr>
              <w:spacing w:line="360" w:lineRule="auto"/>
              <w:jc w:val="center"/>
              <w:rPr>
                <w:rStyle w:val="87"/>
                <w:rFonts w:hint="eastAsia" w:ascii="宋体" w:hAnsi="宋体" w:eastAsia="宋体" w:cs="宋体"/>
                <w:b/>
                <w:bCs/>
                <w:color w:val="auto"/>
                <w:kern w:val="0"/>
                <w:sz w:val="18"/>
                <w:szCs w:val="18"/>
                <w:highlight w:val="none"/>
              </w:rPr>
            </w:pPr>
            <w:r>
              <w:rPr>
                <w:rStyle w:val="87"/>
                <w:rFonts w:hint="eastAsia" w:ascii="宋体" w:hAnsi="宋体" w:eastAsia="宋体" w:cs="宋体"/>
                <w:b/>
                <w:bCs/>
                <w:color w:val="auto"/>
                <w:kern w:val="0"/>
                <w:sz w:val="18"/>
                <w:szCs w:val="18"/>
                <w:highlight w:val="none"/>
              </w:rPr>
              <w:t>指标名称</w:t>
            </w:r>
          </w:p>
        </w:tc>
        <w:tc>
          <w:tcPr>
            <w:tcW w:w="709"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775B5CB0">
            <w:pPr>
              <w:spacing w:line="360" w:lineRule="auto"/>
              <w:jc w:val="center"/>
              <w:rPr>
                <w:rStyle w:val="87"/>
                <w:rFonts w:hint="eastAsia" w:ascii="宋体" w:hAnsi="宋体" w:eastAsia="宋体" w:cs="宋体"/>
                <w:b/>
                <w:bCs/>
                <w:color w:val="auto"/>
                <w:kern w:val="0"/>
                <w:sz w:val="18"/>
                <w:szCs w:val="18"/>
                <w:highlight w:val="none"/>
              </w:rPr>
            </w:pPr>
            <w:r>
              <w:rPr>
                <w:rStyle w:val="87"/>
                <w:rFonts w:hint="eastAsia" w:ascii="宋体" w:hAnsi="宋体" w:eastAsia="宋体" w:cs="宋体"/>
                <w:b/>
                <w:bCs/>
                <w:color w:val="auto"/>
                <w:kern w:val="0"/>
                <w:sz w:val="18"/>
                <w:szCs w:val="18"/>
                <w:highlight w:val="none"/>
              </w:rPr>
              <w:t>计量</w:t>
            </w:r>
          </w:p>
          <w:p w14:paraId="5966C483">
            <w:pPr>
              <w:spacing w:line="360" w:lineRule="auto"/>
              <w:jc w:val="center"/>
              <w:rPr>
                <w:rStyle w:val="87"/>
                <w:rFonts w:hint="eastAsia" w:ascii="宋体" w:hAnsi="宋体" w:eastAsia="宋体" w:cs="宋体"/>
                <w:b/>
                <w:bCs/>
                <w:color w:val="auto"/>
                <w:kern w:val="0"/>
                <w:sz w:val="18"/>
                <w:szCs w:val="18"/>
                <w:highlight w:val="none"/>
              </w:rPr>
            </w:pPr>
            <w:r>
              <w:rPr>
                <w:rStyle w:val="87"/>
                <w:rFonts w:hint="eastAsia" w:ascii="宋体" w:hAnsi="宋体" w:eastAsia="宋体" w:cs="宋体"/>
                <w:b/>
                <w:bCs/>
                <w:color w:val="auto"/>
                <w:kern w:val="0"/>
                <w:sz w:val="18"/>
                <w:szCs w:val="18"/>
                <w:highlight w:val="none"/>
              </w:rPr>
              <w:t>单位</w:t>
            </w:r>
          </w:p>
        </w:tc>
        <w:tc>
          <w:tcPr>
            <w:tcW w:w="1125"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19725926">
            <w:pPr>
              <w:spacing w:line="360" w:lineRule="auto"/>
              <w:jc w:val="center"/>
              <w:rPr>
                <w:rStyle w:val="87"/>
                <w:rFonts w:hint="eastAsia" w:ascii="宋体" w:hAnsi="宋体" w:eastAsia="宋体" w:cs="宋体"/>
                <w:b/>
                <w:bCs/>
                <w:color w:val="auto"/>
                <w:kern w:val="0"/>
                <w:sz w:val="18"/>
                <w:szCs w:val="18"/>
                <w:highlight w:val="none"/>
              </w:rPr>
            </w:pPr>
            <w:r>
              <w:rPr>
                <w:rStyle w:val="87"/>
                <w:rFonts w:hint="eastAsia" w:ascii="宋体" w:hAnsi="宋体" w:eastAsia="宋体" w:cs="宋体"/>
                <w:b/>
                <w:bCs/>
                <w:color w:val="auto"/>
                <w:kern w:val="0"/>
                <w:sz w:val="18"/>
                <w:szCs w:val="18"/>
                <w:highlight w:val="none"/>
              </w:rPr>
              <w:t>大型</w:t>
            </w:r>
          </w:p>
        </w:tc>
        <w:tc>
          <w:tcPr>
            <w:tcW w:w="1701"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3C4971C4">
            <w:pPr>
              <w:spacing w:line="360" w:lineRule="auto"/>
              <w:jc w:val="center"/>
              <w:rPr>
                <w:rStyle w:val="87"/>
                <w:rFonts w:hint="eastAsia" w:ascii="宋体" w:hAnsi="宋体" w:eastAsia="宋体" w:cs="宋体"/>
                <w:b/>
                <w:bCs/>
                <w:color w:val="auto"/>
                <w:kern w:val="0"/>
                <w:sz w:val="18"/>
                <w:szCs w:val="18"/>
                <w:highlight w:val="none"/>
              </w:rPr>
            </w:pPr>
            <w:r>
              <w:rPr>
                <w:rStyle w:val="87"/>
                <w:rFonts w:hint="eastAsia" w:ascii="宋体" w:hAnsi="宋体" w:eastAsia="宋体" w:cs="宋体"/>
                <w:b/>
                <w:bCs/>
                <w:color w:val="auto"/>
                <w:kern w:val="0"/>
                <w:sz w:val="18"/>
                <w:szCs w:val="18"/>
                <w:highlight w:val="none"/>
              </w:rPr>
              <w:t>中型</w:t>
            </w:r>
          </w:p>
        </w:tc>
        <w:tc>
          <w:tcPr>
            <w:tcW w:w="1426"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5622E48B">
            <w:pPr>
              <w:spacing w:line="360" w:lineRule="auto"/>
              <w:jc w:val="center"/>
              <w:rPr>
                <w:rStyle w:val="87"/>
                <w:rFonts w:hint="eastAsia" w:ascii="宋体" w:hAnsi="宋体" w:eastAsia="宋体" w:cs="宋体"/>
                <w:b/>
                <w:bCs/>
                <w:color w:val="auto"/>
                <w:kern w:val="0"/>
                <w:sz w:val="18"/>
                <w:szCs w:val="18"/>
                <w:highlight w:val="none"/>
              </w:rPr>
            </w:pPr>
            <w:r>
              <w:rPr>
                <w:rStyle w:val="87"/>
                <w:rFonts w:hint="eastAsia" w:ascii="宋体" w:hAnsi="宋体" w:eastAsia="宋体" w:cs="宋体"/>
                <w:b/>
                <w:bCs/>
                <w:color w:val="auto"/>
                <w:kern w:val="0"/>
                <w:sz w:val="18"/>
                <w:szCs w:val="18"/>
                <w:highlight w:val="none"/>
              </w:rPr>
              <w:t>小型</w:t>
            </w:r>
          </w:p>
        </w:tc>
        <w:tc>
          <w:tcPr>
            <w:tcW w:w="992"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0B1C4C83">
            <w:pPr>
              <w:spacing w:line="360" w:lineRule="auto"/>
              <w:jc w:val="center"/>
              <w:rPr>
                <w:rStyle w:val="87"/>
                <w:rFonts w:hint="eastAsia" w:ascii="宋体" w:hAnsi="宋体" w:eastAsia="宋体" w:cs="宋体"/>
                <w:b/>
                <w:bCs/>
                <w:color w:val="auto"/>
                <w:kern w:val="0"/>
                <w:sz w:val="18"/>
                <w:szCs w:val="18"/>
                <w:highlight w:val="none"/>
              </w:rPr>
            </w:pPr>
            <w:r>
              <w:rPr>
                <w:rStyle w:val="87"/>
                <w:rFonts w:hint="eastAsia" w:ascii="宋体" w:hAnsi="宋体" w:eastAsia="宋体" w:cs="宋体"/>
                <w:b/>
                <w:bCs/>
                <w:color w:val="auto"/>
                <w:kern w:val="0"/>
                <w:sz w:val="18"/>
                <w:szCs w:val="18"/>
                <w:highlight w:val="none"/>
              </w:rPr>
              <w:t>微型</w:t>
            </w:r>
          </w:p>
        </w:tc>
      </w:tr>
      <w:tr w14:paraId="4B698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tcBorders>
              <w:top w:val="single" w:color="000000" w:sz="4" w:space="0"/>
              <w:left w:val="single" w:color="000000" w:sz="4" w:space="0"/>
              <w:bottom w:val="single" w:color="000000" w:sz="4" w:space="0"/>
              <w:right w:val="single" w:color="000000" w:sz="4" w:space="0"/>
            </w:tcBorders>
            <w:noWrap w:val="0"/>
            <w:vAlign w:val="center"/>
          </w:tcPr>
          <w:p w14:paraId="1AD10CF6">
            <w:pPr>
              <w:spacing w:line="360" w:lineRule="auto"/>
              <w:jc w:val="left"/>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农、林、牧、渔业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DB5CD82">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9F930F3">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4929E1E">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Y≥20000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065FBCF7">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500≤Y＜20000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47A48E6A">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50≤Y＜500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26A41E7">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Y＜50</w:t>
            </w:r>
          </w:p>
        </w:tc>
      </w:tr>
      <w:tr w14:paraId="33E85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20E0EA73">
            <w:pPr>
              <w:spacing w:line="360" w:lineRule="auto"/>
              <w:jc w:val="left"/>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工业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05AC0C2">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A462E33">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EDBB7E2">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58D631B4">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0E639537">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20≤X＜300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90388EC">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X＜20</w:t>
            </w:r>
          </w:p>
        </w:tc>
      </w:tr>
      <w:tr w14:paraId="1BBC6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B0205E">
            <w:pPr>
              <w:spacing w:line="360" w:lineRule="auto"/>
              <w:jc w:val="left"/>
              <w:rPr>
                <w:rStyle w:val="87"/>
                <w:rFonts w:hint="eastAsia" w:ascii="宋体" w:hAnsi="宋体" w:eastAsia="宋体" w:cs="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829B412">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D53D366">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6712C57">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Y≥40000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74A86091">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2000≤Y＜40000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7017F962">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300≤Y＜2000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ECDC1BB">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Y＜300</w:t>
            </w:r>
          </w:p>
        </w:tc>
      </w:tr>
      <w:tr w14:paraId="44294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1CF52A0C">
            <w:pPr>
              <w:spacing w:line="360" w:lineRule="auto"/>
              <w:jc w:val="left"/>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建筑业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E876E39">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E14A901">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EF5EC71">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Y≥80000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69CE6B2C">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6000≤Y＜80000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2A02A33D">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300≤Y＜6000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58B155D">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Y＜300</w:t>
            </w:r>
          </w:p>
        </w:tc>
      </w:tr>
      <w:tr w14:paraId="23C43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30C6A4">
            <w:pPr>
              <w:spacing w:line="360" w:lineRule="auto"/>
              <w:jc w:val="left"/>
              <w:rPr>
                <w:rStyle w:val="87"/>
                <w:rFonts w:hint="eastAsia" w:ascii="宋体" w:hAnsi="宋体" w:eastAsia="宋体" w:cs="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5251DD9">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00142C5">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6112E3C">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Z≥80000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48604A72">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5000≤Z＜80000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14D7583B">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300≤Z＜5000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7469A82">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Z＜300</w:t>
            </w:r>
          </w:p>
        </w:tc>
      </w:tr>
      <w:tr w14:paraId="6E445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77E6B521">
            <w:pPr>
              <w:spacing w:line="360" w:lineRule="auto"/>
              <w:jc w:val="left"/>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批发业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BA23A3C">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1B7135B">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3EF57DA">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X≥200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2C6D2916">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20≤X＜200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68AD65F2">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5≤X＜20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318EC14">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X＜5</w:t>
            </w:r>
          </w:p>
        </w:tc>
      </w:tr>
      <w:tr w14:paraId="36CA3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ECD88A">
            <w:pPr>
              <w:spacing w:line="360" w:lineRule="auto"/>
              <w:jc w:val="left"/>
              <w:rPr>
                <w:rStyle w:val="87"/>
                <w:rFonts w:hint="eastAsia" w:ascii="宋体" w:hAnsi="宋体" w:eastAsia="宋体" w:cs="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3D753CB">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3772DFD">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2DC40D6">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Y≥40000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42B41419">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5000≤Y＜40000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28E832F0">
            <w:pPr>
              <w:spacing w:line="360" w:lineRule="auto"/>
              <w:ind w:left="-1" w:leftChars="-1" w:hanging="1"/>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1000≤Y＜5000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D02DAE9">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Y＜1000</w:t>
            </w:r>
          </w:p>
        </w:tc>
      </w:tr>
      <w:tr w14:paraId="6E420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78F37277">
            <w:pPr>
              <w:spacing w:line="360" w:lineRule="auto"/>
              <w:jc w:val="left"/>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零售业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EA41964">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54B8BC6">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2F873FE">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6B118B60">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50≤X＜300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403ED921">
            <w:pPr>
              <w:spacing w:line="360" w:lineRule="auto"/>
              <w:ind w:left="-1" w:leftChars="-1" w:hanging="1"/>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 xml:space="preserve">10≤X＜50 </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A7C7C74">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X＜10</w:t>
            </w:r>
          </w:p>
        </w:tc>
      </w:tr>
      <w:tr w14:paraId="68BF5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A3BF82">
            <w:pPr>
              <w:spacing w:line="360" w:lineRule="auto"/>
              <w:jc w:val="left"/>
              <w:rPr>
                <w:rStyle w:val="87"/>
                <w:rFonts w:hint="eastAsia" w:ascii="宋体" w:hAnsi="宋体" w:eastAsia="宋体" w:cs="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6D6DB90">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8B37AAE">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B889BCF">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Y≥20000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04C3E03">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500≤Y＜20000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72E9F94F">
            <w:pPr>
              <w:spacing w:line="360" w:lineRule="auto"/>
              <w:ind w:left="-1" w:leftChars="-1" w:hanging="1"/>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100≤Y＜500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9F3029B">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Y＜100</w:t>
            </w:r>
          </w:p>
        </w:tc>
      </w:tr>
      <w:tr w14:paraId="5871C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06B8EB89">
            <w:pPr>
              <w:spacing w:line="360" w:lineRule="auto"/>
              <w:jc w:val="left"/>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交通运输业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76B4146">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E5711E0">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7F47D6C">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4776E4EB">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56263021">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20≤X＜300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755836B">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X＜20</w:t>
            </w:r>
          </w:p>
        </w:tc>
      </w:tr>
      <w:tr w14:paraId="10948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97281E">
            <w:pPr>
              <w:spacing w:line="360" w:lineRule="auto"/>
              <w:jc w:val="left"/>
              <w:rPr>
                <w:rStyle w:val="87"/>
                <w:rFonts w:hint="eastAsia" w:ascii="宋体" w:hAnsi="宋体" w:eastAsia="宋体" w:cs="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782FD0B">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6B5B7F4">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68AE00F">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Y≥30000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6621CD42">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3000≤Y＜30000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1FB73010">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200≤Y＜3000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0D70486">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Y＜200</w:t>
            </w:r>
          </w:p>
        </w:tc>
      </w:tr>
      <w:tr w14:paraId="75E6D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3C92E36A">
            <w:pPr>
              <w:spacing w:line="360" w:lineRule="auto"/>
              <w:jc w:val="left"/>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仓储业*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72A4EFD">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6341E84">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632EDAE">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X≥200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75F627A6">
            <w:pPr>
              <w:spacing w:line="360" w:lineRule="auto"/>
              <w:ind w:left="1" w:leftChars="-51" w:hanging="108"/>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100≤X＜200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298D9EA4">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20≤X＜100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107FE13">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X＜20</w:t>
            </w:r>
          </w:p>
        </w:tc>
      </w:tr>
      <w:tr w14:paraId="3DFF4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18587B">
            <w:pPr>
              <w:spacing w:line="360" w:lineRule="auto"/>
              <w:jc w:val="left"/>
              <w:rPr>
                <w:rStyle w:val="87"/>
                <w:rFonts w:hint="eastAsia" w:ascii="宋体" w:hAnsi="宋体" w:eastAsia="宋体" w:cs="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F30C845">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E763F1D">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0C98FB6">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Y≥30000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45A3BBA0">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1000≤Y＜30000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5B36E96C">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100≤Y＜1000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099E30E">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Y＜100</w:t>
            </w:r>
          </w:p>
        </w:tc>
      </w:tr>
      <w:tr w14:paraId="6ED4A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40E27E26">
            <w:pPr>
              <w:spacing w:line="360" w:lineRule="auto"/>
              <w:jc w:val="left"/>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邮政业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0112A0C">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1B0D28B">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187E51F">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5E3AD2D7">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625BE42B">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20≤X＜300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EDA1B79">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X＜20</w:t>
            </w:r>
          </w:p>
        </w:tc>
      </w:tr>
      <w:tr w14:paraId="17594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E8B3FC">
            <w:pPr>
              <w:spacing w:line="360" w:lineRule="auto"/>
              <w:jc w:val="left"/>
              <w:rPr>
                <w:rStyle w:val="87"/>
                <w:rFonts w:hint="eastAsia" w:ascii="宋体" w:hAnsi="宋体" w:eastAsia="宋体" w:cs="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B637462">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D6F0A94">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CB8688C">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Y≥30000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1363B94A">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2000≤Y＜30000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784F48F7">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100≤Y＜2000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FF457CC">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Y＜100</w:t>
            </w:r>
          </w:p>
        </w:tc>
      </w:tr>
      <w:tr w14:paraId="12359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036A43FD">
            <w:pPr>
              <w:spacing w:line="360" w:lineRule="auto"/>
              <w:jc w:val="left"/>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住宿业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899DF70">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2E78384">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1AEC75E">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3B1BF25">
            <w:pPr>
              <w:spacing w:line="360" w:lineRule="auto"/>
              <w:ind w:left="1" w:leftChars="-51" w:hanging="108"/>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100≤X＜300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1779557F">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E7A507F">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X＜10</w:t>
            </w:r>
          </w:p>
        </w:tc>
      </w:tr>
      <w:tr w14:paraId="7B409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E569BB">
            <w:pPr>
              <w:spacing w:line="360" w:lineRule="auto"/>
              <w:jc w:val="left"/>
              <w:rPr>
                <w:rStyle w:val="87"/>
                <w:rFonts w:hint="eastAsia" w:ascii="宋体" w:hAnsi="宋体" w:eastAsia="宋体" w:cs="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8877CC3">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9688F31">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5AC182B">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Y≥10000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67D21BB7">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2000≤Y＜10000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1FA5B7B5">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100≤Y＜2000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F8463F4">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Y＜100</w:t>
            </w:r>
          </w:p>
        </w:tc>
      </w:tr>
      <w:tr w14:paraId="3A397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7AC93B82">
            <w:pPr>
              <w:spacing w:line="360" w:lineRule="auto"/>
              <w:jc w:val="left"/>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餐饮业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88748B5">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E71DBFF">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ADE465E">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735C70E3">
            <w:pPr>
              <w:spacing w:line="360" w:lineRule="auto"/>
              <w:ind w:left="1" w:leftChars="-51" w:hanging="108"/>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 xml:space="preserve">100≤X＜300 </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3F29F0D6">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65CD2C6">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X＜10</w:t>
            </w:r>
          </w:p>
        </w:tc>
      </w:tr>
      <w:tr w14:paraId="5D9AF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867319">
            <w:pPr>
              <w:spacing w:line="360" w:lineRule="auto"/>
              <w:jc w:val="left"/>
              <w:rPr>
                <w:rStyle w:val="87"/>
                <w:rFonts w:hint="eastAsia" w:ascii="宋体" w:hAnsi="宋体" w:eastAsia="宋体" w:cs="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410701E">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295297B">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FCBDF73">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Y≥10000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7AFA8B8B">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2000≤Y＜10000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3A31E922">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100≤Y＜2000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6398819">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Y＜100</w:t>
            </w:r>
          </w:p>
        </w:tc>
      </w:tr>
      <w:tr w14:paraId="12CFA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32BDE447">
            <w:pPr>
              <w:spacing w:line="360" w:lineRule="auto"/>
              <w:jc w:val="left"/>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信息传输业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B89529D">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BA41F56">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D73EFB4">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X≥2000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0EE15B7E">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100≤X＜2000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75A916CB">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F553EB6">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X＜10</w:t>
            </w:r>
          </w:p>
        </w:tc>
      </w:tr>
      <w:tr w14:paraId="62845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0966E7">
            <w:pPr>
              <w:spacing w:line="360" w:lineRule="auto"/>
              <w:jc w:val="left"/>
              <w:rPr>
                <w:rStyle w:val="87"/>
                <w:rFonts w:hint="eastAsia" w:ascii="宋体" w:hAnsi="宋体" w:eastAsia="宋体" w:cs="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25D9F1F">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302366E">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C826BEB">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Y≥100000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69277BFE">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1000≤Y＜100000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46858102">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100≤Y＜1000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34DD55B">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Y＜100</w:t>
            </w:r>
          </w:p>
        </w:tc>
      </w:tr>
      <w:tr w14:paraId="5BD01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5757CD3C">
            <w:pPr>
              <w:spacing w:line="360" w:lineRule="auto"/>
              <w:jc w:val="left"/>
              <w:rPr>
                <w:rStyle w:val="87"/>
                <w:rFonts w:hint="eastAsia" w:ascii="宋体" w:hAnsi="宋体" w:eastAsia="宋体" w:cs="宋体"/>
                <w:color w:val="auto"/>
                <w:spacing w:val="-12"/>
                <w:kern w:val="0"/>
                <w:sz w:val="18"/>
                <w:szCs w:val="18"/>
                <w:highlight w:val="none"/>
              </w:rPr>
            </w:pPr>
            <w:r>
              <w:rPr>
                <w:rStyle w:val="87"/>
                <w:rFonts w:hint="eastAsia" w:ascii="宋体" w:hAnsi="宋体" w:eastAsia="宋体" w:cs="宋体"/>
                <w:color w:val="auto"/>
                <w:spacing w:val="-12"/>
                <w:kern w:val="0"/>
                <w:sz w:val="18"/>
                <w:szCs w:val="18"/>
                <w:highlight w:val="none"/>
              </w:rPr>
              <w:t>软件和信息技术服</w:t>
            </w:r>
            <w:r>
              <w:rPr>
                <w:rStyle w:val="87"/>
                <w:rFonts w:hint="eastAsia" w:ascii="宋体" w:hAnsi="宋体" w:eastAsia="宋体" w:cs="宋体"/>
                <w:color w:val="auto"/>
                <w:kern w:val="0"/>
                <w:sz w:val="18"/>
                <w:szCs w:val="18"/>
                <w:highlight w:val="none"/>
              </w:rPr>
              <w:t>务业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9BEA52F">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A511876">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6C25736">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7FE65EED">
            <w:pPr>
              <w:spacing w:line="360" w:lineRule="auto"/>
              <w:ind w:left="1" w:leftChars="-51" w:hanging="108"/>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 xml:space="preserve">100≤X＜300 </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2B66655B">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59A3C98">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X＜10</w:t>
            </w:r>
          </w:p>
        </w:tc>
      </w:tr>
      <w:tr w14:paraId="74A6E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6DE101">
            <w:pPr>
              <w:spacing w:line="360" w:lineRule="auto"/>
              <w:jc w:val="left"/>
              <w:rPr>
                <w:rStyle w:val="87"/>
                <w:rFonts w:hint="eastAsia" w:ascii="宋体" w:hAnsi="宋体" w:eastAsia="宋体" w:cs="宋体"/>
                <w:color w:val="auto"/>
                <w:spacing w:val="-12"/>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387D7A1">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CB7E1A4">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2D19770">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Y≥10000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7436345E">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1000≤Y＜10000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407B8C88">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50≤Y＜1000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9DF8348">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Y＜50</w:t>
            </w:r>
          </w:p>
        </w:tc>
      </w:tr>
      <w:tr w14:paraId="4585D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0F116681">
            <w:pPr>
              <w:spacing w:line="360" w:lineRule="auto"/>
              <w:jc w:val="left"/>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房地产开发经营</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7053C91">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D97E0D8">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A152C7E">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Y≥200000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607AE71A">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1000≤Y＜200000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00D82E5B">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100≤Y＜1000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25A2D4E">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Y＜100</w:t>
            </w:r>
          </w:p>
        </w:tc>
      </w:tr>
      <w:tr w14:paraId="2F636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118C38">
            <w:pPr>
              <w:spacing w:line="360" w:lineRule="auto"/>
              <w:jc w:val="left"/>
              <w:rPr>
                <w:rStyle w:val="87"/>
                <w:rFonts w:hint="eastAsia" w:ascii="宋体" w:hAnsi="宋体" w:eastAsia="宋体" w:cs="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E636CC5">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58314EF">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FD89824">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Z≥10000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104AF1C4">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5000≤Z＜10000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23001C31">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2000≤Z＜5000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74E3459">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Z＜2000</w:t>
            </w:r>
          </w:p>
        </w:tc>
      </w:tr>
      <w:tr w14:paraId="74DEF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4624466F">
            <w:pPr>
              <w:spacing w:line="360" w:lineRule="auto"/>
              <w:jc w:val="left"/>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物业管理</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9BACDA2">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366142C">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C671A4E">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1C52AF4A">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7E5D132C">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100≤X＜300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F363457">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X＜100</w:t>
            </w:r>
          </w:p>
        </w:tc>
      </w:tr>
      <w:tr w14:paraId="46264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0550AE">
            <w:pPr>
              <w:spacing w:line="360" w:lineRule="auto"/>
              <w:jc w:val="left"/>
              <w:rPr>
                <w:rStyle w:val="87"/>
                <w:rFonts w:hint="eastAsia" w:ascii="宋体" w:hAnsi="宋体" w:eastAsia="宋体" w:cs="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DCCF863">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F6698D6">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AF4F212">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Y≥5000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1069BF78">
            <w:pPr>
              <w:spacing w:line="360" w:lineRule="auto"/>
              <w:ind w:left="1" w:leftChars="-51" w:hanging="108"/>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1000≤Y＜5000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7A48C61C">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500≤Y＜1000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C95B796">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Y＜500</w:t>
            </w:r>
          </w:p>
        </w:tc>
      </w:tr>
      <w:tr w14:paraId="1B352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3BACF3CB">
            <w:pPr>
              <w:spacing w:line="360" w:lineRule="auto"/>
              <w:jc w:val="left"/>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租赁和商务服务业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C23E413">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DAF751D">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CE6F640">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5775F947">
            <w:pPr>
              <w:spacing w:line="360" w:lineRule="auto"/>
              <w:ind w:left="1" w:leftChars="-51" w:hanging="108"/>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100≤X＜300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4FC4F813">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743DDA0">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X＜10</w:t>
            </w:r>
          </w:p>
        </w:tc>
      </w:tr>
      <w:tr w14:paraId="766B3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3D4AAB">
            <w:pPr>
              <w:spacing w:line="360" w:lineRule="auto"/>
              <w:jc w:val="left"/>
              <w:rPr>
                <w:rStyle w:val="87"/>
                <w:rFonts w:hint="eastAsia" w:ascii="宋体" w:hAnsi="宋体" w:eastAsia="宋体" w:cs="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A5D913E">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88EDCAD">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875E559">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Z≥120000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0E350B77">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8000≤Z＜120000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404959D0">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100≤Z＜8000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7334042">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Z＜100</w:t>
            </w:r>
          </w:p>
        </w:tc>
      </w:tr>
      <w:tr w14:paraId="06F23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tcBorders>
              <w:top w:val="single" w:color="000000" w:sz="4" w:space="0"/>
              <w:left w:val="single" w:color="000000" w:sz="4" w:space="0"/>
              <w:bottom w:val="single" w:color="000000" w:sz="4" w:space="0"/>
              <w:right w:val="single" w:color="000000" w:sz="4" w:space="0"/>
            </w:tcBorders>
            <w:noWrap w:val="0"/>
            <w:vAlign w:val="center"/>
          </w:tcPr>
          <w:p w14:paraId="7E44456B">
            <w:pPr>
              <w:spacing w:line="360" w:lineRule="auto"/>
              <w:jc w:val="left"/>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其他未列明行业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7E01C55">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B901E79">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C76DCCA">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501A7BD2">
            <w:pPr>
              <w:spacing w:line="360" w:lineRule="auto"/>
              <w:ind w:left="1" w:leftChars="-51" w:hanging="108"/>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100≤X＜300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1CFC7CC8">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947AD64">
            <w:pPr>
              <w:spacing w:line="360" w:lineRule="auto"/>
              <w:jc w:val="center"/>
              <w:rPr>
                <w:rStyle w:val="87"/>
                <w:rFonts w:hint="eastAsia" w:ascii="宋体" w:hAnsi="宋体" w:eastAsia="宋体" w:cs="宋体"/>
                <w:color w:val="auto"/>
                <w:kern w:val="0"/>
                <w:sz w:val="18"/>
                <w:szCs w:val="18"/>
                <w:highlight w:val="none"/>
              </w:rPr>
            </w:pPr>
            <w:r>
              <w:rPr>
                <w:rStyle w:val="87"/>
                <w:rFonts w:hint="eastAsia" w:ascii="宋体" w:hAnsi="宋体" w:eastAsia="宋体" w:cs="宋体"/>
                <w:color w:val="auto"/>
                <w:kern w:val="0"/>
                <w:sz w:val="18"/>
                <w:szCs w:val="18"/>
                <w:highlight w:val="none"/>
              </w:rPr>
              <w:t>X＜10</w:t>
            </w:r>
          </w:p>
        </w:tc>
      </w:tr>
    </w:tbl>
    <w:p w14:paraId="3C7D641B">
      <w:pPr>
        <w:spacing w:line="360" w:lineRule="auto"/>
        <w:rPr>
          <w:rStyle w:val="87"/>
          <w:rFonts w:hint="eastAsia" w:ascii="宋体" w:hAnsi="宋体" w:eastAsia="宋体" w:cs="宋体"/>
          <w:color w:val="auto"/>
          <w:spacing w:val="8"/>
          <w:kern w:val="0"/>
          <w:szCs w:val="21"/>
          <w:highlight w:val="none"/>
        </w:rPr>
      </w:pPr>
    </w:p>
    <w:p w14:paraId="79D06A9B">
      <w:pPr>
        <w:spacing w:line="360" w:lineRule="auto"/>
        <w:rPr>
          <w:rStyle w:val="87"/>
          <w:rFonts w:hint="eastAsia" w:ascii="宋体" w:hAnsi="宋体" w:eastAsia="宋体" w:cs="宋体"/>
          <w:color w:val="auto"/>
          <w:spacing w:val="8"/>
          <w:kern w:val="0"/>
          <w:szCs w:val="21"/>
          <w:highlight w:val="none"/>
        </w:rPr>
      </w:pPr>
      <w:r>
        <w:rPr>
          <w:rStyle w:val="87"/>
          <w:rFonts w:hint="eastAsia" w:ascii="宋体" w:hAnsi="宋体" w:eastAsia="宋体" w:cs="宋体"/>
          <w:color w:val="auto"/>
          <w:spacing w:val="8"/>
          <w:kern w:val="0"/>
          <w:szCs w:val="21"/>
          <w:highlight w:val="none"/>
        </w:rPr>
        <w:t>说明：</w:t>
      </w:r>
    </w:p>
    <w:p w14:paraId="43622026">
      <w:pPr>
        <w:pStyle w:val="266"/>
        <w:spacing w:line="360" w:lineRule="auto"/>
        <w:ind w:firstLine="452" w:firstLineChars="200"/>
        <w:rPr>
          <w:rStyle w:val="87"/>
          <w:rFonts w:hint="eastAsia" w:ascii="宋体" w:hAnsi="宋体" w:eastAsia="宋体" w:cs="宋体"/>
          <w:color w:val="auto"/>
          <w:spacing w:val="8"/>
          <w:szCs w:val="21"/>
          <w:highlight w:val="none"/>
        </w:rPr>
      </w:pPr>
      <w:r>
        <w:rPr>
          <w:rStyle w:val="87"/>
          <w:rFonts w:hint="eastAsia" w:ascii="宋体" w:hAnsi="宋体" w:eastAsia="宋体" w:cs="宋体"/>
          <w:color w:val="auto"/>
          <w:spacing w:val="8"/>
          <w:szCs w:val="21"/>
          <w:highlight w:val="none"/>
        </w:rPr>
        <w:t>1.大型、中型和小型企业须同时满足所列指标的下限，否则下划一档；微型企业只须满足所列指标中的一项即可。</w:t>
      </w:r>
    </w:p>
    <w:p w14:paraId="471C4126">
      <w:pPr>
        <w:pStyle w:val="266"/>
        <w:spacing w:line="360" w:lineRule="auto"/>
        <w:ind w:firstLine="452" w:firstLineChars="200"/>
        <w:rPr>
          <w:rStyle w:val="87"/>
          <w:rFonts w:hint="eastAsia" w:ascii="宋体" w:hAnsi="宋体" w:eastAsia="宋体" w:cs="宋体"/>
          <w:color w:val="auto"/>
          <w:spacing w:val="8"/>
          <w:szCs w:val="21"/>
          <w:highlight w:val="none"/>
        </w:rPr>
      </w:pPr>
      <w:r>
        <w:rPr>
          <w:rStyle w:val="87"/>
          <w:rFonts w:hint="eastAsia" w:ascii="宋体" w:hAnsi="宋体" w:eastAsia="宋体" w:cs="宋体"/>
          <w:color w:val="auto"/>
          <w:spacing w:val="8"/>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4B018CF">
      <w:pPr>
        <w:spacing w:line="360" w:lineRule="auto"/>
        <w:rPr>
          <w:rFonts w:hint="eastAsia" w:ascii="宋体" w:hAnsi="宋体" w:eastAsia="宋体" w:cs="宋体"/>
          <w:b/>
          <w:bCs/>
          <w:color w:val="auto"/>
          <w:sz w:val="24"/>
          <w:highlight w:val="none"/>
        </w:rPr>
      </w:pPr>
      <w:r>
        <w:rPr>
          <w:rStyle w:val="87"/>
          <w:rFonts w:hint="eastAsia" w:ascii="宋体" w:hAnsi="宋体" w:eastAsia="宋体" w:cs="宋体"/>
          <w:color w:val="auto"/>
          <w:spacing w:val="8"/>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72608FD">
      <w:pPr>
        <w:tabs>
          <w:tab w:val="left" w:pos="1305"/>
        </w:tabs>
        <w:spacing w:line="360" w:lineRule="auto"/>
        <w:ind w:firstLine="420" w:firstLineChars="200"/>
        <w:rPr>
          <w:rFonts w:hint="eastAsia" w:ascii="宋体" w:hAnsi="宋体" w:eastAsia="宋体" w:cs="宋体"/>
          <w:bCs/>
          <w:color w:val="auto"/>
          <w:kern w:val="0"/>
          <w:szCs w:val="21"/>
          <w:highlight w:val="none"/>
        </w:rPr>
      </w:pPr>
    </w:p>
    <w:p w14:paraId="1E09EC8C">
      <w:pPr>
        <w:spacing w:line="360" w:lineRule="auto"/>
        <w:rPr>
          <w:rFonts w:hint="eastAsia" w:ascii="宋体" w:hAnsi="宋体" w:eastAsia="宋体" w:cs="宋体"/>
          <w:b/>
          <w:bCs/>
          <w:iCs/>
          <w:color w:val="auto"/>
          <w:sz w:val="24"/>
          <w:highlight w:val="none"/>
        </w:rPr>
      </w:pPr>
    </w:p>
    <w:p w14:paraId="4A71B04A">
      <w:pPr>
        <w:rPr>
          <w:rFonts w:hint="eastAsia" w:ascii="宋体" w:hAnsi="宋体" w:eastAsia="宋体" w:cs="宋体"/>
          <w:b/>
          <w:color w:val="auto"/>
          <w:sz w:val="28"/>
          <w:szCs w:val="28"/>
          <w:highlight w:val="none"/>
        </w:rPr>
      </w:pPr>
    </w:p>
    <w:p w14:paraId="45267B3C">
      <w:pPr>
        <w:rPr>
          <w:rFonts w:hint="eastAsia" w:ascii="宋体" w:hAnsi="宋体" w:eastAsia="宋体" w:cs="宋体"/>
          <w:b/>
          <w:color w:val="auto"/>
          <w:sz w:val="28"/>
          <w:szCs w:val="28"/>
          <w:highlight w:val="none"/>
        </w:rPr>
      </w:pPr>
    </w:p>
    <w:p w14:paraId="784AD817">
      <w:pPr>
        <w:rPr>
          <w:rFonts w:hint="eastAsia" w:ascii="宋体" w:hAnsi="宋体" w:eastAsia="宋体" w:cs="宋体"/>
          <w:b/>
          <w:color w:val="auto"/>
          <w:sz w:val="28"/>
          <w:szCs w:val="28"/>
          <w:highlight w:val="none"/>
        </w:rPr>
      </w:pPr>
    </w:p>
    <w:p w14:paraId="29B251C7">
      <w:pPr>
        <w:rPr>
          <w:rFonts w:hint="eastAsia" w:ascii="宋体" w:hAnsi="宋体" w:eastAsia="宋体" w:cs="宋体"/>
          <w:b/>
          <w:color w:val="auto"/>
          <w:sz w:val="28"/>
          <w:szCs w:val="28"/>
          <w:highlight w:val="none"/>
        </w:rPr>
      </w:pPr>
    </w:p>
    <w:p w14:paraId="64EA8721">
      <w:pPr>
        <w:rPr>
          <w:rFonts w:hint="eastAsia" w:ascii="宋体" w:hAnsi="宋体" w:eastAsia="宋体" w:cs="宋体"/>
          <w:b/>
          <w:color w:val="auto"/>
          <w:sz w:val="28"/>
          <w:szCs w:val="28"/>
          <w:highlight w:val="none"/>
        </w:rPr>
      </w:pPr>
    </w:p>
    <w:p w14:paraId="5A1EDEAB">
      <w:pPr>
        <w:rPr>
          <w:rFonts w:hint="eastAsia" w:ascii="宋体" w:hAnsi="宋体" w:eastAsia="宋体" w:cs="宋体"/>
          <w:b/>
          <w:color w:val="auto"/>
          <w:sz w:val="28"/>
          <w:szCs w:val="28"/>
          <w:highlight w:val="none"/>
        </w:rPr>
      </w:pPr>
    </w:p>
    <w:p w14:paraId="78053ADB">
      <w:pPr>
        <w:rPr>
          <w:rFonts w:hint="eastAsia" w:ascii="宋体" w:hAnsi="宋体" w:eastAsia="宋体" w:cs="宋体"/>
          <w:b/>
          <w:color w:val="auto"/>
          <w:sz w:val="28"/>
          <w:szCs w:val="28"/>
          <w:highlight w:val="none"/>
        </w:rPr>
      </w:pPr>
    </w:p>
    <w:p w14:paraId="2575B42A">
      <w:pPr>
        <w:rPr>
          <w:rFonts w:hint="eastAsia" w:ascii="宋体" w:hAnsi="宋体" w:eastAsia="宋体" w:cs="宋体"/>
          <w:b/>
          <w:color w:val="auto"/>
          <w:sz w:val="28"/>
          <w:szCs w:val="28"/>
          <w:highlight w:val="none"/>
        </w:rPr>
      </w:pPr>
    </w:p>
    <w:p w14:paraId="2E73E325">
      <w:pPr>
        <w:spacing w:line="360" w:lineRule="auto"/>
        <w:rPr>
          <w:rFonts w:hint="eastAsia" w:ascii="宋体" w:hAnsi="宋体" w:eastAsia="宋体" w:cs="宋体"/>
          <w:b/>
          <w:bCs/>
          <w:iCs/>
          <w:color w:val="auto"/>
          <w:sz w:val="28"/>
          <w:szCs w:val="28"/>
          <w:highlight w:val="none"/>
        </w:rPr>
      </w:pPr>
      <w:r>
        <w:rPr>
          <w:rFonts w:hint="eastAsia" w:ascii="宋体" w:hAnsi="宋体" w:eastAsia="宋体" w:cs="宋体"/>
          <w:b/>
          <w:bCs/>
          <w:iCs/>
          <w:color w:val="auto"/>
          <w:sz w:val="28"/>
          <w:szCs w:val="28"/>
          <w:highlight w:val="none"/>
        </w:rPr>
        <w:t>监狱企业的证明文件[供应商如为监狱企业的，应当提供由省级以上监狱管理局、戒毒管理局（含新疆生产建设兵团）出具的属于监狱企业的证明文件, 否则不予享受优惠政策]（如有，请提供）；</w:t>
      </w:r>
    </w:p>
    <w:p w14:paraId="7A9CC9A9">
      <w:pPr>
        <w:spacing w:line="360" w:lineRule="auto"/>
        <w:rPr>
          <w:rFonts w:hint="eastAsia" w:ascii="宋体" w:hAnsi="宋体" w:eastAsia="宋体" w:cs="宋体"/>
          <w:b/>
          <w:bCs/>
          <w:iCs/>
          <w:color w:val="auto"/>
          <w:sz w:val="28"/>
          <w:szCs w:val="28"/>
          <w:highlight w:val="none"/>
        </w:rPr>
      </w:pPr>
    </w:p>
    <w:p w14:paraId="16256F88">
      <w:pPr>
        <w:spacing w:line="360" w:lineRule="auto"/>
        <w:rPr>
          <w:rFonts w:hint="eastAsia" w:ascii="宋体" w:hAnsi="宋体" w:eastAsia="宋体" w:cs="宋体"/>
          <w:b/>
          <w:bCs/>
          <w:iCs/>
          <w:color w:val="auto"/>
          <w:sz w:val="28"/>
          <w:szCs w:val="28"/>
          <w:highlight w:val="none"/>
        </w:rPr>
      </w:pPr>
    </w:p>
    <w:p w14:paraId="09F2D368">
      <w:pPr>
        <w:spacing w:line="360" w:lineRule="auto"/>
        <w:rPr>
          <w:rFonts w:hint="eastAsia" w:ascii="宋体" w:hAnsi="宋体" w:eastAsia="宋体" w:cs="宋体"/>
          <w:b/>
          <w:bCs/>
          <w:iCs/>
          <w:color w:val="auto"/>
          <w:sz w:val="28"/>
          <w:szCs w:val="28"/>
          <w:highlight w:val="none"/>
        </w:rPr>
      </w:pPr>
    </w:p>
    <w:p w14:paraId="3D9E01A8">
      <w:pPr>
        <w:spacing w:line="360" w:lineRule="auto"/>
        <w:rPr>
          <w:rFonts w:hint="eastAsia" w:ascii="宋体" w:hAnsi="宋体" w:eastAsia="宋体" w:cs="宋体"/>
          <w:b/>
          <w:bCs/>
          <w:iCs/>
          <w:color w:val="auto"/>
          <w:sz w:val="28"/>
          <w:szCs w:val="28"/>
          <w:highlight w:val="none"/>
        </w:rPr>
      </w:pPr>
    </w:p>
    <w:p w14:paraId="177DD18B">
      <w:pPr>
        <w:spacing w:line="360" w:lineRule="auto"/>
        <w:rPr>
          <w:rFonts w:hint="eastAsia" w:ascii="宋体" w:hAnsi="宋体" w:eastAsia="宋体" w:cs="宋体"/>
          <w:b/>
          <w:bCs/>
          <w:iCs/>
          <w:color w:val="auto"/>
          <w:sz w:val="28"/>
          <w:szCs w:val="28"/>
          <w:highlight w:val="none"/>
        </w:rPr>
      </w:pPr>
      <w:r>
        <w:rPr>
          <w:rFonts w:hint="eastAsia" w:ascii="宋体" w:hAnsi="宋体" w:eastAsia="宋体" w:cs="宋体"/>
          <w:b/>
          <w:bCs/>
          <w:iCs/>
          <w:color w:val="auto"/>
          <w:sz w:val="28"/>
          <w:szCs w:val="28"/>
          <w:highlight w:val="none"/>
        </w:rPr>
        <w:t>《残疾人福利性单位声明函》【符合条件的残疾人福利性单位在参加政府采购活动时，应当提供《残疾人福利性单位声明函》（格式见附件），并对声明的真实性负责，成交结果将同时公告企业《残疾人福利性单位声明函》，接受社会监督】（如有，请提供）；</w:t>
      </w:r>
    </w:p>
    <w:p w14:paraId="5264B62F">
      <w:pPr>
        <w:spacing w:line="360" w:lineRule="auto"/>
        <w:ind w:firstLine="310" w:firstLineChars="147"/>
        <w:rPr>
          <w:rFonts w:hint="eastAsia" w:ascii="宋体" w:hAnsi="宋体" w:eastAsia="宋体" w:cs="宋体"/>
          <w:b/>
          <w:color w:val="auto"/>
          <w:kern w:val="0"/>
          <w:szCs w:val="21"/>
          <w:highlight w:val="none"/>
        </w:rPr>
      </w:pPr>
    </w:p>
    <w:p w14:paraId="6AF7D99B">
      <w:pPr>
        <w:spacing w:line="360" w:lineRule="auto"/>
        <w:ind w:firstLine="354" w:firstLineChars="147"/>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附件：</w:t>
      </w:r>
    </w:p>
    <w:p w14:paraId="10964C4C">
      <w:pPr>
        <w:tabs>
          <w:tab w:val="left" w:pos="1305"/>
        </w:tabs>
        <w:spacing w:line="360" w:lineRule="auto"/>
        <w:rPr>
          <w:rFonts w:hint="eastAsia" w:ascii="宋体" w:hAnsi="宋体" w:eastAsia="宋体" w:cs="宋体"/>
          <w:b/>
          <w:bCs/>
          <w:color w:val="auto"/>
          <w:kern w:val="0"/>
          <w:sz w:val="24"/>
          <w:highlight w:val="none"/>
        </w:rPr>
      </w:pPr>
    </w:p>
    <w:p w14:paraId="65B107B5">
      <w:pPr>
        <w:spacing w:line="360" w:lineRule="auto"/>
        <w:jc w:val="center"/>
        <w:rPr>
          <w:rFonts w:hint="eastAsia" w:ascii="宋体" w:hAnsi="宋体" w:eastAsia="宋体" w:cs="宋体"/>
          <w:b/>
          <w:color w:val="auto"/>
          <w:kern w:val="0"/>
          <w:sz w:val="24"/>
          <w:highlight w:val="none"/>
        </w:rPr>
      </w:pPr>
      <w:bookmarkStart w:id="1953" w:name="OLE_LINK13"/>
      <w:bookmarkStart w:id="1954" w:name="OLE_LINK14"/>
      <w:r>
        <w:rPr>
          <w:rFonts w:hint="eastAsia" w:ascii="宋体" w:hAnsi="宋体" w:eastAsia="宋体" w:cs="宋体"/>
          <w:b/>
          <w:color w:val="auto"/>
          <w:kern w:val="0"/>
          <w:sz w:val="24"/>
          <w:highlight w:val="none"/>
        </w:rPr>
        <w:t>残疾人福利性单位声明函（格式）</w:t>
      </w:r>
    </w:p>
    <w:bookmarkEnd w:id="1953"/>
    <w:bookmarkEnd w:id="1954"/>
    <w:p w14:paraId="0938D2AE">
      <w:pPr>
        <w:spacing w:line="360" w:lineRule="auto"/>
        <w:rPr>
          <w:rFonts w:hint="eastAsia" w:ascii="宋体" w:hAnsi="宋体" w:eastAsia="宋体" w:cs="宋体"/>
          <w:b/>
          <w:color w:val="auto"/>
          <w:kern w:val="0"/>
          <w:szCs w:val="21"/>
          <w:highlight w:val="none"/>
        </w:rPr>
      </w:pPr>
    </w:p>
    <w:p w14:paraId="5CCC0EBE">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5C72490">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本单位对上述声明的真实性负责。如有虚假，将依法承担相应责任。</w:t>
      </w:r>
    </w:p>
    <w:p w14:paraId="1DFB572F">
      <w:pPr>
        <w:spacing w:line="360" w:lineRule="auto"/>
        <w:ind w:firstLine="420" w:firstLineChars="200"/>
        <w:rPr>
          <w:rFonts w:hint="eastAsia" w:ascii="宋体" w:hAnsi="宋体" w:eastAsia="宋体" w:cs="宋体"/>
          <w:color w:val="auto"/>
          <w:kern w:val="0"/>
          <w:szCs w:val="21"/>
          <w:highlight w:val="none"/>
        </w:rPr>
      </w:pPr>
    </w:p>
    <w:p w14:paraId="1988884B">
      <w:pPr>
        <w:widowControl/>
        <w:spacing w:line="360" w:lineRule="auto"/>
        <w:ind w:firstLine="2310" w:firstLineChars="11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szCs w:val="21"/>
          <w:highlight w:val="none"/>
        </w:rPr>
        <w:t>磋商供应商[公章(CA签章)]：</w:t>
      </w:r>
      <w:r>
        <w:rPr>
          <w:rFonts w:hint="eastAsia" w:ascii="宋体" w:hAnsi="宋体" w:eastAsia="宋体" w:cs="宋体"/>
          <w:color w:val="auto"/>
          <w:szCs w:val="21"/>
          <w:highlight w:val="none"/>
          <w:u w:val="single"/>
        </w:rPr>
        <w:t xml:space="preserve">                                    </w:t>
      </w:r>
    </w:p>
    <w:p w14:paraId="7ECE01E7">
      <w:pPr>
        <w:pStyle w:val="22"/>
        <w:spacing w:line="360" w:lineRule="auto"/>
        <w:ind w:left="2940" w:leftChars="1400" w:firstLine="630" w:firstLineChars="300"/>
        <w:rPr>
          <w:rFonts w:hint="eastAsia" w:ascii="宋体" w:hAnsi="宋体" w:eastAsia="宋体" w:cs="宋体"/>
          <w:color w:val="auto"/>
          <w:highlight w:val="none"/>
        </w:rPr>
      </w:pPr>
    </w:p>
    <w:p w14:paraId="1F355F00">
      <w:pPr>
        <w:spacing w:line="360" w:lineRule="auto"/>
        <w:ind w:left="420"/>
        <w:jc w:val="center"/>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6E7BCA78">
      <w:pPr>
        <w:spacing w:line="360" w:lineRule="auto"/>
        <w:ind w:left="420"/>
        <w:jc w:val="center"/>
        <w:rPr>
          <w:rFonts w:hint="eastAsia" w:ascii="宋体" w:hAnsi="宋体" w:eastAsia="宋体" w:cs="宋体"/>
          <w:color w:val="auto"/>
          <w:highlight w:val="none"/>
          <w:u w:val="single"/>
        </w:rPr>
      </w:pPr>
    </w:p>
    <w:p w14:paraId="6DB04628">
      <w:pPr>
        <w:spacing w:line="360" w:lineRule="auto"/>
        <w:ind w:left="420"/>
        <w:jc w:val="center"/>
        <w:rPr>
          <w:rFonts w:hint="eastAsia" w:ascii="宋体" w:hAnsi="宋体" w:eastAsia="宋体" w:cs="宋体"/>
          <w:b/>
          <w:bCs/>
          <w:color w:val="auto"/>
          <w:sz w:val="32"/>
          <w:szCs w:val="32"/>
          <w:highlight w:val="none"/>
        </w:rPr>
      </w:pPr>
    </w:p>
    <w:p w14:paraId="79467567">
      <w:pPr>
        <w:spacing w:line="360" w:lineRule="auto"/>
        <w:ind w:left="42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（二）符合性响应证明材料目录</w:t>
      </w:r>
    </w:p>
    <w:p w14:paraId="1D4B4476">
      <w:pPr>
        <w:spacing w:line="360" w:lineRule="auto"/>
        <w:ind w:left="420"/>
        <w:rPr>
          <w:rFonts w:hint="eastAsia" w:ascii="宋体" w:hAnsi="宋体" w:eastAsia="宋体" w:cs="宋体"/>
          <w:color w:val="auto"/>
          <w:sz w:val="24"/>
          <w:highlight w:val="none"/>
        </w:rPr>
      </w:pPr>
    </w:p>
    <w:p w14:paraId="2897B06B">
      <w:pPr>
        <w:spacing w:line="360" w:lineRule="auto"/>
        <w:ind w:left="420" w:left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1.响应函</w:t>
      </w:r>
      <w:r>
        <w:rPr>
          <w:rFonts w:hint="eastAsia" w:ascii="宋体" w:hAnsi="宋体" w:eastAsia="宋体" w:cs="宋体"/>
          <w:b/>
          <w:bCs/>
          <w:color w:val="auto"/>
          <w:sz w:val="24"/>
          <w:highlight w:val="none"/>
        </w:rPr>
        <w:t>（格式见附件）（必须提供</w:t>
      </w:r>
      <w:r>
        <w:rPr>
          <w:rFonts w:hint="eastAsia" w:ascii="宋体" w:hAnsi="宋体" w:eastAsia="宋体" w:cs="宋体"/>
          <w:color w:val="auto"/>
          <w:highlight w:val="none"/>
        </w:rPr>
        <w:t>）</w:t>
      </w:r>
      <w:r>
        <w:rPr>
          <w:rFonts w:hint="eastAsia" w:ascii="宋体" w:hAnsi="宋体" w:eastAsia="宋体" w:cs="宋体"/>
          <w:b/>
          <w:bCs/>
          <w:color w:val="auto"/>
          <w:sz w:val="24"/>
          <w:highlight w:val="none"/>
        </w:rPr>
        <w:t>；</w:t>
      </w:r>
    </w:p>
    <w:p w14:paraId="4DD075A5">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2.工程报价汇总表</w:t>
      </w:r>
      <w:r>
        <w:rPr>
          <w:rFonts w:hint="eastAsia" w:ascii="宋体" w:hAnsi="宋体" w:eastAsia="宋体" w:cs="宋体"/>
          <w:b/>
          <w:bCs/>
          <w:color w:val="auto"/>
          <w:sz w:val="24"/>
          <w:highlight w:val="none"/>
        </w:rPr>
        <w:t>（格式见附件）（必须提供）；</w:t>
      </w:r>
    </w:p>
    <w:p w14:paraId="477391D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3.标价工程量清单</w:t>
      </w:r>
      <w:r>
        <w:rPr>
          <w:rFonts w:hint="eastAsia" w:ascii="宋体" w:hAnsi="宋体" w:eastAsia="宋体" w:cs="宋体"/>
          <w:b/>
          <w:bCs/>
          <w:color w:val="auto"/>
          <w:sz w:val="24"/>
          <w:highlight w:val="none"/>
        </w:rPr>
        <w:t>（必须提供）</w:t>
      </w:r>
      <w:r>
        <w:rPr>
          <w:rFonts w:hint="eastAsia" w:ascii="宋体" w:hAnsi="宋体" w:eastAsia="宋体" w:cs="宋体"/>
          <w:color w:val="auto"/>
          <w:sz w:val="24"/>
          <w:highlight w:val="none"/>
        </w:rPr>
        <w:t>；</w:t>
      </w:r>
    </w:p>
    <w:p w14:paraId="1C0C858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4.拟投入本工程主要管理人员表</w:t>
      </w:r>
      <w:r>
        <w:rPr>
          <w:rFonts w:hint="eastAsia" w:ascii="宋体" w:hAnsi="宋体" w:eastAsia="宋体" w:cs="宋体"/>
          <w:b/>
          <w:bCs/>
          <w:color w:val="auto"/>
          <w:sz w:val="24"/>
          <w:highlight w:val="none"/>
        </w:rPr>
        <w:t>（必须提供）；</w:t>
      </w:r>
    </w:p>
    <w:p w14:paraId="10E1071D">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并一起提供由县级以上（含县级）社会养老保险经办机构出具的供应商为项目实施人员交纳的响应文件递交截止时间前半年内任意连续三个月社保证明复印件，</w:t>
      </w:r>
      <w:r>
        <w:rPr>
          <w:rFonts w:hint="eastAsia" w:ascii="宋体" w:hAnsi="宋体" w:eastAsia="宋体" w:cs="宋体"/>
          <w:color w:val="auto"/>
          <w:szCs w:val="21"/>
          <w:highlight w:val="none"/>
        </w:rPr>
        <w:t>除供应商为以下三种情形的：</w:t>
      </w:r>
    </w:p>
    <w:p w14:paraId="7C918BB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①如供应商为截标时间前60日以内成立的公司，可以提供供应商与委托代理人签订的劳动合同复印件代替社保证明复印件；</w:t>
      </w:r>
    </w:p>
    <w:p w14:paraId="45C8A2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②如供应商为事业单位，可以提供事业单位机构编制管理证复印件或事业单位机构为其发放工资的工资条复印件代替社保证明复印件；</w:t>
      </w:r>
    </w:p>
    <w:p w14:paraId="122E915C">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③如委托代理人为免缴纳社保人员，提供免缴纳社保的证明材料复印件及供应商与委托代理人签订的劳动合同复印件代替社保证明复印件。）；</w:t>
      </w:r>
    </w:p>
    <w:p w14:paraId="5E5D67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5.担任本工程的项目经理简历表（应附相关证书、身份证复印件）</w:t>
      </w:r>
      <w:r>
        <w:rPr>
          <w:rFonts w:hint="eastAsia" w:ascii="宋体" w:hAnsi="宋体" w:eastAsia="宋体" w:cs="宋体"/>
          <w:b/>
          <w:bCs/>
          <w:color w:val="auto"/>
          <w:szCs w:val="21"/>
          <w:highlight w:val="none"/>
        </w:rPr>
        <w:t>（必须提供）</w:t>
      </w:r>
      <w:r>
        <w:rPr>
          <w:rFonts w:hint="eastAsia" w:ascii="宋体" w:hAnsi="宋体" w:eastAsia="宋体" w:cs="宋体"/>
          <w:color w:val="auto"/>
          <w:szCs w:val="21"/>
          <w:highlight w:val="none"/>
        </w:rPr>
        <w:t>；</w:t>
      </w:r>
    </w:p>
    <w:p w14:paraId="610A5F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6.施工组织方案</w:t>
      </w:r>
      <w:r>
        <w:rPr>
          <w:rFonts w:hint="eastAsia" w:ascii="宋体" w:hAnsi="宋体" w:eastAsia="宋体" w:cs="宋体"/>
          <w:b/>
          <w:bCs/>
          <w:color w:val="auto"/>
          <w:szCs w:val="21"/>
          <w:highlight w:val="none"/>
        </w:rPr>
        <w:t>（必须提供）</w:t>
      </w:r>
      <w:r>
        <w:rPr>
          <w:rFonts w:hint="eastAsia" w:ascii="宋体" w:hAnsi="宋体" w:eastAsia="宋体" w:cs="宋体"/>
          <w:color w:val="auto"/>
          <w:szCs w:val="21"/>
          <w:highlight w:val="none"/>
        </w:rPr>
        <w:t>；</w:t>
      </w:r>
    </w:p>
    <w:p w14:paraId="4E7723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7.工程完工服务承诺书</w:t>
      </w:r>
      <w:r>
        <w:rPr>
          <w:rFonts w:hint="eastAsia" w:ascii="宋体" w:hAnsi="宋体" w:eastAsia="宋体" w:cs="宋体"/>
          <w:b/>
          <w:bCs/>
          <w:color w:val="auto"/>
          <w:szCs w:val="21"/>
          <w:highlight w:val="none"/>
        </w:rPr>
        <w:t>（必须提供）</w:t>
      </w:r>
      <w:r>
        <w:rPr>
          <w:rFonts w:hint="eastAsia" w:ascii="宋体" w:hAnsi="宋体" w:eastAsia="宋体" w:cs="宋体"/>
          <w:color w:val="auto"/>
          <w:szCs w:val="21"/>
          <w:highlight w:val="none"/>
        </w:rPr>
        <w:t>；</w:t>
      </w:r>
    </w:p>
    <w:p w14:paraId="1E238EE6">
      <w:pPr>
        <w:spacing w:line="360" w:lineRule="auto"/>
        <w:ind w:firstLine="420" w:firstLineChars="200"/>
        <w:rPr>
          <w:rFonts w:hint="eastAsia" w:ascii="宋体" w:hAnsi="宋体" w:eastAsia="宋体" w:cs="宋体"/>
          <w:color w:val="auto"/>
          <w:szCs w:val="21"/>
          <w:highlight w:val="none"/>
        </w:rPr>
      </w:pPr>
      <w:bookmarkStart w:id="1955" w:name="_Toc6633"/>
      <w:bookmarkStart w:id="1956" w:name="_Toc3099"/>
      <w:r>
        <w:rPr>
          <w:rFonts w:hint="eastAsia" w:ascii="宋体" w:hAnsi="宋体" w:eastAsia="宋体" w:cs="宋体"/>
          <w:color w:val="auto"/>
          <w:szCs w:val="21"/>
          <w:highlight w:val="none"/>
        </w:rPr>
        <w:t>8.农民工工资保障金交纳与使用承诺书</w:t>
      </w:r>
      <w:r>
        <w:rPr>
          <w:rFonts w:hint="eastAsia" w:ascii="宋体" w:hAnsi="宋体" w:eastAsia="宋体" w:cs="宋体"/>
          <w:b/>
          <w:bCs/>
          <w:color w:val="auto"/>
          <w:szCs w:val="21"/>
          <w:highlight w:val="none"/>
        </w:rPr>
        <w:t>（必须提供）</w:t>
      </w:r>
      <w:r>
        <w:rPr>
          <w:rFonts w:hint="eastAsia" w:ascii="宋体" w:hAnsi="宋体" w:eastAsia="宋体" w:cs="宋体"/>
          <w:color w:val="auto"/>
          <w:szCs w:val="21"/>
          <w:highlight w:val="none"/>
        </w:rPr>
        <w:t>；</w:t>
      </w:r>
      <w:bookmarkEnd w:id="1955"/>
      <w:bookmarkEnd w:id="1956"/>
    </w:p>
    <w:p w14:paraId="538EA0AB">
      <w:pPr>
        <w:spacing w:line="360" w:lineRule="auto"/>
        <w:ind w:firstLine="420" w:firstLineChars="200"/>
        <w:rPr>
          <w:rFonts w:hint="eastAsia" w:ascii="宋体" w:hAnsi="宋体" w:eastAsia="宋体" w:cs="宋体"/>
          <w:color w:val="auto"/>
          <w:szCs w:val="21"/>
          <w:highlight w:val="none"/>
        </w:rPr>
      </w:pPr>
      <w:bookmarkStart w:id="1957" w:name="_Toc13958"/>
      <w:bookmarkStart w:id="1958" w:name="_Toc31495"/>
      <w:bookmarkStart w:id="1959" w:name="_Toc6752"/>
      <w:r>
        <w:rPr>
          <w:rFonts w:hint="eastAsia" w:ascii="宋体" w:hAnsi="宋体" w:eastAsia="宋体" w:cs="宋体"/>
          <w:color w:val="auto"/>
          <w:szCs w:val="21"/>
          <w:highlight w:val="none"/>
        </w:rPr>
        <w:t>9.城乡清洁工程渣土清运承诺书</w:t>
      </w:r>
      <w:r>
        <w:rPr>
          <w:rFonts w:hint="eastAsia" w:ascii="宋体" w:hAnsi="宋体" w:eastAsia="宋体" w:cs="宋体"/>
          <w:b/>
          <w:bCs/>
          <w:color w:val="auto"/>
          <w:szCs w:val="21"/>
          <w:highlight w:val="none"/>
        </w:rPr>
        <w:t>（必须提供）</w:t>
      </w:r>
      <w:r>
        <w:rPr>
          <w:rFonts w:hint="eastAsia" w:ascii="宋体" w:hAnsi="宋体" w:eastAsia="宋体" w:cs="宋体"/>
          <w:color w:val="auto"/>
          <w:szCs w:val="21"/>
          <w:highlight w:val="none"/>
        </w:rPr>
        <w:t>。</w:t>
      </w:r>
      <w:bookmarkEnd w:id="1957"/>
      <w:bookmarkEnd w:id="1958"/>
      <w:bookmarkEnd w:id="1959"/>
    </w:p>
    <w:p w14:paraId="623D5EE8">
      <w:pPr>
        <w:pStyle w:val="80"/>
        <w:spacing w:line="360" w:lineRule="auto"/>
        <w:rPr>
          <w:rFonts w:hint="eastAsia" w:ascii="宋体" w:hAnsi="宋体" w:eastAsia="宋体" w:cs="宋体"/>
          <w:color w:val="auto"/>
          <w:highlight w:val="none"/>
        </w:rPr>
      </w:pPr>
    </w:p>
    <w:p w14:paraId="28FFE424">
      <w:pPr>
        <w:pStyle w:val="80"/>
        <w:spacing w:line="360" w:lineRule="auto"/>
        <w:rPr>
          <w:rFonts w:hint="eastAsia" w:ascii="宋体" w:hAnsi="宋体" w:eastAsia="宋体" w:cs="宋体"/>
          <w:color w:val="auto"/>
          <w:highlight w:val="none"/>
        </w:rPr>
      </w:pPr>
    </w:p>
    <w:p w14:paraId="5B768A5E">
      <w:pPr>
        <w:pStyle w:val="80"/>
        <w:spacing w:line="360" w:lineRule="auto"/>
        <w:rPr>
          <w:rFonts w:hint="eastAsia" w:ascii="宋体" w:hAnsi="宋体" w:eastAsia="宋体" w:cs="宋体"/>
          <w:color w:val="auto"/>
          <w:highlight w:val="none"/>
        </w:rPr>
      </w:pPr>
    </w:p>
    <w:p w14:paraId="3C85A6DA">
      <w:pPr>
        <w:pStyle w:val="80"/>
        <w:spacing w:line="360" w:lineRule="auto"/>
        <w:rPr>
          <w:rFonts w:hint="eastAsia" w:ascii="宋体" w:hAnsi="宋体" w:eastAsia="宋体" w:cs="宋体"/>
          <w:color w:val="auto"/>
          <w:highlight w:val="none"/>
        </w:rPr>
      </w:pPr>
    </w:p>
    <w:p w14:paraId="71267570">
      <w:pPr>
        <w:pStyle w:val="80"/>
        <w:spacing w:line="360" w:lineRule="auto"/>
        <w:rPr>
          <w:rFonts w:hint="eastAsia" w:ascii="宋体" w:hAnsi="宋体" w:eastAsia="宋体" w:cs="宋体"/>
          <w:color w:val="auto"/>
          <w:highlight w:val="none"/>
        </w:rPr>
      </w:pPr>
    </w:p>
    <w:p w14:paraId="5E43779C">
      <w:pPr>
        <w:pStyle w:val="80"/>
        <w:spacing w:line="360" w:lineRule="auto"/>
        <w:rPr>
          <w:rFonts w:hint="eastAsia" w:ascii="宋体" w:hAnsi="宋体" w:eastAsia="宋体" w:cs="宋体"/>
          <w:color w:val="auto"/>
          <w:highlight w:val="none"/>
        </w:rPr>
      </w:pPr>
    </w:p>
    <w:p w14:paraId="6587DA82">
      <w:pPr>
        <w:pStyle w:val="80"/>
        <w:spacing w:line="360" w:lineRule="auto"/>
        <w:rPr>
          <w:rFonts w:hint="eastAsia" w:ascii="宋体" w:hAnsi="宋体" w:eastAsia="宋体" w:cs="宋体"/>
          <w:color w:val="auto"/>
          <w:highlight w:val="none"/>
        </w:rPr>
      </w:pPr>
    </w:p>
    <w:p w14:paraId="5066D8CF">
      <w:pPr>
        <w:pStyle w:val="80"/>
        <w:spacing w:line="360" w:lineRule="auto"/>
        <w:rPr>
          <w:rFonts w:hint="eastAsia" w:ascii="宋体" w:hAnsi="宋体" w:eastAsia="宋体" w:cs="宋体"/>
          <w:color w:val="auto"/>
          <w:highlight w:val="none"/>
        </w:rPr>
      </w:pPr>
    </w:p>
    <w:p w14:paraId="6E699D19">
      <w:pPr>
        <w:pStyle w:val="80"/>
        <w:spacing w:line="360" w:lineRule="auto"/>
        <w:rPr>
          <w:rFonts w:hint="eastAsia" w:ascii="宋体" w:hAnsi="宋体" w:eastAsia="宋体" w:cs="宋体"/>
          <w:color w:val="auto"/>
          <w:highlight w:val="none"/>
        </w:rPr>
      </w:pPr>
    </w:p>
    <w:p w14:paraId="3D0103C4">
      <w:pPr>
        <w:pStyle w:val="80"/>
        <w:spacing w:line="360" w:lineRule="auto"/>
        <w:rPr>
          <w:rFonts w:hint="eastAsia" w:ascii="宋体" w:hAnsi="宋体" w:eastAsia="宋体" w:cs="宋体"/>
          <w:color w:val="auto"/>
          <w:highlight w:val="none"/>
        </w:rPr>
      </w:pPr>
    </w:p>
    <w:p w14:paraId="787A9326">
      <w:pPr>
        <w:spacing w:line="360" w:lineRule="auto"/>
        <w:rPr>
          <w:rFonts w:hint="eastAsia" w:ascii="宋体" w:hAnsi="宋体" w:eastAsia="宋体" w:cs="宋体"/>
          <w:color w:val="auto"/>
          <w:highlight w:val="none"/>
        </w:rPr>
      </w:pPr>
      <w:bookmarkStart w:id="1960" w:name="_Toc17617"/>
      <w:bookmarkStart w:id="1961" w:name="_Toc12920"/>
      <w:bookmarkStart w:id="1962" w:name="_Toc497927072"/>
      <w:r>
        <w:rPr>
          <w:rFonts w:hint="eastAsia" w:ascii="宋体" w:hAnsi="宋体" w:eastAsia="宋体" w:cs="宋体"/>
          <w:b/>
          <w:bCs/>
          <w:color w:val="auto"/>
          <w:sz w:val="28"/>
          <w:szCs w:val="28"/>
          <w:highlight w:val="none"/>
        </w:rPr>
        <w:t>1.响应函（格式见附件）（必须提供）</w:t>
      </w:r>
      <w:bookmarkEnd w:id="1960"/>
      <w:bookmarkEnd w:id="1961"/>
      <w:bookmarkEnd w:id="1962"/>
    </w:p>
    <w:p w14:paraId="3183FC0B">
      <w:pPr>
        <w:pStyle w:val="22"/>
        <w:spacing w:line="360" w:lineRule="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附件：</w:t>
      </w:r>
    </w:p>
    <w:p w14:paraId="5485D684">
      <w:pPr>
        <w:pStyle w:val="22"/>
        <w:spacing w:line="360" w:lineRule="auto"/>
        <w:ind w:firstLine="803" w:firstLineChars="250"/>
        <w:jc w:val="center"/>
        <w:rPr>
          <w:rFonts w:hint="eastAsia" w:ascii="宋体" w:hAnsi="宋体" w:eastAsia="宋体" w:cs="宋体"/>
          <w:color w:val="auto"/>
          <w:sz w:val="32"/>
          <w:highlight w:val="none"/>
        </w:rPr>
      </w:pPr>
      <w:bookmarkStart w:id="1963" w:name="_Toc7273_WPSOffice_Level1"/>
      <w:bookmarkStart w:id="1964" w:name="_Toc17832_WPSOffice_Level1"/>
      <w:r>
        <w:rPr>
          <w:rFonts w:hint="eastAsia" w:ascii="宋体" w:hAnsi="宋体" w:eastAsia="宋体" w:cs="宋体"/>
          <w:b/>
          <w:color w:val="auto"/>
          <w:sz w:val="32"/>
          <w:highlight w:val="none"/>
        </w:rPr>
        <w:t>响 应 函 （格 式）</w:t>
      </w:r>
      <w:bookmarkEnd w:id="1963"/>
      <w:bookmarkEnd w:id="1964"/>
    </w:p>
    <w:p w14:paraId="2B2075DD">
      <w:pPr>
        <w:pStyle w:val="22"/>
        <w:spacing w:line="360" w:lineRule="auto"/>
        <w:ind w:firstLine="420"/>
        <w:rPr>
          <w:rFonts w:hint="eastAsia" w:ascii="宋体" w:hAnsi="宋体" w:eastAsia="宋体" w:cs="宋体"/>
          <w:color w:val="auto"/>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w:t>
      </w:r>
      <w:r>
        <w:rPr>
          <w:rFonts w:hint="eastAsia" w:hAnsi="宋体" w:cs="宋体"/>
          <w:color w:val="auto"/>
          <w:szCs w:val="21"/>
          <w:highlight w:val="none"/>
          <w:u w:val="single"/>
          <w:lang w:eastAsia="zh-CN"/>
        </w:rPr>
        <w:t>广西鼎策工程顾问有限责任公司</w:t>
      </w:r>
      <w:r>
        <w:rPr>
          <w:rFonts w:hint="eastAsia" w:ascii="宋体" w:hAnsi="宋体" w:eastAsia="宋体" w:cs="宋体"/>
          <w:color w:val="auto"/>
          <w:highlight w:val="none"/>
        </w:rPr>
        <w:t>根据贵方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项目竞争性磋商文件，项目编号：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（姓名）经正式授权并代表供应商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供应商单位名称），提交电子响应文件。</w:t>
      </w:r>
    </w:p>
    <w:p w14:paraId="1CFF5BF8">
      <w:pPr>
        <w:pStyle w:val="2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据此函，签字代表宣布同意如下：</w:t>
      </w:r>
    </w:p>
    <w:p w14:paraId="244B7385">
      <w:pPr>
        <w:pStyle w:val="2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 按磋商文件采购需求和磋商报价表：</w:t>
      </w:r>
    </w:p>
    <w:p w14:paraId="7D6B45C4">
      <w:pPr>
        <w:pStyle w:val="22"/>
        <w:spacing w:line="360" w:lineRule="auto"/>
        <w:ind w:firstLine="420"/>
        <w:rPr>
          <w:rFonts w:hint="eastAsia" w:ascii="宋体" w:hAnsi="宋体" w:eastAsia="宋体" w:cs="宋体"/>
          <w:color w:val="auto"/>
          <w:highlight w:val="none"/>
        </w:rPr>
      </w:pPr>
      <w:r>
        <w:rPr>
          <w:rFonts w:hint="eastAsia" w:ascii="宋体" w:hAnsi="宋体" w:eastAsia="宋体" w:cs="宋体"/>
          <w:color w:val="auto"/>
          <w:szCs w:val="21"/>
          <w:highlight w:val="none"/>
        </w:rPr>
        <w:t>按采购项目内容和报价表，磋商</w:t>
      </w:r>
      <w:r>
        <w:rPr>
          <w:rFonts w:hint="eastAsia" w:ascii="宋体" w:hAnsi="宋体" w:eastAsia="宋体" w:cs="宋体"/>
          <w:color w:val="auto"/>
          <w:highlight w:val="none"/>
        </w:rPr>
        <w:t>工程总造价人民币（大写</w:t>
      </w:r>
      <w:r>
        <w:rPr>
          <w:rFonts w:hint="eastAsia" w:ascii="宋体" w:hAnsi="宋体" w:eastAsia="宋体" w:cs="宋体"/>
          <w:color w:val="auto"/>
          <w:spacing w:val="-39"/>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)（其中：安全防护、文明施工措施费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 ），工程完工期：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；质量等级:</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517402FC">
      <w:pPr>
        <w:pStyle w:val="2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2.我方承诺已具备磋商文件规定的供应商资格条件。</w:t>
      </w:r>
    </w:p>
    <w:p w14:paraId="7C6A6827">
      <w:pPr>
        <w:pStyle w:val="2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3.我方已详细审核磋商文件，包括修改文件（如有的话）和有关附件，将自行承担因对全部磋商文件理解不正确或误解而产生的相应后果。</w:t>
      </w:r>
    </w:p>
    <w:p w14:paraId="323791B8">
      <w:pPr>
        <w:pStyle w:val="2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 响应文件有效期为</w:t>
      </w:r>
      <w:r>
        <w:rPr>
          <w:rFonts w:hint="eastAsia" w:ascii="宋体" w:hAnsi="宋体" w:eastAsia="宋体" w:cs="宋体"/>
          <w:color w:val="auto"/>
          <w:szCs w:val="21"/>
          <w:highlight w:val="none"/>
        </w:rPr>
        <w:t>响应文件递交截止时间之日起90天。</w:t>
      </w:r>
    </w:p>
    <w:p w14:paraId="23B8FD06">
      <w:pPr>
        <w:pStyle w:val="2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 如我方成交：</w:t>
      </w:r>
    </w:p>
    <w:p w14:paraId="1AD788E9">
      <w:pPr>
        <w:pStyle w:val="2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（1）我方承诺在收到成交通知书后，在成交通知书规定的期限内与采购人签订合同。</w:t>
      </w:r>
    </w:p>
    <w:p w14:paraId="625F0659">
      <w:pPr>
        <w:pStyle w:val="22"/>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（2）我方承诺按照磋商文件规定递交履约担保。</w:t>
      </w:r>
    </w:p>
    <w:p w14:paraId="4B009207">
      <w:pPr>
        <w:pStyle w:val="22"/>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（3）我方承诺本响应文件至本项目合同履行完毕止均保持有效，按磋商文件及政府采购法律、法规的规定履行合同责任和义务。</w:t>
      </w:r>
    </w:p>
    <w:p w14:paraId="5E76EEC1">
      <w:pPr>
        <w:pStyle w:val="22"/>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与本项目有关的正式通讯地址为：</w:t>
      </w:r>
    </w:p>
    <w:p w14:paraId="771F2834">
      <w:pPr>
        <w:pStyle w:val="22"/>
        <w:spacing w:line="360" w:lineRule="auto"/>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邮编：</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电话、传真：</w:t>
      </w:r>
      <w:r>
        <w:rPr>
          <w:rFonts w:hint="eastAsia" w:ascii="宋体" w:hAnsi="宋体" w:eastAsia="宋体" w:cs="宋体"/>
          <w:color w:val="auto"/>
          <w:szCs w:val="21"/>
          <w:highlight w:val="none"/>
          <w:u w:val="single"/>
        </w:rPr>
        <w:t xml:space="preserve">            </w:t>
      </w:r>
    </w:p>
    <w:p w14:paraId="7B263289">
      <w:pPr>
        <w:pStyle w:val="22"/>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p>
    <w:p w14:paraId="7141C281">
      <w:pPr>
        <w:pStyle w:val="22"/>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p>
    <w:p w14:paraId="0167FD82">
      <w:pPr>
        <w:pStyle w:val="22"/>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p>
    <w:p w14:paraId="09780213">
      <w:pPr>
        <w:pStyle w:val="22"/>
        <w:spacing w:line="360" w:lineRule="auto"/>
        <w:ind w:firstLine="42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供应商[公章(CA签章)、自然人除外]：</w:t>
      </w:r>
      <w:r>
        <w:rPr>
          <w:rFonts w:hint="eastAsia" w:ascii="宋体" w:hAnsi="宋体" w:eastAsia="宋体" w:cs="宋体"/>
          <w:bCs/>
          <w:color w:val="auto"/>
          <w:szCs w:val="21"/>
          <w:highlight w:val="none"/>
          <w:u w:val="single"/>
        </w:rPr>
        <w:t xml:space="preserve">                              </w:t>
      </w:r>
    </w:p>
    <w:p w14:paraId="09C1A9B4">
      <w:pPr>
        <w:pStyle w:val="22"/>
        <w:spacing w:line="360" w:lineRule="auto"/>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法定代表人、负责人、自然人或相应的委托代理人签字[或盖章(CA签章)]（属自然人的应在签名处加盖大拇指指印或个人CA签章）：</w:t>
      </w:r>
      <w:r>
        <w:rPr>
          <w:rFonts w:hint="eastAsia" w:ascii="宋体" w:hAnsi="宋体" w:eastAsia="宋体" w:cs="宋体"/>
          <w:color w:val="auto"/>
          <w:szCs w:val="21"/>
          <w:highlight w:val="none"/>
          <w:u w:val="single"/>
        </w:rPr>
        <w:t xml:space="preserve">              </w:t>
      </w:r>
    </w:p>
    <w:p w14:paraId="6321B65F">
      <w:pPr>
        <w:pStyle w:val="22"/>
        <w:spacing w:line="360" w:lineRule="auto"/>
        <w:ind w:firstLine="42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响应</w:t>
      </w: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p>
    <w:p w14:paraId="3E4238FF">
      <w:pPr>
        <w:pStyle w:val="22"/>
        <w:spacing w:line="360" w:lineRule="auto"/>
        <w:rPr>
          <w:rFonts w:hint="eastAsia" w:ascii="宋体" w:hAnsi="宋体" w:eastAsia="宋体" w:cs="宋体"/>
          <w:color w:val="auto"/>
          <w:highlight w:val="none"/>
        </w:rPr>
      </w:pPr>
      <w:r>
        <w:rPr>
          <w:rFonts w:hint="eastAsia" w:ascii="宋体" w:hAnsi="宋体" w:eastAsia="宋体" w:cs="宋体"/>
          <w:b/>
          <w:color w:val="auto"/>
          <w:sz w:val="28"/>
          <w:szCs w:val="28"/>
          <w:highlight w:val="none"/>
        </w:rPr>
        <w:t>2. 工程报价汇总表（必须提供）；</w:t>
      </w:r>
    </w:p>
    <w:p w14:paraId="5A469A16">
      <w:pPr>
        <w:pStyle w:val="22"/>
        <w:spacing w:line="360" w:lineRule="auto"/>
        <w:jc w:val="left"/>
        <w:rPr>
          <w:rFonts w:hint="eastAsia" w:ascii="宋体" w:hAnsi="宋体" w:eastAsia="宋体" w:cs="宋体"/>
          <w:b/>
          <w:color w:val="auto"/>
          <w:sz w:val="28"/>
          <w:szCs w:val="28"/>
          <w:highlight w:val="none"/>
        </w:rPr>
      </w:pPr>
    </w:p>
    <w:p w14:paraId="62D96C32">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工程报价汇总表（格式）</w:t>
      </w:r>
    </w:p>
    <w:p w14:paraId="17995090">
      <w:pPr>
        <w:pStyle w:val="2"/>
        <w:spacing w:before="65" w:line="227" w:lineRule="auto"/>
        <w:ind w:left="1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工程名称</w:t>
      </w:r>
      <w:r>
        <w:rPr>
          <w:rFonts w:hint="eastAsia" w:ascii="宋体" w:hAnsi="宋体" w:eastAsia="宋体" w:cs="宋体"/>
          <w:color w:val="auto"/>
          <w:spacing w:val="-52"/>
          <w:sz w:val="20"/>
          <w:szCs w:val="20"/>
          <w:highlight w:val="none"/>
        </w:rPr>
        <w:t xml:space="preserve"> </w:t>
      </w:r>
      <w:r>
        <w:rPr>
          <w:rFonts w:hint="eastAsia" w:ascii="宋体" w:hAnsi="宋体" w:eastAsia="宋体" w:cs="宋体"/>
          <w:color w:val="auto"/>
          <w:spacing w:val="1"/>
          <w:sz w:val="20"/>
          <w:szCs w:val="20"/>
          <w:highlight w:val="none"/>
        </w:rPr>
        <w:t>:</w:t>
      </w:r>
      <w:r>
        <w:rPr>
          <w:rFonts w:hint="eastAsia" w:ascii="宋体" w:hAnsi="宋体" w:eastAsia="宋体" w:cs="宋体"/>
          <w:color w:val="auto"/>
          <w:spacing w:val="-99"/>
          <w:sz w:val="20"/>
          <w:szCs w:val="20"/>
          <w:highlight w:val="none"/>
        </w:rPr>
        <w:t xml:space="preserve"> </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8"/>
          <w:sz w:val="20"/>
          <w:szCs w:val="20"/>
          <w:highlight w:val="none"/>
        </w:rPr>
        <w:t xml:space="preserve">            </w:t>
      </w:r>
      <w:r>
        <w:rPr>
          <w:rFonts w:hint="eastAsia" w:ascii="宋体" w:hAnsi="宋体" w:eastAsia="宋体" w:cs="宋体"/>
          <w:color w:val="auto"/>
          <w:spacing w:val="8"/>
          <w:sz w:val="20"/>
          <w:szCs w:val="20"/>
          <w:highlight w:val="none"/>
          <w:lang w:val="en-US" w:eastAsia="zh-CN"/>
        </w:rPr>
        <w:t xml:space="preserve">       </w:t>
      </w:r>
      <w:r>
        <w:rPr>
          <w:rFonts w:hint="eastAsia" w:ascii="宋体" w:hAnsi="宋体" w:eastAsia="宋体" w:cs="宋体"/>
          <w:color w:val="auto"/>
          <w:spacing w:val="8"/>
          <w:sz w:val="20"/>
          <w:szCs w:val="20"/>
          <w:highlight w:val="none"/>
        </w:rPr>
        <w:t xml:space="preserve"> </w:t>
      </w:r>
      <w:r>
        <w:rPr>
          <w:rFonts w:hint="eastAsia" w:ascii="宋体" w:hAnsi="宋体" w:eastAsia="宋体" w:cs="宋体"/>
          <w:color w:val="auto"/>
          <w:spacing w:val="1"/>
          <w:sz w:val="20"/>
          <w:szCs w:val="20"/>
          <w:highlight w:val="none"/>
        </w:rPr>
        <w:t>币种：人民币</w:t>
      </w:r>
    </w:p>
    <w:p w14:paraId="7DD69028">
      <w:pPr>
        <w:spacing w:line="76" w:lineRule="auto"/>
        <w:rPr>
          <w:rFonts w:hint="eastAsia" w:ascii="宋体" w:hAnsi="宋体" w:eastAsia="宋体" w:cs="宋体"/>
          <w:color w:val="auto"/>
          <w:sz w:val="2"/>
          <w:highlight w:val="none"/>
        </w:rPr>
      </w:pPr>
    </w:p>
    <w:tbl>
      <w:tblPr>
        <w:tblStyle w:val="265"/>
        <w:tblW w:w="885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3"/>
        <w:gridCol w:w="3668"/>
        <w:gridCol w:w="4173"/>
      </w:tblGrid>
      <w:tr w14:paraId="17814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jc w:val="center"/>
        </w:trPr>
        <w:tc>
          <w:tcPr>
            <w:tcW w:w="1013" w:type="dxa"/>
            <w:tcBorders>
              <w:left w:val="single" w:color="000000" w:sz="6" w:space="0"/>
            </w:tcBorders>
            <w:noWrap w:val="0"/>
            <w:vAlign w:val="center"/>
          </w:tcPr>
          <w:p w14:paraId="4209081F">
            <w:pPr>
              <w:pStyle w:val="268"/>
              <w:autoSpaceDE w:val="0"/>
              <w:autoSpaceDN w:val="0"/>
              <w:spacing w:before="159" w:line="226" w:lineRule="auto"/>
              <w:ind w:left="115"/>
              <w:jc w:val="cente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序号</w:t>
            </w:r>
          </w:p>
        </w:tc>
        <w:tc>
          <w:tcPr>
            <w:tcW w:w="7841" w:type="dxa"/>
            <w:gridSpan w:val="2"/>
            <w:tcBorders>
              <w:top w:val="single" w:color="000000" w:sz="6" w:space="0"/>
              <w:right w:val="single" w:color="000000" w:sz="6" w:space="0"/>
            </w:tcBorders>
            <w:noWrap w:val="0"/>
            <w:vAlign w:val="center"/>
          </w:tcPr>
          <w:p w14:paraId="01246969">
            <w:pPr>
              <w:pStyle w:val="268"/>
              <w:autoSpaceDE w:val="0"/>
              <w:autoSpaceDN w:val="0"/>
              <w:spacing w:before="159" w:line="228" w:lineRule="auto"/>
              <w:ind w:left="1087" w:leftChars="0" w:firstLine="795" w:firstLineChars="400"/>
              <w:jc w:val="center"/>
              <w:rPr>
                <w:rFonts w:hint="eastAsia" w:ascii="宋体" w:hAnsi="宋体" w:eastAsia="宋体" w:cs="宋体"/>
                <w:b/>
                <w:bCs/>
                <w:color w:val="auto"/>
                <w:spacing w:val="-1"/>
                <w:highlight w:val="none"/>
                <w:lang w:eastAsia="zh-CN"/>
              </w:rPr>
            </w:pPr>
            <w:r>
              <w:rPr>
                <w:rFonts w:hint="eastAsia" w:ascii="宋体" w:hAnsi="宋体" w:eastAsia="宋体" w:cs="宋体"/>
                <w:b/>
                <w:bCs/>
                <w:color w:val="auto"/>
                <w:spacing w:val="-1"/>
                <w:highlight w:val="none"/>
                <w:lang w:eastAsia="zh-CN"/>
              </w:rPr>
              <w:t>内容</w:t>
            </w:r>
          </w:p>
        </w:tc>
      </w:tr>
      <w:tr w14:paraId="61898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jc w:val="center"/>
        </w:trPr>
        <w:tc>
          <w:tcPr>
            <w:tcW w:w="1013" w:type="dxa"/>
            <w:tcBorders>
              <w:left w:val="single" w:color="000000" w:sz="6" w:space="0"/>
            </w:tcBorders>
            <w:noWrap w:val="0"/>
            <w:vAlign w:val="center"/>
          </w:tcPr>
          <w:p w14:paraId="29B8E088">
            <w:pPr>
              <w:pStyle w:val="268"/>
              <w:autoSpaceDE w:val="0"/>
              <w:autoSpaceDN w:val="0"/>
              <w:spacing w:before="159" w:line="226" w:lineRule="auto"/>
              <w:ind w:left="115"/>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w:t>
            </w:r>
          </w:p>
        </w:tc>
        <w:tc>
          <w:tcPr>
            <w:tcW w:w="3668" w:type="dxa"/>
            <w:tcBorders>
              <w:top w:val="single" w:color="000000" w:sz="6" w:space="0"/>
              <w:right w:val="single" w:color="000000" w:sz="6" w:space="0"/>
            </w:tcBorders>
            <w:noWrap w:val="0"/>
            <w:vAlign w:val="center"/>
          </w:tcPr>
          <w:p w14:paraId="2483DB2A">
            <w:pPr>
              <w:pStyle w:val="268"/>
              <w:autoSpaceDE w:val="0"/>
              <w:autoSpaceDN w:val="0"/>
              <w:spacing w:before="159" w:line="226" w:lineRule="auto"/>
              <w:ind w:left="115" w:leftChars="0"/>
              <w:jc w:val="center"/>
              <w:rPr>
                <w:rFonts w:hint="eastAsia" w:ascii="宋体" w:hAnsi="宋体" w:eastAsia="宋体" w:cs="宋体"/>
                <w:b/>
                <w:bCs/>
                <w:color w:val="auto"/>
                <w:spacing w:val="7"/>
                <w:sz w:val="21"/>
                <w:szCs w:val="21"/>
                <w:highlight w:val="none"/>
              </w:rPr>
            </w:pPr>
            <w:r>
              <w:rPr>
                <w:rFonts w:hint="eastAsia" w:ascii="宋体" w:hAnsi="宋体" w:eastAsia="宋体" w:cs="宋体"/>
                <w:b/>
                <w:bCs/>
                <w:color w:val="auto"/>
                <w:spacing w:val="7"/>
                <w:sz w:val="21"/>
                <w:szCs w:val="21"/>
                <w:highlight w:val="none"/>
              </w:rPr>
              <w:t>总造价（磋商报价</w:t>
            </w:r>
            <w:r>
              <w:rPr>
                <w:rFonts w:hint="eastAsia" w:ascii="宋体" w:hAnsi="宋体" w:eastAsia="宋体" w:cs="宋体"/>
                <w:b/>
                <w:bCs/>
                <w:color w:val="auto"/>
                <w:spacing w:val="3"/>
                <w:sz w:val="21"/>
                <w:szCs w:val="21"/>
                <w:highlight w:val="none"/>
              </w:rPr>
              <w:t>）</w:t>
            </w:r>
          </w:p>
        </w:tc>
        <w:tc>
          <w:tcPr>
            <w:tcW w:w="4173" w:type="dxa"/>
            <w:tcBorders>
              <w:top w:val="single" w:color="000000" w:sz="6" w:space="0"/>
              <w:right w:val="single" w:color="000000" w:sz="6" w:space="0"/>
            </w:tcBorders>
            <w:noWrap w:val="0"/>
            <w:vAlign w:val="center"/>
          </w:tcPr>
          <w:p w14:paraId="2A3C0D78">
            <w:pPr>
              <w:pStyle w:val="268"/>
              <w:autoSpaceDE w:val="0"/>
              <w:autoSpaceDN w:val="0"/>
              <w:spacing w:before="159" w:line="228" w:lineRule="auto"/>
              <w:jc w:val="center"/>
              <w:rPr>
                <w:rFonts w:hint="eastAsia" w:ascii="宋体" w:hAnsi="宋体" w:eastAsia="宋体" w:cs="宋体"/>
                <w:b/>
                <w:bCs/>
                <w:color w:val="auto"/>
                <w:spacing w:val="-1"/>
                <w:highlight w:val="none"/>
              </w:rPr>
            </w:pPr>
            <w:r>
              <w:rPr>
                <w:rFonts w:hint="eastAsia" w:ascii="宋体" w:hAnsi="宋体" w:eastAsia="宋体" w:cs="宋体"/>
                <w:b/>
                <w:bCs/>
                <w:color w:val="auto"/>
                <w:spacing w:val="-1"/>
                <w:highlight w:val="none"/>
              </w:rPr>
              <w:t>（元）</w:t>
            </w:r>
          </w:p>
          <w:p w14:paraId="7536A7CD">
            <w:pPr>
              <w:pStyle w:val="268"/>
              <w:autoSpaceDE w:val="0"/>
              <w:autoSpaceDN w:val="0"/>
              <w:spacing w:before="159" w:line="228" w:lineRule="auto"/>
              <w:jc w:val="both"/>
              <w:rPr>
                <w:rFonts w:hint="eastAsia" w:ascii="宋体" w:hAnsi="宋体" w:eastAsia="宋体" w:cs="宋体"/>
                <w:b/>
                <w:bCs/>
                <w:color w:val="auto"/>
                <w:spacing w:val="-1"/>
                <w:highlight w:val="none"/>
              </w:rPr>
            </w:pPr>
            <w:r>
              <w:rPr>
                <w:rFonts w:hint="eastAsia" w:ascii="宋体" w:hAnsi="宋体" w:eastAsia="宋体" w:cs="宋体"/>
                <w:b/>
                <w:bCs/>
                <w:color w:val="auto"/>
                <w:spacing w:val="-1"/>
                <w:highlight w:val="none"/>
              </w:rPr>
              <w:t>(大写人民币) ：</w:t>
            </w:r>
          </w:p>
        </w:tc>
      </w:tr>
      <w:tr w14:paraId="192C8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jc w:val="center"/>
        </w:trPr>
        <w:tc>
          <w:tcPr>
            <w:tcW w:w="1013" w:type="dxa"/>
            <w:vMerge w:val="restart"/>
            <w:tcBorders>
              <w:left w:val="single" w:color="000000" w:sz="6" w:space="0"/>
            </w:tcBorders>
            <w:noWrap w:val="0"/>
            <w:vAlign w:val="center"/>
          </w:tcPr>
          <w:p w14:paraId="0F74AF20">
            <w:pPr>
              <w:pStyle w:val="268"/>
              <w:autoSpaceDE w:val="0"/>
              <w:autoSpaceDN w:val="0"/>
              <w:spacing w:before="209" w:line="228" w:lineRule="auto"/>
              <w:ind w:left="110"/>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p>
        </w:tc>
        <w:tc>
          <w:tcPr>
            <w:tcW w:w="3668" w:type="dxa"/>
            <w:tcBorders>
              <w:right w:val="single" w:color="000000" w:sz="6" w:space="0"/>
            </w:tcBorders>
            <w:noWrap w:val="0"/>
            <w:vAlign w:val="center"/>
          </w:tcPr>
          <w:p w14:paraId="2D15C23A">
            <w:pPr>
              <w:pStyle w:val="268"/>
              <w:autoSpaceDE w:val="0"/>
              <w:autoSpaceDN w:val="0"/>
              <w:spacing w:before="209" w:line="228" w:lineRule="auto"/>
              <w:jc w:val="both"/>
              <w:rPr>
                <w:rFonts w:hint="eastAsia" w:ascii="宋体" w:hAnsi="宋体" w:eastAsia="宋体" w:cs="宋体"/>
                <w:b/>
                <w:bCs/>
                <w:color w:val="auto"/>
                <w:sz w:val="21"/>
                <w:szCs w:val="21"/>
                <w:highlight w:val="none"/>
              </w:rPr>
            </w:pPr>
            <w:r>
              <w:rPr>
                <w:rFonts w:hint="eastAsia" w:ascii="宋体" w:hAnsi="宋体" w:eastAsia="宋体" w:cs="宋体"/>
                <w:b/>
                <w:bCs/>
                <w:color w:val="auto"/>
                <w:spacing w:val="2"/>
                <w:sz w:val="21"/>
                <w:szCs w:val="21"/>
                <w:highlight w:val="none"/>
              </w:rPr>
              <w:t>其中：</w:t>
            </w:r>
            <w:r>
              <w:rPr>
                <w:rFonts w:hint="eastAsia" w:ascii="宋体" w:hAnsi="宋体" w:eastAsia="宋体" w:cs="宋体"/>
                <w:b/>
                <w:bCs/>
                <w:color w:val="auto"/>
                <w:spacing w:val="2"/>
                <w:sz w:val="21"/>
                <w:szCs w:val="21"/>
                <w:highlight w:val="none"/>
                <w:lang w:val="en-US" w:eastAsia="zh-CN"/>
              </w:rPr>
              <w:t>1、</w:t>
            </w:r>
            <w:r>
              <w:rPr>
                <w:rFonts w:hint="eastAsia" w:ascii="宋体" w:hAnsi="宋体" w:eastAsia="宋体" w:cs="宋体"/>
                <w:b/>
                <w:bCs/>
                <w:color w:val="auto"/>
                <w:spacing w:val="8"/>
                <w:sz w:val="21"/>
                <w:szCs w:val="21"/>
                <w:highlight w:val="none"/>
              </w:rPr>
              <w:t>安全防护、文明施工措施费</w:t>
            </w:r>
          </w:p>
        </w:tc>
        <w:tc>
          <w:tcPr>
            <w:tcW w:w="4173" w:type="dxa"/>
            <w:tcBorders>
              <w:right w:val="single" w:color="000000" w:sz="6" w:space="0"/>
            </w:tcBorders>
            <w:noWrap w:val="0"/>
            <w:vAlign w:val="center"/>
          </w:tcPr>
          <w:p w14:paraId="1E40AD4F">
            <w:pPr>
              <w:pStyle w:val="268"/>
              <w:autoSpaceDE w:val="0"/>
              <w:autoSpaceDN w:val="0"/>
              <w:spacing w:before="65" w:line="228" w:lineRule="auto"/>
              <w:jc w:val="center"/>
              <w:rPr>
                <w:rFonts w:hint="eastAsia" w:ascii="宋体" w:hAnsi="宋体" w:eastAsia="宋体" w:cs="宋体"/>
                <w:b/>
                <w:bCs/>
                <w:color w:val="auto"/>
                <w:spacing w:val="-1"/>
                <w:highlight w:val="none"/>
              </w:rPr>
            </w:pPr>
            <w:r>
              <w:rPr>
                <w:rFonts w:hint="eastAsia" w:ascii="宋体" w:hAnsi="宋体" w:eastAsia="宋体" w:cs="宋体"/>
                <w:b/>
                <w:bCs/>
                <w:color w:val="auto"/>
                <w:spacing w:val="-1"/>
                <w:highlight w:val="none"/>
              </w:rPr>
              <w:t>（元）</w:t>
            </w:r>
          </w:p>
        </w:tc>
      </w:tr>
      <w:tr w14:paraId="649C7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jc w:val="center"/>
        </w:trPr>
        <w:tc>
          <w:tcPr>
            <w:tcW w:w="1013" w:type="dxa"/>
            <w:vMerge w:val="continue"/>
            <w:tcBorders>
              <w:left w:val="single" w:color="000000" w:sz="6" w:space="0"/>
            </w:tcBorders>
            <w:noWrap w:val="0"/>
            <w:vAlign w:val="center"/>
          </w:tcPr>
          <w:p w14:paraId="3EED7E80">
            <w:pPr>
              <w:pStyle w:val="268"/>
              <w:autoSpaceDE w:val="0"/>
              <w:autoSpaceDN w:val="0"/>
              <w:spacing w:before="209" w:line="228" w:lineRule="auto"/>
              <w:ind w:left="110"/>
              <w:jc w:val="center"/>
              <w:rPr>
                <w:rFonts w:hint="eastAsia" w:ascii="宋体" w:hAnsi="宋体" w:eastAsia="宋体" w:cs="宋体"/>
                <w:b/>
                <w:bCs/>
                <w:color w:val="auto"/>
                <w:highlight w:val="none"/>
                <w:lang w:val="en-US" w:eastAsia="zh-CN"/>
              </w:rPr>
            </w:pPr>
          </w:p>
        </w:tc>
        <w:tc>
          <w:tcPr>
            <w:tcW w:w="3668" w:type="dxa"/>
            <w:tcBorders>
              <w:right w:val="single" w:color="000000" w:sz="6" w:space="0"/>
            </w:tcBorders>
            <w:noWrap w:val="0"/>
            <w:vAlign w:val="center"/>
          </w:tcPr>
          <w:p w14:paraId="78760681">
            <w:pPr>
              <w:pStyle w:val="268"/>
              <w:autoSpaceDE w:val="0"/>
              <w:autoSpaceDN w:val="0"/>
              <w:spacing w:before="209" w:line="228" w:lineRule="auto"/>
              <w:jc w:val="center"/>
              <w:rPr>
                <w:rFonts w:hint="default" w:ascii="宋体" w:hAnsi="宋体" w:eastAsia="宋体" w:cs="宋体"/>
                <w:b/>
                <w:bCs/>
                <w:color w:val="auto"/>
                <w:spacing w:val="2"/>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2、暂估价</w:t>
            </w:r>
          </w:p>
        </w:tc>
        <w:tc>
          <w:tcPr>
            <w:tcW w:w="4173" w:type="dxa"/>
            <w:tcBorders>
              <w:right w:val="single" w:color="000000" w:sz="6" w:space="0"/>
            </w:tcBorders>
            <w:noWrap w:val="0"/>
            <w:vAlign w:val="center"/>
          </w:tcPr>
          <w:p w14:paraId="6F0B05A1">
            <w:pPr>
              <w:pStyle w:val="268"/>
              <w:autoSpaceDE w:val="0"/>
              <w:autoSpaceDN w:val="0"/>
              <w:spacing w:before="65" w:line="228" w:lineRule="auto"/>
              <w:jc w:val="center"/>
              <w:rPr>
                <w:rFonts w:hint="eastAsia" w:ascii="宋体" w:hAnsi="宋体" w:eastAsia="宋体" w:cs="宋体"/>
                <w:b/>
                <w:bCs/>
                <w:color w:val="auto"/>
                <w:spacing w:val="-1"/>
                <w:highlight w:val="none"/>
              </w:rPr>
            </w:pPr>
            <w:r>
              <w:rPr>
                <w:rFonts w:hint="eastAsia" w:ascii="宋体" w:hAnsi="宋体" w:eastAsia="宋体" w:cs="宋体"/>
                <w:b/>
                <w:bCs/>
                <w:color w:val="auto"/>
                <w:spacing w:val="-1"/>
                <w:highlight w:val="none"/>
              </w:rPr>
              <w:t>（元）</w:t>
            </w:r>
          </w:p>
        </w:tc>
      </w:tr>
      <w:tr w14:paraId="48BC0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jc w:val="center"/>
        </w:trPr>
        <w:tc>
          <w:tcPr>
            <w:tcW w:w="1013" w:type="dxa"/>
            <w:tcBorders>
              <w:left w:val="single" w:color="000000" w:sz="6" w:space="0"/>
            </w:tcBorders>
            <w:noWrap w:val="0"/>
            <w:vAlign w:val="center"/>
          </w:tcPr>
          <w:p w14:paraId="6E66B223">
            <w:pPr>
              <w:pStyle w:val="268"/>
              <w:autoSpaceDE w:val="0"/>
              <w:autoSpaceDN w:val="0"/>
              <w:spacing w:before="161" w:line="228" w:lineRule="auto"/>
              <w:ind w:left="109"/>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3</w:t>
            </w:r>
          </w:p>
        </w:tc>
        <w:tc>
          <w:tcPr>
            <w:tcW w:w="3668" w:type="dxa"/>
            <w:tcBorders>
              <w:right w:val="single" w:color="000000" w:sz="6" w:space="0"/>
            </w:tcBorders>
            <w:noWrap w:val="0"/>
            <w:vAlign w:val="center"/>
          </w:tcPr>
          <w:p w14:paraId="76EA682F">
            <w:pPr>
              <w:pStyle w:val="268"/>
              <w:autoSpaceDE w:val="0"/>
              <w:autoSpaceDN w:val="0"/>
              <w:spacing w:before="161" w:line="228" w:lineRule="auto"/>
              <w:ind w:left="109"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7"/>
                <w:sz w:val="21"/>
                <w:szCs w:val="21"/>
                <w:highlight w:val="none"/>
              </w:rPr>
              <w:t>工期</w:t>
            </w:r>
          </w:p>
        </w:tc>
        <w:tc>
          <w:tcPr>
            <w:tcW w:w="4173" w:type="dxa"/>
            <w:tcBorders>
              <w:right w:val="single" w:color="000000" w:sz="6" w:space="0"/>
            </w:tcBorders>
            <w:noWrap w:val="0"/>
            <w:vAlign w:val="top"/>
          </w:tcPr>
          <w:p w14:paraId="07FB5495">
            <w:pPr>
              <w:pStyle w:val="268"/>
              <w:autoSpaceDE w:val="0"/>
              <w:autoSpaceDN w:val="0"/>
              <w:spacing w:before="162" w:line="228" w:lineRule="auto"/>
              <w:jc w:val="center"/>
              <w:rPr>
                <w:rFonts w:hint="eastAsia" w:ascii="宋体" w:hAnsi="宋体" w:eastAsia="宋体" w:cs="宋体"/>
                <w:b/>
                <w:bCs/>
                <w:color w:val="auto"/>
                <w:spacing w:val="6"/>
                <w:highlight w:val="none"/>
              </w:rPr>
            </w:pPr>
            <w:r>
              <w:rPr>
                <w:rFonts w:hint="eastAsia" w:ascii="宋体" w:hAnsi="宋体" w:eastAsia="宋体" w:cs="宋体"/>
                <w:b/>
                <w:bCs/>
                <w:color w:val="auto"/>
                <w:spacing w:val="6"/>
                <w:highlight w:val="none"/>
              </w:rPr>
              <w:t>天（日历日）</w:t>
            </w:r>
          </w:p>
        </w:tc>
      </w:tr>
      <w:tr w14:paraId="78571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jc w:val="center"/>
        </w:trPr>
        <w:tc>
          <w:tcPr>
            <w:tcW w:w="1013" w:type="dxa"/>
            <w:tcBorders>
              <w:left w:val="single" w:color="000000" w:sz="6" w:space="0"/>
            </w:tcBorders>
            <w:noWrap w:val="0"/>
            <w:vAlign w:val="center"/>
          </w:tcPr>
          <w:p w14:paraId="20BCCB66">
            <w:pPr>
              <w:pStyle w:val="268"/>
              <w:autoSpaceDE w:val="0"/>
              <w:autoSpaceDN w:val="0"/>
              <w:spacing w:before="162" w:line="228" w:lineRule="auto"/>
              <w:ind w:left="109"/>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4</w:t>
            </w:r>
          </w:p>
        </w:tc>
        <w:tc>
          <w:tcPr>
            <w:tcW w:w="3668" w:type="dxa"/>
            <w:tcBorders>
              <w:right w:val="single" w:color="000000" w:sz="6" w:space="0"/>
            </w:tcBorders>
            <w:noWrap w:val="0"/>
            <w:vAlign w:val="center"/>
          </w:tcPr>
          <w:p w14:paraId="365FB410">
            <w:pPr>
              <w:pStyle w:val="268"/>
              <w:autoSpaceDE w:val="0"/>
              <w:autoSpaceDN w:val="0"/>
              <w:spacing w:before="162" w:line="228" w:lineRule="auto"/>
              <w:ind w:left="109"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8"/>
                <w:sz w:val="21"/>
                <w:szCs w:val="21"/>
                <w:highlight w:val="none"/>
              </w:rPr>
              <w:t>质量等级</w:t>
            </w:r>
          </w:p>
        </w:tc>
        <w:tc>
          <w:tcPr>
            <w:tcW w:w="4173" w:type="dxa"/>
            <w:tcBorders>
              <w:right w:val="single" w:color="000000" w:sz="6" w:space="0"/>
            </w:tcBorders>
            <w:noWrap w:val="0"/>
            <w:vAlign w:val="top"/>
          </w:tcPr>
          <w:p w14:paraId="10961B14">
            <w:pPr>
              <w:autoSpaceDE w:val="0"/>
              <w:autoSpaceDN w:val="0"/>
              <w:jc w:val="right"/>
              <w:rPr>
                <w:rFonts w:hint="eastAsia" w:ascii="宋体" w:hAnsi="宋体" w:eastAsia="宋体" w:cs="宋体"/>
                <w:b/>
                <w:bCs/>
                <w:color w:val="auto"/>
                <w:sz w:val="21"/>
                <w:highlight w:val="none"/>
              </w:rPr>
            </w:pPr>
          </w:p>
        </w:tc>
      </w:tr>
      <w:tr w14:paraId="1C7EF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jc w:val="center"/>
        </w:trPr>
        <w:tc>
          <w:tcPr>
            <w:tcW w:w="8854" w:type="dxa"/>
            <w:gridSpan w:val="3"/>
            <w:tcBorders>
              <w:left w:val="single" w:color="000000" w:sz="6" w:space="0"/>
              <w:right w:val="single" w:color="000000" w:sz="6" w:space="0"/>
            </w:tcBorders>
            <w:noWrap w:val="0"/>
            <w:vAlign w:val="center"/>
          </w:tcPr>
          <w:p w14:paraId="05A5F804">
            <w:pPr>
              <w:autoSpaceDE w:val="0"/>
              <w:autoSpaceDN w:val="0"/>
              <w:jc w:val="right"/>
              <w:rPr>
                <w:rFonts w:hint="eastAsia" w:ascii="宋体" w:hAnsi="宋体" w:eastAsia="宋体" w:cs="宋体"/>
                <w:color w:val="auto"/>
                <w:spacing w:val="8"/>
                <w:highlight w:val="none"/>
              </w:rPr>
            </w:pPr>
            <w:r>
              <w:rPr>
                <w:rFonts w:hint="eastAsia" w:ascii="宋体" w:hAnsi="宋体" w:eastAsia="宋体" w:cs="宋体"/>
                <w:color w:val="auto"/>
                <w:spacing w:val="8"/>
                <w:highlight w:val="none"/>
              </w:rPr>
              <w:t>注：安全防护、文明施工措施费按市建规[2007]131</w:t>
            </w:r>
            <w:r>
              <w:rPr>
                <w:rFonts w:hint="eastAsia" w:ascii="宋体" w:hAnsi="宋体" w:eastAsia="宋体" w:cs="宋体"/>
                <w:color w:val="auto"/>
                <w:spacing w:val="-18"/>
                <w:highlight w:val="none"/>
              </w:rPr>
              <w:t xml:space="preserve"> </w:t>
            </w:r>
            <w:r>
              <w:rPr>
                <w:rFonts w:hint="eastAsia" w:ascii="宋体" w:hAnsi="宋体" w:eastAsia="宋体" w:cs="宋体"/>
                <w:color w:val="auto"/>
                <w:spacing w:val="8"/>
                <w:highlight w:val="none"/>
              </w:rPr>
              <w:t>号文和市建规[2008]224</w:t>
            </w:r>
            <w:r>
              <w:rPr>
                <w:rFonts w:hint="eastAsia" w:ascii="宋体" w:hAnsi="宋体" w:eastAsia="宋体" w:cs="宋体"/>
                <w:color w:val="auto"/>
                <w:spacing w:val="-33"/>
                <w:highlight w:val="none"/>
              </w:rPr>
              <w:t xml:space="preserve"> </w:t>
            </w:r>
            <w:r>
              <w:rPr>
                <w:rFonts w:hint="eastAsia" w:ascii="宋体" w:hAnsi="宋体" w:eastAsia="宋体" w:cs="宋体"/>
                <w:color w:val="auto"/>
                <w:spacing w:val="8"/>
                <w:highlight w:val="none"/>
              </w:rPr>
              <w:t>号文执行。均</w:t>
            </w:r>
          </w:p>
          <w:p w14:paraId="642D4B22">
            <w:pPr>
              <w:autoSpaceDE w:val="0"/>
              <w:autoSpaceDN w:val="0"/>
              <w:jc w:val="both"/>
              <w:rPr>
                <w:rFonts w:hint="eastAsia" w:ascii="宋体" w:hAnsi="宋体" w:eastAsia="宋体" w:cs="宋体"/>
                <w:b/>
                <w:bCs/>
                <w:color w:val="auto"/>
                <w:sz w:val="21"/>
                <w:highlight w:val="none"/>
              </w:rPr>
            </w:pPr>
            <w:r>
              <w:rPr>
                <w:rFonts w:hint="eastAsia" w:ascii="宋体" w:hAnsi="宋体" w:eastAsia="宋体" w:cs="宋体"/>
                <w:color w:val="auto"/>
                <w:spacing w:val="8"/>
                <w:highlight w:val="none"/>
              </w:rPr>
              <w:t>作为不</w:t>
            </w:r>
            <w:r>
              <w:rPr>
                <w:rFonts w:hint="eastAsia" w:ascii="宋体" w:hAnsi="宋体" w:eastAsia="宋体" w:cs="宋体"/>
                <w:color w:val="auto"/>
                <w:spacing w:val="9"/>
                <w:highlight w:val="none"/>
              </w:rPr>
              <w:t>可竞争费用单列。（供应商根据项目实际情况可对磋商报价汇总表自行增减）</w:t>
            </w:r>
          </w:p>
        </w:tc>
      </w:tr>
    </w:tbl>
    <w:p w14:paraId="7D484C23">
      <w:pPr>
        <w:spacing w:line="360" w:lineRule="auto"/>
        <w:rPr>
          <w:rFonts w:hint="eastAsia" w:ascii="宋体" w:hAnsi="宋体" w:eastAsia="宋体" w:cs="宋体"/>
          <w:color w:val="auto"/>
          <w:szCs w:val="21"/>
          <w:highlight w:val="none"/>
        </w:rPr>
      </w:pPr>
    </w:p>
    <w:p w14:paraId="70DA5B1B">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磋商供应商（CA签章，自然人除外）：</w:t>
      </w:r>
      <w:r>
        <w:rPr>
          <w:rFonts w:hint="eastAsia" w:ascii="宋体" w:hAnsi="宋体" w:eastAsia="宋体" w:cs="宋体"/>
          <w:color w:val="auto"/>
          <w:szCs w:val="21"/>
          <w:highlight w:val="none"/>
          <w:u w:val="single"/>
        </w:rPr>
        <w:t xml:space="preserve">                                        </w:t>
      </w:r>
    </w:p>
    <w:p w14:paraId="715C8CAF">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highlight w:val="none"/>
        </w:rPr>
        <w:t>法定代表人、负责人、自然人或相应的委托代理人签字或个人CA签章（属自然人的应在签名处加盖食指指印或个人CA签章）：</w:t>
      </w:r>
      <w:r>
        <w:rPr>
          <w:rFonts w:hint="eastAsia" w:ascii="宋体" w:hAnsi="宋体" w:eastAsia="宋体" w:cs="宋体"/>
          <w:color w:val="auto"/>
          <w:szCs w:val="21"/>
          <w:highlight w:val="none"/>
          <w:u w:val="single"/>
        </w:rPr>
        <w:t xml:space="preserve">                                    </w:t>
      </w:r>
    </w:p>
    <w:p w14:paraId="1296F450">
      <w:pPr>
        <w:tabs>
          <w:tab w:val="left" w:pos="1305"/>
        </w:tabs>
        <w:spacing w:line="360" w:lineRule="auto"/>
        <w:rPr>
          <w:rFonts w:hint="eastAsia" w:ascii="宋体" w:hAnsi="宋体" w:eastAsia="宋体" w:cs="宋体"/>
          <w:bCs/>
          <w:color w:val="auto"/>
          <w:szCs w:val="21"/>
          <w:highlight w:val="none"/>
        </w:rPr>
      </w:pPr>
    </w:p>
    <w:p w14:paraId="5580D8BD">
      <w:pPr>
        <w:pStyle w:val="22"/>
        <w:spacing w:line="360" w:lineRule="auto"/>
        <w:rPr>
          <w:rFonts w:hint="eastAsia" w:ascii="宋体" w:hAnsi="宋体" w:eastAsia="宋体" w:cs="宋体"/>
          <w:b/>
          <w:color w:val="auto"/>
          <w:sz w:val="28"/>
          <w:szCs w:val="28"/>
          <w:highlight w:val="none"/>
        </w:rPr>
      </w:pPr>
    </w:p>
    <w:p w14:paraId="4E8692FE">
      <w:pPr>
        <w:pStyle w:val="22"/>
        <w:spacing w:line="360" w:lineRule="auto"/>
        <w:rPr>
          <w:rFonts w:hint="eastAsia" w:ascii="宋体" w:hAnsi="宋体" w:eastAsia="宋体" w:cs="宋体"/>
          <w:b/>
          <w:color w:val="auto"/>
          <w:sz w:val="28"/>
          <w:szCs w:val="28"/>
          <w:highlight w:val="none"/>
        </w:rPr>
      </w:pPr>
    </w:p>
    <w:p w14:paraId="086AF6DA">
      <w:pPr>
        <w:pStyle w:val="6"/>
        <w:rPr>
          <w:rFonts w:hint="eastAsia" w:ascii="宋体" w:hAnsi="宋体" w:eastAsia="宋体" w:cs="宋体"/>
          <w:b w:val="0"/>
          <w:color w:val="auto"/>
          <w:sz w:val="28"/>
          <w:szCs w:val="28"/>
          <w:highlight w:val="none"/>
        </w:rPr>
      </w:pPr>
    </w:p>
    <w:p w14:paraId="72C8E020">
      <w:pPr>
        <w:rPr>
          <w:rFonts w:hint="eastAsia" w:ascii="宋体" w:hAnsi="宋体" w:eastAsia="宋体" w:cs="宋体"/>
          <w:b/>
          <w:color w:val="auto"/>
          <w:sz w:val="28"/>
          <w:szCs w:val="28"/>
          <w:highlight w:val="none"/>
        </w:rPr>
      </w:pPr>
    </w:p>
    <w:p w14:paraId="0FD8BD7C">
      <w:pPr>
        <w:pStyle w:val="22"/>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3.已标价工程量清单（必须提供）</w:t>
      </w:r>
    </w:p>
    <w:p w14:paraId="699A287B">
      <w:pPr>
        <w:snapToGrid w:val="0"/>
        <w:spacing w:line="360" w:lineRule="auto"/>
        <w:ind w:firstLine="420"/>
        <w:jc w:val="right"/>
        <w:rPr>
          <w:rFonts w:hint="eastAsia" w:ascii="宋体" w:hAnsi="宋体" w:eastAsia="宋体" w:cs="宋体"/>
          <w:color w:val="auto"/>
          <w:highlight w:val="none"/>
        </w:rPr>
      </w:pPr>
    </w:p>
    <w:p w14:paraId="1A51BC8D">
      <w:pPr>
        <w:pStyle w:val="6"/>
        <w:spacing w:line="360" w:lineRule="auto"/>
        <w:jc w:val="center"/>
        <w:rPr>
          <w:rFonts w:hint="eastAsia" w:ascii="宋体" w:hAnsi="宋体" w:eastAsia="宋体" w:cs="宋体"/>
          <w:color w:val="auto"/>
          <w:sz w:val="24"/>
          <w:szCs w:val="24"/>
          <w:highlight w:val="none"/>
        </w:rPr>
      </w:pPr>
      <w:bookmarkStart w:id="1965" w:name="_Toc271557289"/>
      <w:bookmarkStart w:id="1966" w:name="_Toc234659851"/>
      <w:bookmarkStart w:id="1967" w:name="_Toc394929435"/>
      <w:bookmarkStart w:id="1968" w:name="_Toc446943082"/>
      <w:r>
        <w:rPr>
          <w:rFonts w:hint="eastAsia" w:ascii="宋体" w:hAnsi="宋体" w:eastAsia="宋体" w:cs="宋体"/>
          <w:color w:val="auto"/>
          <w:sz w:val="24"/>
          <w:szCs w:val="24"/>
          <w:highlight w:val="none"/>
        </w:rPr>
        <w:t>已标价工程量清单</w:t>
      </w:r>
      <w:bookmarkEnd w:id="1965"/>
      <w:bookmarkEnd w:id="1966"/>
      <w:bookmarkEnd w:id="1967"/>
      <w:bookmarkEnd w:id="1968"/>
    </w:p>
    <w:p w14:paraId="693C89B2">
      <w:pPr>
        <w:spacing w:line="360" w:lineRule="auto"/>
        <w:ind w:firstLine="420"/>
        <w:jc w:val="center"/>
        <w:rPr>
          <w:rFonts w:hint="eastAsia" w:ascii="宋体" w:hAnsi="宋体" w:eastAsia="宋体" w:cs="宋体"/>
          <w:color w:val="auto"/>
          <w:highlight w:val="none"/>
        </w:rPr>
      </w:pPr>
    </w:p>
    <w:p w14:paraId="1ED020CB">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供应商应按照第三章“工程量清单”的要求逐项填报工程量清单，包括工程量清单说明、磋商报价说明及工程量清单各项表格</w:t>
      </w:r>
      <w:r>
        <w:rPr>
          <w:rFonts w:hint="eastAsia" w:ascii="宋体" w:hAnsi="宋体" w:eastAsia="宋体" w:cs="宋体"/>
          <w:b/>
          <w:bCs/>
          <w:color w:val="auto"/>
          <w:szCs w:val="21"/>
          <w:highlight w:val="none"/>
        </w:rPr>
        <w:t>（采购人</w:t>
      </w:r>
      <w:r>
        <w:rPr>
          <w:rFonts w:hint="eastAsia" w:ascii="宋体" w:hAnsi="宋体" w:eastAsia="宋体" w:cs="宋体"/>
          <w:b/>
          <w:bCs/>
          <w:color w:val="auto"/>
          <w:highlight w:val="none"/>
        </w:rPr>
        <w:t>提供的工程量清单</w:t>
      </w:r>
      <w:r>
        <w:rPr>
          <w:rFonts w:hint="eastAsia" w:ascii="宋体" w:hAnsi="宋体" w:eastAsia="宋体" w:cs="宋体"/>
          <w:b/>
          <w:bCs/>
          <w:color w:val="auto"/>
          <w:szCs w:val="21"/>
          <w:highlight w:val="none"/>
        </w:rPr>
        <w:t>）。</w:t>
      </w:r>
    </w:p>
    <w:p w14:paraId="4C1A1038">
      <w:pPr>
        <w:spacing w:line="360" w:lineRule="auto"/>
        <w:rPr>
          <w:rFonts w:hint="eastAsia" w:ascii="宋体" w:hAnsi="宋体" w:eastAsia="宋体" w:cs="宋体"/>
          <w:color w:val="auto"/>
          <w:szCs w:val="21"/>
          <w:highlight w:val="none"/>
        </w:rPr>
      </w:pPr>
    </w:p>
    <w:p w14:paraId="4F9E1B6B">
      <w:pPr>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注：</w:t>
      </w:r>
      <w:r>
        <w:rPr>
          <w:rFonts w:hint="eastAsia" w:ascii="宋体" w:hAnsi="宋体" w:eastAsia="宋体" w:cs="宋体"/>
          <w:b/>
          <w:color w:val="auto"/>
          <w:sz w:val="24"/>
          <w:highlight w:val="none"/>
        </w:rPr>
        <w:t>当本清单由多页构成时，需逐页加盖磋商供应商公章（CA签章）（属自然人的须逐页签字或个人CA签章）。</w:t>
      </w:r>
    </w:p>
    <w:p w14:paraId="3334220A">
      <w:pPr>
        <w:pStyle w:val="2"/>
        <w:spacing w:line="360" w:lineRule="auto"/>
        <w:rPr>
          <w:rFonts w:hint="eastAsia" w:ascii="宋体" w:hAnsi="宋体" w:eastAsia="宋体" w:cs="宋体"/>
          <w:color w:val="auto"/>
          <w:highlight w:val="none"/>
        </w:rPr>
      </w:pPr>
    </w:p>
    <w:p w14:paraId="2981331D">
      <w:pPr>
        <w:pStyle w:val="2"/>
        <w:spacing w:line="360" w:lineRule="auto"/>
        <w:rPr>
          <w:rFonts w:hint="eastAsia" w:ascii="宋体" w:hAnsi="宋体" w:eastAsia="宋体" w:cs="宋体"/>
          <w:color w:val="auto"/>
          <w:highlight w:val="none"/>
        </w:rPr>
      </w:pPr>
    </w:p>
    <w:p w14:paraId="011D57D7">
      <w:pPr>
        <w:pStyle w:val="2"/>
        <w:spacing w:line="360" w:lineRule="auto"/>
        <w:rPr>
          <w:rFonts w:hint="eastAsia" w:ascii="宋体" w:hAnsi="宋体" w:eastAsia="宋体" w:cs="宋体"/>
          <w:color w:val="auto"/>
          <w:highlight w:val="none"/>
        </w:rPr>
      </w:pPr>
    </w:p>
    <w:p w14:paraId="4E33F2E6">
      <w:pPr>
        <w:pStyle w:val="2"/>
        <w:spacing w:line="360" w:lineRule="auto"/>
        <w:rPr>
          <w:rFonts w:hint="eastAsia" w:ascii="宋体" w:hAnsi="宋体" w:eastAsia="宋体" w:cs="宋体"/>
          <w:color w:val="auto"/>
          <w:highlight w:val="none"/>
        </w:rPr>
      </w:pPr>
    </w:p>
    <w:p w14:paraId="34A23AAB">
      <w:pPr>
        <w:pStyle w:val="2"/>
        <w:spacing w:line="360" w:lineRule="auto"/>
        <w:rPr>
          <w:rFonts w:hint="eastAsia" w:ascii="宋体" w:hAnsi="宋体" w:eastAsia="宋体" w:cs="宋体"/>
          <w:color w:val="auto"/>
          <w:highlight w:val="none"/>
        </w:rPr>
      </w:pPr>
    </w:p>
    <w:p w14:paraId="3FF43553">
      <w:pPr>
        <w:pStyle w:val="2"/>
        <w:spacing w:line="360" w:lineRule="auto"/>
        <w:rPr>
          <w:rFonts w:hint="eastAsia" w:ascii="宋体" w:hAnsi="宋体" w:eastAsia="宋体" w:cs="宋体"/>
          <w:color w:val="auto"/>
          <w:highlight w:val="none"/>
        </w:rPr>
      </w:pPr>
    </w:p>
    <w:p w14:paraId="7D534837">
      <w:pPr>
        <w:pStyle w:val="2"/>
        <w:spacing w:line="360" w:lineRule="auto"/>
        <w:rPr>
          <w:rFonts w:hint="eastAsia" w:ascii="宋体" w:hAnsi="宋体" w:eastAsia="宋体" w:cs="宋体"/>
          <w:color w:val="auto"/>
          <w:highlight w:val="none"/>
        </w:rPr>
      </w:pPr>
    </w:p>
    <w:p w14:paraId="49046147">
      <w:pPr>
        <w:spacing w:line="360" w:lineRule="auto"/>
        <w:rPr>
          <w:rFonts w:hint="eastAsia" w:ascii="宋体" w:hAnsi="宋体" w:eastAsia="宋体" w:cs="宋体"/>
          <w:color w:val="auto"/>
          <w:highlight w:val="none"/>
        </w:rPr>
      </w:pPr>
    </w:p>
    <w:p w14:paraId="7DB065AE">
      <w:pPr>
        <w:pStyle w:val="80"/>
        <w:spacing w:line="360" w:lineRule="auto"/>
        <w:rPr>
          <w:rFonts w:hint="eastAsia" w:ascii="宋体" w:hAnsi="宋体" w:eastAsia="宋体" w:cs="宋体"/>
          <w:color w:val="auto"/>
          <w:highlight w:val="none"/>
        </w:rPr>
      </w:pPr>
    </w:p>
    <w:p w14:paraId="64E825F0">
      <w:pPr>
        <w:pStyle w:val="80"/>
        <w:spacing w:line="360" w:lineRule="auto"/>
        <w:rPr>
          <w:rFonts w:hint="eastAsia" w:ascii="宋体" w:hAnsi="宋体" w:eastAsia="宋体" w:cs="宋体"/>
          <w:color w:val="auto"/>
          <w:highlight w:val="none"/>
        </w:rPr>
      </w:pPr>
    </w:p>
    <w:p w14:paraId="449F963F">
      <w:pPr>
        <w:pStyle w:val="80"/>
        <w:spacing w:line="360" w:lineRule="auto"/>
        <w:rPr>
          <w:rFonts w:hint="eastAsia" w:ascii="宋体" w:hAnsi="宋体" w:eastAsia="宋体" w:cs="宋体"/>
          <w:color w:val="auto"/>
          <w:highlight w:val="none"/>
        </w:rPr>
      </w:pPr>
    </w:p>
    <w:p w14:paraId="72C9B619">
      <w:pPr>
        <w:pStyle w:val="80"/>
        <w:spacing w:line="360" w:lineRule="auto"/>
        <w:rPr>
          <w:rFonts w:hint="eastAsia" w:ascii="宋体" w:hAnsi="宋体" w:eastAsia="宋体" w:cs="宋体"/>
          <w:color w:val="auto"/>
          <w:highlight w:val="none"/>
        </w:rPr>
      </w:pPr>
    </w:p>
    <w:p w14:paraId="3F63FAA9">
      <w:pPr>
        <w:pStyle w:val="80"/>
        <w:spacing w:line="360" w:lineRule="auto"/>
        <w:rPr>
          <w:rFonts w:hint="eastAsia" w:ascii="宋体" w:hAnsi="宋体" w:eastAsia="宋体" w:cs="宋体"/>
          <w:color w:val="auto"/>
          <w:highlight w:val="none"/>
        </w:rPr>
      </w:pPr>
    </w:p>
    <w:p w14:paraId="25EA9D87">
      <w:pPr>
        <w:pStyle w:val="80"/>
        <w:spacing w:line="360" w:lineRule="auto"/>
        <w:rPr>
          <w:rFonts w:hint="eastAsia" w:ascii="宋体" w:hAnsi="宋体" w:eastAsia="宋体" w:cs="宋体"/>
          <w:color w:val="auto"/>
          <w:highlight w:val="none"/>
        </w:rPr>
      </w:pPr>
    </w:p>
    <w:p w14:paraId="287BB40D">
      <w:pPr>
        <w:pStyle w:val="80"/>
        <w:spacing w:line="360" w:lineRule="auto"/>
        <w:rPr>
          <w:rFonts w:hint="eastAsia" w:ascii="宋体" w:hAnsi="宋体" w:eastAsia="宋体" w:cs="宋体"/>
          <w:color w:val="auto"/>
          <w:highlight w:val="none"/>
        </w:rPr>
      </w:pPr>
    </w:p>
    <w:p w14:paraId="164DB0B8">
      <w:pPr>
        <w:pStyle w:val="80"/>
        <w:spacing w:line="360" w:lineRule="auto"/>
        <w:rPr>
          <w:rFonts w:hint="eastAsia" w:ascii="宋体" w:hAnsi="宋体" w:eastAsia="宋体" w:cs="宋体"/>
          <w:color w:val="auto"/>
          <w:highlight w:val="none"/>
        </w:rPr>
      </w:pPr>
    </w:p>
    <w:p w14:paraId="79D580CE">
      <w:pPr>
        <w:pStyle w:val="80"/>
        <w:spacing w:line="360" w:lineRule="auto"/>
        <w:rPr>
          <w:rFonts w:hint="eastAsia" w:ascii="宋体" w:hAnsi="宋体" w:eastAsia="宋体" w:cs="宋体"/>
          <w:color w:val="auto"/>
          <w:highlight w:val="none"/>
        </w:rPr>
      </w:pPr>
    </w:p>
    <w:p w14:paraId="1437E716">
      <w:pPr>
        <w:pStyle w:val="80"/>
        <w:spacing w:line="360" w:lineRule="auto"/>
        <w:rPr>
          <w:rFonts w:hint="eastAsia" w:ascii="宋体" w:hAnsi="宋体" w:eastAsia="宋体" w:cs="宋体"/>
          <w:color w:val="auto"/>
          <w:highlight w:val="none"/>
        </w:rPr>
      </w:pPr>
    </w:p>
    <w:p w14:paraId="5CE413C9">
      <w:pPr>
        <w:pStyle w:val="80"/>
        <w:spacing w:line="360" w:lineRule="auto"/>
        <w:rPr>
          <w:rFonts w:hint="eastAsia" w:ascii="宋体" w:hAnsi="宋体" w:eastAsia="宋体" w:cs="宋体"/>
          <w:color w:val="auto"/>
          <w:highlight w:val="none"/>
        </w:rPr>
      </w:pPr>
    </w:p>
    <w:p w14:paraId="4B931013">
      <w:pPr>
        <w:spacing w:line="360" w:lineRule="auto"/>
        <w:rPr>
          <w:rFonts w:hint="eastAsia" w:ascii="宋体" w:hAnsi="宋体" w:eastAsia="宋体" w:cs="宋体"/>
          <w:b/>
          <w:bCs/>
          <w:iCs/>
          <w:color w:val="auto"/>
          <w:sz w:val="28"/>
          <w:szCs w:val="28"/>
          <w:highlight w:val="none"/>
        </w:rPr>
      </w:pPr>
      <w:r>
        <w:rPr>
          <w:rFonts w:hint="eastAsia" w:ascii="宋体" w:hAnsi="宋体" w:eastAsia="宋体" w:cs="宋体"/>
          <w:b/>
          <w:color w:val="auto"/>
          <w:sz w:val="28"/>
          <w:szCs w:val="28"/>
          <w:highlight w:val="none"/>
        </w:rPr>
        <w:t xml:space="preserve">4. </w:t>
      </w:r>
      <w:r>
        <w:rPr>
          <w:rFonts w:hint="eastAsia" w:ascii="宋体" w:hAnsi="宋体" w:eastAsia="宋体" w:cs="宋体"/>
          <w:b/>
          <w:bCs/>
          <w:iCs/>
          <w:color w:val="auto"/>
          <w:sz w:val="28"/>
          <w:szCs w:val="28"/>
          <w:highlight w:val="none"/>
        </w:rPr>
        <w:t>拟投入本工程主要管理人员表（必须提供）；</w:t>
      </w:r>
    </w:p>
    <w:p w14:paraId="0EBEC92A">
      <w:pPr>
        <w:spacing w:line="360" w:lineRule="auto"/>
        <w:jc w:val="center"/>
        <w:rPr>
          <w:rFonts w:hint="eastAsia" w:ascii="宋体" w:hAnsi="宋体" w:eastAsia="宋体" w:cs="宋体"/>
          <w:b/>
          <w:color w:val="auto"/>
          <w:sz w:val="24"/>
          <w:highlight w:val="none"/>
        </w:rPr>
      </w:pPr>
    </w:p>
    <w:p w14:paraId="18975C5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主要施工管理人员表</w:t>
      </w:r>
    </w:p>
    <w:p w14:paraId="2ECF0B5D">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工程名称：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793"/>
        <w:gridCol w:w="792"/>
        <w:gridCol w:w="1447"/>
        <w:gridCol w:w="3672"/>
      </w:tblGrid>
      <w:tr w14:paraId="44C33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719E5A6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6CEB3AB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7A4BA44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1447" w:type="dxa"/>
            <w:tcBorders>
              <w:top w:val="single" w:color="auto" w:sz="4" w:space="0"/>
              <w:left w:val="single" w:color="auto" w:sz="4" w:space="0"/>
              <w:bottom w:val="single" w:color="auto" w:sz="4" w:space="0"/>
              <w:right w:val="single" w:color="auto" w:sz="4" w:space="0"/>
            </w:tcBorders>
            <w:noWrap w:val="0"/>
            <w:vAlign w:val="center"/>
          </w:tcPr>
          <w:p w14:paraId="6A405B7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资质/职称</w:t>
            </w:r>
          </w:p>
        </w:tc>
        <w:tc>
          <w:tcPr>
            <w:tcW w:w="3672" w:type="dxa"/>
            <w:tcBorders>
              <w:top w:val="single" w:color="auto" w:sz="4" w:space="0"/>
              <w:left w:val="single" w:color="auto" w:sz="4" w:space="0"/>
              <w:bottom w:val="single" w:color="auto" w:sz="4" w:space="0"/>
              <w:right w:val="single" w:color="auto" w:sz="4" w:space="0"/>
            </w:tcBorders>
            <w:noWrap w:val="0"/>
            <w:vAlign w:val="center"/>
          </w:tcPr>
          <w:p w14:paraId="13D9EE2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执业资格证号/上岗证号</w:t>
            </w:r>
          </w:p>
        </w:tc>
      </w:tr>
      <w:tr w14:paraId="66246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1331EFD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一、总部</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188424C9">
            <w:pPr>
              <w:spacing w:line="360" w:lineRule="auto"/>
              <w:rPr>
                <w:rFonts w:hint="eastAsia" w:ascii="宋体" w:hAnsi="宋体" w:eastAsia="宋体" w:cs="宋体"/>
                <w:color w:val="auto"/>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4A3215AB">
            <w:pPr>
              <w:spacing w:line="360" w:lineRule="auto"/>
              <w:rPr>
                <w:rFonts w:hint="eastAsia" w:ascii="宋体" w:hAnsi="宋体" w:eastAsia="宋体" w:cs="宋体"/>
                <w:color w:val="auto"/>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738AFC9C">
            <w:pPr>
              <w:spacing w:line="360" w:lineRule="auto"/>
              <w:rPr>
                <w:rFonts w:hint="eastAsia" w:ascii="宋体" w:hAnsi="宋体" w:eastAsia="宋体" w:cs="宋体"/>
                <w:color w:val="auto"/>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1148BEE4">
            <w:pPr>
              <w:spacing w:line="360" w:lineRule="auto"/>
              <w:rPr>
                <w:rFonts w:hint="eastAsia" w:ascii="宋体" w:hAnsi="宋体" w:eastAsia="宋体" w:cs="宋体"/>
                <w:color w:val="auto"/>
                <w:szCs w:val="21"/>
                <w:highlight w:val="none"/>
              </w:rPr>
            </w:pPr>
          </w:p>
        </w:tc>
      </w:tr>
      <w:tr w14:paraId="417E5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4A6C535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1.项目主管</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37EF4C61">
            <w:pPr>
              <w:spacing w:line="360" w:lineRule="auto"/>
              <w:rPr>
                <w:rFonts w:hint="eastAsia" w:ascii="宋体" w:hAnsi="宋体" w:eastAsia="宋体" w:cs="宋体"/>
                <w:color w:val="auto"/>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4F19B7A3">
            <w:pPr>
              <w:spacing w:line="360" w:lineRule="auto"/>
              <w:rPr>
                <w:rFonts w:hint="eastAsia" w:ascii="宋体" w:hAnsi="宋体" w:eastAsia="宋体" w:cs="宋体"/>
                <w:color w:val="auto"/>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253B62DC">
            <w:pPr>
              <w:spacing w:line="360" w:lineRule="auto"/>
              <w:rPr>
                <w:rFonts w:hint="eastAsia" w:ascii="宋体" w:hAnsi="宋体" w:eastAsia="宋体" w:cs="宋体"/>
                <w:color w:val="auto"/>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3CAACD0B">
            <w:pPr>
              <w:spacing w:line="360" w:lineRule="auto"/>
              <w:rPr>
                <w:rFonts w:hint="eastAsia" w:ascii="宋体" w:hAnsi="宋体" w:eastAsia="宋体" w:cs="宋体"/>
                <w:color w:val="auto"/>
                <w:szCs w:val="21"/>
                <w:highlight w:val="none"/>
              </w:rPr>
            </w:pPr>
          </w:p>
        </w:tc>
      </w:tr>
      <w:tr w14:paraId="69737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54749EB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2.其他人员</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0345BA85">
            <w:pPr>
              <w:spacing w:line="360" w:lineRule="auto"/>
              <w:rPr>
                <w:rFonts w:hint="eastAsia" w:ascii="宋体" w:hAnsi="宋体" w:eastAsia="宋体" w:cs="宋体"/>
                <w:color w:val="auto"/>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2598F104">
            <w:pPr>
              <w:spacing w:line="360" w:lineRule="auto"/>
              <w:rPr>
                <w:rFonts w:hint="eastAsia" w:ascii="宋体" w:hAnsi="宋体" w:eastAsia="宋体" w:cs="宋体"/>
                <w:color w:val="auto"/>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5892F72A">
            <w:pPr>
              <w:spacing w:line="360" w:lineRule="auto"/>
              <w:rPr>
                <w:rFonts w:hint="eastAsia" w:ascii="宋体" w:hAnsi="宋体" w:eastAsia="宋体" w:cs="宋体"/>
                <w:color w:val="auto"/>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31206A3F">
            <w:pPr>
              <w:spacing w:line="360" w:lineRule="auto"/>
              <w:rPr>
                <w:rFonts w:hint="eastAsia" w:ascii="宋体" w:hAnsi="宋体" w:eastAsia="宋体" w:cs="宋体"/>
                <w:color w:val="auto"/>
                <w:szCs w:val="21"/>
                <w:highlight w:val="none"/>
              </w:rPr>
            </w:pPr>
          </w:p>
        </w:tc>
      </w:tr>
      <w:tr w14:paraId="37B34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1E5D5D18">
            <w:pPr>
              <w:spacing w:line="360" w:lineRule="auto"/>
              <w:rPr>
                <w:rFonts w:hint="eastAsia" w:ascii="宋体" w:hAnsi="宋体" w:eastAsia="宋体" w:cs="宋体"/>
                <w:color w:val="auto"/>
                <w:szCs w:val="21"/>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30C0FCC0">
            <w:pPr>
              <w:spacing w:line="360" w:lineRule="auto"/>
              <w:rPr>
                <w:rFonts w:hint="eastAsia" w:ascii="宋体" w:hAnsi="宋体" w:eastAsia="宋体" w:cs="宋体"/>
                <w:color w:val="auto"/>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31417809">
            <w:pPr>
              <w:spacing w:line="360" w:lineRule="auto"/>
              <w:rPr>
                <w:rFonts w:hint="eastAsia" w:ascii="宋体" w:hAnsi="宋体" w:eastAsia="宋体" w:cs="宋体"/>
                <w:color w:val="auto"/>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70509287">
            <w:pPr>
              <w:spacing w:line="360" w:lineRule="auto"/>
              <w:rPr>
                <w:rFonts w:hint="eastAsia" w:ascii="宋体" w:hAnsi="宋体" w:eastAsia="宋体" w:cs="宋体"/>
                <w:color w:val="auto"/>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2FA83852">
            <w:pPr>
              <w:spacing w:line="360" w:lineRule="auto"/>
              <w:rPr>
                <w:rFonts w:hint="eastAsia" w:ascii="宋体" w:hAnsi="宋体" w:eastAsia="宋体" w:cs="宋体"/>
                <w:color w:val="auto"/>
                <w:szCs w:val="21"/>
                <w:highlight w:val="none"/>
              </w:rPr>
            </w:pPr>
          </w:p>
        </w:tc>
      </w:tr>
      <w:tr w14:paraId="35AA5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3C31F35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二、现场</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3C0BAF5A">
            <w:pPr>
              <w:spacing w:line="360" w:lineRule="auto"/>
              <w:rPr>
                <w:rFonts w:hint="eastAsia" w:ascii="宋体" w:hAnsi="宋体" w:eastAsia="宋体" w:cs="宋体"/>
                <w:color w:val="auto"/>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6225AD44">
            <w:pPr>
              <w:spacing w:line="360" w:lineRule="auto"/>
              <w:rPr>
                <w:rFonts w:hint="eastAsia" w:ascii="宋体" w:hAnsi="宋体" w:eastAsia="宋体" w:cs="宋体"/>
                <w:color w:val="auto"/>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272A4BAE">
            <w:pPr>
              <w:spacing w:line="360" w:lineRule="auto"/>
              <w:rPr>
                <w:rFonts w:hint="eastAsia" w:ascii="宋体" w:hAnsi="宋体" w:eastAsia="宋体" w:cs="宋体"/>
                <w:color w:val="auto"/>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76B87198">
            <w:pPr>
              <w:spacing w:line="360" w:lineRule="auto"/>
              <w:rPr>
                <w:rFonts w:hint="eastAsia" w:ascii="宋体" w:hAnsi="宋体" w:eastAsia="宋体" w:cs="宋体"/>
                <w:color w:val="auto"/>
                <w:szCs w:val="21"/>
                <w:highlight w:val="none"/>
              </w:rPr>
            </w:pPr>
          </w:p>
        </w:tc>
      </w:tr>
      <w:tr w14:paraId="73ADB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42BC460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1.项目经理</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03DFAB19">
            <w:pPr>
              <w:spacing w:line="360" w:lineRule="auto"/>
              <w:rPr>
                <w:rFonts w:hint="eastAsia" w:ascii="宋体" w:hAnsi="宋体" w:eastAsia="宋体" w:cs="宋体"/>
                <w:color w:val="auto"/>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774B2AA9">
            <w:pPr>
              <w:spacing w:line="360" w:lineRule="auto"/>
              <w:rPr>
                <w:rFonts w:hint="eastAsia" w:ascii="宋体" w:hAnsi="宋体" w:eastAsia="宋体" w:cs="宋体"/>
                <w:color w:val="auto"/>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50A03582">
            <w:pPr>
              <w:spacing w:line="360" w:lineRule="auto"/>
              <w:rPr>
                <w:rFonts w:hint="eastAsia" w:ascii="宋体" w:hAnsi="宋体" w:eastAsia="宋体" w:cs="宋体"/>
                <w:color w:val="auto"/>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5CF53A63">
            <w:pPr>
              <w:spacing w:line="360" w:lineRule="auto"/>
              <w:rPr>
                <w:rFonts w:hint="eastAsia" w:ascii="宋体" w:hAnsi="宋体" w:eastAsia="宋体" w:cs="宋体"/>
                <w:color w:val="auto"/>
                <w:szCs w:val="21"/>
                <w:highlight w:val="none"/>
              </w:rPr>
            </w:pPr>
          </w:p>
        </w:tc>
      </w:tr>
      <w:tr w14:paraId="71B37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55F71E8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2.项目副经理（如有）</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7BA048ED">
            <w:pPr>
              <w:spacing w:line="360" w:lineRule="auto"/>
              <w:rPr>
                <w:rFonts w:hint="eastAsia" w:ascii="宋体" w:hAnsi="宋体" w:eastAsia="宋体" w:cs="宋体"/>
                <w:color w:val="auto"/>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7D4265EB">
            <w:pPr>
              <w:spacing w:line="360" w:lineRule="auto"/>
              <w:rPr>
                <w:rFonts w:hint="eastAsia" w:ascii="宋体" w:hAnsi="宋体" w:eastAsia="宋体" w:cs="宋体"/>
                <w:color w:val="auto"/>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25C6B106">
            <w:pPr>
              <w:spacing w:line="360" w:lineRule="auto"/>
              <w:rPr>
                <w:rFonts w:hint="eastAsia" w:ascii="宋体" w:hAnsi="宋体" w:eastAsia="宋体" w:cs="宋体"/>
                <w:color w:val="auto"/>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396C8B03">
            <w:pPr>
              <w:spacing w:line="360" w:lineRule="auto"/>
              <w:rPr>
                <w:rFonts w:hint="eastAsia" w:ascii="宋体" w:hAnsi="宋体" w:eastAsia="宋体" w:cs="宋体"/>
                <w:color w:val="auto"/>
                <w:szCs w:val="21"/>
                <w:highlight w:val="none"/>
              </w:rPr>
            </w:pPr>
          </w:p>
        </w:tc>
      </w:tr>
      <w:tr w14:paraId="47CFF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40DB460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3.技术负责人</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25D958D6">
            <w:pPr>
              <w:spacing w:line="360" w:lineRule="auto"/>
              <w:rPr>
                <w:rFonts w:hint="eastAsia" w:ascii="宋体" w:hAnsi="宋体" w:eastAsia="宋体" w:cs="宋体"/>
                <w:color w:val="auto"/>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016A5F41">
            <w:pPr>
              <w:spacing w:line="360" w:lineRule="auto"/>
              <w:rPr>
                <w:rFonts w:hint="eastAsia" w:ascii="宋体" w:hAnsi="宋体" w:eastAsia="宋体" w:cs="宋体"/>
                <w:color w:val="auto"/>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160947BE">
            <w:pPr>
              <w:spacing w:line="360" w:lineRule="auto"/>
              <w:rPr>
                <w:rFonts w:hint="eastAsia" w:ascii="宋体" w:hAnsi="宋体" w:eastAsia="宋体" w:cs="宋体"/>
                <w:color w:val="auto"/>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0B1F57EF">
            <w:pPr>
              <w:spacing w:line="360" w:lineRule="auto"/>
              <w:rPr>
                <w:rFonts w:hint="eastAsia" w:ascii="宋体" w:hAnsi="宋体" w:eastAsia="宋体" w:cs="宋体"/>
                <w:color w:val="auto"/>
                <w:szCs w:val="21"/>
                <w:highlight w:val="none"/>
              </w:rPr>
            </w:pPr>
          </w:p>
        </w:tc>
      </w:tr>
      <w:tr w14:paraId="7D87C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0DF7599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4.施工员</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7653C971">
            <w:pPr>
              <w:spacing w:line="360" w:lineRule="auto"/>
              <w:rPr>
                <w:rFonts w:hint="eastAsia" w:ascii="宋体" w:hAnsi="宋体" w:eastAsia="宋体" w:cs="宋体"/>
                <w:color w:val="auto"/>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41B13A83">
            <w:pPr>
              <w:spacing w:line="360" w:lineRule="auto"/>
              <w:rPr>
                <w:rFonts w:hint="eastAsia" w:ascii="宋体" w:hAnsi="宋体" w:eastAsia="宋体" w:cs="宋体"/>
                <w:color w:val="auto"/>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525955EA">
            <w:pPr>
              <w:spacing w:line="360" w:lineRule="auto"/>
              <w:rPr>
                <w:rFonts w:hint="eastAsia" w:ascii="宋体" w:hAnsi="宋体" w:eastAsia="宋体" w:cs="宋体"/>
                <w:color w:val="auto"/>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635D3258">
            <w:pPr>
              <w:spacing w:line="360" w:lineRule="auto"/>
              <w:rPr>
                <w:rFonts w:hint="eastAsia" w:ascii="宋体" w:hAnsi="宋体" w:eastAsia="宋体" w:cs="宋体"/>
                <w:color w:val="auto"/>
                <w:szCs w:val="21"/>
                <w:highlight w:val="none"/>
              </w:rPr>
            </w:pPr>
          </w:p>
        </w:tc>
      </w:tr>
      <w:tr w14:paraId="322F6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42134CB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5.质检（量）员</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6C594445">
            <w:pPr>
              <w:spacing w:line="360" w:lineRule="auto"/>
              <w:rPr>
                <w:rFonts w:hint="eastAsia" w:ascii="宋体" w:hAnsi="宋体" w:eastAsia="宋体" w:cs="宋体"/>
                <w:color w:val="auto"/>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24D6A9EE">
            <w:pPr>
              <w:spacing w:line="360" w:lineRule="auto"/>
              <w:rPr>
                <w:rFonts w:hint="eastAsia" w:ascii="宋体" w:hAnsi="宋体" w:eastAsia="宋体" w:cs="宋体"/>
                <w:color w:val="auto"/>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31FC8656">
            <w:pPr>
              <w:spacing w:line="360" w:lineRule="auto"/>
              <w:rPr>
                <w:rFonts w:hint="eastAsia" w:ascii="宋体" w:hAnsi="宋体" w:eastAsia="宋体" w:cs="宋体"/>
                <w:color w:val="auto"/>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6670BF0C">
            <w:pPr>
              <w:spacing w:line="360" w:lineRule="auto"/>
              <w:rPr>
                <w:rFonts w:hint="eastAsia" w:ascii="宋体" w:hAnsi="宋体" w:eastAsia="宋体" w:cs="宋体"/>
                <w:color w:val="auto"/>
                <w:szCs w:val="21"/>
                <w:highlight w:val="none"/>
              </w:rPr>
            </w:pPr>
          </w:p>
        </w:tc>
      </w:tr>
      <w:tr w14:paraId="51376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5F8FEEA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6.专职安全生产管理人员</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1897410D">
            <w:pPr>
              <w:spacing w:line="360" w:lineRule="auto"/>
              <w:rPr>
                <w:rFonts w:hint="eastAsia" w:ascii="宋体" w:hAnsi="宋体" w:eastAsia="宋体" w:cs="宋体"/>
                <w:color w:val="auto"/>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3AC03423">
            <w:pPr>
              <w:spacing w:line="360" w:lineRule="auto"/>
              <w:rPr>
                <w:rFonts w:hint="eastAsia" w:ascii="宋体" w:hAnsi="宋体" w:eastAsia="宋体" w:cs="宋体"/>
                <w:color w:val="auto"/>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24068A20">
            <w:pPr>
              <w:spacing w:line="360" w:lineRule="auto"/>
              <w:rPr>
                <w:rFonts w:hint="eastAsia" w:ascii="宋体" w:hAnsi="宋体" w:eastAsia="宋体" w:cs="宋体"/>
                <w:color w:val="auto"/>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2CA1659E">
            <w:pPr>
              <w:spacing w:line="360" w:lineRule="auto"/>
              <w:rPr>
                <w:rFonts w:hint="eastAsia" w:ascii="宋体" w:hAnsi="宋体" w:eastAsia="宋体" w:cs="宋体"/>
                <w:color w:val="auto"/>
                <w:szCs w:val="21"/>
                <w:highlight w:val="none"/>
              </w:rPr>
            </w:pPr>
          </w:p>
        </w:tc>
      </w:tr>
      <w:tr w14:paraId="68C1D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055DA32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7.材料员</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4E058939">
            <w:pPr>
              <w:spacing w:line="360" w:lineRule="auto"/>
              <w:rPr>
                <w:rFonts w:hint="eastAsia" w:ascii="宋体" w:hAnsi="宋体" w:eastAsia="宋体" w:cs="宋体"/>
                <w:color w:val="auto"/>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4A38E47A">
            <w:pPr>
              <w:spacing w:line="360" w:lineRule="auto"/>
              <w:rPr>
                <w:rFonts w:hint="eastAsia" w:ascii="宋体" w:hAnsi="宋体" w:eastAsia="宋体" w:cs="宋体"/>
                <w:color w:val="auto"/>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5A89AF72">
            <w:pPr>
              <w:spacing w:line="360" w:lineRule="auto"/>
              <w:rPr>
                <w:rFonts w:hint="eastAsia" w:ascii="宋体" w:hAnsi="宋体" w:eastAsia="宋体" w:cs="宋体"/>
                <w:color w:val="auto"/>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7376DEC3">
            <w:pPr>
              <w:spacing w:line="360" w:lineRule="auto"/>
              <w:rPr>
                <w:rFonts w:hint="eastAsia" w:ascii="宋体" w:hAnsi="宋体" w:eastAsia="宋体" w:cs="宋体"/>
                <w:color w:val="auto"/>
                <w:szCs w:val="21"/>
                <w:highlight w:val="none"/>
              </w:rPr>
            </w:pPr>
          </w:p>
        </w:tc>
      </w:tr>
      <w:tr w14:paraId="31F29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06B171D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77A9119B">
            <w:pPr>
              <w:spacing w:line="360" w:lineRule="auto"/>
              <w:rPr>
                <w:rFonts w:hint="eastAsia" w:ascii="宋体" w:hAnsi="宋体" w:eastAsia="宋体" w:cs="宋体"/>
                <w:color w:val="auto"/>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46EF2A43">
            <w:pPr>
              <w:spacing w:line="360" w:lineRule="auto"/>
              <w:rPr>
                <w:rFonts w:hint="eastAsia" w:ascii="宋体" w:hAnsi="宋体" w:eastAsia="宋体" w:cs="宋体"/>
                <w:color w:val="auto"/>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54632638">
            <w:pPr>
              <w:spacing w:line="360" w:lineRule="auto"/>
              <w:rPr>
                <w:rFonts w:hint="eastAsia" w:ascii="宋体" w:hAnsi="宋体" w:eastAsia="宋体" w:cs="宋体"/>
                <w:color w:val="auto"/>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6ED3840F">
            <w:pPr>
              <w:spacing w:line="360" w:lineRule="auto"/>
              <w:rPr>
                <w:rFonts w:hint="eastAsia" w:ascii="宋体" w:hAnsi="宋体" w:eastAsia="宋体" w:cs="宋体"/>
                <w:color w:val="auto"/>
                <w:szCs w:val="21"/>
                <w:highlight w:val="none"/>
              </w:rPr>
            </w:pPr>
          </w:p>
        </w:tc>
      </w:tr>
    </w:tbl>
    <w:p w14:paraId="041DA9BC">
      <w:pPr>
        <w:spacing w:line="360" w:lineRule="auto"/>
        <w:rPr>
          <w:rFonts w:hint="eastAsia" w:ascii="宋体" w:hAnsi="宋体" w:eastAsia="宋体" w:cs="宋体"/>
          <w:color w:val="auto"/>
          <w:spacing w:val="-2"/>
          <w:kern w:val="0"/>
          <w:szCs w:val="21"/>
          <w:highlight w:val="none"/>
          <w:lang w:eastAsia="zh-CN"/>
        </w:rPr>
      </w:pPr>
      <w:r>
        <w:rPr>
          <w:rFonts w:hint="eastAsia" w:ascii="宋体" w:hAnsi="宋体" w:eastAsia="宋体" w:cs="宋体"/>
          <w:bCs/>
          <w:color w:val="auto"/>
          <w:spacing w:val="-2"/>
          <w:szCs w:val="21"/>
          <w:highlight w:val="none"/>
        </w:rPr>
        <w:t>注：人员配备</w:t>
      </w:r>
      <w:r>
        <w:rPr>
          <w:rFonts w:hint="eastAsia" w:ascii="宋体" w:hAnsi="宋体" w:eastAsia="宋体" w:cs="宋体"/>
          <w:color w:val="auto"/>
          <w:spacing w:val="-2"/>
          <w:szCs w:val="21"/>
          <w:highlight w:val="none"/>
        </w:rPr>
        <w:t>应按桂林市建设与规划委员会市建规〔2006〕270号文《关于调整建筑施工现场项目部管理的通知》的规定执行，须满足最低要求。</w:t>
      </w:r>
      <w:r>
        <w:rPr>
          <w:rFonts w:hint="eastAsia" w:ascii="宋体" w:hAnsi="宋体" w:eastAsia="宋体" w:cs="宋体"/>
          <w:color w:val="auto"/>
          <w:spacing w:val="-2"/>
          <w:kern w:val="0"/>
          <w:szCs w:val="21"/>
          <w:highlight w:val="none"/>
        </w:rPr>
        <w:t>其中，项目经理至少应附身份证复印件及文物保护工程责任工程师资格证复印件（从业范围须含有古建筑）；技术负责人应附身份证复印件、职称证复印件；专职安全生产管理人员至少应附身份证复印件、专职安全员安全生产考核合格证书（C类）复印件；其他主要人员（施工员、质检（量）员、材料员）应附执业证或上岗证书复印件。</w:t>
      </w:r>
      <w:r>
        <w:rPr>
          <w:rFonts w:hint="eastAsia" w:ascii="宋体" w:hAnsi="宋体" w:eastAsia="宋体" w:cs="宋体"/>
          <w:color w:val="auto"/>
          <w:kern w:val="0"/>
          <w:szCs w:val="21"/>
          <w:highlight w:val="none"/>
        </w:rPr>
        <w:t>同时还需提供社保部门出具供应商为项目管理机构成员（包含项目经理、</w:t>
      </w:r>
      <w:r>
        <w:rPr>
          <w:rFonts w:hint="eastAsia" w:ascii="宋体" w:hAnsi="宋体" w:eastAsia="宋体" w:cs="宋体"/>
          <w:color w:val="auto"/>
          <w:spacing w:val="-2"/>
          <w:kern w:val="0"/>
          <w:szCs w:val="21"/>
          <w:highlight w:val="none"/>
        </w:rPr>
        <w:t>技术负责人、专职安全员、施工员、质检（量）员、材料员）缴纳的响应文件递交截止时间前半年内任意连续三个月社保证明复印件</w:t>
      </w:r>
      <w:r>
        <w:rPr>
          <w:rFonts w:hint="eastAsia" w:ascii="宋体" w:hAnsi="宋体" w:eastAsia="宋体" w:cs="宋体"/>
          <w:color w:val="auto"/>
          <w:spacing w:val="-2"/>
          <w:kern w:val="0"/>
          <w:szCs w:val="21"/>
          <w:highlight w:val="none"/>
          <w:lang w:eastAsia="zh-CN"/>
        </w:rPr>
        <w:t>（</w:t>
      </w:r>
      <w:r>
        <w:rPr>
          <w:rFonts w:hint="eastAsia" w:ascii="宋体" w:hAnsi="宋体" w:eastAsia="宋体" w:cs="宋体"/>
          <w:b w:val="0"/>
          <w:bCs/>
          <w:color w:val="auto"/>
          <w:sz w:val="21"/>
          <w:szCs w:val="21"/>
          <w:highlight w:val="none"/>
        </w:rPr>
        <w:t>如</w:t>
      </w:r>
      <w:r>
        <w:rPr>
          <w:rFonts w:hint="eastAsia" w:ascii="宋体" w:hAnsi="宋体" w:eastAsia="宋体" w:cs="宋体"/>
          <w:color w:val="auto"/>
          <w:highlight w:val="none"/>
        </w:rPr>
        <w:t>以上人员</w:t>
      </w:r>
      <w:r>
        <w:rPr>
          <w:rFonts w:hint="eastAsia" w:ascii="宋体" w:hAnsi="宋体" w:eastAsia="宋体" w:cs="宋体"/>
          <w:b w:val="0"/>
          <w:bCs/>
          <w:color w:val="auto"/>
          <w:sz w:val="21"/>
          <w:szCs w:val="21"/>
          <w:highlight w:val="none"/>
        </w:rPr>
        <w:t>为免缴纳社保人员，提供免缴纳社保的证明材料复印件及供应商与</w:t>
      </w:r>
      <w:r>
        <w:rPr>
          <w:rFonts w:hint="eastAsia" w:ascii="宋体" w:hAnsi="宋体" w:eastAsia="宋体" w:cs="宋体"/>
          <w:b w:val="0"/>
          <w:bCs/>
          <w:color w:val="auto"/>
          <w:sz w:val="21"/>
          <w:szCs w:val="21"/>
          <w:highlight w:val="none"/>
          <w:lang w:val="en-US" w:eastAsia="zh-CN"/>
        </w:rPr>
        <w:t>其</w:t>
      </w:r>
      <w:r>
        <w:rPr>
          <w:rFonts w:hint="eastAsia" w:ascii="宋体" w:hAnsi="宋体" w:eastAsia="宋体" w:cs="宋体"/>
          <w:b w:val="0"/>
          <w:bCs/>
          <w:color w:val="auto"/>
          <w:sz w:val="21"/>
          <w:szCs w:val="21"/>
          <w:highlight w:val="none"/>
        </w:rPr>
        <w:t>签订的劳动合同复印件代替社保证明复印件</w:t>
      </w:r>
      <w:r>
        <w:rPr>
          <w:rFonts w:hint="eastAsia" w:ascii="宋体" w:hAnsi="宋体" w:eastAsia="宋体" w:cs="宋体"/>
          <w:color w:val="auto"/>
          <w:spacing w:val="-2"/>
          <w:kern w:val="0"/>
          <w:szCs w:val="21"/>
          <w:highlight w:val="none"/>
        </w:rPr>
        <w:t>。</w:t>
      </w:r>
      <w:r>
        <w:rPr>
          <w:rFonts w:hint="eastAsia" w:ascii="宋体" w:hAnsi="宋体" w:eastAsia="宋体" w:cs="宋体"/>
          <w:color w:val="auto"/>
          <w:spacing w:val="-2"/>
          <w:kern w:val="0"/>
          <w:szCs w:val="21"/>
          <w:highlight w:val="none"/>
          <w:lang w:eastAsia="zh-CN"/>
        </w:rPr>
        <w:t>）</w:t>
      </w:r>
    </w:p>
    <w:p w14:paraId="3EABE8E5">
      <w:pPr>
        <w:pStyle w:val="22"/>
        <w:spacing w:line="360" w:lineRule="auto"/>
        <w:jc w:val="center"/>
        <w:rPr>
          <w:rFonts w:hint="eastAsia" w:ascii="宋体" w:hAnsi="宋体" w:eastAsia="宋体" w:cs="宋体"/>
          <w:b/>
          <w:color w:val="auto"/>
          <w:sz w:val="32"/>
          <w:szCs w:val="32"/>
          <w:highlight w:val="none"/>
        </w:rPr>
      </w:pPr>
    </w:p>
    <w:p w14:paraId="21F9F963">
      <w:pPr>
        <w:pStyle w:val="12"/>
        <w:spacing w:line="360" w:lineRule="auto"/>
        <w:ind w:left="2940"/>
        <w:rPr>
          <w:rFonts w:hint="eastAsia" w:ascii="宋体" w:hAnsi="宋体" w:eastAsia="宋体" w:cs="宋体"/>
          <w:color w:val="auto"/>
          <w:highlight w:val="none"/>
        </w:rPr>
      </w:pPr>
    </w:p>
    <w:p w14:paraId="1317A639">
      <w:pPr>
        <w:snapToGrid w:val="0"/>
        <w:spacing w:line="360" w:lineRule="auto"/>
        <w:ind w:firstLine="1890" w:firstLineChars="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磋商供应商[公章(CA签章)，自然人签字或个人CA签章]：</w:t>
      </w:r>
      <w:r>
        <w:rPr>
          <w:rFonts w:hint="eastAsia" w:ascii="宋体" w:hAnsi="宋体" w:eastAsia="宋体" w:cs="宋体"/>
          <w:color w:val="auto"/>
          <w:highlight w:val="none"/>
          <w:u w:val="single"/>
        </w:rPr>
        <w:t xml:space="preserve">               </w:t>
      </w:r>
    </w:p>
    <w:p w14:paraId="0528ACFB">
      <w:pPr>
        <w:snapToGrid w:val="0"/>
        <w:spacing w:line="360" w:lineRule="auto"/>
        <w:ind w:firstLine="1890" w:firstLineChars="900"/>
        <w:rPr>
          <w:rFonts w:hint="eastAsia" w:ascii="宋体" w:hAnsi="宋体" w:eastAsia="宋体" w:cs="宋体"/>
          <w:b/>
          <w:bCs/>
          <w:color w:val="auto"/>
          <w:szCs w:val="21"/>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240D89A0">
      <w:pPr>
        <w:pStyle w:val="22"/>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5.担任本工程的项目经理简历表（应附相关证书、身份证复印件）（必须提供）；</w:t>
      </w:r>
    </w:p>
    <w:p w14:paraId="052CAA8B">
      <w:pPr>
        <w:spacing w:line="360" w:lineRule="auto"/>
        <w:rPr>
          <w:rFonts w:hint="eastAsia" w:ascii="宋体" w:hAnsi="宋体" w:eastAsia="宋体" w:cs="宋体"/>
          <w:color w:val="auto"/>
          <w:highlight w:val="none"/>
        </w:rPr>
      </w:pPr>
    </w:p>
    <w:p w14:paraId="7736629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担任本工程的项目经理简历表</w:t>
      </w:r>
    </w:p>
    <w:p w14:paraId="50079CCC">
      <w:pPr>
        <w:spacing w:line="360" w:lineRule="auto"/>
        <w:jc w:val="center"/>
        <w:rPr>
          <w:rFonts w:hint="eastAsia" w:ascii="宋体" w:hAnsi="宋体" w:eastAsia="宋体" w:cs="宋体"/>
          <w:b/>
          <w:color w:val="auto"/>
          <w:sz w:val="32"/>
          <w:highlight w:val="none"/>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608"/>
        <w:gridCol w:w="1072"/>
        <w:gridCol w:w="28"/>
        <w:gridCol w:w="508"/>
        <w:gridCol w:w="536"/>
        <w:gridCol w:w="1072"/>
        <w:gridCol w:w="268"/>
        <w:gridCol w:w="496"/>
        <w:gridCol w:w="442"/>
        <w:gridCol w:w="1206"/>
      </w:tblGrid>
      <w:tr w14:paraId="24891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tcBorders>
              <w:top w:val="single" w:color="auto" w:sz="8" w:space="0"/>
              <w:left w:val="single" w:color="auto" w:sz="8" w:space="0"/>
            </w:tcBorders>
            <w:noWrap w:val="0"/>
            <w:vAlign w:val="top"/>
          </w:tcPr>
          <w:p w14:paraId="0DDEA5B3">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姓  名</w:t>
            </w:r>
          </w:p>
        </w:tc>
        <w:tc>
          <w:tcPr>
            <w:tcW w:w="1608" w:type="dxa"/>
            <w:tcBorders>
              <w:top w:val="single" w:color="auto" w:sz="8" w:space="0"/>
            </w:tcBorders>
            <w:noWrap w:val="0"/>
            <w:vAlign w:val="top"/>
          </w:tcPr>
          <w:p w14:paraId="46AB440C">
            <w:pPr>
              <w:spacing w:line="360" w:lineRule="auto"/>
              <w:jc w:val="center"/>
              <w:rPr>
                <w:rFonts w:hint="eastAsia" w:ascii="宋体" w:hAnsi="宋体" w:eastAsia="宋体" w:cs="宋体"/>
                <w:color w:val="auto"/>
                <w:highlight w:val="none"/>
              </w:rPr>
            </w:pPr>
          </w:p>
        </w:tc>
        <w:tc>
          <w:tcPr>
            <w:tcW w:w="1072" w:type="dxa"/>
            <w:tcBorders>
              <w:top w:val="single" w:color="auto" w:sz="8" w:space="0"/>
            </w:tcBorders>
            <w:noWrap w:val="0"/>
            <w:vAlign w:val="top"/>
          </w:tcPr>
          <w:p w14:paraId="58577963">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性  别</w:t>
            </w:r>
          </w:p>
        </w:tc>
        <w:tc>
          <w:tcPr>
            <w:tcW w:w="1072" w:type="dxa"/>
            <w:gridSpan w:val="3"/>
            <w:tcBorders>
              <w:top w:val="single" w:color="auto" w:sz="8" w:space="0"/>
            </w:tcBorders>
            <w:noWrap w:val="0"/>
            <w:vAlign w:val="top"/>
          </w:tcPr>
          <w:p w14:paraId="351DBB59">
            <w:pPr>
              <w:spacing w:line="360" w:lineRule="auto"/>
              <w:jc w:val="center"/>
              <w:rPr>
                <w:rFonts w:hint="eastAsia" w:ascii="宋体" w:hAnsi="宋体" w:eastAsia="宋体" w:cs="宋体"/>
                <w:color w:val="auto"/>
                <w:highlight w:val="none"/>
              </w:rPr>
            </w:pPr>
          </w:p>
        </w:tc>
        <w:tc>
          <w:tcPr>
            <w:tcW w:w="1340" w:type="dxa"/>
            <w:gridSpan w:val="2"/>
            <w:tcBorders>
              <w:top w:val="single" w:color="auto" w:sz="8" w:space="0"/>
            </w:tcBorders>
            <w:noWrap w:val="0"/>
            <w:vAlign w:val="top"/>
          </w:tcPr>
          <w:p w14:paraId="2CE694D8">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年  龄</w:t>
            </w:r>
          </w:p>
        </w:tc>
        <w:tc>
          <w:tcPr>
            <w:tcW w:w="2144" w:type="dxa"/>
            <w:gridSpan w:val="3"/>
            <w:tcBorders>
              <w:top w:val="single" w:color="auto" w:sz="8" w:space="0"/>
              <w:right w:val="single" w:color="auto" w:sz="8" w:space="0"/>
            </w:tcBorders>
            <w:noWrap w:val="0"/>
            <w:vAlign w:val="top"/>
          </w:tcPr>
          <w:p w14:paraId="60090890">
            <w:pPr>
              <w:spacing w:line="360" w:lineRule="auto"/>
              <w:jc w:val="center"/>
              <w:rPr>
                <w:rFonts w:hint="eastAsia" w:ascii="宋体" w:hAnsi="宋体" w:eastAsia="宋体" w:cs="宋体"/>
                <w:color w:val="auto"/>
                <w:highlight w:val="none"/>
              </w:rPr>
            </w:pPr>
          </w:p>
        </w:tc>
      </w:tr>
      <w:tr w14:paraId="04E3E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tcBorders>
              <w:left w:val="single" w:color="auto" w:sz="8" w:space="0"/>
            </w:tcBorders>
            <w:noWrap w:val="0"/>
            <w:vAlign w:val="top"/>
          </w:tcPr>
          <w:p w14:paraId="1116D1CD">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职  务</w:t>
            </w:r>
          </w:p>
        </w:tc>
        <w:tc>
          <w:tcPr>
            <w:tcW w:w="1608" w:type="dxa"/>
            <w:noWrap w:val="0"/>
            <w:vAlign w:val="top"/>
          </w:tcPr>
          <w:p w14:paraId="15EB86AE">
            <w:pPr>
              <w:spacing w:line="360" w:lineRule="auto"/>
              <w:jc w:val="center"/>
              <w:rPr>
                <w:rFonts w:hint="eastAsia" w:ascii="宋体" w:hAnsi="宋体" w:eastAsia="宋体" w:cs="宋体"/>
                <w:color w:val="auto"/>
                <w:highlight w:val="none"/>
              </w:rPr>
            </w:pPr>
          </w:p>
        </w:tc>
        <w:tc>
          <w:tcPr>
            <w:tcW w:w="1072" w:type="dxa"/>
            <w:noWrap w:val="0"/>
            <w:vAlign w:val="top"/>
          </w:tcPr>
          <w:p w14:paraId="25DF499F">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职  称</w:t>
            </w:r>
          </w:p>
        </w:tc>
        <w:tc>
          <w:tcPr>
            <w:tcW w:w="1072" w:type="dxa"/>
            <w:gridSpan w:val="3"/>
            <w:noWrap w:val="0"/>
            <w:vAlign w:val="top"/>
          </w:tcPr>
          <w:p w14:paraId="5E5A14BB">
            <w:pPr>
              <w:spacing w:line="360" w:lineRule="auto"/>
              <w:jc w:val="center"/>
              <w:rPr>
                <w:rFonts w:hint="eastAsia" w:ascii="宋体" w:hAnsi="宋体" w:eastAsia="宋体" w:cs="宋体"/>
                <w:color w:val="auto"/>
                <w:highlight w:val="none"/>
              </w:rPr>
            </w:pPr>
          </w:p>
        </w:tc>
        <w:tc>
          <w:tcPr>
            <w:tcW w:w="1340" w:type="dxa"/>
            <w:gridSpan w:val="2"/>
            <w:noWrap w:val="0"/>
            <w:vAlign w:val="top"/>
          </w:tcPr>
          <w:p w14:paraId="56E013B5">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学  历</w:t>
            </w:r>
          </w:p>
        </w:tc>
        <w:tc>
          <w:tcPr>
            <w:tcW w:w="2144" w:type="dxa"/>
            <w:gridSpan w:val="3"/>
            <w:tcBorders>
              <w:right w:val="single" w:color="auto" w:sz="8" w:space="0"/>
            </w:tcBorders>
            <w:noWrap w:val="0"/>
            <w:vAlign w:val="top"/>
          </w:tcPr>
          <w:p w14:paraId="20ECA427">
            <w:pPr>
              <w:spacing w:line="360" w:lineRule="auto"/>
              <w:jc w:val="center"/>
              <w:rPr>
                <w:rFonts w:hint="eastAsia" w:ascii="宋体" w:hAnsi="宋体" w:eastAsia="宋体" w:cs="宋体"/>
                <w:color w:val="auto"/>
                <w:highlight w:val="none"/>
              </w:rPr>
            </w:pPr>
          </w:p>
        </w:tc>
      </w:tr>
      <w:tr w14:paraId="5CD22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0" w:type="dxa"/>
            <w:tcBorders>
              <w:left w:val="single" w:color="auto" w:sz="8" w:space="0"/>
            </w:tcBorders>
            <w:noWrap w:val="0"/>
            <w:vAlign w:val="top"/>
          </w:tcPr>
          <w:p w14:paraId="3BB4516D">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专  业</w:t>
            </w:r>
          </w:p>
        </w:tc>
        <w:tc>
          <w:tcPr>
            <w:tcW w:w="2708" w:type="dxa"/>
            <w:gridSpan w:val="3"/>
            <w:noWrap w:val="0"/>
            <w:vAlign w:val="top"/>
          </w:tcPr>
          <w:p w14:paraId="2474D7F8">
            <w:pPr>
              <w:spacing w:line="360" w:lineRule="auto"/>
              <w:rPr>
                <w:rFonts w:hint="eastAsia" w:ascii="宋体" w:hAnsi="宋体" w:eastAsia="宋体" w:cs="宋体"/>
                <w:color w:val="auto"/>
                <w:highlight w:val="none"/>
              </w:rPr>
            </w:pPr>
          </w:p>
        </w:tc>
        <w:tc>
          <w:tcPr>
            <w:tcW w:w="2880" w:type="dxa"/>
            <w:gridSpan w:val="5"/>
            <w:noWrap w:val="0"/>
            <w:vAlign w:val="top"/>
          </w:tcPr>
          <w:p w14:paraId="03735F0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从事项目经理年限</w:t>
            </w:r>
          </w:p>
        </w:tc>
        <w:tc>
          <w:tcPr>
            <w:tcW w:w="1648" w:type="dxa"/>
            <w:gridSpan w:val="2"/>
            <w:tcBorders>
              <w:right w:val="single" w:color="auto" w:sz="8" w:space="0"/>
            </w:tcBorders>
            <w:noWrap w:val="0"/>
            <w:vAlign w:val="top"/>
          </w:tcPr>
          <w:p w14:paraId="41FB7F68">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(年)</w:t>
            </w:r>
          </w:p>
        </w:tc>
      </w:tr>
      <w:tr w14:paraId="06A6F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16" w:type="dxa"/>
            <w:gridSpan w:val="11"/>
            <w:tcBorders>
              <w:left w:val="single" w:color="auto" w:sz="8" w:space="0"/>
              <w:right w:val="single" w:color="auto" w:sz="8" w:space="0"/>
            </w:tcBorders>
            <w:noWrap w:val="0"/>
            <w:vAlign w:val="top"/>
          </w:tcPr>
          <w:p w14:paraId="27402018">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已完工程项目情况</w:t>
            </w:r>
          </w:p>
        </w:tc>
      </w:tr>
      <w:tr w14:paraId="38F0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tcBorders>
              <w:left w:val="single" w:color="auto" w:sz="8" w:space="0"/>
            </w:tcBorders>
            <w:noWrap w:val="0"/>
            <w:vAlign w:val="top"/>
          </w:tcPr>
          <w:p w14:paraId="60DC6277">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建设单位</w:t>
            </w:r>
          </w:p>
        </w:tc>
        <w:tc>
          <w:tcPr>
            <w:tcW w:w="1608" w:type="dxa"/>
            <w:noWrap w:val="0"/>
            <w:vAlign w:val="top"/>
          </w:tcPr>
          <w:p w14:paraId="0608FE7C">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1608" w:type="dxa"/>
            <w:gridSpan w:val="3"/>
            <w:noWrap w:val="0"/>
            <w:vAlign w:val="top"/>
          </w:tcPr>
          <w:p w14:paraId="1FD17FF1">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建设规模</w:t>
            </w:r>
          </w:p>
        </w:tc>
        <w:tc>
          <w:tcPr>
            <w:tcW w:w="1608" w:type="dxa"/>
            <w:gridSpan w:val="2"/>
            <w:noWrap w:val="0"/>
            <w:vAlign w:val="top"/>
          </w:tcPr>
          <w:p w14:paraId="4683745A">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开、竣工日期</w:t>
            </w:r>
          </w:p>
        </w:tc>
        <w:tc>
          <w:tcPr>
            <w:tcW w:w="1206" w:type="dxa"/>
            <w:gridSpan w:val="3"/>
            <w:noWrap w:val="0"/>
            <w:vAlign w:val="top"/>
          </w:tcPr>
          <w:p w14:paraId="34E30EDD">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工程质量</w:t>
            </w:r>
          </w:p>
        </w:tc>
        <w:tc>
          <w:tcPr>
            <w:tcW w:w="1206" w:type="dxa"/>
            <w:tcBorders>
              <w:right w:val="single" w:color="auto" w:sz="8" w:space="0"/>
            </w:tcBorders>
            <w:noWrap w:val="0"/>
            <w:vAlign w:val="top"/>
          </w:tcPr>
          <w:p w14:paraId="02E28F8C">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受奖情况</w:t>
            </w:r>
          </w:p>
        </w:tc>
      </w:tr>
      <w:tr w14:paraId="54052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tcBorders>
              <w:left w:val="single" w:color="auto" w:sz="8" w:space="0"/>
            </w:tcBorders>
            <w:noWrap w:val="0"/>
            <w:vAlign w:val="top"/>
          </w:tcPr>
          <w:p w14:paraId="2B639E49">
            <w:pPr>
              <w:spacing w:line="360" w:lineRule="auto"/>
              <w:jc w:val="center"/>
              <w:rPr>
                <w:rFonts w:hint="eastAsia" w:ascii="宋体" w:hAnsi="宋体" w:eastAsia="宋体" w:cs="宋体"/>
                <w:color w:val="auto"/>
                <w:highlight w:val="none"/>
              </w:rPr>
            </w:pPr>
          </w:p>
        </w:tc>
        <w:tc>
          <w:tcPr>
            <w:tcW w:w="1608" w:type="dxa"/>
            <w:noWrap w:val="0"/>
            <w:vAlign w:val="top"/>
          </w:tcPr>
          <w:p w14:paraId="3725EC3F">
            <w:pPr>
              <w:spacing w:line="360" w:lineRule="auto"/>
              <w:jc w:val="center"/>
              <w:rPr>
                <w:rFonts w:hint="eastAsia" w:ascii="宋体" w:hAnsi="宋体" w:eastAsia="宋体" w:cs="宋体"/>
                <w:color w:val="auto"/>
                <w:highlight w:val="none"/>
              </w:rPr>
            </w:pPr>
          </w:p>
        </w:tc>
        <w:tc>
          <w:tcPr>
            <w:tcW w:w="1608" w:type="dxa"/>
            <w:gridSpan w:val="3"/>
            <w:noWrap w:val="0"/>
            <w:vAlign w:val="top"/>
          </w:tcPr>
          <w:p w14:paraId="5939D228">
            <w:pPr>
              <w:spacing w:line="360" w:lineRule="auto"/>
              <w:jc w:val="center"/>
              <w:rPr>
                <w:rFonts w:hint="eastAsia" w:ascii="宋体" w:hAnsi="宋体" w:eastAsia="宋体" w:cs="宋体"/>
                <w:color w:val="auto"/>
                <w:highlight w:val="none"/>
              </w:rPr>
            </w:pPr>
          </w:p>
        </w:tc>
        <w:tc>
          <w:tcPr>
            <w:tcW w:w="1608" w:type="dxa"/>
            <w:gridSpan w:val="2"/>
            <w:noWrap w:val="0"/>
            <w:vAlign w:val="top"/>
          </w:tcPr>
          <w:p w14:paraId="51387A1D">
            <w:pPr>
              <w:spacing w:line="360" w:lineRule="auto"/>
              <w:jc w:val="center"/>
              <w:rPr>
                <w:rFonts w:hint="eastAsia" w:ascii="宋体" w:hAnsi="宋体" w:eastAsia="宋体" w:cs="宋体"/>
                <w:color w:val="auto"/>
                <w:highlight w:val="none"/>
              </w:rPr>
            </w:pPr>
          </w:p>
        </w:tc>
        <w:tc>
          <w:tcPr>
            <w:tcW w:w="1206" w:type="dxa"/>
            <w:gridSpan w:val="3"/>
            <w:noWrap w:val="0"/>
            <w:vAlign w:val="top"/>
          </w:tcPr>
          <w:p w14:paraId="6C2D4A3B">
            <w:pPr>
              <w:spacing w:line="360" w:lineRule="auto"/>
              <w:jc w:val="center"/>
              <w:rPr>
                <w:rFonts w:hint="eastAsia" w:ascii="宋体" w:hAnsi="宋体" w:eastAsia="宋体" w:cs="宋体"/>
                <w:color w:val="auto"/>
                <w:highlight w:val="none"/>
              </w:rPr>
            </w:pPr>
          </w:p>
        </w:tc>
        <w:tc>
          <w:tcPr>
            <w:tcW w:w="1206" w:type="dxa"/>
            <w:tcBorders>
              <w:right w:val="single" w:color="auto" w:sz="8" w:space="0"/>
            </w:tcBorders>
            <w:noWrap w:val="0"/>
            <w:vAlign w:val="top"/>
          </w:tcPr>
          <w:p w14:paraId="29F8B025">
            <w:pPr>
              <w:spacing w:line="360" w:lineRule="auto"/>
              <w:jc w:val="center"/>
              <w:rPr>
                <w:rFonts w:hint="eastAsia" w:ascii="宋体" w:hAnsi="宋体" w:eastAsia="宋体" w:cs="宋体"/>
                <w:color w:val="auto"/>
                <w:highlight w:val="none"/>
              </w:rPr>
            </w:pPr>
          </w:p>
        </w:tc>
      </w:tr>
      <w:tr w14:paraId="27EF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tcBorders>
              <w:left w:val="single" w:color="auto" w:sz="8" w:space="0"/>
            </w:tcBorders>
            <w:noWrap w:val="0"/>
            <w:vAlign w:val="top"/>
          </w:tcPr>
          <w:p w14:paraId="471CBD87">
            <w:pPr>
              <w:spacing w:line="360" w:lineRule="auto"/>
              <w:jc w:val="center"/>
              <w:rPr>
                <w:rFonts w:hint="eastAsia" w:ascii="宋体" w:hAnsi="宋体" w:eastAsia="宋体" w:cs="宋体"/>
                <w:color w:val="auto"/>
                <w:highlight w:val="none"/>
              </w:rPr>
            </w:pPr>
          </w:p>
        </w:tc>
        <w:tc>
          <w:tcPr>
            <w:tcW w:w="1608" w:type="dxa"/>
            <w:noWrap w:val="0"/>
            <w:vAlign w:val="top"/>
          </w:tcPr>
          <w:p w14:paraId="04A62F16">
            <w:pPr>
              <w:spacing w:line="360" w:lineRule="auto"/>
              <w:jc w:val="center"/>
              <w:rPr>
                <w:rFonts w:hint="eastAsia" w:ascii="宋体" w:hAnsi="宋体" w:eastAsia="宋体" w:cs="宋体"/>
                <w:color w:val="auto"/>
                <w:highlight w:val="none"/>
              </w:rPr>
            </w:pPr>
          </w:p>
        </w:tc>
        <w:tc>
          <w:tcPr>
            <w:tcW w:w="1608" w:type="dxa"/>
            <w:gridSpan w:val="3"/>
            <w:noWrap w:val="0"/>
            <w:vAlign w:val="top"/>
          </w:tcPr>
          <w:p w14:paraId="0CF02230">
            <w:pPr>
              <w:spacing w:line="360" w:lineRule="auto"/>
              <w:jc w:val="center"/>
              <w:rPr>
                <w:rFonts w:hint="eastAsia" w:ascii="宋体" w:hAnsi="宋体" w:eastAsia="宋体" w:cs="宋体"/>
                <w:color w:val="auto"/>
                <w:highlight w:val="none"/>
              </w:rPr>
            </w:pPr>
          </w:p>
        </w:tc>
        <w:tc>
          <w:tcPr>
            <w:tcW w:w="1608" w:type="dxa"/>
            <w:gridSpan w:val="2"/>
            <w:noWrap w:val="0"/>
            <w:vAlign w:val="top"/>
          </w:tcPr>
          <w:p w14:paraId="44BEB5DF">
            <w:pPr>
              <w:spacing w:line="360" w:lineRule="auto"/>
              <w:jc w:val="center"/>
              <w:rPr>
                <w:rFonts w:hint="eastAsia" w:ascii="宋体" w:hAnsi="宋体" w:eastAsia="宋体" w:cs="宋体"/>
                <w:color w:val="auto"/>
                <w:highlight w:val="none"/>
              </w:rPr>
            </w:pPr>
          </w:p>
        </w:tc>
        <w:tc>
          <w:tcPr>
            <w:tcW w:w="1206" w:type="dxa"/>
            <w:gridSpan w:val="3"/>
            <w:noWrap w:val="0"/>
            <w:vAlign w:val="top"/>
          </w:tcPr>
          <w:p w14:paraId="51CC0820">
            <w:pPr>
              <w:spacing w:line="360" w:lineRule="auto"/>
              <w:jc w:val="center"/>
              <w:rPr>
                <w:rFonts w:hint="eastAsia" w:ascii="宋体" w:hAnsi="宋体" w:eastAsia="宋体" w:cs="宋体"/>
                <w:color w:val="auto"/>
                <w:highlight w:val="none"/>
              </w:rPr>
            </w:pPr>
          </w:p>
        </w:tc>
        <w:tc>
          <w:tcPr>
            <w:tcW w:w="1206" w:type="dxa"/>
            <w:tcBorders>
              <w:right w:val="single" w:color="auto" w:sz="8" w:space="0"/>
            </w:tcBorders>
            <w:noWrap w:val="0"/>
            <w:vAlign w:val="top"/>
          </w:tcPr>
          <w:p w14:paraId="73F556D6">
            <w:pPr>
              <w:spacing w:line="360" w:lineRule="auto"/>
              <w:jc w:val="center"/>
              <w:rPr>
                <w:rFonts w:hint="eastAsia" w:ascii="宋体" w:hAnsi="宋体" w:eastAsia="宋体" w:cs="宋体"/>
                <w:color w:val="auto"/>
                <w:highlight w:val="none"/>
              </w:rPr>
            </w:pPr>
          </w:p>
        </w:tc>
      </w:tr>
      <w:tr w14:paraId="0B3CA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tcBorders>
              <w:left w:val="single" w:color="auto" w:sz="8" w:space="0"/>
            </w:tcBorders>
            <w:noWrap w:val="0"/>
            <w:vAlign w:val="top"/>
          </w:tcPr>
          <w:p w14:paraId="2F88CD1A">
            <w:pPr>
              <w:spacing w:line="360" w:lineRule="auto"/>
              <w:jc w:val="center"/>
              <w:rPr>
                <w:rFonts w:hint="eastAsia" w:ascii="宋体" w:hAnsi="宋体" w:eastAsia="宋体" w:cs="宋体"/>
                <w:color w:val="auto"/>
                <w:highlight w:val="none"/>
              </w:rPr>
            </w:pPr>
          </w:p>
        </w:tc>
        <w:tc>
          <w:tcPr>
            <w:tcW w:w="1608" w:type="dxa"/>
            <w:noWrap w:val="0"/>
            <w:vAlign w:val="top"/>
          </w:tcPr>
          <w:p w14:paraId="033CF6FC">
            <w:pPr>
              <w:spacing w:line="360" w:lineRule="auto"/>
              <w:jc w:val="center"/>
              <w:rPr>
                <w:rFonts w:hint="eastAsia" w:ascii="宋体" w:hAnsi="宋体" w:eastAsia="宋体" w:cs="宋体"/>
                <w:color w:val="auto"/>
                <w:highlight w:val="none"/>
              </w:rPr>
            </w:pPr>
          </w:p>
        </w:tc>
        <w:tc>
          <w:tcPr>
            <w:tcW w:w="1608" w:type="dxa"/>
            <w:gridSpan w:val="3"/>
            <w:noWrap w:val="0"/>
            <w:vAlign w:val="top"/>
          </w:tcPr>
          <w:p w14:paraId="11C02353">
            <w:pPr>
              <w:spacing w:line="360" w:lineRule="auto"/>
              <w:jc w:val="center"/>
              <w:rPr>
                <w:rFonts w:hint="eastAsia" w:ascii="宋体" w:hAnsi="宋体" w:eastAsia="宋体" w:cs="宋体"/>
                <w:color w:val="auto"/>
                <w:highlight w:val="none"/>
              </w:rPr>
            </w:pPr>
          </w:p>
        </w:tc>
        <w:tc>
          <w:tcPr>
            <w:tcW w:w="1608" w:type="dxa"/>
            <w:gridSpan w:val="2"/>
            <w:noWrap w:val="0"/>
            <w:vAlign w:val="top"/>
          </w:tcPr>
          <w:p w14:paraId="47476912">
            <w:pPr>
              <w:spacing w:line="360" w:lineRule="auto"/>
              <w:jc w:val="center"/>
              <w:rPr>
                <w:rFonts w:hint="eastAsia" w:ascii="宋体" w:hAnsi="宋体" w:eastAsia="宋体" w:cs="宋体"/>
                <w:color w:val="auto"/>
                <w:highlight w:val="none"/>
              </w:rPr>
            </w:pPr>
          </w:p>
        </w:tc>
        <w:tc>
          <w:tcPr>
            <w:tcW w:w="1206" w:type="dxa"/>
            <w:gridSpan w:val="3"/>
            <w:noWrap w:val="0"/>
            <w:vAlign w:val="top"/>
          </w:tcPr>
          <w:p w14:paraId="72290CD4">
            <w:pPr>
              <w:spacing w:line="360" w:lineRule="auto"/>
              <w:jc w:val="center"/>
              <w:rPr>
                <w:rFonts w:hint="eastAsia" w:ascii="宋体" w:hAnsi="宋体" w:eastAsia="宋体" w:cs="宋体"/>
                <w:color w:val="auto"/>
                <w:highlight w:val="none"/>
              </w:rPr>
            </w:pPr>
          </w:p>
        </w:tc>
        <w:tc>
          <w:tcPr>
            <w:tcW w:w="1206" w:type="dxa"/>
            <w:tcBorders>
              <w:right w:val="single" w:color="auto" w:sz="8" w:space="0"/>
            </w:tcBorders>
            <w:noWrap w:val="0"/>
            <w:vAlign w:val="top"/>
          </w:tcPr>
          <w:p w14:paraId="2E50A4B5">
            <w:pPr>
              <w:spacing w:line="360" w:lineRule="auto"/>
              <w:jc w:val="center"/>
              <w:rPr>
                <w:rFonts w:hint="eastAsia" w:ascii="宋体" w:hAnsi="宋体" w:eastAsia="宋体" w:cs="宋体"/>
                <w:color w:val="auto"/>
                <w:highlight w:val="none"/>
              </w:rPr>
            </w:pPr>
          </w:p>
        </w:tc>
      </w:tr>
      <w:tr w14:paraId="170F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tcBorders>
              <w:left w:val="single" w:color="auto" w:sz="8" w:space="0"/>
            </w:tcBorders>
            <w:noWrap w:val="0"/>
            <w:vAlign w:val="top"/>
          </w:tcPr>
          <w:p w14:paraId="10B05B99">
            <w:pPr>
              <w:spacing w:line="360" w:lineRule="auto"/>
              <w:jc w:val="center"/>
              <w:rPr>
                <w:rFonts w:hint="eastAsia" w:ascii="宋体" w:hAnsi="宋体" w:eastAsia="宋体" w:cs="宋体"/>
                <w:color w:val="auto"/>
                <w:highlight w:val="none"/>
              </w:rPr>
            </w:pPr>
          </w:p>
        </w:tc>
        <w:tc>
          <w:tcPr>
            <w:tcW w:w="1608" w:type="dxa"/>
            <w:noWrap w:val="0"/>
            <w:vAlign w:val="top"/>
          </w:tcPr>
          <w:p w14:paraId="13EAC702">
            <w:pPr>
              <w:spacing w:line="360" w:lineRule="auto"/>
              <w:jc w:val="center"/>
              <w:rPr>
                <w:rFonts w:hint="eastAsia" w:ascii="宋体" w:hAnsi="宋体" w:eastAsia="宋体" w:cs="宋体"/>
                <w:color w:val="auto"/>
                <w:highlight w:val="none"/>
              </w:rPr>
            </w:pPr>
          </w:p>
        </w:tc>
        <w:tc>
          <w:tcPr>
            <w:tcW w:w="1608" w:type="dxa"/>
            <w:gridSpan w:val="3"/>
            <w:noWrap w:val="0"/>
            <w:vAlign w:val="top"/>
          </w:tcPr>
          <w:p w14:paraId="7EE0ACE2">
            <w:pPr>
              <w:spacing w:line="360" w:lineRule="auto"/>
              <w:jc w:val="center"/>
              <w:rPr>
                <w:rFonts w:hint="eastAsia" w:ascii="宋体" w:hAnsi="宋体" w:eastAsia="宋体" w:cs="宋体"/>
                <w:color w:val="auto"/>
                <w:highlight w:val="none"/>
              </w:rPr>
            </w:pPr>
          </w:p>
        </w:tc>
        <w:tc>
          <w:tcPr>
            <w:tcW w:w="1608" w:type="dxa"/>
            <w:gridSpan w:val="2"/>
            <w:noWrap w:val="0"/>
            <w:vAlign w:val="top"/>
          </w:tcPr>
          <w:p w14:paraId="188508C6">
            <w:pPr>
              <w:spacing w:line="360" w:lineRule="auto"/>
              <w:jc w:val="center"/>
              <w:rPr>
                <w:rFonts w:hint="eastAsia" w:ascii="宋体" w:hAnsi="宋体" w:eastAsia="宋体" w:cs="宋体"/>
                <w:color w:val="auto"/>
                <w:highlight w:val="none"/>
              </w:rPr>
            </w:pPr>
          </w:p>
        </w:tc>
        <w:tc>
          <w:tcPr>
            <w:tcW w:w="1206" w:type="dxa"/>
            <w:gridSpan w:val="3"/>
            <w:noWrap w:val="0"/>
            <w:vAlign w:val="top"/>
          </w:tcPr>
          <w:p w14:paraId="43B00C6F">
            <w:pPr>
              <w:spacing w:line="360" w:lineRule="auto"/>
              <w:jc w:val="center"/>
              <w:rPr>
                <w:rFonts w:hint="eastAsia" w:ascii="宋体" w:hAnsi="宋体" w:eastAsia="宋体" w:cs="宋体"/>
                <w:color w:val="auto"/>
                <w:highlight w:val="none"/>
              </w:rPr>
            </w:pPr>
          </w:p>
        </w:tc>
        <w:tc>
          <w:tcPr>
            <w:tcW w:w="1206" w:type="dxa"/>
            <w:tcBorders>
              <w:right w:val="single" w:color="auto" w:sz="8" w:space="0"/>
            </w:tcBorders>
            <w:noWrap w:val="0"/>
            <w:vAlign w:val="top"/>
          </w:tcPr>
          <w:p w14:paraId="77D31FD7">
            <w:pPr>
              <w:spacing w:line="360" w:lineRule="auto"/>
              <w:jc w:val="center"/>
              <w:rPr>
                <w:rFonts w:hint="eastAsia" w:ascii="宋体" w:hAnsi="宋体" w:eastAsia="宋体" w:cs="宋体"/>
                <w:color w:val="auto"/>
                <w:highlight w:val="none"/>
              </w:rPr>
            </w:pPr>
          </w:p>
        </w:tc>
      </w:tr>
      <w:tr w14:paraId="637C1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tcBorders>
              <w:left w:val="single" w:color="auto" w:sz="8" w:space="0"/>
            </w:tcBorders>
            <w:noWrap w:val="0"/>
            <w:vAlign w:val="top"/>
          </w:tcPr>
          <w:p w14:paraId="641C6988">
            <w:pPr>
              <w:spacing w:line="360" w:lineRule="auto"/>
              <w:jc w:val="center"/>
              <w:rPr>
                <w:rFonts w:hint="eastAsia" w:ascii="宋体" w:hAnsi="宋体" w:eastAsia="宋体" w:cs="宋体"/>
                <w:color w:val="auto"/>
                <w:highlight w:val="none"/>
              </w:rPr>
            </w:pPr>
          </w:p>
        </w:tc>
        <w:tc>
          <w:tcPr>
            <w:tcW w:w="1608" w:type="dxa"/>
            <w:noWrap w:val="0"/>
            <w:vAlign w:val="top"/>
          </w:tcPr>
          <w:p w14:paraId="2292DA20">
            <w:pPr>
              <w:spacing w:line="360" w:lineRule="auto"/>
              <w:jc w:val="center"/>
              <w:rPr>
                <w:rFonts w:hint="eastAsia" w:ascii="宋体" w:hAnsi="宋体" w:eastAsia="宋体" w:cs="宋体"/>
                <w:color w:val="auto"/>
                <w:highlight w:val="none"/>
              </w:rPr>
            </w:pPr>
          </w:p>
        </w:tc>
        <w:tc>
          <w:tcPr>
            <w:tcW w:w="1608" w:type="dxa"/>
            <w:gridSpan w:val="3"/>
            <w:noWrap w:val="0"/>
            <w:vAlign w:val="top"/>
          </w:tcPr>
          <w:p w14:paraId="52402DDD">
            <w:pPr>
              <w:spacing w:line="360" w:lineRule="auto"/>
              <w:jc w:val="center"/>
              <w:rPr>
                <w:rFonts w:hint="eastAsia" w:ascii="宋体" w:hAnsi="宋体" w:eastAsia="宋体" w:cs="宋体"/>
                <w:color w:val="auto"/>
                <w:highlight w:val="none"/>
              </w:rPr>
            </w:pPr>
          </w:p>
        </w:tc>
        <w:tc>
          <w:tcPr>
            <w:tcW w:w="1608" w:type="dxa"/>
            <w:gridSpan w:val="2"/>
            <w:noWrap w:val="0"/>
            <w:vAlign w:val="top"/>
          </w:tcPr>
          <w:p w14:paraId="761B6AAC">
            <w:pPr>
              <w:spacing w:line="360" w:lineRule="auto"/>
              <w:jc w:val="center"/>
              <w:rPr>
                <w:rFonts w:hint="eastAsia" w:ascii="宋体" w:hAnsi="宋体" w:eastAsia="宋体" w:cs="宋体"/>
                <w:color w:val="auto"/>
                <w:highlight w:val="none"/>
              </w:rPr>
            </w:pPr>
          </w:p>
        </w:tc>
        <w:tc>
          <w:tcPr>
            <w:tcW w:w="1206" w:type="dxa"/>
            <w:gridSpan w:val="3"/>
            <w:noWrap w:val="0"/>
            <w:vAlign w:val="top"/>
          </w:tcPr>
          <w:p w14:paraId="6D7F616D">
            <w:pPr>
              <w:spacing w:line="360" w:lineRule="auto"/>
              <w:jc w:val="center"/>
              <w:rPr>
                <w:rFonts w:hint="eastAsia" w:ascii="宋体" w:hAnsi="宋体" w:eastAsia="宋体" w:cs="宋体"/>
                <w:color w:val="auto"/>
                <w:highlight w:val="none"/>
              </w:rPr>
            </w:pPr>
          </w:p>
        </w:tc>
        <w:tc>
          <w:tcPr>
            <w:tcW w:w="1206" w:type="dxa"/>
            <w:tcBorders>
              <w:right w:val="single" w:color="auto" w:sz="8" w:space="0"/>
            </w:tcBorders>
            <w:noWrap w:val="0"/>
            <w:vAlign w:val="top"/>
          </w:tcPr>
          <w:p w14:paraId="64091A1F">
            <w:pPr>
              <w:spacing w:line="360" w:lineRule="auto"/>
              <w:jc w:val="center"/>
              <w:rPr>
                <w:rFonts w:hint="eastAsia" w:ascii="宋体" w:hAnsi="宋体" w:eastAsia="宋体" w:cs="宋体"/>
                <w:color w:val="auto"/>
                <w:highlight w:val="none"/>
              </w:rPr>
            </w:pPr>
          </w:p>
        </w:tc>
      </w:tr>
      <w:tr w14:paraId="4D85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tcBorders>
              <w:left w:val="single" w:color="auto" w:sz="8" w:space="0"/>
            </w:tcBorders>
            <w:noWrap w:val="0"/>
            <w:vAlign w:val="top"/>
          </w:tcPr>
          <w:p w14:paraId="11027FF0">
            <w:pPr>
              <w:spacing w:line="360" w:lineRule="auto"/>
              <w:jc w:val="center"/>
              <w:rPr>
                <w:rFonts w:hint="eastAsia" w:ascii="宋体" w:hAnsi="宋体" w:eastAsia="宋体" w:cs="宋体"/>
                <w:color w:val="auto"/>
                <w:highlight w:val="none"/>
              </w:rPr>
            </w:pPr>
          </w:p>
        </w:tc>
        <w:tc>
          <w:tcPr>
            <w:tcW w:w="1608" w:type="dxa"/>
            <w:noWrap w:val="0"/>
            <w:vAlign w:val="top"/>
          </w:tcPr>
          <w:p w14:paraId="014ADE36">
            <w:pPr>
              <w:spacing w:line="360" w:lineRule="auto"/>
              <w:jc w:val="center"/>
              <w:rPr>
                <w:rFonts w:hint="eastAsia" w:ascii="宋体" w:hAnsi="宋体" w:eastAsia="宋体" w:cs="宋体"/>
                <w:color w:val="auto"/>
                <w:highlight w:val="none"/>
              </w:rPr>
            </w:pPr>
          </w:p>
        </w:tc>
        <w:tc>
          <w:tcPr>
            <w:tcW w:w="1608" w:type="dxa"/>
            <w:gridSpan w:val="3"/>
            <w:noWrap w:val="0"/>
            <w:vAlign w:val="top"/>
          </w:tcPr>
          <w:p w14:paraId="2DC1A09E">
            <w:pPr>
              <w:spacing w:line="360" w:lineRule="auto"/>
              <w:jc w:val="center"/>
              <w:rPr>
                <w:rFonts w:hint="eastAsia" w:ascii="宋体" w:hAnsi="宋体" w:eastAsia="宋体" w:cs="宋体"/>
                <w:color w:val="auto"/>
                <w:highlight w:val="none"/>
              </w:rPr>
            </w:pPr>
          </w:p>
        </w:tc>
        <w:tc>
          <w:tcPr>
            <w:tcW w:w="1608" w:type="dxa"/>
            <w:gridSpan w:val="2"/>
            <w:noWrap w:val="0"/>
            <w:vAlign w:val="top"/>
          </w:tcPr>
          <w:p w14:paraId="02F54287">
            <w:pPr>
              <w:spacing w:line="360" w:lineRule="auto"/>
              <w:jc w:val="center"/>
              <w:rPr>
                <w:rFonts w:hint="eastAsia" w:ascii="宋体" w:hAnsi="宋体" w:eastAsia="宋体" w:cs="宋体"/>
                <w:color w:val="auto"/>
                <w:highlight w:val="none"/>
              </w:rPr>
            </w:pPr>
          </w:p>
        </w:tc>
        <w:tc>
          <w:tcPr>
            <w:tcW w:w="1206" w:type="dxa"/>
            <w:gridSpan w:val="3"/>
            <w:noWrap w:val="0"/>
            <w:vAlign w:val="top"/>
          </w:tcPr>
          <w:p w14:paraId="587BB701">
            <w:pPr>
              <w:spacing w:line="360" w:lineRule="auto"/>
              <w:jc w:val="center"/>
              <w:rPr>
                <w:rFonts w:hint="eastAsia" w:ascii="宋体" w:hAnsi="宋体" w:eastAsia="宋体" w:cs="宋体"/>
                <w:color w:val="auto"/>
                <w:highlight w:val="none"/>
              </w:rPr>
            </w:pPr>
          </w:p>
        </w:tc>
        <w:tc>
          <w:tcPr>
            <w:tcW w:w="1206" w:type="dxa"/>
            <w:tcBorders>
              <w:right w:val="single" w:color="auto" w:sz="8" w:space="0"/>
            </w:tcBorders>
            <w:noWrap w:val="0"/>
            <w:vAlign w:val="top"/>
          </w:tcPr>
          <w:p w14:paraId="6C581EBF">
            <w:pPr>
              <w:spacing w:line="360" w:lineRule="auto"/>
              <w:jc w:val="center"/>
              <w:rPr>
                <w:rFonts w:hint="eastAsia" w:ascii="宋体" w:hAnsi="宋体" w:eastAsia="宋体" w:cs="宋体"/>
                <w:color w:val="auto"/>
                <w:highlight w:val="none"/>
              </w:rPr>
            </w:pPr>
          </w:p>
        </w:tc>
      </w:tr>
      <w:tr w14:paraId="18F8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tcBorders>
              <w:left w:val="single" w:color="auto" w:sz="8" w:space="0"/>
            </w:tcBorders>
            <w:noWrap w:val="0"/>
            <w:vAlign w:val="top"/>
          </w:tcPr>
          <w:p w14:paraId="452256F1">
            <w:pPr>
              <w:spacing w:line="360" w:lineRule="auto"/>
              <w:jc w:val="center"/>
              <w:rPr>
                <w:rFonts w:hint="eastAsia" w:ascii="宋体" w:hAnsi="宋体" w:eastAsia="宋体" w:cs="宋体"/>
                <w:color w:val="auto"/>
                <w:highlight w:val="none"/>
              </w:rPr>
            </w:pPr>
          </w:p>
        </w:tc>
        <w:tc>
          <w:tcPr>
            <w:tcW w:w="1608" w:type="dxa"/>
            <w:noWrap w:val="0"/>
            <w:vAlign w:val="top"/>
          </w:tcPr>
          <w:p w14:paraId="6F1A89D8">
            <w:pPr>
              <w:spacing w:line="360" w:lineRule="auto"/>
              <w:jc w:val="center"/>
              <w:rPr>
                <w:rFonts w:hint="eastAsia" w:ascii="宋体" w:hAnsi="宋体" w:eastAsia="宋体" w:cs="宋体"/>
                <w:color w:val="auto"/>
                <w:highlight w:val="none"/>
              </w:rPr>
            </w:pPr>
          </w:p>
        </w:tc>
        <w:tc>
          <w:tcPr>
            <w:tcW w:w="1608" w:type="dxa"/>
            <w:gridSpan w:val="3"/>
            <w:noWrap w:val="0"/>
            <w:vAlign w:val="top"/>
          </w:tcPr>
          <w:p w14:paraId="696C7EC5">
            <w:pPr>
              <w:spacing w:line="360" w:lineRule="auto"/>
              <w:jc w:val="center"/>
              <w:rPr>
                <w:rFonts w:hint="eastAsia" w:ascii="宋体" w:hAnsi="宋体" w:eastAsia="宋体" w:cs="宋体"/>
                <w:color w:val="auto"/>
                <w:highlight w:val="none"/>
              </w:rPr>
            </w:pPr>
          </w:p>
        </w:tc>
        <w:tc>
          <w:tcPr>
            <w:tcW w:w="1608" w:type="dxa"/>
            <w:gridSpan w:val="2"/>
            <w:noWrap w:val="0"/>
            <w:vAlign w:val="top"/>
          </w:tcPr>
          <w:p w14:paraId="67EB9308">
            <w:pPr>
              <w:spacing w:line="360" w:lineRule="auto"/>
              <w:jc w:val="center"/>
              <w:rPr>
                <w:rFonts w:hint="eastAsia" w:ascii="宋体" w:hAnsi="宋体" w:eastAsia="宋体" w:cs="宋体"/>
                <w:color w:val="auto"/>
                <w:highlight w:val="none"/>
              </w:rPr>
            </w:pPr>
          </w:p>
        </w:tc>
        <w:tc>
          <w:tcPr>
            <w:tcW w:w="1206" w:type="dxa"/>
            <w:gridSpan w:val="3"/>
            <w:noWrap w:val="0"/>
            <w:vAlign w:val="top"/>
          </w:tcPr>
          <w:p w14:paraId="4A5170A5">
            <w:pPr>
              <w:spacing w:line="360" w:lineRule="auto"/>
              <w:jc w:val="center"/>
              <w:rPr>
                <w:rFonts w:hint="eastAsia" w:ascii="宋体" w:hAnsi="宋体" w:eastAsia="宋体" w:cs="宋体"/>
                <w:color w:val="auto"/>
                <w:highlight w:val="none"/>
              </w:rPr>
            </w:pPr>
          </w:p>
        </w:tc>
        <w:tc>
          <w:tcPr>
            <w:tcW w:w="1206" w:type="dxa"/>
            <w:tcBorders>
              <w:right w:val="single" w:color="auto" w:sz="8" w:space="0"/>
            </w:tcBorders>
            <w:noWrap w:val="0"/>
            <w:vAlign w:val="top"/>
          </w:tcPr>
          <w:p w14:paraId="46C6D96D">
            <w:pPr>
              <w:spacing w:line="360" w:lineRule="auto"/>
              <w:jc w:val="center"/>
              <w:rPr>
                <w:rFonts w:hint="eastAsia" w:ascii="宋体" w:hAnsi="宋体" w:eastAsia="宋体" w:cs="宋体"/>
                <w:color w:val="auto"/>
                <w:highlight w:val="none"/>
              </w:rPr>
            </w:pPr>
          </w:p>
        </w:tc>
      </w:tr>
      <w:tr w14:paraId="4C357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tcBorders>
              <w:left w:val="single" w:color="auto" w:sz="8" w:space="0"/>
              <w:bottom w:val="single" w:color="auto" w:sz="8" w:space="0"/>
            </w:tcBorders>
            <w:noWrap w:val="0"/>
            <w:vAlign w:val="top"/>
          </w:tcPr>
          <w:p w14:paraId="0C7EBD84">
            <w:pPr>
              <w:spacing w:line="360" w:lineRule="auto"/>
              <w:jc w:val="center"/>
              <w:rPr>
                <w:rFonts w:hint="eastAsia" w:ascii="宋体" w:hAnsi="宋体" w:eastAsia="宋体" w:cs="宋体"/>
                <w:color w:val="auto"/>
                <w:highlight w:val="none"/>
              </w:rPr>
            </w:pPr>
          </w:p>
        </w:tc>
        <w:tc>
          <w:tcPr>
            <w:tcW w:w="1608" w:type="dxa"/>
            <w:tcBorders>
              <w:bottom w:val="single" w:color="auto" w:sz="8" w:space="0"/>
            </w:tcBorders>
            <w:noWrap w:val="0"/>
            <w:vAlign w:val="top"/>
          </w:tcPr>
          <w:p w14:paraId="0A14866D">
            <w:pPr>
              <w:spacing w:line="360" w:lineRule="auto"/>
              <w:jc w:val="center"/>
              <w:rPr>
                <w:rFonts w:hint="eastAsia" w:ascii="宋体" w:hAnsi="宋体" w:eastAsia="宋体" w:cs="宋体"/>
                <w:color w:val="auto"/>
                <w:highlight w:val="none"/>
              </w:rPr>
            </w:pPr>
          </w:p>
        </w:tc>
        <w:tc>
          <w:tcPr>
            <w:tcW w:w="1608" w:type="dxa"/>
            <w:gridSpan w:val="3"/>
            <w:tcBorders>
              <w:bottom w:val="single" w:color="auto" w:sz="8" w:space="0"/>
            </w:tcBorders>
            <w:noWrap w:val="0"/>
            <w:vAlign w:val="top"/>
          </w:tcPr>
          <w:p w14:paraId="59C8FDFA">
            <w:pPr>
              <w:spacing w:line="360" w:lineRule="auto"/>
              <w:jc w:val="center"/>
              <w:rPr>
                <w:rFonts w:hint="eastAsia" w:ascii="宋体" w:hAnsi="宋体" w:eastAsia="宋体" w:cs="宋体"/>
                <w:color w:val="auto"/>
                <w:highlight w:val="none"/>
              </w:rPr>
            </w:pPr>
          </w:p>
        </w:tc>
        <w:tc>
          <w:tcPr>
            <w:tcW w:w="1608" w:type="dxa"/>
            <w:gridSpan w:val="2"/>
            <w:tcBorders>
              <w:bottom w:val="single" w:color="auto" w:sz="8" w:space="0"/>
            </w:tcBorders>
            <w:noWrap w:val="0"/>
            <w:vAlign w:val="top"/>
          </w:tcPr>
          <w:p w14:paraId="3B277676">
            <w:pPr>
              <w:spacing w:line="360" w:lineRule="auto"/>
              <w:jc w:val="center"/>
              <w:rPr>
                <w:rFonts w:hint="eastAsia" w:ascii="宋体" w:hAnsi="宋体" w:eastAsia="宋体" w:cs="宋体"/>
                <w:color w:val="auto"/>
                <w:highlight w:val="none"/>
              </w:rPr>
            </w:pPr>
          </w:p>
        </w:tc>
        <w:tc>
          <w:tcPr>
            <w:tcW w:w="1206" w:type="dxa"/>
            <w:gridSpan w:val="3"/>
            <w:tcBorders>
              <w:bottom w:val="single" w:color="auto" w:sz="8" w:space="0"/>
            </w:tcBorders>
            <w:noWrap w:val="0"/>
            <w:vAlign w:val="top"/>
          </w:tcPr>
          <w:p w14:paraId="45761853">
            <w:pPr>
              <w:spacing w:line="360" w:lineRule="auto"/>
              <w:jc w:val="center"/>
              <w:rPr>
                <w:rFonts w:hint="eastAsia" w:ascii="宋体" w:hAnsi="宋体" w:eastAsia="宋体" w:cs="宋体"/>
                <w:color w:val="auto"/>
                <w:highlight w:val="none"/>
              </w:rPr>
            </w:pPr>
          </w:p>
        </w:tc>
        <w:tc>
          <w:tcPr>
            <w:tcW w:w="1206" w:type="dxa"/>
            <w:tcBorders>
              <w:bottom w:val="single" w:color="auto" w:sz="8" w:space="0"/>
              <w:right w:val="single" w:color="auto" w:sz="8" w:space="0"/>
            </w:tcBorders>
            <w:noWrap w:val="0"/>
            <w:vAlign w:val="top"/>
          </w:tcPr>
          <w:p w14:paraId="34459969">
            <w:pPr>
              <w:spacing w:line="360" w:lineRule="auto"/>
              <w:jc w:val="center"/>
              <w:rPr>
                <w:rFonts w:hint="eastAsia" w:ascii="宋体" w:hAnsi="宋体" w:eastAsia="宋体" w:cs="宋体"/>
                <w:color w:val="auto"/>
                <w:highlight w:val="none"/>
              </w:rPr>
            </w:pPr>
          </w:p>
        </w:tc>
      </w:tr>
    </w:tbl>
    <w:p w14:paraId="49C9671B">
      <w:pPr>
        <w:snapToGrid w:val="0"/>
        <w:spacing w:line="360" w:lineRule="auto"/>
        <w:outlineLvl w:val="4"/>
        <w:rPr>
          <w:rFonts w:hint="eastAsia" w:ascii="宋体" w:hAnsi="宋体" w:eastAsia="宋体" w:cs="宋体"/>
          <w:b/>
          <w:color w:val="auto"/>
          <w:sz w:val="24"/>
          <w:highlight w:val="none"/>
        </w:rPr>
      </w:pPr>
    </w:p>
    <w:p w14:paraId="51FE543E">
      <w:pPr>
        <w:widowControl/>
        <w:spacing w:line="360" w:lineRule="auto"/>
        <w:ind w:firstLine="3092" w:firstLineChars="1100"/>
        <w:jc w:val="left"/>
        <w:rPr>
          <w:rFonts w:hint="eastAsia" w:ascii="宋体" w:hAnsi="宋体" w:eastAsia="宋体" w:cs="宋体"/>
          <w:b/>
          <w:color w:val="auto"/>
          <w:kern w:val="0"/>
          <w:sz w:val="28"/>
          <w:szCs w:val="28"/>
          <w:highlight w:val="none"/>
          <w:lang w:bidi="ar"/>
        </w:rPr>
      </w:pPr>
    </w:p>
    <w:p w14:paraId="21ECC51B">
      <w:pPr>
        <w:widowControl/>
        <w:spacing w:line="360" w:lineRule="auto"/>
        <w:ind w:firstLine="1470" w:firstLineChars="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磋商供应商[公章(CA签章)，自然人签字或个人CA签章]：</w:t>
      </w:r>
      <w:r>
        <w:rPr>
          <w:rFonts w:hint="eastAsia" w:ascii="宋体" w:hAnsi="宋体" w:eastAsia="宋体" w:cs="宋体"/>
          <w:color w:val="auto"/>
          <w:szCs w:val="21"/>
          <w:highlight w:val="none"/>
          <w:u w:val="single"/>
        </w:rPr>
        <w:t xml:space="preserve">                                                       </w:t>
      </w:r>
    </w:p>
    <w:p w14:paraId="38A9C7F4">
      <w:pPr>
        <w:pStyle w:val="22"/>
        <w:spacing w:line="360" w:lineRule="auto"/>
        <w:ind w:left="2940" w:leftChars="1400" w:firstLine="630" w:firstLineChars="300"/>
        <w:rPr>
          <w:rFonts w:hint="eastAsia" w:ascii="宋体" w:hAnsi="宋体" w:eastAsia="宋体" w:cs="宋体"/>
          <w:color w:val="auto"/>
          <w:highlight w:val="none"/>
        </w:rPr>
      </w:pPr>
    </w:p>
    <w:p w14:paraId="4FFF2EDF">
      <w:pPr>
        <w:pStyle w:val="22"/>
        <w:spacing w:line="360" w:lineRule="auto"/>
        <w:ind w:firstLine="4638" w:firstLineChars="165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p>
    <w:p w14:paraId="2CBAFDEE">
      <w:pPr>
        <w:pStyle w:val="22"/>
        <w:spacing w:line="360" w:lineRule="auto"/>
        <w:rPr>
          <w:rFonts w:hint="eastAsia" w:ascii="宋体" w:hAnsi="宋体" w:eastAsia="宋体" w:cs="宋体"/>
          <w:b/>
          <w:color w:val="auto"/>
          <w:sz w:val="28"/>
          <w:szCs w:val="28"/>
          <w:highlight w:val="none"/>
        </w:rPr>
      </w:pPr>
    </w:p>
    <w:p w14:paraId="0463D61B">
      <w:pPr>
        <w:snapToGrid w:val="0"/>
        <w:spacing w:line="360" w:lineRule="auto"/>
        <w:ind w:firstLine="4830" w:firstLineChars="2300"/>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02FAFB7E">
      <w:pPr>
        <w:snapToGrid w:val="0"/>
        <w:spacing w:line="360" w:lineRule="auto"/>
        <w:ind w:firstLine="3570" w:firstLineChars="1700"/>
        <w:rPr>
          <w:rFonts w:hint="eastAsia" w:ascii="宋体" w:hAnsi="宋体" w:eastAsia="宋体" w:cs="宋体"/>
          <w:color w:val="auto"/>
          <w:highlight w:val="none"/>
          <w:u w:val="single"/>
        </w:rPr>
      </w:pPr>
    </w:p>
    <w:p w14:paraId="73D53B31">
      <w:pPr>
        <w:pStyle w:val="2"/>
        <w:spacing w:line="360" w:lineRule="auto"/>
        <w:rPr>
          <w:rFonts w:hint="eastAsia" w:ascii="宋体" w:hAnsi="宋体" w:eastAsia="宋体" w:cs="宋体"/>
          <w:color w:val="auto"/>
          <w:highlight w:val="none"/>
          <w:u w:val="single"/>
        </w:rPr>
      </w:pPr>
    </w:p>
    <w:p w14:paraId="0D15384E">
      <w:pPr>
        <w:pStyle w:val="269"/>
        <w:rPr>
          <w:rFonts w:hint="eastAsia" w:ascii="宋体" w:hAnsi="宋体" w:eastAsia="宋体" w:cs="宋体"/>
          <w:color w:val="auto"/>
          <w:highlight w:val="none"/>
        </w:rPr>
      </w:pPr>
    </w:p>
    <w:p w14:paraId="592EEC6D">
      <w:pPr>
        <w:pStyle w:val="22"/>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6.施工组织方案（必须提供）；</w:t>
      </w:r>
    </w:p>
    <w:p w14:paraId="20AA6A43">
      <w:pPr>
        <w:snapToGrid w:val="0"/>
        <w:spacing w:line="360" w:lineRule="auto"/>
        <w:jc w:val="center"/>
        <w:outlineLvl w:val="4"/>
        <w:rPr>
          <w:rFonts w:hint="eastAsia" w:ascii="宋体" w:hAnsi="宋体" w:eastAsia="宋体" w:cs="宋体"/>
          <w:b/>
          <w:color w:val="auto"/>
          <w:sz w:val="24"/>
          <w:highlight w:val="none"/>
        </w:rPr>
      </w:pPr>
    </w:p>
    <w:p w14:paraId="3A066AA8">
      <w:pPr>
        <w:snapToGrid w:val="0"/>
        <w:spacing w:line="360" w:lineRule="auto"/>
        <w:jc w:val="center"/>
        <w:outlineLvl w:val="4"/>
        <w:rPr>
          <w:rFonts w:hint="eastAsia" w:ascii="宋体" w:hAnsi="宋体" w:eastAsia="宋体" w:cs="宋体"/>
          <w:color w:val="auto"/>
          <w:highlight w:val="none"/>
        </w:rPr>
      </w:pPr>
      <w:r>
        <w:rPr>
          <w:rFonts w:hint="eastAsia" w:ascii="宋体" w:hAnsi="宋体" w:eastAsia="宋体" w:cs="宋体"/>
          <w:b/>
          <w:color w:val="auto"/>
          <w:sz w:val="24"/>
          <w:highlight w:val="none"/>
        </w:rPr>
        <w:t>施工组织方案（格式）</w:t>
      </w:r>
    </w:p>
    <w:p w14:paraId="73E99A08">
      <w:pPr>
        <w:pStyle w:val="85"/>
        <w:spacing w:line="360" w:lineRule="auto"/>
        <w:ind w:firstLine="425"/>
        <w:rPr>
          <w:rFonts w:hint="eastAsia" w:ascii="宋体" w:hAnsi="宋体" w:eastAsia="宋体" w:cs="宋体"/>
          <w:color w:val="auto"/>
          <w:highlight w:val="none"/>
        </w:rPr>
      </w:pPr>
      <w:r>
        <w:rPr>
          <w:rFonts w:hint="eastAsia" w:ascii="宋体" w:hAnsi="宋体" w:eastAsia="宋体" w:cs="宋体"/>
          <w:color w:val="auto"/>
          <w:highlight w:val="none"/>
        </w:rPr>
        <w:t>1.  供应商编制施工组织的要求：</w:t>
      </w:r>
    </w:p>
    <w:p w14:paraId="14DF5F5E">
      <w:pPr>
        <w:pStyle w:val="85"/>
        <w:spacing w:line="360" w:lineRule="auto"/>
        <w:ind w:firstLine="425"/>
        <w:rPr>
          <w:rFonts w:hint="eastAsia" w:ascii="宋体" w:hAnsi="宋体" w:eastAsia="宋体" w:cs="宋体"/>
          <w:color w:val="auto"/>
          <w:highlight w:val="none"/>
        </w:rPr>
      </w:pPr>
      <w:r>
        <w:rPr>
          <w:rFonts w:hint="eastAsia" w:ascii="宋体" w:hAnsi="宋体" w:eastAsia="宋体" w:cs="宋体"/>
          <w:color w:val="auto"/>
          <w:highlight w:val="none"/>
        </w:rPr>
        <w:t>编制时应按以下章顺序采用文字并结合图表形式进行说明：</w:t>
      </w:r>
    </w:p>
    <w:p w14:paraId="2B7CE09A">
      <w:pPr>
        <w:pStyle w:val="85"/>
        <w:spacing w:line="360" w:lineRule="auto"/>
        <w:ind w:firstLine="425"/>
        <w:rPr>
          <w:rFonts w:hint="eastAsia" w:ascii="宋体" w:hAnsi="宋体" w:eastAsia="宋体" w:cs="宋体"/>
          <w:color w:val="auto"/>
          <w:highlight w:val="none"/>
        </w:rPr>
      </w:pPr>
      <w:r>
        <w:rPr>
          <w:rFonts w:hint="eastAsia" w:ascii="宋体" w:hAnsi="宋体" w:eastAsia="宋体" w:cs="宋体"/>
          <w:color w:val="auto"/>
          <w:highlight w:val="none"/>
        </w:rPr>
        <w:t>第一章 总体概述；</w:t>
      </w:r>
    </w:p>
    <w:p w14:paraId="4D109824">
      <w:pPr>
        <w:pStyle w:val="85"/>
        <w:spacing w:line="360" w:lineRule="auto"/>
        <w:ind w:firstLine="425"/>
        <w:rPr>
          <w:rFonts w:hint="eastAsia" w:ascii="宋体" w:hAnsi="宋体" w:eastAsia="宋体" w:cs="宋体"/>
          <w:color w:val="auto"/>
          <w:highlight w:val="none"/>
        </w:rPr>
      </w:pPr>
      <w:r>
        <w:rPr>
          <w:rFonts w:hint="eastAsia" w:ascii="宋体" w:hAnsi="宋体" w:eastAsia="宋体" w:cs="宋体"/>
          <w:color w:val="auto"/>
          <w:highlight w:val="none"/>
        </w:rPr>
        <w:t>第二章 主要施工方法；</w:t>
      </w:r>
    </w:p>
    <w:p w14:paraId="2D8BE160">
      <w:pPr>
        <w:pStyle w:val="85"/>
        <w:spacing w:line="360" w:lineRule="auto"/>
        <w:ind w:firstLine="425"/>
        <w:rPr>
          <w:rFonts w:hint="eastAsia" w:ascii="宋体" w:hAnsi="宋体" w:eastAsia="宋体" w:cs="宋体"/>
          <w:color w:val="auto"/>
          <w:highlight w:val="none"/>
        </w:rPr>
      </w:pPr>
      <w:r>
        <w:rPr>
          <w:rFonts w:hint="eastAsia" w:ascii="宋体" w:hAnsi="宋体" w:eastAsia="宋体" w:cs="宋体"/>
          <w:color w:val="auto"/>
          <w:highlight w:val="none"/>
        </w:rPr>
        <w:t>第三章 施工进度计划和各阶段进度的保证措施及违约责任承诺；</w:t>
      </w:r>
    </w:p>
    <w:p w14:paraId="22182F13">
      <w:pPr>
        <w:pStyle w:val="85"/>
        <w:spacing w:line="360" w:lineRule="auto"/>
        <w:ind w:firstLine="425"/>
        <w:rPr>
          <w:rFonts w:hint="eastAsia" w:ascii="宋体" w:hAnsi="宋体" w:eastAsia="宋体" w:cs="宋体"/>
          <w:color w:val="auto"/>
          <w:highlight w:val="none"/>
        </w:rPr>
      </w:pPr>
      <w:r>
        <w:rPr>
          <w:rFonts w:hint="eastAsia" w:ascii="宋体" w:hAnsi="宋体" w:eastAsia="宋体" w:cs="宋体"/>
          <w:color w:val="auto"/>
          <w:highlight w:val="none"/>
        </w:rPr>
        <w:t>第四章 劳动力和材料投入计划及其保证措施；</w:t>
      </w:r>
    </w:p>
    <w:p w14:paraId="1AFF118D">
      <w:pPr>
        <w:pStyle w:val="85"/>
        <w:spacing w:line="360" w:lineRule="auto"/>
        <w:ind w:firstLine="425"/>
        <w:rPr>
          <w:rFonts w:hint="eastAsia" w:ascii="宋体" w:hAnsi="宋体" w:eastAsia="宋体" w:cs="宋体"/>
          <w:color w:val="auto"/>
          <w:highlight w:val="none"/>
        </w:rPr>
      </w:pPr>
      <w:r>
        <w:rPr>
          <w:rFonts w:hint="eastAsia" w:ascii="宋体" w:hAnsi="宋体" w:eastAsia="宋体" w:cs="宋体"/>
          <w:color w:val="auto"/>
          <w:highlight w:val="none"/>
        </w:rPr>
        <w:t>第五章 施工平面布置和临时设施布置总体布置；</w:t>
      </w:r>
    </w:p>
    <w:p w14:paraId="137CC07F">
      <w:pPr>
        <w:pStyle w:val="85"/>
        <w:spacing w:line="360" w:lineRule="auto"/>
        <w:ind w:firstLine="425"/>
        <w:rPr>
          <w:rFonts w:hint="eastAsia" w:ascii="宋体" w:hAnsi="宋体" w:eastAsia="宋体" w:cs="宋体"/>
          <w:color w:val="auto"/>
          <w:highlight w:val="none"/>
        </w:rPr>
      </w:pPr>
      <w:r>
        <w:rPr>
          <w:rFonts w:hint="eastAsia" w:ascii="宋体" w:hAnsi="宋体" w:eastAsia="宋体" w:cs="宋体"/>
          <w:color w:val="auto"/>
          <w:highlight w:val="none"/>
        </w:rPr>
        <w:t>第六章 关键施工技术、工艺及工程实施的重点、难点和解决方案；</w:t>
      </w:r>
    </w:p>
    <w:p w14:paraId="41534DCD">
      <w:pPr>
        <w:pStyle w:val="85"/>
        <w:spacing w:line="360" w:lineRule="auto"/>
        <w:ind w:firstLine="425"/>
        <w:rPr>
          <w:rFonts w:hint="eastAsia" w:ascii="宋体" w:hAnsi="宋体" w:eastAsia="宋体" w:cs="宋体"/>
          <w:color w:val="auto"/>
          <w:highlight w:val="none"/>
        </w:rPr>
      </w:pPr>
      <w:r>
        <w:rPr>
          <w:rFonts w:hint="eastAsia" w:ascii="宋体" w:hAnsi="宋体" w:eastAsia="宋体" w:cs="宋体"/>
          <w:color w:val="auto"/>
          <w:highlight w:val="none"/>
        </w:rPr>
        <w:t>第七章 安全文明施工措施；</w:t>
      </w:r>
    </w:p>
    <w:p w14:paraId="46196110">
      <w:pPr>
        <w:pStyle w:val="85"/>
        <w:spacing w:line="360" w:lineRule="auto"/>
        <w:ind w:firstLine="425"/>
        <w:rPr>
          <w:rFonts w:hint="eastAsia" w:ascii="宋体" w:hAnsi="宋体" w:eastAsia="宋体" w:cs="宋体"/>
          <w:color w:val="auto"/>
          <w:highlight w:val="none"/>
        </w:rPr>
      </w:pPr>
      <w:r>
        <w:rPr>
          <w:rFonts w:hint="eastAsia" w:ascii="宋体" w:hAnsi="宋体" w:eastAsia="宋体" w:cs="宋体"/>
          <w:color w:val="auto"/>
          <w:highlight w:val="none"/>
        </w:rPr>
        <w:t>第八章 质量保证与承诺；</w:t>
      </w:r>
    </w:p>
    <w:p w14:paraId="1CF34B97">
      <w:pPr>
        <w:pStyle w:val="85"/>
        <w:spacing w:line="360" w:lineRule="auto"/>
        <w:ind w:firstLine="425"/>
        <w:rPr>
          <w:rFonts w:hint="eastAsia" w:ascii="宋体" w:hAnsi="宋体" w:eastAsia="宋体" w:cs="宋体"/>
          <w:color w:val="auto"/>
          <w:highlight w:val="none"/>
        </w:rPr>
      </w:pPr>
      <w:r>
        <w:rPr>
          <w:rFonts w:hint="eastAsia" w:ascii="宋体" w:hAnsi="宋体" w:eastAsia="宋体" w:cs="宋体"/>
          <w:color w:val="auto"/>
          <w:highlight w:val="none"/>
        </w:rPr>
        <w:t>第九章 新技术应用与承诺等方面进行说明。</w:t>
      </w:r>
    </w:p>
    <w:p w14:paraId="0376D78B">
      <w:pPr>
        <w:pStyle w:val="85"/>
        <w:spacing w:line="360" w:lineRule="auto"/>
        <w:ind w:firstLine="425"/>
        <w:rPr>
          <w:rFonts w:hint="eastAsia" w:ascii="宋体" w:hAnsi="宋体" w:eastAsia="宋体" w:cs="宋体"/>
          <w:color w:val="auto"/>
          <w:highlight w:val="none"/>
        </w:rPr>
      </w:pPr>
      <w:r>
        <w:rPr>
          <w:rFonts w:hint="eastAsia" w:ascii="宋体" w:hAnsi="宋体" w:eastAsia="宋体" w:cs="宋体"/>
          <w:color w:val="auto"/>
          <w:highlight w:val="none"/>
        </w:rPr>
        <w:t xml:space="preserve">2.  </w:t>
      </w:r>
      <w:r>
        <w:rPr>
          <w:rFonts w:hint="eastAsia" w:ascii="宋体" w:hAnsi="宋体" w:eastAsia="宋体" w:cs="宋体"/>
          <w:color w:val="auto"/>
          <w:spacing w:val="-15"/>
          <w:highlight w:val="none"/>
        </w:rPr>
        <w:t xml:space="preserve"> </w:t>
      </w:r>
      <w:r>
        <w:rPr>
          <w:rFonts w:hint="eastAsia" w:ascii="宋体" w:hAnsi="宋体" w:eastAsia="宋体" w:cs="宋体"/>
          <w:color w:val="auto"/>
          <w:highlight w:val="none"/>
        </w:rPr>
        <w:t>施工组织设计除采用文字表述外可附下列图表，图表及格式要求附后。</w:t>
      </w:r>
    </w:p>
    <w:p w14:paraId="2F9F37C8">
      <w:pPr>
        <w:pStyle w:val="85"/>
        <w:spacing w:line="360" w:lineRule="auto"/>
        <w:ind w:firstLine="425"/>
        <w:rPr>
          <w:rFonts w:hint="eastAsia" w:ascii="宋体" w:hAnsi="宋体" w:eastAsia="宋体" w:cs="宋体"/>
          <w:color w:val="auto"/>
          <w:highlight w:val="none"/>
        </w:rPr>
      </w:pPr>
      <w:r>
        <w:rPr>
          <w:rFonts w:hint="eastAsia" w:ascii="宋体" w:hAnsi="宋体" w:eastAsia="宋体" w:cs="宋体"/>
          <w:color w:val="auto"/>
          <w:highlight w:val="none"/>
        </w:rPr>
        <w:t>附表一</w:t>
      </w:r>
      <w:r>
        <w:rPr>
          <w:rFonts w:hint="eastAsia" w:ascii="宋体" w:hAnsi="宋体" w:eastAsia="宋体" w:cs="宋体"/>
          <w:color w:val="auto"/>
          <w:highlight w:val="none"/>
        </w:rPr>
        <w:tab/>
      </w:r>
      <w:r>
        <w:rPr>
          <w:rFonts w:hint="eastAsia" w:ascii="宋体" w:hAnsi="宋体" w:eastAsia="宋体" w:cs="宋体"/>
          <w:color w:val="auto"/>
          <w:spacing w:val="-1"/>
          <w:highlight w:val="none"/>
        </w:rPr>
        <w:t>拟</w:t>
      </w:r>
      <w:r>
        <w:rPr>
          <w:rFonts w:hint="eastAsia" w:ascii="宋体" w:hAnsi="宋体" w:eastAsia="宋体" w:cs="宋体"/>
          <w:color w:val="auto"/>
          <w:highlight w:val="none"/>
        </w:rPr>
        <w:t>投入本项目的主要施工设备表</w:t>
      </w:r>
    </w:p>
    <w:p w14:paraId="7EEDD25B">
      <w:pPr>
        <w:pStyle w:val="85"/>
        <w:spacing w:line="360" w:lineRule="auto"/>
        <w:ind w:firstLine="425"/>
        <w:rPr>
          <w:rFonts w:hint="eastAsia" w:ascii="宋体" w:hAnsi="宋体" w:eastAsia="宋体" w:cs="宋体"/>
          <w:color w:val="auto"/>
          <w:highlight w:val="none"/>
        </w:rPr>
      </w:pPr>
      <w:r>
        <w:rPr>
          <w:rFonts w:hint="eastAsia" w:ascii="宋体" w:hAnsi="宋体" w:eastAsia="宋体" w:cs="宋体"/>
          <w:color w:val="auto"/>
          <w:highlight w:val="none"/>
        </w:rPr>
        <w:t>附表二</w:t>
      </w:r>
      <w:r>
        <w:rPr>
          <w:rFonts w:hint="eastAsia" w:ascii="宋体" w:hAnsi="宋体" w:eastAsia="宋体" w:cs="宋体"/>
          <w:color w:val="auto"/>
          <w:highlight w:val="none"/>
        </w:rPr>
        <w:tab/>
      </w:r>
      <w:r>
        <w:rPr>
          <w:rFonts w:hint="eastAsia" w:ascii="宋体" w:hAnsi="宋体" w:eastAsia="宋体" w:cs="宋体"/>
          <w:color w:val="auto"/>
          <w:spacing w:val="-1"/>
          <w:highlight w:val="none"/>
        </w:rPr>
        <w:t>拟</w:t>
      </w:r>
      <w:r>
        <w:rPr>
          <w:rFonts w:hint="eastAsia" w:ascii="宋体" w:hAnsi="宋体" w:eastAsia="宋体" w:cs="宋体"/>
          <w:color w:val="auto"/>
          <w:highlight w:val="none"/>
        </w:rPr>
        <w:t>配备本项目的试验和检测仪器设备表</w:t>
      </w:r>
    </w:p>
    <w:p w14:paraId="09A85965">
      <w:pPr>
        <w:pStyle w:val="85"/>
        <w:spacing w:line="360" w:lineRule="auto"/>
        <w:ind w:firstLine="425"/>
        <w:rPr>
          <w:rFonts w:hint="eastAsia" w:ascii="宋体" w:hAnsi="宋体" w:eastAsia="宋体" w:cs="宋体"/>
          <w:color w:val="auto"/>
          <w:highlight w:val="none"/>
        </w:rPr>
      </w:pPr>
      <w:r>
        <w:rPr>
          <w:rFonts w:hint="eastAsia" w:ascii="宋体" w:hAnsi="宋体" w:eastAsia="宋体" w:cs="宋体"/>
          <w:color w:val="auto"/>
          <w:highlight w:val="none"/>
        </w:rPr>
        <w:t>附表三</w:t>
      </w:r>
      <w:r>
        <w:rPr>
          <w:rFonts w:hint="eastAsia" w:ascii="宋体" w:hAnsi="宋体" w:eastAsia="宋体" w:cs="宋体"/>
          <w:color w:val="auto"/>
          <w:highlight w:val="none"/>
        </w:rPr>
        <w:tab/>
      </w:r>
      <w:r>
        <w:rPr>
          <w:rFonts w:hint="eastAsia" w:ascii="宋体" w:hAnsi="宋体" w:eastAsia="宋体" w:cs="宋体"/>
          <w:color w:val="auto"/>
          <w:spacing w:val="-1"/>
          <w:highlight w:val="none"/>
        </w:rPr>
        <w:t>劳</w:t>
      </w:r>
      <w:r>
        <w:rPr>
          <w:rFonts w:hint="eastAsia" w:ascii="宋体" w:hAnsi="宋体" w:eastAsia="宋体" w:cs="宋体"/>
          <w:color w:val="auto"/>
          <w:highlight w:val="none"/>
        </w:rPr>
        <w:t>动力计划表</w:t>
      </w:r>
    </w:p>
    <w:p w14:paraId="35C81FF5">
      <w:pPr>
        <w:pStyle w:val="85"/>
        <w:spacing w:line="360" w:lineRule="auto"/>
        <w:ind w:firstLine="425"/>
        <w:rPr>
          <w:rFonts w:hint="eastAsia" w:ascii="宋体" w:hAnsi="宋体" w:eastAsia="宋体" w:cs="宋体"/>
          <w:color w:val="auto"/>
          <w:highlight w:val="none"/>
        </w:rPr>
      </w:pPr>
      <w:r>
        <w:rPr>
          <w:rFonts w:hint="eastAsia" w:ascii="宋体" w:hAnsi="宋体" w:eastAsia="宋体" w:cs="宋体"/>
          <w:color w:val="auto"/>
          <w:highlight w:val="none"/>
        </w:rPr>
        <w:t>附表四</w:t>
      </w:r>
      <w:r>
        <w:rPr>
          <w:rFonts w:hint="eastAsia" w:ascii="宋体" w:hAnsi="宋体" w:eastAsia="宋体" w:cs="宋体"/>
          <w:color w:val="auto"/>
          <w:highlight w:val="none"/>
        </w:rPr>
        <w:tab/>
      </w:r>
      <w:r>
        <w:rPr>
          <w:rFonts w:hint="eastAsia" w:ascii="宋体" w:hAnsi="宋体" w:eastAsia="宋体" w:cs="宋体"/>
          <w:color w:val="auto"/>
          <w:highlight w:val="none"/>
        </w:rPr>
        <w:t>计划开、竣工日期和施工进度网络图或横道图</w:t>
      </w:r>
    </w:p>
    <w:p w14:paraId="05AD640C">
      <w:pPr>
        <w:pStyle w:val="85"/>
        <w:spacing w:line="360" w:lineRule="auto"/>
        <w:ind w:firstLine="425"/>
        <w:rPr>
          <w:rFonts w:hint="eastAsia" w:ascii="宋体" w:hAnsi="宋体" w:eastAsia="宋体" w:cs="宋体"/>
          <w:color w:val="auto"/>
          <w:highlight w:val="none"/>
        </w:rPr>
      </w:pPr>
      <w:r>
        <w:rPr>
          <w:rFonts w:hint="eastAsia" w:ascii="宋体" w:hAnsi="宋体" w:eastAsia="宋体" w:cs="宋体"/>
          <w:color w:val="auto"/>
          <w:highlight w:val="none"/>
        </w:rPr>
        <w:t>附表五</w:t>
      </w:r>
      <w:r>
        <w:rPr>
          <w:rFonts w:hint="eastAsia" w:ascii="宋体" w:hAnsi="宋体" w:eastAsia="宋体" w:cs="宋体"/>
          <w:color w:val="auto"/>
          <w:highlight w:val="none"/>
        </w:rPr>
        <w:tab/>
      </w:r>
      <w:r>
        <w:rPr>
          <w:rFonts w:hint="eastAsia" w:ascii="宋体" w:hAnsi="宋体" w:eastAsia="宋体" w:cs="宋体"/>
          <w:color w:val="auto"/>
          <w:spacing w:val="-1"/>
          <w:highlight w:val="none"/>
        </w:rPr>
        <w:t>施</w:t>
      </w:r>
      <w:r>
        <w:rPr>
          <w:rFonts w:hint="eastAsia" w:ascii="宋体" w:hAnsi="宋体" w:eastAsia="宋体" w:cs="宋体"/>
          <w:color w:val="auto"/>
          <w:highlight w:val="none"/>
        </w:rPr>
        <w:t>工总平面图</w:t>
      </w:r>
    </w:p>
    <w:p w14:paraId="4EC13070">
      <w:pPr>
        <w:pStyle w:val="85"/>
        <w:spacing w:line="360" w:lineRule="auto"/>
        <w:ind w:firstLine="425"/>
        <w:rPr>
          <w:rFonts w:hint="eastAsia" w:ascii="宋体" w:hAnsi="宋体" w:eastAsia="宋体" w:cs="宋体"/>
          <w:color w:val="auto"/>
          <w:highlight w:val="none"/>
        </w:rPr>
      </w:pPr>
      <w:r>
        <w:rPr>
          <w:rFonts w:hint="eastAsia" w:ascii="宋体" w:hAnsi="宋体" w:eastAsia="宋体" w:cs="宋体"/>
          <w:color w:val="auto"/>
          <w:position w:val="-2"/>
          <w:highlight w:val="none"/>
        </w:rPr>
        <w:t>附表六</w:t>
      </w:r>
      <w:r>
        <w:rPr>
          <w:rFonts w:hint="eastAsia" w:ascii="宋体" w:hAnsi="宋体" w:eastAsia="宋体" w:cs="宋体"/>
          <w:color w:val="auto"/>
          <w:position w:val="-2"/>
          <w:highlight w:val="none"/>
        </w:rPr>
        <w:tab/>
      </w:r>
      <w:r>
        <w:rPr>
          <w:rFonts w:hint="eastAsia" w:ascii="宋体" w:hAnsi="宋体" w:eastAsia="宋体" w:cs="宋体"/>
          <w:color w:val="auto"/>
          <w:spacing w:val="-1"/>
          <w:position w:val="-2"/>
          <w:highlight w:val="none"/>
        </w:rPr>
        <w:t>临</w:t>
      </w:r>
      <w:r>
        <w:rPr>
          <w:rFonts w:hint="eastAsia" w:ascii="宋体" w:hAnsi="宋体" w:eastAsia="宋体" w:cs="宋体"/>
          <w:color w:val="auto"/>
          <w:position w:val="-2"/>
          <w:highlight w:val="none"/>
        </w:rPr>
        <w:t>时用地表</w:t>
      </w:r>
    </w:p>
    <w:p w14:paraId="4460225E">
      <w:pPr>
        <w:spacing w:line="360" w:lineRule="auto"/>
        <w:rPr>
          <w:rFonts w:hint="eastAsia" w:ascii="宋体" w:hAnsi="宋体" w:eastAsia="宋体" w:cs="宋体"/>
          <w:color w:val="auto"/>
          <w:highlight w:val="none"/>
        </w:rPr>
      </w:pPr>
      <w:bookmarkStart w:id="1969" w:name="_Toc483317224"/>
      <w:bookmarkStart w:id="1970" w:name="_Toc418751905"/>
      <w:bookmarkStart w:id="1971" w:name="_Toc418752351"/>
    </w:p>
    <w:p w14:paraId="79773F54">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附表一：拟投入本项目的主要施工设备表</w:t>
      </w:r>
      <w:bookmarkEnd w:id="1969"/>
      <w:bookmarkEnd w:id="1970"/>
      <w:bookmarkEnd w:id="1971"/>
    </w:p>
    <w:tbl>
      <w:tblPr>
        <w:tblStyle w:val="36"/>
        <w:tblW w:w="9648" w:type="dxa"/>
        <w:jc w:val="center"/>
        <w:tblLayout w:type="fixed"/>
        <w:tblCellMar>
          <w:top w:w="0" w:type="dxa"/>
          <w:left w:w="0" w:type="dxa"/>
          <w:bottom w:w="0" w:type="dxa"/>
          <w:right w:w="0" w:type="dxa"/>
        </w:tblCellMar>
      </w:tblPr>
      <w:tblGrid>
        <w:gridCol w:w="734"/>
        <w:gridCol w:w="1198"/>
        <w:gridCol w:w="839"/>
        <w:gridCol w:w="1092"/>
        <w:gridCol w:w="741"/>
        <w:gridCol w:w="814"/>
        <w:gridCol w:w="1337"/>
        <w:gridCol w:w="965"/>
        <w:gridCol w:w="1164"/>
        <w:gridCol w:w="764"/>
      </w:tblGrid>
      <w:tr w14:paraId="34615E40">
        <w:tblPrEx>
          <w:tblCellMar>
            <w:top w:w="0" w:type="dxa"/>
            <w:left w:w="0" w:type="dxa"/>
            <w:bottom w:w="0" w:type="dxa"/>
            <w:right w:w="0" w:type="dxa"/>
          </w:tblCellMar>
        </w:tblPrEx>
        <w:trPr>
          <w:trHeight w:val="827"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14:paraId="2FD50705">
            <w:pPr>
              <w:pStyle w:val="85"/>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198" w:type="dxa"/>
            <w:tcBorders>
              <w:top w:val="single" w:color="000000" w:sz="4" w:space="0"/>
              <w:left w:val="nil"/>
              <w:bottom w:val="single" w:color="000000" w:sz="4" w:space="0"/>
              <w:right w:val="single" w:color="000000" w:sz="4" w:space="0"/>
            </w:tcBorders>
            <w:noWrap w:val="0"/>
            <w:vAlign w:val="center"/>
          </w:tcPr>
          <w:p w14:paraId="3CD2778E">
            <w:pPr>
              <w:pStyle w:val="85"/>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设备名称</w:t>
            </w:r>
          </w:p>
        </w:tc>
        <w:tc>
          <w:tcPr>
            <w:tcW w:w="839" w:type="dxa"/>
            <w:tcBorders>
              <w:top w:val="single" w:color="000000" w:sz="4" w:space="0"/>
              <w:left w:val="nil"/>
              <w:bottom w:val="single" w:color="000000" w:sz="4" w:space="0"/>
              <w:right w:val="single" w:color="000000" w:sz="4" w:space="0"/>
            </w:tcBorders>
            <w:noWrap w:val="0"/>
            <w:vAlign w:val="center"/>
          </w:tcPr>
          <w:p w14:paraId="2331ED33">
            <w:pPr>
              <w:pStyle w:val="85"/>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型号</w:t>
            </w:r>
          </w:p>
          <w:p w14:paraId="299C492D">
            <w:pPr>
              <w:pStyle w:val="85"/>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规格</w:t>
            </w:r>
          </w:p>
        </w:tc>
        <w:tc>
          <w:tcPr>
            <w:tcW w:w="1092" w:type="dxa"/>
            <w:tcBorders>
              <w:top w:val="single" w:color="000000" w:sz="4" w:space="0"/>
              <w:left w:val="nil"/>
              <w:bottom w:val="single" w:color="000000" w:sz="4" w:space="0"/>
              <w:right w:val="single" w:color="000000" w:sz="4" w:space="0"/>
            </w:tcBorders>
            <w:noWrap w:val="0"/>
            <w:vAlign w:val="center"/>
          </w:tcPr>
          <w:p w14:paraId="27105938">
            <w:pPr>
              <w:pStyle w:val="85"/>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741" w:type="dxa"/>
            <w:tcBorders>
              <w:top w:val="single" w:color="000000" w:sz="4" w:space="0"/>
              <w:left w:val="nil"/>
              <w:bottom w:val="single" w:color="000000" w:sz="4" w:space="0"/>
              <w:right w:val="single" w:color="000000" w:sz="4" w:space="0"/>
            </w:tcBorders>
            <w:noWrap w:val="0"/>
            <w:vAlign w:val="center"/>
          </w:tcPr>
          <w:p w14:paraId="4D3CF422">
            <w:pPr>
              <w:pStyle w:val="85"/>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国别</w:t>
            </w:r>
          </w:p>
          <w:p w14:paraId="3C5794CE">
            <w:pPr>
              <w:pStyle w:val="85"/>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产地</w:t>
            </w:r>
          </w:p>
        </w:tc>
        <w:tc>
          <w:tcPr>
            <w:tcW w:w="814" w:type="dxa"/>
            <w:tcBorders>
              <w:top w:val="single" w:color="000000" w:sz="4" w:space="0"/>
              <w:left w:val="nil"/>
              <w:bottom w:val="single" w:color="000000" w:sz="4" w:space="0"/>
              <w:right w:val="single" w:color="000000" w:sz="4" w:space="0"/>
            </w:tcBorders>
            <w:noWrap w:val="0"/>
            <w:vAlign w:val="center"/>
          </w:tcPr>
          <w:p w14:paraId="2B32E2B0">
            <w:pPr>
              <w:pStyle w:val="85"/>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制造</w:t>
            </w:r>
          </w:p>
          <w:p w14:paraId="121756A9">
            <w:pPr>
              <w:pStyle w:val="85"/>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年份</w:t>
            </w:r>
          </w:p>
        </w:tc>
        <w:tc>
          <w:tcPr>
            <w:tcW w:w="1337" w:type="dxa"/>
            <w:tcBorders>
              <w:top w:val="single" w:color="000000" w:sz="4" w:space="0"/>
              <w:left w:val="nil"/>
              <w:bottom w:val="single" w:color="000000" w:sz="4" w:space="0"/>
              <w:right w:val="single" w:color="000000" w:sz="4" w:space="0"/>
            </w:tcBorders>
            <w:noWrap w:val="0"/>
            <w:vAlign w:val="center"/>
          </w:tcPr>
          <w:p w14:paraId="6F2E8147">
            <w:pPr>
              <w:pStyle w:val="85"/>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额定功率</w:t>
            </w:r>
          </w:p>
          <w:p w14:paraId="7FEBE67D">
            <w:pPr>
              <w:pStyle w:val="85"/>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（KW）</w:t>
            </w:r>
          </w:p>
        </w:tc>
        <w:tc>
          <w:tcPr>
            <w:tcW w:w="965" w:type="dxa"/>
            <w:tcBorders>
              <w:top w:val="single" w:color="000000" w:sz="4" w:space="0"/>
              <w:left w:val="nil"/>
              <w:bottom w:val="single" w:color="000000" w:sz="4" w:space="0"/>
              <w:right w:val="single" w:color="000000" w:sz="4" w:space="0"/>
            </w:tcBorders>
            <w:noWrap w:val="0"/>
            <w:vAlign w:val="center"/>
          </w:tcPr>
          <w:p w14:paraId="1C6E04CF">
            <w:pPr>
              <w:pStyle w:val="85"/>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生产</w:t>
            </w:r>
          </w:p>
          <w:p w14:paraId="17784820">
            <w:pPr>
              <w:pStyle w:val="85"/>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能力</w:t>
            </w:r>
          </w:p>
        </w:tc>
        <w:tc>
          <w:tcPr>
            <w:tcW w:w="1164" w:type="dxa"/>
            <w:tcBorders>
              <w:top w:val="single" w:color="000000" w:sz="4" w:space="0"/>
              <w:left w:val="nil"/>
              <w:bottom w:val="single" w:color="000000" w:sz="4" w:space="0"/>
              <w:right w:val="single" w:color="000000" w:sz="4" w:space="0"/>
            </w:tcBorders>
            <w:noWrap w:val="0"/>
            <w:vAlign w:val="center"/>
          </w:tcPr>
          <w:p w14:paraId="1BE66BD6">
            <w:pPr>
              <w:pStyle w:val="85"/>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用于施</w:t>
            </w:r>
          </w:p>
          <w:p w14:paraId="343BC753">
            <w:pPr>
              <w:pStyle w:val="85"/>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工部位</w:t>
            </w:r>
          </w:p>
        </w:tc>
        <w:tc>
          <w:tcPr>
            <w:tcW w:w="764" w:type="dxa"/>
            <w:tcBorders>
              <w:top w:val="single" w:color="000000" w:sz="4" w:space="0"/>
              <w:left w:val="nil"/>
              <w:bottom w:val="single" w:color="000000" w:sz="4" w:space="0"/>
              <w:right w:val="single" w:color="000000" w:sz="4" w:space="0"/>
            </w:tcBorders>
            <w:noWrap w:val="0"/>
            <w:vAlign w:val="center"/>
          </w:tcPr>
          <w:p w14:paraId="77178F8E">
            <w:pPr>
              <w:pStyle w:val="85"/>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759A2447">
        <w:tblPrEx>
          <w:tblCellMar>
            <w:top w:w="0" w:type="dxa"/>
            <w:left w:w="0" w:type="dxa"/>
            <w:bottom w:w="0" w:type="dxa"/>
            <w:right w:w="0" w:type="dxa"/>
          </w:tblCellMar>
        </w:tblPrEx>
        <w:trPr>
          <w:trHeight w:val="450"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top"/>
          </w:tcPr>
          <w:p w14:paraId="090649FF">
            <w:pPr>
              <w:pStyle w:val="85"/>
              <w:spacing w:line="360" w:lineRule="auto"/>
              <w:rPr>
                <w:rFonts w:hint="eastAsia" w:ascii="宋体" w:hAnsi="宋体" w:eastAsia="宋体" w:cs="宋体"/>
                <w:color w:val="auto"/>
                <w:highlight w:val="none"/>
              </w:rPr>
            </w:pPr>
          </w:p>
        </w:tc>
        <w:tc>
          <w:tcPr>
            <w:tcW w:w="1198" w:type="dxa"/>
            <w:tcBorders>
              <w:top w:val="single" w:color="000000" w:sz="4" w:space="0"/>
              <w:left w:val="nil"/>
              <w:bottom w:val="single" w:color="000000" w:sz="4" w:space="0"/>
              <w:right w:val="single" w:color="000000" w:sz="4" w:space="0"/>
            </w:tcBorders>
            <w:noWrap w:val="0"/>
            <w:vAlign w:val="top"/>
          </w:tcPr>
          <w:p w14:paraId="26006553">
            <w:pPr>
              <w:pStyle w:val="85"/>
              <w:spacing w:line="360" w:lineRule="auto"/>
              <w:rPr>
                <w:rFonts w:hint="eastAsia" w:ascii="宋体" w:hAnsi="宋体" w:eastAsia="宋体" w:cs="宋体"/>
                <w:color w:val="auto"/>
                <w:highlight w:val="none"/>
              </w:rPr>
            </w:pPr>
          </w:p>
        </w:tc>
        <w:tc>
          <w:tcPr>
            <w:tcW w:w="839" w:type="dxa"/>
            <w:tcBorders>
              <w:top w:val="single" w:color="000000" w:sz="4" w:space="0"/>
              <w:left w:val="nil"/>
              <w:bottom w:val="single" w:color="000000" w:sz="4" w:space="0"/>
              <w:right w:val="single" w:color="000000" w:sz="4" w:space="0"/>
            </w:tcBorders>
            <w:noWrap w:val="0"/>
            <w:vAlign w:val="top"/>
          </w:tcPr>
          <w:p w14:paraId="132D66A2">
            <w:pPr>
              <w:pStyle w:val="85"/>
              <w:spacing w:line="360" w:lineRule="auto"/>
              <w:rPr>
                <w:rFonts w:hint="eastAsia" w:ascii="宋体" w:hAnsi="宋体" w:eastAsia="宋体" w:cs="宋体"/>
                <w:color w:val="auto"/>
                <w:highlight w:val="none"/>
              </w:rPr>
            </w:pPr>
          </w:p>
        </w:tc>
        <w:tc>
          <w:tcPr>
            <w:tcW w:w="1092" w:type="dxa"/>
            <w:tcBorders>
              <w:top w:val="single" w:color="000000" w:sz="4" w:space="0"/>
              <w:left w:val="nil"/>
              <w:bottom w:val="single" w:color="000000" w:sz="4" w:space="0"/>
              <w:right w:val="single" w:color="000000" w:sz="4" w:space="0"/>
            </w:tcBorders>
            <w:noWrap w:val="0"/>
            <w:vAlign w:val="top"/>
          </w:tcPr>
          <w:p w14:paraId="57C975BD">
            <w:pPr>
              <w:pStyle w:val="85"/>
              <w:spacing w:line="360" w:lineRule="auto"/>
              <w:rPr>
                <w:rFonts w:hint="eastAsia" w:ascii="宋体" w:hAnsi="宋体" w:eastAsia="宋体" w:cs="宋体"/>
                <w:color w:val="auto"/>
                <w:highlight w:val="none"/>
              </w:rPr>
            </w:pPr>
          </w:p>
        </w:tc>
        <w:tc>
          <w:tcPr>
            <w:tcW w:w="741" w:type="dxa"/>
            <w:tcBorders>
              <w:top w:val="single" w:color="000000" w:sz="4" w:space="0"/>
              <w:left w:val="nil"/>
              <w:bottom w:val="single" w:color="000000" w:sz="4" w:space="0"/>
              <w:right w:val="single" w:color="000000" w:sz="4" w:space="0"/>
            </w:tcBorders>
            <w:noWrap w:val="0"/>
            <w:vAlign w:val="top"/>
          </w:tcPr>
          <w:p w14:paraId="4E4B7F82">
            <w:pPr>
              <w:pStyle w:val="85"/>
              <w:spacing w:line="360" w:lineRule="auto"/>
              <w:rPr>
                <w:rFonts w:hint="eastAsia" w:ascii="宋体" w:hAnsi="宋体" w:eastAsia="宋体" w:cs="宋体"/>
                <w:color w:val="auto"/>
                <w:highlight w:val="none"/>
              </w:rPr>
            </w:pPr>
          </w:p>
        </w:tc>
        <w:tc>
          <w:tcPr>
            <w:tcW w:w="814" w:type="dxa"/>
            <w:tcBorders>
              <w:top w:val="single" w:color="000000" w:sz="4" w:space="0"/>
              <w:left w:val="nil"/>
              <w:bottom w:val="single" w:color="000000" w:sz="4" w:space="0"/>
              <w:right w:val="single" w:color="000000" w:sz="4" w:space="0"/>
            </w:tcBorders>
            <w:noWrap w:val="0"/>
            <w:vAlign w:val="top"/>
          </w:tcPr>
          <w:p w14:paraId="72DBB6FF">
            <w:pPr>
              <w:pStyle w:val="85"/>
              <w:spacing w:line="360" w:lineRule="auto"/>
              <w:rPr>
                <w:rFonts w:hint="eastAsia" w:ascii="宋体" w:hAnsi="宋体" w:eastAsia="宋体" w:cs="宋体"/>
                <w:color w:val="auto"/>
                <w:highlight w:val="none"/>
              </w:rPr>
            </w:pPr>
          </w:p>
        </w:tc>
        <w:tc>
          <w:tcPr>
            <w:tcW w:w="1337" w:type="dxa"/>
            <w:tcBorders>
              <w:top w:val="single" w:color="000000" w:sz="4" w:space="0"/>
              <w:left w:val="nil"/>
              <w:bottom w:val="single" w:color="000000" w:sz="4" w:space="0"/>
              <w:right w:val="single" w:color="000000" w:sz="4" w:space="0"/>
            </w:tcBorders>
            <w:noWrap w:val="0"/>
            <w:vAlign w:val="top"/>
          </w:tcPr>
          <w:p w14:paraId="268DD6F6">
            <w:pPr>
              <w:pStyle w:val="85"/>
              <w:spacing w:line="360" w:lineRule="auto"/>
              <w:rPr>
                <w:rFonts w:hint="eastAsia" w:ascii="宋体" w:hAnsi="宋体" w:eastAsia="宋体" w:cs="宋体"/>
                <w:color w:val="auto"/>
                <w:highlight w:val="none"/>
              </w:rPr>
            </w:pPr>
          </w:p>
        </w:tc>
        <w:tc>
          <w:tcPr>
            <w:tcW w:w="965" w:type="dxa"/>
            <w:tcBorders>
              <w:top w:val="single" w:color="000000" w:sz="4" w:space="0"/>
              <w:left w:val="nil"/>
              <w:bottom w:val="single" w:color="000000" w:sz="4" w:space="0"/>
              <w:right w:val="single" w:color="000000" w:sz="4" w:space="0"/>
            </w:tcBorders>
            <w:noWrap w:val="0"/>
            <w:vAlign w:val="top"/>
          </w:tcPr>
          <w:p w14:paraId="05DBC01A">
            <w:pPr>
              <w:pStyle w:val="85"/>
              <w:spacing w:line="360" w:lineRule="auto"/>
              <w:rPr>
                <w:rFonts w:hint="eastAsia" w:ascii="宋体" w:hAnsi="宋体" w:eastAsia="宋体" w:cs="宋体"/>
                <w:color w:val="auto"/>
                <w:highlight w:val="none"/>
              </w:rPr>
            </w:pPr>
          </w:p>
        </w:tc>
        <w:tc>
          <w:tcPr>
            <w:tcW w:w="1164" w:type="dxa"/>
            <w:tcBorders>
              <w:top w:val="single" w:color="000000" w:sz="4" w:space="0"/>
              <w:left w:val="nil"/>
              <w:bottom w:val="single" w:color="000000" w:sz="4" w:space="0"/>
              <w:right w:val="single" w:color="000000" w:sz="4" w:space="0"/>
            </w:tcBorders>
            <w:noWrap w:val="0"/>
            <w:vAlign w:val="top"/>
          </w:tcPr>
          <w:p w14:paraId="04DF150B">
            <w:pPr>
              <w:pStyle w:val="85"/>
              <w:spacing w:line="360" w:lineRule="auto"/>
              <w:rPr>
                <w:rFonts w:hint="eastAsia" w:ascii="宋体" w:hAnsi="宋体" w:eastAsia="宋体" w:cs="宋体"/>
                <w:color w:val="auto"/>
                <w:highlight w:val="none"/>
              </w:rPr>
            </w:pPr>
          </w:p>
        </w:tc>
        <w:tc>
          <w:tcPr>
            <w:tcW w:w="764" w:type="dxa"/>
            <w:tcBorders>
              <w:top w:val="single" w:color="000000" w:sz="4" w:space="0"/>
              <w:left w:val="nil"/>
              <w:bottom w:val="single" w:color="000000" w:sz="4" w:space="0"/>
              <w:right w:val="single" w:color="000000" w:sz="4" w:space="0"/>
            </w:tcBorders>
            <w:noWrap w:val="0"/>
            <w:vAlign w:val="top"/>
          </w:tcPr>
          <w:p w14:paraId="600EF967">
            <w:pPr>
              <w:pStyle w:val="85"/>
              <w:spacing w:line="360" w:lineRule="auto"/>
              <w:rPr>
                <w:rFonts w:hint="eastAsia" w:ascii="宋体" w:hAnsi="宋体" w:eastAsia="宋体" w:cs="宋体"/>
                <w:color w:val="auto"/>
                <w:highlight w:val="none"/>
              </w:rPr>
            </w:pPr>
          </w:p>
        </w:tc>
      </w:tr>
      <w:tr w14:paraId="664134C3">
        <w:tblPrEx>
          <w:tblCellMar>
            <w:top w:w="0" w:type="dxa"/>
            <w:left w:w="0" w:type="dxa"/>
            <w:bottom w:w="0" w:type="dxa"/>
            <w:right w:w="0" w:type="dxa"/>
          </w:tblCellMar>
        </w:tblPrEx>
        <w:trPr>
          <w:trHeight w:val="450"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top"/>
          </w:tcPr>
          <w:p w14:paraId="7FA1A2B4">
            <w:pPr>
              <w:pStyle w:val="85"/>
              <w:spacing w:line="360" w:lineRule="auto"/>
              <w:rPr>
                <w:rFonts w:hint="eastAsia" w:ascii="宋体" w:hAnsi="宋体" w:eastAsia="宋体" w:cs="宋体"/>
                <w:color w:val="auto"/>
                <w:highlight w:val="none"/>
              </w:rPr>
            </w:pPr>
          </w:p>
        </w:tc>
        <w:tc>
          <w:tcPr>
            <w:tcW w:w="1198" w:type="dxa"/>
            <w:tcBorders>
              <w:top w:val="single" w:color="000000" w:sz="4" w:space="0"/>
              <w:left w:val="nil"/>
              <w:bottom w:val="single" w:color="000000" w:sz="4" w:space="0"/>
              <w:right w:val="single" w:color="000000" w:sz="4" w:space="0"/>
            </w:tcBorders>
            <w:noWrap w:val="0"/>
            <w:vAlign w:val="top"/>
          </w:tcPr>
          <w:p w14:paraId="575DCBA0">
            <w:pPr>
              <w:pStyle w:val="85"/>
              <w:spacing w:line="360" w:lineRule="auto"/>
              <w:rPr>
                <w:rFonts w:hint="eastAsia" w:ascii="宋体" w:hAnsi="宋体" w:eastAsia="宋体" w:cs="宋体"/>
                <w:color w:val="auto"/>
                <w:highlight w:val="none"/>
              </w:rPr>
            </w:pPr>
          </w:p>
        </w:tc>
        <w:tc>
          <w:tcPr>
            <w:tcW w:w="839" w:type="dxa"/>
            <w:tcBorders>
              <w:top w:val="single" w:color="000000" w:sz="4" w:space="0"/>
              <w:left w:val="nil"/>
              <w:bottom w:val="single" w:color="000000" w:sz="4" w:space="0"/>
              <w:right w:val="single" w:color="000000" w:sz="4" w:space="0"/>
            </w:tcBorders>
            <w:noWrap w:val="0"/>
            <w:vAlign w:val="top"/>
          </w:tcPr>
          <w:p w14:paraId="65E99EED">
            <w:pPr>
              <w:pStyle w:val="85"/>
              <w:spacing w:line="360" w:lineRule="auto"/>
              <w:rPr>
                <w:rFonts w:hint="eastAsia" w:ascii="宋体" w:hAnsi="宋体" w:eastAsia="宋体" w:cs="宋体"/>
                <w:color w:val="auto"/>
                <w:highlight w:val="none"/>
              </w:rPr>
            </w:pPr>
          </w:p>
        </w:tc>
        <w:tc>
          <w:tcPr>
            <w:tcW w:w="1092" w:type="dxa"/>
            <w:tcBorders>
              <w:top w:val="single" w:color="000000" w:sz="4" w:space="0"/>
              <w:left w:val="nil"/>
              <w:bottom w:val="single" w:color="000000" w:sz="4" w:space="0"/>
              <w:right w:val="single" w:color="000000" w:sz="4" w:space="0"/>
            </w:tcBorders>
            <w:noWrap w:val="0"/>
            <w:vAlign w:val="top"/>
          </w:tcPr>
          <w:p w14:paraId="0A65B4DB">
            <w:pPr>
              <w:pStyle w:val="85"/>
              <w:spacing w:line="360" w:lineRule="auto"/>
              <w:rPr>
                <w:rFonts w:hint="eastAsia" w:ascii="宋体" w:hAnsi="宋体" w:eastAsia="宋体" w:cs="宋体"/>
                <w:color w:val="auto"/>
                <w:highlight w:val="none"/>
              </w:rPr>
            </w:pPr>
          </w:p>
        </w:tc>
        <w:tc>
          <w:tcPr>
            <w:tcW w:w="741" w:type="dxa"/>
            <w:tcBorders>
              <w:top w:val="single" w:color="000000" w:sz="4" w:space="0"/>
              <w:left w:val="nil"/>
              <w:bottom w:val="single" w:color="000000" w:sz="4" w:space="0"/>
              <w:right w:val="single" w:color="000000" w:sz="4" w:space="0"/>
            </w:tcBorders>
            <w:noWrap w:val="0"/>
            <w:vAlign w:val="top"/>
          </w:tcPr>
          <w:p w14:paraId="1B1D0240">
            <w:pPr>
              <w:pStyle w:val="85"/>
              <w:spacing w:line="360" w:lineRule="auto"/>
              <w:rPr>
                <w:rFonts w:hint="eastAsia" w:ascii="宋体" w:hAnsi="宋体" w:eastAsia="宋体" w:cs="宋体"/>
                <w:color w:val="auto"/>
                <w:highlight w:val="none"/>
              </w:rPr>
            </w:pPr>
          </w:p>
        </w:tc>
        <w:tc>
          <w:tcPr>
            <w:tcW w:w="814" w:type="dxa"/>
            <w:tcBorders>
              <w:top w:val="single" w:color="000000" w:sz="4" w:space="0"/>
              <w:left w:val="nil"/>
              <w:bottom w:val="single" w:color="000000" w:sz="4" w:space="0"/>
              <w:right w:val="single" w:color="000000" w:sz="4" w:space="0"/>
            </w:tcBorders>
            <w:noWrap w:val="0"/>
            <w:vAlign w:val="top"/>
          </w:tcPr>
          <w:p w14:paraId="6DC38C42">
            <w:pPr>
              <w:pStyle w:val="85"/>
              <w:spacing w:line="360" w:lineRule="auto"/>
              <w:rPr>
                <w:rFonts w:hint="eastAsia" w:ascii="宋体" w:hAnsi="宋体" w:eastAsia="宋体" w:cs="宋体"/>
                <w:color w:val="auto"/>
                <w:highlight w:val="none"/>
              </w:rPr>
            </w:pPr>
          </w:p>
        </w:tc>
        <w:tc>
          <w:tcPr>
            <w:tcW w:w="1337" w:type="dxa"/>
            <w:tcBorders>
              <w:top w:val="single" w:color="000000" w:sz="4" w:space="0"/>
              <w:left w:val="nil"/>
              <w:bottom w:val="single" w:color="000000" w:sz="4" w:space="0"/>
              <w:right w:val="single" w:color="000000" w:sz="4" w:space="0"/>
            </w:tcBorders>
            <w:noWrap w:val="0"/>
            <w:vAlign w:val="top"/>
          </w:tcPr>
          <w:p w14:paraId="752E7FB4">
            <w:pPr>
              <w:pStyle w:val="85"/>
              <w:spacing w:line="360" w:lineRule="auto"/>
              <w:rPr>
                <w:rFonts w:hint="eastAsia" w:ascii="宋体" w:hAnsi="宋体" w:eastAsia="宋体" w:cs="宋体"/>
                <w:color w:val="auto"/>
                <w:highlight w:val="none"/>
              </w:rPr>
            </w:pPr>
          </w:p>
        </w:tc>
        <w:tc>
          <w:tcPr>
            <w:tcW w:w="965" w:type="dxa"/>
            <w:tcBorders>
              <w:top w:val="single" w:color="000000" w:sz="4" w:space="0"/>
              <w:left w:val="nil"/>
              <w:bottom w:val="single" w:color="000000" w:sz="4" w:space="0"/>
              <w:right w:val="single" w:color="000000" w:sz="4" w:space="0"/>
            </w:tcBorders>
            <w:noWrap w:val="0"/>
            <w:vAlign w:val="top"/>
          </w:tcPr>
          <w:p w14:paraId="266A5339">
            <w:pPr>
              <w:pStyle w:val="85"/>
              <w:spacing w:line="360" w:lineRule="auto"/>
              <w:rPr>
                <w:rFonts w:hint="eastAsia" w:ascii="宋体" w:hAnsi="宋体" w:eastAsia="宋体" w:cs="宋体"/>
                <w:color w:val="auto"/>
                <w:highlight w:val="none"/>
              </w:rPr>
            </w:pPr>
          </w:p>
        </w:tc>
        <w:tc>
          <w:tcPr>
            <w:tcW w:w="1164" w:type="dxa"/>
            <w:tcBorders>
              <w:top w:val="single" w:color="000000" w:sz="4" w:space="0"/>
              <w:left w:val="nil"/>
              <w:bottom w:val="single" w:color="000000" w:sz="4" w:space="0"/>
              <w:right w:val="single" w:color="000000" w:sz="4" w:space="0"/>
            </w:tcBorders>
            <w:noWrap w:val="0"/>
            <w:vAlign w:val="top"/>
          </w:tcPr>
          <w:p w14:paraId="68FDC89F">
            <w:pPr>
              <w:pStyle w:val="85"/>
              <w:spacing w:line="360" w:lineRule="auto"/>
              <w:rPr>
                <w:rFonts w:hint="eastAsia" w:ascii="宋体" w:hAnsi="宋体" w:eastAsia="宋体" w:cs="宋体"/>
                <w:color w:val="auto"/>
                <w:highlight w:val="none"/>
              </w:rPr>
            </w:pPr>
          </w:p>
        </w:tc>
        <w:tc>
          <w:tcPr>
            <w:tcW w:w="764" w:type="dxa"/>
            <w:tcBorders>
              <w:top w:val="single" w:color="000000" w:sz="4" w:space="0"/>
              <w:left w:val="nil"/>
              <w:bottom w:val="single" w:color="000000" w:sz="4" w:space="0"/>
              <w:right w:val="single" w:color="000000" w:sz="4" w:space="0"/>
            </w:tcBorders>
            <w:noWrap w:val="0"/>
            <w:vAlign w:val="top"/>
          </w:tcPr>
          <w:p w14:paraId="3D279F23">
            <w:pPr>
              <w:pStyle w:val="85"/>
              <w:spacing w:line="360" w:lineRule="auto"/>
              <w:rPr>
                <w:rFonts w:hint="eastAsia" w:ascii="宋体" w:hAnsi="宋体" w:eastAsia="宋体" w:cs="宋体"/>
                <w:color w:val="auto"/>
                <w:highlight w:val="none"/>
              </w:rPr>
            </w:pPr>
          </w:p>
        </w:tc>
      </w:tr>
      <w:tr w14:paraId="3F6ECF63">
        <w:tblPrEx>
          <w:tblCellMar>
            <w:top w:w="0" w:type="dxa"/>
            <w:left w:w="0" w:type="dxa"/>
            <w:bottom w:w="0" w:type="dxa"/>
            <w:right w:w="0" w:type="dxa"/>
          </w:tblCellMar>
        </w:tblPrEx>
        <w:trPr>
          <w:trHeight w:val="448"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top"/>
          </w:tcPr>
          <w:p w14:paraId="3EEEEF01">
            <w:pPr>
              <w:pStyle w:val="85"/>
              <w:spacing w:line="360" w:lineRule="auto"/>
              <w:rPr>
                <w:rFonts w:hint="eastAsia" w:ascii="宋体" w:hAnsi="宋体" w:eastAsia="宋体" w:cs="宋体"/>
                <w:color w:val="auto"/>
                <w:highlight w:val="none"/>
              </w:rPr>
            </w:pPr>
          </w:p>
        </w:tc>
        <w:tc>
          <w:tcPr>
            <w:tcW w:w="1198" w:type="dxa"/>
            <w:tcBorders>
              <w:top w:val="single" w:color="000000" w:sz="4" w:space="0"/>
              <w:left w:val="nil"/>
              <w:bottom w:val="single" w:color="000000" w:sz="4" w:space="0"/>
              <w:right w:val="single" w:color="000000" w:sz="4" w:space="0"/>
            </w:tcBorders>
            <w:noWrap w:val="0"/>
            <w:vAlign w:val="top"/>
          </w:tcPr>
          <w:p w14:paraId="2A118271">
            <w:pPr>
              <w:pStyle w:val="85"/>
              <w:spacing w:line="360" w:lineRule="auto"/>
              <w:rPr>
                <w:rFonts w:hint="eastAsia" w:ascii="宋体" w:hAnsi="宋体" w:eastAsia="宋体" w:cs="宋体"/>
                <w:color w:val="auto"/>
                <w:highlight w:val="none"/>
              </w:rPr>
            </w:pPr>
          </w:p>
        </w:tc>
        <w:tc>
          <w:tcPr>
            <w:tcW w:w="839" w:type="dxa"/>
            <w:tcBorders>
              <w:top w:val="single" w:color="000000" w:sz="4" w:space="0"/>
              <w:left w:val="nil"/>
              <w:bottom w:val="single" w:color="000000" w:sz="4" w:space="0"/>
              <w:right w:val="single" w:color="000000" w:sz="4" w:space="0"/>
            </w:tcBorders>
            <w:noWrap w:val="0"/>
            <w:vAlign w:val="top"/>
          </w:tcPr>
          <w:p w14:paraId="4A44693D">
            <w:pPr>
              <w:pStyle w:val="85"/>
              <w:spacing w:line="360" w:lineRule="auto"/>
              <w:rPr>
                <w:rFonts w:hint="eastAsia" w:ascii="宋体" w:hAnsi="宋体" w:eastAsia="宋体" w:cs="宋体"/>
                <w:color w:val="auto"/>
                <w:highlight w:val="none"/>
              </w:rPr>
            </w:pPr>
          </w:p>
        </w:tc>
        <w:tc>
          <w:tcPr>
            <w:tcW w:w="1092" w:type="dxa"/>
            <w:tcBorders>
              <w:top w:val="single" w:color="000000" w:sz="4" w:space="0"/>
              <w:left w:val="nil"/>
              <w:bottom w:val="single" w:color="000000" w:sz="4" w:space="0"/>
              <w:right w:val="single" w:color="000000" w:sz="4" w:space="0"/>
            </w:tcBorders>
            <w:noWrap w:val="0"/>
            <w:vAlign w:val="top"/>
          </w:tcPr>
          <w:p w14:paraId="28272FC1">
            <w:pPr>
              <w:pStyle w:val="85"/>
              <w:spacing w:line="360" w:lineRule="auto"/>
              <w:rPr>
                <w:rFonts w:hint="eastAsia" w:ascii="宋体" w:hAnsi="宋体" w:eastAsia="宋体" w:cs="宋体"/>
                <w:color w:val="auto"/>
                <w:highlight w:val="none"/>
              </w:rPr>
            </w:pPr>
          </w:p>
        </w:tc>
        <w:tc>
          <w:tcPr>
            <w:tcW w:w="741" w:type="dxa"/>
            <w:tcBorders>
              <w:top w:val="single" w:color="000000" w:sz="4" w:space="0"/>
              <w:left w:val="nil"/>
              <w:bottom w:val="single" w:color="000000" w:sz="4" w:space="0"/>
              <w:right w:val="single" w:color="000000" w:sz="4" w:space="0"/>
            </w:tcBorders>
            <w:noWrap w:val="0"/>
            <w:vAlign w:val="top"/>
          </w:tcPr>
          <w:p w14:paraId="361ECD94">
            <w:pPr>
              <w:pStyle w:val="85"/>
              <w:spacing w:line="360" w:lineRule="auto"/>
              <w:rPr>
                <w:rFonts w:hint="eastAsia" w:ascii="宋体" w:hAnsi="宋体" w:eastAsia="宋体" w:cs="宋体"/>
                <w:color w:val="auto"/>
                <w:highlight w:val="none"/>
              </w:rPr>
            </w:pPr>
          </w:p>
        </w:tc>
        <w:tc>
          <w:tcPr>
            <w:tcW w:w="814" w:type="dxa"/>
            <w:tcBorders>
              <w:top w:val="single" w:color="000000" w:sz="4" w:space="0"/>
              <w:left w:val="nil"/>
              <w:bottom w:val="single" w:color="000000" w:sz="4" w:space="0"/>
              <w:right w:val="single" w:color="000000" w:sz="4" w:space="0"/>
            </w:tcBorders>
            <w:noWrap w:val="0"/>
            <w:vAlign w:val="top"/>
          </w:tcPr>
          <w:p w14:paraId="1A437751">
            <w:pPr>
              <w:pStyle w:val="85"/>
              <w:spacing w:line="360" w:lineRule="auto"/>
              <w:rPr>
                <w:rFonts w:hint="eastAsia" w:ascii="宋体" w:hAnsi="宋体" w:eastAsia="宋体" w:cs="宋体"/>
                <w:color w:val="auto"/>
                <w:highlight w:val="none"/>
              </w:rPr>
            </w:pPr>
          </w:p>
        </w:tc>
        <w:tc>
          <w:tcPr>
            <w:tcW w:w="1337" w:type="dxa"/>
            <w:tcBorders>
              <w:top w:val="single" w:color="000000" w:sz="4" w:space="0"/>
              <w:left w:val="nil"/>
              <w:bottom w:val="single" w:color="000000" w:sz="4" w:space="0"/>
              <w:right w:val="single" w:color="000000" w:sz="4" w:space="0"/>
            </w:tcBorders>
            <w:noWrap w:val="0"/>
            <w:vAlign w:val="top"/>
          </w:tcPr>
          <w:p w14:paraId="5057FF5D">
            <w:pPr>
              <w:pStyle w:val="85"/>
              <w:spacing w:line="360" w:lineRule="auto"/>
              <w:rPr>
                <w:rFonts w:hint="eastAsia" w:ascii="宋体" w:hAnsi="宋体" w:eastAsia="宋体" w:cs="宋体"/>
                <w:color w:val="auto"/>
                <w:highlight w:val="none"/>
              </w:rPr>
            </w:pPr>
          </w:p>
        </w:tc>
        <w:tc>
          <w:tcPr>
            <w:tcW w:w="965" w:type="dxa"/>
            <w:tcBorders>
              <w:top w:val="single" w:color="000000" w:sz="4" w:space="0"/>
              <w:left w:val="nil"/>
              <w:bottom w:val="single" w:color="000000" w:sz="4" w:space="0"/>
              <w:right w:val="single" w:color="000000" w:sz="4" w:space="0"/>
            </w:tcBorders>
            <w:noWrap w:val="0"/>
            <w:vAlign w:val="top"/>
          </w:tcPr>
          <w:p w14:paraId="1FFEA153">
            <w:pPr>
              <w:pStyle w:val="85"/>
              <w:spacing w:line="360" w:lineRule="auto"/>
              <w:rPr>
                <w:rFonts w:hint="eastAsia" w:ascii="宋体" w:hAnsi="宋体" w:eastAsia="宋体" w:cs="宋体"/>
                <w:color w:val="auto"/>
                <w:highlight w:val="none"/>
              </w:rPr>
            </w:pPr>
          </w:p>
        </w:tc>
        <w:tc>
          <w:tcPr>
            <w:tcW w:w="1164" w:type="dxa"/>
            <w:tcBorders>
              <w:top w:val="single" w:color="000000" w:sz="4" w:space="0"/>
              <w:left w:val="nil"/>
              <w:bottom w:val="single" w:color="000000" w:sz="4" w:space="0"/>
              <w:right w:val="single" w:color="000000" w:sz="4" w:space="0"/>
            </w:tcBorders>
            <w:noWrap w:val="0"/>
            <w:vAlign w:val="top"/>
          </w:tcPr>
          <w:p w14:paraId="40A5E656">
            <w:pPr>
              <w:pStyle w:val="85"/>
              <w:spacing w:line="360" w:lineRule="auto"/>
              <w:rPr>
                <w:rFonts w:hint="eastAsia" w:ascii="宋体" w:hAnsi="宋体" w:eastAsia="宋体" w:cs="宋体"/>
                <w:color w:val="auto"/>
                <w:highlight w:val="none"/>
              </w:rPr>
            </w:pPr>
          </w:p>
        </w:tc>
        <w:tc>
          <w:tcPr>
            <w:tcW w:w="764" w:type="dxa"/>
            <w:tcBorders>
              <w:top w:val="single" w:color="000000" w:sz="4" w:space="0"/>
              <w:left w:val="nil"/>
              <w:bottom w:val="single" w:color="000000" w:sz="4" w:space="0"/>
              <w:right w:val="single" w:color="000000" w:sz="4" w:space="0"/>
            </w:tcBorders>
            <w:noWrap w:val="0"/>
            <w:vAlign w:val="top"/>
          </w:tcPr>
          <w:p w14:paraId="34F9C36C">
            <w:pPr>
              <w:pStyle w:val="85"/>
              <w:spacing w:line="360" w:lineRule="auto"/>
              <w:rPr>
                <w:rFonts w:hint="eastAsia" w:ascii="宋体" w:hAnsi="宋体" w:eastAsia="宋体" w:cs="宋体"/>
                <w:color w:val="auto"/>
                <w:highlight w:val="none"/>
              </w:rPr>
            </w:pPr>
          </w:p>
        </w:tc>
      </w:tr>
      <w:tr w14:paraId="776A2089">
        <w:tblPrEx>
          <w:tblCellMar>
            <w:top w:w="0" w:type="dxa"/>
            <w:left w:w="0" w:type="dxa"/>
            <w:bottom w:w="0" w:type="dxa"/>
            <w:right w:w="0" w:type="dxa"/>
          </w:tblCellMar>
        </w:tblPrEx>
        <w:trPr>
          <w:trHeight w:val="450"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top"/>
          </w:tcPr>
          <w:p w14:paraId="1B65182C">
            <w:pPr>
              <w:pStyle w:val="85"/>
              <w:spacing w:line="360" w:lineRule="auto"/>
              <w:rPr>
                <w:rFonts w:hint="eastAsia" w:ascii="宋体" w:hAnsi="宋体" w:eastAsia="宋体" w:cs="宋体"/>
                <w:color w:val="auto"/>
                <w:highlight w:val="none"/>
              </w:rPr>
            </w:pPr>
          </w:p>
        </w:tc>
        <w:tc>
          <w:tcPr>
            <w:tcW w:w="1198" w:type="dxa"/>
            <w:tcBorders>
              <w:top w:val="single" w:color="000000" w:sz="4" w:space="0"/>
              <w:left w:val="nil"/>
              <w:bottom w:val="single" w:color="000000" w:sz="4" w:space="0"/>
              <w:right w:val="single" w:color="000000" w:sz="4" w:space="0"/>
            </w:tcBorders>
            <w:noWrap w:val="0"/>
            <w:vAlign w:val="top"/>
          </w:tcPr>
          <w:p w14:paraId="5776BECB">
            <w:pPr>
              <w:pStyle w:val="85"/>
              <w:spacing w:line="360" w:lineRule="auto"/>
              <w:rPr>
                <w:rFonts w:hint="eastAsia" w:ascii="宋体" w:hAnsi="宋体" w:eastAsia="宋体" w:cs="宋体"/>
                <w:color w:val="auto"/>
                <w:highlight w:val="none"/>
              </w:rPr>
            </w:pPr>
          </w:p>
        </w:tc>
        <w:tc>
          <w:tcPr>
            <w:tcW w:w="839" w:type="dxa"/>
            <w:tcBorders>
              <w:top w:val="single" w:color="000000" w:sz="4" w:space="0"/>
              <w:left w:val="nil"/>
              <w:bottom w:val="single" w:color="000000" w:sz="4" w:space="0"/>
              <w:right w:val="single" w:color="000000" w:sz="4" w:space="0"/>
            </w:tcBorders>
            <w:noWrap w:val="0"/>
            <w:vAlign w:val="top"/>
          </w:tcPr>
          <w:p w14:paraId="594B08C2">
            <w:pPr>
              <w:pStyle w:val="85"/>
              <w:spacing w:line="360" w:lineRule="auto"/>
              <w:rPr>
                <w:rFonts w:hint="eastAsia" w:ascii="宋体" w:hAnsi="宋体" w:eastAsia="宋体" w:cs="宋体"/>
                <w:color w:val="auto"/>
                <w:highlight w:val="none"/>
              </w:rPr>
            </w:pPr>
          </w:p>
        </w:tc>
        <w:tc>
          <w:tcPr>
            <w:tcW w:w="1092" w:type="dxa"/>
            <w:tcBorders>
              <w:top w:val="single" w:color="000000" w:sz="4" w:space="0"/>
              <w:left w:val="nil"/>
              <w:bottom w:val="single" w:color="000000" w:sz="4" w:space="0"/>
              <w:right w:val="single" w:color="000000" w:sz="4" w:space="0"/>
            </w:tcBorders>
            <w:noWrap w:val="0"/>
            <w:vAlign w:val="top"/>
          </w:tcPr>
          <w:p w14:paraId="6A35DF64">
            <w:pPr>
              <w:pStyle w:val="85"/>
              <w:spacing w:line="360" w:lineRule="auto"/>
              <w:rPr>
                <w:rFonts w:hint="eastAsia" w:ascii="宋体" w:hAnsi="宋体" w:eastAsia="宋体" w:cs="宋体"/>
                <w:color w:val="auto"/>
                <w:highlight w:val="none"/>
              </w:rPr>
            </w:pPr>
          </w:p>
        </w:tc>
        <w:tc>
          <w:tcPr>
            <w:tcW w:w="741" w:type="dxa"/>
            <w:tcBorders>
              <w:top w:val="single" w:color="000000" w:sz="4" w:space="0"/>
              <w:left w:val="nil"/>
              <w:bottom w:val="single" w:color="000000" w:sz="4" w:space="0"/>
              <w:right w:val="single" w:color="000000" w:sz="4" w:space="0"/>
            </w:tcBorders>
            <w:noWrap w:val="0"/>
            <w:vAlign w:val="top"/>
          </w:tcPr>
          <w:p w14:paraId="61C5CEA0">
            <w:pPr>
              <w:pStyle w:val="85"/>
              <w:spacing w:line="360" w:lineRule="auto"/>
              <w:rPr>
                <w:rFonts w:hint="eastAsia" w:ascii="宋体" w:hAnsi="宋体" w:eastAsia="宋体" w:cs="宋体"/>
                <w:color w:val="auto"/>
                <w:highlight w:val="none"/>
              </w:rPr>
            </w:pPr>
          </w:p>
        </w:tc>
        <w:tc>
          <w:tcPr>
            <w:tcW w:w="814" w:type="dxa"/>
            <w:tcBorders>
              <w:top w:val="single" w:color="000000" w:sz="4" w:space="0"/>
              <w:left w:val="nil"/>
              <w:bottom w:val="single" w:color="000000" w:sz="4" w:space="0"/>
              <w:right w:val="single" w:color="000000" w:sz="4" w:space="0"/>
            </w:tcBorders>
            <w:noWrap w:val="0"/>
            <w:vAlign w:val="top"/>
          </w:tcPr>
          <w:p w14:paraId="1399E54D">
            <w:pPr>
              <w:pStyle w:val="85"/>
              <w:spacing w:line="360" w:lineRule="auto"/>
              <w:rPr>
                <w:rFonts w:hint="eastAsia" w:ascii="宋体" w:hAnsi="宋体" w:eastAsia="宋体" w:cs="宋体"/>
                <w:color w:val="auto"/>
                <w:highlight w:val="none"/>
              </w:rPr>
            </w:pPr>
          </w:p>
        </w:tc>
        <w:tc>
          <w:tcPr>
            <w:tcW w:w="1337" w:type="dxa"/>
            <w:tcBorders>
              <w:top w:val="single" w:color="000000" w:sz="4" w:space="0"/>
              <w:left w:val="nil"/>
              <w:bottom w:val="single" w:color="000000" w:sz="4" w:space="0"/>
              <w:right w:val="single" w:color="000000" w:sz="4" w:space="0"/>
            </w:tcBorders>
            <w:noWrap w:val="0"/>
            <w:vAlign w:val="top"/>
          </w:tcPr>
          <w:p w14:paraId="78A116E4">
            <w:pPr>
              <w:pStyle w:val="85"/>
              <w:spacing w:line="360" w:lineRule="auto"/>
              <w:rPr>
                <w:rFonts w:hint="eastAsia" w:ascii="宋体" w:hAnsi="宋体" w:eastAsia="宋体" w:cs="宋体"/>
                <w:color w:val="auto"/>
                <w:highlight w:val="none"/>
              </w:rPr>
            </w:pPr>
          </w:p>
        </w:tc>
        <w:tc>
          <w:tcPr>
            <w:tcW w:w="965" w:type="dxa"/>
            <w:tcBorders>
              <w:top w:val="single" w:color="000000" w:sz="4" w:space="0"/>
              <w:left w:val="nil"/>
              <w:bottom w:val="single" w:color="000000" w:sz="4" w:space="0"/>
              <w:right w:val="single" w:color="000000" w:sz="4" w:space="0"/>
            </w:tcBorders>
            <w:noWrap w:val="0"/>
            <w:vAlign w:val="top"/>
          </w:tcPr>
          <w:p w14:paraId="1012E3C5">
            <w:pPr>
              <w:pStyle w:val="85"/>
              <w:spacing w:line="360" w:lineRule="auto"/>
              <w:rPr>
                <w:rFonts w:hint="eastAsia" w:ascii="宋体" w:hAnsi="宋体" w:eastAsia="宋体" w:cs="宋体"/>
                <w:color w:val="auto"/>
                <w:highlight w:val="none"/>
              </w:rPr>
            </w:pPr>
          </w:p>
        </w:tc>
        <w:tc>
          <w:tcPr>
            <w:tcW w:w="1164" w:type="dxa"/>
            <w:tcBorders>
              <w:top w:val="single" w:color="000000" w:sz="4" w:space="0"/>
              <w:left w:val="nil"/>
              <w:bottom w:val="single" w:color="000000" w:sz="4" w:space="0"/>
              <w:right w:val="single" w:color="000000" w:sz="4" w:space="0"/>
            </w:tcBorders>
            <w:noWrap w:val="0"/>
            <w:vAlign w:val="top"/>
          </w:tcPr>
          <w:p w14:paraId="0ED044EE">
            <w:pPr>
              <w:pStyle w:val="85"/>
              <w:spacing w:line="360" w:lineRule="auto"/>
              <w:rPr>
                <w:rFonts w:hint="eastAsia" w:ascii="宋体" w:hAnsi="宋体" w:eastAsia="宋体" w:cs="宋体"/>
                <w:color w:val="auto"/>
                <w:highlight w:val="none"/>
              </w:rPr>
            </w:pPr>
          </w:p>
        </w:tc>
        <w:tc>
          <w:tcPr>
            <w:tcW w:w="764" w:type="dxa"/>
            <w:tcBorders>
              <w:top w:val="single" w:color="000000" w:sz="4" w:space="0"/>
              <w:left w:val="nil"/>
              <w:bottom w:val="single" w:color="000000" w:sz="4" w:space="0"/>
              <w:right w:val="single" w:color="000000" w:sz="4" w:space="0"/>
            </w:tcBorders>
            <w:noWrap w:val="0"/>
            <w:vAlign w:val="top"/>
          </w:tcPr>
          <w:p w14:paraId="1A088145">
            <w:pPr>
              <w:pStyle w:val="85"/>
              <w:spacing w:line="360" w:lineRule="auto"/>
              <w:rPr>
                <w:rFonts w:hint="eastAsia" w:ascii="宋体" w:hAnsi="宋体" w:eastAsia="宋体" w:cs="宋体"/>
                <w:color w:val="auto"/>
                <w:highlight w:val="none"/>
              </w:rPr>
            </w:pPr>
          </w:p>
        </w:tc>
      </w:tr>
    </w:tbl>
    <w:p w14:paraId="4E593F95">
      <w:pPr>
        <w:pStyle w:val="85"/>
        <w:spacing w:line="360" w:lineRule="auto"/>
        <w:rPr>
          <w:rFonts w:hint="eastAsia" w:ascii="宋体" w:hAnsi="宋体" w:eastAsia="宋体" w:cs="宋体"/>
          <w:b/>
          <w:color w:val="auto"/>
          <w:highlight w:val="none"/>
        </w:rPr>
      </w:pPr>
      <w:r>
        <w:rPr>
          <w:rFonts w:hint="eastAsia" w:ascii="宋体" w:hAnsi="宋体" w:eastAsia="宋体" w:cs="宋体"/>
          <w:color w:val="auto"/>
          <w:highlight w:val="none"/>
        </w:rPr>
        <w:t xml:space="preserve"> </w:t>
      </w:r>
      <w:bookmarkStart w:id="1972" w:name="_Toc418751906"/>
      <w:bookmarkStart w:id="1973" w:name="_Toc418752352"/>
      <w:bookmarkStart w:id="1974" w:name="_Toc483317225"/>
      <w:r>
        <w:rPr>
          <w:rFonts w:hint="eastAsia" w:ascii="宋体" w:hAnsi="宋体" w:eastAsia="宋体" w:cs="宋体"/>
          <w:b/>
          <w:color w:val="auto"/>
          <w:highlight w:val="none"/>
        </w:rPr>
        <w:t>附表二：拟配备本项目的试验和检测仪器设备表</w:t>
      </w:r>
      <w:bookmarkEnd w:id="1972"/>
      <w:bookmarkEnd w:id="1973"/>
      <w:bookmarkEnd w:id="1974"/>
    </w:p>
    <w:tbl>
      <w:tblPr>
        <w:tblStyle w:val="36"/>
        <w:tblW w:w="9648" w:type="dxa"/>
        <w:jc w:val="center"/>
        <w:tblLayout w:type="fixed"/>
        <w:tblCellMar>
          <w:top w:w="0" w:type="dxa"/>
          <w:left w:w="0" w:type="dxa"/>
          <w:bottom w:w="0" w:type="dxa"/>
          <w:right w:w="0" w:type="dxa"/>
        </w:tblCellMar>
      </w:tblPr>
      <w:tblGrid>
        <w:gridCol w:w="759"/>
        <w:gridCol w:w="1239"/>
        <w:gridCol w:w="866"/>
        <w:gridCol w:w="1129"/>
        <w:gridCol w:w="766"/>
        <w:gridCol w:w="841"/>
        <w:gridCol w:w="1382"/>
        <w:gridCol w:w="1885"/>
        <w:gridCol w:w="781"/>
      </w:tblGrid>
      <w:tr w14:paraId="191A64C9">
        <w:tblPrEx>
          <w:tblCellMar>
            <w:top w:w="0" w:type="dxa"/>
            <w:left w:w="0" w:type="dxa"/>
            <w:bottom w:w="0" w:type="dxa"/>
            <w:right w:w="0" w:type="dxa"/>
          </w:tblCellMar>
        </w:tblPrEx>
        <w:trPr>
          <w:trHeight w:val="890"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40E3C500">
            <w:pPr>
              <w:pStyle w:val="8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序号</w:t>
            </w:r>
          </w:p>
        </w:tc>
        <w:tc>
          <w:tcPr>
            <w:tcW w:w="1239" w:type="dxa"/>
            <w:tcBorders>
              <w:top w:val="single" w:color="000000" w:sz="4" w:space="0"/>
              <w:left w:val="nil"/>
              <w:bottom w:val="single" w:color="000000" w:sz="4" w:space="0"/>
              <w:right w:val="single" w:color="000000" w:sz="4" w:space="0"/>
            </w:tcBorders>
            <w:noWrap w:val="0"/>
            <w:vAlign w:val="center"/>
          </w:tcPr>
          <w:p w14:paraId="1929343C">
            <w:pPr>
              <w:pStyle w:val="85"/>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仪器设备</w:t>
            </w:r>
          </w:p>
          <w:p w14:paraId="0A2573AE">
            <w:pPr>
              <w:pStyle w:val="8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名称</w:t>
            </w:r>
          </w:p>
        </w:tc>
        <w:tc>
          <w:tcPr>
            <w:tcW w:w="866" w:type="dxa"/>
            <w:tcBorders>
              <w:top w:val="single" w:color="000000" w:sz="4" w:space="0"/>
              <w:left w:val="nil"/>
              <w:bottom w:val="single" w:color="000000" w:sz="4" w:space="0"/>
              <w:right w:val="single" w:color="000000" w:sz="4" w:space="0"/>
            </w:tcBorders>
            <w:noWrap w:val="0"/>
            <w:vAlign w:val="center"/>
          </w:tcPr>
          <w:p w14:paraId="0683B490">
            <w:pPr>
              <w:pStyle w:val="85"/>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型号</w:t>
            </w:r>
          </w:p>
          <w:p w14:paraId="0D22291E">
            <w:pPr>
              <w:pStyle w:val="8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规格</w:t>
            </w:r>
          </w:p>
        </w:tc>
        <w:tc>
          <w:tcPr>
            <w:tcW w:w="1129" w:type="dxa"/>
            <w:tcBorders>
              <w:top w:val="single" w:color="000000" w:sz="4" w:space="0"/>
              <w:left w:val="nil"/>
              <w:bottom w:val="single" w:color="000000" w:sz="4" w:space="0"/>
              <w:right w:val="single" w:color="000000" w:sz="4" w:space="0"/>
            </w:tcBorders>
            <w:noWrap w:val="0"/>
            <w:vAlign w:val="center"/>
          </w:tcPr>
          <w:p w14:paraId="780DBF5C">
            <w:pPr>
              <w:pStyle w:val="8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数量</w:t>
            </w:r>
          </w:p>
        </w:tc>
        <w:tc>
          <w:tcPr>
            <w:tcW w:w="766" w:type="dxa"/>
            <w:tcBorders>
              <w:top w:val="single" w:color="000000" w:sz="4" w:space="0"/>
              <w:left w:val="nil"/>
              <w:bottom w:val="single" w:color="000000" w:sz="4" w:space="0"/>
              <w:right w:val="single" w:color="000000" w:sz="4" w:space="0"/>
            </w:tcBorders>
            <w:noWrap w:val="0"/>
            <w:vAlign w:val="center"/>
          </w:tcPr>
          <w:p w14:paraId="46A1DD69">
            <w:pPr>
              <w:pStyle w:val="85"/>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国别</w:t>
            </w:r>
          </w:p>
          <w:p w14:paraId="02552D35">
            <w:pPr>
              <w:pStyle w:val="8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产地</w:t>
            </w:r>
          </w:p>
        </w:tc>
        <w:tc>
          <w:tcPr>
            <w:tcW w:w="841" w:type="dxa"/>
            <w:tcBorders>
              <w:top w:val="single" w:color="000000" w:sz="4" w:space="0"/>
              <w:left w:val="nil"/>
              <w:bottom w:val="single" w:color="000000" w:sz="4" w:space="0"/>
              <w:right w:val="single" w:color="000000" w:sz="4" w:space="0"/>
            </w:tcBorders>
            <w:noWrap w:val="0"/>
            <w:vAlign w:val="center"/>
          </w:tcPr>
          <w:p w14:paraId="13D115D6">
            <w:pPr>
              <w:pStyle w:val="85"/>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制造</w:t>
            </w:r>
          </w:p>
          <w:p w14:paraId="2299640E">
            <w:pPr>
              <w:pStyle w:val="8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年份</w:t>
            </w:r>
          </w:p>
        </w:tc>
        <w:tc>
          <w:tcPr>
            <w:tcW w:w="1382" w:type="dxa"/>
            <w:tcBorders>
              <w:top w:val="single" w:color="000000" w:sz="4" w:space="0"/>
              <w:left w:val="nil"/>
              <w:bottom w:val="single" w:color="000000" w:sz="4" w:space="0"/>
              <w:right w:val="single" w:color="000000" w:sz="4" w:space="0"/>
            </w:tcBorders>
            <w:noWrap w:val="0"/>
            <w:vAlign w:val="center"/>
          </w:tcPr>
          <w:p w14:paraId="1D224961">
            <w:pPr>
              <w:pStyle w:val="85"/>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已使用</w:t>
            </w:r>
          </w:p>
          <w:p w14:paraId="34282ADD">
            <w:pPr>
              <w:pStyle w:val="8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台时数</w:t>
            </w:r>
          </w:p>
        </w:tc>
        <w:tc>
          <w:tcPr>
            <w:tcW w:w="1885" w:type="dxa"/>
            <w:tcBorders>
              <w:top w:val="single" w:color="000000" w:sz="4" w:space="0"/>
              <w:left w:val="nil"/>
              <w:bottom w:val="single" w:color="000000" w:sz="4" w:space="0"/>
              <w:right w:val="single" w:color="000000" w:sz="4" w:space="0"/>
            </w:tcBorders>
            <w:noWrap w:val="0"/>
            <w:vAlign w:val="center"/>
          </w:tcPr>
          <w:p w14:paraId="6F2D7AD8">
            <w:pPr>
              <w:pStyle w:val="8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用途</w:t>
            </w:r>
          </w:p>
        </w:tc>
        <w:tc>
          <w:tcPr>
            <w:tcW w:w="781" w:type="dxa"/>
            <w:tcBorders>
              <w:top w:val="single" w:color="000000" w:sz="4" w:space="0"/>
              <w:left w:val="nil"/>
              <w:bottom w:val="single" w:color="000000" w:sz="4" w:space="0"/>
              <w:right w:val="single" w:color="000000" w:sz="4" w:space="0"/>
            </w:tcBorders>
            <w:noWrap w:val="0"/>
            <w:vAlign w:val="center"/>
          </w:tcPr>
          <w:p w14:paraId="417DF94F">
            <w:pPr>
              <w:pStyle w:val="8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备注</w:t>
            </w:r>
          </w:p>
        </w:tc>
      </w:tr>
      <w:tr w14:paraId="14ECF05B">
        <w:tblPrEx>
          <w:tblCellMar>
            <w:top w:w="0" w:type="dxa"/>
            <w:left w:w="0" w:type="dxa"/>
            <w:bottom w:w="0" w:type="dxa"/>
            <w:right w:w="0" w:type="dxa"/>
          </w:tblCellMar>
        </w:tblPrEx>
        <w:trPr>
          <w:trHeight w:val="450"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top"/>
          </w:tcPr>
          <w:p w14:paraId="632D1668">
            <w:pPr>
              <w:pStyle w:val="85"/>
              <w:spacing w:line="360" w:lineRule="auto"/>
              <w:rPr>
                <w:rFonts w:hint="eastAsia" w:ascii="宋体" w:hAnsi="宋体" w:eastAsia="宋体" w:cs="宋体"/>
                <w:color w:val="auto"/>
                <w:sz w:val="24"/>
                <w:szCs w:val="24"/>
                <w:highlight w:val="none"/>
              </w:rPr>
            </w:pPr>
          </w:p>
        </w:tc>
        <w:tc>
          <w:tcPr>
            <w:tcW w:w="1239" w:type="dxa"/>
            <w:tcBorders>
              <w:top w:val="single" w:color="000000" w:sz="4" w:space="0"/>
              <w:left w:val="nil"/>
              <w:bottom w:val="single" w:color="000000" w:sz="4" w:space="0"/>
              <w:right w:val="single" w:color="000000" w:sz="4" w:space="0"/>
            </w:tcBorders>
            <w:noWrap w:val="0"/>
            <w:vAlign w:val="top"/>
          </w:tcPr>
          <w:p w14:paraId="324AE35E">
            <w:pPr>
              <w:pStyle w:val="85"/>
              <w:spacing w:line="360" w:lineRule="auto"/>
              <w:rPr>
                <w:rFonts w:hint="eastAsia" w:ascii="宋体" w:hAnsi="宋体" w:eastAsia="宋体" w:cs="宋体"/>
                <w:color w:val="auto"/>
                <w:sz w:val="24"/>
                <w:szCs w:val="24"/>
                <w:highlight w:val="none"/>
              </w:rPr>
            </w:pPr>
          </w:p>
        </w:tc>
        <w:tc>
          <w:tcPr>
            <w:tcW w:w="866" w:type="dxa"/>
            <w:tcBorders>
              <w:top w:val="single" w:color="000000" w:sz="4" w:space="0"/>
              <w:left w:val="nil"/>
              <w:bottom w:val="single" w:color="000000" w:sz="4" w:space="0"/>
              <w:right w:val="single" w:color="000000" w:sz="4" w:space="0"/>
            </w:tcBorders>
            <w:noWrap w:val="0"/>
            <w:vAlign w:val="top"/>
          </w:tcPr>
          <w:p w14:paraId="3E432FE8">
            <w:pPr>
              <w:pStyle w:val="85"/>
              <w:spacing w:line="360" w:lineRule="auto"/>
              <w:rPr>
                <w:rFonts w:hint="eastAsia" w:ascii="宋体" w:hAnsi="宋体" w:eastAsia="宋体" w:cs="宋体"/>
                <w:color w:val="auto"/>
                <w:sz w:val="24"/>
                <w:szCs w:val="24"/>
                <w:highlight w:val="none"/>
              </w:rPr>
            </w:pPr>
          </w:p>
        </w:tc>
        <w:tc>
          <w:tcPr>
            <w:tcW w:w="1129" w:type="dxa"/>
            <w:tcBorders>
              <w:top w:val="single" w:color="000000" w:sz="4" w:space="0"/>
              <w:left w:val="nil"/>
              <w:bottom w:val="single" w:color="000000" w:sz="4" w:space="0"/>
              <w:right w:val="single" w:color="000000" w:sz="4" w:space="0"/>
            </w:tcBorders>
            <w:noWrap w:val="0"/>
            <w:vAlign w:val="top"/>
          </w:tcPr>
          <w:p w14:paraId="7F74F4EA">
            <w:pPr>
              <w:pStyle w:val="85"/>
              <w:spacing w:line="360" w:lineRule="auto"/>
              <w:rPr>
                <w:rFonts w:hint="eastAsia" w:ascii="宋体" w:hAnsi="宋体" w:eastAsia="宋体" w:cs="宋体"/>
                <w:color w:val="auto"/>
                <w:sz w:val="24"/>
                <w:szCs w:val="24"/>
                <w:highlight w:val="none"/>
              </w:rPr>
            </w:pPr>
          </w:p>
        </w:tc>
        <w:tc>
          <w:tcPr>
            <w:tcW w:w="766" w:type="dxa"/>
            <w:tcBorders>
              <w:top w:val="single" w:color="000000" w:sz="4" w:space="0"/>
              <w:left w:val="nil"/>
              <w:bottom w:val="single" w:color="000000" w:sz="4" w:space="0"/>
              <w:right w:val="single" w:color="000000" w:sz="4" w:space="0"/>
            </w:tcBorders>
            <w:noWrap w:val="0"/>
            <w:vAlign w:val="top"/>
          </w:tcPr>
          <w:p w14:paraId="50EAB7F2">
            <w:pPr>
              <w:pStyle w:val="85"/>
              <w:spacing w:line="360" w:lineRule="auto"/>
              <w:rPr>
                <w:rFonts w:hint="eastAsia" w:ascii="宋体" w:hAnsi="宋体" w:eastAsia="宋体" w:cs="宋体"/>
                <w:color w:val="auto"/>
                <w:sz w:val="24"/>
                <w:szCs w:val="24"/>
                <w:highlight w:val="none"/>
              </w:rPr>
            </w:pPr>
          </w:p>
        </w:tc>
        <w:tc>
          <w:tcPr>
            <w:tcW w:w="841" w:type="dxa"/>
            <w:tcBorders>
              <w:top w:val="single" w:color="000000" w:sz="4" w:space="0"/>
              <w:left w:val="nil"/>
              <w:bottom w:val="single" w:color="000000" w:sz="4" w:space="0"/>
              <w:right w:val="single" w:color="000000" w:sz="4" w:space="0"/>
            </w:tcBorders>
            <w:noWrap w:val="0"/>
            <w:vAlign w:val="top"/>
          </w:tcPr>
          <w:p w14:paraId="16DBFFED">
            <w:pPr>
              <w:pStyle w:val="85"/>
              <w:spacing w:line="360" w:lineRule="auto"/>
              <w:rPr>
                <w:rFonts w:hint="eastAsia" w:ascii="宋体" w:hAnsi="宋体" w:eastAsia="宋体" w:cs="宋体"/>
                <w:color w:val="auto"/>
                <w:sz w:val="24"/>
                <w:szCs w:val="24"/>
                <w:highlight w:val="none"/>
              </w:rPr>
            </w:pPr>
          </w:p>
        </w:tc>
        <w:tc>
          <w:tcPr>
            <w:tcW w:w="1382" w:type="dxa"/>
            <w:tcBorders>
              <w:top w:val="single" w:color="000000" w:sz="4" w:space="0"/>
              <w:left w:val="nil"/>
              <w:bottom w:val="single" w:color="000000" w:sz="4" w:space="0"/>
              <w:right w:val="single" w:color="000000" w:sz="4" w:space="0"/>
            </w:tcBorders>
            <w:noWrap w:val="0"/>
            <w:vAlign w:val="top"/>
          </w:tcPr>
          <w:p w14:paraId="6E8C57A0">
            <w:pPr>
              <w:pStyle w:val="85"/>
              <w:spacing w:line="360" w:lineRule="auto"/>
              <w:rPr>
                <w:rFonts w:hint="eastAsia" w:ascii="宋体" w:hAnsi="宋体" w:eastAsia="宋体" w:cs="宋体"/>
                <w:color w:val="auto"/>
                <w:sz w:val="24"/>
                <w:szCs w:val="24"/>
                <w:highlight w:val="none"/>
              </w:rPr>
            </w:pPr>
          </w:p>
        </w:tc>
        <w:tc>
          <w:tcPr>
            <w:tcW w:w="1885" w:type="dxa"/>
            <w:tcBorders>
              <w:top w:val="single" w:color="000000" w:sz="4" w:space="0"/>
              <w:left w:val="nil"/>
              <w:bottom w:val="single" w:color="000000" w:sz="4" w:space="0"/>
              <w:right w:val="single" w:color="000000" w:sz="4" w:space="0"/>
            </w:tcBorders>
            <w:noWrap w:val="0"/>
            <w:vAlign w:val="top"/>
          </w:tcPr>
          <w:p w14:paraId="41740364">
            <w:pPr>
              <w:pStyle w:val="85"/>
              <w:spacing w:line="360" w:lineRule="auto"/>
              <w:rPr>
                <w:rFonts w:hint="eastAsia" w:ascii="宋体" w:hAnsi="宋体" w:eastAsia="宋体" w:cs="宋体"/>
                <w:color w:val="auto"/>
                <w:sz w:val="24"/>
                <w:szCs w:val="24"/>
                <w:highlight w:val="none"/>
              </w:rPr>
            </w:pPr>
          </w:p>
        </w:tc>
        <w:tc>
          <w:tcPr>
            <w:tcW w:w="781" w:type="dxa"/>
            <w:tcBorders>
              <w:top w:val="single" w:color="000000" w:sz="4" w:space="0"/>
              <w:left w:val="nil"/>
              <w:bottom w:val="single" w:color="000000" w:sz="4" w:space="0"/>
              <w:right w:val="single" w:color="000000" w:sz="4" w:space="0"/>
            </w:tcBorders>
            <w:noWrap w:val="0"/>
            <w:vAlign w:val="top"/>
          </w:tcPr>
          <w:p w14:paraId="74041A61">
            <w:pPr>
              <w:pStyle w:val="85"/>
              <w:spacing w:line="360" w:lineRule="auto"/>
              <w:rPr>
                <w:rFonts w:hint="eastAsia" w:ascii="宋体" w:hAnsi="宋体" w:eastAsia="宋体" w:cs="宋体"/>
                <w:color w:val="auto"/>
                <w:sz w:val="24"/>
                <w:szCs w:val="24"/>
                <w:highlight w:val="none"/>
              </w:rPr>
            </w:pPr>
          </w:p>
        </w:tc>
      </w:tr>
      <w:tr w14:paraId="29E3800A">
        <w:tblPrEx>
          <w:tblCellMar>
            <w:top w:w="0" w:type="dxa"/>
            <w:left w:w="0" w:type="dxa"/>
            <w:bottom w:w="0" w:type="dxa"/>
            <w:right w:w="0" w:type="dxa"/>
          </w:tblCellMar>
        </w:tblPrEx>
        <w:trPr>
          <w:trHeight w:val="450"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top"/>
          </w:tcPr>
          <w:p w14:paraId="32CE9F83">
            <w:pPr>
              <w:pStyle w:val="85"/>
              <w:spacing w:line="360" w:lineRule="auto"/>
              <w:rPr>
                <w:rFonts w:hint="eastAsia" w:ascii="宋体" w:hAnsi="宋体" w:eastAsia="宋体" w:cs="宋体"/>
                <w:color w:val="auto"/>
                <w:sz w:val="24"/>
                <w:szCs w:val="24"/>
                <w:highlight w:val="none"/>
              </w:rPr>
            </w:pPr>
          </w:p>
        </w:tc>
        <w:tc>
          <w:tcPr>
            <w:tcW w:w="1239" w:type="dxa"/>
            <w:tcBorders>
              <w:top w:val="single" w:color="000000" w:sz="4" w:space="0"/>
              <w:left w:val="nil"/>
              <w:bottom w:val="single" w:color="000000" w:sz="4" w:space="0"/>
              <w:right w:val="single" w:color="000000" w:sz="4" w:space="0"/>
            </w:tcBorders>
            <w:noWrap w:val="0"/>
            <w:vAlign w:val="top"/>
          </w:tcPr>
          <w:p w14:paraId="5C4304D3">
            <w:pPr>
              <w:pStyle w:val="85"/>
              <w:spacing w:line="360" w:lineRule="auto"/>
              <w:rPr>
                <w:rFonts w:hint="eastAsia" w:ascii="宋体" w:hAnsi="宋体" w:eastAsia="宋体" w:cs="宋体"/>
                <w:color w:val="auto"/>
                <w:sz w:val="24"/>
                <w:szCs w:val="24"/>
                <w:highlight w:val="none"/>
              </w:rPr>
            </w:pPr>
          </w:p>
        </w:tc>
        <w:tc>
          <w:tcPr>
            <w:tcW w:w="866" w:type="dxa"/>
            <w:tcBorders>
              <w:top w:val="single" w:color="000000" w:sz="4" w:space="0"/>
              <w:left w:val="nil"/>
              <w:bottom w:val="single" w:color="000000" w:sz="4" w:space="0"/>
              <w:right w:val="single" w:color="000000" w:sz="4" w:space="0"/>
            </w:tcBorders>
            <w:noWrap w:val="0"/>
            <w:vAlign w:val="top"/>
          </w:tcPr>
          <w:p w14:paraId="5787ABCA">
            <w:pPr>
              <w:pStyle w:val="85"/>
              <w:spacing w:line="360" w:lineRule="auto"/>
              <w:rPr>
                <w:rFonts w:hint="eastAsia" w:ascii="宋体" w:hAnsi="宋体" w:eastAsia="宋体" w:cs="宋体"/>
                <w:color w:val="auto"/>
                <w:sz w:val="24"/>
                <w:szCs w:val="24"/>
                <w:highlight w:val="none"/>
              </w:rPr>
            </w:pPr>
          </w:p>
        </w:tc>
        <w:tc>
          <w:tcPr>
            <w:tcW w:w="1129" w:type="dxa"/>
            <w:tcBorders>
              <w:top w:val="single" w:color="000000" w:sz="4" w:space="0"/>
              <w:left w:val="nil"/>
              <w:bottom w:val="single" w:color="000000" w:sz="4" w:space="0"/>
              <w:right w:val="single" w:color="000000" w:sz="4" w:space="0"/>
            </w:tcBorders>
            <w:noWrap w:val="0"/>
            <w:vAlign w:val="top"/>
          </w:tcPr>
          <w:p w14:paraId="338BAB22">
            <w:pPr>
              <w:pStyle w:val="85"/>
              <w:spacing w:line="360" w:lineRule="auto"/>
              <w:rPr>
                <w:rFonts w:hint="eastAsia" w:ascii="宋体" w:hAnsi="宋体" w:eastAsia="宋体" w:cs="宋体"/>
                <w:color w:val="auto"/>
                <w:sz w:val="24"/>
                <w:szCs w:val="24"/>
                <w:highlight w:val="none"/>
              </w:rPr>
            </w:pPr>
          </w:p>
        </w:tc>
        <w:tc>
          <w:tcPr>
            <w:tcW w:w="766" w:type="dxa"/>
            <w:tcBorders>
              <w:top w:val="single" w:color="000000" w:sz="4" w:space="0"/>
              <w:left w:val="nil"/>
              <w:bottom w:val="single" w:color="000000" w:sz="4" w:space="0"/>
              <w:right w:val="single" w:color="000000" w:sz="4" w:space="0"/>
            </w:tcBorders>
            <w:noWrap w:val="0"/>
            <w:vAlign w:val="top"/>
          </w:tcPr>
          <w:p w14:paraId="0B03B431">
            <w:pPr>
              <w:pStyle w:val="85"/>
              <w:spacing w:line="360" w:lineRule="auto"/>
              <w:rPr>
                <w:rFonts w:hint="eastAsia" w:ascii="宋体" w:hAnsi="宋体" w:eastAsia="宋体" w:cs="宋体"/>
                <w:color w:val="auto"/>
                <w:sz w:val="24"/>
                <w:szCs w:val="24"/>
                <w:highlight w:val="none"/>
              </w:rPr>
            </w:pPr>
          </w:p>
        </w:tc>
        <w:tc>
          <w:tcPr>
            <w:tcW w:w="841" w:type="dxa"/>
            <w:tcBorders>
              <w:top w:val="single" w:color="000000" w:sz="4" w:space="0"/>
              <w:left w:val="nil"/>
              <w:bottom w:val="single" w:color="000000" w:sz="4" w:space="0"/>
              <w:right w:val="single" w:color="000000" w:sz="4" w:space="0"/>
            </w:tcBorders>
            <w:noWrap w:val="0"/>
            <w:vAlign w:val="top"/>
          </w:tcPr>
          <w:p w14:paraId="7DD0921A">
            <w:pPr>
              <w:pStyle w:val="85"/>
              <w:spacing w:line="360" w:lineRule="auto"/>
              <w:rPr>
                <w:rFonts w:hint="eastAsia" w:ascii="宋体" w:hAnsi="宋体" w:eastAsia="宋体" w:cs="宋体"/>
                <w:color w:val="auto"/>
                <w:sz w:val="24"/>
                <w:szCs w:val="24"/>
                <w:highlight w:val="none"/>
              </w:rPr>
            </w:pPr>
          </w:p>
        </w:tc>
        <w:tc>
          <w:tcPr>
            <w:tcW w:w="1382" w:type="dxa"/>
            <w:tcBorders>
              <w:top w:val="single" w:color="000000" w:sz="4" w:space="0"/>
              <w:left w:val="nil"/>
              <w:bottom w:val="single" w:color="000000" w:sz="4" w:space="0"/>
              <w:right w:val="single" w:color="000000" w:sz="4" w:space="0"/>
            </w:tcBorders>
            <w:noWrap w:val="0"/>
            <w:vAlign w:val="top"/>
          </w:tcPr>
          <w:p w14:paraId="5CD3A95F">
            <w:pPr>
              <w:pStyle w:val="85"/>
              <w:spacing w:line="360" w:lineRule="auto"/>
              <w:rPr>
                <w:rFonts w:hint="eastAsia" w:ascii="宋体" w:hAnsi="宋体" w:eastAsia="宋体" w:cs="宋体"/>
                <w:color w:val="auto"/>
                <w:sz w:val="24"/>
                <w:szCs w:val="24"/>
                <w:highlight w:val="none"/>
              </w:rPr>
            </w:pPr>
          </w:p>
        </w:tc>
        <w:tc>
          <w:tcPr>
            <w:tcW w:w="1885" w:type="dxa"/>
            <w:tcBorders>
              <w:top w:val="single" w:color="000000" w:sz="4" w:space="0"/>
              <w:left w:val="nil"/>
              <w:bottom w:val="single" w:color="000000" w:sz="4" w:space="0"/>
              <w:right w:val="single" w:color="000000" w:sz="4" w:space="0"/>
            </w:tcBorders>
            <w:noWrap w:val="0"/>
            <w:vAlign w:val="top"/>
          </w:tcPr>
          <w:p w14:paraId="1F848C80">
            <w:pPr>
              <w:pStyle w:val="85"/>
              <w:spacing w:line="360" w:lineRule="auto"/>
              <w:rPr>
                <w:rFonts w:hint="eastAsia" w:ascii="宋体" w:hAnsi="宋体" w:eastAsia="宋体" w:cs="宋体"/>
                <w:color w:val="auto"/>
                <w:sz w:val="24"/>
                <w:szCs w:val="24"/>
                <w:highlight w:val="none"/>
              </w:rPr>
            </w:pPr>
          </w:p>
        </w:tc>
        <w:tc>
          <w:tcPr>
            <w:tcW w:w="781" w:type="dxa"/>
            <w:tcBorders>
              <w:top w:val="single" w:color="000000" w:sz="4" w:space="0"/>
              <w:left w:val="nil"/>
              <w:bottom w:val="single" w:color="000000" w:sz="4" w:space="0"/>
              <w:right w:val="single" w:color="000000" w:sz="4" w:space="0"/>
            </w:tcBorders>
            <w:noWrap w:val="0"/>
            <w:vAlign w:val="top"/>
          </w:tcPr>
          <w:p w14:paraId="35DDC487">
            <w:pPr>
              <w:pStyle w:val="85"/>
              <w:spacing w:line="360" w:lineRule="auto"/>
              <w:rPr>
                <w:rFonts w:hint="eastAsia" w:ascii="宋体" w:hAnsi="宋体" w:eastAsia="宋体" w:cs="宋体"/>
                <w:color w:val="auto"/>
                <w:sz w:val="24"/>
                <w:szCs w:val="24"/>
                <w:highlight w:val="none"/>
              </w:rPr>
            </w:pPr>
          </w:p>
        </w:tc>
      </w:tr>
      <w:tr w14:paraId="45163AB7">
        <w:tblPrEx>
          <w:tblCellMar>
            <w:top w:w="0" w:type="dxa"/>
            <w:left w:w="0" w:type="dxa"/>
            <w:bottom w:w="0" w:type="dxa"/>
            <w:right w:w="0" w:type="dxa"/>
          </w:tblCellMar>
        </w:tblPrEx>
        <w:trPr>
          <w:trHeight w:val="450"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top"/>
          </w:tcPr>
          <w:p w14:paraId="785A2EC5">
            <w:pPr>
              <w:pStyle w:val="85"/>
              <w:spacing w:line="360" w:lineRule="auto"/>
              <w:rPr>
                <w:rFonts w:hint="eastAsia" w:ascii="宋体" w:hAnsi="宋体" w:eastAsia="宋体" w:cs="宋体"/>
                <w:color w:val="auto"/>
                <w:sz w:val="24"/>
                <w:szCs w:val="24"/>
                <w:highlight w:val="none"/>
              </w:rPr>
            </w:pPr>
          </w:p>
        </w:tc>
        <w:tc>
          <w:tcPr>
            <w:tcW w:w="1239" w:type="dxa"/>
            <w:tcBorders>
              <w:top w:val="single" w:color="000000" w:sz="4" w:space="0"/>
              <w:left w:val="nil"/>
              <w:bottom w:val="single" w:color="000000" w:sz="4" w:space="0"/>
              <w:right w:val="single" w:color="000000" w:sz="4" w:space="0"/>
            </w:tcBorders>
            <w:noWrap w:val="0"/>
            <w:vAlign w:val="top"/>
          </w:tcPr>
          <w:p w14:paraId="3C9B10F9">
            <w:pPr>
              <w:pStyle w:val="85"/>
              <w:spacing w:line="360" w:lineRule="auto"/>
              <w:rPr>
                <w:rFonts w:hint="eastAsia" w:ascii="宋体" w:hAnsi="宋体" w:eastAsia="宋体" w:cs="宋体"/>
                <w:color w:val="auto"/>
                <w:sz w:val="24"/>
                <w:szCs w:val="24"/>
                <w:highlight w:val="none"/>
              </w:rPr>
            </w:pPr>
          </w:p>
        </w:tc>
        <w:tc>
          <w:tcPr>
            <w:tcW w:w="866" w:type="dxa"/>
            <w:tcBorders>
              <w:top w:val="single" w:color="000000" w:sz="4" w:space="0"/>
              <w:left w:val="nil"/>
              <w:bottom w:val="single" w:color="000000" w:sz="4" w:space="0"/>
              <w:right w:val="single" w:color="000000" w:sz="4" w:space="0"/>
            </w:tcBorders>
            <w:noWrap w:val="0"/>
            <w:vAlign w:val="top"/>
          </w:tcPr>
          <w:p w14:paraId="33D72AA4">
            <w:pPr>
              <w:pStyle w:val="85"/>
              <w:spacing w:line="360" w:lineRule="auto"/>
              <w:rPr>
                <w:rFonts w:hint="eastAsia" w:ascii="宋体" w:hAnsi="宋体" w:eastAsia="宋体" w:cs="宋体"/>
                <w:color w:val="auto"/>
                <w:sz w:val="24"/>
                <w:szCs w:val="24"/>
                <w:highlight w:val="none"/>
              </w:rPr>
            </w:pPr>
          </w:p>
        </w:tc>
        <w:tc>
          <w:tcPr>
            <w:tcW w:w="1129" w:type="dxa"/>
            <w:tcBorders>
              <w:top w:val="single" w:color="000000" w:sz="4" w:space="0"/>
              <w:left w:val="nil"/>
              <w:bottom w:val="single" w:color="000000" w:sz="4" w:space="0"/>
              <w:right w:val="single" w:color="000000" w:sz="4" w:space="0"/>
            </w:tcBorders>
            <w:noWrap w:val="0"/>
            <w:vAlign w:val="top"/>
          </w:tcPr>
          <w:p w14:paraId="1FFAD04D">
            <w:pPr>
              <w:pStyle w:val="85"/>
              <w:spacing w:line="360" w:lineRule="auto"/>
              <w:rPr>
                <w:rFonts w:hint="eastAsia" w:ascii="宋体" w:hAnsi="宋体" w:eastAsia="宋体" w:cs="宋体"/>
                <w:color w:val="auto"/>
                <w:sz w:val="24"/>
                <w:szCs w:val="24"/>
                <w:highlight w:val="none"/>
              </w:rPr>
            </w:pPr>
          </w:p>
        </w:tc>
        <w:tc>
          <w:tcPr>
            <w:tcW w:w="766" w:type="dxa"/>
            <w:tcBorders>
              <w:top w:val="single" w:color="000000" w:sz="4" w:space="0"/>
              <w:left w:val="nil"/>
              <w:bottom w:val="single" w:color="000000" w:sz="4" w:space="0"/>
              <w:right w:val="single" w:color="000000" w:sz="4" w:space="0"/>
            </w:tcBorders>
            <w:noWrap w:val="0"/>
            <w:vAlign w:val="top"/>
          </w:tcPr>
          <w:p w14:paraId="7DC01613">
            <w:pPr>
              <w:pStyle w:val="85"/>
              <w:spacing w:line="360" w:lineRule="auto"/>
              <w:rPr>
                <w:rFonts w:hint="eastAsia" w:ascii="宋体" w:hAnsi="宋体" w:eastAsia="宋体" w:cs="宋体"/>
                <w:color w:val="auto"/>
                <w:sz w:val="24"/>
                <w:szCs w:val="24"/>
                <w:highlight w:val="none"/>
              </w:rPr>
            </w:pPr>
          </w:p>
        </w:tc>
        <w:tc>
          <w:tcPr>
            <w:tcW w:w="841" w:type="dxa"/>
            <w:tcBorders>
              <w:top w:val="single" w:color="000000" w:sz="4" w:space="0"/>
              <w:left w:val="nil"/>
              <w:bottom w:val="single" w:color="000000" w:sz="4" w:space="0"/>
              <w:right w:val="single" w:color="000000" w:sz="4" w:space="0"/>
            </w:tcBorders>
            <w:noWrap w:val="0"/>
            <w:vAlign w:val="top"/>
          </w:tcPr>
          <w:p w14:paraId="5C9B3853">
            <w:pPr>
              <w:pStyle w:val="85"/>
              <w:spacing w:line="360" w:lineRule="auto"/>
              <w:rPr>
                <w:rFonts w:hint="eastAsia" w:ascii="宋体" w:hAnsi="宋体" w:eastAsia="宋体" w:cs="宋体"/>
                <w:color w:val="auto"/>
                <w:sz w:val="24"/>
                <w:szCs w:val="24"/>
                <w:highlight w:val="none"/>
              </w:rPr>
            </w:pPr>
          </w:p>
        </w:tc>
        <w:tc>
          <w:tcPr>
            <w:tcW w:w="1382" w:type="dxa"/>
            <w:tcBorders>
              <w:top w:val="single" w:color="000000" w:sz="4" w:space="0"/>
              <w:left w:val="nil"/>
              <w:bottom w:val="single" w:color="000000" w:sz="4" w:space="0"/>
              <w:right w:val="single" w:color="000000" w:sz="4" w:space="0"/>
            </w:tcBorders>
            <w:noWrap w:val="0"/>
            <w:vAlign w:val="top"/>
          </w:tcPr>
          <w:p w14:paraId="4B582879">
            <w:pPr>
              <w:pStyle w:val="85"/>
              <w:spacing w:line="360" w:lineRule="auto"/>
              <w:rPr>
                <w:rFonts w:hint="eastAsia" w:ascii="宋体" w:hAnsi="宋体" w:eastAsia="宋体" w:cs="宋体"/>
                <w:color w:val="auto"/>
                <w:sz w:val="24"/>
                <w:szCs w:val="24"/>
                <w:highlight w:val="none"/>
              </w:rPr>
            </w:pPr>
          </w:p>
        </w:tc>
        <w:tc>
          <w:tcPr>
            <w:tcW w:w="1885" w:type="dxa"/>
            <w:tcBorders>
              <w:top w:val="single" w:color="000000" w:sz="4" w:space="0"/>
              <w:left w:val="nil"/>
              <w:bottom w:val="single" w:color="000000" w:sz="4" w:space="0"/>
              <w:right w:val="single" w:color="000000" w:sz="4" w:space="0"/>
            </w:tcBorders>
            <w:noWrap w:val="0"/>
            <w:vAlign w:val="top"/>
          </w:tcPr>
          <w:p w14:paraId="751DFD85">
            <w:pPr>
              <w:pStyle w:val="85"/>
              <w:spacing w:line="360" w:lineRule="auto"/>
              <w:rPr>
                <w:rFonts w:hint="eastAsia" w:ascii="宋体" w:hAnsi="宋体" w:eastAsia="宋体" w:cs="宋体"/>
                <w:color w:val="auto"/>
                <w:sz w:val="24"/>
                <w:szCs w:val="24"/>
                <w:highlight w:val="none"/>
              </w:rPr>
            </w:pPr>
          </w:p>
        </w:tc>
        <w:tc>
          <w:tcPr>
            <w:tcW w:w="781" w:type="dxa"/>
            <w:tcBorders>
              <w:top w:val="single" w:color="000000" w:sz="4" w:space="0"/>
              <w:left w:val="nil"/>
              <w:bottom w:val="single" w:color="000000" w:sz="4" w:space="0"/>
              <w:right w:val="single" w:color="000000" w:sz="4" w:space="0"/>
            </w:tcBorders>
            <w:noWrap w:val="0"/>
            <w:vAlign w:val="top"/>
          </w:tcPr>
          <w:p w14:paraId="71315481">
            <w:pPr>
              <w:pStyle w:val="85"/>
              <w:spacing w:line="360" w:lineRule="auto"/>
              <w:rPr>
                <w:rFonts w:hint="eastAsia" w:ascii="宋体" w:hAnsi="宋体" w:eastAsia="宋体" w:cs="宋体"/>
                <w:color w:val="auto"/>
                <w:sz w:val="24"/>
                <w:szCs w:val="24"/>
                <w:highlight w:val="none"/>
              </w:rPr>
            </w:pPr>
          </w:p>
        </w:tc>
      </w:tr>
      <w:tr w14:paraId="08D673F0">
        <w:tblPrEx>
          <w:tblCellMar>
            <w:top w:w="0" w:type="dxa"/>
            <w:left w:w="0" w:type="dxa"/>
            <w:bottom w:w="0" w:type="dxa"/>
            <w:right w:w="0" w:type="dxa"/>
          </w:tblCellMar>
        </w:tblPrEx>
        <w:trPr>
          <w:trHeight w:val="450"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top"/>
          </w:tcPr>
          <w:p w14:paraId="221345F7">
            <w:pPr>
              <w:pStyle w:val="85"/>
              <w:spacing w:line="360" w:lineRule="auto"/>
              <w:rPr>
                <w:rFonts w:hint="eastAsia" w:ascii="宋体" w:hAnsi="宋体" w:eastAsia="宋体" w:cs="宋体"/>
                <w:color w:val="auto"/>
                <w:sz w:val="24"/>
                <w:szCs w:val="24"/>
                <w:highlight w:val="none"/>
              </w:rPr>
            </w:pPr>
          </w:p>
        </w:tc>
        <w:tc>
          <w:tcPr>
            <w:tcW w:w="1239" w:type="dxa"/>
            <w:tcBorders>
              <w:top w:val="single" w:color="000000" w:sz="4" w:space="0"/>
              <w:left w:val="nil"/>
              <w:bottom w:val="single" w:color="000000" w:sz="4" w:space="0"/>
              <w:right w:val="single" w:color="000000" w:sz="4" w:space="0"/>
            </w:tcBorders>
            <w:noWrap w:val="0"/>
            <w:vAlign w:val="top"/>
          </w:tcPr>
          <w:p w14:paraId="67F4EA92">
            <w:pPr>
              <w:pStyle w:val="85"/>
              <w:spacing w:line="360" w:lineRule="auto"/>
              <w:rPr>
                <w:rFonts w:hint="eastAsia" w:ascii="宋体" w:hAnsi="宋体" w:eastAsia="宋体" w:cs="宋体"/>
                <w:color w:val="auto"/>
                <w:sz w:val="24"/>
                <w:szCs w:val="24"/>
                <w:highlight w:val="none"/>
              </w:rPr>
            </w:pPr>
          </w:p>
        </w:tc>
        <w:tc>
          <w:tcPr>
            <w:tcW w:w="866" w:type="dxa"/>
            <w:tcBorders>
              <w:top w:val="single" w:color="000000" w:sz="4" w:space="0"/>
              <w:left w:val="nil"/>
              <w:bottom w:val="single" w:color="000000" w:sz="4" w:space="0"/>
              <w:right w:val="single" w:color="000000" w:sz="4" w:space="0"/>
            </w:tcBorders>
            <w:noWrap w:val="0"/>
            <w:vAlign w:val="top"/>
          </w:tcPr>
          <w:p w14:paraId="7475AE32">
            <w:pPr>
              <w:pStyle w:val="85"/>
              <w:spacing w:line="360" w:lineRule="auto"/>
              <w:rPr>
                <w:rFonts w:hint="eastAsia" w:ascii="宋体" w:hAnsi="宋体" w:eastAsia="宋体" w:cs="宋体"/>
                <w:color w:val="auto"/>
                <w:sz w:val="24"/>
                <w:szCs w:val="24"/>
                <w:highlight w:val="none"/>
              </w:rPr>
            </w:pPr>
          </w:p>
        </w:tc>
        <w:tc>
          <w:tcPr>
            <w:tcW w:w="1129" w:type="dxa"/>
            <w:tcBorders>
              <w:top w:val="single" w:color="000000" w:sz="4" w:space="0"/>
              <w:left w:val="nil"/>
              <w:bottom w:val="single" w:color="000000" w:sz="4" w:space="0"/>
              <w:right w:val="single" w:color="000000" w:sz="4" w:space="0"/>
            </w:tcBorders>
            <w:noWrap w:val="0"/>
            <w:vAlign w:val="top"/>
          </w:tcPr>
          <w:p w14:paraId="608467C7">
            <w:pPr>
              <w:pStyle w:val="85"/>
              <w:spacing w:line="360" w:lineRule="auto"/>
              <w:rPr>
                <w:rFonts w:hint="eastAsia" w:ascii="宋体" w:hAnsi="宋体" w:eastAsia="宋体" w:cs="宋体"/>
                <w:color w:val="auto"/>
                <w:sz w:val="24"/>
                <w:szCs w:val="24"/>
                <w:highlight w:val="none"/>
              </w:rPr>
            </w:pPr>
          </w:p>
        </w:tc>
        <w:tc>
          <w:tcPr>
            <w:tcW w:w="766" w:type="dxa"/>
            <w:tcBorders>
              <w:top w:val="single" w:color="000000" w:sz="4" w:space="0"/>
              <w:left w:val="nil"/>
              <w:bottom w:val="single" w:color="000000" w:sz="4" w:space="0"/>
              <w:right w:val="single" w:color="000000" w:sz="4" w:space="0"/>
            </w:tcBorders>
            <w:noWrap w:val="0"/>
            <w:vAlign w:val="top"/>
          </w:tcPr>
          <w:p w14:paraId="626B840A">
            <w:pPr>
              <w:pStyle w:val="85"/>
              <w:spacing w:line="360" w:lineRule="auto"/>
              <w:rPr>
                <w:rFonts w:hint="eastAsia" w:ascii="宋体" w:hAnsi="宋体" w:eastAsia="宋体" w:cs="宋体"/>
                <w:color w:val="auto"/>
                <w:sz w:val="24"/>
                <w:szCs w:val="24"/>
                <w:highlight w:val="none"/>
              </w:rPr>
            </w:pPr>
          </w:p>
        </w:tc>
        <w:tc>
          <w:tcPr>
            <w:tcW w:w="841" w:type="dxa"/>
            <w:tcBorders>
              <w:top w:val="single" w:color="000000" w:sz="4" w:space="0"/>
              <w:left w:val="nil"/>
              <w:bottom w:val="single" w:color="000000" w:sz="4" w:space="0"/>
              <w:right w:val="single" w:color="000000" w:sz="4" w:space="0"/>
            </w:tcBorders>
            <w:noWrap w:val="0"/>
            <w:vAlign w:val="top"/>
          </w:tcPr>
          <w:p w14:paraId="0CE7088D">
            <w:pPr>
              <w:pStyle w:val="85"/>
              <w:spacing w:line="360" w:lineRule="auto"/>
              <w:rPr>
                <w:rFonts w:hint="eastAsia" w:ascii="宋体" w:hAnsi="宋体" w:eastAsia="宋体" w:cs="宋体"/>
                <w:color w:val="auto"/>
                <w:sz w:val="24"/>
                <w:szCs w:val="24"/>
                <w:highlight w:val="none"/>
              </w:rPr>
            </w:pPr>
          </w:p>
        </w:tc>
        <w:tc>
          <w:tcPr>
            <w:tcW w:w="1382" w:type="dxa"/>
            <w:tcBorders>
              <w:top w:val="single" w:color="000000" w:sz="4" w:space="0"/>
              <w:left w:val="nil"/>
              <w:bottom w:val="single" w:color="000000" w:sz="4" w:space="0"/>
              <w:right w:val="single" w:color="000000" w:sz="4" w:space="0"/>
            </w:tcBorders>
            <w:noWrap w:val="0"/>
            <w:vAlign w:val="top"/>
          </w:tcPr>
          <w:p w14:paraId="7035CB95">
            <w:pPr>
              <w:pStyle w:val="85"/>
              <w:spacing w:line="360" w:lineRule="auto"/>
              <w:rPr>
                <w:rFonts w:hint="eastAsia" w:ascii="宋体" w:hAnsi="宋体" w:eastAsia="宋体" w:cs="宋体"/>
                <w:color w:val="auto"/>
                <w:sz w:val="24"/>
                <w:szCs w:val="24"/>
                <w:highlight w:val="none"/>
              </w:rPr>
            </w:pPr>
          </w:p>
        </w:tc>
        <w:tc>
          <w:tcPr>
            <w:tcW w:w="1885" w:type="dxa"/>
            <w:tcBorders>
              <w:top w:val="single" w:color="000000" w:sz="4" w:space="0"/>
              <w:left w:val="nil"/>
              <w:bottom w:val="single" w:color="000000" w:sz="4" w:space="0"/>
              <w:right w:val="single" w:color="000000" w:sz="4" w:space="0"/>
            </w:tcBorders>
            <w:noWrap w:val="0"/>
            <w:vAlign w:val="top"/>
          </w:tcPr>
          <w:p w14:paraId="5C1CEDA7">
            <w:pPr>
              <w:pStyle w:val="85"/>
              <w:spacing w:line="360" w:lineRule="auto"/>
              <w:rPr>
                <w:rFonts w:hint="eastAsia" w:ascii="宋体" w:hAnsi="宋体" w:eastAsia="宋体" w:cs="宋体"/>
                <w:color w:val="auto"/>
                <w:sz w:val="24"/>
                <w:szCs w:val="24"/>
                <w:highlight w:val="none"/>
              </w:rPr>
            </w:pPr>
          </w:p>
        </w:tc>
        <w:tc>
          <w:tcPr>
            <w:tcW w:w="781" w:type="dxa"/>
            <w:tcBorders>
              <w:top w:val="single" w:color="000000" w:sz="4" w:space="0"/>
              <w:left w:val="nil"/>
              <w:bottom w:val="single" w:color="000000" w:sz="4" w:space="0"/>
              <w:right w:val="single" w:color="000000" w:sz="4" w:space="0"/>
            </w:tcBorders>
            <w:noWrap w:val="0"/>
            <w:vAlign w:val="top"/>
          </w:tcPr>
          <w:p w14:paraId="7CF39F27">
            <w:pPr>
              <w:pStyle w:val="85"/>
              <w:spacing w:line="360" w:lineRule="auto"/>
              <w:rPr>
                <w:rFonts w:hint="eastAsia" w:ascii="宋体" w:hAnsi="宋体" w:eastAsia="宋体" w:cs="宋体"/>
                <w:color w:val="auto"/>
                <w:sz w:val="24"/>
                <w:szCs w:val="24"/>
                <w:highlight w:val="none"/>
              </w:rPr>
            </w:pPr>
          </w:p>
        </w:tc>
      </w:tr>
    </w:tbl>
    <w:p w14:paraId="52B7B721">
      <w:pPr>
        <w:pStyle w:val="85"/>
        <w:spacing w:line="360" w:lineRule="auto"/>
        <w:rPr>
          <w:rFonts w:hint="eastAsia" w:ascii="宋体" w:hAnsi="宋体" w:eastAsia="宋体" w:cs="宋体"/>
          <w:b/>
          <w:color w:val="auto"/>
          <w:highlight w:val="none"/>
        </w:rPr>
      </w:pPr>
      <w:r>
        <w:rPr>
          <w:rFonts w:hint="eastAsia" w:ascii="宋体" w:hAnsi="宋体" w:eastAsia="宋体" w:cs="宋体"/>
          <w:color w:val="auto"/>
          <w:sz w:val="20"/>
          <w:szCs w:val="20"/>
          <w:highlight w:val="none"/>
        </w:rPr>
        <w:t xml:space="preserve"> </w:t>
      </w:r>
      <w:bookmarkStart w:id="1975" w:name="_Toc418752353"/>
      <w:bookmarkStart w:id="1976" w:name="_Toc483317226"/>
      <w:bookmarkStart w:id="1977" w:name="_Toc418751907"/>
      <w:r>
        <w:rPr>
          <w:rFonts w:hint="eastAsia" w:ascii="宋体" w:hAnsi="宋体" w:eastAsia="宋体" w:cs="宋体"/>
          <w:b/>
          <w:color w:val="auto"/>
          <w:highlight w:val="none"/>
        </w:rPr>
        <w:t>附表三：劳动力计划表</w:t>
      </w:r>
      <w:bookmarkEnd w:id="1975"/>
      <w:bookmarkEnd w:id="1976"/>
      <w:bookmarkEnd w:id="1977"/>
    </w:p>
    <w:p w14:paraId="46C8DCF1">
      <w:pPr>
        <w:pStyle w:val="85"/>
        <w:spacing w:line="360" w:lineRule="auto"/>
        <w:jc w:val="right"/>
        <w:rPr>
          <w:rFonts w:hint="eastAsia" w:ascii="宋体" w:hAnsi="宋体" w:eastAsia="宋体" w:cs="宋体"/>
          <w:color w:val="auto"/>
          <w:highlight w:val="none"/>
        </w:rPr>
      </w:pPr>
      <w:r>
        <w:rPr>
          <w:rFonts w:hint="eastAsia" w:ascii="宋体" w:hAnsi="宋体" w:eastAsia="宋体" w:cs="宋体"/>
          <w:color w:val="auto"/>
          <w:highlight w:val="none"/>
        </w:rPr>
        <w:t>单位：人</w:t>
      </w:r>
    </w:p>
    <w:tbl>
      <w:tblPr>
        <w:tblStyle w:val="36"/>
        <w:tblW w:w="9648" w:type="dxa"/>
        <w:jc w:val="center"/>
        <w:tblLayout w:type="fixed"/>
        <w:tblCellMar>
          <w:top w:w="0" w:type="dxa"/>
          <w:left w:w="0" w:type="dxa"/>
          <w:bottom w:w="0" w:type="dxa"/>
          <w:right w:w="0" w:type="dxa"/>
        </w:tblCellMar>
      </w:tblPr>
      <w:tblGrid>
        <w:gridCol w:w="938"/>
        <w:gridCol w:w="1478"/>
        <w:gridCol w:w="1204"/>
        <w:gridCol w:w="1206"/>
        <w:gridCol w:w="1204"/>
        <w:gridCol w:w="1206"/>
        <w:gridCol w:w="1204"/>
        <w:gridCol w:w="1208"/>
      </w:tblGrid>
      <w:tr w14:paraId="53753E68">
        <w:tblPrEx>
          <w:tblCellMar>
            <w:top w:w="0" w:type="dxa"/>
            <w:left w:w="0" w:type="dxa"/>
            <w:bottom w:w="0" w:type="dxa"/>
            <w:right w:w="0" w:type="dxa"/>
          </w:tblCellMar>
        </w:tblPrEx>
        <w:trPr>
          <w:trHeight w:val="448" w:hRule="atLeast"/>
          <w:jc w:val="center"/>
        </w:trPr>
        <w:tc>
          <w:tcPr>
            <w:tcW w:w="938" w:type="dxa"/>
            <w:tcBorders>
              <w:top w:val="single" w:color="000000" w:sz="4" w:space="0"/>
              <w:left w:val="single" w:color="000000" w:sz="4" w:space="0"/>
              <w:bottom w:val="single" w:color="000000" w:sz="4" w:space="0"/>
              <w:right w:val="single" w:color="000000" w:sz="4" w:space="0"/>
            </w:tcBorders>
            <w:noWrap w:val="0"/>
            <w:vAlign w:val="center"/>
          </w:tcPr>
          <w:p w14:paraId="3A7C5C2A">
            <w:pPr>
              <w:pStyle w:val="8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工种</w:t>
            </w:r>
          </w:p>
        </w:tc>
        <w:tc>
          <w:tcPr>
            <w:tcW w:w="8710" w:type="dxa"/>
            <w:gridSpan w:val="7"/>
            <w:tcBorders>
              <w:top w:val="single" w:color="000000" w:sz="4" w:space="0"/>
              <w:left w:val="nil"/>
              <w:bottom w:val="single" w:color="000000" w:sz="4" w:space="0"/>
              <w:right w:val="single" w:color="000000" w:sz="4" w:space="0"/>
            </w:tcBorders>
            <w:noWrap w:val="0"/>
            <w:vAlign w:val="center"/>
          </w:tcPr>
          <w:p w14:paraId="69DBAC6B">
            <w:pPr>
              <w:pStyle w:val="8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按工程施工阶段投入劳动力情况</w:t>
            </w:r>
          </w:p>
        </w:tc>
      </w:tr>
      <w:tr w14:paraId="77B020E5">
        <w:tblPrEx>
          <w:tblCellMar>
            <w:top w:w="0" w:type="dxa"/>
            <w:left w:w="0" w:type="dxa"/>
            <w:bottom w:w="0" w:type="dxa"/>
            <w:right w:w="0" w:type="dxa"/>
          </w:tblCellMar>
        </w:tblPrEx>
        <w:trPr>
          <w:trHeight w:val="450" w:hRule="atLeast"/>
          <w:jc w:val="center"/>
        </w:trPr>
        <w:tc>
          <w:tcPr>
            <w:tcW w:w="938" w:type="dxa"/>
            <w:tcBorders>
              <w:top w:val="single" w:color="000000" w:sz="4" w:space="0"/>
              <w:left w:val="single" w:color="000000" w:sz="4" w:space="0"/>
              <w:bottom w:val="single" w:color="000000" w:sz="4" w:space="0"/>
              <w:right w:val="single" w:color="000000" w:sz="4" w:space="0"/>
            </w:tcBorders>
            <w:noWrap w:val="0"/>
            <w:vAlign w:val="top"/>
          </w:tcPr>
          <w:p w14:paraId="52F8D579">
            <w:pPr>
              <w:pStyle w:val="85"/>
              <w:spacing w:line="360" w:lineRule="auto"/>
              <w:rPr>
                <w:rFonts w:hint="eastAsia" w:ascii="宋体" w:hAnsi="宋体" w:eastAsia="宋体" w:cs="宋体"/>
                <w:color w:val="auto"/>
                <w:sz w:val="24"/>
                <w:szCs w:val="24"/>
                <w:highlight w:val="none"/>
              </w:rPr>
            </w:pPr>
          </w:p>
        </w:tc>
        <w:tc>
          <w:tcPr>
            <w:tcW w:w="1478" w:type="dxa"/>
            <w:tcBorders>
              <w:top w:val="single" w:color="000000" w:sz="4" w:space="0"/>
              <w:left w:val="nil"/>
              <w:bottom w:val="single" w:color="000000" w:sz="4" w:space="0"/>
              <w:right w:val="single" w:color="000000" w:sz="4" w:space="0"/>
            </w:tcBorders>
            <w:noWrap w:val="0"/>
            <w:vAlign w:val="top"/>
          </w:tcPr>
          <w:p w14:paraId="28D5F215">
            <w:pPr>
              <w:pStyle w:val="85"/>
              <w:spacing w:line="360" w:lineRule="auto"/>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48003749">
            <w:pPr>
              <w:pStyle w:val="85"/>
              <w:spacing w:line="360" w:lineRule="auto"/>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14:paraId="560A1C7A">
            <w:pPr>
              <w:pStyle w:val="85"/>
              <w:spacing w:line="360" w:lineRule="auto"/>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2A699977">
            <w:pPr>
              <w:pStyle w:val="85"/>
              <w:spacing w:line="360" w:lineRule="auto"/>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14:paraId="69BA1FB9">
            <w:pPr>
              <w:pStyle w:val="85"/>
              <w:spacing w:line="360" w:lineRule="auto"/>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1C5123B6">
            <w:pPr>
              <w:pStyle w:val="85"/>
              <w:spacing w:line="360" w:lineRule="auto"/>
              <w:rPr>
                <w:rFonts w:hint="eastAsia" w:ascii="宋体" w:hAnsi="宋体" w:eastAsia="宋体" w:cs="宋体"/>
                <w:color w:val="auto"/>
                <w:sz w:val="24"/>
                <w:szCs w:val="24"/>
                <w:highlight w:val="none"/>
              </w:rPr>
            </w:pPr>
          </w:p>
        </w:tc>
        <w:tc>
          <w:tcPr>
            <w:tcW w:w="1208" w:type="dxa"/>
            <w:tcBorders>
              <w:top w:val="single" w:color="000000" w:sz="4" w:space="0"/>
              <w:left w:val="nil"/>
              <w:bottom w:val="single" w:color="000000" w:sz="4" w:space="0"/>
              <w:right w:val="single" w:color="000000" w:sz="4" w:space="0"/>
            </w:tcBorders>
            <w:noWrap w:val="0"/>
            <w:vAlign w:val="top"/>
          </w:tcPr>
          <w:p w14:paraId="50A4EFF4">
            <w:pPr>
              <w:pStyle w:val="85"/>
              <w:spacing w:line="360" w:lineRule="auto"/>
              <w:rPr>
                <w:rFonts w:hint="eastAsia" w:ascii="宋体" w:hAnsi="宋体" w:eastAsia="宋体" w:cs="宋体"/>
                <w:color w:val="auto"/>
                <w:sz w:val="24"/>
                <w:szCs w:val="24"/>
                <w:highlight w:val="none"/>
              </w:rPr>
            </w:pPr>
          </w:p>
        </w:tc>
      </w:tr>
      <w:tr w14:paraId="25A65FEE">
        <w:tblPrEx>
          <w:tblCellMar>
            <w:top w:w="0" w:type="dxa"/>
            <w:left w:w="0" w:type="dxa"/>
            <w:bottom w:w="0" w:type="dxa"/>
            <w:right w:w="0" w:type="dxa"/>
          </w:tblCellMar>
        </w:tblPrEx>
        <w:trPr>
          <w:trHeight w:val="450" w:hRule="atLeast"/>
          <w:jc w:val="center"/>
        </w:trPr>
        <w:tc>
          <w:tcPr>
            <w:tcW w:w="938" w:type="dxa"/>
            <w:tcBorders>
              <w:top w:val="single" w:color="000000" w:sz="4" w:space="0"/>
              <w:left w:val="single" w:color="000000" w:sz="4" w:space="0"/>
              <w:bottom w:val="single" w:color="000000" w:sz="4" w:space="0"/>
              <w:right w:val="single" w:color="000000" w:sz="4" w:space="0"/>
            </w:tcBorders>
            <w:noWrap w:val="0"/>
            <w:vAlign w:val="top"/>
          </w:tcPr>
          <w:p w14:paraId="510DADEE">
            <w:pPr>
              <w:pStyle w:val="85"/>
              <w:spacing w:line="360" w:lineRule="auto"/>
              <w:rPr>
                <w:rFonts w:hint="eastAsia" w:ascii="宋体" w:hAnsi="宋体" w:eastAsia="宋体" w:cs="宋体"/>
                <w:color w:val="auto"/>
                <w:sz w:val="24"/>
                <w:szCs w:val="24"/>
                <w:highlight w:val="none"/>
              </w:rPr>
            </w:pPr>
          </w:p>
        </w:tc>
        <w:tc>
          <w:tcPr>
            <w:tcW w:w="1478" w:type="dxa"/>
            <w:tcBorders>
              <w:top w:val="single" w:color="000000" w:sz="4" w:space="0"/>
              <w:left w:val="nil"/>
              <w:bottom w:val="single" w:color="000000" w:sz="4" w:space="0"/>
              <w:right w:val="single" w:color="000000" w:sz="4" w:space="0"/>
            </w:tcBorders>
            <w:noWrap w:val="0"/>
            <w:vAlign w:val="top"/>
          </w:tcPr>
          <w:p w14:paraId="061C7224">
            <w:pPr>
              <w:pStyle w:val="85"/>
              <w:spacing w:line="360" w:lineRule="auto"/>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580EDEDB">
            <w:pPr>
              <w:pStyle w:val="85"/>
              <w:spacing w:line="360" w:lineRule="auto"/>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14:paraId="36E52203">
            <w:pPr>
              <w:pStyle w:val="85"/>
              <w:spacing w:line="360" w:lineRule="auto"/>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1637E6D3">
            <w:pPr>
              <w:pStyle w:val="85"/>
              <w:spacing w:line="360" w:lineRule="auto"/>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14:paraId="3D19BB73">
            <w:pPr>
              <w:pStyle w:val="85"/>
              <w:spacing w:line="360" w:lineRule="auto"/>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51526756">
            <w:pPr>
              <w:pStyle w:val="85"/>
              <w:spacing w:line="360" w:lineRule="auto"/>
              <w:rPr>
                <w:rFonts w:hint="eastAsia" w:ascii="宋体" w:hAnsi="宋体" w:eastAsia="宋体" w:cs="宋体"/>
                <w:color w:val="auto"/>
                <w:sz w:val="24"/>
                <w:szCs w:val="24"/>
                <w:highlight w:val="none"/>
              </w:rPr>
            </w:pPr>
          </w:p>
        </w:tc>
        <w:tc>
          <w:tcPr>
            <w:tcW w:w="1208" w:type="dxa"/>
            <w:tcBorders>
              <w:top w:val="single" w:color="000000" w:sz="4" w:space="0"/>
              <w:left w:val="nil"/>
              <w:bottom w:val="single" w:color="000000" w:sz="4" w:space="0"/>
              <w:right w:val="single" w:color="000000" w:sz="4" w:space="0"/>
            </w:tcBorders>
            <w:noWrap w:val="0"/>
            <w:vAlign w:val="top"/>
          </w:tcPr>
          <w:p w14:paraId="08FDE875">
            <w:pPr>
              <w:pStyle w:val="85"/>
              <w:spacing w:line="360" w:lineRule="auto"/>
              <w:rPr>
                <w:rFonts w:hint="eastAsia" w:ascii="宋体" w:hAnsi="宋体" w:eastAsia="宋体" w:cs="宋体"/>
                <w:color w:val="auto"/>
                <w:sz w:val="24"/>
                <w:szCs w:val="24"/>
                <w:highlight w:val="none"/>
              </w:rPr>
            </w:pPr>
          </w:p>
        </w:tc>
      </w:tr>
      <w:tr w14:paraId="5514AAEC">
        <w:tblPrEx>
          <w:tblCellMar>
            <w:top w:w="0" w:type="dxa"/>
            <w:left w:w="0" w:type="dxa"/>
            <w:bottom w:w="0" w:type="dxa"/>
            <w:right w:w="0" w:type="dxa"/>
          </w:tblCellMar>
        </w:tblPrEx>
        <w:trPr>
          <w:trHeight w:val="450" w:hRule="atLeast"/>
          <w:jc w:val="center"/>
        </w:trPr>
        <w:tc>
          <w:tcPr>
            <w:tcW w:w="938" w:type="dxa"/>
            <w:tcBorders>
              <w:top w:val="single" w:color="000000" w:sz="4" w:space="0"/>
              <w:left w:val="single" w:color="000000" w:sz="4" w:space="0"/>
              <w:bottom w:val="single" w:color="000000" w:sz="4" w:space="0"/>
              <w:right w:val="single" w:color="000000" w:sz="4" w:space="0"/>
            </w:tcBorders>
            <w:noWrap w:val="0"/>
            <w:vAlign w:val="top"/>
          </w:tcPr>
          <w:p w14:paraId="6FC882B9">
            <w:pPr>
              <w:pStyle w:val="85"/>
              <w:spacing w:line="360" w:lineRule="auto"/>
              <w:rPr>
                <w:rFonts w:hint="eastAsia" w:ascii="宋体" w:hAnsi="宋体" w:eastAsia="宋体" w:cs="宋体"/>
                <w:color w:val="auto"/>
                <w:sz w:val="24"/>
                <w:szCs w:val="24"/>
                <w:highlight w:val="none"/>
              </w:rPr>
            </w:pPr>
          </w:p>
        </w:tc>
        <w:tc>
          <w:tcPr>
            <w:tcW w:w="1478" w:type="dxa"/>
            <w:tcBorders>
              <w:top w:val="single" w:color="000000" w:sz="4" w:space="0"/>
              <w:left w:val="nil"/>
              <w:bottom w:val="single" w:color="000000" w:sz="4" w:space="0"/>
              <w:right w:val="single" w:color="000000" w:sz="4" w:space="0"/>
            </w:tcBorders>
            <w:noWrap w:val="0"/>
            <w:vAlign w:val="top"/>
          </w:tcPr>
          <w:p w14:paraId="3D0EF8FC">
            <w:pPr>
              <w:pStyle w:val="85"/>
              <w:spacing w:line="360" w:lineRule="auto"/>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1B080F6A">
            <w:pPr>
              <w:pStyle w:val="85"/>
              <w:spacing w:line="360" w:lineRule="auto"/>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14:paraId="75CCF9CF">
            <w:pPr>
              <w:pStyle w:val="85"/>
              <w:spacing w:line="360" w:lineRule="auto"/>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1FB99A38">
            <w:pPr>
              <w:pStyle w:val="85"/>
              <w:spacing w:line="360" w:lineRule="auto"/>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14:paraId="234CE985">
            <w:pPr>
              <w:pStyle w:val="85"/>
              <w:spacing w:line="360" w:lineRule="auto"/>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2EDF09EA">
            <w:pPr>
              <w:pStyle w:val="85"/>
              <w:spacing w:line="360" w:lineRule="auto"/>
              <w:rPr>
                <w:rFonts w:hint="eastAsia" w:ascii="宋体" w:hAnsi="宋体" w:eastAsia="宋体" w:cs="宋体"/>
                <w:color w:val="auto"/>
                <w:sz w:val="24"/>
                <w:szCs w:val="24"/>
                <w:highlight w:val="none"/>
              </w:rPr>
            </w:pPr>
          </w:p>
        </w:tc>
        <w:tc>
          <w:tcPr>
            <w:tcW w:w="1208" w:type="dxa"/>
            <w:tcBorders>
              <w:top w:val="single" w:color="000000" w:sz="4" w:space="0"/>
              <w:left w:val="nil"/>
              <w:bottom w:val="single" w:color="000000" w:sz="4" w:space="0"/>
              <w:right w:val="single" w:color="000000" w:sz="4" w:space="0"/>
            </w:tcBorders>
            <w:noWrap w:val="0"/>
            <w:vAlign w:val="top"/>
          </w:tcPr>
          <w:p w14:paraId="6B438F02">
            <w:pPr>
              <w:pStyle w:val="85"/>
              <w:spacing w:line="360" w:lineRule="auto"/>
              <w:rPr>
                <w:rFonts w:hint="eastAsia" w:ascii="宋体" w:hAnsi="宋体" w:eastAsia="宋体" w:cs="宋体"/>
                <w:color w:val="auto"/>
                <w:sz w:val="24"/>
                <w:szCs w:val="24"/>
                <w:highlight w:val="none"/>
              </w:rPr>
            </w:pPr>
          </w:p>
        </w:tc>
      </w:tr>
      <w:tr w14:paraId="744C0C6B">
        <w:tblPrEx>
          <w:tblCellMar>
            <w:top w:w="0" w:type="dxa"/>
            <w:left w:w="0" w:type="dxa"/>
            <w:bottom w:w="0" w:type="dxa"/>
            <w:right w:w="0" w:type="dxa"/>
          </w:tblCellMar>
        </w:tblPrEx>
        <w:trPr>
          <w:trHeight w:val="450" w:hRule="atLeast"/>
          <w:jc w:val="center"/>
        </w:trPr>
        <w:tc>
          <w:tcPr>
            <w:tcW w:w="938" w:type="dxa"/>
            <w:tcBorders>
              <w:top w:val="single" w:color="000000" w:sz="4" w:space="0"/>
              <w:left w:val="single" w:color="000000" w:sz="4" w:space="0"/>
              <w:bottom w:val="single" w:color="000000" w:sz="4" w:space="0"/>
              <w:right w:val="single" w:color="000000" w:sz="4" w:space="0"/>
            </w:tcBorders>
            <w:noWrap w:val="0"/>
            <w:vAlign w:val="top"/>
          </w:tcPr>
          <w:p w14:paraId="4A0AA6F6">
            <w:pPr>
              <w:pStyle w:val="85"/>
              <w:spacing w:line="360" w:lineRule="auto"/>
              <w:rPr>
                <w:rFonts w:hint="eastAsia" w:ascii="宋体" w:hAnsi="宋体" w:eastAsia="宋体" w:cs="宋体"/>
                <w:color w:val="auto"/>
                <w:sz w:val="24"/>
                <w:szCs w:val="24"/>
                <w:highlight w:val="none"/>
              </w:rPr>
            </w:pPr>
          </w:p>
        </w:tc>
        <w:tc>
          <w:tcPr>
            <w:tcW w:w="1478" w:type="dxa"/>
            <w:tcBorders>
              <w:top w:val="single" w:color="000000" w:sz="4" w:space="0"/>
              <w:left w:val="nil"/>
              <w:bottom w:val="single" w:color="000000" w:sz="4" w:space="0"/>
              <w:right w:val="single" w:color="000000" w:sz="4" w:space="0"/>
            </w:tcBorders>
            <w:noWrap w:val="0"/>
            <w:vAlign w:val="top"/>
          </w:tcPr>
          <w:p w14:paraId="1BF703DB">
            <w:pPr>
              <w:pStyle w:val="85"/>
              <w:spacing w:line="360" w:lineRule="auto"/>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5370DEBE">
            <w:pPr>
              <w:pStyle w:val="85"/>
              <w:spacing w:line="360" w:lineRule="auto"/>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14:paraId="3002F6B9">
            <w:pPr>
              <w:pStyle w:val="85"/>
              <w:spacing w:line="360" w:lineRule="auto"/>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3EA82E14">
            <w:pPr>
              <w:pStyle w:val="85"/>
              <w:spacing w:line="360" w:lineRule="auto"/>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14:paraId="1552B012">
            <w:pPr>
              <w:pStyle w:val="85"/>
              <w:spacing w:line="360" w:lineRule="auto"/>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7A38605C">
            <w:pPr>
              <w:pStyle w:val="85"/>
              <w:spacing w:line="360" w:lineRule="auto"/>
              <w:rPr>
                <w:rFonts w:hint="eastAsia" w:ascii="宋体" w:hAnsi="宋体" w:eastAsia="宋体" w:cs="宋体"/>
                <w:color w:val="auto"/>
                <w:sz w:val="24"/>
                <w:szCs w:val="24"/>
                <w:highlight w:val="none"/>
              </w:rPr>
            </w:pPr>
          </w:p>
        </w:tc>
        <w:tc>
          <w:tcPr>
            <w:tcW w:w="1208" w:type="dxa"/>
            <w:tcBorders>
              <w:top w:val="single" w:color="000000" w:sz="4" w:space="0"/>
              <w:left w:val="nil"/>
              <w:bottom w:val="single" w:color="000000" w:sz="4" w:space="0"/>
              <w:right w:val="single" w:color="000000" w:sz="4" w:space="0"/>
            </w:tcBorders>
            <w:noWrap w:val="0"/>
            <w:vAlign w:val="top"/>
          </w:tcPr>
          <w:p w14:paraId="0F2CA45A">
            <w:pPr>
              <w:pStyle w:val="85"/>
              <w:spacing w:line="360" w:lineRule="auto"/>
              <w:rPr>
                <w:rFonts w:hint="eastAsia" w:ascii="宋体" w:hAnsi="宋体" w:eastAsia="宋体" w:cs="宋体"/>
                <w:color w:val="auto"/>
                <w:sz w:val="24"/>
                <w:szCs w:val="24"/>
                <w:highlight w:val="none"/>
              </w:rPr>
            </w:pPr>
          </w:p>
        </w:tc>
      </w:tr>
    </w:tbl>
    <w:p w14:paraId="48F0891F">
      <w:pPr>
        <w:pStyle w:val="85"/>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w:t>
      </w:r>
    </w:p>
    <w:p w14:paraId="1BBEE80A">
      <w:pPr>
        <w:spacing w:line="360" w:lineRule="auto"/>
        <w:rPr>
          <w:rFonts w:hint="eastAsia" w:ascii="宋体" w:hAnsi="宋体" w:eastAsia="宋体" w:cs="宋体"/>
          <w:color w:val="auto"/>
          <w:sz w:val="20"/>
          <w:szCs w:val="20"/>
          <w:highlight w:val="none"/>
        </w:rPr>
      </w:pPr>
      <w:bookmarkStart w:id="1978" w:name="_Toc483317227"/>
      <w:bookmarkStart w:id="1979" w:name="_Toc418752354"/>
      <w:bookmarkStart w:id="1980" w:name="_Toc418751908"/>
      <w:r>
        <w:rPr>
          <w:rFonts w:hint="eastAsia" w:ascii="宋体" w:hAnsi="宋体" w:eastAsia="宋体" w:cs="宋体"/>
          <w:b/>
          <w:color w:val="auto"/>
          <w:highlight w:val="none"/>
        </w:rPr>
        <w:t>附表四：计划开、竣工日期和施工进度网络图或横道图</w:t>
      </w:r>
      <w:bookmarkEnd w:id="1978"/>
      <w:bookmarkEnd w:id="1979"/>
      <w:bookmarkEnd w:id="1980"/>
    </w:p>
    <w:p w14:paraId="4F7F2D71">
      <w:pPr>
        <w:pStyle w:val="85"/>
        <w:spacing w:line="360" w:lineRule="auto"/>
        <w:ind w:firstLine="424"/>
        <w:rPr>
          <w:rFonts w:hint="eastAsia" w:ascii="宋体" w:hAnsi="宋体" w:eastAsia="宋体" w:cs="宋体"/>
          <w:color w:val="auto"/>
          <w:highlight w:val="none"/>
        </w:rPr>
      </w:pPr>
      <w:r>
        <w:rPr>
          <w:rFonts w:hint="eastAsia" w:ascii="宋体" w:hAnsi="宋体" w:eastAsia="宋体" w:cs="宋体"/>
          <w:color w:val="auto"/>
          <w:highlight w:val="none"/>
        </w:rPr>
        <w:t>1.供应商应递交施工进度网络图或横道图</w:t>
      </w:r>
      <w:r>
        <w:rPr>
          <w:rFonts w:hint="eastAsia" w:ascii="宋体" w:hAnsi="宋体" w:eastAsia="宋体" w:cs="宋体"/>
          <w:color w:val="auto"/>
          <w:spacing w:val="1"/>
          <w:highlight w:val="none"/>
        </w:rPr>
        <w:t>，说</w:t>
      </w:r>
      <w:r>
        <w:rPr>
          <w:rFonts w:hint="eastAsia" w:ascii="宋体" w:hAnsi="宋体" w:eastAsia="宋体" w:cs="宋体"/>
          <w:color w:val="auto"/>
          <w:spacing w:val="2"/>
          <w:highlight w:val="none"/>
        </w:rPr>
        <w:t>明</w:t>
      </w:r>
      <w:r>
        <w:rPr>
          <w:rFonts w:hint="eastAsia" w:ascii="宋体" w:hAnsi="宋体" w:eastAsia="宋体" w:cs="宋体"/>
          <w:color w:val="auto"/>
          <w:spacing w:val="1"/>
          <w:highlight w:val="none"/>
        </w:rPr>
        <w:t>按</w:t>
      </w:r>
      <w:r>
        <w:rPr>
          <w:rFonts w:hint="eastAsia" w:ascii="宋体" w:hAnsi="宋体" w:eastAsia="宋体" w:cs="宋体"/>
          <w:color w:val="auto"/>
          <w:spacing w:val="2"/>
          <w:highlight w:val="none"/>
        </w:rPr>
        <w:t>竞争性磋商</w:t>
      </w:r>
      <w:r>
        <w:rPr>
          <w:rFonts w:hint="eastAsia" w:ascii="宋体" w:hAnsi="宋体" w:eastAsia="宋体" w:cs="宋体"/>
          <w:color w:val="auto"/>
          <w:spacing w:val="1"/>
          <w:highlight w:val="none"/>
        </w:rPr>
        <w:t>文</w:t>
      </w:r>
      <w:r>
        <w:rPr>
          <w:rFonts w:hint="eastAsia" w:ascii="宋体" w:hAnsi="宋体" w:eastAsia="宋体" w:cs="宋体"/>
          <w:color w:val="auto"/>
          <w:spacing w:val="2"/>
          <w:highlight w:val="none"/>
        </w:rPr>
        <w:t>件</w:t>
      </w:r>
      <w:r>
        <w:rPr>
          <w:rFonts w:hint="eastAsia" w:ascii="宋体" w:hAnsi="宋体" w:eastAsia="宋体" w:cs="宋体"/>
          <w:color w:val="auto"/>
          <w:spacing w:val="1"/>
          <w:highlight w:val="none"/>
        </w:rPr>
        <w:t>要</w:t>
      </w:r>
      <w:r>
        <w:rPr>
          <w:rFonts w:hint="eastAsia" w:ascii="宋体" w:hAnsi="宋体" w:eastAsia="宋体" w:cs="宋体"/>
          <w:color w:val="auto"/>
          <w:spacing w:val="2"/>
          <w:highlight w:val="none"/>
        </w:rPr>
        <w:t>求</w:t>
      </w:r>
      <w:r>
        <w:rPr>
          <w:rFonts w:hint="eastAsia" w:ascii="宋体" w:hAnsi="宋体" w:eastAsia="宋体" w:cs="宋体"/>
          <w:color w:val="auto"/>
          <w:spacing w:val="1"/>
          <w:highlight w:val="none"/>
        </w:rPr>
        <w:t>的计</w:t>
      </w:r>
      <w:r>
        <w:rPr>
          <w:rFonts w:hint="eastAsia" w:ascii="宋体" w:hAnsi="宋体" w:eastAsia="宋体" w:cs="宋体"/>
          <w:color w:val="auto"/>
          <w:spacing w:val="2"/>
          <w:highlight w:val="none"/>
        </w:rPr>
        <w:t>划</w:t>
      </w:r>
      <w:r>
        <w:rPr>
          <w:rFonts w:hint="eastAsia" w:ascii="宋体" w:hAnsi="宋体" w:eastAsia="宋体" w:cs="宋体"/>
          <w:color w:val="auto"/>
          <w:spacing w:val="1"/>
          <w:highlight w:val="none"/>
        </w:rPr>
        <w:t>工</w:t>
      </w:r>
      <w:r>
        <w:rPr>
          <w:rFonts w:hint="eastAsia" w:ascii="宋体" w:hAnsi="宋体" w:eastAsia="宋体" w:cs="宋体"/>
          <w:color w:val="auto"/>
          <w:spacing w:val="4"/>
          <w:highlight w:val="none"/>
        </w:rPr>
        <w:t>期</w:t>
      </w:r>
      <w:r>
        <w:rPr>
          <w:rFonts w:hint="eastAsia" w:ascii="宋体" w:hAnsi="宋体" w:eastAsia="宋体" w:cs="宋体"/>
          <w:color w:val="auto"/>
          <w:spacing w:val="2"/>
          <w:highlight w:val="none"/>
        </w:rPr>
        <w:t>进</w:t>
      </w:r>
      <w:r>
        <w:rPr>
          <w:rFonts w:hint="eastAsia" w:ascii="宋体" w:hAnsi="宋体" w:eastAsia="宋体" w:cs="宋体"/>
          <w:color w:val="auto"/>
          <w:spacing w:val="1"/>
          <w:highlight w:val="none"/>
        </w:rPr>
        <w:t>行</w:t>
      </w:r>
      <w:r>
        <w:rPr>
          <w:rFonts w:hint="eastAsia" w:ascii="宋体" w:hAnsi="宋体" w:eastAsia="宋体" w:cs="宋体"/>
          <w:color w:val="auto"/>
          <w:highlight w:val="none"/>
        </w:rPr>
        <w:t>施工的各个关键日期。</w:t>
      </w:r>
    </w:p>
    <w:p w14:paraId="10FF9B64">
      <w:pPr>
        <w:pStyle w:val="85"/>
        <w:spacing w:line="360" w:lineRule="auto"/>
        <w:ind w:firstLine="424"/>
        <w:rPr>
          <w:rFonts w:hint="eastAsia" w:ascii="宋体" w:hAnsi="宋体" w:eastAsia="宋体" w:cs="宋体"/>
          <w:color w:val="auto"/>
          <w:sz w:val="20"/>
          <w:szCs w:val="20"/>
          <w:highlight w:val="none"/>
        </w:rPr>
      </w:pPr>
      <w:r>
        <w:rPr>
          <w:rFonts w:hint="eastAsia" w:ascii="宋体" w:hAnsi="宋体" w:eastAsia="宋体" w:cs="宋体"/>
          <w:color w:val="auto"/>
          <w:highlight w:val="none"/>
        </w:rPr>
        <w:t>2.计划开工日期：自合同签订之日起至 年 月 日。</w:t>
      </w:r>
    </w:p>
    <w:p w14:paraId="030E173D">
      <w:pPr>
        <w:spacing w:line="360" w:lineRule="auto"/>
        <w:rPr>
          <w:rFonts w:hint="eastAsia" w:ascii="宋体" w:hAnsi="宋体" w:eastAsia="宋体" w:cs="宋体"/>
          <w:color w:val="auto"/>
          <w:sz w:val="20"/>
          <w:szCs w:val="20"/>
          <w:highlight w:val="none"/>
        </w:rPr>
      </w:pPr>
      <w:bookmarkStart w:id="1981" w:name="_Toc418752355"/>
      <w:bookmarkStart w:id="1982" w:name="_Toc418751909"/>
      <w:bookmarkStart w:id="1983" w:name="_Toc483317228"/>
      <w:r>
        <w:rPr>
          <w:rFonts w:hint="eastAsia" w:ascii="宋体" w:hAnsi="宋体" w:eastAsia="宋体" w:cs="宋体"/>
          <w:b/>
          <w:color w:val="auto"/>
          <w:highlight w:val="none"/>
        </w:rPr>
        <w:t>附表五：施工总平面图</w:t>
      </w:r>
      <w:bookmarkEnd w:id="1981"/>
      <w:bookmarkEnd w:id="1982"/>
      <w:bookmarkEnd w:id="1983"/>
    </w:p>
    <w:p w14:paraId="13A1CC6E">
      <w:pPr>
        <w:pStyle w:val="85"/>
        <w:spacing w:line="360" w:lineRule="auto"/>
        <w:ind w:firstLine="424"/>
        <w:rPr>
          <w:rFonts w:hint="eastAsia" w:ascii="宋体" w:hAnsi="宋体" w:eastAsia="宋体" w:cs="宋体"/>
          <w:color w:val="auto"/>
          <w:sz w:val="20"/>
          <w:szCs w:val="20"/>
          <w:highlight w:val="none"/>
        </w:rPr>
      </w:pPr>
      <w:r>
        <w:rPr>
          <w:rFonts w:hint="eastAsia" w:ascii="宋体" w:hAnsi="宋体" w:eastAsia="宋体" w:cs="宋体"/>
          <w:color w:val="auto"/>
          <w:highlight w:val="none"/>
        </w:rPr>
        <w:t>供应商应递交一份施工总平面图</w:t>
      </w:r>
      <w:r>
        <w:rPr>
          <w:rFonts w:hint="eastAsia" w:ascii="宋体" w:hAnsi="宋体" w:eastAsia="宋体" w:cs="宋体"/>
          <w:color w:val="auto"/>
          <w:spacing w:val="-47"/>
          <w:highlight w:val="none"/>
        </w:rPr>
        <w:t>，</w:t>
      </w:r>
      <w:r>
        <w:rPr>
          <w:rFonts w:hint="eastAsia" w:ascii="宋体" w:hAnsi="宋体" w:eastAsia="宋体" w:cs="宋体"/>
          <w:color w:val="auto"/>
          <w:highlight w:val="none"/>
        </w:rPr>
        <w:t>绘出现场临时设施布置图表并附文字说明</w:t>
      </w:r>
      <w:r>
        <w:rPr>
          <w:rFonts w:hint="eastAsia" w:ascii="宋体" w:hAnsi="宋体" w:eastAsia="宋体" w:cs="宋体"/>
          <w:color w:val="auto"/>
          <w:spacing w:val="-47"/>
          <w:highlight w:val="none"/>
        </w:rPr>
        <w:t>，</w:t>
      </w:r>
      <w:r>
        <w:rPr>
          <w:rFonts w:hint="eastAsia" w:ascii="宋体" w:hAnsi="宋体" w:eastAsia="宋体" w:cs="宋体"/>
          <w:color w:val="auto"/>
          <w:highlight w:val="none"/>
        </w:rPr>
        <w:t>说明临时设施</w:t>
      </w:r>
      <w:r>
        <w:rPr>
          <w:rFonts w:hint="eastAsia" w:ascii="宋体" w:hAnsi="宋体" w:eastAsia="宋体" w:cs="宋体"/>
          <w:color w:val="auto"/>
          <w:spacing w:val="-11"/>
          <w:highlight w:val="none"/>
        </w:rPr>
        <w:t>、</w:t>
      </w:r>
      <w:r>
        <w:rPr>
          <w:rFonts w:hint="eastAsia" w:ascii="宋体" w:hAnsi="宋体" w:eastAsia="宋体" w:cs="宋体"/>
          <w:color w:val="auto"/>
          <w:highlight w:val="none"/>
        </w:rPr>
        <w:t>加工车间</w:t>
      </w:r>
      <w:r>
        <w:rPr>
          <w:rFonts w:hint="eastAsia" w:ascii="宋体" w:hAnsi="宋体" w:eastAsia="宋体" w:cs="宋体"/>
          <w:color w:val="auto"/>
          <w:spacing w:val="-11"/>
          <w:highlight w:val="none"/>
        </w:rPr>
        <w:t>、</w:t>
      </w:r>
      <w:r>
        <w:rPr>
          <w:rFonts w:hint="eastAsia" w:ascii="宋体" w:hAnsi="宋体" w:eastAsia="宋体" w:cs="宋体"/>
          <w:color w:val="auto"/>
          <w:highlight w:val="none"/>
        </w:rPr>
        <w:t>现场办公</w:t>
      </w:r>
      <w:r>
        <w:rPr>
          <w:rFonts w:hint="eastAsia" w:ascii="宋体" w:hAnsi="宋体" w:eastAsia="宋体" w:cs="宋体"/>
          <w:color w:val="auto"/>
          <w:spacing w:val="-11"/>
          <w:highlight w:val="none"/>
        </w:rPr>
        <w:t>、</w:t>
      </w:r>
      <w:r>
        <w:rPr>
          <w:rFonts w:hint="eastAsia" w:ascii="宋体" w:hAnsi="宋体" w:eastAsia="宋体" w:cs="宋体"/>
          <w:color w:val="auto"/>
          <w:highlight w:val="none"/>
        </w:rPr>
        <w:t>设备及仓储</w:t>
      </w:r>
      <w:r>
        <w:rPr>
          <w:rFonts w:hint="eastAsia" w:ascii="宋体" w:hAnsi="宋体" w:eastAsia="宋体" w:cs="宋体"/>
          <w:color w:val="auto"/>
          <w:spacing w:val="-11"/>
          <w:highlight w:val="none"/>
        </w:rPr>
        <w:t>、</w:t>
      </w:r>
      <w:r>
        <w:rPr>
          <w:rFonts w:hint="eastAsia" w:ascii="宋体" w:hAnsi="宋体" w:eastAsia="宋体" w:cs="宋体"/>
          <w:color w:val="auto"/>
          <w:highlight w:val="none"/>
        </w:rPr>
        <w:t>供电</w:t>
      </w:r>
      <w:r>
        <w:rPr>
          <w:rFonts w:hint="eastAsia" w:ascii="宋体" w:hAnsi="宋体" w:eastAsia="宋体" w:cs="宋体"/>
          <w:color w:val="auto"/>
          <w:spacing w:val="-11"/>
          <w:highlight w:val="none"/>
        </w:rPr>
        <w:t>、</w:t>
      </w:r>
      <w:r>
        <w:rPr>
          <w:rFonts w:hint="eastAsia" w:ascii="宋体" w:hAnsi="宋体" w:eastAsia="宋体" w:cs="宋体"/>
          <w:color w:val="auto"/>
          <w:highlight w:val="none"/>
        </w:rPr>
        <w:t>供水</w:t>
      </w:r>
      <w:r>
        <w:rPr>
          <w:rFonts w:hint="eastAsia" w:ascii="宋体" w:hAnsi="宋体" w:eastAsia="宋体" w:cs="宋体"/>
          <w:color w:val="auto"/>
          <w:spacing w:val="-10"/>
          <w:highlight w:val="none"/>
        </w:rPr>
        <w:t>、</w:t>
      </w:r>
      <w:r>
        <w:rPr>
          <w:rFonts w:hint="eastAsia" w:ascii="宋体" w:hAnsi="宋体" w:eastAsia="宋体" w:cs="宋体"/>
          <w:color w:val="auto"/>
          <w:highlight w:val="none"/>
        </w:rPr>
        <w:t>卫生</w:t>
      </w:r>
      <w:r>
        <w:rPr>
          <w:rFonts w:hint="eastAsia" w:ascii="宋体" w:hAnsi="宋体" w:eastAsia="宋体" w:cs="宋体"/>
          <w:color w:val="auto"/>
          <w:spacing w:val="-11"/>
          <w:highlight w:val="none"/>
        </w:rPr>
        <w:t>、</w:t>
      </w:r>
      <w:r>
        <w:rPr>
          <w:rFonts w:hint="eastAsia" w:ascii="宋体" w:hAnsi="宋体" w:eastAsia="宋体" w:cs="宋体"/>
          <w:color w:val="auto"/>
          <w:highlight w:val="none"/>
        </w:rPr>
        <w:t>生活</w:t>
      </w:r>
      <w:r>
        <w:rPr>
          <w:rFonts w:hint="eastAsia" w:ascii="宋体" w:hAnsi="宋体" w:eastAsia="宋体" w:cs="宋体"/>
          <w:color w:val="auto"/>
          <w:spacing w:val="-11"/>
          <w:highlight w:val="none"/>
        </w:rPr>
        <w:t>、</w:t>
      </w:r>
      <w:r>
        <w:rPr>
          <w:rFonts w:hint="eastAsia" w:ascii="宋体" w:hAnsi="宋体" w:eastAsia="宋体" w:cs="宋体"/>
          <w:color w:val="auto"/>
          <w:highlight w:val="none"/>
        </w:rPr>
        <w:t>道路</w:t>
      </w:r>
      <w:r>
        <w:rPr>
          <w:rFonts w:hint="eastAsia" w:ascii="宋体" w:hAnsi="宋体" w:eastAsia="宋体" w:cs="宋体"/>
          <w:color w:val="auto"/>
          <w:spacing w:val="-11"/>
          <w:highlight w:val="none"/>
        </w:rPr>
        <w:t>、</w:t>
      </w:r>
      <w:r>
        <w:rPr>
          <w:rFonts w:hint="eastAsia" w:ascii="宋体" w:hAnsi="宋体" w:eastAsia="宋体" w:cs="宋体"/>
          <w:color w:val="auto"/>
          <w:spacing w:val="1"/>
          <w:highlight w:val="none"/>
        </w:rPr>
        <w:t>消</w:t>
      </w:r>
      <w:r>
        <w:rPr>
          <w:rFonts w:hint="eastAsia" w:ascii="宋体" w:hAnsi="宋体" w:eastAsia="宋体" w:cs="宋体"/>
          <w:color w:val="auto"/>
          <w:highlight w:val="none"/>
        </w:rPr>
        <w:t>防等设施的情况和布置。</w:t>
      </w:r>
    </w:p>
    <w:p w14:paraId="707938BD">
      <w:pPr>
        <w:spacing w:line="360" w:lineRule="auto"/>
        <w:rPr>
          <w:rFonts w:hint="eastAsia" w:ascii="宋体" w:hAnsi="宋体" w:eastAsia="宋体" w:cs="宋体"/>
          <w:b/>
          <w:color w:val="auto"/>
          <w:highlight w:val="none"/>
        </w:rPr>
      </w:pPr>
      <w:bookmarkStart w:id="1984" w:name="_Toc418752356"/>
      <w:bookmarkStart w:id="1985" w:name="_Toc418751910"/>
      <w:bookmarkStart w:id="1986" w:name="_Toc483317229"/>
      <w:r>
        <w:rPr>
          <w:rFonts w:hint="eastAsia" w:ascii="宋体" w:hAnsi="宋体" w:eastAsia="宋体" w:cs="宋体"/>
          <w:b/>
          <w:color w:val="auto"/>
          <w:highlight w:val="none"/>
        </w:rPr>
        <w:t>附表六：临时用地表</w:t>
      </w:r>
      <w:bookmarkEnd w:id="1984"/>
      <w:bookmarkEnd w:id="1985"/>
      <w:bookmarkEnd w:id="1986"/>
    </w:p>
    <w:tbl>
      <w:tblPr>
        <w:tblStyle w:val="36"/>
        <w:tblW w:w="9648" w:type="dxa"/>
        <w:jc w:val="center"/>
        <w:tblLayout w:type="fixed"/>
        <w:tblCellMar>
          <w:top w:w="0" w:type="dxa"/>
          <w:left w:w="0" w:type="dxa"/>
          <w:bottom w:w="0" w:type="dxa"/>
          <w:right w:w="0" w:type="dxa"/>
        </w:tblCellMar>
      </w:tblPr>
      <w:tblGrid>
        <w:gridCol w:w="2412"/>
        <w:gridCol w:w="2412"/>
        <w:gridCol w:w="2412"/>
        <w:gridCol w:w="2412"/>
      </w:tblGrid>
      <w:tr w14:paraId="3319EA33">
        <w:tblPrEx>
          <w:tblCellMar>
            <w:top w:w="0" w:type="dxa"/>
            <w:left w:w="0" w:type="dxa"/>
            <w:bottom w:w="0" w:type="dxa"/>
            <w:right w:w="0" w:type="dxa"/>
          </w:tblCellMar>
        </w:tblPrEx>
        <w:trPr>
          <w:trHeight w:val="450" w:hRule="atLeast"/>
          <w:jc w:val="center"/>
        </w:trPr>
        <w:tc>
          <w:tcPr>
            <w:tcW w:w="2412" w:type="dxa"/>
            <w:tcBorders>
              <w:top w:val="single" w:color="000000" w:sz="4" w:space="0"/>
              <w:left w:val="single" w:color="000000" w:sz="4" w:space="0"/>
              <w:bottom w:val="single" w:color="000000" w:sz="4" w:space="0"/>
              <w:right w:val="single" w:color="000000" w:sz="4" w:space="0"/>
            </w:tcBorders>
            <w:noWrap w:val="0"/>
            <w:vAlign w:val="center"/>
          </w:tcPr>
          <w:p w14:paraId="0EF54568">
            <w:pPr>
              <w:pStyle w:val="8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用 </w:t>
            </w:r>
            <w:r>
              <w:rPr>
                <w:rFonts w:hint="eastAsia" w:ascii="宋体" w:hAnsi="宋体" w:eastAsia="宋体" w:cs="宋体"/>
                <w:color w:val="auto"/>
                <w:spacing w:val="1"/>
                <w:highlight w:val="none"/>
              </w:rPr>
              <w:t> </w:t>
            </w:r>
            <w:r>
              <w:rPr>
                <w:rFonts w:hint="eastAsia" w:ascii="宋体" w:hAnsi="宋体" w:eastAsia="宋体" w:cs="宋体"/>
                <w:color w:val="auto"/>
                <w:highlight w:val="none"/>
              </w:rPr>
              <w:t>途</w:t>
            </w:r>
          </w:p>
        </w:tc>
        <w:tc>
          <w:tcPr>
            <w:tcW w:w="2412" w:type="dxa"/>
            <w:tcBorders>
              <w:top w:val="single" w:color="000000" w:sz="4" w:space="0"/>
              <w:left w:val="nil"/>
              <w:bottom w:val="single" w:color="000000" w:sz="4" w:space="0"/>
              <w:right w:val="single" w:color="000000" w:sz="4" w:space="0"/>
            </w:tcBorders>
            <w:noWrap w:val="0"/>
            <w:vAlign w:val="center"/>
          </w:tcPr>
          <w:p w14:paraId="0DAEE066">
            <w:pPr>
              <w:pStyle w:val="8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面 </w:t>
            </w:r>
            <w:r>
              <w:rPr>
                <w:rFonts w:hint="eastAsia" w:ascii="宋体" w:hAnsi="宋体" w:eastAsia="宋体" w:cs="宋体"/>
                <w:color w:val="auto"/>
                <w:spacing w:val="1"/>
                <w:highlight w:val="none"/>
              </w:rPr>
              <w:t> </w:t>
            </w:r>
            <w:r>
              <w:rPr>
                <w:rFonts w:hint="eastAsia" w:ascii="宋体" w:hAnsi="宋体" w:eastAsia="宋体" w:cs="宋体"/>
                <w:color w:val="auto"/>
                <w:highlight w:val="none"/>
              </w:rPr>
              <w:t>积（平</w:t>
            </w:r>
            <w:r>
              <w:rPr>
                <w:rFonts w:hint="eastAsia" w:ascii="宋体" w:hAnsi="宋体" w:eastAsia="宋体" w:cs="宋体"/>
                <w:color w:val="auto"/>
                <w:spacing w:val="-1"/>
                <w:highlight w:val="none"/>
              </w:rPr>
              <w:t>方</w:t>
            </w:r>
            <w:r>
              <w:rPr>
                <w:rFonts w:hint="eastAsia" w:ascii="宋体" w:hAnsi="宋体" w:eastAsia="宋体" w:cs="宋体"/>
                <w:color w:val="auto"/>
                <w:highlight w:val="none"/>
              </w:rPr>
              <w:t>米）</w:t>
            </w:r>
          </w:p>
        </w:tc>
        <w:tc>
          <w:tcPr>
            <w:tcW w:w="2412" w:type="dxa"/>
            <w:tcBorders>
              <w:top w:val="single" w:color="000000" w:sz="4" w:space="0"/>
              <w:left w:val="nil"/>
              <w:bottom w:val="single" w:color="000000" w:sz="4" w:space="0"/>
              <w:right w:val="single" w:color="000000" w:sz="4" w:space="0"/>
            </w:tcBorders>
            <w:noWrap w:val="0"/>
            <w:vAlign w:val="center"/>
          </w:tcPr>
          <w:p w14:paraId="1580B123">
            <w:pPr>
              <w:pStyle w:val="8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位 </w:t>
            </w:r>
            <w:r>
              <w:rPr>
                <w:rFonts w:hint="eastAsia" w:ascii="宋体" w:hAnsi="宋体" w:eastAsia="宋体" w:cs="宋体"/>
                <w:color w:val="auto"/>
                <w:spacing w:val="1"/>
                <w:highlight w:val="none"/>
              </w:rPr>
              <w:t> </w:t>
            </w:r>
            <w:r>
              <w:rPr>
                <w:rFonts w:hint="eastAsia" w:ascii="宋体" w:hAnsi="宋体" w:eastAsia="宋体" w:cs="宋体"/>
                <w:color w:val="auto"/>
                <w:highlight w:val="none"/>
              </w:rPr>
              <w:t>置</w:t>
            </w:r>
          </w:p>
        </w:tc>
        <w:tc>
          <w:tcPr>
            <w:tcW w:w="2412" w:type="dxa"/>
            <w:tcBorders>
              <w:top w:val="single" w:color="000000" w:sz="4" w:space="0"/>
              <w:left w:val="nil"/>
              <w:bottom w:val="single" w:color="000000" w:sz="4" w:space="0"/>
              <w:right w:val="single" w:color="000000" w:sz="4" w:space="0"/>
            </w:tcBorders>
            <w:noWrap w:val="0"/>
            <w:vAlign w:val="center"/>
          </w:tcPr>
          <w:p w14:paraId="1715A9DD">
            <w:pPr>
              <w:pStyle w:val="85"/>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需用时间</w:t>
            </w:r>
          </w:p>
        </w:tc>
      </w:tr>
      <w:tr w14:paraId="01EC55DC">
        <w:tblPrEx>
          <w:tblCellMar>
            <w:top w:w="0" w:type="dxa"/>
            <w:left w:w="0" w:type="dxa"/>
            <w:bottom w:w="0" w:type="dxa"/>
            <w:right w:w="0" w:type="dxa"/>
          </w:tblCellMar>
        </w:tblPrEx>
        <w:trPr>
          <w:trHeight w:val="450" w:hRule="atLeast"/>
          <w:jc w:val="center"/>
        </w:trPr>
        <w:tc>
          <w:tcPr>
            <w:tcW w:w="2412" w:type="dxa"/>
            <w:tcBorders>
              <w:top w:val="single" w:color="000000" w:sz="4" w:space="0"/>
              <w:left w:val="single" w:color="000000" w:sz="4" w:space="0"/>
              <w:bottom w:val="single" w:color="000000" w:sz="4" w:space="0"/>
              <w:right w:val="single" w:color="000000" w:sz="4" w:space="0"/>
            </w:tcBorders>
            <w:noWrap w:val="0"/>
            <w:vAlign w:val="top"/>
          </w:tcPr>
          <w:p w14:paraId="5F4B06D3">
            <w:pPr>
              <w:pStyle w:val="85"/>
              <w:spacing w:line="360" w:lineRule="auto"/>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14:paraId="60C10CFB">
            <w:pPr>
              <w:pStyle w:val="85"/>
              <w:spacing w:line="360" w:lineRule="auto"/>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14:paraId="6F8BBBDA">
            <w:pPr>
              <w:pStyle w:val="85"/>
              <w:spacing w:line="360" w:lineRule="auto"/>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14:paraId="5AA8C242">
            <w:pPr>
              <w:pStyle w:val="85"/>
              <w:spacing w:line="360" w:lineRule="auto"/>
              <w:rPr>
                <w:rFonts w:hint="eastAsia" w:ascii="宋体" w:hAnsi="宋体" w:eastAsia="宋体" w:cs="宋体"/>
                <w:color w:val="auto"/>
                <w:sz w:val="24"/>
                <w:szCs w:val="24"/>
                <w:highlight w:val="none"/>
              </w:rPr>
            </w:pPr>
          </w:p>
        </w:tc>
      </w:tr>
      <w:tr w14:paraId="5E2C9BC9">
        <w:tblPrEx>
          <w:tblCellMar>
            <w:top w:w="0" w:type="dxa"/>
            <w:left w:w="0" w:type="dxa"/>
            <w:bottom w:w="0" w:type="dxa"/>
            <w:right w:w="0" w:type="dxa"/>
          </w:tblCellMar>
        </w:tblPrEx>
        <w:trPr>
          <w:trHeight w:val="450" w:hRule="atLeast"/>
          <w:jc w:val="center"/>
        </w:trPr>
        <w:tc>
          <w:tcPr>
            <w:tcW w:w="2412" w:type="dxa"/>
            <w:tcBorders>
              <w:top w:val="single" w:color="000000" w:sz="4" w:space="0"/>
              <w:left w:val="single" w:color="000000" w:sz="4" w:space="0"/>
              <w:bottom w:val="single" w:color="000000" w:sz="4" w:space="0"/>
              <w:right w:val="single" w:color="000000" w:sz="4" w:space="0"/>
            </w:tcBorders>
            <w:noWrap w:val="0"/>
            <w:vAlign w:val="top"/>
          </w:tcPr>
          <w:p w14:paraId="6DFE36B6">
            <w:pPr>
              <w:pStyle w:val="85"/>
              <w:spacing w:line="360" w:lineRule="auto"/>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14:paraId="115D5C11">
            <w:pPr>
              <w:pStyle w:val="85"/>
              <w:spacing w:line="360" w:lineRule="auto"/>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14:paraId="39087A14">
            <w:pPr>
              <w:pStyle w:val="85"/>
              <w:spacing w:line="360" w:lineRule="auto"/>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14:paraId="46591055">
            <w:pPr>
              <w:pStyle w:val="85"/>
              <w:spacing w:line="360" w:lineRule="auto"/>
              <w:rPr>
                <w:rFonts w:hint="eastAsia" w:ascii="宋体" w:hAnsi="宋体" w:eastAsia="宋体" w:cs="宋体"/>
                <w:color w:val="auto"/>
                <w:sz w:val="24"/>
                <w:szCs w:val="24"/>
                <w:highlight w:val="none"/>
              </w:rPr>
            </w:pPr>
          </w:p>
        </w:tc>
      </w:tr>
      <w:tr w14:paraId="61275ABD">
        <w:tblPrEx>
          <w:tblCellMar>
            <w:top w:w="0" w:type="dxa"/>
            <w:left w:w="0" w:type="dxa"/>
            <w:bottom w:w="0" w:type="dxa"/>
            <w:right w:w="0" w:type="dxa"/>
          </w:tblCellMar>
        </w:tblPrEx>
        <w:trPr>
          <w:trHeight w:val="450" w:hRule="atLeast"/>
          <w:jc w:val="center"/>
        </w:trPr>
        <w:tc>
          <w:tcPr>
            <w:tcW w:w="2412" w:type="dxa"/>
            <w:tcBorders>
              <w:top w:val="single" w:color="000000" w:sz="4" w:space="0"/>
              <w:left w:val="single" w:color="000000" w:sz="4" w:space="0"/>
              <w:bottom w:val="single" w:color="000000" w:sz="4" w:space="0"/>
              <w:right w:val="single" w:color="000000" w:sz="4" w:space="0"/>
            </w:tcBorders>
            <w:noWrap w:val="0"/>
            <w:vAlign w:val="top"/>
          </w:tcPr>
          <w:p w14:paraId="2E057B78">
            <w:pPr>
              <w:pStyle w:val="85"/>
              <w:spacing w:line="360" w:lineRule="auto"/>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14:paraId="7CC6C23B">
            <w:pPr>
              <w:pStyle w:val="85"/>
              <w:spacing w:line="360" w:lineRule="auto"/>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14:paraId="7BFA6A61">
            <w:pPr>
              <w:pStyle w:val="85"/>
              <w:spacing w:line="360" w:lineRule="auto"/>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14:paraId="21B73F9D">
            <w:pPr>
              <w:pStyle w:val="85"/>
              <w:spacing w:line="360" w:lineRule="auto"/>
              <w:rPr>
                <w:rFonts w:hint="eastAsia" w:ascii="宋体" w:hAnsi="宋体" w:eastAsia="宋体" w:cs="宋体"/>
                <w:color w:val="auto"/>
                <w:sz w:val="24"/>
                <w:szCs w:val="24"/>
                <w:highlight w:val="none"/>
              </w:rPr>
            </w:pPr>
          </w:p>
        </w:tc>
      </w:tr>
    </w:tbl>
    <w:p w14:paraId="649EE365">
      <w:pPr>
        <w:widowControl/>
        <w:spacing w:line="360" w:lineRule="auto"/>
        <w:jc w:val="center"/>
        <w:rPr>
          <w:rFonts w:hint="eastAsia" w:ascii="宋体" w:hAnsi="宋体" w:eastAsia="宋体" w:cs="宋体"/>
          <w:color w:val="auto"/>
          <w:highlight w:val="none"/>
        </w:rPr>
      </w:pPr>
      <w:r>
        <w:rPr>
          <w:rFonts w:hint="eastAsia" w:ascii="宋体" w:hAnsi="宋体" w:eastAsia="宋体" w:cs="宋体"/>
          <w:color w:val="auto"/>
          <w:szCs w:val="21"/>
          <w:highlight w:val="none"/>
        </w:rPr>
        <w:t>磋商供应商[公章(CA签章)，自然人签字或个人CA签章]：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7E66E1E2">
      <w:pPr>
        <w:pStyle w:val="22"/>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7.工程完工服务承诺书（必须提供）；</w:t>
      </w:r>
    </w:p>
    <w:p w14:paraId="010470C5">
      <w:pPr>
        <w:spacing w:line="360" w:lineRule="auto"/>
        <w:jc w:val="center"/>
        <w:rPr>
          <w:rFonts w:hint="eastAsia" w:ascii="宋体" w:hAnsi="宋体" w:eastAsia="宋体" w:cs="宋体"/>
          <w:b/>
          <w:color w:val="auto"/>
          <w:sz w:val="24"/>
          <w:highlight w:val="none"/>
        </w:rPr>
      </w:pPr>
    </w:p>
    <w:p w14:paraId="6FEFFDF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工程完工服务承诺书（格式）</w:t>
      </w:r>
    </w:p>
    <w:p w14:paraId="1C010700">
      <w:pPr>
        <w:pStyle w:val="22"/>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（由</w:t>
      </w:r>
      <w:r>
        <w:rPr>
          <w:rFonts w:hint="eastAsia" w:ascii="宋体" w:hAnsi="宋体" w:eastAsia="宋体" w:cs="宋体"/>
          <w:color w:val="auto"/>
          <w:szCs w:val="21"/>
          <w:highlight w:val="none"/>
        </w:rPr>
        <w:t>供应商</w:t>
      </w:r>
      <w:r>
        <w:rPr>
          <w:rFonts w:hint="eastAsia" w:ascii="宋体" w:hAnsi="宋体" w:eastAsia="宋体" w:cs="宋体"/>
          <w:color w:val="auto"/>
          <w:highlight w:val="none"/>
        </w:rPr>
        <w:t>按《工程量清单》中工程完工服务及要求自行分别填写）</w:t>
      </w:r>
    </w:p>
    <w:p w14:paraId="0FD51733">
      <w:pPr>
        <w:pStyle w:val="22"/>
        <w:spacing w:line="360" w:lineRule="auto"/>
        <w:rPr>
          <w:rFonts w:hint="eastAsia" w:ascii="宋体" w:hAnsi="宋体" w:eastAsia="宋体" w:cs="宋体"/>
          <w:color w:val="auto"/>
          <w:highlight w:val="none"/>
        </w:rPr>
      </w:pPr>
    </w:p>
    <w:p w14:paraId="157CBBC7">
      <w:pPr>
        <w:widowControl/>
        <w:spacing w:line="360" w:lineRule="auto"/>
        <w:ind w:firstLine="1470" w:firstLineChars="700"/>
        <w:jc w:val="left"/>
        <w:rPr>
          <w:rFonts w:hint="eastAsia" w:ascii="宋体" w:hAnsi="宋体" w:eastAsia="宋体" w:cs="宋体"/>
          <w:color w:val="auto"/>
          <w:szCs w:val="21"/>
          <w:highlight w:val="none"/>
        </w:rPr>
      </w:pPr>
    </w:p>
    <w:p w14:paraId="79E32206">
      <w:pPr>
        <w:widowControl/>
        <w:spacing w:line="360" w:lineRule="auto"/>
        <w:ind w:firstLine="1470" w:firstLineChars="700"/>
        <w:jc w:val="left"/>
        <w:rPr>
          <w:rFonts w:hint="eastAsia" w:ascii="宋体" w:hAnsi="宋体" w:eastAsia="宋体" w:cs="宋体"/>
          <w:color w:val="auto"/>
          <w:szCs w:val="21"/>
          <w:highlight w:val="none"/>
        </w:rPr>
      </w:pPr>
    </w:p>
    <w:p w14:paraId="71593689">
      <w:pPr>
        <w:widowControl/>
        <w:spacing w:line="360" w:lineRule="auto"/>
        <w:ind w:firstLine="1470" w:firstLineChars="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磋商供应商[公章(CA签章)，自然人签字或个人CA签章]：</w:t>
      </w:r>
      <w:r>
        <w:rPr>
          <w:rFonts w:hint="eastAsia" w:ascii="宋体" w:hAnsi="宋体" w:eastAsia="宋体" w:cs="宋体"/>
          <w:color w:val="auto"/>
          <w:szCs w:val="21"/>
          <w:highlight w:val="none"/>
          <w:u w:val="single"/>
        </w:rPr>
        <w:t xml:space="preserve">                                                       </w:t>
      </w:r>
    </w:p>
    <w:p w14:paraId="53B4A344">
      <w:pPr>
        <w:pStyle w:val="22"/>
        <w:spacing w:line="360" w:lineRule="auto"/>
        <w:ind w:left="2940" w:leftChars="1400" w:firstLine="630" w:firstLineChars="300"/>
        <w:rPr>
          <w:rFonts w:hint="eastAsia" w:ascii="宋体" w:hAnsi="宋体" w:eastAsia="宋体" w:cs="宋体"/>
          <w:color w:val="auto"/>
          <w:highlight w:val="none"/>
        </w:rPr>
      </w:pPr>
    </w:p>
    <w:p w14:paraId="02C6612E">
      <w:pPr>
        <w:spacing w:line="360" w:lineRule="auto"/>
        <w:ind w:firstLine="1470" w:firstLineChars="700"/>
        <w:rPr>
          <w:rFonts w:hint="eastAsia" w:ascii="宋体" w:hAnsi="宋体" w:eastAsia="宋体" w:cs="宋体"/>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3889B553">
      <w:pPr>
        <w:pStyle w:val="4"/>
        <w:spacing w:line="360" w:lineRule="auto"/>
        <w:rPr>
          <w:rFonts w:hint="eastAsia" w:ascii="宋体" w:hAnsi="宋体" w:eastAsia="宋体" w:cs="宋体"/>
          <w:color w:val="auto"/>
          <w:sz w:val="28"/>
          <w:szCs w:val="28"/>
          <w:highlight w:val="none"/>
        </w:rPr>
      </w:pPr>
    </w:p>
    <w:p w14:paraId="2945E10A">
      <w:pPr>
        <w:rPr>
          <w:rFonts w:hint="eastAsia" w:ascii="宋体" w:hAnsi="宋体" w:eastAsia="宋体" w:cs="宋体"/>
          <w:color w:val="auto"/>
          <w:sz w:val="28"/>
          <w:szCs w:val="28"/>
          <w:highlight w:val="none"/>
        </w:rPr>
      </w:pPr>
    </w:p>
    <w:p w14:paraId="7B1BEB74">
      <w:pPr>
        <w:rPr>
          <w:rFonts w:hint="eastAsia" w:ascii="宋体" w:hAnsi="宋体" w:eastAsia="宋体" w:cs="宋体"/>
          <w:color w:val="auto"/>
          <w:sz w:val="28"/>
          <w:szCs w:val="28"/>
          <w:highlight w:val="none"/>
        </w:rPr>
      </w:pPr>
    </w:p>
    <w:p w14:paraId="4575A008">
      <w:pPr>
        <w:rPr>
          <w:rFonts w:hint="eastAsia" w:ascii="宋体" w:hAnsi="宋体" w:eastAsia="宋体" w:cs="宋体"/>
          <w:color w:val="auto"/>
          <w:sz w:val="28"/>
          <w:szCs w:val="28"/>
          <w:highlight w:val="none"/>
        </w:rPr>
      </w:pPr>
    </w:p>
    <w:p w14:paraId="103F97D4">
      <w:pPr>
        <w:rPr>
          <w:rFonts w:hint="eastAsia" w:ascii="宋体" w:hAnsi="宋体" w:eastAsia="宋体" w:cs="宋体"/>
          <w:color w:val="auto"/>
          <w:sz w:val="28"/>
          <w:szCs w:val="28"/>
          <w:highlight w:val="none"/>
        </w:rPr>
      </w:pPr>
    </w:p>
    <w:p w14:paraId="10C1DD1C">
      <w:pPr>
        <w:rPr>
          <w:rFonts w:hint="eastAsia" w:ascii="宋体" w:hAnsi="宋体" w:eastAsia="宋体" w:cs="宋体"/>
          <w:color w:val="auto"/>
          <w:sz w:val="28"/>
          <w:szCs w:val="28"/>
          <w:highlight w:val="none"/>
        </w:rPr>
      </w:pPr>
    </w:p>
    <w:p w14:paraId="264BC09F">
      <w:pPr>
        <w:rPr>
          <w:rFonts w:hint="eastAsia" w:ascii="宋体" w:hAnsi="宋体" w:eastAsia="宋体" w:cs="宋体"/>
          <w:color w:val="auto"/>
          <w:sz w:val="28"/>
          <w:szCs w:val="28"/>
          <w:highlight w:val="none"/>
        </w:rPr>
      </w:pPr>
    </w:p>
    <w:p w14:paraId="6BFA2A5B">
      <w:pPr>
        <w:rPr>
          <w:rFonts w:hint="eastAsia" w:ascii="宋体" w:hAnsi="宋体" w:eastAsia="宋体" w:cs="宋体"/>
          <w:color w:val="auto"/>
          <w:sz w:val="28"/>
          <w:szCs w:val="28"/>
          <w:highlight w:val="none"/>
        </w:rPr>
      </w:pPr>
    </w:p>
    <w:p w14:paraId="695D0111">
      <w:pPr>
        <w:rPr>
          <w:rFonts w:hint="eastAsia" w:ascii="宋体" w:hAnsi="宋体" w:eastAsia="宋体" w:cs="宋体"/>
          <w:color w:val="auto"/>
          <w:sz w:val="28"/>
          <w:szCs w:val="28"/>
          <w:highlight w:val="none"/>
        </w:rPr>
      </w:pPr>
    </w:p>
    <w:p w14:paraId="37B5220F">
      <w:pPr>
        <w:rPr>
          <w:rFonts w:hint="eastAsia" w:ascii="宋体" w:hAnsi="宋体" w:eastAsia="宋体" w:cs="宋体"/>
          <w:color w:val="auto"/>
          <w:sz w:val="28"/>
          <w:szCs w:val="28"/>
          <w:highlight w:val="none"/>
        </w:rPr>
      </w:pPr>
    </w:p>
    <w:p w14:paraId="468A15F2">
      <w:pPr>
        <w:rPr>
          <w:rFonts w:hint="eastAsia" w:ascii="宋体" w:hAnsi="宋体" w:eastAsia="宋体" w:cs="宋体"/>
          <w:color w:val="auto"/>
          <w:sz w:val="28"/>
          <w:szCs w:val="28"/>
          <w:highlight w:val="none"/>
        </w:rPr>
      </w:pPr>
    </w:p>
    <w:p w14:paraId="2A00CDFA">
      <w:pPr>
        <w:rPr>
          <w:rFonts w:hint="eastAsia" w:ascii="宋体" w:hAnsi="宋体" w:eastAsia="宋体" w:cs="宋体"/>
          <w:color w:val="auto"/>
          <w:sz w:val="28"/>
          <w:szCs w:val="28"/>
          <w:highlight w:val="none"/>
        </w:rPr>
      </w:pPr>
    </w:p>
    <w:p w14:paraId="74011565">
      <w:pPr>
        <w:rPr>
          <w:rFonts w:hint="eastAsia" w:ascii="宋体" w:hAnsi="宋体" w:eastAsia="宋体" w:cs="宋体"/>
          <w:color w:val="auto"/>
          <w:sz w:val="28"/>
          <w:szCs w:val="28"/>
          <w:highlight w:val="none"/>
        </w:rPr>
      </w:pPr>
    </w:p>
    <w:p w14:paraId="5C5528D9">
      <w:pPr>
        <w:rPr>
          <w:rFonts w:hint="eastAsia" w:ascii="宋体" w:hAnsi="宋体" w:eastAsia="宋体" w:cs="宋体"/>
          <w:color w:val="auto"/>
          <w:sz w:val="28"/>
          <w:szCs w:val="28"/>
          <w:highlight w:val="none"/>
        </w:rPr>
      </w:pPr>
    </w:p>
    <w:p w14:paraId="08240FC9">
      <w:pPr>
        <w:pStyle w:val="4"/>
        <w:spacing w:line="360" w:lineRule="auto"/>
        <w:rPr>
          <w:rFonts w:hint="eastAsia" w:ascii="宋体" w:hAnsi="宋体" w:eastAsia="宋体" w:cs="宋体"/>
          <w:b/>
          <w:bCs w:val="0"/>
          <w:color w:val="auto"/>
          <w:kern w:val="2"/>
          <w:sz w:val="28"/>
          <w:szCs w:val="28"/>
          <w:highlight w:val="none"/>
          <w:lang w:val="en-US" w:eastAsia="zh-CN" w:bidi="ar-SA"/>
        </w:rPr>
      </w:pPr>
      <w:bookmarkStart w:id="1987" w:name="_Toc24798"/>
      <w:bookmarkStart w:id="1988" w:name="_Toc32582"/>
      <w:bookmarkStart w:id="1989" w:name="_Toc28903"/>
      <w:r>
        <w:rPr>
          <w:rFonts w:hint="eastAsia" w:ascii="宋体" w:hAnsi="宋体" w:eastAsia="宋体" w:cs="宋体"/>
          <w:b/>
          <w:bCs w:val="0"/>
          <w:color w:val="auto"/>
          <w:kern w:val="2"/>
          <w:sz w:val="28"/>
          <w:szCs w:val="28"/>
          <w:highlight w:val="none"/>
          <w:lang w:val="en-US" w:eastAsia="zh-CN" w:bidi="ar-SA"/>
        </w:rPr>
        <w:t>8.农民工工资保障金交纳与使用承诺书（必须提供）</w:t>
      </w:r>
      <w:bookmarkEnd w:id="1987"/>
      <w:bookmarkEnd w:id="1988"/>
      <w:r>
        <w:rPr>
          <w:rFonts w:hint="eastAsia" w:ascii="宋体" w:hAnsi="宋体" w:eastAsia="宋体" w:cs="宋体"/>
          <w:b/>
          <w:bCs w:val="0"/>
          <w:color w:val="auto"/>
          <w:kern w:val="2"/>
          <w:sz w:val="28"/>
          <w:szCs w:val="28"/>
          <w:highlight w:val="none"/>
          <w:lang w:val="en-US" w:eastAsia="zh-CN" w:bidi="ar-SA"/>
        </w:rPr>
        <w:t>；</w:t>
      </w:r>
      <w:bookmarkEnd w:id="1989"/>
    </w:p>
    <w:p w14:paraId="071F04BA">
      <w:pPr>
        <w:spacing w:line="360" w:lineRule="auto"/>
        <w:ind w:firstLine="482" w:firstLineChars="200"/>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农民工工资保证金交纳与使用承诺书（格式）</w:t>
      </w:r>
    </w:p>
    <w:p w14:paraId="55647214">
      <w:pPr>
        <w:spacing w:line="360" w:lineRule="auto"/>
        <w:rPr>
          <w:rFonts w:hint="eastAsia" w:ascii="宋体" w:hAnsi="宋体" w:eastAsia="宋体" w:cs="宋体"/>
          <w:color w:val="auto"/>
          <w:kern w:val="0"/>
          <w:szCs w:val="21"/>
          <w:highlight w:val="none"/>
        </w:rPr>
      </w:pPr>
    </w:p>
    <w:p w14:paraId="32C5C0D1">
      <w:pPr>
        <w:spacing w:line="360" w:lineRule="auto"/>
        <w:rPr>
          <w:rFonts w:hint="eastAsia" w:ascii="宋体" w:hAnsi="宋体" w:eastAsia="宋体" w:cs="宋体"/>
          <w:b/>
          <w:color w:val="auto"/>
          <w:kern w:val="0"/>
          <w:szCs w:val="21"/>
          <w:highlight w:val="none"/>
          <w:u w:val="single"/>
        </w:rPr>
      </w:pPr>
      <w:r>
        <w:rPr>
          <w:rFonts w:hint="eastAsia" w:ascii="宋体" w:hAnsi="宋体" w:eastAsia="宋体" w:cs="宋体"/>
          <w:color w:val="auto"/>
          <w:kern w:val="0"/>
          <w:szCs w:val="21"/>
          <w:highlight w:val="none"/>
        </w:rPr>
        <w:t>致：</w:t>
      </w:r>
      <w:r>
        <w:rPr>
          <w:rFonts w:hint="eastAsia" w:ascii="宋体" w:hAnsi="宋体" w:cs="宋体"/>
          <w:color w:val="auto"/>
          <w:highlight w:val="none"/>
          <w:u w:val="single"/>
          <w:lang w:eastAsia="zh-CN"/>
        </w:rPr>
        <w:t>广西鼎策工程顾问有限责任公司</w:t>
      </w:r>
      <w:r>
        <w:rPr>
          <w:rFonts w:hint="eastAsia" w:ascii="宋体" w:hAnsi="宋体" w:eastAsia="宋体" w:cs="宋体"/>
          <w:color w:val="auto"/>
          <w:szCs w:val="21"/>
          <w:highlight w:val="none"/>
          <w:u w:val="single"/>
        </w:rPr>
        <w:t xml:space="preserve"> </w:t>
      </w:r>
    </w:p>
    <w:p w14:paraId="5344598B">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我方在此承诺：</w:t>
      </w:r>
    </w:p>
    <w:p w14:paraId="2DBEA322">
      <w:pPr>
        <w:spacing w:line="360" w:lineRule="auto"/>
        <w:ind w:firstLine="525" w:firstLine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1.我方在本项目</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（项目名称及编号）响应文件递交截止之日前所承建工程中，无拖欠或克扣农民工工资的行为。</w:t>
      </w:r>
    </w:p>
    <w:p w14:paraId="50904960">
      <w:pPr>
        <w:spacing w:line="360" w:lineRule="auto"/>
        <w:ind w:firstLine="49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 我方参与磋商的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项目，一旦成交，我方保证在签订施工合同后，及时并足额将农民工工资保证金足额存入指定的账户，作为本项目农民工工资保证金。</w:t>
      </w:r>
    </w:p>
    <w:p w14:paraId="31D27C3D">
      <w:pPr>
        <w:spacing w:line="360" w:lineRule="auto"/>
        <w:ind w:firstLine="49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 如我方在承包的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项目中出现拖欠农民工和工人工资情况的，由相关部门从其农民工工资保证金中先予划支。</w:t>
      </w:r>
    </w:p>
    <w:p w14:paraId="0BEC3D4F">
      <w:pPr>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4. 如我方不按时、足额存入农民工工资保证金，采购人有权取消我方承包资格。</w:t>
      </w:r>
    </w:p>
    <w:p w14:paraId="4E692A30">
      <w:pPr>
        <w:pStyle w:val="22"/>
        <w:spacing w:line="360" w:lineRule="auto"/>
        <w:rPr>
          <w:rFonts w:hint="eastAsia" w:ascii="宋体" w:hAnsi="宋体" w:eastAsia="宋体" w:cs="宋体"/>
          <w:b/>
          <w:color w:val="auto"/>
          <w:sz w:val="28"/>
          <w:szCs w:val="28"/>
          <w:highlight w:val="none"/>
        </w:rPr>
      </w:pPr>
    </w:p>
    <w:p w14:paraId="3708FC3C">
      <w:pPr>
        <w:spacing w:line="360" w:lineRule="auto"/>
        <w:ind w:left="420"/>
        <w:jc w:val="center"/>
        <w:rPr>
          <w:rFonts w:hint="eastAsia" w:ascii="宋体" w:hAnsi="宋体" w:eastAsia="宋体" w:cs="宋体"/>
          <w:b/>
          <w:bCs/>
          <w:color w:val="auto"/>
          <w:sz w:val="32"/>
          <w:szCs w:val="32"/>
          <w:highlight w:val="none"/>
        </w:rPr>
      </w:pPr>
      <w:bookmarkStart w:id="1990" w:name="_Toc497927084"/>
      <w:bookmarkStart w:id="1991" w:name="_Toc9339"/>
      <w:bookmarkStart w:id="1992" w:name="_Toc28672"/>
    </w:p>
    <w:p w14:paraId="72DB1F09">
      <w:pPr>
        <w:spacing w:line="360" w:lineRule="auto"/>
        <w:ind w:left="420"/>
        <w:jc w:val="center"/>
        <w:rPr>
          <w:rFonts w:hint="eastAsia" w:ascii="宋体" w:hAnsi="宋体" w:eastAsia="宋体" w:cs="宋体"/>
          <w:b/>
          <w:bCs/>
          <w:color w:val="auto"/>
          <w:sz w:val="32"/>
          <w:szCs w:val="32"/>
          <w:highlight w:val="none"/>
        </w:rPr>
      </w:pPr>
    </w:p>
    <w:p w14:paraId="0596B1BF">
      <w:pPr>
        <w:widowControl/>
        <w:spacing w:line="360" w:lineRule="auto"/>
        <w:ind w:firstLine="1470" w:firstLineChars="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磋商供应商[公章(CA签章)，自然人签字或个人CA签章]：</w:t>
      </w:r>
      <w:r>
        <w:rPr>
          <w:rFonts w:hint="eastAsia" w:ascii="宋体" w:hAnsi="宋体" w:eastAsia="宋体" w:cs="宋体"/>
          <w:color w:val="auto"/>
          <w:szCs w:val="21"/>
          <w:highlight w:val="none"/>
          <w:u w:val="single"/>
        </w:rPr>
        <w:t xml:space="preserve">                                                       </w:t>
      </w:r>
    </w:p>
    <w:p w14:paraId="14A3AF76">
      <w:pPr>
        <w:pStyle w:val="22"/>
        <w:spacing w:line="360" w:lineRule="auto"/>
        <w:ind w:left="2940" w:leftChars="1400" w:firstLine="630" w:firstLineChars="300"/>
        <w:rPr>
          <w:rFonts w:hint="eastAsia" w:ascii="宋体" w:hAnsi="宋体" w:eastAsia="宋体" w:cs="宋体"/>
          <w:color w:val="auto"/>
          <w:highlight w:val="none"/>
        </w:rPr>
      </w:pPr>
    </w:p>
    <w:p w14:paraId="11A2B3EE">
      <w:pPr>
        <w:spacing w:line="360" w:lineRule="auto"/>
        <w:ind w:left="420"/>
        <w:jc w:val="center"/>
        <w:rPr>
          <w:rFonts w:hint="eastAsia" w:ascii="宋体" w:hAnsi="宋体" w:eastAsia="宋体" w:cs="宋体"/>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1771FB57">
      <w:pPr>
        <w:pStyle w:val="4"/>
        <w:spacing w:line="360" w:lineRule="auto"/>
        <w:rPr>
          <w:rFonts w:hint="eastAsia" w:ascii="宋体" w:hAnsi="宋体" w:eastAsia="宋体" w:cs="宋体"/>
          <w:color w:val="auto"/>
          <w:sz w:val="28"/>
          <w:szCs w:val="28"/>
          <w:highlight w:val="none"/>
        </w:rPr>
      </w:pPr>
    </w:p>
    <w:p w14:paraId="04A5779F">
      <w:pPr>
        <w:rPr>
          <w:rFonts w:hint="eastAsia" w:ascii="宋体" w:hAnsi="宋体" w:eastAsia="宋体" w:cs="宋体"/>
          <w:color w:val="auto"/>
          <w:sz w:val="28"/>
          <w:szCs w:val="28"/>
          <w:highlight w:val="none"/>
        </w:rPr>
      </w:pPr>
    </w:p>
    <w:p w14:paraId="0FC4EDFF">
      <w:pPr>
        <w:pStyle w:val="4"/>
        <w:spacing w:line="360" w:lineRule="auto"/>
        <w:rPr>
          <w:rFonts w:hint="eastAsia" w:ascii="宋体" w:hAnsi="宋体" w:eastAsia="宋体" w:cs="宋体"/>
          <w:b/>
          <w:bCs w:val="0"/>
          <w:color w:val="auto"/>
          <w:kern w:val="2"/>
          <w:sz w:val="28"/>
          <w:szCs w:val="28"/>
          <w:highlight w:val="none"/>
          <w:lang w:val="en-US" w:eastAsia="zh-CN" w:bidi="ar-SA"/>
        </w:rPr>
      </w:pPr>
      <w:bookmarkStart w:id="1993" w:name="_Toc10529"/>
      <w:bookmarkStart w:id="1994" w:name="_Toc11659"/>
      <w:bookmarkStart w:id="1995" w:name="_Toc21352"/>
      <w:r>
        <w:rPr>
          <w:rFonts w:hint="eastAsia" w:ascii="宋体" w:hAnsi="宋体" w:eastAsia="宋体" w:cs="宋体"/>
          <w:b/>
          <w:bCs w:val="0"/>
          <w:color w:val="auto"/>
          <w:kern w:val="2"/>
          <w:sz w:val="28"/>
          <w:szCs w:val="28"/>
          <w:highlight w:val="none"/>
          <w:lang w:val="en-US" w:eastAsia="zh-CN" w:bidi="ar-SA"/>
        </w:rPr>
        <w:t>9.城乡清洁工程渣土清运承诺书（必须提供）。</w:t>
      </w:r>
      <w:bookmarkEnd w:id="1993"/>
      <w:bookmarkEnd w:id="1994"/>
      <w:bookmarkEnd w:id="1995"/>
    </w:p>
    <w:p w14:paraId="4F88CDE8">
      <w:pPr>
        <w:spacing w:line="360" w:lineRule="auto"/>
        <w:rPr>
          <w:rFonts w:hint="eastAsia" w:ascii="宋体" w:hAnsi="宋体" w:eastAsia="宋体" w:cs="宋体"/>
          <w:color w:val="auto"/>
          <w:highlight w:val="none"/>
        </w:rPr>
      </w:pPr>
    </w:p>
    <w:p w14:paraId="07AC6445">
      <w:pPr>
        <w:spacing w:line="360" w:lineRule="auto"/>
        <w:rPr>
          <w:rFonts w:hint="eastAsia" w:ascii="宋体" w:hAnsi="宋体" w:eastAsia="宋体" w:cs="宋体"/>
          <w:color w:val="auto"/>
          <w:highlight w:val="none"/>
        </w:rPr>
      </w:pPr>
    </w:p>
    <w:p w14:paraId="5EADB5B6">
      <w:pPr>
        <w:spacing w:line="360" w:lineRule="auto"/>
        <w:rPr>
          <w:rFonts w:hint="eastAsia" w:ascii="宋体" w:hAnsi="宋体" w:eastAsia="宋体" w:cs="宋体"/>
          <w:color w:val="auto"/>
          <w:highlight w:val="none"/>
        </w:rPr>
      </w:pPr>
    </w:p>
    <w:p w14:paraId="473A78C3">
      <w:pPr>
        <w:spacing w:line="360" w:lineRule="auto"/>
        <w:rPr>
          <w:rFonts w:hint="eastAsia" w:ascii="宋体" w:hAnsi="宋体" w:eastAsia="宋体" w:cs="宋体"/>
          <w:color w:val="auto"/>
          <w:highlight w:val="none"/>
        </w:rPr>
      </w:pPr>
    </w:p>
    <w:p w14:paraId="304E6602">
      <w:pPr>
        <w:spacing w:line="360" w:lineRule="auto"/>
        <w:rPr>
          <w:rFonts w:hint="eastAsia" w:ascii="宋体" w:hAnsi="宋体" w:eastAsia="宋体" w:cs="宋体"/>
          <w:color w:val="auto"/>
          <w:highlight w:val="none"/>
        </w:rPr>
      </w:pPr>
    </w:p>
    <w:p w14:paraId="79573BC6">
      <w:pPr>
        <w:spacing w:line="360" w:lineRule="auto"/>
        <w:rPr>
          <w:rFonts w:hint="eastAsia" w:ascii="宋体" w:hAnsi="宋体" w:eastAsia="宋体" w:cs="宋体"/>
          <w:color w:val="auto"/>
          <w:highlight w:val="none"/>
        </w:rPr>
      </w:pPr>
    </w:p>
    <w:p w14:paraId="13153AA2">
      <w:pPr>
        <w:spacing w:line="360" w:lineRule="auto"/>
        <w:ind w:left="420"/>
        <w:jc w:val="center"/>
        <w:rPr>
          <w:rFonts w:hint="eastAsia" w:ascii="宋体" w:hAnsi="宋体" w:eastAsia="宋体" w:cs="宋体"/>
          <w:color w:val="auto"/>
          <w:szCs w:val="21"/>
          <w:highlight w:val="none"/>
        </w:rPr>
      </w:pPr>
      <w:r>
        <w:rPr>
          <w:rFonts w:hint="eastAsia" w:ascii="宋体" w:hAnsi="宋体" w:eastAsia="宋体" w:cs="宋体"/>
          <w:b/>
          <w:bCs/>
          <w:color w:val="auto"/>
          <w:sz w:val="32"/>
          <w:szCs w:val="32"/>
          <w:highlight w:val="none"/>
        </w:rPr>
        <w:t>（三）其他有效证明材料目录</w:t>
      </w:r>
      <w:bookmarkEnd w:id="1990"/>
      <w:bookmarkEnd w:id="1991"/>
      <w:bookmarkEnd w:id="1992"/>
    </w:p>
    <w:p w14:paraId="13A7D3B7">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供应商20</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eastAsia="zh-CN"/>
        </w:rPr>
        <w:t>年1月1日以来具有同类项目（</w:t>
      </w:r>
      <w:r>
        <w:rPr>
          <w:rFonts w:hint="eastAsia" w:ascii="宋体" w:hAnsi="宋体" w:eastAsia="宋体" w:cs="宋体"/>
          <w:color w:val="auto"/>
          <w:szCs w:val="21"/>
          <w:highlight w:val="none"/>
          <w:lang w:val="en-US" w:eastAsia="zh-CN"/>
        </w:rPr>
        <w:t>建筑</w:t>
      </w:r>
      <w:r>
        <w:rPr>
          <w:rFonts w:hint="eastAsia" w:ascii="宋体" w:hAnsi="宋体" w:eastAsia="宋体" w:cs="宋体"/>
          <w:color w:val="auto"/>
          <w:szCs w:val="21"/>
          <w:highlight w:val="none"/>
          <w:lang w:eastAsia="zh-CN"/>
        </w:rPr>
        <w:t>工程施工）</w:t>
      </w:r>
      <w:r>
        <w:rPr>
          <w:rFonts w:hint="eastAsia" w:ascii="宋体" w:hAnsi="宋体" w:eastAsia="宋体" w:cs="宋体"/>
          <w:color w:val="auto"/>
          <w:szCs w:val="21"/>
          <w:highlight w:val="none"/>
        </w:rPr>
        <w:t>的业绩相关证明材料（无不良记录，以中标、成交通知书或签订的合同为准，并能清晰反映</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的名称、</w:t>
      </w:r>
      <w:r>
        <w:rPr>
          <w:rFonts w:hint="eastAsia" w:ascii="宋体" w:hAnsi="宋体" w:eastAsia="宋体" w:cs="宋体"/>
          <w:color w:val="auto"/>
          <w:szCs w:val="21"/>
          <w:highlight w:val="none"/>
          <w:lang w:eastAsia="zh-CN"/>
        </w:rPr>
        <w:t>采购内容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金额</w:t>
      </w:r>
      <w:r>
        <w:rPr>
          <w:rFonts w:hint="eastAsia" w:ascii="宋体" w:hAnsi="宋体" w:eastAsia="宋体" w:cs="宋体"/>
          <w:color w:val="auto"/>
          <w:szCs w:val="21"/>
          <w:highlight w:val="none"/>
          <w:lang w:eastAsia="zh-CN"/>
        </w:rPr>
        <w:t>、采购时间</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（如有，请提供）；</w:t>
      </w:r>
      <w:r>
        <w:rPr>
          <w:rFonts w:hint="eastAsia" w:ascii="宋体" w:hAnsi="宋体" w:eastAsia="宋体" w:cs="宋体"/>
          <w:b/>
          <w:bCs/>
          <w:color w:val="auto"/>
          <w:szCs w:val="21"/>
          <w:highlight w:val="none"/>
          <w:lang w:val="en-US" w:eastAsia="zh-CN"/>
        </w:rPr>
        <w:t xml:space="preserve"> </w:t>
      </w:r>
    </w:p>
    <w:p w14:paraId="4DFBEFDF">
      <w:pPr>
        <w:spacing w:line="360" w:lineRule="auto"/>
        <w:ind w:firstLine="420" w:firstLineChars="200"/>
        <w:rPr>
          <w:rFonts w:hint="eastAsia" w:ascii="宋体" w:hAnsi="宋体" w:eastAsia="宋体" w:cs="宋体"/>
          <w:color w:val="auto"/>
          <w:szCs w:val="21"/>
          <w:highlight w:val="none"/>
        </w:rPr>
      </w:pPr>
    </w:p>
    <w:p w14:paraId="5F1DC5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2.供应商可结合本项目的评审办法视自身情况自行提交其它相关证明材料。</w:t>
      </w:r>
    </w:p>
    <w:p w14:paraId="77A39465">
      <w:pPr>
        <w:spacing w:line="360" w:lineRule="auto"/>
        <w:ind w:firstLine="480" w:firstLineChars="200"/>
        <w:rPr>
          <w:rFonts w:hint="eastAsia" w:ascii="宋体" w:hAnsi="宋体" w:eastAsia="宋体" w:cs="宋体"/>
          <w:color w:val="auto"/>
          <w:sz w:val="24"/>
          <w:highlight w:val="none"/>
        </w:rPr>
      </w:pPr>
    </w:p>
    <w:p w14:paraId="72EED54E">
      <w:pPr>
        <w:pStyle w:val="80"/>
        <w:spacing w:line="360" w:lineRule="auto"/>
        <w:rPr>
          <w:rFonts w:hint="eastAsia" w:ascii="宋体" w:hAnsi="宋体" w:eastAsia="宋体" w:cs="宋体"/>
          <w:b/>
          <w:bCs/>
          <w:color w:val="auto"/>
          <w:highlight w:val="none"/>
        </w:rPr>
      </w:pPr>
    </w:p>
    <w:p w14:paraId="47C24CFD">
      <w:pPr>
        <w:pStyle w:val="80"/>
        <w:spacing w:line="360" w:lineRule="auto"/>
        <w:rPr>
          <w:rFonts w:hint="eastAsia" w:ascii="宋体" w:hAnsi="宋体" w:eastAsia="宋体" w:cs="宋体"/>
          <w:b/>
          <w:bCs/>
          <w:color w:val="auto"/>
          <w:highlight w:val="none"/>
        </w:rPr>
      </w:pPr>
    </w:p>
    <w:p w14:paraId="14C6A69F">
      <w:pPr>
        <w:pStyle w:val="80"/>
        <w:spacing w:line="360" w:lineRule="auto"/>
        <w:rPr>
          <w:rFonts w:hint="eastAsia" w:ascii="宋体" w:hAnsi="宋体" w:eastAsia="宋体" w:cs="宋体"/>
          <w:b/>
          <w:bCs/>
          <w:color w:val="auto"/>
          <w:highlight w:val="none"/>
        </w:rPr>
      </w:pPr>
    </w:p>
    <w:p w14:paraId="3446EB0C">
      <w:pPr>
        <w:pStyle w:val="80"/>
        <w:spacing w:line="360" w:lineRule="auto"/>
        <w:rPr>
          <w:rFonts w:hint="eastAsia" w:ascii="宋体" w:hAnsi="宋体" w:eastAsia="宋体" w:cs="宋体"/>
          <w:b/>
          <w:bCs/>
          <w:color w:val="auto"/>
          <w:highlight w:val="none"/>
        </w:rPr>
      </w:pPr>
    </w:p>
    <w:p w14:paraId="511AF7E6">
      <w:pPr>
        <w:pStyle w:val="80"/>
        <w:spacing w:line="360" w:lineRule="auto"/>
        <w:rPr>
          <w:rFonts w:hint="eastAsia" w:ascii="宋体" w:hAnsi="宋体" w:eastAsia="宋体" w:cs="宋体"/>
          <w:b/>
          <w:bCs/>
          <w:color w:val="auto"/>
          <w:highlight w:val="none"/>
        </w:rPr>
      </w:pPr>
    </w:p>
    <w:p w14:paraId="4D1CACB2">
      <w:pPr>
        <w:pStyle w:val="80"/>
        <w:spacing w:line="360" w:lineRule="auto"/>
        <w:rPr>
          <w:rFonts w:hint="eastAsia" w:ascii="宋体" w:hAnsi="宋体" w:eastAsia="宋体" w:cs="宋体"/>
          <w:b/>
          <w:bCs/>
          <w:color w:val="auto"/>
          <w:highlight w:val="none"/>
        </w:rPr>
      </w:pPr>
    </w:p>
    <w:p w14:paraId="5AB6F59B">
      <w:pPr>
        <w:pStyle w:val="80"/>
        <w:spacing w:line="360" w:lineRule="auto"/>
        <w:rPr>
          <w:rFonts w:hint="eastAsia" w:ascii="宋体" w:hAnsi="宋体" w:eastAsia="宋体" w:cs="宋体"/>
          <w:b/>
          <w:bCs/>
          <w:color w:val="auto"/>
          <w:highlight w:val="none"/>
        </w:rPr>
      </w:pPr>
    </w:p>
    <w:p w14:paraId="68F3F5E7">
      <w:pPr>
        <w:pStyle w:val="80"/>
        <w:spacing w:line="360" w:lineRule="auto"/>
        <w:rPr>
          <w:rFonts w:hint="eastAsia" w:ascii="宋体" w:hAnsi="宋体" w:eastAsia="宋体" w:cs="宋体"/>
          <w:b/>
          <w:bCs/>
          <w:color w:val="auto"/>
          <w:highlight w:val="none"/>
        </w:rPr>
      </w:pPr>
    </w:p>
    <w:p w14:paraId="1AED2DA2">
      <w:pPr>
        <w:pStyle w:val="80"/>
        <w:spacing w:line="360" w:lineRule="auto"/>
        <w:rPr>
          <w:rFonts w:hint="eastAsia" w:ascii="宋体" w:hAnsi="宋体" w:eastAsia="宋体" w:cs="宋体"/>
          <w:b/>
          <w:bCs/>
          <w:color w:val="auto"/>
          <w:highlight w:val="none"/>
        </w:rPr>
      </w:pPr>
    </w:p>
    <w:p w14:paraId="7E24F637">
      <w:pPr>
        <w:pStyle w:val="80"/>
        <w:spacing w:line="360" w:lineRule="auto"/>
        <w:rPr>
          <w:rFonts w:hint="eastAsia" w:ascii="宋体" w:hAnsi="宋体" w:eastAsia="宋体" w:cs="宋体"/>
          <w:b/>
          <w:bCs/>
          <w:color w:val="auto"/>
          <w:highlight w:val="none"/>
        </w:rPr>
      </w:pPr>
    </w:p>
    <w:p w14:paraId="6449F450">
      <w:pPr>
        <w:pStyle w:val="80"/>
        <w:spacing w:line="360" w:lineRule="auto"/>
        <w:rPr>
          <w:rFonts w:hint="eastAsia" w:ascii="宋体" w:hAnsi="宋体" w:eastAsia="宋体" w:cs="宋体"/>
          <w:b/>
          <w:bCs/>
          <w:color w:val="auto"/>
          <w:highlight w:val="none"/>
        </w:rPr>
      </w:pPr>
    </w:p>
    <w:p w14:paraId="02422074">
      <w:pPr>
        <w:pStyle w:val="80"/>
        <w:spacing w:line="360" w:lineRule="auto"/>
        <w:rPr>
          <w:rFonts w:hint="eastAsia" w:ascii="宋体" w:hAnsi="宋体" w:eastAsia="宋体" w:cs="宋体"/>
          <w:b/>
          <w:bCs/>
          <w:color w:val="auto"/>
          <w:highlight w:val="none"/>
        </w:rPr>
      </w:pPr>
    </w:p>
    <w:p w14:paraId="0A1B8E09">
      <w:pPr>
        <w:pStyle w:val="80"/>
        <w:spacing w:line="360" w:lineRule="auto"/>
        <w:rPr>
          <w:rFonts w:hint="eastAsia" w:ascii="宋体" w:hAnsi="宋体" w:eastAsia="宋体" w:cs="宋体"/>
          <w:b/>
          <w:bCs/>
          <w:color w:val="auto"/>
          <w:highlight w:val="none"/>
        </w:rPr>
      </w:pPr>
    </w:p>
    <w:p w14:paraId="586E47BF">
      <w:pPr>
        <w:pStyle w:val="80"/>
        <w:spacing w:line="360" w:lineRule="auto"/>
        <w:rPr>
          <w:rFonts w:hint="eastAsia" w:ascii="宋体" w:hAnsi="宋体" w:eastAsia="宋体" w:cs="宋体"/>
          <w:b/>
          <w:bCs/>
          <w:color w:val="auto"/>
          <w:highlight w:val="none"/>
        </w:rPr>
      </w:pPr>
    </w:p>
    <w:p w14:paraId="11305298">
      <w:pPr>
        <w:pStyle w:val="80"/>
        <w:spacing w:line="360" w:lineRule="auto"/>
        <w:rPr>
          <w:rFonts w:hint="eastAsia" w:ascii="宋体" w:hAnsi="宋体" w:eastAsia="宋体" w:cs="宋体"/>
          <w:b/>
          <w:bCs/>
          <w:color w:val="auto"/>
          <w:highlight w:val="none"/>
        </w:rPr>
      </w:pPr>
    </w:p>
    <w:p w14:paraId="4F9EAA7B">
      <w:pPr>
        <w:pStyle w:val="80"/>
        <w:spacing w:line="360" w:lineRule="auto"/>
        <w:rPr>
          <w:rFonts w:hint="eastAsia" w:ascii="宋体" w:hAnsi="宋体" w:eastAsia="宋体" w:cs="宋体"/>
          <w:b/>
          <w:bCs/>
          <w:color w:val="auto"/>
          <w:highlight w:val="none"/>
        </w:rPr>
      </w:pPr>
    </w:p>
    <w:p w14:paraId="15C534EA">
      <w:pPr>
        <w:pStyle w:val="80"/>
        <w:spacing w:line="360" w:lineRule="auto"/>
        <w:rPr>
          <w:rFonts w:hint="eastAsia" w:ascii="宋体" w:hAnsi="宋体" w:eastAsia="宋体" w:cs="宋体"/>
          <w:b/>
          <w:bCs/>
          <w:color w:val="auto"/>
          <w:highlight w:val="none"/>
        </w:rPr>
      </w:pPr>
    </w:p>
    <w:p w14:paraId="3D0718CD">
      <w:pPr>
        <w:pStyle w:val="80"/>
        <w:spacing w:line="360" w:lineRule="auto"/>
        <w:rPr>
          <w:rFonts w:hint="eastAsia" w:ascii="宋体" w:hAnsi="宋体" w:eastAsia="宋体" w:cs="宋体"/>
          <w:b/>
          <w:bCs/>
          <w:color w:val="auto"/>
          <w:highlight w:val="none"/>
        </w:rPr>
      </w:pPr>
    </w:p>
    <w:p w14:paraId="0D2894F3">
      <w:pPr>
        <w:pStyle w:val="80"/>
        <w:spacing w:line="360" w:lineRule="auto"/>
        <w:rPr>
          <w:rFonts w:hint="eastAsia" w:ascii="宋体" w:hAnsi="宋体" w:eastAsia="宋体" w:cs="宋体"/>
          <w:b/>
          <w:bCs/>
          <w:color w:val="auto"/>
          <w:highlight w:val="none"/>
        </w:rPr>
      </w:pPr>
    </w:p>
    <w:p w14:paraId="5746634B">
      <w:pPr>
        <w:pStyle w:val="80"/>
        <w:spacing w:line="360" w:lineRule="auto"/>
        <w:rPr>
          <w:rFonts w:hint="eastAsia" w:ascii="宋体" w:hAnsi="宋体" w:eastAsia="宋体" w:cs="宋体"/>
          <w:b/>
          <w:bCs/>
          <w:color w:val="auto"/>
          <w:highlight w:val="none"/>
        </w:rPr>
      </w:pPr>
    </w:p>
    <w:p w14:paraId="4B129638">
      <w:pPr>
        <w:pStyle w:val="80"/>
        <w:spacing w:line="360" w:lineRule="auto"/>
        <w:rPr>
          <w:rFonts w:hint="eastAsia" w:ascii="宋体" w:hAnsi="宋体" w:eastAsia="宋体" w:cs="宋体"/>
          <w:b/>
          <w:bCs/>
          <w:color w:val="auto"/>
          <w:highlight w:val="none"/>
        </w:rPr>
      </w:pPr>
    </w:p>
    <w:p w14:paraId="5EBAA82A">
      <w:pPr>
        <w:pStyle w:val="80"/>
        <w:spacing w:line="360" w:lineRule="auto"/>
        <w:rPr>
          <w:rFonts w:hint="eastAsia" w:ascii="宋体" w:hAnsi="宋体" w:eastAsia="宋体" w:cs="宋体"/>
          <w:b/>
          <w:bCs/>
          <w:color w:val="auto"/>
          <w:highlight w:val="none"/>
        </w:rPr>
      </w:pPr>
    </w:p>
    <w:p w14:paraId="427B044D">
      <w:pPr>
        <w:pageBreakBefore w:val="0"/>
        <w:widowControl w:val="0"/>
        <w:kinsoku/>
        <w:wordWrap/>
        <w:overflowPunct/>
        <w:topLinePunct w:val="0"/>
        <w:bidi w:val="0"/>
        <w:spacing w:line="360" w:lineRule="auto"/>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lang w:eastAsia="zh-CN"/>
        </w:rPr>
        <w:t>供应商20</w:t>
      </w:r>
      <w:r>
        <w:rPr>
          <w:rFonts w:hint="eastAsia" w:ascii="宋体" w:hAnsi="宋体" w:eastAsia="宋体" w:cs="宋体"/>
          <w:b/>
          <w:bCs/>
          <w:color w:val="auto"/>
          <w:sz w:val="28"/>
          <w:szCs w:val="28"/>
          <w:highlight w:val="none"/>
          <w:lang w:val="en-US" w:eastAsia="zh-CN"/>
        </w:rPr>
        <w:t>2</w:t>
      </w:r>
      <w:r>
        <w:rPr>
          <w:rFonts w:hint="eastAsia" w:ascii="宋体" w:hAnsi="宋体" w:cs="宋体"/>
          <w:b/>
          <w:bCs/>
          <w:color w:val="auto"/>
          <w:sz w:val="28"/>
          <w:szCs w:val="28"/>
          <w:highlight w:val="none"/>
          <w:lang w:val="en-US" w:eastAsia="zh-CN"/>
        </w:rPr>
        <w:t>2</w:t>
      </w:r>
      <w:r>
        <w:rPr>
          <w:rFonts w:hint="eastAsia" w:ascii="宋体" w:hAnsi="宋体" w:eastAsia="宋体" w:cs="宋体"/>
          <w:b/>
          <w:bCs/>
          <w:color w:val="auto"/>
          <w:sz w:val="28"/>
          <w:szCs w:val="28"/>
          <w:highlight w:val="none"/>
          <w:lang w:eastAsia="zh-CN"/>
        </w:rPr>
        <w:t>年1月1日以来具有同类项目（</w:t>
      </w:r>
      <w:r>
        <w:rPr>
          <w:rFonts w:hint="eastAsia" w:ascii="宋体" w:hAnsi="宋体" w:eastAsia="宋体" w:cs="宋体"/>
          <w:b/>
          <w:bCs/>
          <w:color w:val="auto"/>
          <w:sz w:val="28"/>
          <w:szCs w:val="28"/>
          <w:highlight w:val="none"/>
          <w:lang w:val="en-US" w:eastAsia="zh-CN"/>
        </w:rPr>
        <w:t>建筑</w:t>
      </w:r>
      <w:r>
        <w:rPr>
          <w:rFonts w:hint="eastAsia" w:ascii="宋体" w:hAnsi="宋体" w:eastAsia="宋体" w:cs="宋体"/>
          <w:b/>
          <w:bCs/>
          <w:color w:val="auto"/>
          <w:sz w:val="28"/>
          <w:szCs w:val="28"/>
          <w:highlight w:val="none"/>
          <w:lang w:eastAsia="zh-CN"/>
        </w:rPr>
        <w:t>工程施工）</w:t>
      </w:r>
      <w:r>
        <w:rPr>
          <w:rFonts w:hint="eastAsia" w:ascii="宋体" w:hAnsi="宋体" w:eastAsia="宋体" w:cs="宋体"/>
          <w:b/>
          <w:bCs/>
          <w:color w:val="auto"/>
          <w:sz w:val="28"/>
          <w:szCs w:val="28"/>
          <w:highlight w:val="none"/>
        </w:rPr>
        <w:t>的业绩相关证明材料（无不良记录，以中标、成交通知书或签订的合同为准，并能清晰反映</w:t>
      </w:r>
      <w:r>
        <w:rPr>
          <w:rFonts w:hint="eastAsia" w:ascii="宋体" w:hAnsi="宋体" w:eastAsia="宋体" w:cs="宋体"/>
          <w:b/>
          <w:bCs/>
          <w:color w:val="auto"/>
          <w:sz w:val="28"/>
          <w:szCs w:val="28"/>
          <w:highlight w:val="none"/>
          <w:lang w:eastAsia="zh-CN"/>
        </w:rPr>
        <w:t>项目</w:t>
      </w:r>
      <w:r>
        <w:rPr>
          <w:rFonts w:hint="eastAsia" w:ascii="宋体" w:hAnsi="宋体" w:eastAsia="宋体" w:cs="宋体"/>
          <w:b/>
          <w:bCs/>
          <w:color w:val="auto"/>
          <w:sz w:val="28"/>
          <w:szCs w:val="28"/>
          <w:highlight w:val="none"/>
        </w:rPr>
        <w:t>的名称、</w:t>
      </w:r>
      <w:r>
        <w:rPr>
          <w:rFonts w:hint="eastAsia" w:ascii="宋体" w:hAnsi="宋体" w:eastAsia="宋体" w:cs="宋体"/>
          <w:b/>
          <w:bCs/>
          <w:color w:val="auto"/>
          <w:sz w:val="28"/>
          <w:szCs w:val="28"/>
          <w:highlight w:val="none"/>
          <w:lang w:eastAsia="zh-CN"/>
        </w:rPr>
        <w:t>采购内容</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eastAsia="zh-CN"/>
        </w:rPr>
        <w:t>采购</w:t>
      </w:r>
      <w:r>
        <w:rPr>
          <w:rFonts w:hint="eastAsia" w:ascii="宋体" w:hAnsi="宋体" w:eastAsia="宋体" w:cs="宋体"/>
          <w:b/>
          <w:bCs/>
          <w:color w:val="auto"/>
          <w:sz w:val="28"/>
          <w:szCs w:val="28"/>
          <w:highlight w:val="none"/>
        </w:rPr>
        <w:t>金额</w:t>
      </w:r>
      <w:r>
        <w:rPr>
          <w:rFonts w:hint="eastAsia" w:ascii="宋体" w:hAnsi="宋体" w:eastAsia="宋体" w:cs="宋体"/>
          <w:b/>
          <w:bCs/>
          <w:color w:val="auto"/>
          <w:sz w:val="28"/>
          <w:szCs w:val="28"/>
          <w:highlight w:val="none"/>
          <w:lang w:eastAsia="zh-CN"/>
        </w:rPr>
        <w:t>、采购时间</w:t>
      </w:r>
      <w:r>
        <w:rPr>
          <w:rFonts w:hint="eastAsia" w:ascii="宋体" w:hAnsi="宋体" w:eastAsia="宋体" w:cs="宋体"/>
          <w:b/>
          <w:bCs/>
          <w:color w:val="auto"/>
          <w:sz w:val="28"/>
          <w:szCs w:val="28"/>
          <w:highlight w:val="none"/>
        </w:rPr>
        <w:t>）（如有，请提供）；</w:t>
      </w:r>
      <w:r>
        <w:rPr>
          <w:rFonts w:hint="eastAsia" w:ascii="宋体" w:hAnsi="宋体" w:eastAsia="宋体" w:cs="宋体"/>
          <w:b/>
          <w:bCs/>
          <w:color w:val="auto"/>
          <w:sz w:val="28"/>
          <w:szCs w:val="28"/>
          <w:highlight w:val="none"/>
          <w:lang w:val="en-US" w:eastAsia="zh-CN"/>
        </w:rPr>
        <w:t xml:space="preserve"> </w:t>
      </w:r>
    </w:p>
    <w:p w14:paraId="2321F773">
      <w:pPr>
        <w:spacing w:line="360" w:lineRule="auto"/>
        <w:rPr>
          <w:rFonts w:hint="eastAsia" w:ascii="宋体" w:hAnsi="宋体" w:eastAsia="宋体" w:cs="宋体"/>
          <w:b/>
          <w:bCs/>
          <w:iCs/>
          <w:color w:val="auto"/>
          <w:sz w:val="28"/>
          <w:szCs w:val="28"/>
          <w:highlight w:val="none"/>
          <w:lang w:val="en-US" w:eastAsia="zh-CN"/>
        </w:rPr>
      </w:pPr>
    </w:p>
    <w:p w14:paraId="43974FF3">
      <w:pPr>
        <w:spacing w:line="360" w:lineRule="auto"/>
        <w:rPr>
          <w:rFonts w:hint="eastAsia" w:ascii="宋体" w:hAnsi="宋体" w:eastAsia="宋体" w:cs="宋体"/>
          <w:b/>
          <w:bCs/>
          <w:iCs/>
          <w:color w:val="auto"/>
          <w:sz w:val="28"/>
          <w:szCs w:val="28"/>
          <w:highlight w:val="none"/>
          <w:lang w:val="en-US" w:eastAsia="zh-CN"/>
        </w:rPr>
      </w:pPr>
    </w:p>
    <w:p w14:paraId="2A945566">
      <w:pPr>
        <w:spacing w:line="360" w:lineRule="auto"/>
        <w:rPr>
          <w:rFonts w:hint="eastAsia" w:ascii="宋体" w:hAnsi="宋体" w:eastAsia="宋体" w:cs="宋体"/>
          <w:b/>
          <w:bCs/>
          <w:iCs/>
          <w:color w:val="auto"/>
          <w:sz w:val="28"/>
          <w:szCs w:val="28"/>
          <w:highlight w:val="none"/>
          <w:lang w:val="en-US" w:eastAsia="zh-CN"/>
        </w:rPr>
      </w:pPr>
    </w:p>
    <w:p w14:paraId="7FBE8648">
      <w:pPr>
        <w:spacing w:line="360" w:lineRule="auto"/>
        <w:rPr>
          <w:rFonts w:hint="eastAsia" w:ascii="宋体" w:hAnsi="宋体" w:eastAsia="宋体" w:cs="宋体"/>
          <w:b/>
          <w:bCs/>
          <w:iCs/>
          <w:color w:val="auto"/>
          <w:sz w:val="28"/>
          <w:szCs w:val="28"/>
          <w:highlight w:val="none"/>
          <w:lang w:val="en-US" w:eastAsia="zh-CN"/>
        </w:rPr>
      </w:pPr>
    </w:p>
    <w:p w14:paraId="4839CF7A">
      <w:pPr>
        <w:spacing w:line="360" w:lineRule="auto"/>
        <w:rPr>
          <w:rFonts w:hint="eastAsia" w:ascii="宋体" w:hAnsi="宋体" w:eastAsia="宋体" w:cs="宋体"/>
          <w:b/>
          <w:bCs/>
          <w:iCs/>
          <w:color w:val="auto"/>
          <w:sz w:val="28"/>
          <w:szCs w:val="28"/>
          <w:highlight w:val="none"/>
          <w:lang w:val="en-US" w:eastAsia="zh-CN"/>
        </w:rPr>
      </w:pPr>
    </w:p>
    <w:p w14:paraId="2755278D">
      <w:pPr>
        <w:spacing w:line="360" w:lineRule="auto"/>
        <w:rPr>
          <w:rFonts w:hint="eastAsia" w:ascii="宋体" w:hAnsi="宋体" w:eastAsia="宋体" w:cs="宋体"/>
          <w:b/>
          <w:bCs/>
          <w:iCs/>
          <w:color w:val="auto"/>
          <w:sz w:val="28"/>
          <w:szCs w:val="28"/>
          <w:highlight w:val="none"/>
          <w:lang w:val="en-US" w:eastAsia="zh-CN"/>
        </w:rPr>
      </w:pPr>
    </w:p>
    <w:p w14:paraId="4603089B">
      <w:pPr>
        <w:spacing w:line="360" w:lineRule="auto"/>
        <w:rPr>
          <w:rFonts w:hint="eastAsia" w:ascii="宋体" w:hAnsi="宋体" w:eastAsia="宋体" w:cs="宋体"/>
          <w:b/>
          <w:bCs/>
          <w:iCs/>
          <w:color w:val="auto"/>
          <w:sz w:val="28"/>
          <w:szCs w:val="28"/>
          <w:highlight w:val="none"/>
        </w:rPr>
      </w:pPr>
      <w:r>
        <w:rPr>
          <w:rFonts w:hint="eastAsia" w:ascii="宋体" w:hAnsi="宋体" w:eastAsia="宋体" w:cs="宋体"/>
          <w:b/>
          <w:bCs/>
          <w:iCs/>
          <w:color w:val="auto"/>
          <w:sz w:val="28"/>
          <w:szCs w:val="28"/>
          <w:highlight w:val="none"/>
          <w:lang w:val="en-US" w:eastAsia="zh-CN"/>
        </w:rPr>
        <w:t>2</w:t>
      </w:r>
      <w:r>
        <w:rPr>
          <w:rFonts w:hint="eastAsia" w:ascii="宋体" w:hAnsi="宋体" w:eastAsia="宋体" w:cs="宋体"/>
          <w:b/>
          <w:bCs/>
          <w:iCs/>
          <w:color w:val="auto"/>
          <w:sz w:val="28"/>
          <w:szCs w:val="28"/>
          <w:highlight w:val="none"/>
        </w:rPr>
        <w:t>.供应商可结合本项目自身情况自行提交其它相关证明材料。</w:t>
      </w:r>
    </w:p>
    <w:p w14:paraId="3892BD4E">
      <w:pPr>
        <w:spacing w:line="360" w:lineRule="auto"/>
        <w:rPr>
          <w:rFonts w:hint="eastAsia" w:ascii="宋体" w:hAnsi="宋体" w:eastAsia="宋体" w:cs="宋体"/>
          <w:color w:val="auto"/>
          <w:highlight w:val="none"/>
        </w:rPr>
      </w:pPr>
    </w:p>
    <w:p w14:paraId="127D403A">
      <w:pPr>
        <w:spacing w:line="360" w:lineRule="auto"/>
        <w:rPr>
          <w:rFonts w:hint="eastAsia" w:ascii="宋体" w:hAnsi="宋体" w:eastAsia="宋体" w:cs="宋体"/>
          <w:color w:val="auto"/>
          <w:highlight w:val="none"/>
        </w:rPr>
      </w:pPr>
    </w:p>
    <w:p w14:paraId="6BB793CC">
      <w:pPr>
        <w:pStyle w:val="3"/>
        <w:spacing w:line="360" w:lineRule="auto"/>
        <w:jc w:val="center"/>
        <w:rPr>
          <w:rFonts w:hint="eastAsia" w:ascii="宋体" w:hAnsi="宋体" w:eastAsia="宋体" w:cs="宋体"/>
          <w:color w:val="auto"/>
          <w:highlight w:val="none"/>
        </w:rPr>
      </w:pPr>
    </w:p>
    <w:p w14:paraId="4E097209">
      <w:pPr>
        <w:rPr>
          <w:rFonts w:hint="eastAsia" w:ascii="宋体" w:hAnsi="宋体" w:eastAsia="宋体" w:cs="宋体"/>
          <w:color w:val="auto"/>
          <w:highlight w:val="none"/>
        </w:rPr>
      </w:pPr>
    </w:p>
    <w:p w14:paraId="056C0408">
      <w:pPr>
        <w:rPr>
          <w:rFonts w:hint="eastAsia" w:ascii="宋体" w:hAnsi="宋体" w:eastAsia="宋体" w:cs="宋体"/>
          <w:color w:val="auto"/>
          <w:highlight w:val="none"/>
        </w:rPr>
      </w:pPr>
    </w:p>
    <w:p w14:paraId="2B8B3D13">
      <w:pPr>
        <w:rPr>
          <w:rFonts w:hint="eastAsia" w:ascii="宋体" w:hAnsi="宋体" w:eastAsia="宋体" w:cs="宋体"/>
          <w:color w:val="auto"/>
          <w:highlight w:val="none"/>
        </w:rPr>
      </w:pPr>
    </w:p>
    <w:p w14:paraId="6E38AFF5">
      <w:pPr>
        <w:rPr>
          <w:rFonts w:hint="eastAsia" w:ascii="宋体" w:hAnsi="宋体" w:eastAsia="宋体" w:cs="宋体"/>
          <w:color w:val="auto"/>
          <w:highlight w:val="none"/>
        </w:rPr>
      </w:pPr>
    </w:p>
    <w:p w14:paraId="15C36E16">
      <w:pPr>
        <w:rPr>
          <w:rFonts w:hint="eastAsia" w:ascii="宋体" w:hAnsi="宋体" w:eastAsia="宋体" w:cs="宋体"/>
          <w:color w:val="auto"/>
          <w:highlight w:val="none"/>
        </w:rPr>
      </w:pPr>
    </w:p>
    <w:p w14:paraId="6A537CD3">
      <w:pPr>
        <w:rPr>
          <w:rFonts w:hint="eastAsia" w:ascii="宋体" w:hAnsi="宋体" w:eastAsia="宋体" w:cs="宋体"/>
          <w:color w:val="auto"/>
          <w:highlight w:val="none"/>
        </w:rPr>
      </w:pPr>
    </w:p>
    <w:p w14:paraId="6911856D">
      <w:pPr>
        <w:rPr>
          <w:rFonts w:hint="eastAsia" w:ascii="宋体" w:hAnsi="宋体" w:eastAsia="宋体" w:cs="宋体"/>
          <w:color w:val="auto"/>
          <w:highlight w:val="none"/>
        </w:rPr>
      </w:pPr>
    </w:p>
    <w:p w14:paraId="0401D30C">
      <w:pPr>
        <w:rPr>
          <w:rFonts w:hint="eastAsia" w:ascii="宋体" w:hAnsi="宋体" w:eastAsia="宋体" w:cs="宋体"/>
          <w:color w:val="auto"/>
          <w:highlight w:val="none"/>
        </w:rPr>
      </w:pPr>
    </w:p>
    <w:p w14:paraId="2A230B1F">
      <w:pPr>
        <w:rPr>
          <w:rFonts w:hint="eastAsia" w:ascii="宋体" w:hAnsi="宋体" w:eastAsia="宋体" w:cs="宋体"/>
          <w:color w:val="auto"/>
          <w:highlight w:val="none"/>
        </w:rPr>
      </w:pPr>
    </w:p>
    <w:p w14:paraId="55727D46">
      <w:pPr>
        <w:rPr>
          <w:rFonts w:hint="eastAsia" w:ascii="宋体" w:hAnsi="宋体" w:eastAsia="宋体" w:cs="宋体"/>
          <w:color w:val="auto"/>
          <w:highlight w:val="none"/>
        </w:rPr>
      </w:pPr>
    </w:p>
    <w:p w14:paraId="2261E893">
      <w:pPr>
        <w:rPr>
          <w:rFonts w:hint="eastAsia" w:ascii="宋体" w:hAnsi="宋体" w:eastAsia="宋体" w:cs="宋体"/>
          <w:color w:val="auto"/>
          <w:highlight w:val="none"/>
        </w:rPr>
      </w:pPr>
    </w:p>
    <w:p w14:paraId="6849618A">
      <w:pPr>
        <w:rPr>
          <w:rFonts w:hint="eastAsia" w:ascii="宋体" w:hAnsi="宋体" w:eastAsia="宋体" w:cs="宋体"/>
          <w:color w:val="auto"/>
          <w:highlight w:val="none"/>
        </w:rPr>
      </w:pPr>
    </w:p>
    <w:p w14:paraId="3ABC7FC2">
      <w:pPr>
        <w:rPr>
          <w:rFonts w:hint="eastAsia" w:ascii="宋体" w:hAnsi="宋体" w:eastAsia="宋体" w:cs="宋体"/>
          <w:color w:val="auto"/>
          <w:highlight w:val="none"/>
        </w:rPr>
      </w:pPr>
    </w:p>
    <w:p w14:paraId="150E8AAB">
      <w:pPr>
        <w:rPr>
          <w:rFonts w:hint="eastAsia" w:ascii="宋体" w:hAnsi="宋体" w:eastAsia="宋体" w:cs="宋体"/>
          <w:color w:val="auto"/>
          <w:highlight w:val="none"/>
        </w:rPr>
      </w:pPr>
    </w:p>
    <w:p w14:paraId="35C13D86">
      <w:pPr>
        <w:rPr>
          <w:rFonts w:hint="eastAsia" w:ascii="宋体" w:hAnsi="宋体" w:eastAsia="宋体" w:cs="宋体"/>
          <w:color w:val="auto"/>
          <w:highlight w:val="none"/>
        </w:rPr>
      </w:pPr>
    </w:p>
    <w:p w14:paraId="3329CD28">
      <w:pPr>
        <w:rPr>
          <w:rFonts w:hint="eastAsia" w:ascii="宋体" w:hAnsi="宋体" w:eastAsia="宋体" w:cs="宋体"/>
          <w:color w:val="auto"/>
          <w:highlight w:val="none"/>
        </w:rPr>
      </w:pPr>
    </w:p>
    <w:p w14:paraId="5B810126">
      <w:pPr>
        <w:rPr>
          <w:rFonts w:hint="eastAsia" w:ascii="宋体" w:hAnsi="宋体" w:eastAsia="宋体" w:cs="宋体"/>
          <w:color w:val="auto"/>
          <w:highlight w:val="none"/>
        </w:rPr>
      </w:pPr>
    </w:p>
    <w:p w14:paraId="23DA77DA">
      <w:pPr>
        <w:spacing w:line="500" w:lineRule="exact"/>
        <w:jc w:val="center"/>
        <w:rPr>
          <w:rFonts w:hint="eastAsia" w:ascii="宋体" w:hAnsi="宋体" w:eastAsia="宋体" w:cs="宋体"/>
          <w:b/>
          <w:bCs/>
          <w:color w:val="000000"/>
          <w:kern w:val="0"/>
          <w:sz w:val="32"/>
          <w:highlight w:val="none"/>
          <w:shd w:val="clear" w:color="auto" w:fill="auto"/>
          <w:lang w:eastAsia="zh-CN"/>
        </w:rPr>
      </w:pPr>
      <w:r>
        <w:rPr>
          <w:rFonts w:hint="eastAsia" w:ascii="宋体" w:hAnsi="宋体" w:eastAsia="宋体" w:cs="宋体"/>
          <w:b/>
          <w:bCs/>
          <w:color w:val="000000"/>
          <w:kern w:val="0"/>
          <w:sz w:val="32"/>
          <w:highlight w:val="none"/>
          <w:shd w:val="clear" w:color="auto" w:fill="auto"/>
        </w:rPr>
        <w:t>第</w:t>
      </w:r>
      <w:r>
        <w:rPr>
          <w:rFonts w:hint="eastAsia" w:ascii="宋体" w:hAnsi="宋体" w:eastAsia="宋体" w:cs="宋体"/>
          <w:b/>
          <w:bCs/>
          <w:color w:val="000000"/>
          <w:kern w:val="0"/>
          <w:sz w:val="32"/>
          <w:highlight w:val="none"/>
          <w:shd w:val="clear" w:color="auto" w:fill="auto"/>
          <w:lang w:eastAsia="zh-CN"/>
        </w:rPr>
        <w:t>七</w:t>
      </w:r>
      <w:r>
        <w:rPr>
          <w:rFonts w:hint="eastAsia" w:ascii="宋体" w:hAnsi="宋体" w:eastAsia="宋体" w:cs="宋体"/>
          <w:b/>
          <w:bCs/>
          <w:color w:val="000000"/>
          <w:kern w:val="0"/>
          <w:sz w:val="32"/>
          <w:highlight w:val="none"/>
          <w:shd w:val="clear" w:color="auto" w:fill="auto"/>
        </w:rPr>
        <w:t xml:space="preserve">章  </w:t>
      </w:r>
      <w:r>
        <w:rPr>
          <w:rFonts w:hint="eastAsia" w:ascii="宋体" w:hAnsi="宋体" w:eastAsia="宋体" w:cs="宋体"/>
          <w:b/>
          <w:bCs/>
          <w:color w:val="000000"/>
          <w:kern w:val="0"/>
          <w:sz w:val="32"/>
          <w:highlight w:val="none"/>
          <w:shd w:val="clear" w:color="auto" w:fill="auto"/>
          <w:lang w:eastAsia="zh-CN"/>
        </w:rPr>
        <w:t>图纸</w:t>
      </w:r>
    </w:p>
    <w:p w14:paraId="77350B6C">
      <w:pPr>
        <w:spacing w:line="500" w:lineRule="exact"/>
        <w:jc w:val="center"/>
        <w:rPr>
          <w:rFonts w:hint="eastAsia" w:ascii="宋体" w:hAnsi="宋体" w:eastAsia="宋体" w:cs="宋体"/>
          <w:b/>
          <w:bCs/>
          <w:color w:val="000000"/>
          <w:kern w:val="0"/>
          <w:sz w:val="32"/>
          <w:highlight w:val="none"/>
          <w:shd w:val="clear" w:color="auto" w:fill="auto"/>
          <w:lang w:eastAsia="zh-CN"/>
        </w:rPr>
      </w:pPr>
    </w:p>
    <w:p w14:paraId="452905B7">
      <w:pPr>
        <w:spacing w:line="500" w:lineRule="exact"/>
        <w:jc w:val="center"/>
        <w:rPr>
          <w:rFonts w:hint="eastAsia" w:ascii="宋体" w:hAnsi="宋体" w:eastAsia="宋体" w:cs="宋体"/>
          <w:b/>
          <w:bCs/>
          <w:color w:val="000000"/>
          <w:kern w:val="0"/>
          <w:sz w:val="32"/>
          <w:highlight w:val="none"/>
          <w:shd w:val="clear" w:color="auto" w:fill="auto"/>
          <w:lang w:eastAsia="zh-CN"/>
        </w:rPr>
      </w:pPr>
      <w:r>
        <w:rPr>
          <w:rFonts w:hint="eastAsia" w:ascii="宋体" w:hAnsi="宋体" w:eastAsia="宋体" w:cs="宋体"/>
          <w:b/>
          <w:bCs/>
          <w:color w:val="000000"/>
          <w:kern w:val="0"/>
          <w:sz w:val="32"/>
          <w:highlight w:val="none"/>
          <w:shd w:val="clear" w:color="auto" w:fill="auto"/>
          <w:lang w:eastAsia="zh-CN"/>
        </w:rPr>
        <w:t>另附</w:t>
      </w:r>
    </w:p>
    <w:p w14:paraId="307FCAA8">
      <w:pPr>
        <w:rPr>
          <w:rFonts w:hint="eastAsia" w:ascii="宋体" w:hAnsi="宋体" w:eastAsia="宋体" w:cs="宋体"/>
          <w:color w:val="auto"/>
          <w:highlight w:val="none"/>
        </w:rPr>
      </w:pPr>
    </w:p>
    <w:p w14:paraId="4C936F20">
      <w:pPr>
        <w:rPr>
          <w:rFonts w:hint="eastAsia" w:ascii="宋体" w:hAnsi="宋体" w:eastAsia="宋体" w:cs="宋体"/>
          <w:color w:val="auto"/>
          <w:highlight w:val="none"/>
        </w:rPr>
      </w:pPr>
    </w:p>
    <w:p w14:paraId="3849B251">
      <w:pPr>
        <w:rPr>
          <w:rFonts w:hint="eastAsia" w:ascii="宋体" w:hAnsi="宋体" w:eastAsia="宋体" w:cs="宋体"/>
          <w:color w:val="auto"/>
          <w:highlight w:val="none"/>
        </w:rPr>
      </w:pPr>
    </w:p>
    <w:p w14:paraId="3C812BEB">
      <w:pPr>
        <w:rPr>
          <w:rFonts w:hint="eastAsia" w:ascii="宋体" w:hAnsi="宋体" w:eastAsia="宋体" w:cs="宋体"/>
          <w:color w:val="auto"/>
          <w:highlight w:val="none"/>
        </w:rPr>
      </w:pPr>
    </w:p>
    <w:p w14:paraId="0907DC43">
      <w:pPr>
        <w:rPr>
          <w:rFonts w:hint="eastAsia" w:ascii="宋体" w:hAnsi="宋体" w:eastAsia="宋体" w:cs="宋体"/>
          <w:color w:val="auto"/>
          <w:highlight w:val="none"/>
        </w:rPr>
      </w:pPr>
    </w:p>
    <w:p w14:paraId="4240DCC0">
      <w:pPr>
        <w:rPr>
          <w:rFonts w:hint="eastAsia" w:ascii="宋体" w:hAnsi="宋体" w:eastAsia="宋体" w:cs="宋体"/>
          <w:color w:val="auto"/>
          <w:highlight w:val="none"/>
        </w:rPr>
      </w:pPr>
    </w:p>
    <w:p w14:paraId="1BBB3BD0">
      <w:pPr>
        <w:rPr>
          <w:rFonts w:hint="eastAsia" w:ascii="宋体" w:hAnsi="宋体" w:eastAsia="宋体" w:cs="宋体"/>
          <w:color w:val="auto"/>
          <w:highlight w:val="none"/>
        </w:rPr>
      </w:pPr>
    </w:p>
    <w:p w14:paraId="4EA3A45A">
      <w:pPr>
        <w:rPr>
          <w:rFonts w:hint="eastAsia" w:ascii="宋体" w:hAnsi="宋体" w:eastAsia="宋体" w:cs="宋体"/>
          <w:color w:val="auto"/>
          <w:highlight w:val="none"/>
        </w:rPr>
      </w:pPr>
    </w:p>
    <w:p w14:paraId="22FE5667">
      <w:pPr>
        <w:rPr>
          <w:rFonts w:hint="eastAsia" w:ascii="宋体" w:hAnsi="宋体" w:eastAsia="宋体" w:cs="宋体"/>
          <w:color w:val="auto"/>
          <w:highlight w:val="none"/>
        </w:rPr>
      </w:pPr>
    </w:p>
    <w:p w14:paraId="2D1DC52A">
      <w:pPr>
        <w:rPr>
          <w:rFonts w:hint="eastAsia" w:ascii="宋体" w:hAnsi="宋体" w:eastAsia="宋体" w:cs="宋体"/>
          <w:color w:val="auto"/>
          <w:highlight w:val="none"/>
        </w:rPr>
      </w:pPr>
    </w:p>
    <w:p w14:paraId="4C5EFE11">
      <w:pPr>
        <w:rPr>
          <w:rFonts w:hint="eastAsia" w:ascii="宋体" w:hAnsi="宋体" w:eastAsia="宋体" w:cs="宋体"/>
          <w:color w:val="auto"/>
          <w:highlight w:val="none"/>
        </w:rPr>
      </w:pPr>
    </w:p>
    <w:p w14:paraId="6BD62F35">
      <w:pPr>
        <w:rPr>
          <w:rFonts w:hint="eastAsia" w:ascii="宋体" w:hAnsi="宋体" w:eastAsia="宋体" w:cs="宋体"/>
          <w:color w:val="auto"/>
          <w:highlight w:val="none"/>
        </w:rPr>
      </w:pPr>
    </w:p>
    <w:p w14:paraId="12DF9DCC">
      <w:pPr>
        <w:pStyle w:val="22"/>
        <w:pageBreakBefore w:val="0"/>
        <w:kinsoku/>
        <w:wordWrap/>
        <w:overflowPunct/>
        <w:topLinePunct w:val="0"/>
        <w:bidi w:val="0"/>
        <w:adjustRightInd/>
        <w:spacing w:line="360" w:lineRule="auto"/>
        <w:ind w:left="0" w:leftChars="0" w:right="0"/>
        <w:textAlignment w:val="auto"/>
        <w:outlineLvl w:val="1"/>
        <w:rPr>
          <w:rFonts w:hint="eastAsia" w:ascii="宋体" w:hAnsi="宋体" w:eastAsia="宋体" w:cs="宋体"/>
          <w:color w:val="000000"/>
          <w:sz w:val="21"/>
          <w:szCs w:val="21"/>
          <w:highlight w:val="none"/>
          <w:shd w:val="clear" w:color="auto" w:fill="auto"/>
        </w:rPr>
      </w:pPr>
    </w:p>
    <w:sectPr>
      <w:headerReference r:id="rId9" w:type="default"/>
      <w:footerReference r:id="rId10"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F"/>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A0C60">
    <w:pPr>
      <w:spacing w:line="176" w:lineRule="auto"/>
      <w:ind w:left="4727"/>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3FE22">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48217D">
                          <w:pPr>
                            <w:pStyle w:val="2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648217D">
                    <w:pPr>
                      <w:pStyle w:val="2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93ED8">
    <w:pPr>
      <w:pStyle w:val="26"/>
      <w:rPr>
        <w:rFonts w:eastAsia="仿宋_GB2312"/>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0A4274">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60A4274">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CF8AA">
    <w:pPr>
      <w:spacing w:line="173"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C7F2CE">
                          <w:pPr>
                            <w:pStyle w:val="26"/>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7C7F2CE">
                    <w:pPr>
                      <w:pStyle w:val="26"/>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6EDA2">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08527B">
                          <w:pPr>
                            <w:pStyle w:val="26"/>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A08527B">
                    <w:pPr>
                      <w:pStyle w:val="26"/>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2D49A">
    <w:pPr>
      <w:pStyle w:val="2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F85367">
                          <w:pPr>
                            <w:pStyle w:val="26"/>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1BF85367">
                    <w:pPr>
                      <w:pStyle w:val="26"/>
                    </w:pPr>
                    <w:r>
                      <w:fldChar w:fldCharType="begin"/>
                    </w:r>
                    <w:r>
                      <w:instrText xml:space="preserve"> PAGE  \* MERGEFORMAT </w:instrText>
                    </w:r>
                    <w:r>
                      <w:fldChar w:fldCharType="separate"/>
                    </w:r>
                    <w:r>
                      <w:t>55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0D625">
    <w:pPr>
      <w:pStyle w:val="2"/>
      <w:pBdr>
        <w:bottom w:val="none" w:color="auto" w:sz="0" w:space="0"/>
      </w:pBdr>
      <w:spacing w:line="46"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67F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D5501"/>
    <w:multiLevelType w:val="singleLevel"/>
    <w:tmpl w:val="8C9D5501"/>
    <w:lvl w:ilvl="0" w:tentative="0">
      <w:start w:val="2"/>
      <w:numFmt w:val="chineseCounting"/>
      <w:suff w:val="nothing"/>
      <w:lvlText w:val="%1、"/>
      <w:lvlJc w:val="left"/>
      <w:rPr>
        <w:rFonts w:hint="eastAsia"/>
      </w:rPr>
    </w:lvl>
  </w:abstractNum>
  <w:abstractNum w:abstractNumId="1">
    <w:nsid w:val="BB4CF58C"/>
    <w:multiLevelType w:val="singleLevel"/>
    <w:tmpl w:val="BB4CF58C"/>
    <w:lvl w:ilvl="0" w:tentative="0">
      <w:start w:val="2"/>
      <w:numFmt w:val="decimal"/>
      <w:suff w:val="nothing"/>
      <w:lvlText w:val="（%1）"/>
      <w:lvlJc w:val="left"/>
    </w:lvl>
  </w:abstractNum>
  <w:abstractNum w:abstractNumId="2">
    <w:nsid w:val="ECFCA1CF"/>
    <w:multiLevelType w:val="singleLevel"/>
    <w:tmpl w:val="ECFCA1CF"/>
    <w:lvl w:ilvl="0" w:tentative="0">
      <w:start w:val="1"/>
      <w:numFmt w:val="chineseCounting"/>
      <w:suff w:val="space"/>
      <w:lvlText w:val="第%1部分"/>
      <w:lvlJc w:val="left"/>
      <w:rPr>
        <w:rFonts w:hint="eastAsia"/>
      </w:rPr>
    </w:lvl>
  </w:abstractNum>
  <w:abstractNum w:abstractNumId="3">
    <w:nsid w:val="00000004"/>
    <w:multiLevelType w:val="singleLevel"/>
    <w:tmpl w:val="00000004"/>
    <w:lvl w:ilvl="0" w:tentative="0">
      <w:start w:val="2"/>
      <w:numFmt w:val="decimal"/>
      <w:suff w:val="nothing"/>
      <w:lvlText w:val="（%1）"/>
      <w:lvlJc w:val="left"/>
    </w:lvl>
  </w:abstractNum>
  <w:abstractNum w:abstractNumId="4">
    <w:nsid w:val="00000005"/>
    <w:multiLevelType w:val="singleLevel"/>
    <w:tmpl w:val="00000005"/>
    <w:lvl w:ilvl="0" w:tentative="0">
      <w:start w:val="8"/>
      <w:numFmt w:val="decimal"/>
      <w:suff w:val="space"/>
      <w:lvlText w:val="%1."/>
      <w:lvlJc w:val="left"/>
    </w:lvl>
  </w:abstractNum>
  <w:abstractNum w:abstractNumId="5">
    <w:nsid w:val="023DC6C4"/>
    <w:multiLevelType w:val="singleLevel"/>
    <w:tmpl w:val="023DC6C4"/>
    <w:lvl w:ilvl="0" w:tentative="0">
      <w:start w:val="4"/>
      <w:numFmt w:val="decimal"/>
      <w:suff w:val="nothing"/>
      <w:lvlText w:val="（%1）"/>
      <w:lvlJc w:val="left"/>
      <w:pPr>
        <w:ind w:left="0"/>
      </w:pPr>
    </w:lvl>
  </w:abstractNum>
  <w:abstractNum w:abstractNumId="6">
    <w:nsid w:val="1FD97BE0"/>
    <w:multiLevelType w:val="singleLevel"/>
    <w:tmpl w:val="1FD97BE0"/>
    <w:lvl w:ilvl="0" w:tentative="0">
      <w:start w:val="1"/>
      <w:numFmt w:val="chineseCounting"/>
      <w:suff w:val="nothing"/>
      <w:lvlText w:val="（%1）"/>
      <w:lvlJc w:val="left"/>
      <w:rPr>
        <w:rFonts w:hint="eastAsia"/>
      </w:rPr>
    </w:lvl>
  </w:abstractNum>
  <w:abstractNum w:abstractNumId="7">
    <w:nsid w:val="35D88330"/>
    <w:multiLevelType w:val="singleLevel"/>
    <w:tmpl w:val="35D88330"/>
    <w:lvl w:ilvl="0" w:tentative="0">
      <w:start w:val="9"/>
      <w:numFmt w:val="decimal"/>
      <w:lvlText w:val="%1."/>
      <w:lvlJc w:val="left"/>
      <w:pPr>
        <w:tabs>
          <w:tab w:val="left" w:pos="312"/>
        </w:tabs>
      </w:pPr>
    </w:lvl>
  </w:abstractNum>
  <w:abstractNum w:abstractNumId="8">
    <w:nsid w:val="623989FE"/>
    <w:multiLevelType w:val="singleLevel"/>
    <w:tmpl w:val="623989FE"/>
    <w:lvl w:ilvl="0" w:tentative="0">
      <w:start w:val="4"/>
      <w:numFmt w:val="decimal"/>
      <w:suff w:val="nothing"/>
      <w:lvlText w:val="%1、"/>
      <w:lvlJc w:val="left"/>
      <w:pPr>
        <w:ind w:left="-1"/>
      </w:pPr>
    </w:lvl>
  </w:abstractNum>
  <w:num w:numId="1">
    <w:abstractNumId w:val="5"/>
  </w:num>
  <w:num w:numId="2">
    <w:abstractNumId w:val="1"/>
  </w:num>
  <w:num w:numId="3">
    <w:abstractNumId w:val="8"/>
  </w:num>
  <w:num w:numId="4">
    <w:abstractNumId w:val="2"/>
  </w:num>
  <w:num w:numId="5">
    <w:abstractNumId w:val="3"/>
  </w:num>
  <w:num w:numId="6">
    <w:abstractNumId w:val="4"/>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xOGYzMDBlZjY3ODc4M2M3NmQxODQzNjBhN2I3NTcifQ=="/>
  </w:docVars>
  <w:rsids>
    <w:rsidRoot w:val="00D23D6A"/>
    <w:rsid w:val="00032103"/>
    <w:rsid w:val="00035D3B"/>
    <w:rsid w:val="00043F8D"/>
    <w:rsid w:val="00046C8A"/>
    <w:rsid w:val="00052FBF"/>
    <w:rsid w:val="00070196"/>
    <w:rsid w:val="0007546C"/>
    <w:rsid w:val="00084D8D"/>
    <w:rsid w:val="000862C5"/>
    <w:rsid w:val="000A608A"/>
    <w:rsid w:val="000F0B53"/>
    <w:rsid w:val="000F4F80"/>
    <w:rsid w:val="0011137D"/>
    <w:rsid w:val="00116377"/>
    <w:rsid w:val="00132A9F"/>
    <w:rsid w:val="00144F32"/>
    <w:rsid w:val="00165CDF"/>
    <w:rsid w:val="00167D7D"/>
    <w:rsid w:val="00186C31"/>
    <w:rsid w:val="0019723A"/>
    <w:rsid w:val="001B15AB"/>
    <w:rsid w:val="001B1942"/>
    <w:rsid w:val="001B7243"/>
    <w:rsid w:val="001C254C"/>
    <w:rsid w:val="001C64C9"/>
    <w:rsid w:val="001F1BA4"/>
    <w:rsid w:val="00203651"/>
    <w:rsid w:val="002064FB"/>
    <w:rsid w:val="00260FE2"/>
    <w:rsid w:val="002920D2"/>
    <w:rsid w:val="0029553D"/>
    <w:rsid w:val="00297703"/>
    <w:rsid w:val="002D1946"/>
    <w:rsid w:val="002F0F48"/>
    <w:rsid w:val="002F40EB"/>
    <w:rsid w:val="002F65E1"/>
    <w:rsid w:val="00310817"/>
    <w:rsid w:val="00311B20"/>
    <w:rsid w:val="00311C89"/>
    <w:rsid w:val="00317957"/>
    <w:rsid w:val="00327AF9"/>
    <w:rsid w:val="0033227C"/>
    <w:rsid w:val="00352C99"/>
    <w:rsid w:val="003602D4"/>
    <w:rsid w:val="003918C6"/>
    <w:rsid w:val="0039233C"/>
    <w:rsid w:val="003A47DB"/>
    <w:rsid w:val="003B1F9B"/>
    <w:rsid w:val="003B67E0"/>
    <w:rsid w:val="003D742C"/>
    <w:rsid w:val="00424D53"/>
    <w:rsid w:val="00442DCF"/>
    <w:rsid w:val="00466A88"/>
    <w:rsid w:val="00475957"/>
    <w:rsid w:val="00476DBA"/>
    <w:rsid w:val="004B78DD"/>
    <w:rsid w:val="004C270B"/>
    <w:rsid w:val="004D33B3"/>
    <w:rsid w:val="004E593A"/>
    <w:rsid w:val="004E5D5D"/>
    <w:rsid w:val="004F22EE"/>
    <w:rsid w:val="004F38AD"/>
    <w:rsid w:val="004F64CE"/>
    <w:rsid w:val="00504901"/>
    <w:rsid w:val="005137B2"/>
    <w:rsid w:val="005217B4"/>
    <w:rsid w:val="00537F42"/>
    <w:rsid w:val="00546AF3"/>
    <w:rsid w:val="005470D2"/>
    <w:rsid w:val="00552B78"/>
    <w:rsid w:val="00553336"/>
    <w:rsid w:val="00554085"/>
    <w:rsid w:val="0057201F"/>
    <w:rsid w:val="00575707"/>
    <w:rsid w:val="00575A2B"/>
    <w:rsid w:val="00592A84"/>
    <w:rsid w:val="005C0196"/>
    <w:rsid w:val="005F1A9A"/>
    <w:rsid w:val="006055CF"/>
    <w:rsid w:val="006118BD"/>
    <w:rsid w:val="00615C04"/>
    <w:rsid w:val="00626D65"/>
    <w:rsid w:val="00656E35"/>
    <w:rsid w:val="00672E68"/>
    <w:rsid w:val="006A1B46"/>
    <w:rsid w:val="006B16CA"/>
    <w:rsid w:val="006C68CE"/>
    <w:rsid w:val="006F2AAB"/>
    <w:rsid w:val="006F3726"/>
    <w:rsid w:val="006F39EE"/>
    <w:rsid w:val="006F4F78"/>
    <w:rsid w:val="007041F5"/>
    <w:rsid w:val="007162A5"/>
    <w:rsid w:val="007545F3"/>
    <w:rsid w:val="0078149A"/>
    <w:rsid w:val="007905C2"/>
    <w:rsid w:val="00796DBD"/>
    <w:rsid w:val="007A70A3"/>
    <w:rsid w:val="007B4774"/>
    <w:rsid w:val="007D5B0F"/>
    <w:rsid w:val="007F12D0"/>
    <w:rsid w:val="00800054"/>
    <w:rsid w:val="00802675"/>
    <w:rsid w:val="00815A13"/>
    <w:rsid w:val="00822B84"/>
    <w:rsid w:val="00827F2A"/>
    <w:rsid w:val="008474FD"/>
    <w:rsid w:val="00850758"/>
    <w:rsid w:val="00855C98"/>
    <w:rsid w:val="00887FBA"/>
    <w:rsid w:val="008C0CC7"/>
    <w:rsid w:val="008C2C34"/>
    <w:rsid w:val="008D5528"/>
    <w:rsid w:val="008F70E5"/>
    <w:rsid w:val="00900680"/>
    <w:rsid w:val="00926DFC"/>
    <w:rsid w:val="00934356"/>
    <w:rsid w:val="00955381"/>
    <w:rsid w:val="009B0556"/>
    <w:rsid w:val="009B26A1"/>
    <w:rsid w:val="009B2D5D"/>
    <w:rsid w:val="009C427E"/>
    <w:rsid w:val="009F03F3"/>
    <w:rsid w:val="00A00E8D"/>
    <w:rsid w:val="00A11673"/>
    <w:rsid w:val="00A31ACC"/>
    <w:rsid w:val="00A3730E"/>
    <w:rsid w:val="00A37580"/>
    <w:rsid w:val="00A438E2"/>
    <w:rsid w:val="00A51DCA"/>
    <w:rsid w:val="00A80CA5"/>
    <w:rsid w:val="00AA0350"/>
    <w:rsid w:val="00AB6B5C"/>
    <w:rsid w:val="00AC22DD"/>
    <w:rsid w:val="00AD03C4"/>
    <w:rsid w:val="00AD294E"/>
    <w:rsid w:val="00AE6230"/>
    <w:rsid w:val="00AF198E"/>
    <w:rsid w:val="00B2178B"/>
    <w:rsid w:val="00B256D5"/>
    <w:rsid w:val="00B26F29"/>
    <w:rsid w:val="00B27725"/>
    <w:rsid w:val="00B31496"/>
    <w:rsid w:val="00B34FBD"/>
    <w:rsid w:val="00B74911"/>
    <w:rsid w:val="00B83FF9"/>
    <w:rsid w:val="00B83FFA"/>
    <w:rsid w:val="00B92C2E"/>
    <w:rsid w:val="00BA3EB1"/>
    <w:rsid w:val="00BC5BEF"/>
    <w:rsid w:val="00BC7BB8"/>
    <w:rsid w:val="00BD00D3"/>
    <w:rsid w:val="00BE074C"/>
    <w:rsid w:val="00BF6D80"/>
    <w:rsid w:val="00C2117D"/>
    <w:rsid w:val="00C332EE"/>
    <w:rsid w:val="00C45E13"/>
    <w:rsid w:val="00C51E14"/>
    <w:rsid w:val="00C61F60"/>
    <w:rsid w:val="00C70D7E"/>
    <w:rsid w:val="00C815D4"/>
    <w:rsid w:val="00C81BEF"/>
    <w:rsid w:val="00C82C21"/>
    <w:rsid w:val="00C84C89"/>
    <w:rsid w:val="00CA7828"/>
    <w:rsid w:val="00CB6D8F"/>
    <w:rsid w:val="00CD4295"/>
    <w:rsid w:val="00D00023"/>
    <w:rsid w:val="00D00B93"/>
    <w:rsid w:val="00D01A44"/>
    <w:rsid w:val="00D2233A"/>
    <w:rsid w:val="00D23D6A"/>
    <w:rsid w:val="00D31234"/>
    <w:rsid w:val="00D46CDE"/>
    <w:rsid w:val="00D72633"/>
    <w:rsid w:val="00D93E77"/>
    <w:rsid w:val="00DB510B"/>
    <w:rsid w:val="00DC020F"/>
    <w:rsid w:val="00DC6086"/>
    <w:rsid w:val="00DD1F1B"/>
    <w:rsid w:val="00DE2A68"/>
    <w:rsid w:val="00DE3D34"/>
    <w:rsid w:val="00DF69E0"/>
    <w:rsid w:val="00E20F3A"/>
    <w:rsid w:val="00E3341B"/>
    <w:rsid w:val="00E637C5"/>
    <w:rsid w:val="00E73541"/>
    <w:rsid w:val="00E82CB2"/>
    <w:rsid w:val="00E82EF3"/>
    <w:rsid w:val="00EA027E"/>
    <w:rsid w:val="00EB2DAA"/>
    <w:rsid w:val="00EC585A"/>
    <w:rsid w:val="00EE5E72"/>
    <w:rsid w:val="00EF171A"/>
    <w:rsid w:val="00F01AF8"/>
    <w:rsid w:val="00F124F7"/>
    <w:rsid w:val="00F1348B"/>
    <w:rsid w:val="00F2561C"/>
    <w:rsid w:val="00F272BE"/>
    <w:rsid w:val="00F502AC"/>
    <w:rsid w:val="00F55D70"/>
    <w:rsid w:val="00F76C93"/>
    <w:rsid w:val="00F809C6"/>
    <w:rsid w:val="00F84531"/>
    <w:rsid w:val="00F84CDC"/>
    <w:rsid w:val="00F85704"/>
    <w:rsid w:val="00F9480F"/>
    <w:rsid w:val="00F9532E"/>
    <w:rsid w:val="00FA0055"/>
    <w:rsid w:val="00FA2EBE"/>
    <w:rsid w:val="00FB749C"/>
    <w:rsid w:val="00FE37AF"/>
    <w:rsid w:val="00FF2C86"/>
    <w:rsid w:val="011E7635"/>
    <w:rsid w:val="01746443"/>
    <w:rsid w:val="01890F61"/>
    <w:rsid w:val="01E61D56"/>
    <w:rsid w:val="01F84C35"/>
    <w:rsid w:val="020531A4"/>
    <w:rsid w:val="021D1813"/>
    <w:rsid w:val="02215BCC"/>
    <w:rsid w:val="02642858"/>
    <w:rsid w:val="02647BAC"/>
    <w:rsid w:val="02847189"/>
    <w:rsid w:val="02B95509"/>
    <w:rsid w:val="02E06200"/>
    <w:rsid w:val="03011BBD"/>
    <w:rsid w:val="030E2DC6"/>
    <w:rsid w:val="031D18EA"/>
    <w:rsid w:val="03217B69"/>
    <w:rsid w:val="032449A2"/>
    <w:rsid w:val="03630DA1"/>
    <w:rsid w:val="038777A6"/>
    <w:rsid w:val="03885F75"/>
    <w:rsid w:val="040C11B5"/>
    <w:rsid w:val="04123EC1"/>
    <w:rsid w:val="04171AC9"/>
    <w:rsid w:val="04545D1C"/>
    <w:rsid w:val="04ED23F9"/>
    <w:rsid w:val="051031AE"/>
    <w:rsid w:val="058756BA"/>
    <w:rsid w:val="05A6197B"/>
    <w:rsid w:val="06632F53"/>
    <w:rsid w:val="0666508A"/>
    <w:rsid w:val="067A5F0E"/>
    <w:rsid w:val="06B91B76"/>
    <w:rsid w:val="06F07C0E"/>
    <w:rsid w:val="06F20022"/>
    <w:rsid w:val="07015179"/>
    <w:rsid w:val="071969AC"/>
    <w:rsid w:val="07275319"/>
    <w:rsid w:val="079466F6"/>
    <w:rsid w:val="07B85B0B"/>
    <w:rsid w:val="07DF4BF6"/>
    <w:rsid w:val="081C183D"/>
    <w:rsid w:val="086149B2"/>
    <w:rsid w:val="08655A77"/>
    <w:rsid w:val="086A479A"/>
    <w:rsid w:val="087E3DEC"/>
    <w:rsid w:val="089C3B22"/>
    <w:rsid w:val="089F2A70"/>
    <w:rsid w:val="09315213"/>
    <w:rsid w:val="094C4459"/>
    <w:rsid w:val="095F661F"/>
    <w:rsid w:val="09727863"/>
    <w:rsid w:val="09F32AE6"/>
    <w:rsid w:val="0A8D383F"/>
    <w:rsid w:val="0A9C561E"/>
    <w:rsid w:val="0AB56C12"/>
    <w:rsid w:val="0ADF7F32"/>
    <w:rsid w:val="0AE572E7"/>
    <w:rsid w:val="0AE6199B"/>
    <w:rsid w:val="0B060104"/>
    <w:rsid w:val="0B1C26A3"/>
    <w:rsid w:val="0B3412A4"/>
    <w:rsid w:val="0B8A4244"/>
    <w:rsid w:val="0BB70626"/>
    <w:rsid w:val="0BC72DA3"/>
    <w:rsid w:val="0BF30BF7"/>
    <w:rsid w:val="0C0E3FB9"/>
    <w:rsid w:val="0C452B1A"/>
    <w:rsid w:val="0C515EF1"/>
    <w:rsid w:val="0C6D2677"/>
    <w:rsid w:val="0C8D4217"/>
    <w:rsid w:val="0CC2333E"/>
    <w:rsid w:val="0CCB5842"/>
    <w:rsid w:val="0D102F4D"/>
    <w:rsid w:val="0D244FC1"/>
    <w:rsid w:val="0D5176CC"/>
    <w:rsid w:val="0D785787"/>
    <w:rsid w:val="0D7A0CDE"/>
    <w:rsid w:val="0D9A07EA"/>
    <w:rsid w:val="0E303442"/>
    <w:rsid w:val="0E3A5EAE"/>
    <w:rsid w:val="0E5D59EE"/>
    <w:rsid w:val="0E703B9D"/>
    <w:rsid w:val="0ED66886"/>
    <w:rsid w:val="0EDC3E72"/>
    <w:rsid w:val="0EED3154"/>
    <w:rsid w:val="0EF30E89"/>
    <w:rsid w:val="0F0669D4"/>
    <w:rsid w:val="0F152C78"/>
    <w:rsid w:val="0F2461A9"/>
    <w:rsid w:val="0F3D663A"/>
    <w:rsid w:val="0F5F4F5A"/>
    <w:rsid w:val="0F687CF9"/>
    <w:rsid w:val="0F93261C"/>
    <w:rsid w:val="0F981B0A"/>
    <w:rsid w:val="0FC45BA4"/>
    <w:rsid w:val="0FD31A23"/>
    <w:rsid w:val="0FF71645"/>
    <w:rsid w:val="100C1C51"/>
    <w:rsid w:val="105559AB"/>
    <w:rsid w:val="1066636B"/>
    <w:rsid w:val="10AD127A"/>
    <w:rsid w:val="10DD670C"/>
    <w:rsid w:val="10FC7BC2"/>
    <w:rsid w:val="110660A6"/>
    <w:rsid w:val="110D04BA"/>
    <w:rsid w:val="117C6EEE"/>
    <w:rsid w:val="11801AD1"/>
    <w:rsid w:val="11916802"/>
    <w:rsid w:val="11DC5C41"/>
    <w:rsid w:val="11FC1DF3"/>
    <w:rsid w:val="12860D98"/>
    <w:rsid w:val="1288550F"/>
    <w:rsid w:val="128D6512"/>
    <w:rsid w:val="12E17049"/>
    <w:rsid w:val="13054629"/>
    <w:rsid w:val="130736EC"/>
    <w:rsid w:val="13287B56"/>
    <w:rsid w:val="138A175B"/>
    <w:rsid w:val="13B206D3"/>
    <w:rsid w:val="14075A09"/>
    <w:rsid w:val="14537D9F"/>
    <w:rsid w:val="147B0E21"/>
    <w:rsid w:val="148264E7"/>
    <w:rsid w:val="14937EBF"/>
    <w:rsid w:val="14AB7BDB"/>
    <w:rsid w:val="14D121C1"/>
    <w:rsid w:val="14FB67DD"/>
    <w:rsid w:val="150174A7"/>
    <w:rsid w:val="1577688C"/>
    <w:rsid w:val="157D08EE"/>
    <w:rsid w:val="162C50A9"/>
    <w:rsid w:val="163076B7"/>
    <w:rsid w:val="16552777"/>
    <w:rsid w:val="166458E8"/>
    <w:rsid w:val="16A0750E"/>
    <w:rsid w:val="16CE79EF"/>
    <w:rsid w:val="16EF6C09"/>
    <w:rsid w:val="170203CD"/>
    <w:rsid w:val="170D2487"/>
    <w:rsid w:val="170F5921"/>
    <w:rsid w:val="171C1A26"/>
    <w:rsid w:val="17763FF4"/>
    <w:rsid w:val="17BC2A26"/>
    <w:rsid w:val="17C61D1C"/>
    <w:rsid w:val="17D00992"/>
    <w:rsid w:val="17DB1E2A"/>
    <w:rsid w:val="17F665A1"/>
    <w:rsid w:val="17FD6864"/>
    <w:rsid w:val="180B1FC0"/>
    <w:rsid w:val="183C4481"/>
    <w:rsid w:val="184F13F4"/>
    <w:rsid w:val="18BA663E"/>
    <w:rsid w:val="18F411FD"/>
    <w:rsid w:val="19331ADA"/>
    <w:rsid w:val="197046A3"/>
    <w:rsid w:val="197D4D53"/>
    <w:rsid w:val="19C228B7"/>
    <w:rsid w:val="19D4213B"/>
    <w:rsid w:val="19D45285"/>
    <w:rsid w:val="19E46802"/>
    <w:rsid w:val="19E85A85"/>
    <w:rsid w:val="19F53675"/>
    <w:rsid w:val="1A184490"/>
    <w:rsid w:val="1A41745E"/>
    <w:rsid w:val="1A704A5B"/>
    <w:rsid w:val="1A7B0F0A"/>
    <w:rsid w:val="1A98650B"/>
    <w:rsid w:val="1A9D3520"/>
    <w:rsid w:val="1ABB210E"/>
    <w:rsid w:val="1AF01A15"/>
    <w:rsid w:val="1B311BC4"/>
    <w:rsid w:val="1B48372E"/>
    <w:rsid w:val="1B8D003A"/>
    <w:rsid w:val="1BAA4748"/>
    <w:rsid w:val="1C0105CA"/>
    <w:rsid w:val="1C167AE4"/>
    <w:rsid w:val="1C1E4FB1"/>
    <w:rsid w:val="1C5F6EA1"/>
    <w:rsid w:val="1C710E65"/>
    <w:rsid w:val="1C92116A"/>
    <w:rsid w:val="1CBA3307"/>
    <w:rsid w:val="1CCE6AC3"/>
    <w:rsid w:val="1CD556E0"/>
    <w:rsid w:val="1CD633EC"/>
    <w:rsid w:val="1CE07FE1"/>
    <w:rsid w:val="1D0C2B83"/>
    <w:rsid w:val="1D3D4309"/>
    <w:rsid w:val="1D474DEC"/>
    <w:rsid w:val="1D48488C"/>
    <w:rsid w:val="1D84793F"/>
    <w:rsid w:val="1D851A95"/>
    <w:rsid w:val="1D8C1FC6"/>
    <w:rsid w:val="1DC55ED8"/>
    <w:rsid w:val="1EAE487F"/>
    <w:rsid w:val="1EB264DF"/>
    <w:rsid w:val="1ECE5AEC"/>
    <w:rsid w:val="1EE75CB3"/>
    <w:rsid w:val="1EF1137F"/>
    <w:rsid w:val="1F0119C9"/>
    <w:rsid w:val="1F411D0E"/>
    <w:rsid w:val="1F4E188E"/>
    <w:rsid w:val="1F5F4ACA"/>
    <w:rsid w:val="1F695B6F"/>
    <w:rsid w:val="1F8958E8"/>
    <w:rsid w:val="1FAB656D"/>
    <w:rsid w:val="1FE74446"/>
    <w:rsid w:val="20045421"/>
    <w:rsid w:val="20251073"/>
    <w:rsid w:val="2096459B"/>
    <w:rsid w:val="20BF11B0"/>
    <w:rsid w:val="20EB4DDA"/>
    <w:rsid w:val="211E7A7D"/>
    <w:rsid w:val="215B115F"/>
    <w:rsid w:val="216329E3"/>
    <w:rsid w:val="217A6BD0"/>
    <w:rsid w:val="217B191A"/>
    <w:rsid w:val="21AD478D"/>
    <w:rsid w:val="21B47B32"/>
    <w:rsid w:val="21CE6C1A"/>
    <w:rsid w:val="22096CF9"/>
    <w:rsid w:val="222D4C46"/>
    <w:rsid w:val="22CB41A3"/>
    <w:rsid w:val="22E7255C"/>
    <w:rsid w:val="22F95FB5"/>
    <w:rsid w:val="23021720"/>
    <w:rsid w:val="2314439D"/>
    <w:rsid w:val="232C638A"/>
    <w:rsid w:val="23B41832"/>
    <w:rsid w:val="23C17C0A"/>
    <w:rsid w:val="23C26D7C"/>
    <w:rsid w:val="23C61AA7"/>
    <w:rsid w:val="23C95987"/>
    <w:rsid w:val="247257EF"/>
    <w:rsid w:val="2474197B"/>
    <w:rsid w:val="24A87C93"/>
    <w:rsid w:val="24B1703E"/>
    <w:rsid w:val="24CA0594"/>
    <w:rsid w:val="25162E4E"/>
    <w:rsid w:val="253E5425"/>
    <w:rsid w:val="253F7ACC"/>
    <w:rsid w:val="2551167A"/>
    <w:rsid w:val="259775DC"/>
    <w:rsid w:val="25A31987"/>
    <w:rsid w:val="25DA68FE"/>
    <w:rsid w:val="25ED289F"/>
    <w:rsid w:val="25FD7B6A"/>
    <w:rsid w:val="26196B41"/>
    <w:rsid w:val="26387DAE"/>
    <w:rsid w:val="26686A49"/>
    <w:rsid w:val="268E3277"/>
    <w:rsid w:val="26B262C2"/>
    <w:rsid w:val="272359E4"/>
    <w:rsid w:val="272D447F"/>
    <w:rsid w:val="27811553"/>
    <w:rsid w:val="278952F3"/>
    <w:rsid w:val="283D1484"/>
    <w:rsid w:val="284A3118"/>
    <w:rsid w:val="28892F72"/>
    <w:rsid w:val="28A360BD"/>
    <w:rsid w:val="2910047C"/>
    <w:rsid w:val="292324E3"/>
    <w:rsid w:val="296028AB"/>
    <w:rsid w:val="299C6433"/>
    <w:rsid w:val="29E40E7E"/>
    <w:rsid w:val="2A271968"/>
    <w:rsid w:val="2A575678"/>
    <w:rsid w:val="2A5F06CF"/>
    <w:rsid w:val="2A6722F5"/>
    <w:rsid w:val="2A681556"/>
    <w:rsid w:val="2AB86E2B"/>
    <w:rsid w:val="2AED771C"/>
    <w:rsid w:val="2AEF1FEE"/>
    <w:rsid w:val="2B1B11BE"/>
    <w:rsid w:val="2B2B7593"/>
    <w:rsid w:val="2B4036D9"/>
    <w:rsid w:val="2B62697D"/>
    <w:rsid w:val="2B757587"/>
    <w:rsid w:val="2B9351F9"/>
    <w:rsid w:val="2BD70730"/>
    <w:rsid w:val="2BED1201"/>
    <w:rsid w:val="2C0E2201"/>
    <w:rsid w:val="2C1F3FBC"/>
    <w:rsid w:val="2C3B112F"/>
    <w:rsid w:val="2C3B41D2"/>
    <w:rsid w:val="2C944F3E"/>
    <w:rsid w:val="2CA21912"/>
    <w:rsid w:val="2CF24856"/>
    <w:rsid w:val="2CF25AAB"/>
    <w:rsid w:val="2D005368"/>
    <w:rsid w:val="2D1C2C52"/>
    <w:rsid w:val="2D841FE4"/>
    <w:rsid w:val="2D92484F"/>
    <w:rsid w:val="2DC5038A"/>
    <w:rsid w:val="2DC5368D"/>
    <w:rsid w:val="2DCD5B93"/>
    <w:rsid w:val="2DE67AAF"/>
    <w:rsid w:val="2E177BB2"/>
    <w:rsid w:val="2E43027E"/>
    <w:rsid w:val="2EAC73FF"/>
    <w:rsid w:val="2EB962C9"/>
    <w:rsid w:val="2EDA6C9B"/>
    <w:rsid w:val="2F1702E9"/>
    <w:rsid w:val="2F2401D4"/>
    <w:rsid w:val="2F337F86"/>
    <w:rsid w:val="2F3B2A6E"/>
    <w:rsid w:val="2F450F87"/>
    <w:rsid w:val="2F576F11"/>
    <w:rsid w:val="2F8E22F1"/>
    <w:rsid w:val="2FA5242E"/>
    <w:rsid w:val="2FA74A26"/>
    <w:rsid w:val="2FB344DB"/>
    <w:rsid w:val="30AE40F2"/>
    <w:rsid w:val="30D32C78"/>
    <w:rsid w:val="30FD3B28"/>
    <w:rsid w:val="31346291"/>
    <w:rsid w:val="313F0059"/>
    <w:rsid w:val="315C4D8C"/>
    <w:rsid w:val="31866FAB"/>
    <w:rsid w:val="3199300C"/>
    <w:rsid w:val="31A23F7B"/>
    <w:rsid w:val="31BF5CA8"/>
    <w:rsid w:val="31FD0F37"/>
    <w:rsid w:val="32102103"/>
    <w:rsid w:val="32477F9F"/>
    <w:rsid w:val="32855160"/>
    <w:rsid w:val="328B1374"/>
    <w:rsid w:val="328D2D62"/>
    <w:rsid w:val="32BF6098"/>
    <w:rsid w:val="32C44AE3"/>
    <w:rsid w:val="32F02F60"/>
    <w:rsid w:val="33005408"/>
    <w:rsid w:val="33260DF3"/>
    <w:rsid w:val="333C07D1"/>
    <w:rsid w:val="337A3E72"/>
    <w:rsid w:val="33A71D1F"/>
    <w:rsid w:val="33B67F0F"/>
    <w:rsid w:val="33C17D0E"/>
    <w:rsid w:val="33C90490"/>
    <w:rsid w:val="33D3522E"/>
    <w:rsid w:val="33D47D4F"/>
    <w:rsid w:val="340E4FF9"/>
    <w:rsid w:val="34342AB3"/>
    <w:rsid w:val="346236BF"/>
    <w:rsid w:val="3490635C"/>
    <w:rsid w:val="34E03976"/>
    <w:rsid w:val="34EE7BB1"/>
    <w:rsid w:val="35263BB0"/>
    <w:rsid w:val="352D75A8"/>
    <w:rsid w:val="35376050"/>
    <w:rsid w:val="353848BB"/>
    <w:rsid w:val="35574976"/>
    <w:rsid w:val="356276C1"/>
    <w:rsid w:val="35634B00"/>
    <w:rsid w:val="35C00EAE"/>
    <w:rsid w:val="35C02FED"/>
    <w:rsid w:val="35C12CD7"/>
    <w:rsid w:val="363A5D32"/>
    <w:rsid w:val="36645AEA"/>
    <w:rsid w:val="36827B9E"/>
    <w:rsid w:val="369A20DD"/>
    <w:rsid w:val="36C52CD5"/>
    <w:rsid w:val="372F7C7C"/>
    <w:rsid w:val="37400E32"/>
    <w:rsid w:val="3741325E"/>
    <w:rsid w:val="37457E74"/>
    <w:rsid w:val="374910FA"/>
    <w:rsid w:val="374A1E4C"/>
    <w:rsid w:val="375978BF"/>
    <w:rsid w:val="379B110E"/>
    <w:rsid w:val="37A60CD0"/>
    <w:rsid w:val="37B41B04"/>
    <w:rsid w:val="37BF5371"/>
    <w:rsid w:val="37DB688A"/>
    <w:rsid w:val="37F335B0"/>
    <w:rsid w:val="37F548CB"/>
    <w:rsid w:val="380D0FF3"/>
    <w:rsid w:val="387B3B55"/>
    <w:rsid w:val="38B72660"/>
    <w:rsid w:val="38BD7916"/>
    <w:rsid w:val="38C23DE9"/>
    <w:rsid w:val="38E4489E"/>
    <w:rsid w:val="38FB70E7"/>
    <w:rsid w:val="39701E67"/>
    <w:rsid w:val="397E6910"/>
    <w:rsid w:val="3A4D1E76"/>
    <w:rsid w:val="3AC56A51"/>
    <w:rsid w:val="3AFE702D"/>
    <w:rsid w:val="3B0E0C3B"/>
    <w:rsid w:val="3B225C51"/>
    <w:rsid w:val="3B245489"/>
    <w:rsid w:val="3B3A381D"/>
    <w:rsid w:val="3B412972"/>
    <w:rsid w:val="3B4C7DD1"/>
    <w:rsid w:val="3B5D137F"/>
    <w:rsid w:val="3B6049CB"/>
    <w:rsid w:val="3B606816"/>
    <w:rsid w:val="3B68055C"/>
    <w:rsid w:val="3B721655"/>
    <w:rsid w:val="3B88248B"/>
    <w:rsid w:val="3BCF138B"/>
    <w:rsid w:val="3BD833E8"/>
    <w:rsid w:val="3C060ED2"/>
    <w:rsid w:val="3C1C1697"/>
    <w:rsid w:val="3C2029C6"/>
    <w:rsid w:val="3C547BCE"/>
    <w:rsid w:val="3C6E44C4"/>
    <w:rsid w:val="3C7C1B90"/>
    <w:rsid w:val="3CA81314"/>
    <w:rsid w:val="3D00677B"/>
    <w:rsid w:val="3D114117"/>
    <w:rsid w:val="3D272798"/>
    <w:rsid w:val="3D460A1D"/>
    <w:rsid w:val="3D967677"/>
    <w:rsid w:val="3D997F87"/>
    <w:rsid w:val="3DE3611D"/>
    <w:rsid w:val="3DFF705C"/>
    <w:rsid w:val="3E051245"/>
    <w:rsid w:val="3E0D13FA"/>
    <w:rsid w:val="3E115919"/>
    <w:rsid w:val="3E2A322C"/>
    <w:rsid w:val="3E546A9E"/>
    <w:rsid w:val="3E630A5B"/>
    <w:rsid w:val="3E756C80"/>
    <w:rsid w:val="3E8110D7"/>
    <w:rsid w:val="3E8A78F0"/>
    <w:rsid w:val="3EB97930"/>
    <w:rsid w:val="3EC351A3"/>
    <w:rsid w:val="3EE50DEA"/>
    <w:rsid w:val="3EE64587"/>
    <w:rsid w:val="3F1B30E3"/>
    <w:rsid w:val="3F285C7B"/>
    <w:rsid w:val="3F2D5A99"/>
    <w:rsid w:val="3F4474D0"/>
    <w:rsid w:val="3F4A7B14"/>
    <w:rsid w:val="3F502BFA"/>
    <w:rsid w:val="3F6000BE"/>
    <w:rsid w:val="3FBC0130"/>
    <w:rsid w:val="3FBF580A"/>
    <w:rsid w:val="3FDD483D"/>
    <w:rsid w:val="403E406C"/>
    <w:rsid w:val="405F34A4"/>
    <w:rsid w:val="4069429E"/>
    <w:rsid w:val="40834B19"/>
    <w:rsid w:val="40A23217"/>
    <w:rsid w:val="40B92C8A"/>
    <w:rsid w:val="40D4575C"/>
    <w:rsid w:val="40DB5220"/>
    <w:rsid w:val="41097C06"/>
    <w:rsid w:val="412D26C4"/>
    <w:rsid w:val="415B7E73"/>
    <w:rsid w:val="41654AEA"/>
    <w:rsid w:val="418F7C3E"/>
    <w:rsid w:val="41AA68A5"/>
    <w:rsid w:val="41AD1550"/>
    <w:rsid w:val="41D466A3"/>
    <w:rsid w:val="41D72F7F"/>
    <w:rsid w:val="421F3190"/>
    <w:rsid w:val="42340994"/>
    <w:rsid w:val="42380D8C"/>
    <w:rsid w:val="424E557E"/>
    <w:rsid w:val="42566E71"/>
    <w:rsid w:val="42645A02"/>
    <w:rsid w:val="42742222"/>
    <w:rsid w:val="42816D07"/>
    <w:rsid w:val="4284031F"/>
    <w:rsid w:val="428B3D82"/>
    <w:rsid w:val="42BA7D84"/>
    <w:rsid w:val="42C254B8"/>
    <w:rsid w:val="42E5552B"/>
    <w:rsid w:val="42F9019F"/>
    <w:rsid w:val="43281146"/>
    <w:rsid w:val="43476B9D"/>
    <w:rsid w:val="43553439"/>
    <w:rsid w:val="43713EB0"/>
    <w:rsid w:val="43813731"/>
    <w:rsid w:val="43B2604B"/>
    <w:rsid w:val="43B56A1D"/>
    <w:rsid w:val="43F46A6F"/>
    <w:rsid w:val="44015BEA"/>
    <w:rsid w:val="44061480"/>
    <w:rsid w:val="440E7195"/>
    <w:rsid w:val="4458105D"/>
    <w:rsid w:val="446701AF"/>
    <w:rsid w:val="44790B2D"/>
    <w:rsid w:val="447F4D19"/>
    <w:rsid w:val="4484797D"/>
    <w:rsid w:val="44DA57EF"/>
    <w:rsid w:val="45E83FC7"/>
    <w:rsid w:val="45E8729D"/>
    <w:rsid w:val="45EA7D1F"/>
    <w:rsid w:val="460D3F67"/>
    <w:rsid w:val="462C510E"/>
    <w:rsid w:val="46344881"/>
    <w:rsid w:val="464417A7"/>
    <w:rsid w:val="46472B48"/>
    <w:rsid w:val="464E1F1E"/>
    <w:rsid w:val="467A641B"/>
    <w:rsid w:val="46916EDC"/>
    <w:rsid w:val="46AF075C"/>
    <w:rsid w:val="46CB1893"/>
    <w:rsid w:val="46CE7BB7"/>
    <w:rsid w:val="46D47503"/>
    <w:rsid w:val="46DA1AD6"/>
    <w:rsid w:val="47047A36"/>
    <w:rsid w:val="472736E8"/>
    <w:rsid w:val="47463B92"/>
    <w:rsid w:val="474918D0"/>
    <w:rsid w:val="47591C64"/>
    <w:rsid w:val="47663C8A"/>
    <w:rsid w:val="47A65940"/>
    <w:rsid w:val="47B63AAE"/>
    <w:rsid w:val="47DE6C76"/>
    <w:rsid w:val="4822043E"/>
    <w:rsid w:val="482B1991"/>
    <w:rsid w:val="483336B9"/>
    <w:rsid w:val="4836326E"/>
    <w:rsid w:val="48385546"/>
    <w:rsid w:val="484B1C7C"/>
    <w:rsid w:val="48B8636A"/>
    <w:rsid w:val="48D250C5"/>
    <w:rsid w:val="48EA2BF1"/>
    <w:rsid w:val="48F34C98"/>
    <w:rsid w:val="49016A00"/>
    <w:rsid w:val="490278F1"/>
    <w:rsid w:val="491352B1"/>
    <w:rsid w:val="491E5A9F"/>
    <w:rsid w:val="495148F1"/>
    <w:rsid w:val="498F7498"/>
    <w:rsid w:val="499E7C75"/>
    <w:rsid w:val="49A72AAE"/>
    <w:rsid w:val="49A92D17"/>
    <w:rsid w:val="49B82999"/>
    <w:rsid w:val="49B8556E"/>
    <w:rsid w:val="49D63838"/>
    <w:rsid w:val="4A065DB2"/>
    <w:rsid w:val="4A1672C9"/>
    <w:rsid w:val="4A2711EA"/>
    <w:rsid w:val="4A4B7C6C"/>
    <w:rsid w:val="4A816461"/>
    <w:rsid w:val="4AA61C10"/>
    <w:rsid w:val="4AE57DE1"/>
    <w:rsid w:val="4AFB51CB"/>
    <w:rsid w:val="4AFD53FD"/>
    <w:rsid w:val="4B046FD4"/>
    <w:rsid w:val="4B150B5D"/>
    <w:rsid w:val="4B241F45"/>
    <w:rsid w:val="4B63653E"/>
    <w:rsid w:val="4B66152C"/>
    <w:rsid w:val="4B690B21"/>
    <w:rsid w:val="4B7129F3"/>
    <w:rsid w:val="4B8453F8"/>
    <w:rsid w:val="4BBD24BD"/>
    <w:rsid w:val="4BFE0015"/>
    <w:rsid w:val="4C161686"/>
    <w:rsid w:val="4C19155C"/>
    <w:rsid w:val="4C2D41B9"/>
    <w:rsid w:val="4C412ABD"/>
    <w:rsid w:val="4C46484D"/>
    <w:rsid w:val="4C4D6A70"/>
    <w:rsid w:val="4C56649F"/>
    <w:rsid w:val="4C99724C"/>
    <w:rsid w:val="4CA069DB"/>
    <w:rsid w:val="4CC312AD"/>
    <w:rsid w:val="4CD24AFC"/>
    <w:rsid w:val="4CD54B68"/>
    <w:rsid w:val="4CDE1DAF"/>
    <w:rsid w:val="4CFE570A"/>
    <w:rsid w:val="4D534390"/>
    <w:rsid w:val="4D77222D"/>
    <w:rsid w:val="4D8A1B58"/>
    <w:rsid w:val="4DB00337"/>
    <w:rsid w:val="4DFF5565"/>
    <w:rsid w:val="4E1D48EF"/>
    <w:rsid w:val="4E766588"/>
    <w:rsid w:val="4ECB11DE"/>
    <w:rsid w:val="4EF8494C"/>
    <w:rsid w:val="4F0D69EB"/>
    <w:rsid w:val="4F2F2059"/>
    <w:rsid w:val="4F5E3164"/>
    <w:rsid w:val="4F8E7901"/>
    <w:rsid w:val="4FB431FC"/>
    <w:rsid w:val="4FBA6948"/>
    <w:rsid w:val="4FE70635"/>
    <w:rsid w:val="500A6BE4"/>
    <w:rsid w:val="50225768"/>
    <w:rsid w:val="50631789"/>
    <w:rsid w:val="50A31CC7"/>
    <w:rsid w:val="50E52242"/>
    <w:rsid w:val="50FB13F8"/>
    <w:rsid w:val="51847CD0"/>
    <w:rsid w:val="518A52A4"/>
    <w:rsid w:val="51960CEF"/>
    <w:rsid w:val="519D207E"/>
    <w:rsid w:val="51A81619"/>
    <w:rsid w:val="51BC4694"/>
    <w:rsid w:val="51E57A85"/>
    <w:rsid w:val="51E66F60"/>
    <w:rsid w:val="51E67875"/>
    <w:rsid w:val="523E390B"/>
    <w:rsid w:val="52972258"/>
    <w:rsid w:val="5301670B"/>
    <w:rsid w:val="531D0A87"/>
    <w:rsid w:val="53310CD0"/>
    <w:rsid w:val="53641523"/>
    <w:rsid w:val="538F2BDD"/>
    <w:rsid w:val="53924CA9"/>
    <w:rsid w:val="53A35ED2"/>
    <w:rsid w:val="53FA1B04"/>
    <w:rsid w:val="547A292C"/>
    <w:rsid w:val="54900E8D"/>
    <w:rsid w:val="54D34BDF"/>
    <w:rsid w:val="55004DFD"/>
    <w:rsid w:val="5520294D"/>
    <w:rsid w:val="55237C17"/>
    <w:rsid w:val="552770F4"/>
    <w:rsid w:val="557B1427"/>
    <w:rsid w:val="5580364E"/>
    <w:rsid w:val="558502F6"/>
    <w:rsid w:val="558D65E8"/>
    <w:rsid w:val="559A1D8A"/>
    <w:rsid w:val="55C554D3"/>
    <w:rsid w:val="55F56E2B"/>
    <w:rsid w:val="55FF5829"/>
    <w:rsid w:val="560C6576"/>
    <w:rsid w:val="560E7CB4"/>
    <w:rsid w:val="563B4BB3"/>
    <w:rsid w:val="5697353F"/>
    <w:rsid w:val="56AF0DE1"/>
    <w:rsid w:val="56B57E6A"/>
    <w:rsid w:val="56F629E5"/>
    <w:rsid w:val="575E5568"/>
    <w:rsid w:val="576A51AE"/>
    <w:rsid w:val="576C3254"/>
    <w:rsid w:val="579D29C6"/>
    <w:rsid w:val="57DA0118"/>
    <w:rsid w:val="57EF3356"/>
    <w:rsid w:val="58445C6A"/>
    <w:rsid w:val="584C69E9"/>
    <w:rsid w:val="58883419"/>
    <w:rsid w:val="58B92308"/>
    <w:rsid w:val="58C57B3F"/>
    <w:rsid w:val="58DB5A41"/>
    <w:rsid w:val="5931649C"/>
    <w:rsid w:val="59674AFC"/>
    <w:rsid w:val="59684D44"/>
    <w:rsid w:val="599B0208"/>
    <w:rsid w:val="59A21ACF"/>
    <w:rsid w:val="59D943F3"/>
    <w:rsid w:val="5A2748B5"/>
    <w:rsid w:val="5A294B9D"/>
    <w:rsid w:val="5A9E6907"/>
    <w:rsid w:val="5B307029"/>
    <w:rsid w:val="5B5547DA"/>
    <w:rsid w:val="5B73665D"/>
    <w:rsid w:val="5B865173"/>
    <w:rsid w:val="5B8A5AEA"/>
    <w:rsid w:val="5BA168FC"/>
    <w:rsid w:val="5BA37FCD"/>
    <w:rsid w:val="5BF37676"/>
    <w:rsid w:val="5C052AA0"/>
    <w:rsid w:val="5C11011B"/>
    <w:rsid w:val="5C3F7AF2"/>
    <w:rsid w:val="5C460AC9"/>
    <w:rsid w:val="5C5F102A"/>
    <w:rsid w:val="5C764DF0"/>
    <w:rsid w:val="5C8A1451"/>
    <w:rsid w:val="5C8B4E57"/>
    <w:rsid w:val="5CE67305"/>
    <w:rsid w:val="5D0B70A2"/>
    <w:rsid w:val="5D414205"/>
    <w:rsid w:val="5D5E2D2E"/>
    <w:rsid w:val="5D9F4E42"/>
    <w:rsid w:val="5DE80B25"/>
    <w:rsid w:val="5E08356F"/>
    <w:rsid w:val="5E1C7E9B"/>
    <w:rsid w:val="5E4141B6"/>
    <w:rsid w:val="5E456113"/>
    <w:rsid w:val="5E9F5041"/>
    <w:rsid w:val="5EAD2ACF"/>
    <w:rsid w:val="5EB83EAB"/>
    <w:rsid w:val="5EE3011D"/>
    <w:rsid w:val="5EFB1673"/>
    <w:rsid w:val="5F141193"/>
    <w:rsid w:val="5F161176"/>
    <w:rsid w:val="5F1B5087"/>
    <w:rsid w:val="5F63370B"/>
    <w:rsid w:val="5F8F73D7"/>
    <w:rsid w:val="5F9C1BC7"/>
    <w:rsid w:val="5F9F3EE1"/>
    <w:rsid w:val="5FB310F1"/>
    <w:rsid w:val="5FB52C88"/>
    <w:rsid w:val="5FC8765F"/>
    <w:rsid w:val="5FE07569"/>
    <w:rsid w:val="6043073C"/>
    <w:rsid w:val="6070711C"/>
    <w:rsid w:val="607D27D5"/>
    <w:rsid w:val="60A172C9"/>
    <w:rsid w:val="60D463C4"/>
    <w:rsid w:val="60E55B1D"/>
    <w:rsid w:val="61274BFD"/>
    <w:rsid w:val="613C442F"/>
    <w:rsid w:val="614108FE"/>
    <w:rsid w:val="617D362A"/>
    <w:rsid w:val="618E2B9D"/>
    <w:rsid w:val="61BE5813"/>
    <w:rsid w:val="61D94C85"/>
    <w:rsid w:val="62072434"/>
    <w:rsid w:val="62117195"/>
    <w:rsid w:val="621F02C3"/>
    <w:rsid w:val="62380FD2"/>
    <w:rsid w:val="62800487"/>
    <w:rsid w:val="62880931"/>
    <w:rsid w:val="62A57F95"/>
    <w:rsid w:val="62B90ACD"/>
    <w:rsid w:val="6321544B"/>
    <w:rsid w:val="6353259C"/>
    <w:rsid w:val="635D4C57"/>
    <w:rsid w:val="638B4EB9"/>
    <w:rsid w:val="63B260C2"/>
    <w:rsid w:val="63C416EC"/>
    <w:rsid w:val="64046F03"/>
    <w:rsid w:val="6419292F"/>
    <w:rsid w:val="641A7AB3"/>
    <w:rsid w:val="645E744B"/>
    <w:rsid w:val="64B8674B"/>
    <w:rsid w:val="64CC2A37"/>
    <w:rsid w:val="64E060B2"/>
    <w:rsid w:val="64EF1431"/>
    <w:rsid w:val="651915C4"/>
    <w:rsid w:val="6523084E"/>
    <w:rsid w:val="6548459E"/>
    <w:rsid w:val="6562177C"/>
    <w:rsid w:val="656936B1"/>
    <w:rsid w:val="657C62D3"/>
    <w:rsid w:val="65891836"/>
    <w:rsid w:val="658C194A"/>
    <w:rsid w:val="659333ED"/>
    <w:rsid w:val="65A27A78"/>
    <w:rsid w:val="65A46D8F"/>
    <w:rsid w:val="65C6693B"/>
    <w:rsid w:val="65D76F67"/>
    <w:rsid w:val="661B7749"/>
    <w:rsid w:val="661C6D07"/>
    <w:rsid w:val="662D3578"/>
    <w:rsid w:val="66464644"/>
    <w:rsid w:val="66945593"/>
    <w:rsid w:val="66A16DF5"/>
    <w:rsid w:val="66BE0674"/>
    <w:rsid w:val="66C0269F"/>
    <w:rsid w:val="66D4713E"/>
    <w:rsid w:val="66E126E3"/>
    <w:rsid w:val="66E934EF"/>
    <w:rsid w:val="67117FE8"/>
    <w:rsid w:val="67204E8B"/>
    <w:rsid w:val="67285404"/>
    <w:rsid w:val="6774677E"/>
    <w:rsid w:val="677C408B"/>
    <w:rsid w:val="67B50903"/>
    <w:rsid w:val="67F34EBC"/>
    <w:rsid w:val="6803218D"/>
    <w:rsid w:val="685B68C2"/>
    <w:rsid w:val="6891619E"/>
    <w:rsid w:val="68CD0889"/>
    <w:rsid w:val="690A0C77"/>
    <w:rsid w:val="69166F99"/>
    <w:rsid w:val="69456E27"/>
    <w:rsid w:val="694A5945"/>
    <w:rsid w:val="697668D2"/>
    <w:rsid w:val="697E5FFD"/>
    <w:rsid w:val="69B56DC8"/>
    <w:rsid w:val="69EE65DC"/>
    <w:rsid w:val="69F541EE"/>
    <w:rsid w:val="6A1E64B3"/>
    <w:rsid w:val="6A3A734F"/>
    <w:rsid w:val="6A553C73"/>
    <w:rsid w:val="6A5A336A"/>
    <w:rsid w:val="6A685113"/>
    <w:rsid w:val="6A911100"/>
    <w:rsid w:val="6A9F7F15"/>
    <w:rsid w:val="6B3B475E"/>
    <w:rsid w:val="6B6E673B"/>
    <w:rsid w:val="6BA13111"/>
    <w:rsid w:val="6BB3513A"/>
    <w:rsid w:val="6BFC1AEE"/>
    <w:rsid w:val="6C1D6E6A"/>
    <w:rsid w:val="6C340BCC"/>
    <w:rsid w:val="6C5844C0"/>
    <w:rsid w:val="6C5A0E3F"/>
    <w:rsid w:val="6C7041BF"/>
    <w:rsid w:val="6C9C7F3A"/>
    <w:rsid w:val="6CA1081C"/>
    <w:rsid w:val="6CA200F0"/>
    <w:rsid w:val="6CB87914"/>
    <w:rsid w:val="6CE35466"/>
    <w:rsid w:val="6CF22E26"/>
    <w:rsid w:val="6CF70BDA"/>
    <w:rsid w:val="6D1F1486"/>
    <w:rsid w:val="6D374555"/>
    <w:rsid w:val="6D985078"/>
    <w:rsid w:val="6DA54A57"/>
    <w:rsid w:val="6E272FA3"/>
    <w:rsid w:val="6E786E93"/>
    <w:rsid w:val="6EA3225C"/>
    <w:rsid w:val="6F0F60B4"/>
    <w:rsid w:val="6F5854A1"/>
    <w:rsid w:val="6F773207"/>
    <w:rsid w:val="6F8A6141"/>
    <w:rsid w:val="70334A73"/>
    <w:rsid w:val="7073427E"/>
    <w:rsid w:val="70C87161"/>
    <w:rsid w:val="711911D0"/>
    <w:rsid w:val="713E2ADE"/>
    <w:rsid w:val="715B3DE8"/>
    <w:rsid w:val="716D3CA6"/>
    <w:rsid w:val="719B1D2C"/>
    <w:rsid w:val="71A84B8C"/>
    <w:rsid w:val="71CD5A07"/>
    <w:rsid w:val="71D03789"/>
    <w:rsid w:val="71E12343"/>
    <w:rsid w:val="724E1DBC"/>
    <w:rsid w:val="72783DCD"/>
    <w:rsid w:val="727F69D0"/>
    <w:rsid w:val="72843FF6"/>
    <w:rsid w:val="729624A5"/>
    <w:rsid w:val="72AB30A3"/>
    <w:rsid w:val="72C029C9"/>
    <w:rsid w:val="733D34B8"/>
    <w:rsid w:val="735A7977"/>
    <w:rsid w:val="73600996"/>
    <w:rsid w:val="73600997"/>
    <w:rsid w:val="739C0091"/>
    <w:rsid w:val="73BF0CBC"/>
    <w:rsid w:val="73FC19B3"/>
    <w:rsid w:val="743E4348"/>
    <w:rsid w:val="746D4BE5"/>
    <w:rsid w:val="74E41BEE"/>
    <w:rsid w:val="74E548C8"/>
    <w:rsid w:val="751A116C"/>
    <w:rsid w:val="752E2715"/>
    <w:rsid w:val="75360521"/>
    <w:rsid w:val="75461F61"/>
    <w:rsid w:val="755840E0"/>
    <w:rsid w:val="756046A5"/>
    <w:rsid w:val="756D6C3E"/>
    <w:rsid w:val="75F75951"/>
    <w:rsid w:val="76166340"/>
    <w:rsid w:val="76375D4D"/>
    <w:rsid w:val="76531935"/>
    <w:rsid w:val="767A51D7"/>
    <w:rsid w:val="768A0D34"/>
    <w:rsid w:val="76BE3571"/>
    <w:rsid w:val="76C13BE2"/>
    <w:rsid w:val="76C608A6"/>
    <w:rsid w:val="76C72460"/>
    <w:rsid w:val="76CF3695"/>
    <w:rsid w:val="76FB6D7B"/>
    <w:rsid w:val="771B3C14"/>
    <w:rsid w:val="77300603"/>
    <w:rsid w:val="773F16B0"/>
    <w:rsid w:val="77A73846"/>
    <w:rsid w:val="77BA6C36"/>
    <w:rsid w:val="77C173B4"/>
    <w:rsid w:val="77E647CF"/>
    <w:rsid w:val="78270687"/>
    <w:rsid w:val="784C4C99"/>
    <w:rsid w:val="78716F14"/>
    <w:rsid w:val="78786761"/>
    <w:rsid w:val="78962251"/>
    <w:rsid w:val="78C478A5"/>
    <w:rsid w:val="78D11564"/>
    <w:rsid w:val="78D911F2"/>
    <w:rsid w:val="78DB6E64"/>
    <w:rsid w:val="78E0447A"/>
    <w:rsid w:val="78F5776E"/>
    <w:rsid w:val="78FA59AF"/>
    <w:rsid w:val="790A6F56"/>
    <w:rsid w:val="793B7903"/>
    <w:rsid w:val="796E7CD8"/>
    <w:rsid w:val="7980296B"/>
    <w:rsid w:val="798B43D9"/>
    <w:rsid w:val="798C7B5D"/>
    <w:rsid w:val="79BF4D8B"/>
    <w:rsid w:val="79D5374D"/>
    <w:rsid w:val="79D5605F"/>
    <w:rsid w:val="79E17989"/>
    <w:rsid w:val="7A36128F"/>
    <w:rsid w:val="7A380615"/>
    <w:rsid w:val="7A384E9A"/>
    <w:rsid w:val="7A4D275A"/>
    <w:rsid w:val="7A6A4943"/>
    <w:rsid w:val="7A6D6D1F"/>
    <w:rsid w:val="7A7C379E"/>
    <w:rsid w:val="7AF16C40"/>
    <w:rsid w:val="7AF307DC"/>
    <w:rsid w:val="7AF85B30"/>
    <w:rsid w:val="7B0B4B7F"/>
    <w:rsid w:val="7B1C357F"/>
    <w:rsid w:val="7BDF6383"/>
    <w:rsid w:val="7BF24BF0"/>
    <w:rsid w:val="7BFF2E69"/>
    <w:rsid w:val="7C23576F"/>
    <w:rsid w:val="7C240048"/>
    <w:rsid w:val="7C41492F"/>
    <w:rsid w:val="7C4C40AA"/>
    <w:rsid w:val="7CCE1C23"/>
    <w:rsid w:val="7CD73DE6"/>
    <w:rsid w:val="7D011E1A"/>
    <w:rsid w:val="7D1278C0"/>
    <w:rsid w:val="7D36433B"/>
    <w:rsid w:val="7D4A1E4C"/>
    <w:rsid w:val="7D594473"/>
    <w:rsid w:val="7D5B2150"/>
    <w:rsid w:val="7D5B394E"/>
    <w:rsid w:val="7D8F45FC"/>
    <w:rsid w:val="7DCC321F"/>
    <w:rsid w:val="7DE26FC4"/>
    <w:rsid w:val="7DEF317C"/>
    <w:rsid w:val="7DF021B4"/>
    <w:rsid w:val="7E0A50F3"/>
    <w:rsid w:val="7E956169"/>
    <w:rsid w:val="7EAA7383"/>
    <w:rsid w:val="7EB07D4A"/>
    <w:rsid w:val="7EB326C5"/>
    <w:rsid w:val="7EDD0445"/>
    <w:rsid w:val="7EF04C19"/>
    <w:rsid w:val="7F1D124A"/>
    <w:rsid w:val="7F2468E1"/>
    <w:rsid w:val="7F4D7267"/>
    <w:rsid w:val="7F7A4D66"/>
    <w:rsid w:val="7F9B1982"/>
    <w:rsid w:val="7FC6270F"/>
    <w:rsid w:val="7FCF0063"/>
    <w:rsid w:val="7FD52D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99"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2"/>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53"/>
    <w:qFormat/>
    <w:uiPriority w:val="99"/>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5">
    <w:name w:val="heading 3"/>
    <w:basedOn w:val="1"/>
    <w:next w:val="1"/>
    <w:link w:val="263"/>
    <w:qFormat/>
    <w:uiPriority w:val="99"/>
    <w:pPr>
      <w:keepNext/>
      <w:keepLines/>
      <w:outlineLvl w:val="2"/>
    </w:pPr>
    <w:rPr>
      <w:rFonts w:ascii="Calibri" w:hAnsi="Calibri"/>
      <w:b/>
      <w:kern w:val="0"/>
      <w:sz w:val="32"/>
      <w:szCs w:val="20"/>
    </w:rPr>
  </w:style>
  <w:style w:type="paragraph" w:styleId="6">
    <w:name w:val="heading 4"/>
    <w:basedOn w:val="1"/>
    <w:next w:val="1"/>
    <w:link w:val="55"/>
    <w:qFormat/>
    <w:uiPriority w:val="99"/>
    <w:pPr>
      <w:keepNext/>
      <w:spacing w:before="240" w:after="60"/>
      <w:outlineLvl w:val="3"/>
    </w:pPr>
    <w:rPr>
      <w:b/>
      <w:bCs/>
      <w:sz w:val="28"/>
      <w:szCs w:val="28"/>
    </w:rPr>
  </w:style>
  <w:style w:type="paragraph" w:styleId="7">
    <w:name w:val="heading 5"/>
    <w:basedOn w:val="1"/>
    <w:next w:val="1"/>
    <w:link w:val="56"/>
    <w:qFormat/>
    <w:uiPriority w:val="99"/>
    <w:pPr>
      <w:keepNext/>
      <w:keepLines/>
      <w:widowControl/>
      <w:tabs>
        <w:tab w:val="left" w:pos="360"/>
      </w:tabs>
      <w:overflowPunct w:val="0"/>
      <w:autoSpaceDE w:val="0"/>
      <w:autoSpaceDN w:val="0"/>
      <w:adjustRightInd w:val="0"/>
      <w:snapToGrid w:val="0"/>
      <w:spacing w:before="280" w:after="290" w:line="376" w:lineRule="auto"/>
      <w:ind w:firstLine="510"/>
      <w:textAlignment w:val="baseline"/>
      <w:outlineLvl w:val="4"/>
    </w:pPr>
    <w:rPr>
      <w:b/>
      <w:kern w:val="0"/>
      <w:sz w:val="28"/>
      <w:szCs w:val="20"/>
    </w:rPr>
  </w:style>
  <w:style w:type="paragraph" w:styleId="8">
    <w:name w:val="heading 6"/>
    <w:basedOn w:val="1"/>
    <w:next w:val="1"/>
    <w:link w:val="57"/>
    <w:qFormat/>
    <w:uiPriority w:val="9"/>
    <w:pPr>
      <w:keepNext/>
      <w:keepLines/>
      <w:spacing w:before="200"/>
      <w:outlineLvl w:val="5"/>
    </w:pPr>
    <w:rPr>
      <w:rFonts w:ascii="Calibri Light" w:hAnsi="Calibri Light"/>
      <w:i/>
      <w:iCs/>
      <w:color w:val="1F4D78"/>
      <w:szCs w:val="22"/>
    </w:rPr>
  </w:style>
  <w:style w:type="paragraph" w:styleId="9">
    <w:name w:val="heading 7"/>
    <w:basedOn w:val="1"/>
    <w:next w:val="1"/>
    <w:link w:val="58"/>
    <w:qFormat/>
    <w:uiPriority w:val="9"/>
    <w:pPr>
      <w:keepNext/>
      <w:keepLines/>
      <w:spacing w:before="200"/>
      <w:outlineLvl w:val="6"/>
    </w:pPr>
    <w:rPr>
      <w:rFonts w:ascii="Calibri Light" w:hAnsi="Calibri Light"/>
      <w:i/>
      <w:iCs/>
      <w:color w:val="404040"/>
      <w:szCs w:val="22"/>
    </w:rPr>
  </w:style>
  <w:style w:type="paragraph" w:styleId="10">
    <w:name w:val="heading 8"/>
    <w:basedOn w:val="1"/>
    <w:next w:val="1"/>
    <w:link w:val="59"/>
    <w:qFormat/>
    <w:uiPriority w:val="9"/>
    <w:pPr>
      <w:keepNext/>
      <w:keepLines/>
      <w:spacing w:before="200"/>
      <w:outlineLvl w:val="7"/>
    </w:pPr>
    <w:rPr>
      <w:rFonts w:ascii="Calibri Light" w:hAnsi="Calibri Light"/>
      <w:color w:val="5B9BD5"/>
      <w:sz w:val="20"/>
      <w:szCs w:val="20"/>
    </w:rPr>
  </w:style>
  <w:style w:type="paragraph" w:styleId="11">
    <w:name w:val="heading 9"/>
    <w:basedOn w:val="1"/>
    <w:next w:val="1"/>
    <w:link w:val="60"/>
    <w:qFormat/>
    <w:uiPriority w:val="9"/>
    <w:pPr>
      <w:keepNext/>
      <w:keepLines/>
      <w:spacing w:before="200"/>
      <w:outlineLvl w:val="8"/>
    </w:pPr>
    <w:rPr>
      <w:rFonts w:ascii="Calibri Light" w:hAnsi="Calibri Light"/>
      <w:i/>
      <w:iCs/>
      <w:color w:val="404040"/>
      <w:sz w:val="20"/>
      <w:szCs w:val="20"/>
    </w:rPr>
  </w:style>
  <w:style w:type="character" w:default="1" w:styleId="38">
    <w:name w:val="Default Paragraph Font"/>
    <w:unhideWhenUsed/>
    <w:qFormat/>
    <w:uiPriority w:val="1"/>
  </w:style>
  <w:style w:type="table" w:default="1" w:styleId="36">
    <w:name w:val="Normal Table"/>
    <w:unhideWhenUsed/>
    <w:qFormat/>
    <w:uiPriority w:val="99"/>
    <w:tblPr>
      <w:tblCellMar>
        <w:top w:w="0" w:type="dxa"/>
        <w:left w:w="108" w:type="dxa"/>
        <w:bottom w:w="0" w:type="dxa"/>
        <w:right w:w="108" w:type="dxa"/>
      </w:tblCellMar>
    </w:tblPr>
  </w:style>
  <w:style w:type="paragraph" w:styleId="2">
    <w:name w:val="Body Text"/>
    <w:basedOn w:val="1"/>
    <w:link w:val="63"/>
    <w:qFormat/>
    <w:uiPriority w:val="99"/>
  </w:style>
  <w:style w:type="paragraph" w:styleId="12">
    <w:name w:val="index 8"/>
    <w:basedOn w:val="1"/>
    <w:next w:val="1"/>
    <w:qFormat/>
    <w:uiPriority w:val="0"/>
    <w:pPr>
      <w:ind w:left="2940"/>
    </w:pPr>
  </w:style>
  <w:style w:type="paragraph" w:styleId="13">
    <w:name w:val="Normal Indent"/>
    <w:basedOn w:val="1"/>
    <w:qFormat/>
    <w:uiPriority w:val="99"/>
    <w:pPr>
      <w:ind w:firstLine="420"/>
    </w:pPr>
    <w:rPr>
      <w:szCs w:val="20"/>
    </w:rPr>
  </w:style>
  <w:style w:type="paragraph" w:styleId="14">
    <w:name w:val="Document Map"/>
    <w:basedOn w:val="1"/>
    <w:link w:val="61"/>
    <w:qFormat/>
    <w:uiPriority w:val="99"/>
    <w:pPr>
      <w:shd w:val="clear" w:color="auto" w:fill="000080"/>
    </w:pPr>
    <w:rPr>
      <w:rFonts w:ascii="Calibri" w:hAnsi="Calibri" w:eastAsia="宋体" w:cs="Times New Roman"/>
    </w:rPr>
  </w:style>
  <w:style w:type="paragraph" w:styleId="15">
    <w:name w:val="annotation text"/>
    <w:basedOn w:val="1"/>
    <w:link w:val="62"/>
    <w:qFormat/>
    <w:uiPriority w:val="99"/>
    <w:pPr>
      <w:jc w:val="left"/>
    </w:pPr>
  </w:style>
  <w:style w:type="paragraph" w:styleId="16">
    <w:name w:val="Body Text 3"/>
    <w:basedOn w:val="1"/>
    <w:qFormat/>
    <w:uiPriority w:val="0"/>
    <w:pPr>
      <w:spacing w:line="500" w:lineRule="exact"/>
    </w:pPr>
    <w:rPr>
      <w:b/>
      <w:bCs/>
      <w:kern w:val="0"/>
      <w:sz w:val="24"/>
    </w:rPr>
  </w:style>
  <w:style w:type="paragraph" w:styleId="17">
    <w:name w:val="Body Text Indent"/>
    <w:basedOn w:val="1"/>
    <w:next w:val="18"/>
    <w:link w:val="64"/>
    <w:qFormat/>
    <w:uiPriority w:val="99"/>
    <w:pPr>
      <w:spacing w:after="120"/>
      <w:ind w:left="420" w:leftChars="200"/>
    </w:pPr>
  </w:style>
  <w:style w:type="paragraph" w:styleId="18">
    <w:name w:val="envelope return"/>
    <w:basedOn w:val="1"/>
    <w:qFormat/>
    <w:uiPriority w:val="0"/>
    <w:pPr>
      <w:snapToGrid w:val="0"/>
    </w:pPr>
    <w:rPr>
      <w:rFonts w:ascii="Arial" w:hAnsi="Arial"/>
    </w:rPr>
  </w:style>
  <w:style w:type="paragraph" w:styleId="19">
    <w:name w:val="Block Text"/>
    <w:basedOn w:val="1"/>
    <w:qFormat/>
    <w:uiPriority w:val="0"/>
    <w:pPr>
      <w:widowControl/>
      <w:overflowPunct w:val="0"/>
      <w:autoSpaceDE w:val="0"/>
      <w:autoSpaceDN w:val="0"/>
      <w:adjustRightInd w:val="0"/>
      <w:snapToGrid w:val="0"/>
      <w:spacing w:line="360" w:lineRule="auto"/>
      <w:ind w:left="1440" w:right="-510" w:hanging="759"/>
      <w:textAlignment w:val="baseline"/>
    </w:pPr>
    <w:rPr>
      <w:kern w:val="0"/>
      <w:sz w:val="24"/>
      <w:szCs w:val="20"/>
    </w:rPr>
  </w:style>
  <w:style w:type="paragraph" w:styleId="20">
    <w:name w:val="index 4"/>
    <w:basedOn w:val="1"/>
    <w:next w:val="1"/>
    <w:qFormat/>
    <w:uiPriority w:val="99"/>
    <w:pPr>
      <w:ind w:left="600" w:leftChars="600"/>
    </w:pPr>
    <w:rPr>
      <w:rFonts w:ascii="Calibri" w:hAnsi="Calibri"/>
      <w:szCs w:val="22"/>
    </w:rPr>
  </w:style>
  <w:style w:type="paragraph" w:styleId="21">
    <w:name w:val="toc 3"/>
    <w:basedOn w:val="1"/>
    <w:next w:val="1"/>
    <w:unhideWhenUsed/>
    <w:qFormat/>
    <w:uiPriority w:val="39"/>
    <w:pPr>
      <w:ind w:left="840" w:leftChars="400"/>
    </w:pPr>
  </w:style>
  <w:style w:type="paragraph" w:styleId="22">
    <w:name w:val="Plain Text"/>
    <w:basedOn w:val="1"/>
    <w:next w:val="12"/>
    <w:link w:val="65"/>
    <w:qFormat/>
    <w:uiPriority w:val="0"/>
    <w:rPr>
      <w:rFonts w:ascii="宋体" w:hAnsi="Courier New"/>
      <w:szCs w:val="20"/>
    </w:rPr>
  </w:style>
  <w:style w:type="paragraph" w:styleId="23">
    <w:name w:val="Date"/>
    <w:basedOn w:val="1"/>
    <w:next w:val="1"/>
    <w:link w:val="66"/>
    <w:qFormat/>
    <w:uiPriority w:val="99"/>
    <w:pPr>
      <w:ind w:left="100" w:leftChars="2500"/>
    </w:pPr>
  </w:style>
  <w:style w:type="paragraph" w:styleId="24">
    <w:name w:val="Body Text Indent 2"/>
    <w:basedOn w:val="1"/>
    <w:link w:val="67"/>
    <w:qFormat/>
    <w:uiPriority w:val="99"/>
    <w:pPr>
      <w:spacing w:after="120" w:line="480" w:lineRule="auto"/>
      <w:ind w:left="420" w:leftChars="200"/>
    </w:pPr>
    <w:rPr>
      <w:rFonts w:ascii="Calibri" w:hAnsi="Calibri"/>
      <w:szCs w:val="22"/>
    </w:rPr>
  </w:style>
  <w:style w:type="paragraph" w:styleId="25">
    <w:name w:val="Balloon Text"/>
    <w:basedOn w:val="1"/>
    <w:link w:val="68"/>
    <w:qFormat/>
    <w:uiPriority w:val="99"/>
    <w:rPr>
      <w:rFonts w:ascii="Calibri" w:hAnsi="Calibri" w:eastAsia="宋体" w:cs="Times New Roman"/>
      <w:sz w:val="18"/>
      <w:szCs w:val="18"/>
    </w:rPr>
  </w:style>
  <w:style w:type="paragraph" w:styleId="26">
    <w:name w:val="footer"/>
    <w:basedOn w:val="1"/>
    <w:link w:val="69"/>
    <w:qFormat/>
    <w:uiPriority w:val="99"/>
    <w:pPr>
      <w:tabs>
        <w:tab w:val="center" w:pos="4153"/>
        <w:tab w:val="right" w:pos="8306"/>
      </w:tabs>
      <w:snapToGrid w:val="0"/>
      <w:jc w:val="left"/>
    </w:pPr>
    <w:rPr>
      <w:sz w:val="18"/>
      <w:szCs w:val="18"/>
    </w:rPr>
  </w:style>
  <w:style w:type="paragraph" w:styleId="27">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unhideWhenUsed/>
    <w:qFormat/>
    <w:uiPriority w:val="39"/>
  </w:style>
  <w:style w:type="paragraph" w:styleId="29">
    <w:name w:val="Subtitle"/>
    <w:basedOn w:val="1"/>
    <w:next w:val="1"/>
    <w:link w:val="71"/>
    <w:qFormat/>
    <w:uiPriority w:val="11"/>
    <w:rPr>
      <w:rFonts w:ascii="Calibri Light" w:hAnsi="Calibri Light"/>
      <w:i/>
      <w:iCs/>
      <w:color w:val="5B9BD5"/>
      <w:spacing w:val="15"/>
      <w:sz w:val="24"/>
    </w:rPr>
  </w:style>
  <w:style w:type="paragraph" w:styleId="30">
    <w:name w:val="footnote text"/>
    <w:basedOn w:val="1"/>
    <w:link w:val="72"/>
    <w:qFormat/>
    <w:uiPriority w:val="99"/>
    <w:pPr>
      <w:adjustRightInd w:val="0"/>
      <w:spacing w:line="312" w:lineRule="atLeast"/>
      <w:jc w:val="left"/>
      <w:textAlignment w:val="baseline"/>
    </w:pPr>
    <w:rPr>
      <w:rFonts w:ascii="Calibri" w:hAnsi="Calibri"/>
      <w:sz w:val="18"/>
      <w:szCs w:val="22"/>
    </w:rPr>
  </w:style>
  <w:style w:type="paragraph" w:styleId="31">
    <w:name w:val="toc 2"/>
    <w:basedOn w:val="1"/>
    <w:next w:val="1"/>
    <w:unhideWhenUsed/>
    <w:qFormat/>
    <w:uiPriority w:val="39"/>
    <w:pPr>
      <w:ind w:left="420" w:leftChars="200"/>
    </w:pPr>
  </w:style>
  <w:style w:type="paragraph" w:styleId="3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33">
    <w:name w:val="Title"/>
    <w:basedOn w:val="1"/>
    <w:next w:val="1"/>
    <w:link w:val="73"/>
    <w:qFormat/>
    <w:uiPriority w:val="99"/>
    <w:pPr>
      <w:pBdr>
        <w:bottom w:val="single" w:color="5B9BD5" w:sz="8" w:space="4"/>
      </w:pBdr>
      <w:spacing w:after="300"/>
      <w:contextualSpacing/>
    </w:pPr>
    <w:rPr>
      <w:rFonts w:ascii="Calibri Light" w:hAnsi="Calibri Light"/>
      <w:color w:val="323E4F"/>
      <w:spacing w:val="5"/>
      <w:sz w:val="52"/>
      <w:szCs w:val="52"/>
    </w:rPr>
  </w:style>
  <w:style w:type="paragraph" w:styleId="34">
    <w:name w:val="annotation subject"/>
    <w:basedOn w:val="15"/>
    <w:next w:val="15"/>
    <w:link w:val="74"/>
    <w:qFormat/>
    <w:uiPriority w:val="99"/>
    <w:rPr>
      <w:rFonts w:ascii="Calibri" w:hAnsi="Calibri" w:eastAsia="宋体" w:cs="Times New Roman"/>
      <w:b/>
      <w:bCs/>
    </w:rPr>
  </w:style>
  <w:style w:type="paragraph" w:styleId="35">
    <w:name w:val="Body Text First Indent 2"/>
    <w:basedOn w:val="17"/>
    <w:unhideWhenUsed/>
    <w:qFormat/>
    <w:uiPriority w:val="99"/>
    <w:pPr>
      <w:ind w:firstLine="420" w:firstLineChars="200"/>
    </w:p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22"/>
    <w:rPr>
      <w:b/>
      <w:bCs/>
    </w:rPr>
  </w:style>
  <w:style w:type="character" w:styleId="40">
    <w:name w:val="FollowedHyperlink"/>
    <w:basedOn w:val="38"/>
    <w:unhideWhenUsed/>
    <w:qFormat/>
    <w:uiPriority w:val="99"/>
    <w:rPr>
      <w:color w:val="800080"/>
      <w:u w:val="none"/>
    </w:rPr>
  </w:style>
  <w:style w:type="character" w:styleId="41">
    <w:name w:val="Emphasis"/>
    <w:qFormat/>
    <w:uiPriority w:val="20"/>
    <w:rPr>
      <w:i/>
      <w:iCs/>
    </w:rPr>
  </w:style>
  <w:style w:type="character" w:styleId="42">
    <w:name w:val="HTML Definition"/>
    <w:basedOn w:val="38"/>
    <w:qFormat/>
    <w:uiPriority w:val="0"/>
  </w:style>
  <w:style w:type="character" w:styleId="43">
    <w:name w:val="HTML Typewriter"/>
    <w:basedOn w:val="38"/>
    <w:qFormat/>
    <w:uiPriority w:val="0"/>
    <w:rPr>
      <w:rFonts w:ascii="monospace" w:hAnsi="monospace" w:eastAsia="monospace" w:cs="monospace"/>
      <w:sz w:val="20"/>
    </w:rPr>
  </w:style>
  <w:style w:type="character" w:styleId="44">
    <w:name w:val="HTML Acronym"/>
    <w:basedOn w:val="38"/>
    <w:qFormat/>
    <w:uiPriority w:val="0"/>
  </w:style>
  <w:style w:type="character" w:styleId="45">
    <w:name w:val="HTML Variable"/>
    <w:basedOn w:val="38"/>
    <w:qFormat/>
    <w:uiPriority w:val="0"/>
  </w:style>
  <w:style w:type="character" w:styleId="46">
    <w:name w:val="Hyperlink"/>
    <w:qFormat/>
    <w:uiPriority w:val="99"/>
    <w:rPr>
      <w:color w:val="333333"/>
      <w:u w:val="none"/>
    </w:rPr>
  </w:style>
  <w:style w:type="character" w:styleId="47">
    <w:name w:val="HTML Code"/>
    <w:basedOn w:val="38"/>
    <w:qFormat/>
    <w:uiPriority w:val="0"/>
    <w:rPr>
      <w:rFonts w:hint="default" w:ascii="monospace" w:hAnsi="monospace" w:eastAsia="monospace" w:cs="monospace"/>
      <w:sz w:val="20"/>
    </w:rPr>
  </w:style>
  <w:style w:type="character" w:styleId="48">
    <w:name w:val="annotation reference"/>
    <w:qFormat/>
    <w:uiPriority w:val="0"/>
    <w:rPr>
      <w:sz w:val="21"/>
      <w:szCs w:val="21"/>
    </w:rPr>
  </w:style>
  <w:style w:type="character" w:styleId="49">
    <w:name w:val="HTML Cite"/>
    <w:basedOn w:val="38"/>
    <w:qFormat/>
    <w:uiPriority w:val="0"/>
  </w:style>
  <w:style w:type="character" w:styleId="50">
    <w:name w:val="HTML Keyboard"/>
    <w:basedOn w:val="38"/>
    <w:qFormat/>
    <w:uiPriority w:val="0"/>
    <w:rPr>
      <w:rFonts w:hint="default" w:ascii="monospace" w:hAnsi="monospace" w:eastAsia="monospace" w:cs="monospace"/>
      <w:sz w:val="20"/>
    </w:rPr>
  </w:style>
  <w:style w:type="character" w:styleId="51">
    <w:name w:val="HTML Sample"/>
    <w:basedOn w:val="38"/>
    <w:qFormat/>
    <w:uiPriority w:val="0"/>
    <w:rPr>
      <w:rFonts w:hint="default" w:ascii="monospace" w:hAnsi="monospace" w:eastAsia="monospace" w:cs="monospace"/>
    </w:rPr>
  </w:style>
  <w:style w:type="character" w:customStyle="1" w:styleId="52">
    <w:name w:val="标题 1 字符"/>
    <w:link w:val="3"/>
    <w:qFormat/>
    <w:uiPriority w:val="99"/>
    <w:rPr>
      <w:b/>
      <w:bCs/>
      <w:kern w:val="44"/>
      <w:sz w:val="44"/>
      <w:szCs w:val="44"/>
    </w:rPr>
  </w:style>
  <w:style w:type="character" w:customStyle="1" w:styleId="53">
    <w:name w:val="标题 2 字符"/>
    <w:link w:val="4"/>
    <w:qFormat/>
    <w:uiPriority w:val="99"/>
    <w:rPr>
      <w:rFonts w:ascii="Arial" w:hAnsi="Arial"/>
      <w:bCs/>
      <w:color w:val="000000"/>
      <w:kern w:val="2"/>
      <w:sz w:val="28"/>
      <w:szCs w:val="32"/>
      <w:lang w:val="pt-BR"/>
    </w:rPr>
  </w:style>
  <w:style w:type="character" w:customStyle="1" w:styleId="54">
    <w:name w:val="标题 3 字符"/>
    <w:link w:val="5"/>
    <w:qFormat/>
    <w:uiPriority w:val="99"/>
    <w:rPr>
      <w:rFonts w:ascii="Calibri" w:hAnsi="Calibri" w:eastAsia="宋体"/>
      <w:b/>
      <w:sz w:val="32"/>
    </w:rPr>
  </w:style>
  <w:style w:type="character" w:customStyle="1" w:styleId="55">
    <w:name w:val="标题 4 字符"/>
    <w:link w:val="6"/>
    <w:qFormat/>
    <w:uiPriority w:val="99"/>
    <w:rPr>
      <w:b/>
      <w:bCs/>
      <w:kern w:val="2"/>
      <w:sz w:val="28"/>
      <w:szCs w:val="28"/>
    </w:rPr>
  </w:style>
  <w:style w:type="character" w:customStyle="1" w:styleId="56">
    <w:name w:val="标题 5 字符"/>
    <w:link w:val="7"/>
    <w:qFormat/>
    <w:uiPriority w:val="99"/>
    <w:rPr>
      <w:b/>
      <w:sz w:val="28"/>
    </w:rPr>
  </w:style>
  <w:style w:type="character" w:customStyle="1" w:styleId="57">
    <w:name w:val="标题 6 字符"/>
    <w:link w:val="8"/>
    <w:qFormat/>
    <w:uiPriority w:val="9"/>
    <w:rPr>
      <w:rFonts w:ascii="Calibri Light" w:hAnsi="Calibri Light"/>
      <w:i/>
      <w:iCs/>
      <w:color w:val="1F4D78"/>
      <w:kern w:val="2"/>
      <w:sz w:val="21"/>
      <w:szCs w:val="22"/>
    </w:rPr>
  </w:style>
  <w:style w:type="character" w:customStyle="1" w:styleId="58">
    <w:name w:val="标题 7 字符"/>
    <w:link w:val="9"/>
    <w:qFormat/>
    <w:uiPriority w:val="9"/>
    <w:rPr>
      <w:rFonts w:ascii="Calibri Light" w:hAnsi="Calibri Light"/>
      <w:i/>
      <w:iCs/>
      <w:color w:val="404040"/>
      <w:kern w:val="2"/>
      <w:sz w:val="21"/>
      <w:szCs w:val="22"/>
    </w:rPr>
  </w:style>
  <w:style w:type="character" w:customStyle="1" w:styleId="59">
    <w:name w:val="标题 8 字符"/>
    <w:link w:val="10"/>
    <w:qFormat/>
    <w:uiPriority w:val="9"/>
    <w:rPr>
      <w:rFonts w:ascii="Calibri Light" w:hAnsi="Calibri Light"/>
      <w:color w:val="5B9BD5"/>
      <w:kern w:val="2"/>
    </w:rPr>
  </w:style>
  <w:style w:type="character" w:customStyle="1" w:styleId="60">
    <w:name w:val="标题 9 字符"/>
    <w:link w:val="11"/>
    <w:qFormat/>
    <w:uiPriority w:val="9"/>
    <w:rPr>
      <w:rFonts w:ascii="Calibri Light" w:hAnsi="Calibri Light"/>
      <w:i/>
      <w:iCs/>
      <w:color w:val="404040"/>
      <w:kern w:val="2"/>
    </w:rPr>
  </w:style>
  <w:style w:type="character" w:customStyle="1" w:styleId="61">
    <w:name w:val="文档结构图 字符"/>
    <w:link w:val="14"/>
    <w:qFormat/>
    <w:uiPriority w:val="99"/>
    <w:rPr>
      <w:rFonts w:ascii="Calibri" w:hAnsi="Calibri" w:eastAsia="宋体" w:cs="Times New Roman"/>
      <w:kern w:val="2"/>
      <w:sz w:val="21"/>
      <w:szCs w:val="24"/>
      <w:shd w:val="clear" w:color="auto" w:fill="000080"/>
    </w:rPr>
  </w:style>
  <w:style w:type="character" w:customStyle="1" w:styleId="62">
    <w:name w:val="批注文字 字符"/>
    <w:link w:val="15"/>
    <w:qFormat/>
    <w:uiPriority w:val="99"/>
    <w:rPr>
      <w:kern w:val="2"/>
      <w:sz w:val="21"/>
      <w:szCs w:val="24"/>
    </w:rPr>
  </w:style>
  <w:style w:type="character" w:customStyle="1" w:styleId="63">
    <w:name w:val="正文文本 字符"/>
    <w:link w:val="2"/>
    <w:qFormat/>
    <w:uiPriority w:val="99"/>
    <w:rPr>
      <w:kern w:val="2"/>
      <w:sz w:val="21"/>
      <w:szCs w:val="24"/>
    </w:rPr>
  </w:style>
  <w:style w:type="character" w:customStyle="1" w:styleId="64">
    <w:name w:val="正文文本缩进 字符"/>
    <w:link w:val="17"/>
    <w:qFormat/>
    <w:uiPriority w:val="99"/>
    <w:rPr>
      <w:kern w:val="2"/>
      <w:sz w:val="21"/>
      <w:szCs w:val="24"/>
    </w:rPr>
  </w:style>
  <w:style w:type="character" w:customStyle="1" w:styleId="65">
    <w:name w:val="纯文本 字符"/>
    <w:link w:val="22"/>
    <w:qFormat/>
    <w:uiPriority w:val="0"/>
    <w:rPr>
      <w:rFonts w:ascii="宋体" w:hAnsi="Courier New"/>
      <w:kern w:val="2"/>
      <w:sz w:val="21"/>
    </w:rPr>
  </w:style>
  <w:style w:type="character" w:customStyle="1" w:styleId="66">
    <w:name w:val="日期 字符"/>
    <w:link w:val="23"/>
    <w:qFormat/>
    <w:uiPriority w:val="99"/>
    <w:rPr>
      <w:kern w:val="2"/>
      <w:sz w:val="21"/>
      <w:szCs w:val="24"/>
    </w:rPr>
  </w:style>
  <w:style w:type="character" w:customStyle="1" w:styleId="67">
    <w:name w:val="正文文本缩进 2 字符"/>
    <w:link w:val="24"/>
    <w:qFormat/>
    <w:uiPriority w:val="99"/>
    <w:rPr>
      <w:rFonts w:ascii="Calibri" w:hAnsi="Calibri"/>
      <w:kern w:val="2"/>
      <w:sz w:val="21"/>
      <w:szCs w:val="22"/>
    </w:rPr>
  </w:style>
  <w:style w:type="character" w:customStyle="1" w:styleId="68">
    <w:name w:val="批注框文本 字符"/>
    <w:link w:val="25"/>
    <w:qFormat/>
    <w:uiPriority w:val="99"/>
    <w:rPr>
      <w:rFonts w:ascii="Calibri" w:hAnsi="Calibri" w:eastAsia="宋体" w:cs="Times New Roman"/>
      <w:kern w:val="2"/>
      <w:sz w:val="18"/>
      <w:szCs w:val="18"/>
    </w:rPr>
  </w:style>
  <w:style w:type="character" w:customStyle="1" w:styleId="69">
    <w:name w:val="页脚 字符"/>
    <w:link w:val="26"/>
    <w:qFormat/>
    <w:uiPriority w:val="99"/>
    <w:rPr>
      <w:kern w:val="2"/>
      <w:sz w:val="18"/>
      <w:szCs w:val="18"/>
    </w:rPr>
  </w:style>
  <w:style w:type="character" w:customStyle="1" w:styleId="70">
    <w:name w:val="页眉 字符"/>
    <w:link w:val="27"/>
    <w:qFormat/>
    <w:uiPriority w:val="99"/>
    <w:rPr>
      <w:kern w:val="2"/>
      <w:sz w:val="18"/>
      <w:szCs w:val="18"/>
    </w:rPr>
  </w:style>
  <w:style w:type="character" w:customStyle="1" w:styleId="71">
    <w:name w:val="副标题 字符"/>
    <w:link w:val="29"/>
    <w:qFormat/>
    <w:uiPriority w:val="11"/>
    <w:rPr>
      <w:rFonts w:ascii="Calibri Light" w:hAnsi="Calibri Light"/>
      <w:i/>
      <w:iCs/>
      <w:color w:val="5B9BD5"/>
      <w:spacing w:val="15"/>
      <w:kern w:val="2"/>
      <w:sz w:val="24"/>
      <w:szCs w:val="24"/>
    </w:rPr>
  </w:style>
  <w:style w:type="character" w:customStyle="1" w:styleId="72">
    <w:name w:val="脚注文本 字符"/>
    <w:link w:val="30"/>
    <w:qFormat/>
    <w:uiPriority w:val="99"/>
    <w:rPr>
      <w:rFonts w:ascii="Calibri" w:hAnsi="Calibri"/>
      <w:kern w:val="2"/>
      <w:sz w:val="18"/>
      <w:szCs w:val="22"/>
    </w:rPr>
  </w:style>
  <w:style w:type="character" w:customStyle="1" w:styleId="73">
    <w:name w:val="标题 字符"/>
    <w:link w:val="33"/>
    <w:qFormat/>
    <w:uiPriority w:val="99"/>
    <w:rPr>
      <w:rFonts w:ascii="Calibri Light" w:hAnsi="Calibri Light"/>
      <w:color w:val="323E4F"/>
      <w:spacing w:val="5"/>
      <w:kern w:val="2"/>
      <w:sz w:val="52"/>
      <w:szCs w:val="52"/>
    </w:rPr>
  </w:style>
  <w:style w:type="character" w:customStyle="1" w:styleId="74">
    <w:name w:val="批注主题 字符"/>
    <w:link w:val="34"/>
    <w:qFormat/>
    <w:uiPriority w:val="99"/>
    <w:rPr>
      <w:rFonts w:ascii="Calibri" w:hAnsi="Calibri" w:eastAsia="宋体" w:cs="Times New Roman"/>
      <w:b/>
      <w:bCs/>
      <w:kern w:val="2"/>
      <w:sz w:val="21"/>
      <w:szCs w:val="24"/>
    </w:rPr>
  </w:style>
  <w:style w:type="paragraph" w:customStyle="1" w:styleId="75">
    <w:name w:val="正文1"/>
    <w:qFormat/>
    <w:uiPriority w:val="0"/>
    <w:rPr>
      <w:rFonts w:ascii="Times New Roman" w:hAnsi="Times New Roman" w:eastAsia="Times New Roman" w:cs="Times New Roman"/>
      <w:sz w:val="24"/>
      <w:szCs w:val="24"/>
      <w:lang w:val="en-US" w:eastAsia="zh-CN" w:bidi="ar-SA"/>
    </w:rPr>
  </w:style>
  <w:style w:type="paragraph" w:customStyle="1" w:styleId="76">
    <w:name w:val="_Style 5"/>
    <w:qFormat/>
    <w:uiPriority w:val="1"/>
    <w:rPr>
      <w:rFonts w:ascii="Times New Roman" w:hAnsi="Times New Roman" w:eastAsia="宋体" w:cs="Times New Roman"/>
      <w:sz w:val="22"/>
      <w:szCs w:val="22"/>
      <w:lang w:val="en-US" w:eastAsia="zh-CN" w:bidi="ar-SA"/>
    </w:rPr>
  </w:style>
  <w:style w:type="paragraph" w:customStyle="1" w:styleId="77">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BodyText"/>
    <w:basedOn w:val="1"/>
    <w:next w:val="1"/>
    <w:qFormat/>
    <w:uiPriority w:val="0"/>
    <w:pPr>
      <w:spacing w:line="380" w:lineRule="exact"/>
      <w:textAlignment w:val="baseline"/>
    </w:pPr>
    <w:rPr>
      <w:sz w:val="24"/>
    </w:rPr>
  </w:style>
  <w:style w:type="paragraph" w:customStyle="1" w:styleId="79">
    <w:name w:val="Heading2"/>
    <w:basedOn w:val="1"/>
    <w:next w:val="1"/>
    <w:qFormat/>
    <w:uiPriority w:val="0"/>
    <w:pPr>
      <w:keepNext/>
      <w:keepLines/>
      <w:spacing w:before="260" w:after="260" w:line="416" w:lineRule="auto"/>
    </w:pPr>
    <w:rPr>
      <w:rFonts w:ascii="Arial" w:hAnsi="Arial" w:eastAsia="黑体"/>
      <w:b/>
      <w:bCs/>
      <w:kern w:val="0"/>
      <w:sz w:val="32"/>
      <w:szCs w:val="32"/>
    </w:rPr>
  </w:style>
  <w:style w:type="paragraph" w:customStyle="1" w:styleId="80">
    <w:name w:val="Default"/>
    <w:link w:val="8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81">
    <w:name w:val="Default Char"/>
    <w:link w:val="80"/>
    <w:qFormat/>
    <w:uiPriority w:val="0"/>
    <w:rPr>
      <w:color w:val="000000"/>
      <w:sz w:val="24"/>
      <w:szCs w:val="24"/>
      <w:lang w:bidi="ar-SA"/>
    </w:rPr>
  </w:style>
  <w:style w:type="paragraph" w:styleId="82">
    <w:name w:val="List Paragraph"/>
    <w:basedOn w:val="1"/>
    <w:qFormat/>
    <w:uiPriority w:val="99"/>
    <w:pPr>
      <w:ind w:firstLine="420" w:firstLineChars="200"/>
    </w:pPr>
  </w:style>
  <w:style w:type="paragraph" w:customStyle="1" w:styleId="83">
    <w:name w:val="正文格式"/>
    <w:basedOn w:val="1"/>
    <w:qFormat/>
    <w:uiPriority w:val="0"/>
    <w:pPr>
      <w:widowControl/>
      <w:adjustRightInd w:val="0"/>
      <w:snapToGrid w:val="0"/>
      <w:spacing w:line="400" w:lineRule="atLeast"/>
      <w:ind w:firstLine="482"/>
      <w:textAlignment w:val="baseline"/>
    </w:pPr>
    <w:rPr>
      <w:kern w:val="0"/>
      <w:sz w:val="24"/>
    </w:rPr>
  </w:style>
  <w:style w:type="paragraph" w:styleId="8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p0"/>
    <w:basedOn w:val="1"/>
    <w:qFormat/>
    <w:uiPriority w:val="0"/>
    <w:pPr>
      <w:widowControl/>
    </w:pPr>
    <w:rPr>
      <w:rFonts w:ascii="Calibri" w:hAnsi="Calibri" w:cs="宋体"/>
      <w:kern w:val="0"/>
      <w:szCs w:val="21"/>
    </w:rPr>
  </w:style>
  <w:style w:type="paragraph" w:customStyle="1" w:styleId="86">
    <w:name w:val="_Style 6"/>
    <w:basedOn w:val="3"/>
    <w:next w:val="1"/>
    <w:qFormat/>
    <w:uiPriority w:val="0"/>
    <w:pPr>
      <w:outlineLvl w:val="9"/>
    </w:pPr>
  </w:style>
  <w:style w:type="character" w:customStyle="1" w:styleId="87">
    <w:name w:val="NormalCharacter"/>
    <w:semiHidden/>
    <w:qFormat/>
    <w:uiPriority w:val="0"/>
  </w:style>
  <w:style w:type="paragraph" w:customStyle="1" w:styleId="88">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89">
    <w:name w:val="正文呀2"/>
    <w:basedOn w:val="90"/>
    <w:link w:val="92"/>
    <w:qFormat/>
    <w:uiPriority w:val="0"/>
    <w:rPr>
      <w:rFonts w:ascii="Times New Roman" w:hAnsi="Times New Roman"/>
    </w:rPr>
  </w:style>
  <w:style w:type="paragraph" w:customStyle="1" w:styleId="90">
    <w:name w:val="正文呀"/>
    <w:basedOn w:val="1"/>
    <w:link w:val="91"/>
    <w:qFormat/>
    <w:uiPriority w:val="0"/>
    <w:pPr>
      <w:spacing w:line="420" w:lineRule="exact"/>
      <w:ind w:firstLine="420" w:firstLineChars="200"/>
    </w:pPr>
    <w:rPr>
      <w:rFonts w:ascii="宋体" w:hAnsi="宋体"/>
    </w:rPr>
  </w:style>
  <w:style w:type="character" w:customStyle="1" w:styleId="91">
    <w:name w:val="正文呀 Char"/>
    <w:link w:val="90"/>
    <w:qFormat/>
    <w:uiPriority w:val="0"/>
    <w:rPr>
      <w:rFonts w:ascii="宋体" w:hAnsi="宋体"/>
      <w:kern w:val="2"/>
      <w:sz w:val="21"/>
      <w:szCs w:val="24"/>
    </w:rPr>
  </w:style>
  <w:style w:type="character" w:customStyle="1" w:styleId="92">
    <w:name w:val="正文呀2 Char"/>
    <w:link w:val="89"/>
    <w:qFormat/>
    <w:uiPriority w:val="0"/>
    <w:rPr>
      <w:kern w:val="2"/>
      <w:sz w:val="21"/>
      <w:szCs w:val="24"/>
    </w:rPr>
  </w:style>
  <w:style w:type="paragraph" w:customStyle="1" w:styleId="93">
    <w:name w:val="Body text|1"/>
    <w:basedOn w:val="1"/>
    <w:qFormat/>
    <w:uiPriority w:val="0"/>
    <w:pPr>
      <w:spacing w:line="350" w:lineRule="auto"/>
      <w:ind w:firstLine="400"/>
      <w:jc w:val="left"/>
    </w:pPr>
    <w:rPr>
      <w:rFonts w:ascii="宋体" w:hAnsi="宋体" w:cs="宋体"/>
      <w:kern w:val="0"/>
      <w:sz w:val="30"/>
      <w:szCs w:val="30"/>
    </w:rPr>
  </w:style>
  <w:style w:type="paragraph" w:customStyle="1" w:styleId="94">
    <w:name w:val="正文小标题_0"/>
    <w:basedOn w:val="95"/>
    <w:qFormat/>
    <w:uiPriority w:val="0"/>
    <w:pPr>
      <w:keepNext/>
      <w:keepLines/>
      <w:spacing w:line="420" w:lineRule="exact"/>
      <w:outlineLvl w:val="0"/>
    </w:pPr>
    <w:rPr>
      <w:rFonts w:hAnsi="宋体"/>
      <w:kern w:val="44"/>
      <w:szCs w:val="21"/>
    </w:rPr>
  </w:style>
  <w:style w:type="paragraph" w:customStyle="1" w:styleId="95">
    <w:name w:val="标题 1_0"/>
    <w:basedOn w:val="96"/>
    <w:next w:val="96"/>
    <w:link w:val="99"/>
    <w:qFormat/>
    <w:uiPriority w:val="99"/>
    <w:pPr>
      <w:keepNext/>
      <w:keepLines/>
      <w:spacing w:line="360" w:lineRule="auto"/>
      <w:outlineLvl w:val="0"/>
    </w:pPr>
    <w:rPr>
      <w:rFonts w:eastAsia="黑体"/>
      <w:b/>
      <w:bCs/>
      <w:kern w:val="44"/>
      <w:sz w:val="32"/>
      <w:szCs w:val="44"/>
    </w:rPr>
  </w:style>
  <w:style w:type="paragraph" w:customStyle="1" w:styleId="96">
    <w:name w:val="正文_0"/>
    <w:next w:val="9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正文文本_0"/>
    <w:basedOn w:val="96"/>
    <w:link w:val="98"/>
    <w:unhideWhenUsed/>
    <w:qFormat/>
    <w:uiPriority w:val="99"/>
    <w:pPr>
      <w:adjustRightInd w:val="0"/>
      <w:spacing w:after="60" w:line="360" w:lineRule="atLeast"/>
      <w:ind w:left="72" w:leftChars="30" w:right="30" w:rightChars="30"/>
      <w:jc w:val="center"/>
    </w:pPr>
    <w:rPr>
      <w:rFonts w:ascii="Calibri" w:hAnsi="Calibri"/>
      <w:kern w:val="0"/>
      <w:sz w:val="20"/>
      <w:szCs w:val="20"/>
      <w:lang w:val="zh-CN"/>
    </w:rPr>
  </w:style>
  <w:style w:type="character" w:customStyle="1" w:styleId="98">
    <w:name w:val="正文文本 Char_0"/>
    <w:link w:val="97"/>
    <w:qFormat/>
    <w:uiPriority w:val="99"/>
    <w:rPr>
      <w:rFonts w:ascii="Calibri" w:hAnsi="Calibri"/>
      <w:lang w:val="zh-CN"/>
    </w:rPr>
  </w:style>
  <w:style w:type="character" w:customStyle="1" w:styleId="99">
    <w:name w:val="标题 1 Char_0"/>
    <w:link w:val="95"/>
    <w:qFormat/>
    <w:uiPriority w:val="99"/>
    <w:rPr>
      <w:rFonts w:eastAsia="黑体"/>
      <w:b/>
      <w:bCs/>
      <w:kern w:val="44"/>
      <w:sz w:val="32"/>
      <w:szCs w:val="44"/>
    </w:rPr>
  </w:style>
  <w:style w:type="paragraph" w:customStyle="1" w:styleId="100">
    <w:name w:val="正文_1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01">
    <w:name w:val="正文呀2_0"/>
    <w:basedOn w:val="102"/>
    <w:qFormat/>
    <w:uiPriority w:val="0"/>
    <w:pPr>
      <w:spacing w:line="420" w:lineRule="exact"/>
      <w:ind w:firstLine="420" w:firstLineChars="200"/>
    </w:pPr>
    <w:rPr>
      <w:szCs w:val="21"/>
    </w:rPr>
  </w:style>
  <w:style w:type="paragraph" w:customStyle="1" w:styleId="102">
    <w:name w:val="正文呀_0"/>
    <w:basedOn w:val="100"/>
    <w:qFormat/>
    <w:uiPriority w:val="0"/>
    <w:pPr>
      <w:spacing w:line="420" w:lineRule="exact"/>
      <w:ind w:firstLine="420" w:firstLineChars="200"/>
    </w:pPr>
    <w:rPr>
      <w:rFonts w:ascii="宋体" w:hAnsi="宋体"/>
      <w:szCs w:val="21"/>
    </w:rPr>
  </w:style>
  <w:style w:type="character" w:customStyle="1" w:styleId="103">
    <w:name w:val="Comment Text Char"/>
    <w:qFormat/>
    <w:uiPriority w:val="99"/>
    <w:rPr>
      <w:rFonts w:cs="Times New Roman"/>
      <w:sz w:val="24"/>
      <w:szCs w:val="24"/>
    </w:rPr>
  </w:style>
  <w:style w:type="character" w:customStyle="1" w:styleId="104">
    <w:name w:val="标题 Char4"/>
    <w:qFormat/>
    <w:uiPriority w:val="10"/>
    <w:rPr>
      <w:rFonts w:hint="default" w:ascii="Cambria" w:hAnsi="Cambria" w:eastAsia="宋体" w:cs="Times New Roman"/>
      <w:b/>
      <w:bCs/>
      <w:kern w:val="2"/>
      <w:sz w:val="32"/>
      <w:szCs w:val="32"/>
    </w:rPr>
  </w:style>
  <w:style w:type="character" w:customStyle="1" w:styleId="105">
    <w:name w:val="批注文字 Char3"/>
    <w:semiHidden/>
    <w:qFormat/>
    <w:locked/>
    <w:uiPriority w:val="99"/>
    <w:rPr>
      <w:rFonts w:ascii="Times New Roman" w:hAnsi="Times New Roman" w:eastAsia="宋体"/>
      <w:szCs w:val="21"/>
    </w:rPr>
  </w:style>
  <w:style w:type="character" w:customStyle="1" w:styleId="106">
    <w:name w:val="引用 字符"/>
    <w:link w:val="107"/>
    <w:qFormat/>
    <w:uiPriority w:val="99"/>
    <w:rPr>
      <w:i/>
      <w:iCs/>
      <w:color w:val="000000"/>
    </w:rPr>
  </w:style>
  <w:style w:type="paragraph" w:styleId="107">
    <w:name w:val="Quote"/>
    <w:basedOn w:val="1"/>
    <w:next w:val="1"/>
    <w:link w:val="106"/>
    <w:qFormat/>
    <w:uiPriority w:val="99"/>
    <w:rPr>
      <w:i/>
      <w:iCs/>
      <w:color w:val="000000"/>
      <w:kern w:val="0"/>
      <w:sz w:val="20"/>
      <w:szCs w:val="20"/>
    </w:rPr>
  </w:style>
  <w:style w:type="character" w:customStyle="1" w:styleId="108">
    <w:name w:val="引用 字符1"/>
    <w:qFormat/>
    <w:uiPriority w:val="99"/>
    <w:rPr>
      <w:i/>
      <w:iCs/>
      <w:color w:val="404040"/>
      <w:kern w:val="2"/>
      <w:sz w:val="21"/>
      <w:szCs w:val="24"/>
    </w:rPr>
  </w:style>
  <w:style w:type="character" w:customStyle="1" w:styleId="109">
    <w:name w:val="引用 Char1"/>
    <w:qFormat/>
    <w:uiPriority w:val="99"/>
    <w:rPr>
      <w:rFonts w:ascii="Calibri" w:hAnsi="Calibri" w:eastAsia="宋体" w:cs="Times New Roman"/>
      <w:i/>
      <w:iCs/>
      <w:color w:val="404040"/>
    </w:rPr>
  </w:style>
  <w:style w:type="character" w:customStyle="1" w:styleId="110">
    <w:name w:val="Char Char18"/>
    <w:qFormat/>
    <w:uiPriority w:val="99"/>
    <w:rPr>
      <w:rFonts w:hint="default" w:ascii="Times New Roman" w:hAnsi="Times New Roman" w:eastAsia="宋体" w:cs="Times New Roman"/>
      <w:b/>
      <w:bCs/>
      <w:sz w:val="28"/>
      <w:szCs w:val="28"/>
    </w:rPr>
  </w:style>
  <w:style w:type="paragraph" w:customStyle="1" w:styleId="111">
    <w:name w:val="_Style 34"/>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12">
    <w:name w:val="Char Char6_0"/>
    <w:qFormat/>
    <w:uiPriority w:val="0"/>
    <w:rPr>
      <w:rFonts w:ascii="Arial" w:hAnsi="Arial" w:eastAsia="宋体"/>
      <w:b/>
      <w:bCs/>
      <w:kern w:val="2"/>
      <w:sz w:val="21"/>
      <w:szCs w:val="28"/>
      <w:lang w:val="en-US" w:eastAsia="zh-CN" w:bidi="ar-SA"/>
    </w:rPr>
  </w:style>
  <w:style w:type="character" w:customStyle="1" w:styleId="113">
    <w:name w:val="Char Char3"/>
    <w:qFormat/>
    <w:uiPriority w:val="0"/>
    <w:rPr>
      <w:rFonts w:eastAsia="宋体"/>
      <w:kern w:val="2"/>
      <w:sz w:val="21"/>
      <w:szCs w:val="24"/>
      <w:lang w:val="en-US" w:eastAsia="zh-CN" w:bidi="ar-SA"/>
    </w:rPr>
  </w:style>
  <w:style w:type="character" w:customStyle="1" w:styleId="114">
    <w:name w:val="批注文字 Char2"/>
    <w:qFormat/>
    <w:locked/>
    <w:uiPriority w:val="99"/>
    <w:rPr>
      <w:rFonts w:hint="eastAsia" w:ascii="宋体" w:hAnsi="宋体" w:eastAsia="宋体"/>
      <w:kern w:val="2"/>
      <w:sz w:val="24"/>
      <w:szCs w:val="24"/>
      <w:lang w:val="en-US" w:eastAsia="zh-CN"/>
    </w:rPr>
  </w:style>
  <w:style w:type="character" w:customStyle="1" w:styleId="115">
    <w:name w:val="批注主题 Char1"/>
    <w:qFormat/>
    <w:uiPriority w:val="99"/>
    <w:rPr>
      <w:b/>
      <w:bCs/>
      <w:kern w:val="2"/>
      <w:sz w:val="21"/>
      <w:szCs w:val="22"/>
    </w:rPr>
  </w:style>
  <w:style w:type="character" w:customStyle="1" w:styleId="116">
    <w:name w:val="页眉 Char2"/>
    <w:semiHidden/>
    <w:qFormat/>
    <w:uiPriority w:val="99"/>
    <w:rPr>
      <w:rFonts w:hint="default" w:ascii="Times New Roman" w:hAnsi="Times New Roman" w:eastAsia="宋体" w:cs="Times New Roman"/>
      <w:kern w:val="2"/>
      <w:sz w:val="18"/>
      <w:szCs w:val="18"/>
    </w:rPr>
  </w:style>
  <w:style w:type="character" w:customStyle="1" w:styleId="117">
    <w:name w:val="Heading 5 Char"/>
    <w:qFormat/>
    <w:uiPriority w:val="99"/>
    <w:rPr>
      <w:rFonts w:hint="eastAsia" w:ascii="宋体" w:hAnsi="宋体" w:eastAsia="宋体"/>
      <w:b/>
      <w:bCs/>
      <w:kern w:val="2"/>
      <w:sz w:val="28"/>
      <w:szCs w:val="28"/>
      <w:lang w:val="en-US" w:eastAsia="zh-CN"/>
    </w:rPr>
  </w:style>
  <w:style w:type="character" w:customStyle="1" w:styleId="118">
    <w:name w:val="文档结构图 Char2"/>
    <w:semiHidden/>
    <w:qFormat/>
    <w:uiPriority w:val="99"/>
    <w:rPr>
      <w:rFonts w:hint="eastAsia" w:ascii="宋体" w:hAnsi="宋体" w:eastAsia="宋体"/>
      <w:sz w:val="18"/>
      <w:szCs w:val="18"/>
    </w:rPr>
  </w:style>
  <w:style w:type="character" w:customStyle="1" w:styleId="119">
    <w:name w:val="Char Char24"/>
    <w:qFormat/>
    <w:uiPriority w:val="99"/>
    <w:rPr>
      <w:rFonts w:hint="eastAsia" w:ascii="宋体" w:hAnsi="宋体" w:eastAsia="宋体"/>
      <w:b/>
      <w:bCs/>
      <w:kern w:val="44"/>
      <w:sz w:val="44"/>
      <w:szCs w:val="44"/>
      <w:lang w:val="en-US" w:eastAsia="zh-CN"/>
    </w:rPr>
  </w:style>
  <w:style w:type="character" w:customStyle="1" w:styleId="120">
    <w:name w:val="页脚 Char1"/>
    <w:semiHidden/>
    <w:qFormat/>
    <w:uiPriority w:val="99"/>
    <w:rPr>
      <w:sz w:val="18"/>
      <w:szCs w:val="18"/>
    </w:rPr>
  </w:style>
  <w:style w:type="character" w:customStyle="1" w:styleId="121">
    <w:name w:val="日期 Char1"/>
    <w:qFormat/>
    <w:uiPriority w:val="99"/>
    <w:rPr>
      <w:rFonts w:ascii="Calibri" w:hAnsi="Calibri" w:eastAsia="宋体" w:cs="Times New Roman"/>
    </w:rPr>
  </w:style>
  <w:style w:type="character" w:customStyle="1" w:styleId="122">
    <w:name w:val="Title Char"/>
    <w:qFormat/>
    <w:uiPriority w:val="99"/>
    <w:rPr>
      <w:rFonts w:hint="default" w:ascii="Cambria" w:hAnsi="Cambria" w:cs="Cambria"/>
      <w:b/>
      <w:bCs/>
      <w:sz w:val="32"/>
      <w:szCs w:val="32"/>
    </w:rPr>
  </w:style>
  <w:style w:type="character" w:customStyle="1" w:styleId="123">
    <w:name w:val="Char Char19"/>
    <w:qFormat/>
    <w:uiPriority w:val="99"/>
    <w:rPr>
      <w:rFonts w:hint="default" w:ascii="Arial" w:hAnsi="Arial" w:eastAsia="宋体" w:cs="Arial"/>
      <w:b/>
      <w:bCs/>
      <w:sz w:val="28"/>
      <w:szCs w:val="28"/>
    </w:rPr>
  </w:style>
  <w:style w:type="character" w:customStyle="1" w:styleId="124">
    <w:name w:val="正文文本缩进 2 Char1"/>
    <w:semiHidden/>
    <w:qFormat/>
    <w:uiPriority w:val="99"/>
    <w:rPr>
      <w:rFonts w:hint="default" w:ascii="Times New Roman" w:hAnsi="Times New Roman" w:eastAsia="宋体" w:cs="Times New Roman"/>
      <w:szCs w:val="21"/>
    </w:rPr>
  </w:style>
  <w:style w:type="character" w:customStyle="1" w:styleId="125">
    <w:name w:val="Char Char1_0"/>
    <w:qFormat/>
    <w:uiPriority w:val="0"/>
    <w:rPr>
      <w:kern w:val="2"/>
      <w:sz w:val="18"/>
      <w:szCs w:val="18"/>
      <w:lang w:bidi="ar-SA"/>
    </w:rPr>
  </w:style>
  <w:style w:type="character" w:customStyle="1" w:styleId="126">
    <w:name w:val="Char Char1"/>
    <w:qFormat/>
    <w:uiPriority w:val="0"/>
    <w:rPr>
      <w:kern w:val="2"/>
      <w:sz w:val="18"/>
      <w:szCs w:val="18"/>
      <w:lang w:bidi="ar-SA"/>
    </w:rPr>
  </w:style>
  <w:style w:type="character" w:customStyle="1" w:styleId="127">
    <w:name w:val="Char Char5_0"/>
    <w:qFormat/>
    <w:uiPriority w:val="0"/>
    <w:rPr>
      <w:rFonts w:hint="eastAsia" w:ascii="宋体" w:hAnsi="宋体" w:eastAsia="宋体"/>
      <w:b/>
      <w:bCs/>
      <w:kern w:val="2"/>
      <w:sz w:val="28"/>
      <w:szCs w:val="28"/>
      <w:lang w:val="en-US" w:eastAsia="zh-CN" w:bidi="ar-SA"/>
    </w:rPr>
  </w:style>
  <w:style w:type="character" w:customStyle="1" w:styleId="128">
    <w:name w:val="标题 Char1"/>
    <w:qFormat/>
    <w:uiPriority w:val="99"/>
    <w:rPr>
      <w:rFonts w:hint="default" w:ascii="Cambria" w:hAnsi="Cambria" w:eastAsia="宋体" w:cs="Times New Roman"/>
      <w:b/>
      <w:bCs/>
      <w:sz w:val="32"/>
      <w:szCs w:val="32"/>
    </w:rPr>
  </w:style>
  <w:style w:type="character" w:customStyle="1" w:styleId="129">
    <w:name w:val="Char Char3_0"/>
    <w:qFormat/>
    <w:uiPriority w:val="0"/>
    <w:rPr>
      <w:rFonts w:hint="eastAsia" w:ascii="宋体" w:hAnsi="宋体" w:eastAsia="宋体"/>
      <w:kern w:val="2"/>
      <w:sz w:val="21"/>
      <w:szCs w:val="24"/>
      <w:lang w:val="en-US" w:eastAsia="zh-CN" w:bidi="ar-SA"/>
    </w:rPr>
  </w:style>
  <w:style w:type="character" w:customStyle="1" w:styleId="130">
    <w:name w:val="Heading 3 Char"/>
    <w:qFormat/>
    <w:uiPriority w:val="99"/>
    <w:rPr>
      <w:rFonts w:cs="Times New Roman"/>
      <w:b/>
      <w:bCs/>
      <w:kern w:val="2"/>
      <w:sz w:val="32"/>
      <w:szCs w:val="32"/>
    </w:rPr>
  </w:style>
  <w:style w:type="character" w:customStyle="1" w:styleId="131">
    <w:name w:val="15"/>
    <w:qFormat/>
    <w:uiPriority w:val="0"/>
    <w:rPr>
      <w:rFonts w:hint="default" w:ascii="Times New Roman" w:hAnsi="Times New Roman" w:cs="Times New Roman"/>
      <w:color w:val="0000FF"/>
      <w:u w:val="single"/>
    </w:rPr>
  </w:style>
  <w:style w:type="character" w:customStyle="1" w:styleId="132">
    <w:name w:val="Heading 1 Char"/>
    <w:qFormat/>
    <w:uiPriority w:val="99"/>
    <w:rPr>
      <w:rFonts w:hint="eastAsia" w:ascii="宋体" w:hAnsi="宋体" w:eastAsia="宋体"/>
      <w:b/>
      <w:bCs/>
      <w:kern w:val="44"/>
      <w:sz w:val="44"/>
      <w:szCs w:val="44"/>
      <w:lang w:val="en-US" w:eastAsia="zh-CN"/>
    </w:rPr>
  </w:style>
  <w:style w:type="character" w:customStyle="1" w:styleId="133">
    <w:name w:val="Char Char8"/>
    <w:qFormat/>
    <w:uiPriority w:val="0"/>
    <w:rPr>
      <w:rFonts w:eastAsia="宋体"/>
      <w:b/>
      <w:bCs/>
      <w:kern w:val="44"/>
      <w:sz w:val="32"/>
      <w:szCs w:val="44"/>
      <w:lang w:val="en-US" w:eastAsia="zh-CN" w:bidi="ar-SA"/>
    </w:rPr>
  </w:style>
  <w:style w:type="character" w:customStyle="1" w:styleId="134">
    <w:name w:val="Heading 4 Char"/>
    <w:qFormat/>
    <w:uiPriority w:val="99"/>
    <w:rPr>
      <w:rFonts w:hint="default" w:ascii="Arial" w:hAnsi="Arial" w:eastAsia="宋体" w:cs="Arial"/>
      <w:b/>
      <w:bCs/>
      <w:kern w:val="2"/>
      <w:sz w:val="28"/>
      <w:szCs w:val="28"/>
      <w:lang w:val="en-US" w:eastAsia="zh-CN"/>
    </w:rPr>
  </w:style>
  <w:style w:type="character" w:customStyle="1" w:styleId="135">
    <w:name w:val="Date Char"/>
    <w:qFormat/>
    <w:uiPriority w:val="99"/>
    <w:rPr>
      <w:rFonts w:hint="eastAsia" w:ascii="宋体" w:hAnsi="宋体" w:eastAsia="宋体"/>
      <w:kern w:val="2"/>
      <w:sz w:val="24"/>
      <w:szCs w:val="24"/>
      <w:lang w:val="en-US" w:eastAsia="zh-CN"/>
    </w:rPr>
  </w:style>
  <w:style w:type="character" w:customStyle="1" w:styleId="136">
    <w:name w:val="Heading 2 Char"/>
    <w:qFormat/>
    <w:uiPriority w:val="99"/>
    <w:rPr>
      <w:rFonts w:hint="default" w:ascii="Arial" w:hAnsi="Arial" w:eastAsia="黑体" w:cs="Arial"/>
      <w:b/>
      <w:bCs/>
      <w:kern w:val="2"/>
      <w:sz w:val="32"/>
      <w:szCs w:val="32"/>
      <w:lang w:val="en-US" w:eastAsia="zh-CN"/>
    </w:rPr>
  </w:style>
  <w:style w:type="character" w:customStyle="1" w:styleId="137">
    <w:name w:val="纯文本 Char_0"/>
    <w:link w:val="138"/>
    <w:qFormat/>
    <w:uiPriority w:val="0"/>
    <w:rPr>
      <w:rFonts w:ascii="宋体" w:hAnsi="Courier New"/>
      <w:szCs w:val="24"/>
    </w:rPr>
  </w:style>
  <w:style w:type="paragraph" w:customStyle="1" w:styleId="138">
    <w:name w:val="纯文本_0"/>
    <w:basedOn w:val="96"/>
    <w:link w:val="137"/>
    <w:unhideWhenUsed/>
    <w:qFormat/>
    <w:uiPriority w:val="0"/>
    <w:rPr>
      <w:rFonts w:ascii="宋体" w:hAnsi="Courier New"/>
      <w:kern w:val="0"/>
      <w:sz w:val="20"/>
      <w:szCs w:val="24"/>
    </w:rPr>
  </w:style>
  <w:style w:type="character" w:customStyle="1" w:styleId="139">
    <w:name w:val="纯文本 Char1"/>
    <w:qFormat/>
    <w:uiPriority w:val="99"/>
    <w:rPr>
      <w:rFonts w:ascii="宋体" w:hAnsi="Courier New" w:eastAsia="宋体" w:cs="Courier New"/>
      <w:szCs w:val="21"/>
    </w:rPr>
  </w:style>
  <w:style w:type="character" w:customStyle="1" w:styleId="140">
    <w:name w:val="批注文字 Char1"/>
    <w:qFormat/>
    <w:uiPriority w:val="99"/>
    <w:rPr>
      <w:rFonts w:ascii="Calibri" w:hAnsi="Calibri" w:eastAsia="宋体" w:cs="Times New Roman"/>
    </w:rPr>
  </w:style>
  <w:style w:type="character" w:customStyle="1" w:styleId="141">
    <w:name w:val="脚注文本 Char2"/>
    <w:semiHidden/>
    <w:qFormat/>
    <w:uiPriority w:val="99"/>
    <w:rPr>
      <w:rFonts w:hint="default" w:ascii="Times New Roman" w:hAnsi="Times New Roman" w:eastAsia="宋体" w:cs="Times New Roman"/>
      <w:kern w:val="2"/>
      <w:sz w:val="18"/>
      <w:szCs w:val="18"/>
    </w:rPr>
  </w:style>
  <w:style w:type="character" w:customStyle="1" w:styleId="142">
    <w:name w:val="不明显强调1"/>
    <w:qFormat/>
    <w:uiPriority w:val="99"/>
    <w:rPr>
      <w:i/>
      <w:iCs/>
      <w:color w:val="808080"/>
    </w:rPr>
  </w:style>
  <w:style w:type="character" w:customStyle="1" w:styleId="143">
    <w:name w:val="文档结构图 Char3"/>
    <w:semiHidden/>
    <w:qFormat/>
    <w:uiPriority w:val="99"/>
    <w:rPr>
      <w:rFonts w:hint="eastAsia" w:ascii="宋体" w:hAnsi="Times New Roman" w:eastAsia="宋体"/>
      <w:kern w:val="2"/>
      <w:sz w:val="18"/>
      <w:szCs w:val="18"/>
    </w:rPr>
  </w:style>
  <w:style w:type="character" w:customStyle="1" w:styleId="144">
    <w:name w:val="明显引用 Char1"/>
    <w:qFormat/>
    <w:uiPriority w:val="99"/>
    <w:rPr>
      <w:i/>
      <w:iCs/>
      <w:color w:val="5B9BD5"/>
      <w:kern w:val="2"/>
      <w:sz w:val="21"/>
      <w:szCs w:val="24"/>
    </w:rPr>
  </w:style>
  <w:style w:type="character" w:customStyle="1" w:styleId="145">
    <w:name w:val="Header Char"/>
    <w:qFormat/>
    <w:uiPriority w:val="99"/>
    <w:rPr>
      <w:rFonts w:hint="eastAsia" w:ascii="宋体" w:hAnsi="宋体" w:eastAsia="宋体"/>
      <w:kern w:val="2"/>
      <w:sz w:val="18"/>
      <w:szCs w:val="18"/>
      <w:lang w:val="en-US" w:eastAsia="zh-CN"/>
    </w:rPr>
  </w:style>
  <w:style w:type="character" w:customStyle="1" w:styleId="146">
    <w:name w:val="Char Char4_0"/>
    <w:qFormat/>
    <w:uiPriority w:val="0"/>
    <w:rPr>
      <w:b/>
      <w:bCs/>
      <w:kern w:val="2"/>
      <w:sz w:val="21"/>
      <w:szCs w:val="24"/>
      <w:lang w:bidi="ar-SA"/>
    </w:rPr>
  </w:style>
  <w:style w:type="character" w:customStyle="1" w:styleId="147">
    <w:name w:val="Heading 3 Char1"/>
    <w:qFormat/>
    <w:uiPriority w:val="99"/>
    <w:rPr>
      <w:rFonts w:hint="eastAsia" w:ascii="宋体" w:hAnsi="宋体" w:eastAsia="宋体"/>
      <w:b/>
      <w:bCs/>
      <w:kern w:val="2"/>
      <w:sz w:val="32"/>
      <w:szCs w:val="32"/>
      <w:lang w:val="en-US" w:eastAsia="zh-CN"/>
    </w:rPr>
  </w:style>
  <w:style w:type="character" w:customStyle="1" w:styleId="148">
    <w:name w:val="Char Char21"/>
    <w:qFormat/>
    <w:uiPriority w:val="99"/>
    <w:rPr>
      <w:rFonts w:hint="default" w:ascii="Arial" w:hAnsi="Arial" w:eastAsia="黑体" w:cs="Arial"/>
      <w:b/>
      <w:bCs/>
      <w:sz w:val="32"/>
      <w:szCs w:val="32"/>
    </w:rPr>
  </w:style>
  <w:style w:type="character" w:customStyle="1" w:styleId="149">
    <w:name w:val="批注框文本 Char3"/>
    <w:semiHidden/>
    <w:qFormat/>
    <w:uiPriority w:val="99"/>
    <w:rPr>
      <w:rFonts w:hint="default" w:ascii="Times New Roman" w:hAnsi="Times New Roman" w:eastAsia="宋体" w:cs="Times New Roman"/>
      <w:kern w:val="2"/>
      <w:sz w:val="18"/>
      <w:szCs w:val="18"/>
    </w:rPr>
  </w:style>
  <w:style w:type="character" w:customStyle="1" w:styleId="150">
    <w:name w:val="标题 Char2"/>
    <w:qFormat/>
    <w:uiPriority w:val="99"/>
    <w:rPr>
      <w:rFonts w:hint="default" w:ascii="Cambria" w:hAnsi="Cambria" w:eastAsia="宋体" w:cs="Cambria"/>
      <w:b/>
      <w:bCs/>
      <w:sz w:val="32"/>
      <w:szCs w:val="32"/>
    </w:rPr>
  </w:style>
  <w:style w:type="character" w:customStyle="1" w:styleId="151">
    <w:name w:val="脚注文本 Char1"/>
    <w:semiHidden/>
    <w:qFormat/>
    <w:uiPriority w:val="99"/>
    <w:rPr>
      <w:rFonts w:hint="default" w:ascii="Times New Roman" w:hAnsi="Times New Roman" w:eastAsia="宋体" w:cs="Times New Roman"/>
      <w:sz w:val="18"/>
      <w:szCs w:val="18"/>
    </w:rPr>
  </w:style>
  <w:style w:type="character" w:customStyle="1" w:styleId="152">
    <w:name w:val="Char Char22"/>
    <w:qFormat/>
    <w:uiPriority w:val="99"/>
    <w:rPr>
      <w:rFonts w:hint="default" w:ascii="Times New Roman" w:hAnsi="Times New Roman" w:eastAsia="宋体" w:cs="Times New Roman"/>
      <w:b/>
      <w:bCs/>
      <w:kern w:val="44"/>
      <w:sz w:val="44"/>
      <w:szCs w:val="44"/>
    </w:rPr>
  </w:style>
  <w:style w:type="character" w:customStyle="1" w:styleId="153">
    <w:name w:val="Comment Text Char1"/>
    <w:qFormat/>
    <w:uiPriority w:val="99"/>
    <w:rPr>
      <w:sz w:val="24"/>
      <w:szCs w:val="24"/>
    </w:rPr>
  </w:style>
  <w:style w:type="character" w:customStyle="1" w:styleId="154">
    <w:name w:val="标题 1 Char_1"/>
    <w:link w:val="155"/>
    <w:qFormat/>
    <w:uiPriority w:val="99"/>
    <w:rPr>
      <w:rFonts w:eastAsia="黑体"/>
      <w:b/>
      <w:bCs/>
      <w:kern w:val="44"/>
      <w:sz w:val="44"/>
      <w:szCs w:val="44"/>
      <w:lang w:val="zh-CN"/>
    </w:rPr>
  </w:style>
  <w:style w:type="paragraph" w:customStyle="1" w:styleId="155">
    <w:name w:val="标题 1_1"/>
    <w:basedOn w:val="156"/>
    <w:next w:val="156"/>
    <w:link w:val="154"/>
    <w:qFormat/>
    <w:uiPriority w:val="99"/>
    <w:pPr>
      <w:keepNext/>
      <w:keepLines/>
      <w:spacing w:line="360" w:lineRule="auto"/>
      <w:outlineLvl w:val="0"/>
    </w:pPr>
    <w:rPr>
      <w:rFonts w:eastAsia="黑体"/>
      <w:b/>
      <w:bCs/>
      <w:kern w:val="44"/>
      <w:sz w:val="44"/>
      <w:szCs w:val="44"/>
      <w:lang w:val="zh-CN"/>
    </w:rPr>
  </w:style>
  <w:style w:type="paragraph" w:customStyle="1" w:styleId="156">
    <w:name w:val="正文_3"/>
    <w:next w:val="15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57">
    <w:name w:val="正文文本_1"/>
    <w:basedOn w:val="156"/>
    <w:link w:val="158"/>
    <w:qFormat/>
    <w:uiPriority w:val="99"/>
    <w:pPr>
      <w:adjustRightInd w:val="0"/>
      <w:spacing w:after="60" w:line="360" w:lineRule="atLeast"/>
      <w:ind w:left="72" w:leftChars="30" w:right="30" w:rightChars="30"/>
      <w:jc w:val="center"/>
      <w:textAlignment w:val="baseline"/>
    </w:pPr>
    <w:rPr>
      <w:rFonts w:ascii="Calibri" w:hAnsi="Calibri"/>
      <w:kern w:val="0"/>
      <w:sz w:val="22"/>
      <w:szCs w:val="20"/>
      <w:lang w:val="zh-CN"/>
    </w:rPr>
  </w:style>
  <w:style w:type="character" w:customStyle="1" w:styleId="158">
    <w:name w:val="正文文本 Char_1"/>
    <w:link w:val="157"/>
    <w:qFormat/>
    <w:locked/>
    <w:uiPriority w:val="99"/>
    <w:rPr>
      <w:rFonts w:ascii="Calibri" w:hAnsi="Calibri"/>
      <w:sz w:val="22"/>
      <w:lang w:val="zh-CN"/>
    </w:rPr>
  </w:style>
  <w:style w:type="character" w:customStyle="1" w:styleId="159">
    <w:name w:val="标题5 Char Char"/>
    <w:link w:val="160"/>
    <w:qFormat/>
    <w:uiPriority w:val="99"/>
    <w:rPr>
      <w:rFonts w:ascii="Arial" w:hAnsi="Arial"/>
      <w:b/>
      <w:bCs/>
      <w:sz w:val="24"/>
      <w:szCs w:val="32"/>
    </w:rPr>
  </w:style>
  <w:style w:type="paragraph" w:customStyle="1" w:styleId="160">
    <w:name w:val="标题5"/>
    <w:basedOn w:val="5"/>
    <w:link w:val="159"/>
    <w:qFormat/>
    <w:uiPriority w:val="99"/>
    <w:pPr>
      <w:spacing w:before="260" w:after="260" w:line="413" w:lineRule="auto"/>
    </w:pPr>
    <w:rPr>
      <w:rFonts w:ascii="Arial" w:hAnsi="Arial"/>
      <w:bCs/>
      <w:sz w:val="24"/>
      <w:szCs w:val="32"/>
    </w:rPr>
  </w:style>
  <w:style w:type="character" w:customStyle="1" w:styleId="161">
    <w:name w:val="正文呀2 Char_0"/>
    <w:link w:val="162"/>
    <w:qFormat/>
    <w:locked/>
    <w:uiPriority w:val="0"/>
    <w:rPr>
      <w:szCs w:val="21"/>
    </w:rPr>
  </w:style>
  <w:style w:type="paragraph" w:customStyle="1" w:styleId="162">
    <w:name w:val="正文呀2_1"/>
    <w:basedOn w:val="163"/>
    <w:link w:val="161"/>
    <w:qFormat/>
    <w:uiPriority w:val="0"/>
    <w:rPr>
      <w:rFonts w:ascii="Times New Roman" w:hAnsi="Times New Roman"/>
    </w:rPr>
  </w:style>
  <w:style w:type="paragraph" w:customStyle="1" w:styleId="163">
    <w:name w:val="正文呀_1"/>
    <w:basedOn w:val="96"/>
    <w:link w:val="164"/>
    <w:qFormat/>
    <w:uiPriority w:val="0"/>
    <w:pPr>
      <w:spacing w:line="420" w:lineRule="exact"/>
      <w:ind w:firstLine="420" w:firstLineChars="200"/>
    </w:pPr>
    <w:rPr>
      <w:rFonts w:ascii="宋体" w:hAnsi="宋体"/>
      <w:kern w:val="0"/>
      <w:sz w:val="20"/>
      <w:szCs w:val="21"/>
      <w:lang w:val="zh-CN"/>
    </w:rPr>
  </w:style>
  <w:style w:type="character" w:customStyle="1" w:styleId="164">
    <w:name w:val="正文呀 Char_0"/>
    <w:link w:val="163"/>
    <w:qFormat/>
    <w:locked/>
    <w:uiPriority w:val="0"/>
    <w:rPr>
      <w:rFonts w:ascii="宋体" w:hAnsi="宋体"/>
      <w:szCs w:val="21"/>
      <w:lang w:val="zh-CN"/>
    </w:rPr>
  </w:style>
  <w:style w:type="character" w:customStyle="1" w:styleId="165">
    <w:name w:val="文档结构图 Char1"/>
    <w:qFormat/>
    <w:uiPriority w:val="99"/>
    <w:rPr>
      <w:rFonts w:ascii="宋体"/>
      <w:kern w:val="2"/>
      <w:sz w:val="18"/>
      <w:szCs w:val="18"/>
    </w:rPr>
  </w:style>
  <w:style w:type="character" w:customStyle="1" w:styleId="166">
    <w:name w:val="批注主题 Char2"/>
    <w:semiHidden/>
    <w:qFormat/>
    <w:uiPriority w:val="99"/>
    <w:rPr>
      <w:rFonts w:ascii="Calibri" w:hAnsi="Calibri" w:eastAsia="宋体" w:cs="Times New Roman"/>
      <w:b/>
      <w:bCs/>
    </w:rPr>
  </w:style>
  <w:style w:type="character" w:customStyle="1" w:styleId="167">
    <w:name w:val="Footer Char"/>
    <w:qFormat/>
    <w:uiPriority w:val="99"/>
    <w:rPr>
      <w:rFonts w:hint="eastAsia" w:ascii="宋体" w:hAnsi="宋体" w:eastAsia="宋体"/>
      <w:kern w:val="2"/>
      <w:sz w:val="18"/>
      <w:szCs w:val="18"/>
      <w:lang w:val="en-US" w:eastAsia="zh-CN"/>
    </w:rPr>
  </w:style>
  <w:style w:type="character" w:customStyle="1" w:styleId="168">
    <w:name w:val="正文文本缩进 Char1"/>
    <w:semiHidden/>
    <w:qFormat/>
    <w:uiPriority w:val="99"/>
    <w:rPr>
      <w:rFonts w:hint="default" w:ascii="Times New Roman" w:hAnsi="Times New Roman" w:eastAsia="宋体" w:cs="Times New Roman"/>
      <w:szCs w:val="21"/>
    </w:rPr>
  </w:style>
  <w:style w:type="character" w:customStyle="1" w:styleId="169">
    <w:name w:val="不明显参考1"/>
    <w:qFormat/>
    <w:uiPriority w:val="99"/>
    <w:rPr>
      <w:smallCaps/>
      <w:color w:val="ED7D31"/>
      <w:u w:val="single"/>
    </w:rPr>
  </w:style>
  <w:style w:type="character" w:customStyle="1" w:styleId="170">
    <w:name w:val="明显引用 Char2"/>
    <w:qFormat/>
    <w:uiPriority w:val="30"/>
    <w:rPr>
      <w:b/>
      <w:bCs/>
      <w:i/>
      <w:iCs/>
      <w:color w:val="4F81BD"/>
      <w:sz w:val="22"/>
      <w:szCs w:val="22"/>
    </w:rPr>
  </w:style>
  <w:style w:type="character" w:customStyle="1" w:styleId="171">
    <w:name w:val="日期 Char2"/>
    <w:semiHidden/>
    <w:qFormat/>
    <w:uiPriority w:val="99"/>
    <w:rPr>
      <w:sz w:val="22"/>
      <w:szCs w:val="22"/>
    </w:rPr>
  </w:style>
  <w:style w:type="character" w:customStyle="1" w:styleId="172">
    <w:name w:val="Char Char91"/>
    <w:qFormat/>
    <w:uiPriority w:val="99"/>
    <w:rPr>
      <w:rFonts w:hint="eastAsia" w:ascii="宋体" w:hAnsi="宋体" w:eastAsia="宋体"/>
      <w:b/>
      <w:bCs/>
      <w:kern w:val="44"/>
      <w:sz w:val="44"/>
      <w:szCs w:val="44"/>
      <w:lang w:val="en-US" w:eastAsia="zh-CN"/>
    </w:rPr>
  </w:style>
  <w:style w:type="character" w:customStyle="1" w:styleId="173">
    <w:name w:val="明显强调1"/>
    <w:qFormat/>
    <w:uiPriority w:val="99"/>
    <w:rPr>
      <w:b/>
      <w:bCs/>
      <w:i/>
      <w:iCs/>
      <w:color w:val="5B9BD5"/>
    </w:rPr>
  </w:style>
  <w:style w:type="character" w:customStyle="1" w:styleId="174">
    <w:name w:val="Footnote Text Char"/>
    <w:qFormat/>
    <w:uiPriority w:val="99"/>
    <w:rPr>
      <w:rFonts w:hint="eastAsia" w:ascii="宋体" w:hAnsi="宋体" w:eastAsia="宋体"/>
      <w:sz w:val="18"/>
      <w:szCs w:val="18"/>
      <w:lang w:val="en-US" w:eastAsia="zh-CN"/>
    </w:rPr>
  </w:style>
  <w:style w:type="character" w:customStyle="1" w:styleId="175">
    <w:name w:val="批注框文本 Char2"/>
    <w:semiHidden/>
    <w:qFormat/>
    <w:uiPriority w:val="99"/>
    <w:rPr>
      <w:sz w:val="18"/>
      <w:szCs w:val="18"/>
    </w:rPr>
  </w:style>
  <w:style w:type="character" w:customStyle="1" w:styleId="176">
    <w:name w:val="正文文本缩进 Char2"/>
    <w:semiHidden/>
    <w:qFormat/>
    <w:uiPriority w:val="99"/>
    <w:rPr>
      <w:rFonts w:hint="default" w:ascii="Times New Roman" w:hAnsi="Times New Roman" w:eastAsia="宋体" w:cs="Times New Roman"/>
      <w:kern w:val="2"/>
      <w:sz w:val="21"/>
      <w:szCs w:val="21"/>
    </w:rPr>
  </w:style>
  <w:style w:type="character" w:customStyle="1" w:styleId="177">
    <w:name w:val="Body Text Indent 2 Char"/>
    <w:qFormat/>
    <w:uiPriority w:val="99"/>
    <w:rPr>
      <w:rFonts w:hint="eastAsia" w:ascii="宋体" w:hAnsi="宋体" w:eastAsia="宋体"/>
      <w:kern w:val="2"/>
      <w:sz w:val="24"/>
      <w:szCs w:val="24"/>
      <w:lang w:val="en-US" w:eastAsia="zh-CN"/>
    </w:rPr>
  </w:style>
  <w:style w:type="character" w:customStyle="1" w:styleId="178">
    <w:name w:val="文档结构图 Char4"/>
    <w:semiHidden/>
    <w:qFormat/>
    <w:uiPriority w:val="99"/>
    <w:rPr>
      <w:rFonts w:ascii="Microsoft YaHei UI" w:hAnsi="Calibri" w:eastAsia="Microsoft YaHei UI" w:cs="Times New Roman"/>
      <w:sz w:val="18"/>
      <w:szCs w:val="18"/>
    </w:rPr>
  </w:style>
  <w:style w:type="character" w:customStyle="1" w:styleId="179">
    <w:name w:val="明显参考1"/>
    <w:qFormat/>
    <w:uiPriority w:val="99"/>
    <w:rPr>
      <w:b/>
      <w:bCs/>
      <w:smallCaps/>
      <w:color w:val="auto"/>
      <w:spacing w:val="5"/>
      <w:u w:val="single"/>
    </w:rPr>
  </w:style>
  <w:style w:type="character" w:customStyle="1" w:styleId="180">
    <w:name w:val="Char Char6"/>
    <w:qFormat/>
    <w:uiPriority w:val="99"/>
    <w:rPr>
      <w:rFonts w:eastAsia="宋体"/>
      <w:b/>
      <w:bCs/>
      <w:kern w:val="44"/>
      <w:sz w:val="32"/>
      <w:szCs w:val="44"/>
      <w:lang w:val="en-US" w:eastAsia="zh-CN" w:bidi="ar-SA"/>
    </w:rPr>
  </w:style>
  <w:style w:type="character" w:customStyle="1" w:styleId="181">
    <w:name w:val="批注文字 Char Char"/>
    <w:qFormat/>
    <w:uiPriority w:val="99"/>
    <w:rPr>
      <w:rFonts w:ascii="宋体" w:hAnsi="Times New Roman" w:eastAsia="宋体" w:cs="Times New Roman"/>
      <w:sz w:val="28"/>
      <w:szCs w:val="20"/>
    </w:rPr>
  </w:style>
  <w:style w:type="character" w:customStyle="1" w:styleId="182">
    <w:name w:val="页眉 Char1"/>
    <w:semiHidden/>
    <w:qFormat/>
    <w:uiPriority w:val="99"/>
    <w:rPr>
      <w:sz w:val="18"/>
      <w:szCs w:val="18"/>
    </w:rPr>
  </w:style>
  <w:style w:type="character" w:customStyle="1" w:styleId="183">
    <w:name w:val="副标题 Char1"/>
    <w:qFormat/>
    <w:uiPriority w:val="11"/>
    <w:rPr>
      <w:rFonts w:ascii="Cambria" w:hAnsi="Cambria" w:eastAsia="宋体" w:cs="Times New Roman"/>
      <w:b/>
      <w:bCs/>
      <w:kern w:val="28"/>
      <w:sz w:val="32"/>
      <w:szCs w:val="32"/>
    </w:rPr>
  </w:style>
  <w:style w:type="character" w:customStyle="1" w:styleId="184">
    <w:name w:val="页脚 Char2"/>
    <w:semiHidden/>
    <w:qFormat/>
    <w:uiPriority w:val="99"/>
    <w:rPr>
      <w:rFonts w:hint="default" w:ascii="Times New Roman" w:hAnsi="Times New Roman" w:eastAsia="宋体" w:cs="Times New Roman"/>
      <w:kern w:val="2"/>
      <w:sz w:val="18"/>
      <w:szCs w:val="18"/>
    </w:rPr>
  </w:style>
  <w:style w:type="character" w:customStyle="1" w:styleId="185">
    <w:name w:val="Char Char2_0"/>
    <w:qFormat/>
    <w:uiPriority w:val="0"/>
    <w:rPr>
      <w:rFonts w:hint="eastAsia" w:ascii="宋体" w:hAnsi="Courier New" w:eastAsia="宋体"/>
      <w:kern w:val="2"/>
      <w:sz w:val="21"/>
      <w:szCs w:val="24"/>
      <w:lang w:val="en-US" w:eastAsia="zh-CN" w:bidi="ar-SA"/>
    </w:rPr>
  </w:style>
  <w:style w:type="character" w:customStyle="1" w:styleId="186">
    <w:name w:val="Comment Subject Char"/>
    <w:qFormat/>
    <w:uiPriority w:val="99"/>
    <w:rPr>
      <w:b/>
      <w:bCs/>
      <w:sz w:val="24"/>
      <w:szCs w:val="24"/>
    </w:rPr>
  </w:style>
  <w:style w:type="character" w:customStyle="1" w:styleId="187">
    <w:name w:val="Char Char"/>
    <w:qFormat/>
    <w:uiPriority w:val="0"/>
    <w:rPr>
      <w:rFonts w:ascii="Cambria" w:hAnsi="Cambria"/>
      <w:b/>
      <w:bCs/>
      <w:kern w:val="2"/>
      <w:sz w:val="32"/>
      <w:szCs w:val="32"/>
      <w:lang w:bidi="ar-SA"/>
    </w:rPr>
  </w:style>
  <w:style w:type="character" w:customStyle="1" w:styleId="188">
    <w:name w:val="标题4 Char Char"/>
    <w:link w:val="189"/>
    <w:qFormat/>
    <w:uiPriority w:val="99"/>
    <w:rPr>
      <w:rFonts w:ascii="Arial" w:hAnsi="Arial"/>
      <w:b/>
      <w:bCs/>
      <w:sz w:val="24"/>
      <w:szCs w:val="32"/>
    </w:rPr>
  </w:style>
  <w:style w:type="paragraph" w:customStyle="1" w:styleId="189">
    <w:name w:val="标题4"/>
    <w:basedOn w:val="4"/>
    <w:next w:val="20"/>
    <w:link w:val="188"/>
    <w:qFormat/>
    <w:uiPriority w:val="99"/>
    <w:pPr>
      <w:tabs>
        <w:tab w:val="clear" w:pos="567"/>
      </w:tabs>
      <w:spacing w:before="200" w:line="240" w:lineRule="auto"/>
      <w:ind w:left="0" w:firstLine="0"/>
    </w:pPr>
    <w:rPr>
      <w:b/>
      <w:color w:val="auto"/>
      <w:kern w:val="0"/>
      <w:sz w:val="24"/>
    </w:rPr>
  </w:style>
  <w:style w:type="character" w:customStyle="1" w:styleId="190">
    <w:name w:val="正文文本缩进 2 Char2"/>
    <w:semiHidden/>
    <w:qFormat/>
    <w:uiPriority w:val="99"/>
    <w:rPr>
      <w:rFonts w:ascii="Calibri" w:hAnsi="Calibri" w:eastAsia="宋体" w:cs="Times New Roman"/>
    </w:rPr>
  </w:style>
  <w:style w:type="character" w:customStyle="1" w:styleId="191">
    <w:name w:val="正文文本缩进 Char3"/>
    <w:semiHidden/>
    <w:qFormat/>
    <w:uiPriority w:val="99"/>
    <w:rPr>
      <w:rFonts w:ascii="Calibri" w:hAnsi="Calibri" w:eastAsia="宋体" w:cs="Times New Roman"/>
    </w:rPr>
  </w:style>
  <w:style w:type="character" w:customStyle="1" w:styleId="192">
    <w:name w:val="标题 Char3"/>
    <w:qFormat/>
    <w:uiPriority w:val="10"/>
    <w:rPr>
      <w:rFonts w:hint="eastAsia" w:ascii="等线 Light" w:hAnsi="等线 Light" w:eastAsia="宋体" w:cs="Times New Roman"/>
      <w:b/>
      <w:bCs/>
      <w:sz w:val="32"/>
      <w:szCs w:val="32"/>
    </w:rPr>
  </w:style>
  <w:style w:type="character" w:customStyle="1" w:styleId="193">
    <w:name w:val="正文小标题 Char"/>
    <w:link w:val="194"/>
    <w:qFormat/>
    <w:uiPriority w:val="0"/>
    <w:rPr>
      <w:rFonts w:hAnsi="宋体"/>
      <w:b/>
      <w:bCs/>
      <w:kern w:val="44"/>
      <w:szCs w:val="21"/>
    </w:rPr>
  </w:style>
  <w:style w:type="paragraph" w:customStyle="1" w:styleId="194">
    <w:name w:val="正文小标题"/>
    <w:basedOn w:val="3"/>
    <w:link w:val="193"/>
    <w:qFormat/>
    <w:uiPriority w:val="0"/>
    <w:pPr>
      <w:spacing w:before="480" w:after="0" w:line="420" w:lineRule="exact"/>
    </w:pPr>
    <w:rPr>
      <w:rFonts w:hAnsi="宋体"/>
      <w:sz w:val="20"/>
      <w:szCs w:val="21"/>
    </w:rPr>
  </w:style>
  <w:style w:type="character" w:customStyle="1" w:styleId="195">
    <w:name w:val="Char Char23"/>
    <w:qFormat/>
    <w:uiPriority w:val="99"/>
    <w:rPr>
      <w:rFonts w:hint="eastAsia" w:ascii="宋体" w:hAnsi="宋体" w:eastAsia="宋体"/>
      <w:b/>
      <w:bCs/>
      <w:kern w:val="44"/>
      <w:sz w:val="44"/>
      <w:szCs w:val="44"/>
      <w:lang w:val="en-US" w:eastAsia="zh-CN"/>
    </w:rPr>
  </w:style>
  <w:style w:type="character" w:customStyle="1" w:styleId="196">
    <w:name w:val="Char Char5"/>
    <w:qFormat/>
    <w:uiPriority w:val="0"/>
    <w:rPr>
      <w:rFonts w:eastAsia="宋体"/>
      <w:b/>
      <w:bCs/>
      <w:kern w:val="2"/>
      <w:sz w:val="28"/>
      <w:szCs w:val="28"/>
      <w:lang w:val="en-US" w:eastAsia="zh-CN" w:bidi="ar-SA"/>
    </w:rPr>
  </w:style>
  <w:style w:type="character" w:customStyle="1" w:styleId="197">
    <w:name w:val="正文文本 Char2"/>
    <w:semiHidden/>
    <w:qFormat/>
    <w:uiPriority w:val="99"/>
    <w:rPr>
      <w:sz w:val="22"/>
      <w:szCs w:val="22"/>
    </w:rPr>
  </w:style>
  <w:style w:type="character" w:customStyle="1" w:styleId="198">
    <w:name w:val="引用 Char2"/>
    <w:qFormat/>
    <w:uiPriority w:val="29"/>
    <w:rPr>
      <w:i/>
      <w:iCs/>
      <w:color w:val="000000"/>
      <w:sz w:val="22"/>
      <w:szCs w:val="22"/>
    </w:rPr>
  </w:style>
  <w:style w:type="character" w:customStyle="1" w:styleId="199">
    <w:name w:val="批注主题 Char3"/>
    <w:semiHidden/>
    <w:qFormat/>
    <w:uiPriority w:val="99"/>
    <w:rPr>
      <w:rFonts w:hint="default" w:ascii="Times New Roman" w:hAnsi="Times New Roman" w:eastAsia="宋体" w:cs="Times New Roman"/>
      <w:b/>
      <w:bCs/>
      <w:kern w:val="2"/>
      <w:sz w:val="21"/>
      <w:szCs w:val="21"/>
    </w:rPr>
  </w:style>
  <w:style w:type="character" w:customStyle="1" w:styleId="200">
    <w:name w:val="Char Char7_0"/>
    <w:qFormat/>
    <w:uiPriority w:val="0"/>
    <w:rPr>
      <w:rFonts w:hint="eastAsia" w:ascii="宋体" w:hAnsi="宋体" w:eastAsia="宋体"/>
      <w:b/>
      <w:bCs/>
      <w:kern w:val="2"/>
      <w:sz w:val="24"/>
      <w:szCs w:val="32"/>
      <w:lang w:val="en-US" w:eastAsia="zh-CN" w:bidi="ar-SA"/>
    </w:rPr>
  </w:style>
  <w:style w:type="character" w:customStyle="1" w:styleId="201">
    <w:name w:val="正文文本 Char1"/>
    <w:qFormat/>
    <w:uiPriority w:val="99"/>
    <w:rPr>
      <w:kern w:val="2"/>
      <w:sz w:val="21"/>
      <w:szCs w:val="22"/>
    </w:rPr>
  </w:style>
  <w:style w:type="character" w:customStyle="1" w:styleId="202">
    <w:name w:val="脚注文本 Char3"/>
    <w:semiHidden/>
    <w:qFormat/>
    <w:uiPriority w:val="99"/>
    <w:rPr>
      <w:rFonts w:ascii="Calibri" w:hAnsi="Calibri" w:eastAsia="宋体" w:cs="Times New Roman"/>
      <w:sz w:val="18"/>
      <w:szCs w:val="18"/>
    </w:rPr>
  </w:style>
  <w:style w:type="character" w:customStyle="1" w:styleId="203">
    <w:name w:val="Char Char181"/>
    <w:qFormat/>
    <w:uiPriority w:val="99"/>
    <w:rPr>
      <w:b/>
      <w:bCs/>
      <w:kern w:val="44"/>
      <w:sz w:val="44"/>
      <w:szCs w:val="44"/>
    </w:rPr>
  </w:style>
  <w:style w:type="character" w:customStyle="1" w:styleId="204">
    <w:name w:val="标题 Char5"/>
    <w:qFormat/>
    <w:uiPriority w:val="10"/>
    <w:rPr>
      <w:rFonts w:ascii="Cambria" w:hAnsi="Cambria" w:eastAsia="宋体" w:cs="Times New Roman"/>
      <w:b/>
      <w:bCs/>
      <w:sz w:val="32"/>
      <w:szCs w:val="32"/>
    </w:rPr>
  </w:style>
  <w:style w:type="character" w:customStyle="1" w:styleId="205">
    <w:name w:val="Balloon Text Char"/>
    <w:qFormat/>
    <w:uiPriority w:val="99"/>
    <w:rPr>
      <w:sz w:val="18"/>
      <w:szCs w:val="18"/>
    </w:rPr>
  </w:style>
  <w:style w:type="character" w:customStyle="1" w:styleId="206">
    <w:name w:val="批注框文本 Char1"/>
    <w:qFormat/>
    <w:uiPriority w:val="99"/>
    <w:rPr>
      <w:kern w:val="2"/>
      <w:sz w:val="18"/>
      <w:szCs w:val="18"/>
    </w:rPr>
  </w:style>
  <w:style w:type="character" w:customStyle="1" w:styleId="207">
    <w:name w:val="书籍标题1"/>
    <w:qFormat/>
    <w:uiPriority w:val="99"/>
    <w:rPr>
      <w:b/>
      <w:bCs/>
      <w:smallCaps/>
      <w:spacing w:val="5"/>
    </w:rPr>
  </w:style>
  <w:style w:type="character" w:customStyle="1" w:styleId="208">
    <w:name w:val="Char Char8_0"/>
    <w:qFormat/>
    <w:uiPriority w:val="0"/>
    <w:rPr>
      <w:rFonts w:hint="eastAsia" w:ascii="宋体" w:hAnsi="宋体" w:eastAsia="宋体"/>
      <w:b/>
      <w:bCs/>
      <w:kern w:val="44"/>
      <w:sz w:val="32"/>
      <w:szCs w:val="44"/>
      <w:lang w:val="en-US" w:eastAsia="zh-CN" w:bidi="ar-SA"/>
    </w:rPr>
  </w:style>
  <w:style w:type="character" w:customStyle="1" w:styleId="209">
    <w:name w:val="批注文字 Char4"/>
    <w:semiHidden/>
    <w:qFormat/>
    <w:uiPriority w:val="99"/>
    <w:rPr>
      <w:rFonts w:hint="default" w:ascii="Times New Roman" w:hAnsi="Times New Roman" w:eastAsia="宋体" w:cs="Times New Roman"/>
      <w:kern w:val="2"/>
      <w:sz w:val="21"/>
      <w:szCs w:val="21"/>
    </w:rPr>
  </w:style>
  <w:style w:type="character" w:customStyle="1" w:styleId="210">
    <w:name w:val="Char Char_0"/>
    <w:qFormat/>
    <w:uiPriority w:val="0"/>
    <w:rPr>
      <w:rFonts w:hint="default" w:ascii="Cambria" w:hAnsi="Cambria"/>
      <w:b/>
      <w:bCs/>
      <w:kern w:val="2"/>
      <w:sz w:val="32"/>
      <w:szCs w:val="32"/>
      <w:lang w:bidi="ar-SA"/>
    </w:rPr>
  </w:style>
  <w:style w:type="character" w:customStyle="1" w:styleId="211">
    <w:name w:val="明显参考2"/>
    <w:qFormat/>
    <w:uiPriority w:val="32"/>
    <w:rPr>
      <w:b/>
      <w:bCs/>
      <w:smallCaps/>
      <w:color w:val="ED7D31"/>
      <w:spacing w:val="5"/>
      <w:u w:val="single"/>
    </w:rPr>
  </w:style>
  <w:style w:type="character" w:customStyle="1" w:styleId="212">
    <w:name w:val="不明显强调2"/>
    <w:qFormat/>
    <w:uiPriority w:val="19"/>
    <w:rPr>
      <w:i/>
      <w:iCs/>
      <w:color w:val="808080"/>
    </w:rPr>
  </w:style>
  <w:style w:type="character" w:customStyle="1" w:styleId="213">
    <w:name w:val="Char Char4"/>
    <w:qFormat/>
    <w:uiPriority w:val="0"/>
    <w:rPr>
      <w:b/>
      <w:bCs/>
      <w:kern w:val="2"/>
      <w:sz w:val="21"/>
      <w:szCs w:val="24"/>
      <w:lang w:bidi="ar-SA"/>
    </w:rPr>
  </w:style>
  <w:style w:type="character" w:customStyle="1" w:styleId="214">
    <w:name w:val="小标题无样式 Char"/>
    <w:link w:val="215"/>
    <w:qFormat/>
    <w:uiPriority w:val="0"/>
    <w:rPr>
      <w:rFonts w:ascii="宋体" w:hAnsi="宋体"/>
      <w:b/>
      <w:sz w:val="24"/>
      <w:szCs w:val="21"/>
    </w:rPr>
  </w:style>
  <w:style w:type="paragraph" w:customStyle="1" w:styleId="215">
    <w:name w:val="小标题无样式"/>
    <w:basedOn w:val="90"/>
    <w:link w:val="214"/>
    <w:qFormat/>
    <w:uiPriority w:val="0"/>
    <w:pPr>
      <w:ind w:firstLine="0" w:firstLineChars="0"/>
    </w:pPr>
    <w:rPr>
      <w:b/>
      <w:kern w:val="0"/>
      <w:sz w:val="24"/>
      <w:szCs w:val="21"/>
    </w:rPr>
  </w:style>
  <w:style w:type="character" w:customStyle="1" w:styleId="216">
    <w:name w:val="Document Map Char"/>
    <w:qFormat/>
    <w:uiPriority w:val="99"/>
    <w:rPr>
      <w:rFonts w:hint="eastAsia" w:ascii="宋体" w:hAnsi="宋体" w:eastAsia="宋体"/>
      <w:kern w:val="2"/>
      <w:sz w:val="24"/>
      <w:szCs w:val="24"/>
      <w:lang w:val="en-US" w:eastAsia="zh-CN"/>
    </w:rPr>
  </w:style>
  <w:style w:type="character" w:customStyle="1" w:styleId="217">
    <w:name w:val="副标题 Char2"/>
    <w:qFormat/>
    <w:uiPriority w:val="11"/>
    <w:rPr>
      <w:rFonts w:hint="default" w:ascii="Cambria" w:hAnsi="Cambria" w:eastAsia="宋体" w:cs="Times New Roman"/>
      <w:b/>
      <w:bCs/>
      <w:kern w:val="28"/>
      <w:sz w:val="32"/>
      <w:szCs w:val="32"/>
    </w:rPr>
  </w:style>
  <w:style w:type="character" w:customStyle="1" w:styleId="218">
    <w:name w:val="Char Char9_0"/>
    <w:qFormat/>
    <w:uiPriority w:val="99"/>
    <w:rPr>
      <w:rFonts w:hint="eastAsia" w:ascii="宋体" w:hAnsi="宋体" w:eastAsia="宋体"/>
      <w:b/>
      <w:bCs/>
      <w:kern w:val="44"/>
      <w:sz w:val="32"/>
      <w:szCs w:val="44"/>
      <w:lang w:val="en-US" w:eastAsia="zh-CN" w:bidi="ar-SA"/>
    </w:rPr>
  </w:style>
  <w:style w:type="character" w:customStyle="1" w:styleId="219">
    <w:name w:val="Char Char9"/>
    <w:qFormat/>
    <w:uiPriority w:val="0"/>
    <w:rPr>
      <w:rFonts w:eastAsia="宋体"/>
      <w:b/>
      <w:bCs/>
      <w:kern w:val="44"/>
      <w:sz w:val="32"/>
      <w:szCs w:val="44"/>
      <w:lang w:val="en-US" w:eastAsia="zh-CN" w:bidi="ar-SA"/>
    </w:rPr>
  </w:style>
  <w:style w:type="character" w:customStyle="1" w:styleId="220">
    <w:name w:val="日期 Char3"/>
    <w:semiHidden/>
    <w:qFormat/>
    <w:uiPriority w:val="99"/>
    <w:rPr>
      <w:rFonts w:hint="default" w:ascii="Times New Roman" w:hAnsi="Times New Roman" w:eastAsia="宋体" w:cs="Times New Roman"/>
      <w:kern w:val="2"/>
      <w:sz w:val="21"/>
      <w:szCs w:val="21"/>
    </w:rPr>
  </w:style>
  <w:style w:type="character" w:customStyle="1" w:styleId="221">
    <w:name w:val="纯文本 Char3"/>
    <w:semiHidden/>
    <w:qFormat/>
    <w:uiPriority w:val="99"/>
    <w:rPr>
      <w:rFonts w:hint="eastAsia" w:ascii="宋体" w:hAnsi="Courier New" w:eastAsia="宋体" w:cs="Courier New"/>
      <w:kern w:val="2"/>
      <w:sz w:val="21"/>
      <w:szCs w:val="21"/>
    </w:rPr>
  </w:style>
  <w:style w:type="character" w:customStyle="1" w:styleId="222">
    <w:name w:val="明显引用 字符"/>
    <w:link w:val="223"/>
    <w:qFormat/>
    <w:uiPriority w:val="99"/>
    <w:rPr>
      <w:b/>
      <w:bCs/>
      <w:i/>
      <w:iCs/>
      <w:color w:val="5B9BD5"/>
    </w:rPr>
  </w:style>
  <w:style w:type="paragraph" w:styleId="223">
    <w:name w:val="Intense Quote"/>
    <w:basedOn w:val="1"/>
    <w:next w:val="1"/>
    <w:link w:val="222"/>
    <w:qFormat/>
    <w:uiPriority w:val="99"/>
    <w:pPr>
      <w:pBdr>
        <w:bottom w:val="single" w:color="5B9BD5" w:sz="4" w:space="4"/>
      </w:pBdr>
      <w:spacing w:before="200" w:after="280"/>
      <w:ind w:left="936" w:right="936"/>
    </w:pPr>
    <w:rPr>
      <w:b/>
      <w:bCs/>
      <w:i/>
      <w:iCs/>
      <w:color w:val="5B9BD5"/>
      <w:kern w:val="0"/>
      <w:sz w:val="20"/>
      <w:szCs w:val="20"/>
    </w:rPr>
  </w:style>
  <w:style w:type="character" w:customStyle="1" w:styleId="224">
    <w:name w:val="明显引用 字符1"/>
    <w:qFormat/>
    <w:uiPriority w:val="99"/>
    <w:rPr>
      <w:i/>
      <w:iCs/>
      <w:color w:val="4F81BD"/>
      <w:kern w:val="2"/>
      <w:sz w:val="21"/>
      <w:szCs w:val="24"/>
    </w:rPr>
  </w:style>
  <w:style w:type="character" w:customStyle="1" w:styleId="225">
    <w:name w:val="明显引用 Char3"/>
    <w:qFormat/>
    <w:uiPriority w:val="30"/>
    <w:rPr>
      <w:rFonts w:ascii="Calibri" w:hAnsi="Calibri" w:eastAsia="宋体" w:cs="Times New Roman"/>
      <w:i/>
      <w:iCs/>
      <w:color w:val="4F81BD"/>
    </w:rPr>
  </w:style>
  <w:style w:type="character" w:customStyle="1" w:styleId="226">
    <w:name w:val="Char Char20"/>
    <w:qFormat/>
    <w:uiPriority w:val="99"/>
    <w:rPr>
      <w:rFonts w:hint="default" w:ascii="Times New Roman" w:hAnsi="Times New Roman" w:eastAsia="宋体" w:cs="Times New Roman"/>
      <w:b/>
      <w:bCs/>
      <w:sz w:val="32"/>
      <w:szCs w:val="32"/>
    </w:rPr>
  </w:style>
  <w:style w:type="character" w:customStyle="1" w:styleId="227">
    <w:name w:val="纯文本 Char2"/>
    <w:semiHidden/>
    <w:qFormat/>
    <w:uiPriority w:val="99"/>
    <w:rPr>
      <w:rFonts w:hint="eastAsia" w:ascii="宋体" w:hAnsi="Courier New" w:eastAsia="宋体" w:cs="Courier New"/>
      <w:szCs w:val="21"/>
    </w:rPr>
  </w:style>
  <w:style w:type="character" w:customStyle="1" w:styleId="228">
    <w:name w:val="无间隔 Char"/>
    <w:link w:val="229"/>
    <w:qFormat/>
    <w:uiPriority w:val="1"/>
    <w:rPr>
      <w:szCs w:val="24"/>
      <w:lang w:val="en-US" w:eastAsia="zh-CN" w:bidi="ar-SA"/>
    </w:rPr>
  </w:style>
  <w:style w:type="paragraph" w:customStyle="1" w:styleId="229">
    <w:name w:val="无间隔_0"/>
    <w:link w:val="228"/>
    <w:qFormat/>
    <w:uiPriority w:val="1"/>
    <w:pPr>
      <w:widowControl w:val="0"/>
      <w:jc w:val="both"/>
    </w:pPr>
    <w:rPr>
      <w:rFonts w:ascii="Times New Roman" w:hAnsi="Times New Roman" w:eastAsia="宋体" w:cs="Times New Roman"/>
      <w:szCs w:val="24"/>
      <w:lang w:val="en-US" w:eastAsia="zh-CN" w:bidi="ar-SA"/>
    </w:rPr>
  </w:style>
  <w:style w:type="character" w:customStyle="1" w:styleId="230">
    <w:name w:val="正文文本 Char3"/>
    <w:semiHidden/>
    <w:qFormat/>
    <w:uiPriority w:val="99"/>
    <w:rPr>
      <w:rFonts w:hint="default" w:ascii="Times New Roman" w:hAnsi="Times New Roman" w:eastAsia="宋体" w:cs="Times New Roman"/>
      <w:kern w:val="2"/>
      <w:sz w:val="21"/>
      <w:szCs w:val="21"/>
    </w:rPr>
  </w:style>
  <w:style w:type="character" w:customStyle="1" w:styleId="231">
    <w:name w:val="Plain Text Char"/>
    <w:qFormat/>
    <w:uiPriority w:val="99"/>
    <w:rPr>
      <w:rFonts w:hint="eastAsia" w:ascii="宋体" w:hAnsi="Courier New" w:eastAsia="宋体" w:cs="宋体"/>
      <w:sz w:val="24"/>
      <w:szCs w:val="24"/>
    </w:rPr>
  </w:style>
  <w:style w:type="character" w:customStyle="1" w:styleId="232">
    <w:name w:val="批注框文本 Char4"/>
    <w:semiHidden/>
    <w:qFormat/>
    <w:uiPriority w:val="99"/>
    <w:rPr>
      <w:rFonts w:ascii="Calibri" w:hAnsi="Calibri" w:eastAsia="宋体" w:cs="Times New Roman"/>
      <w:sz w:val="18"/>
      <w:szCs w:val="18"/>
    </w:rPr>
  </w:style>
  <w:style w:type="character" w:customStyle="1" w:styleId="233">
    <w:name w:val="Char Char7"/>
    <w:qFormat/>
    <w:uiPriority w:val="0"/>
    <w:rPr>
      <w:rFonts w:eastAsia="宋体"/>
      <w:b/>
      <w:bCs/>
      <w:kern w:val="2"/>
      <w:sz w:val="24"/>
      <w:szCs w:val="32"/>
      <w:lang w:val="en-US" w:eastAsia="zh-CN" w:bidi="ar-SA"/>
    </w:rPr>
  </w:style>
  <w:style w:type="character" w:customStyle="1" w:styleId="234">
    <w:name w:val="Char Char2"/>
    <w:qFormat/>
    <w:uiPriority w:val="0"/>
    <w:rPr>
      <w:rFonts w:ascii="宋体" w:hAnsi="Courier New" w:eastAsia="宋体"/>
      <w:kern w:val="2"/>
      <w:sz w:val="21"/>
      <w:szCs w:val="24"/>
      <w:lang w:val="en-US" w:eastAsia="zh-CN" w:bidi="ar-SA"/>
    </w:rPr>
  </w:style>
  <w:style w:type="character" w:customStyle="1" w:styleId="235">
    <w:name w:val="textcontents"/>
    <w:qFormat/>
    <w:uiPriority w:val="99"/>
    <w:rPr>
      <w:rFonts w:cs="Times New Roman"/>
    </w:rPr>
  </w:style>
  <w:style w:type="character" w:customStyle="1" w:styleId="236">
    <w:name w:val="Body Text Indent Char"/>
    <w:qFormat/>
    <w:uiPriority w:val="99"/>
    <w:rPr>
      <w:rFonts w:hint="eastAsia" w:ascii="宋体" w:hAnsi="宋体" w:eastAsia="宋体" w:cs="宋体"/>
      <w:kern w:val="2"/>
      <w:sz w:val="21"/>
      <w:szCs w:val="21"/>
      <w:lang w:val="en-US" w:eastAsia="zh-CN"/>
    </w:rPr>
  </w:style>
  <w:style w:type="character" w:customStyle="1" w:styleId="237">
    <w:name w:val="副标题 Char3"/>
    <w:qFormat/>
    <w:uiPriority w:val="11"/>
    <w:rPr>
      <w:rFonts w:ascii="Cambria" w:hAnsi="Cambria" w:eastAsia="宋体" w:cs="Times New Roman"/>
      <w:b/>
      <w:bCs/>
      <w:kern w:val="28"/>
      <w:sz w:val="32"/>
      <w:szCs w:val="32"/>
    </w:rPr>
  </w:style>
  <w:style w:type="character" w:customStyle="1" w:styleId="238">
    <w:name w:val="批注文字 Char5"/>
    <w:semiHidden/>
    <w:qFormat/>
    <w:uiPriority w:val="99"/>
    <w:rPr>
      <w:rFonts w:ascii="Calibri" w:hAnsi="Calibri" w:eastAsia="宋体" w:cs="Times New Roman"/>
    </w:rPr>
  </w:style>
  <w:style w:type="paragraph" w:customStyle="1" w:styleId="239">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240">
    <w:name w:val="引用 Char3"/>
    <w:qFormat/>
    <w:uiPriority w:val="29"/>
    <w:rPr>
      <w:rFonts w:ascii="Calibri" w:hAnsi="Calibri" w:eastAsia="宋体" w:cs="Times New Roman"/>
      <w:i/>
      <w:iCs/>
      <w:color w:val="000000"/>
    </w:rPr>
  </w:style>
  <w:style w:type="paragraph" w:customStyle="1" w:styleId="241">
    <w:name w:val="_Style 2_0"/>
    <w:qFormat/>
    <w:uiPriority w:val="1"/>
    <w:rPr>
      <w:rFonts w:ascii="Times New Roman" w:hAnsi="Times New Roman" w:eastAsia="宋体" w:cs="Times New Roman"/>
      <w:sz w:val="22"/>
      <w:szCs w:val="22"/>
      <w:lang w:val="en-US" w:eastAsia="zh-CN" w:bidi="ar-SA"/>
    </w:rPr>
  </w:style>
  <w:style w:type="character" w:customStyle="1" w:styleId="242">
    <w:name w:val="页脚 Char3"/>
    <w:semiHidden/>
    <w:qFormat/>
    <w:uiPriority w:val="99"/>
    <w:rPr>
      <w:rFonts w:ascii="Calibri" w:hAnsi="Calibri" w:eastAsia="宋体" w:cs="Times New Roman"/>
      <w:sz w:val="18"/>
      <w:szCs w:val="18"/>
    </w:rPr>
  </w:style>
  <w:style w:type="character" w:customStyle="1" w:styleId="243">
    <w:name w:val="正文文本缩进 2 Char3"/>
    <w:semiHidden/>
    <w:qFormat/>
    <w:uiPriority w:val="99"/>
    <w:rPr>
      <w:rFonts w:ascii="Calibri" w:hAnsi="Calibri" w:eastAsia="宋体" w:cs="Times New Roman"/>
    </w:rPr>
  </w:style>
  <w:style w:type="character" w:customStyle="1" w:styleId="244">
    <w:name w:val="批注主题 Char4"/>
    <w:semiHidden/>
    <w:qFormat/>
    <w:uiPriority w:val="99"/>
    <w:rPr>
      <w:rFonts w:ascii="Calibri" w:hAnsi="Calibri" w:eastAsia="宋体" w:cs="Times New Roman"/>
      <w:b/>
      <w:bCs/>
    </w:rPr>
  </w:style>
  <w:style w:type="character" w:customStyle="1" w:styleId="245">
    <w:name w:val="正文文本 Char4"/>
    <w:semiHidden/>
    <w:qFormat/>
    <w:uiPriority w:val="99"/>
    <w:rPr>
      <w:rFonts w:ascii="Calibri" w:hAnsi="Calibri" w:eastAsia="宋体" w:cs="Times New Roman"/>
    </w:rPr>
  </w:style>
  <w:style w:type="paragraph" w:customStyle="1" w:styleId="246">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47">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48">
    <w:name w:val="页眉 Char3"/>
    <w:semiHidden/>
    <w:qFormat/>
    <w:uiPriority w:val="99"/>
    <w:rPr>
      <w:rFonts w:ascii="Calibri" w:hAnsi="Calibri" w:eastAsia="宋体" w:cs="Times New Roman"/>
      <w:sz w:val="18"/>
      <w:szCs w:val="18"/>
    </w:rPr>
  </w:style>
  <w:style w:type="character" w:customStyle="1" w:styleId="249">
    <w:name w:val="日期 Char4"/>
    <w:semiHidden/>
    <w:qFormat/>
    <w:uiPriority w:val="99"/>
    <w:rPr>
      <w:rFonts w:ascii="Calibri" w:hAnsi="Calibri" w:eastAsia="宋体" w:cs="Times New Roman"/>
    </w:rPr>
  </w:style>
  <w:style w:type="paragraph" w:customStyle="1" w:styleId="250">
    <w:name w:val="无间隔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1">
    <w:name w:val="纯文本 Char4"/>
    <w:semiHidden/>
    <w:qFormat/>
    <w:uiPriority w:val="99"/>
    <w:rPr>
      <w:rFonts w:ascii="宋体" w:hAnsi="Courier New" w:eastAsia="宋体" w:cs="Courier New"/>
      <w:szCs w:val="21"/>
    </w:rPr>
  </w:style>
  <w:style w:type="paragraph" w:customStyle="1" w:styleId="252">
    <w:name w:val="_Style 2"/>
    <w:qFormat/>
    <w:uiPriority w:val="1"/>
    <w:rPr>
      <w:rFonts w:ascii="Times New Roman" w:hAnsi="Times New Roman" w:eastAsia="宋体" w:cs="Times New Roman"/>
      <w:sz w:val="22"/>
      <w:szCs w:val="22"/>
      <w:lang w:val="en-US" w:eastAsia="zh-CN" w:bidi="ar-SA"/>
    </w:rPr>
  </w:style>
  <w:style w:type="paragraph" w:customStyle="1" w:styleId="253">
    <w:name w:val="_Style 5_0"/>
    <w:qFormat/>
    <w:uiPriority w:val="1"/>
    <w:rPr>
      <w:rFonts w:ascii="Times New Roman" w:hAnsi="Times New Roman" w:eastAsia="宋体" w:cs="Times New Roman"/>
      <w:sz w:val="22"/>
      <w:szCs w:val="22"/>
      <w:lang w:val="en-US" w:eastAsia="zh-CN" w:bidi="ar-SA"/>
    </w:rPr>
  </w:style>
  <w:style w:type="paragraph" w:customStyle="1" w:styleId="254">
    <w:name w:val="修订1"/>
    <w:qFormat/>
    <w:uiPriority w:val="99"/>
    <w:pPr>
      <w:spacing w:after="200" w:line="276" w:lineRule="auto"/>
    </w:pPr>
    <w:rPr>
      <w:rFonts w:ascii="Times New Roman" w:hAnsi="Times New Roman" w:eastAsia="宋体" w:cs="Times New Roman"/>
      <w:kern w:val="2"/>
      <w:sz w:val="21"/>
      <w:szCs w:val="24"/>
      <w:lang w:val="en-US" w:eastAsia="zh-CN" w:bidi="ar-SA"/>
    </w:rPr>
  </w:style>
  <w:style w:type="paragraph" w:customStyle="1" w:styleId="255">
    <w:name w:val="正文_1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56">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257">
    <w:name w:val="段"/>
    <w:next w:val="1"/>
    <w:qFormat/>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character" w:customStyle="1" w:styleId="258">
    <w:name w:val="font11"/>
    <w:basedOn w:val="38"/>
    <w:qFormat/>
    <w:uiPriority w:val="0"/>
    <w:rPr>
      <w:rFonts w:hint="eastAsia" w:ascii="宋体" w:hAnsi="宋体" w:eastAsia="宋体" w:cs="宋体"/>
      <w:color w:val="000000"/>
      <w:sz w:val="21"/>
      <w:szCs w:val="21"/>
      <w:u w:val="none"/>
    </w:rPr>
  </w:style>
  <w:style w:type="character" w:customStyle="1" w:styleId="259">
    <w:name w:val="hover"/>
    <w:basedOn w:val="38"/>
    <w:qFormat/>
    <w:uiPriority w:val="0"/>
    <w:rPr>
      <w:color w:val="2590EB"/>
    </w:rPr>
  </w:style>
  <w:style w:type="character" w:customStyle="1" w:styleId="260">
    <w:name w:val="hover1"/>
    <w:basedOn w:val="38"/>
    <w:qFormat/>
    <w:uiPriority w:val="0"/>
    <w:rPr>
      <w:color w:val="2590EB"/>
    </w:rPr>
  </w:style>
  <w:style w:type="character" w:customStyle="1" w:styleId="261">
    <w:name w:val="hover2"/>
    <w:basedOn w:val="38"/>
    <w:qFormat/>
    <w:uiPriority w:val="0"/>
  </w:style>
  <w:style w:type="character" w:customStyle="1" w:styleId="262">
    <w:name w:val="mini-outputtext1"/>
    <w:basedOn w:val="38"/>
    <w:qFormat/>
    <w:uiPriority w:val="0"/>
  </w:style>
  <w:style w:type="character" w:customStyle="1" w:styleId="263">
    <w:name w:val="标题 3 Char"/>
    <w:link w:val="5"/>
    <w:qFormat/>
    <w:uiPriority w:val="0"/>
    <w:rPr>
      <w:b/>
      <w:bCs/>
      <w:sz w:val="24"/>
      <w:szCs w:val="32"/>
    </w:rPr>
  </w:style>
  <w:style w:type="paragraph" w:customStyle="1" w:styleId="264">
    <w:name w:val="首行缩进"/>
    <w:basedOn w:val="1"/>
    <w:qFormat/>
    <w:uiPriority w:val="0"/>
    <w:pPr>
      <w:spacing w:line="360" w:lineRule="auto"/>
      <w:ind w:firstLine="480" w:firstLineChars="200"/>
    </w:pPr>
    <w:rPr>
      <w:rFonts w:ascii="宋体" w:hAnsi="宋体"/>
      <w:kern w:val="0"/>
      <w:sz w:val="24"/>
    </w:rPr>
  </w:style>
  <w:style w:type="table" w:customStyle="1" w:styleId="265">
    <w:name w:val="Table Normal"/>
    <w:unhideWhenUsed/>
    <w:qFormat/>
    <w:uiPriority w:val="2"/>
    <w:pPr>
      <w:widowControl w:val="0"/>
      <w:autoSpaceDE w:val="0"/>
      <w:autoSpaceDN w:val="0"/>
    </w:pPr>
    <w:rPr>
      <w:rFonts w:ascii="Calibri" w:hAnsi="Calibri"/>
      <w:sz w:val="22"/>
      <w:lang w:val="en-US" w:eastAsia="en-US" w:bidi="ar-SA"/>
    </w:rPr>
    <w:tblPr>
      <w:tblCellMar>
        <w:top w:w="0" w:type="dxa"/>
        <w:left w:w="0" w:type="dxa"/>
        <w:bottom w:w="0" w:type="dxa"/>
        <w:right w:w="0" w:type="dxa"/>
      </w:tblCellMar>
    </w:tblPr>
  </w:style>
  <w:style w:type="paragraph" w:customStyle="1" w:styleId="266">
    <w:name w:val="PlainText"/>
    <w:basedOn w:val="1"/>
    <w:next w:val="267"/>
    <w:qFormat/>
    <w:locked/>
    <w:uiPriority w:val="0"/>
    <w:rPr>
      <w:rFonts w:ascii="宋体" w:hAnsi="Courier New"/>
      <w:szCs w:val="20"/>
    </w:rPr>
  </w:style>
  <w:style w:type="paragraph" w:customStyle="1" w:styleId="267">
    <w:name w:val="Index8"/>
    <w:basedOn w:val="1"/>
    <w:next w:val="1"/>
    <w:qFormat/>
    <w:locked/>
    <w:uiPriority w:val="0"/>
    <w:pPr>
      <w:ind w:left="2940"/>
    </w:pPr>
  </w:style>
  <w:style w:type="paragraph" w:customStyle="1" w:styleId="268">
    <w:name w:val="Table Text"/>
    <w:basedOn w:val="1"/>
    <w:semiHidden/>
    <w:qFormat/>
    <w:uiPriority w:val="0"/>
    <w:rPr>
      <w:rFonts w:ascii="宋体" w:hAnsi="宋体" w:eastAsia="宋体" w:cs="宋体"/>
      <w:sz w:val="20"/>
      <w:szCs w:val="20"/>
      <w:lang w:val="en-US" w:eastAsia="en-US" w:bidi="ar-SA"/>
    </w:rPr>
  </w:style>
  <w:style w:type="paragraph" w:customStyle="1" w:styleId="269">
    <w:name w:val="style4"/>
    <w:basedOn w:val="1"/>
    <w:next w:val="270"/>
    <w:qFormat/>
    <w:uiPriority w:val="0"/>
    <w:pPr>
      <w:widowControl/>
      <w:spacing w:before="280" w:after="280"/>
    </w:pPr>
    <w:rPr>
      <w:rFonts w:ascii="宋体"/>
      <w:sz w:val="18"/>
    </w:rPr>
  </w:style>
  <w:style w:type="paragraph" w:customStyle="1" w:styleId="270">
    <w:name w:val="2"/>
    <w:basedOn w:val="5"/>
    <w:next w:val="1"/>
    <w:qFormat/>
    <w:uiPriority w:val="0"/>
    <w:pPr>
      <w:widowControl w:val="0"/>
      <w:spacing w:before="120" w:beforeLines="50" w:after="120" w:afterLines="50" w:line="240" w:lineRule="auto"/>
      <w:jc w:val="center"/>
    </w:pPr>
    <w:rPr>
      <w:rFonts w:ascii="黑体" w:eastAsia="黑体"/>
      <w:sz w:val="44"/>
      <w:szCs w:val="28"/>
    </w:rPr>
  </w:style>
  <w:style w:type="paragraph" w:customStyle="1" w:styleId="271">
    <w:name w:val="正文_2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PC</Company>
  <Pages>88</Pages>
  <Words>24933</Words>
  <Characters>26575</Characters>
  <Lines>513</Lines>
  <Paragraphs>144</Paragraphs>
  <TotalTime>26</TotalTime>
  <ScaleCrop>false</ScaleCrop>
  <LinksUpToDate>false</LinksUpToDate>
  <CharactersWithSpaces>31343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2022-09-06T09:43:00Z</dcterms:created>
  <dc:creator>Administrator</dc:creator>
  <cp:lastModifiedBy>狠淡de幸福</cp:lastModifiedBy>
  <cp:lastPrinted>2024-11-07T04:54:00Z</cp:lastPrinted>
  <dcterms:modified xsi:type="dcterms:W3CDTF">2025-07-14T02:32:49Z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7F071734AAED480C9DF394BBB9A0C046_13</vt:lpwstr>
  </property>
  <property fmtid="{D5CDD505-2E9C-101B-9397-08002B2CF9AE}" pid="4" name="KSOTemplateDocerSaveRecord">
    <vt:lpwstr>eyJoZGlkIjoiNjFmZjljZjJmN2FkOTgxM2E5MmQzNmQxMjliNTM4NmQiLCJ1c2VySWQiOiI0MTA2ODA5NjkifQ==</vt:lpwstr>
  </property>
</Properties>
</file>