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EDC8F">
      <w:pPr>
        <w:pStyle w:val="206"/>
        <w:rPr>
          <w:rFonts w:ascii="宋体" w:hAnsi="宋体" w:cs="宋体"/>
          <w:color w:val="auto"/>
          <w:szCs w:val="21"/>
        </w:rPr>
      </w:pPr>
    </w:p>
    <w:p w14:paraId="2A94DA1F">
      <w:pPr>
        <w:jc w:val="center"/>
        <w:rPr>
          <w:rFonts w:ascii="宋体" w:hAnsi="宋体" w:cs="宋体"/>
          <w:b/>
          <w:color w:val="auto"/>
          <w:sz w:val="52"/>
          <w:szCs w:val="52"/>
        </w:rPr>
      </w:pPr>
      <w:bookmarkStart w:id="0" w:name="jinjicd"/>
      <w:bookmarkEnd w:id="0"/>
      <w:bookmarkStart w:id="1" w:name="csmb"/>
      <w:bookmarkEnd w:id="1"/>
      <w:r>
        <w:rPr>
          <w:rFonts w:hint="eastAsia" w:ascii="宋体" w:hAnsi="宋体"/>
          <w:b/>
          <w:bCs/>
          <w:sz w:val="52"/>
          <w:szCs w:val="52"/>
        </w:rPr>
        <w:t>广西诚华工程造价咨询有限公司</w:t>
      </w:r>
    </w:p>
    <w:p w14:paraId="5E809684">
      <w:pPr>
        <w:jc w:val="center"/>
        <w:rPr>
          <w:rFonts w:ascii="宋体" w:hAnsi="宋体" w:cs="宋体"/>
          <w:color w:val="auto"/>
          <w:sz w:val="44"/>
          <w:szCs w:val="44"/>
        </w:rPr>
      </w:pPr>
      <w:r>
        <w:rPr>
          <w:rFonts w:ascii="宋体" w:hAnsi="宋体" w:cs="宋体"/>
          <w:color w:val="auto"/>
          <w:sz w:val="44"/>
          <w:szCs w:val="44"/>
        </w:rPr>
        <w:pict>
          <v:line id="_x0000_s1026" o:spid="_x0000_s1026" o:spt="20" style="position:absolute;left:0pt;margin-left:2.9pt;margin-top:10.75pt;height:0pt;width:467.25pt;z-index:251660288;mso-width-relative:page;mso-height-relative:page;" coordsize="21600,21600" o:gfxdata="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I2O4tcAAAAHAQAADwAAAAAAAAABACAAAAAiAAAAZHJzL2Rvd25y&#10;ZXYueG1sUEsBAhQAFAAAAAgAh07iQC0bmGT/AQAA+QMAAA4AAAAAAAAAAQAgAAAAJgEAAGRycy9l&#10;Mm9Eb2MueG1sUEsFBgAAAAAGAAYAWQEAAJcFAAAAAA==&#10;">
            <v:path arrowok="t"/>
            <v:fill focussize="0,0"/>
            <v:stroke weight="4.5pt" linestyle="thinThick"/>
            <v:imagedata o:title=""/>
            <o:lock v:ext="edit"/>
          </v:line>
        </w:pict>
      </w:r>
    </w:p>
    <w:p w14:paraId="463155C4">
      <w:pPr>
        <w:spacing w:line="300" w:lineRule="auto"/>
        <w:ind w:right="-105" w:rightChars="-50"/>
        <w:rPr>
          <w:rFonts w:ascii="宋体" w:hAnsi="宋体" w:cs="宋体"/>
          <w:color w:val="auto"/>
        </w:rPr>
      </w:pPr>
    </w:p>
    <w:p w14:paraId="09DA263D">
      <w:pPr>
        <w:pStyle w:val="32"/>
        <w:rPr>
          <w:color w:val="auto"/>
        </w:rPr>
      </w:pPr>
    </w:p>
    <w:p w14:paraId="13A343DD">
      <w:pPr>
        <w:spacing w:line="300" w:lineRule="auto"/>
        <w:ind w:left="1997" w:leftChars="-50" w:right="-105" w:rightChars="-50" w:hanging="2102" w:hangingChars="1001"/>
        <w:jc w:val="center"/>
        <w:rPr>
          <w:rFonts w:ascii="宋体" w:hAnsi="宋体" w:cs="宋体"/>
          <w:color w:val="auto"/>
        </w:rPr>
      </w:pPr>
    </w:p>
    <w:p w14:paraId="135BEE64">
      <w:pPr>
        <w:spacing w:line="300" w:lineRule="auto"/>
        <w:ind w:left="1997" w:leftChars="-50" w:right="-105" w:rightChars="-50" w:hanging="2102" w:hangingChars="1001"/>
        <w:jc w:val="center"/>
        <w:rPr>
          <w:rFonts w:ascii="宋体" w:hAnsi="宋体" w:cs="宋体"/>
          <w:color w:val="auto"/>
        </w:rPr>
      </w:pPr>
      <w:r>
        <w:rPr>
          <w:position w:val="-79"/>
        </w:rPr>
        <w:drawing>
          <wp:inline distT="0" distB="0" distL="114300" distR="114300">
            <wp:extent cx="2630170" cy="2511425"/>
            <wp:effectExtent l="0" t="0" r="17780" b="317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stretch>
                      <a:fillRect/>
                    </a:stretch>
                  </pic:blipFill>
                  <pic:spPr>
                    <a:xfrm>
                      <a:off x="0" y="0"/>
                      <a:ext cx="2630170" cy="2511425"/>
                    </a:xfrm>
                    <a:prstGeom prst="rect">
                      <a:avLst/>
                    </a:prstGeom>
                    <a:noFill/>
                    <a:ln>
                      <a:noFill/>
                    </a:ln>
                  </pic:spPr>
                </pic:pic>
              </a:graphicData>
            </a:graphic>
          </wp:inline>
        </w:drawing>
      </w:r>
    </w:p>
    <w:p w14:paraId="0D002810">
      <w:pPr>
        <w:spacing w:line="300" w:lineRule="auto"/>
        <w:ind w:left="3498" w:leftChars="-50" w:right="-105" w:rightChars="-50" w:hanging="3603" w:hangingChars="1001"/>
        <w:jc w:val="center"/>
        <w:rPr>
          <w:rFonts w:ascii="宋体" w:hAnsi="宋体" w:cs="宋体"/>
          <w:b/>
          <w:color w:val="auto"/>
          <w:sz w:val="36"/>
        </w:rPr>
      </w:pPr>
    </w:p>
    <w:p w14:paraId="5085443E">
      <w:pPr>
        <w:rPr>
          <w:color w:val="auto"/>
        </w:rPr>
      </w:pPr>
    </w:p>
    <w:p w14:paraId="511F138D">
      <w:pPr>
        <w:spacing w:line="300" w:lineRule="auto"/>
        <w:ind w:right="-105" w:rightChars="-50"/>
        <w:jc w:val="center"/>
        <w:rPr>
          <w:rFonts w:ascii="黑体" w:hAnsi="黑体" w:eastAsia="黑体" w:cs="黑体"/>
          <w:b/>
          <w:color w:val="auto"/>
          <w:sz w:val="72"/>
          <w:szCs w:val="72"/>
        </w:rPr>
      </w:pPr>
      <w:r>
        <w:rPr>
          <w:rFonts w:hint="eastAsia" w:ascii="黑体" w:hAnsi="黑体" w:eastAsia="黑体" w:cs="黑体"/>
          <w:b/>
          <w:color w:val="auto"/>
          <w:sz w:val="72"/>
          <w:szCs w:val="72"/>
        </w:rPr>
        <w:t>竞争性磋商文件</w:t>
      </w:r>
    </w:p>
    <w:p w14:paraId="135202E1">
      <w:pPr>
        <w:spacing w:line="300" w:lineRule="auto"/>
        <w:ind w:right="-105" w:rightChars="-50"/>
        <w:rPr>
          <w:rFonts w:ascii="宋体" w:hAnsi="宋体" w:cs="宋体"/>
          <w:b/>
          <w:color w:val="auto"/>
          <w:sz w:val="36"/>
        </w:rPr>
      </w:pPr>
    </w:p>
    <w:p w14:paraId="52536C73">
      <w:pPr>
        <w:pStyle w:val="32"/>
        <w:rPr>
          <w:color w:val="auto"/>
        </w:rPr>
      </w:pPr>
    </w:p>
    <w:p w14:paraId="3A373B13">
      <w:pPr>
        <w:spacing w:line="300" w:lineRule="auto"/>
        <w:ind w:right="-105" w:rightChars="-50"/>
        <w:jc w:val="left"/>
        <w:rPr>
          <w:rFonts w:ascii="宋体" w:hAnsi="宋体" w:cs="宋体"/>
          <w:b/>
          <w:color w:val="auto"/>
          <w:sz w:val="36"/>
        </w:rPr>
      </w:pPr>
      <w:r>
        <w:rPr>
          <w:rFonts w:ascii="宋体" w:hAnsi="宋体" w:cs="宋体"/>
          <w:color w:val="auto"/>
          <w:sz w:val="44"/>
          <w:szCs w:val="44"/>
        </w:rPr>
        <w:pict>
          <v:line id="_x0000_s2052" o:spid="_x0000_s2052" o:spt="20" style="position:absolute;left:0pt;margin-left:-0.1pt;margin-top:28.5pt;height:0pt;width:467.25pt;z-index:251661312;mso-width-relative:page;mso-height-relative:page;" coordsize="21600,21600" o:gfxdata="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I2O4tcAAAAHAQAADwAAAAAAAAABACAAAAAiAAAAZHJzL2Rvd25y&#10;ZXYueG1sUEsBAhQAFAAAAAgAh07iQC0bmGT/AQAA+QMAAA4AAAAAAAAAAQAgAAAAJgEAAGRycy9l&#10;Mm9Eb2MueG1sUEsFBgAAAAAGAAYAWQEAAJcFAAAAAA==&#10;">
            <v:path arrowok="t"/>
            <v:fill focussize="0,0"/>
            <v:stroke weight="4.5pt" linestyle="thinThick"/>
            <v:imagedata o:title=""/>
            <o:lock v:ext="edit"/>
          </v:line>
        </w:pict>
      </w:r>
    </w:p>
    <w:p w14:paraId="00D06D45">
      <w:pPr>
        <w:pStyle w:val="32"/>
        <w:rPr>
          <w:color w:val="auto"/>
        </w:rPr>
      </w:pPr>
    </w:p>
    <w:p w14:paraId="7BB205A2">
      <w:pPr>
        <w:spacing w:line="360" w:lineRule="auto"/>
        <w:ind w:right="-105" w:rightChars="-50" w:firstLine="1280" w:firstLineChars="400"/>
        <w:jc w:val="left"/>
        <w:rPr>
          <w:rFonts w:ascii="宋体" w:hAnsi="宋体" w:cs="宋体"/>
          <w:b/>
          <w:color w:val="auto"/>
          <w:sz w:val="32"/>
          <w:szCs w:val="22"/>
        </w:rPr>
      </w:pPr>
    </w:p>
    <w:p w14:paraId="072EA1A1">
      <w:pPr>
        <w:spacing w:line="360" w:lineRule="auto"/>
        <w:ind w:right="-105" w:rightChars="-50"/>
        <w:jc w:val="left"/>
        <w:rPr>
          <w:rFonts w:hint="eastAsia" w:ascii="宋体" w:hAnsi="宋体" w:eastAsia="宋体" w:cs="宋体"/>
          <w:b/>
          <w:color w:val="auto"/>
          <w:sz w:val="32"/>
          <w:szCs w:val="22"/>
          <w:lang w:eastAsia="zh-CN"/>
        </w:rPr>
      </w:pPr>
      <w:r>
        <w:rPr>
          <w:rFonts w:hint="eastAsia" w:ascii="宋体" w:hAnsi="宋体" w:cs="宋体"/>
          <w:b/>
          <w:color w:val="auto"/>
          <w:sz w:val="32"/>
          <w:szCs w:val="22"/>
        </w:rPr>
        <w:t>项目名称：</w:t>
      </w:r>
      <w:r>
        <w:rPr>
          <w:rFonts w:hint="eastAsia" w:ascii="宋体" w:hAnsi="宋体" w:cs="宋体"/>
          <w:b/>
          <w:color w:val="auto"/>
          <w:sz w:val="32"/>
          <w:szCs w:val="22"/>
          <w:lang w:eastAsia="zh-CN"/>
        </w:rPr>
        <w:t>伯劳镇伯凤村委基础设施建设工程</w:t>
      </w:r>
    </w:p>
    <w:p w14:paraId="103E3F06">
      <w:pPr>
        <w:adjustRightInd w:val="0"/>
        <w:spacing w:line="360" w:lineRule="auto"/>
        <w:jc w:val="left"/>
        <w:rPr>
          <w:rFonts w:ascii="宋体" w:hAnsi="宋体" w:cs="宋体"/>
          <w:b/>
          <w:color w:val="auto"/>
          <w:sz w:val="32"/>
          <w:szCs w:val="22"/>
        </w:rPr>
      </w:pPr>
      <w:r>
        <w:rPr>
          <w:rFonts w:hint="eastAsia" w:ascii="宋体" w:hAnsi="宋体" w:cs="宋体"/>
          <w:b/>
          <w:color w:val="auto"/>
          <w:sz w:val="32"/>
          <w:szCs w:val="22"/>
        </w:rPr>
        <w:t>招标编</w:t>
      </w:r>
      <w:r>
        <w:rPr>
          <w:rFonts w:hint="eastAsia" w:ascii="宋体" w:hAnsi="宋体" w:cs="宋体"/>
          <w:b/>
          <w:color w:val="auto"/>
          <w:sz w:val="32"/>
          <w:szCs w:val="22"/>
        </w:rPr>
        <w:t>号：</w:t>
      </w:r>
      <w:r>
        <w:rPr>
          <w:rFonts w:hint="eastAsia" w:ascii="宋体" w:hAnsi="宋体" w:cs="宋体"/>
          <w:b/>
          <w:color w:val="auto"/>
          <w:sz w:val="32"/>
          <w:szCs w:val="22"/>
          <w:lang w:eastAsia="zh-CN"/>
        </w:rPr>
        <w:t>QZZC2025-C2-210276-GXCH</w:t>
      </w:r>
      <w:r>
        <w:rPr>
          <w:rFonts w:ascii="宋体" w:hAnsi="宋体" w:cs="宋体"/>
          <w:b/>
          <w:color w:val="auto"/>
          <w:sz w:val="32"/>
          <w:szCs w:val="22"/>
        </w:rPr>
        <w:t xml:space="preserve"> </w:t>
      </w:r>
      <w:r>
        <w:rPr>
          <w:rFonts w:hint="eastAsia" w:ascii="宋体" w:hAnsi="宋体" w:cs="宋体"/>
          <w:b/>
          <w:color w:val="auto"/>
          <w:sz w:val="32"/>
          <w:szCs w:val="22"/>
        </w:rPr>
        <w:t xml:space="preserve"> </w:t>
      </w:r>
    </w:p>
    <w:p w14:paraId="79BEC372">
      <w:pPr>
        <w:spacing w:line="360" w:lineRule="auto"/>
        <w:rPr>
          <w:rFonts w:hint="eastAsia" w:ascii="宋体" w:hAnsi="宋体" w:eastAsia="宋体" w:cs="宋体"/>
          <w:b/>
          <w:color w:val="auto"/>
          <w:sz w:val="32"/>
          <w:szCs w:val="22"/>
          <w:lang w:eastAsia="zh-CN"/>
        </w:rPr>
      </w:pPr>
      <w:r>
        <w:rPr>
          <w:rFonts w:hint="eastAsia" w:ascii="宋体" w:hAnsi="宋体" w:cs="宋体"/>
          <w:b/>
          <w:color w:val="auto"/>
          <w:sz w:val="32"/>
          <w:szCs w:val="22"/>
        </w:rPr>
        <w:t>招   标   人：</w:t>
      </w:r>
      <w:r>
        <w:rPr>
          <w:rFonts w:hint="eastAsia" w:ascii="宋体" w:hAnsi="宋体" w:cs="宋体"/>
          <w:b/>
          <w:color w:val="auto"/>
          <w:sz w:val="32"/>
          <w:szCs w:val="22"/>
          <w:lang w:eastAsia="zh-CN"/>
        </w:rPr>
        <w:t xml:space="preserve">灵山县移民工作服务中心                   </w:t>
      </w:r>
    </w:p>
    <w:p w14:paraId="4DB80D0B">
      <w:pPr>
        <w:spacing w:line="360" w:lineRule="auto"/>
        <w:rPr>
          <w:rFonts w:hint="eastAsia" w:ascii="宋体" w:hAnsi="宋体" w:eastAsia="宋体" w:cs="宋体"/>
          <w:b/>
          <w:color w:val="auto"/>
          <w:sz w:val="36"/>
          <w:szCs w:val="36"/>
          <w:lang w:eastAsia="zh-CN"/>
        </w:rPr>
      </w:pPr>
      <w:r>
        <w:rPr>
          <w:rFonts w:hint="eastAsia" w:ascii="宋体" w:hAnsi="宋体" w:cs="宋体"/>
          <w:b/>
          <w:color w:val="auto"/>
          <w:sz w:val="32"/>
          <w:szCs w:val="22"/>
        </w:rPr>
        <w:t>招标代理机构：</w:t>
      </w:r>
      <w:r>
        <w:rPr>
          <w:rFonts w:hint="eastAsia" w:ascii="宋体" w:hAnsi="宋体" w:cs="宋体"/>
          <w:b/>
          <w:color w:val="auto"/>
          <w:sz w:val="32"/>
          <w:szCs w:val="22"/>
          <w:lang w:eastAsia="zh-CN"/>
        </w:rPr>
        <w:t>广西诚华工程造价咨询有限公司</w:t>
      </w:r>
    </w:p>
    <w:p w14:paraId="7C1F78E7">
      <w:pPr>
        <w:spacing w:line="360" w:lineRule="auto"/>
        <w:rPr>
          <w:color w:val="auto"/>
          <w:sz w:val="20"/>
          <w:szCs w:val="22"/>
        </w:rPr>
      </w:pPr>
      <w:r>
        <w:rPr>
          <w:rFonts w:hint="eastAsia" w:ascii="宋体" w:hAnsi="宋体" w:cs="宋体"/>
          <w:b/>
          <w:color w:val="auto"/>
          <w:sz w:val="32"/>
          <w:szCs w:val="28"/>
        </w:rPr>
        <w:t>日        期：202</w:t>
      </w:r>
      <w:r>
        <w:rPr>
          <w:rFonts w:hint="eastAsia" w:ascii="宋体" w:hAnsi="宋体" w:cs="宋体"/>
          <w:b/>
          <w:color w:val="auto"/>
          <w:sz w:val="32"/>
          <w:szCs w:val="28"/>
          <w:lang w:val="en-US" w:eastAsia="zh-CN"/>
        </w:rPr>
        <w:t>5</w:t>
      </w:r>
      <w:r>
        <w:rPr>
          <w:rFonts w:hint="eastAsia" w:ascii="宋体" w:hAnsi="宋体" w:cs="宋体"/>
          <w:b/>
          <w:color w:val="auto"/>
          <w:sz w:val="32"/>
          <w:szCs w:val="28"/>
        </w:rPr>
        <w:t>年</w:t>
      </w:r>
      <w:r>
        <w:rPr>
          <w:rFonts w:hint="eastAsia" w:ascii="宋体" w:hAnsi="宋体" w:cs="宋体"/>
          <w:b/>
          <w:color w:val="auto"/>
          <w:sz w:val="32"/>
          <w:szCs w:val="28"/>
          <w:lang w:val="en-US" w:eastAsia="zh-CN"/>
        </w:rPr>
        <w:t>11</w:t>
      </w:r>
      <w:r>
        <w:rPr>
          <w:rFonts w:hint="eastAsia" w:ascii="宋体" w:hAnsi="宋体" w:cs="宋体"/>
          <w:b/>
          <w:color w:val="auto"/>
          <w:sz w:val="32"/>
          <w:szCs w:val="28"/>
        </w:rPr>
        <w:t>月</w:t>
      </w:r>
      <w:r>
        <w:rPr>
          <w:rFonts w:hint="eastAsia" w:ascii="宋体" w:hAnsi="宋体" w:cs="宋体"/>
          <w:b/>
          <w:color w:val="auto"/>
          <w:sz w:val="32"/>
          <w:szCs w:val="28"/>
          <w:lang w:val="en-US" w:eastAsia="zh-CN"/>
        </w:rPr>
        <w:t>13</w:t>
      </w:r>
      <w:r>
        <w:rPr>
          <w:rFonts w:hint="eastAsia" w:ascii="宋体" w:hAnsi="宋体" w:cs="宋体"/>
          <w:b/>
          <w:color w:val="auto"/>
          <w:sz w:val="32"/>
          <w:szCs w:val="28"/>
        </w:rPr>
        <w:t>日</w:t>
      </w:r>
    </w:p>
    <w:p w14:paraId="088E7925">
      <w:pPr>
        <w:pStyle w:val="26"/>
        <w:spacing w:line="600" w:lineRule="auto"/>
        <w:jc w:val="center"/>
        <w:rPr>
          <w:rFonts w:hAnsi="宋体"/>
          <w:b/>
          <w:color w:val="auto"/>
          <w:sz w:val="44"/>
          <w:szCs w:val="44"/>
        </w:rPr>
        <w:sectPr>
          <w:headerReference r:id="rId4" w:type="first"/>
          <w:headerReference r:id="rId3" w:type="default"/>
          <w:footerReference r:id="rId5" w:type="default"/>
          <w:footerReference r:id="rId6" w:type="even"/>
          <w:pgSz w:w="11907" w:h="16840"/>
          <w:pgMar w:top="1247" w:right="1000" w:bottom="1247" w:left="1247" w:header="851" w:footer="892" w:gutter="0"/>
          <w:cols w:space="720" w:num="1"/>
          <w:titlePg/>
          <w:docGrid w:type="linesAndChars" w:linePitch="312" w:charSpace="0"/>
        </w:sectPr>
      </w:pPr>
    </w:p>
    <w:sdt>
      <w:sdtPr>
        <w:rPr>
          <w:rFonts w:ascii="宋体" w:hAnsi="宋体"/>
          <w:b/>
          <w:bCs/>
          <w:color w:val="auto"/>
          <w:sz w:val="32"/>
          <w:szCs w:val="40"/>
        </w:rPr>
        <w:id w:val="147477899"/>
        <w:docPartObj>
          <w:docPartGallery w:val="Table of Contents"/>
          <w:docPartUnique/>
        </w:docPartObj>
      </w:sdtPr>
      <w:sdtEndPr>
        <w:rPr>
          <w:rFonts w:ascii="宋体" w:hAnsi="宋体"/>
          <w:b/>
          <w:bCs/>
          <w:color w:val="auto"/>
          <w:sz w:val="32"/>
          <w:szCs w:val="40"/>
        </w:rPr>
      </w:sdtEndPr>
      <w:sdtContent>
        <w:p w14:paraId="6165B127">
          <w:pPr>
            <w:spacing w:line="600" w:lineRule="auto"/>
            <w:jc w:val="center"/>
            <w:rPr>
              <w:rFonts w:ascii="宋体" w:hAnsi="宋体"/>
              <w:b/>
              <w:bCs/>
              <w:color w:val="auto"/>
              <w:sz w:val="32"/>
              <w:szCs w:val="40"/>
            </w:rPr>
          </w:pPr>
        </w:p>
        <w:p w14:paraId="402ED5C7">
          <w:pPr>
            <w:spacing w:line="600" w:lineRule="auto"/>
            <w:jc w:val="center"/>
            <w:rPr>
              <w:b/>
              <w:bCs/>
              <w:color w:val="auto"/>
              <w:sz w:val="28"/>
              <w:szCs w:val="28"/>
            </w:rPr>
          </w:pPr>
          <w:r>
            <w:rPr>
              <w:rFonts w:ascii="宋体" w:hAnsi="宋体"/>
              <w:b/>
              <w:bCs/>
              <w:color w:val="auto"/>
              <w:sz w:val="40"/>
              <w:szCs w:val="48"/>
            </w:rPr>
            <w:t>目</w:t>
          </w:r>
          <w:r>
            <w:rPr>
              <w:rFonts w:hint="eastAsia" w:ascii="宋体" w:hAnsi="宋体"/>
              <w:b/>
              <w:bCs/>
              <w:color w:val="auto"/>
              <w:sz w:val="40"/>
              <w:szCs w:val="48"/>
            </w:rPr>
            <w:t xml:space="preserve">   </w:t>
          </w:r>
          <w:r>
            <w:rPr>
              <w:rFonts w:ascii="宋体" w:hAnsi="宋体"/>
              <w:b/>
              <w:bCs/>
              <w:color w:val="auto"/>
              <w:sz w:val="40"/>
              <w:szCs w:val="48"/>
            </w:rPr>
            <w:t>录</w:t>
          </w:r>
          <w:r>
            <w:rPr>
              <w:b/>
              <w:bCs/>
              <w:color w:val="auto"/>
              <w:sz w:val="28"/>
              <w:szCs w:val="28"/>
            </w:rPr>
            <w:fldChar w:fldCharType="begin"/>
          </w:r>
          <w:r>
            <w:rPr>
              <w:b/>
              <w:bCs/>
              <w:color w:val="auto"/>
              <w:sz w:val="28"/>
              <w:szCs w:val="28"/>
            </w:rPr>
            <w:instrText xml:space="preserve">TOC \o "1-1" \h \u </w:instrText>
          </w:r>
          <w:r>
            <w:rPr>
              <w:b/>
              <w:bCs/>
              <w:color w:val="auto"/>
              <w:sz w:val="28"/>
              <w:szCs w:val="28"/>
            </w:rPr>
            <w:fldChar w:fldCharType="separate"/>
          </w:r>
        </w:p>
        <w:p w14:paraId="0522586A">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"_Toc7469" </w:instrText>
          </w:r>
          <w:r>
            <w:rPr>
              <w:color w:val="auto"/>
            </w:rPr>
            <w:fldChar w:fldCharType="separate"/>
          </w:r>
          <w:r>
            <w:rPr>
              <w:rFonts w:hint="eastAsia" w:hAnsi="宋体"/>
              <w:b/>
              <w:bCs/>
              <w:color w:val="auto"/>
              <w:sz w:val="28"/>
              <w:szCs w:val="52"/>
            </w:rPr>
            <w:t>第一章 竞争性磋商公告</w:t>
          </w:r>
          <w:r>
            <w:rPr>
              <w:b/>
              <w:bCs/>
              <w:color w:val="auto"/>
              <w:sz w:val="28"/>
              <w:szCs w:val="28"/>
            </w:rPr>
            <w:tab/>
          </w:r>
          <w:r>
            <w:rPr>
              <w:b/>
              <w:bCs/>
              <w:color w:val="auto"/>
              <w:sz w:val="28"/>
              <w:szCs w:val="28"/>
            </w:rPr>
            <w:fldChar w:fldCharType="begin"/>
          </w:r>
          <w:r>
            <w:rPr>
              <w:b/>
              <w:bCs/>
              <w:color w:val="auto"/>
              <w:sz w:val="28"/>
              <w:szCs w:val="28"/>
            </w:rPr>
            <w:instrText xml:space="preserve"> PAGEREF _Toc7469 </w:instrText>
          </w:r>
          <w:r>
            <w:rPr>
              <w:b/>
              <w:bCs/>
              <w:color w:val="auto"/>
              <w:sz w:val="28"/>
              <w:szCs w:val="28"/>
            </w:rPr>
            <w:fldChar w:fldCharType="separate"/>
          </w:r>
          <w:r>
            <w:rPr>
              <w:b/>
              <w:bCs/>
              <w:color w:val="auto"/>
              <w:sz w:val="28"/>
              <w:szCs w:val="28"/>
            </w:rPr>
            <w:t>1</w:t>
          </w:r>
          <w:r>
            <w:rPr>
              <w:b/>
              <w:bCs/>
              <w:color w:val="auto"/>
              <w:sz w:val="28"/>
              <w:szCs w:val="28"/>
            </w:rPr>
            <w:fldChar w:fldCharType="end"/>
          </w:r>
          <w:r>
            <w:rPr>
              <w:b/>
              <w:bCs/>
              <w:color w:val="auto"/>
              <w:sz w:val="28"/>
              <w:szCs w:val="28"/>
            </w:rPr>
            <w:fldChar w:fldCharType="end"/>
          </w:r>
        </w:p>
        <w:p w14:paraId="28E02D3C">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"_Toc18681" </w:instrText>
          </w:r>
          <w:r>
            <w:rPr>
              <w:color w:val="auto"/>
            </w:rPr>
            <w:fldChar w:fldCharType="separate"/>
          </w:r>
          <w:r>
            <w:rPr>
              <w:rFonts w:hint="eastAsia" w:hAnsi="宋体"/>
              <w:b/>
              <w:bCs/>
              <w:color w:val="auto"/>
              <w:sz w:val="28"/>
              <w:szCs w:val="52"/>
            </w:rPr>
            <w:t>第二章 磋商供应商须知及前附表</w:t>
          </w:r>
          <w:r>
            <w:rPr>
              <w:b/>
              <w:bCs/>
              <w:color w:val="auto"/>
              <w:sz w:val="28"/>
              <w:szCs w:val="28"/>
            </w:rPr>
            <w:tab/>
          </w:r>
          <w:r>
            <w:rPr>
              <w:b/>
              <w:bCs/>
              <w:color w:val="auto"/>
              <w:sz w:val="28"/>
              <w:szCs w:val="28"/>
            </w:rPr>
            <w:fldChar w:fldCharType="begin"/>
          </w:r>
          <w:r>
            <w:rPr>
              <w:b/>
              <w:bCs/>
              <w:color w:val="auto"/>
              <w:sz w:val="28"/>
              <w:szCs w:val="28"/>
            </w:rPr>
            <w:instrText xml:space="preserve"> PAGEREF _Toc18681 </w:instrText>
          </w:r>
          <w:r>
            <w:rPr>
              <w:b/>
              <w:bCs/>
              <w:color w:val="auto"/>
              <w:sz w:val="28"/>
              <w:szCs w:val="28"/>
            </w:rPr>
            <w:fldChar w:fldCharType="separate"/>
          </w:r>
          <w:r>
            <w:rPr>
              <w:b/>
              <w:bCs/>
              <w:color w:val="auto"/>
              <w:sz w:val="28"/>
              <w:szCs w:val="28"/>
            </w:rPr>
            <w:t>6</w:t>
          </w:r>
          <w:r>
            <w:rPr>
              <w:b/>
              <w:bCs/>
              <w:color w:val="auto"/>
              <w:sz w:val="28"/>
              <w:szCs w:val="28"/>
            </w:rPr>
            <w:fldChar w:fldCharType="end"/>
          </w:r>
          <w:r>
            <w:rPr>
              <w:b/>
              <w:bCs/>
              <w:color w:val="auto"/>
              <w:sz w:val="28"/>
              <w:szCs w:val="28"/>
            </w:rPr>
            <w:fldChar w:fldCharType="end"/>
          </w:r>
        </w:p>
        <w:p w14:paraId="7E18CE5E">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"_Toc19803" </w:instrText>
          </w:r>
          <w:r>
            <w:rPr>
              <w:color w:val="auto"/>
            </w:rPr>
            <w:fldChar w:fldCharType="separate"/>
          </w:r>
          <w:r>
            <w:rPr>
              <w:rFonts w:hAnsi="宋体"/>
              <w:b/>
              <w:bCs/>
              <w:color w:val="auto"/>
              <w:sz w:val="28"/>
              <w:szCs w:val="52"/>
            </w:rPr>
            <w:t>第</w:t>
          </w:r>
          <w:r>
            <w:rPr>
              <w:rFonts w:hint="eastAsia" w:hAnsi="宋体"/>
              <w:b/>
              <w:bCs/>
              <w:color w:val="auto"/>
              <w:sz w:val="28"/>
              <w:szCs w:val="52"/>
            </w:rPr>
            <w:t>三</w:t>
          </w:r>
          <w:r>
            <w:rPr>
              <w:rFonts w:hAnsi="宋体"/>
              <w:b/>
              <w:bCs/>
              <w:color w:val="auto"/>
              <w:sz w:val="28"/>
              <w:szCs w:val="52"/>
            </w:rPr>
            <w:t>章  合同条款及格式</w:t>
          </w:r>
          <w:r>
            <w:rPr>
              <w:b/>
              <w:bCs/>
              <w:color w:val="auto"/>
              <w:sz w:val="28"/>
              <w:szCs w:val="28"/>
            </w:rPr>
            <w:tab/>
          </w:r>
          <w:r>
            <w:rPr>
              <w:b/>
              <w:bCs/>
              <w:color w:val="auto"/>
              <w:sz w:val="28"/>
              <w:szCs w:val="28"/>
            </w:rPr>
            <w:fldChar w:fldCharType="begin"/>
          </w:r>
          <w:r>
            <w:rPr>
              <w:b/>
              <w:bCs/>
              <w:color w:val="auto"/>
              <w:sz w:val="28"/>
              <w:szCs w:val="28"/>
            </w:rPr>
            <w:instrText xml:space="preserve"> PAGEREF _Toc19803 </w:instrText>
          </w:r>
          <w:r>
            <w:rPr>
              <w:b/>
              <w:bCs/>
              <w:color w:val="auto"/>
              <w:sz w:val="28"/>
              <w:szCs w:val="28"/>
            </w:rPr>
            <w:fldChar w:fldCharType="separate"/>
          </w:r>
          <w:r>
            <w:rPr>
              <w:b/>
              <w:bCs/>
              <w:color w:val="auto"/>
              <w:sz w:val="28"/>
              <w:szCs w:val="28"/>
            </w:rPr>
            <w:t>22</w:t>
          </w:r>
          <w:r>
            <w:rPr>
              <w:b/>
              <w:bCs/>
              <w:color w:val="auto"/>
              <w:sz w:val="28"/>
              <w:szCs w:val="28"/>
            </w:rPr>
            <w:fldChar w:fldCharType="end"/>
          </w:r>
          <w:r>
            <w:rPr>
              <w:b/>
              <w:bCs/>
              <w:color w:val="auto"/>
              <w:sz w:val="28"/>
              <w:szCs w:val="28"/>
            </w:rPr>
            <w:fldChar w:fldCharType="end"/>
          </w:r>
        </w:p>
        <w:p w14:paraId="308AC9DD">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"_Toc26645" </w:instrText>
          </w:r>
          <w:r>
            <w:rPr>
              <w:color w:val="auto"/>
            </w:rPr>
            <w:fldChar w:fldCharType="separate"/>
          </w:r>
          <w:r>
            <w:rPr>
              <w:rFonts w:hint="eastAsia" w:hAnsi="宋体"/>
              <w:b/>
              <w:bCs/>
              <w:color w:val="auto"/>
              <w:sz w:val="28"/>
              <w:szCs w:val="52"/>
            </w:rPr>
            <w:t>第四章</w:t>
          </w:r>
          <w:r>
            <w:rPr>
              <w:rFonts w:hint="eastAsia" w:ascii="宋体" w:hAnsi="宋体"/>
              <w:b/>
              <w:bCs/>
              <w:color w:val="auto"/>
              <w:sz w:val="28"/>
              <w:szCs w:val="56"/>
            </w:rPr>
            <w:t xml:space="preserve"> </w:t>
          </w:r>
          <w:r>
            <w:rPr>
              <w:rFonts w:hint="eastAsia" w:hAnsi="宋体"/>
              <w:b/>
              <w:bCs/>
              <w:color w:val="auto"/>
              <w:sz w:val="28"/>
              <w:szCs w:val="52"/>
            </w:rPr>
            <w:t>工程量清单</w:t>
          </w:r>
          <w:r>
            <w:rPr>
              <w:b/>
              <w:bCs/>
              <w:color w:val="auto"/>
              <w:sz w:val="28"/>
              <w:szCs w:val="28"/>
            </w:rPr>
            <w:tab/>
          </w:r>
          <w:r>
            <w:rPr>
              <w:b/>
              <w:bCs/>
              <w:color w:val="auto"/>
              <w:sz w:val="28"/>
              <w:szCs w:val="28"/>
            </w:rPr>
            <w:fldChar w:fldCharType="begin"/>
          </w:r>
          <w:r>
            <w:rPr>
              <w:b/>
              <w:bCs/>
              <w:color w:val="auto"/>
              <w:sz w:val="28"/>
              <w:szCs w:val="28"/>
            </w:rPr>
            <w:instrText xml:space="preserve"> PAGEREF _Toc26645 </w:instrText>
          </w:r>
          <w:r>
            <w:rPr>
              <w:b/>
              <w:bCs/>
              <w:color w:val="auto"/>
              <w:sz w:val="28"/>
              <w:szCs w:val="28"/>
            </w:rPr>
            <w:fldChar w:fldCharType="separate"/>
          </w:r>
          <w:r>
            <w:rPr>
              <w:b/>
              <w:bCs/>
              <w:color w:val="auto"/>
              <w:sz w:val="28"/>
              <w:szCs w:val="28"/>
            </w:rPr>
            <w:t>72</w:t>
          </w:r>
          <w:r>
            <w:rPr>
              <w:b/>
              <w:bCs/>
              <w:color w:val="auto"/>
              <w:sz w:val="28"/>
              <w:szCs w:val="28"/>
            </w:rPr>
            <w:fldChar w:fldCharType="end"/>
          </w:r>
          <w:r>
            <w:rPr>
              <w:b/>
              <w:bCs/>
              <w:color w:val="auto"/>
              <w:sz w:val="28"/>
              <w:szCs w:val="28"/>
            </w:rPr>
            <w:fldChar w:fldCharType="end"/>
          </w:r>
        </w:p>
        <w:p w14:paraId="02A9724B">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"_Toc8893" </w:instrText>
          </w:r>
          <w:r>
            <w:rPr>
              <w:color w:val="auto"/>
            </w:rPr>
            <w:fldChar w:fldCharType="separate"/>
          </w:r>
          <w:r>
            <w:rPr>
              <w:rFonts w:hint="eastAsia" w:hAnsi="宋体"/>
              <w:b/>
              <w:bCs/>
              <w:color w:val="auto"/>
              <w:sz w:val="28"/>
              <w:szCs w:val="52"/>
            </w:rPr>
            <w:t>第五章  图纸</w:t>
          </w:r>
          <w:r>
            <w:rPr>
              <w:b/>
              <w:bCs/>
              <w:color w:val="auto"/>
              <w:sz w:val="28"/>
              <w:szCs w:val="28"/>
            </w:rPr>
            <w:tab/>
          </w:r>
          <w:r>
            <w:rPr>
              <w:b/>
              <w:bCs/>
              <w:color w:val="auto"/>
              <w:sz w:val="28"/>
              <w:szCs w:val="28"/>
            </w:rPr>
            <w:fldChar w:fldCharType="begin"/>
          </w:r>
          <w:r>
            <w:rPr>
              <w:b/>
              <w:bCs/>
              <w:color w:val="auto"/>
              <w:sz w:val="28"/>
              <w:szCs w:val="28"/>
            </w:rPr>
            <w:instrText xml:space="preserve"> PAGEREF _Toc8893 </w:instrText>
          </w:r>
          <w:r>
            <w:rPr>
              <w:b/>
              <w:bCs/>
              <w:color w:val="auto"/>
              <w:sz w:val="28"/>
              <w:szCs w:val="28"/>
            </w:rPr>
            <w:fldChar w:fldCharType="separate"/>
          </w:r>
          <w:r>
            <w:rPr>
              <w:b/>
              <w:bCs/>
              <w:color w:val="auto"/>
              <w:sz w:val="28"/>
              <w:szCs w:val="28"/>
            </w:rPr>
            <w:t>73</w:t>
          </w:r>
          <w:r>
            <w:rPr>
              <w:b/>
              <w:bCs/>
              <w:color w:val="auto"/>
              <w:sz w:val="28"/>
              <w:szCs w:val="28"/>
            </w:rPr>
            <w:fldChar w:fldCharType="end"/>
          </w:r>
          <w:r>
            <w:rPr>
              <w:b/>
              <w:bCs/>
              <w:color w:val="auto"/>
              <w:sz w:val="28"/>
              <w:szCs w:val="28"/>
            </w:rPr>
            <w:fldChar w:fldCharType="end"/>
          </w:r>
        </w:p>
        <w:p w14:paraId="04F66B2C">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"_Toc2801" </w:instrText>
          </w:r>
          <w:r>
            <w:rPr>
              <w:color w:val="auto"/>
            </w:rPr>
            <w:fldChar w:fldCharType="separate"/>
          </w:r>
          <w:r>
            <w:rPr>
              <w:rFonts w:hint="eastAsia" w:hAnsi="宋体"/>
              <w:b/>
              <w:bCs/>
              <w:color w:val="auto"/>
              <w:sz w:val="28"/>
              <w:szCs w:val="52"/>
            </w:rPr>
            <w:t>第六章  技术标准和要求</w:t>
          </w:r>
          <w:r>
            <w:rPr>
              <w:b/>
              <w:bCs/>
              <w:color w:val="auto"/>
              <w:sz w:val="28"/>
              <w:szCs w:val="28"/>
            </w:rPr>
            <w:tab/>
          </w:r>
          <w:r>
            <w:rPr>
              <w:b/>
              <w:bCs/>
              <w:color w:val="auto"/>
              <w:sz w:val="28"/>
              <w:szCs w:val="28"/>
            </w:rPr>
            <w:fldChar w:fldCharType="begin"/>
          </w:r>
          <w:r>
            <w:rPr>
              <w:b/>
              <w:bCs/>
              <w:color w:val="auto"/>
              <w:sz w:val="28"/>
              <w:szCs w:val="28"/>
            </w:rPr>
            <w:instrText xml:space="preserve"> PAGEREF _Toc2801 </w:instrText>
          </w:r>
          <w:r>
            <w:rPr>
              <w:b/>
              <w:bCs/>
              <w:color w:val="auto"/>
              <w:sz w:val="28"/>
              <w:szCs w:val="28"/>
            </w:rPr>
            <w:fldChar w:fldCharType="separate"/>
          </w:r>
          <w:r>
            <w:rPr>
              <w:b/>
              <w:bCs/>
              <w:color w:val="auto"/>
              <w:sz w:val="28"/>
              <w:szCs w:val="28"/>
            </w:rPr>
            <w:t>74</w:t>
          </w:r>
          <w:r>
            <w:rPr>
              <w:b/>
              <w:bCs/>
              <w:color w:val="auto"/>
              <w:sz w:val="28"/>
              <w:szCs w:val="28"/>
            </w:rPr>
            <w:fldChar w:fldCharType="end"/>
          </w:r>
          <w:r>
            <w:rPr>
              <w:b/>
              <w:bCs/>
              <w:color w:val="auto"/>
              <w:sz w:val="28"/>
              <w:szCs w:val="28"/>
            </w:rPr>
            <w:fldChar w:fldCharType="end"/>
          </w:r>
        </w:p>
        <w:p w14:paraId="56A6A663">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"_Toc8127" </w:instrText>
          </w:r>
          <w:r>
            <w:rPr>
              <w:color w:val="auto"/>
            </w:rPr>
            <w:fldChar w:fldCharType="separate"/>
          </w:r>
          <w:r>
            <w:rPr>
              <w:rFonts w:hint="eastAsia" w:hAnsi="宋体"/>
              <w:b/>
              <w:bCs/>
              <w:color w:val="auto"/>
              <w:sz w:val="28"/>
              <w:szCs w:val="52"/>
            </w:rPr>
            <w:t>第七章  《响应文件》（格式）</w:t>
          </w:r>
          <w:r>
            <w:rPr>
              <w:b/>
              <w:bCs/>
              <w:color w:val="auto"/>
              <w:sz w:val="28"/>
              <w:szCs w:val="28"/>
            </w:rPr>
            <w:tab/>
          </w:r>
          <w:r>
            <w:rPr>
              <w:b/>
              <w:bCs/>
              <w:color w:val="auto"/>
              <w:sz w:val="28"/>
              <w:szCs w:val="28"/>
            </w:rPr>
            <w:fldChar w:fldCharType="begin"/>
          </w:r>
          <w:r>
            <w:rPr>
              <w:b/>
              <w:bCs/>
              <w:color w:val="auto"/>
              <w:sz w:val="28"/>
              <w:szCs w:val="28"/>
            </w:rPr>
            <w:instrText xml:space="preserve"> PAGEREF _Toc8127 </w:instrText>
          </w:r>
          <w:r>
            <w:rPr>
              <w:b/>
              <w:bCs/>
              <w:color w:val="auto"/>
              <w:sz w:val="28"/>
              <w:szCs w:val="28"/>
            </w:rPr>
            <w:fldChar w:fldCharType="separate"/>
          </w:r>
          <w:r>
            <w:rPr>
              <w:b/>
              <w:bCs/>
              <w:color w:val="auto"/>
              <w:sz w:val="28"/>
              <w:szCs w:val="28"/>
            </w:rPr>
            <w:t>75</w:t>
          </w:r>
          <w:r>
            <w:rPr>
              <w:b/>
              <w:bCs/>
              <w:color w:val="auto"/>
              <w:sz w:val="28"/>
              <w:szCs w:val="28"/>
            </w:rPr>
            <w:fldChar w:fldCharType="end"/>
          </w:r>
          <w:r>
            <w:rPr>
              <w:b/>
              <w:bCs/>
              <w:color w:val="auto"/>
              <w:sz w:val="28"/>
              <w:szCs w:val="28"/>
            </w:rPr>
            <w:fldChar w:fldCharType="end"/>
          </w:r>
        </w:p>
        <w:p w14:paraId="22077AFB">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"_Toc29768" </w:instrText>
          </w:r>
          <w:r>
            <w:rPr>
              <w:color w:val="auto"/>
            </w:rPr>
            <w:fldChar w:fldCharType="separate"/>
          </w:r>
          <w:r>
            <w:rPr>
              <w:rFonts w:hint="eastAsia" w:hAnsi="宋体"/>
              <w:b/>
              <w:bCs/>
              <w:color w:val="auto"/>
              <w:sz w:val="28"/>
              <w:szCs w:val="52"/>
            </w:rPr>
            <w:t>第八章  评标办法</w:t>
          </w:r>
          <w:r>
            <w:rPr>
              <w:b/>
              <w:bCs/>
              <w:color w:val="auto"/>
              <w:sz w:val="28"/>
              <w:szCs w:val="28"/>
            </w:rPr>
            <w:tab/>
          </w:r>
          <w:r>
            <w:rPr>
              <w:b/>
              <w:bCs/>
              <w:color w:val="auto"/>
              <w:sz w:val="28"/>
              <w:szCs w:val="28"/>
            </w:rPr>
            <w:fldChar w:fldCharType="begin"/>
          </w:r>
          <w:r>
            <w:rPr>
              <w:b/>
              <w:bCs/>
              <w:color w:val="auto"/>
              <w:sz w:val="28"/>
              <w:szCs w:val="28"/>
            </w:rPr>
            <w:instrText xml:space="preserve"> PAGEREF _Toc29768 </w:instrText>
          </w:r>
          <w:r>
            <w:rPr>
              <w:b/>
              <w:bCs/>
              <w:color w:val="auto"/>
              <w:sz w:val="28"/>
              <w:szCs w:val="28"/>
            </w:rPr>
            <w:fldChar w:fldCharType="separate"/>
          </w:r>
          <w:r>
            <w:rPr>
              <w:b/>
              <w:bCs/>
              <w:color w:val="auto"/>
              <w:sz w:val="28"/>
              <w:szCs w:val="28"/>
            </w:rPr>
            <w:t>96</w:t>
          </w:r>
          <w:r>
            <w:rPr>
              <w:b/>
              <w:bCs/>
              <w:color w:val="auto"/>
              <w:sz w:val="28"/>
              <w:szCs w:val="28"/>
            </w:rPr>
            <w:fldChar w:fldCharType="end"/>
          </w:r>
          <w:r>
            <w:rPr>
              <w:b/>
              <w:bCs/>
              <w:color w:val="auto"/>
              <w:sz w:val="28"/>
              <w:szCs w:val="28"/>
            </w:rPr>
            <w:fldChar w:fldCharType="end"/>
          </w:r>
        </w:p>
        <w:p w14:paraId="27C1C0C3">
          <w:pPr>
            <w:spacing w:line="600" w:lineRule="auto"/>
            <w:rPr>
              <w:color w:val="auto"/>
            </w:rPr>
          </w:pPr>
          <w:r>
            <w:rPr>
              <w:b/>
              <w:bCs/>
              <w:color w:val="auto"/>
              <w:sz w:val="28"/>
              <w:szCs w:val="28"/>
            </w:rPr>
            <w:fldChar w:fldCharType="end"/>
          </w:r>
        </w:p>
      </w:sdtContent>
    </w:sdt>
    <w:p w14:paraId="665F0E1F">
      <w:pPr>
        <w:pStyle w:val="26"/>
        <w:tabs>
          <w:tab w:val="left" w:pos="3780"/>
        </w:tabs>
        <w:spacing w:line="276" w:lineRule="auto"/>
        <w:rPr>
          <w:color w:val="auto"/>
        </w:rPr>
      </w:pPr>
    </w:p>
    <w:p w14:paraId="4ABA8EC3">
      <w:pPr>
        <w:pStyle w:val="26"/>
        <w:numPr>
          <w:ilvl w:val="0"/>
          <w:numId w:val="1"/>
        </w:numPr>
        <w:spacing w:line="276" w:lineRule="auto"/>
        <w:jc w:val="center"/>
        <w:outlineLvl w:val="0"/>
        <w:rPr>
          <w:rFonts w:hAnsi="宋体"/>
          <w:b/>
          <w:color w:val="auto"/>
          <w:sz w:val="32"/>
          <w:szCs w:val="32"/>
        </w:rPr>
        <w:sectPr>
          <w:headerReference r:id="rId7" w:type="default"/>
          <w:footerReference r:id="rId8" w:type="default"/>
          <w:pgSz w:w="11850" w:h="16783"/>
          <w:pgMar w:top="1247" w:right="964" w:bottom="1247" w:left="964" w:header="851" w:footer="890" w:gutter="0"/>
          <w:pgNumType w:start="1"/>
          <w:cols w:space="720" w:num="1"/>
          <w:docGrid w:type="linesAndChars" w:linePitch="312" w:charSpace="0"/>
        </w:sectPr>
      </w:pPr>
      <w:bookmarkStart w:id="1105" w:name="_GoBack"/>
      <w:bookmarkEnd w:id="1105"/>
      <w:bookmarkStart w:id="2" w:name="_Toc86935802"/>
    </w:p>
    <w:p w14:paraId="38D3D13E">
      <w:pPr>
        <w:pStyle w:val="26"/>
        <w:numPr>
          <w:ilvl w:val="0"/>
          <w:numId w:val="1"/>
        </w:numPr>
        <w:spacing w:line="276" w:lineRule="auto"/>
        <w:jc w:val="center"/>
        <w:outlineLvl w:val="0"/>
        <w:rPr>
          <w:rFonts w:hAnsi="宋体"/>
          <w:b/>
          <w:color w:val="auto"/>
          <w:sz w:val="36"/>
          <w:szCs w:val="36"/>
        </w:rPr>
      </w:pPr>
      <w:bookmarkStart w:id="3" w:name="_Toc7469"/>
      <w:r>
        <w:rPr>
          <w:rFonts w:hint="eastAsia" w:hAnsi="宋体"/>
          <w:b/>
          <w:color w:val="auto"/>
          <w:sz w:val="36"/>
          <w:szCs w:val="36"/>
        </w:rPr>
        <w:t>竞争性磋商公告</w:t>
      </w:r>
      <w:bookmarkEnd w:id="2"/>
      <w:bookmarkEnd w:id="3"/>
    </w:p>
    <w:p w14:paraId="0F89C79F">
      <w:pPr>
        <w:jc w:val="center"/>
        <w:rPr>
          <w:b/>
          <w:bCs/>
          <w:color w:val="auto"/>
          <w:sz w:val="32"/>
          <w:szCs w:val="40"/>
        </w:rPr>
      </w:pPr>
      <w:bookmarkStart w:id="4" w:name="OLE_LINK4"/>
      <w:r>
        <w:rPr>
          <w:rFonts w:hint="eastAsia"/>
          <w:b/>
          <w:bCs/>
          <w:color w:val="auto"/>
          <w:sz w:val="32"/>
          <w:szCs w:val="40"/>
          <w:lang w:eastAsia="zh-CN"/>
        </w:rPr>
        <w:t>广西诚华工程造价咨询有限公司</w:t>
      </w:r>
      <w:r>
        <w:rPr>
          <w:rFonts w:hint="eastAsia"/>
          <w:b/>
          <w:bCs/>
          <w:color w:val="auto"/>
          <w:sz w:val="32"/>
          <w:szCs w:val="40"/>
        </w:rPr>
        <w:t>关于</w:t>
      </w:r>
      <w:r>
        <w:rPr>
          <w:rFonts w:hint="eastAsia"/>
          <w:b/>
          <w:bCs/>
          <w:color w:val="auto"/>
          <w:sz w:val="32"/>
          <w:szCs w:val="40"/>
          <w:lang w:eastAsia="zh-CN"/>
        </w:rPr>
        <w:t>伯劳镇伯凤村委基础设施建设工程</w:t>
      </w:r>
      <w:r>
        <w:rPr>
          <w:rFonts w:hint="eastAsia"/>
          <w:b/>
          <w:bCs/>
          <w:color w:val="auto"/>
          <w:sz w:val="32"/>
          <w:szCs w:val="40"/>
        </w:rPr>
        <w:t>的竞争性磋商公告</w:t>
      </w:r>
    </w:p>
    <w:p w14:paraId="62540FBF">
      <w:pPr>
        <w:pStyle w:val="32"/>
        <w:rPr>
          <w:color w:val="auto"/>
        </w:rPr>
      </w:pPr>
    </w:p>
    <w:p w14:paraId="398351EF">
      <w:pPr>
        <w:pBdr>
          <w:top w:val="single" w:color="auto" w:sz="4" w:space="1"/>
          <w:left w:val="single" w:color="auto" w:sz="4" w:space="4"/>
          <w:bottom w:val="single" w:color="auto" w:sz="4" w:space="1"/>
          <w:right w:val="single" w:color="auto" w:sz="4" w:space="4"/>
        </w:pBd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项目概况</w:t>
      </w:r>
    </w:p>
    <w:p w14:paraId="73762F86">
      <w:pPr>
        <w:pBdr>
          <w:top w:val="single" w:color="auto" w:sz="4" w:space="1"/>
          <w:left w:val="single" w:color="auto" w:sz="4" w:space="4"/>
          <w:bottom w:val="single" w:color="auto" w:sz="4" w:space="1"/>
          <w:right w:val="single" w:color="auto" w:sz="4" w:space="4"/>
        </w:pBd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u w:val="single"/>
        </w:rPr>
        <w:t xml:space="preserve"> </w:t>
      </w:r>
      <w:r>
        <w:rPr>
          <w:rFonts w:hint="eastAsia" w:ascii="宋体" w:hAnsi="宋体" w:cs="宋体"/>
          <w:bCs/>
          <w:color w:val="auto"/>
          <w:spacing w:val="10"/>
          <w:kern w:val="0"/>
          <w:sz w:val="24"/>
          <w:u w:val="single"/>
          <w:lang w:eastAsia="zh-CN"/>
        </w:rPr>
        <w:t>伯劳镇伯凤村委基础设施建设工程</w:t>
      </w:r>
      <w:r>
        <w:rPr>
          <w:rFonts w:hint="eastAsia" w:ascii="宋体" w:hAnsi="宋体" w:cs="宋体"/>
          <w:bCs/>
          <w:color w:val="auto"/>
          <w:spacing w:val="10"/>
          <w:kern w:val="0"/>
          <w:sz w:val="24"/>
        </w:rPr>
        <w:t>的潜在供应商应在广西政府采购云平台（网址：</w:t>
      </w:r>
      <w:r>
        <w:rPr>
          <w:color w:val="auto"/>
        </w:rPr>
        <w:fldChar w:fldCharType="begin"/>
      </w:r>
      <w:r>
        <w:rPr>
          <w:color w:val="auto"/>
        </w:rPr>
        <w:instrText xml:space="preserve"> HYPERLINK "http://www.zcygov.cn）获取采购文件，并于2022年" </w:instrText>
      </w:r>
      <w:r>
        <w:rPr>
          <w:color w:val="auto"/>
        </w:rPr>
        <w:fldChar w:fldCharType="separate"/>
      </w:r>
      <w:r>
        <w:rPr>
          <w:rStyle w:val="63"/>
          <w:rFonts w:hint="eastAsia" w:ascii="宋体" w:hAnsi="宋体" w:cs="宋体"/>
          <w:bCs/>
          <w:color w:val="auto"/>
          <w:spacing w:val="10"/>
          <w:kern w:val="0"/>
          <w:sz w:val="24"/>
        </w:rPr>
        <w:t>https://www.gcy.zfcg.gxzf.gov.cn/）获取采购文件，并</w:t>
      </w:r>
      <w:r>
        <w:rPr>
          <w:rStyle w:val="63"/>
          <w:rFonts w:hint="eastAsia" w:ascii="宋体" w:hAnsi="宋体" w:cs="宋体"/>
          <w:bCs/>
          <w:color w:val="auto"/>
          <w:spacing w:val="10"/>
          <w:kern w:val="0"/>
          <w:sz w:val="24"/>
        </w:rPr>
        <w:fldChar w:fldCharType="end"/>
      </w:r>
      <w:r>
        <w:rPr>
          <w:rStyle w:val="63"/>
          <w:rFonts w:hint="eastAsia" w:ascii="宋体" w:hAnsi="宋体" w:cs="宋体"/>
          <w:bCs/>
          <w:color w:val="auto"/>
          <w:spacing w:val="10"/>
          <w:kern w:val="0"/>
          <w:sz w:val="24"/>
        </w:rPr>
        <w:t>于</w:t>
      </w:r>
      <w:r>
        <w:rPr>
          <w:rFonts w:hint="eastAsia" w:ascii="宋体" w:hAnsi="宋体" w:cs="宋体"/>
          <w:bCs/>
          <w:color w:val="auto"/>
          <w:spacing w:val="10"/>
          <w:kern w:val="0"/>
          <w:sz w:val="24"/>
          <w:u w:val="single"/>
        </w:rPr>
        <w:t>202</w:t>
      </w:r>
      <w:r>
        <w:rPr>
          <w:rFonts w:hint="eastAsia" w:ascii="宋体" w:hAnsi="宋体" w:cs="宋体"/>
          <w:bCs/>
          <w:color w:val="auto"/>
          <w:spacing w:val="10"/>
          <w:kern w:val="0"/>
          <w:sz w:val="24"/>
          <w:u w:val="single"/>
          <w:lang w:val="en-US" w:eastAsia="zh-CN"/>
        </w:rPr>
        <w:t>5</w:t>
      </w:r>
      <w:r>
        <w:rPr>
          <w:rFonts w:hint="eastAsia" w:ascii="宋体" w:hAnsi="宋体" w:cs="宋体"/>
          <w:bCs/>
          <w:color w:val="auto"/>
          <w:spacing w:val="10"/>
          <w:kern w:val="0"/>
          <w:sz w:val="24"/>
          <w:u w:val="single"/>
        </w:rPr>
        <w:t>年</w:t>
      </w:r>
      <w:r>
        <w:rPr>
          <w:rFonts w:hint="eastAsia" w:ascii="宋体" w:hAnsi="宋体" w:cs="宋体"/>
          <w:bCs/>
          <w:color w:val="auto"/>
          <w:spacing w:val="10"/>
          <w:kern w:val="0"/>
          <w:sz w:val="24"/>
          <w:u w:val="single"/>
          <w:lang w:val="en-US" w:eastAsia="zh-CN"/>
        </w:rPr>
        <w:t>11月24日09时30分</w:t>
      </w:r>
      <w:r>
        <w:rPr>
          <w:rFonts w:hint="eastAsia" w:ascii="宋体" w:hAnsi="宋体" w:cs="宋体"/>
          <w:bCs/>
          <w:color w:val="auto"/>
          <w:spacing w:val="10"/>
          <w:kern w:val="0"/>
          <w:sz w:val="24"/>
        </w:rPr>
        <w:t>（北京时间）前提交响应文件。</w:t>
      </w:r>
    </w:p>
    <w:p w14:paraId="77E8C880">
      <w:pPr>
        <w:pStyle w:val="3"/>
        <w:spacing w:before="60" w:after="60" w:line="360" w:lineRule="auto"/>
        <w:ind w:firstLine="600" w:firstLineChars="200"/>
        <w:jc w:val="both"/>
        <w:rPr>
          <w:rFonts w:ascii="宋体" w:hAnsi="宋体" w:cs="宋体"/>
          <w:color w:val="auto"/>
          <w:spacing w:val="10"/>
          <w:kern w:val="0"/>
          <w:sz w:val="28"/>
          <w:szCs w:val="28"/>
        </w:rPr>
      </w:pPr>
      <w:bookmarkStart w:id="5" w:name="_Toc6511"/>
      <w:bookmarkStart w:id="6" w:name="_Toc22257"/>
      <w:r>
        <w:rPr>
          <w:rFonts w:hint="eastAsia" w:ascii="宋体" w:hAnsi="宋体" w:cs="宋体"/>
          <w:color w:val="auto"/>
          <w:spacing w:val="10"/>
          <w:kern w:val="0"/>
          <w:sz w:val="28"/>
          <w:szCs w:val="28"/>
        </w:rPr>
        <w:t>一、项目基本情况</w:t>
      </w:r>
      <w:bookmarkEnd w:id="5"/>
      <w:bookmarkEnd w:id="6"/>
    </w:p>
    <w:p w14:paraId="5766C888">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项目编号：</w:t>
      </w:r>
      <w:r>
        <w:rPr>
          <w:rFonts w:hint="eastAsia" w:ascii="宋体" w:hAnsi="宋体" w:cs="宋体"/>
          <w:bCs/>
          <w:color w:val="auto"/>
          <w:spacing w:val="10"/>
          <w:kern w:val="0"/>
          <w:sz w:val="24"/>
          <w:lang w:eastAsia="zh-CN"/>
        </w:rPr>
        <w:t>QZZC2025-C2-210276-GXCH</w:t>
      </w:r>
      <w:r>
        <w:rPr>
          <w:rFonts w:hint="eastAsia" w:ascii="宋体" w:hAnsi="宋体" w:cs="宋体"/>
          <w:bCs/>
          <w:color w:val="auto"/>
          <w:spacing w:val="10"/>
          <w:kern w:val="0"/>
          <w:sz w:val="24"/>
        </w:rPr>
        <w:t xml:space="preserve">  </w:t>
      </w:r>
    </w:p>
    <w:p w14:paraId="33AAA483">
      <w:pPr>
        <w:spacing w:line="360" w:lineRule="auto"/>
        <w:ind w:firstLine="520" w:firstLineChars="200"/>
        <w:rPr>
          <w:rFonts w:hint="eastAsia" w:ascii="宋体" w:hAnsi="宋体" w:eastAsia="宋体" w:cs="宋体"/>
          <w:bCs/>
          <w:color w:val="auto"/>
          <w:spacing w:val="10"/>
          <w:kern w:val="0"/>
          <w:sz w:val="24"/>
          <w:lang w:eastAsia="zh-CN"/>
        </w:rPr>
      </w:pPr>
      <w:r>
        <w:rPr>
          <w:rFonts w:hint="eastAsia" w:ascii="宋体" w:hAnsi="宋体" w:cs="宋体"/>
          <w:bCs/>
          <w:color w:val="auto"/>
          <w:spacing w:val="10"/>
          <w:kern w:val="0"/>
          <w:sz w:val="24"/>
        </w:rPr>
        <w:t>项目名称：</w:t>
      </w:r>
      <w:r>
        <w:rPr>
          <w:rFonts w:hint="eastAsia" w:ascii="宋体" w:hAnsi="宋体" w:cs="宋体"/>
          <w:bCs/>
          <w:color w:val="auto"/>
          <w:spacing w:val="10"/>
          <w:kern w:val="0"/>
          <w:sz w:val="24"/>
          <w:lang w:eastAsia="zh-CN"/>
        </w:rPr>
        <w:t>伯劳镇伯凤村委基础设施建设工程</w:t>
      </w:r>
    </w:p>
    <w:p w14:paraId="13209E29">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采购方式：竞争性磋商</w:t>
      </w:r>
    </w:p>
    <w:p w14:paraId="0D2E22A8">
      <w:pPr>
        <w:spacing w:line="360" w:lineRule="auto"/>
        <w:ind w:firstLine="540" w:firstLineChars="225"/>
        <w:rPr>
          <w:rFonts w:ascii="宋体" w:hAnsi="宋体" w:cs="宋体"/>
          <w:bCs/>
          <w:color w:val="auto"/>
          <w:spacing w:val="10"/>
          <w:kern w:val="0"/>
          <w:sz w:val="24"/>
        </w:rPr>
      </w:pPr>
      <w:r>
        <w:rPr>
          <w:rFonts w:hint="eastAsia" w:ascii="宋体" w:hAnsi="宋体" w:cs="宋体"/>
          <w:color w:val="auto"/>
          <w:sz w:val="24"/>
        </w:rPr>
        <w:t xml:space="preserve">预算金额： </w:t>
      </w:r>
      <w:r>
        <w:rPr>
          <w:rFonts w:hint="eastAsia" w:ascii="宋体" w:hAnsi="宋体" w:cs="宋体"/>
          <w:bCs/>
          <w:color w:val="auto"/>
          <w:spacing w:val="10"/>
          <w:kern w:val="0"/>
          <w:sz w:val="24"/>
        </w:rPr>
        <w:t>968670.78元</w:t>
      </w:r>
    </w:p>
    <w:p w14:paraId="5AC1ABCE">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最高限价：</w:t>
      </w:r>
      <w:r>
        <w:rPr>
          <w:rFonts w:hint="eastAsia" w:ascii="宋体" w:hAnsi="宋体" w:cs="宋体"/>
          <w:color w:val="auto"/>
          <w:sz w:val="24"/>
        </w:rPr>
        <w:t>968670.78元</w:t>
      </w:r>
    </w:p>
    <w:p w14:paraId="1608819C">
      <w:pPr>
        <w:spacing w:line="360" w:lineRule="auto"/>
        <w:ind w:firstLine="520" w:firstLineChars="200"/>
        <w:rPr>
          <w:rFonts w:hint="eastAsia" w:ascii="宋体" w:hAnsi="宋体" w:cs="宋体"/>
          <w:bCs/>
          <w:color w:val="auto"/>
          <w:spacing w:val="10"/>
          <w:kern w:val="0"/>
          <w:sz w:val="24"/>
          <w:lang w:eastAsia="zh-CN"/>
        </w:rPr>
      </w:pPr>
      <w:r>
        <w:rPr>
          <w:rFonts w:hint="eastAsia" w:ascii="宋体" w:hAnsi="宋体" w:cs="宋体"/>
          <w:bCs/>
          <w:color w:val="auto"/>
          <w:spacing w:val="10"/>
          <w:kern w:val="0"/>
          <w:sz w:val="24"/>
          <w:lang w:eastAsia="zh-CN"/>
        </w:rPr>
        <w:t>采购需求：本工程名称为伯劳镇伯凤村委基础设施建设工程。主要建设内容：路肩、道路硬化1855米，路面宽3.5米、厚度20厘米；路灯46盏。工程质量要求合格。具体详见本项目工程量清单表，施工预算及有关资料。</w:t>
      </w:r>
    </w:p>
    <w:p w14:paraId="093C1D95">
      <w:pPr>
        <w:spacing w:line="360" w:lineRule="auto"/>
        <w:ind w:firstLine="520" w:firstLineChars="200"/>
        <w:rPr>
          <w:rFonts w:hint="eastAsia" w:ascii="宋体" w:hAnsi="宋体" w:cs="宋体"/>
          <w:bCs/>
          <w:color w:val="auto"/>
          <w:spacing w:val="10"/>
          <w:kern w:val="0"/>
          <w:sz w:val="24"/>
          <w:lang w:eastAsia="zh-CN"/>
        </w:rPr>
      </w:pPr>
      <w:r>
        <w:rPr>
          <w:rFonts w:hint="eastAsia" w:ascii="宋体" w:hAnsi="宋体" w:cs="宋体"/>
          <w:bCs/>
          <w:color w:val="auto"/>
          <w:spacing w:val="10"/>
          <w:kern w:val="0"/>
          <w:sz w:val="24"/>
          <w:lang w:eastAsia="zh-CN"/>
        </w:rPr>
        <w:t>合同履行期限：以开工令为准，工期为</w:t>
      </w:r>
      <w:r>
        <w:rPr>
          <w:rFonts w:hint="eastAsia" w:ascii="宋体" w:hAnsi="宋体" w:cs="宋体"/>
          <w:bCs/>
          <w:color w:val="auto"/>
          <w:spacing w:val="10"/>
          <w:kern w:val="0"/>
          <w:sz w:val="24"/>
          <w:lang w:val="en-US" w:eastAsia="zh-CN"/>
        </w:rPr>
        <w:t>120</w:t>
      </w:r>
      <w:r>
        <w:rPr>
          <w:rFonts w:hint="eastAsia" w:ascii="宋体" w:hAnsi="宋体" w:cs="宋体"/>
          <w:bCs/>
          <w:color w:val="auto"/>
          <w:spacing w:val="10"/>
          <w:kern w:val="0"/>
          <w:sz w:val="24"/>
          <w:lang w:eastAsia="zh-CN"/>
        </w:rPr>
        <w:t>日历天。</w:t>
      </w:r>
    </w:p>
    <w:p w14:paraId="2B511210">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本项目不接受联合体投标。</w:t>
      </w:r>
    </w:p>
    <w:p w14:paraId="273BBBFE">
      <w:pPr>
        <w:pStyle w:val="3"/>
        <w:spacing w:before="60" w:after="60" w:line="360" w:lineRule="auto"/>
        <w:ind w:firstLine="600" w:firstLineChars="200"/>
        <w:jc w:val="both"/>
        <w:rPr>
          <w:rFonts w:ascii="宋体" w:hAnsi="宋体" w:cs="宋体"/>
          <w:color w:val="auto"/>
          <w:spacing w:val="10"/>
          <w:kern w:val="0"/>
          <w:sz w:val="28"/>
          <w:szCs w:val="28"/>
        </w:rPr>
      </w:pPr>
      <w:bookmarkStart w:id="7" w:name="_Toc3951"/>
      <w:bookmarkStart w:id="8" w:name="_Toc11234"/>
      <w:r>
        <w:rPr>
          <w:rFonts w:hint="eastAsia" w:ascii="宋体" w:hAnsi="宋体" w:cs="宋体"/>
          <w:color w:val="auto"/>
          <w:spacing w:val="10"/>
          <w:kern w:val="0"/>
          <w:sz w:val="28"/>
          <w:szCs w:val="28"/>
        </w:rPr>
        <w:t>二、申请人的资格要求：</w:t>
      </w:r>
      <w:bookmarkEnd w:id="7"/>
      <w:bookmarkEnd w:id="8"/>
    </w:p>
    <w:p w14:paraId="123C08FF">
      <w:pPr>
        <w:spacing w:line="360" w:lineRule="auto"/>
        <w:ind w:firstLine="520" w:firstLineChars="200"/>
        <w:rPr>
          <w:rFonts w:ascii="宋体" w:hAnsi="宋体" w:cs="宋体"/>
          <w:bCs/>
          <w:color w:val="auto"/>
          <w:spacing w:val="10"/>
          <w:kern w:val="0"/>
          <w:sz w:val="24"/>
        </w:rPr>
      </w:pPr>
      <w:bookmarkStart w:id="9" w:name="_Toc7060"/>
      <w:bookmarkStart w:id="10" w:name="_Toc3405"/>
      <w:r>
        <w:rPr>
          <w:rFonts w:hint="eastAsia" w:ascii="宋体" w:hAnsi="宋体" w:cs="宋体"/>
          <w:bCs/>
          <w:color w:val="auto"/>
          <w:spacing w:val="10"/>
          <w:kern w:val="0"/>
          <w:sz w:val="24"/>
        </w:rPr>
        <w:t>1.满足《中华人民共和国政府采购法》第二十二条规定；</w:t>
      </w:r>
    </w:p>
    <w:p w14:paraId="79AD2B17">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2.落实政府采购政策需满足的资格要求：</w:t>
      </w:r>
      <w:r>
        <w:rPr>
          <w:rFonts w:hint="eastAsia" w:ascii="宋体" w:hAnsi="宋体" w:cs="宋体"/>
          <w:color w:val="auto"/>
          <w:sz w:val="24"/>
        </w:rPr>
        <w:t>本项目为专门面向中小企业采购的项目（供应商应为中小微企业或监狱企业或残疾人福利性单位)；</w:t>
      </w:r>
    </w:p>
    <w:p w14:paraId="4B35342C">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3.本项目的特定资格要求：</w:t>
      </w:r>
    </w:p>
    <w:p w14:paraId="36B863BF">
      <w:pPr>
        <w:spacing w:line="360" w:lineRule="auto"/>
        <w:ind w:firstLine="520" w:firstLineChars="200"/>
        <w:rPr>
          <w:rFonts w:ascii="宋体" w:hAnsi="宋体" w:cs="宋体"/>
          <w:bCs/>
          <w:color w:val="auto"/>
          <w:spacing w:val="10"/>
          <w:kern w:val="0"/>
          <w:sz w:val="24"/>
          <w:lang w:val="zh-CN"/>
        </w:rPr>
      </w:pPr>
      <w:r>
        <w:rPr>
          <w:rFonts w:hint="eastAsia" w:ascii="宋体" w:hAnsi="宋体" w:cs="宋体"/>
          <w:bCs/>
          <w:color w:val="auto"/>
          <w:spacing w:val="10"/>
          <w:kern w:val="0"/>
          <w:sz w:val="24"/>
          <w:lang w:val="zh-CN"/>
        </w:rPr>
        <w:t>（一）满足《中华人民共和国政府采购法》第二十二条规定。</w:t>
      </w:r>
    </w:p>
    <w:p w14:paraId="109450D3">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lang w:val="zh-CN"/>
        </w:rPr>
        <w:t>（二）</w:t>
      </w:r>
      <w:r>
        <w:rPr>
          <w:rFonts w:hint="eastAsia" w:ascii="宋体" w:hAnsi="宋体" w:cs="宋体"/>
          <w:bCs/>
          <w:color w:val="auto"/>
          <w:spacing w:val="10"/>
          <w:kern w:val="0"/>
          <w:sz w:val="24"/>
        </w:rPr>
        <w:t>竞标人须</w:t>
      </w:r>
      <w:r>
        <w:rPr>
          <w:rFonts w:hint="eastAsia" w:ascii="宋体" w:hAnsi="宋体" w:cs="宋体"/>
          <w:bCs/>
          <w:color w:val="auto"/>
          <w:spacing w:val="10"/>
          <w:kern w:val="0"/>
          <w:sz w:val="24"/>
          <w:lang w:eastAsia="zh-CN"/>
        </w:rPr>
        <w:t>具备市政公用工程</w:t>
      </w:r>
      <w:r>
        <w:rPr>
          <w:rFonts w:hint="eastAsia" w:ascii="宋体" w:hAnsi="宋体" w:cs="宋体"/>
          <w:bCs/>
          <w:color w:val="auto"/>
          <w:spacing w:val="10"/>
          <w:kern w:val="0"/>
          <w:sz w:val="24"/>
        </w:rPr>
        <w:t>施工总承包叁级及以上资质，并在人员、设备、资金等方面具备相应的施工能力。其中，竞标人拟派项目经理须</w:t>
      </w:r>
      <w:r>
        <w:rPr>
          <w:rFonts w:hint="eastAsia" w:ascii="宋体" w:hAnsi="宋体" w:cs="宋体"/>
          <w:bCs/>
          <w:color w:val="auto"/>
          <w:spacing w:val="10"/>
          <w:kern w:val="0"/>
          <w:sz w:val="24"/>
          <w:lang w:eastAsia="zh-CN"/>
        </w:rPr>
        <w:t>具备市政公用工程</w:t>
      </w:r>
      <w:r>
        <w:rPr>
          <w:rFonts w:hint="eastAsia" w:ascii="宋体" w:hAnsi="宋体" w:cs="宋体"/>
          <w:bCs/>
          <w:color w:val="auto"/>
          <w:spacing w:val="10"/>
          <w:kern w:val="0"/>
          <w:sz w:val="24"/>
        </w:rPr>
        <w:t>专业二级及以上注册建造师执业资格， 具备有效的安全生产考核合格证书（B 类）。</w:t>
      </w:r>
    </w:p>
    <w:p w14:paraId="07B7CDE5">
      <w:pPr>
        <w:pStyle w:val="206"/>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rPr>
        <w:t>三</w:t>
      </w:r>
      <w:r>
        <w:rPr>
          <w:rFonts w:hint="eastAsia" w:ascii="宋体" w:hAnsi="宋体" w:cs="宋体"/>
          <w:color w:val="auto"/>
          <w:sz w:val="24"/>
          <w:szCs w:val="24"/>
          <w:lang w:val="zh-CN"/>
        </w:rPr>
        <w:t>）单位负责人为同一人或者存在直接控股、管理关系的不同供应商，不得参加同一合同项下的政府采购活动。</w:t>
      </w:r>
    </w:p>
    <w:p w14:paraId="74549584">
      <w:pPr>
        <w:pStyle w:val="206"/>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rPr>
        <w:t>四</w:t>
      </w:r>
      <w:r>
        <w:rPr>
          <w:rFonts w:hint="eastAsia" w:ascii="宋体" w:hAnsi="宋体" w:cs="宋体"/>
          <w:color w:val="auto"/>
          <w:sz w:val="24"/>
          <w:szCs w:val="24"/>
          <w:lang w:val="zh-CN"/>
        </w:rPr>
        <w:t>）对在“信用中国”网站(www.creditchina.gov.cn)、中国政府采购网(www.ccgp.gov.cn)等渠道列入失信被执行人、重大税收违法</w:t>
      </w:r>
      <w:r>
        <w:rPr>
          <w:rFonts w:hint="eastAsia" w:ascii="宋体" w:hAnsi="宋体" w:cs="宋体"/>
          <w:color w:val="auto"/>
          <w:sz w:val="24"/>
          <w:szCs w:val="24"/>
        </w:rPr>
        <w:t>失信主体</w:t>
      </w:r>
      <w:r>
        <w:rPr>
          <w:rFonts w:hint="eastAsia" w:ascii="宋体" w:hAnsi="宋体" w:cs="宋体"/>
          <w:color w:val="auto"/>
          <w:sz w:val="24"/>
          <w:szCs w:val="24"/>
          <w:lang w:val="zh-CN"/>
        </w:rPr>
        <w:t>、政府采购严重违法失信行为记录名单及其他不符合《中华人民共和国政府采购法》第二十二条规定条件的供应商，不得参与政府采购活动。</w:t>
      </w:r>
    </w:p>
    <w:p w14:paraId="358A65D2">
      <w:pPr>
        <w:pStyle w:val="217"/>
        <w:tabs>
          <w:tab w:val="left" w:pos="1164"/>
        </w:tabs>
        <w:spacing w:line="417" w:lineRule="auto"/>
        <w:ind w:right="13" w:firstLine="480"/>
        <w:jc w:val="left"/>
        <w:rPr>
          <w:rFonts w:ascii="宋体" w:hAnsi="宋体" w:cs="宋体"/>
          <w:color w:val="auto"/>
          <w:kern w:val="0"/>
          <w:sz w:val="24"/>
          <w:szCs w:val="24"/>
        </w:rPr>
      </w:pPr>
      <w:r>
        <w:rPr>
          <w:rFonts w:hint="eastAsia" w:ascii="宋体" w:hAnsi="宋体" w:cs="宋体"/>
          <w:color w:val="auto"/>
          <w:sz w:val="24"/>
          <w:szCs w:val="24"/>
          <w:lang w:val="zh-CN"/>
        </w:rPr>
        <w:t>（</w:t>
      </w:r>
      <w:r>
        <w:rPr>
          <w:rFonts w:hint="eastAsia" w:ascii="宋体" w:hAnsi="宋体" w:cs="宋体"/>
          <w:color w:val="auto"/>
          <w:sz w:val="24"/>
          <w:szCs w:val="24"/>
        </w:rPr>
        <w:t>五</w:t>
      </w:r>
      <w:r>
        <w:rPr>
          <w:rFonts w:hint="eastAsia" w:ascii="宋体" w:hAnsi="宋体" w:cs="宋体"/>
          <w:color w:val="auto"/>
          <w:sz w:val="24"/>
          <w:szCs w:val="24"/>
          <w:lang w:val="zh-CN"/>
        </w:rPr>
        <w:t>）</w:t>
      </w:r>
      <w:r>
        <w:rPr>
          <w:rFonts w:hint="eastAsia" w:ascii="宋体" w:hAnsi="宋体" w:cs="宋体"/>
          <w:color w:val="auto"/>
          <w:kern w:val="0"/>
          <w:sz w:val="24"/>
          <w:szCs w:val="24"/>
        </w:rPr>
        <w:t>国内注册（指按国家有关规定要求注册的），具有法人资格，</w:t>
      </w:r>
      <w:r>
        <w:rPr>
          <w:rFonts w:hint="eastAsia" w:cs="宋体"/>
          <w:color w:val="auto"/>
          <w:kern w:val="0"/>
          <w:sz w:val="24"/>
          <w:szCs w:val="24"/>
        </w:rPr>
        <w:t>且具备经营或生产本次项目的供应商。</w:t>
      </w:r>
    </w:p>
    <w:p w14:paraId="0DE657CB">
      <w:pPr>
        <w:pStyle w:val="206"/>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rPr>
        <w:t>六</w:t>
      </w:r>
      <w:r>
        <w:rPr>
          <w:rFonts w:hint="eastAsia" w:ascii="宋体" w:hAnsi="宋体" w:cs="宋体"/>
          <w:color w:val="auto"/>
          <w:sz w:val="24"/>
          <w:szCs w:val="24"/>
          <w:lang w:val="zh-CN"/>
        </w:rPr>
        <w:t>）本项目不接受联合体投标。</w:t>
      </w:r>
    </w:p>
    <w:p w14:paraId="55FAD8A6">
      <w:pPr>
        <w:pStyle w:val="3"/>
        <w:spacing w:before="60" w:after="60" w:line="360" w:lineRule="auto"/>
        <w:ind w:firstLine="600" w:firstLineChars="200"/>
        <w:jc w:val="both"/>
        <w:rPr>
          <w:rFonts w:ascii="宋体" w:hAnsi="宋体" w:cs="宋体"/>
          <w:color w:val="auto"/>
          <w:spacing w:val="10"/>
          <w:kern w:val="0"/>
          <w:sz w:val="28"/>
          <w:szCs w:val="28"/>
        </w:rPr>
      </w:pPr>
      <w:r>
        <w:rPr>
          <w:rFonts w:hint="eastAsia" w:ascii="宋体" w:hAnsi="宋体" w:cs="宋体"/>
          <w:color w:val="auto"/>
          <w:spacing w:val="10"/>
          <w:kern w:val="0"/>
          <w:sz w:val="28"/>
          <w:szCs w:val="28"/>
        </w:rPr>
        <w:t>三、获取采购文件</w:t>
      </w:r>
      <w:bookmarkEnd w:id="9"/>
      <w:bookmarkEnd w:id="10"/>
    </w:p>
    <w:p w14:paraId="6CEA1ECC">
      <w:pPr>
        <w:spacing w:line="360" w:lineRule="auto"/>
        <w:ind w:firstLine="540"/>
        <w:rPr>
          <w:rFonts w:ascii="宋体" w:hAnsi="宋体" w:cs="宋体"/>
          <w:bCs/>
          <w:color w:val="auto"/>
          <w:spacing w:val="10"/>
          <w:kern w:val="0"/>
          <w:sz w:val="24"/>
        </w:rPr>
      </w:pPr>
      <w:r>
        <w:rPr>
          <w:rFonts w:hint="eastAsia" w:ascii="宋体" w:hAnsi="宋体" w:cs="宋体"/>
          <w:bCs/>
          <w:color w:val="auto"/>
          <w:spacing w:val="10"/>
          <w:kern w:val="0"/>
          <w:sz w:val="24"/>
        </w:rPr>
        <w:t>时间：202</w:t>
      </w:r>
      <w:r>
        <w:rPr>
          <w:rFonts w:hint="eastAsia" w:ascii="宋体" w:hAnsi="宋体" w:cs="宋体"/>
          <w:bCs/>
          <w:color w:val="auto"/>
          <w:spacing w:val="10"/>
          <w:kern w:val="0"/>
          <w:sz w:val="24"/>
          <w:lang w:val="en-US" w:eastAsia="zh-CN"/>
        </w:rPr>
        <w:t>5</w:t>
      </w:r>
      <w:r>
        <w:rPr>
          <w:rFonts w:hint="eastAsia" w:ascii="宋体" w:hAnsi="宋体" w:cs="宋体"/>
          <w:bCs/>
          <w:color w:val="auto"/>
          <w:spacing w:val="10"/>
          <w:kern w:val="0"/>
          <w:sz w:val="24"/>
        </w:rPr>
        <w:t>年</w:t>
      </w:r>
      <w:r>
        <w:rPr>
          <w:rFonts w:hint="eastAsia" w:ascii="宋体" w:hAnsi="宋体" w:cs="宋体"/>
          <w:bCs/>
          <w:color w:val="auto"/>
          <w:spacing w:val="10"/>
          <w:kern w:val="0"/>
          <w:sz w:val="24"/>
          <w:lang w:val="en-US" w:eastAsia="zh-CN"/>
        </w:rPr>
        <w:t>11</w:t>
      </w:r>
      <w:r>
        <w:rPr>
          <w:rFonts w:hint="eastAsia" w:ascii="宋体" w:hAnsi="宋体" w:cs="宋体"/>
          <w:bCs/>
          <w:color w:val="auto"/>
          <w:spacing w:val="10"/>
          <w:kern w:val="0"/>
          <w:sz w:val="24"/>
        </w:rPr>
        <w:t>月</w:t>
      </w:r>
      <w:r>
        <w:rPr>
          <w:rFonts w:hint="eastAsia" w:ascii="宋体" w:hAnsi="宋体" w:cs="宋体"/>
          <w:bCs/>
          <w:color w:val="auto"/>
          <w:spacing w:val="10"/>
          <w:kern w:val="0"/>
          <w:sz w:val="24"/>
          <w:lang w:val="en-US" w:eastAsia="zh-CN"/>
        </w:rPr>
        <w:t>14</w:t>
      </w:r>
      <w:r>
        <w:rPr>
          <w:rFonts w:hint="eastAsia" w:ascii="宋体" w:hAnsi="宋体" w:cs="宋体"/>
          <w:bCs/>
          <w:color w:val="auto"/>
          <w:spacing w:val="10"/>
          <w:kern w:val="0"/>
          <w:sz w:val="24"/>
        </w:rPr>
        <w:t>日至202</w:t>
      </w:r>
      <w:r>
        <w:rPr>
          <w:rFonts w:hint="eastAsia" w:ascii="宋体" w:hAnsi="宋体" w:cs="宋体"/>
          <w:bCs/>
          <w:color w:val="auto"/>
          <w:spacing w:val="10"/>
          <w:kern w:val="0"/>
          <w:sz w:val="24"/>
          <w:lang w:val="en-US" w:eastAsia="zh-CN"/>
        </w:rPr>
        <w:t>5</w:t>
      </w:r>
      <w:r>
        <w:rPr>
          <w:rFonts w:hint="eastAsia" w:ascii="宋体" w:hAnsi="宋体" w:cs="宋体"/>
          <w:bCs/>
          <w:color w:val="auto"/>
          <w:spacing w:val="10"/>
          <w:kern w:val="0"/>
          <w:sz w:val="24"/>
        </w:rPr>
        <w:t>年</w:t>
      </w:r>
      <w:r>
        <w:rPr>
          <w:rFonts w:hint="eastAsia" w:ascii="宋体" w:hAnsi="宋体" w:cs="宋体"/>
          <w:bCs/>
          <w:color w:val="auto"/>
          <w:spacing w:val="10"/>
          <w:kern w:val="0"/>
          <w:sz w:val="24"/>
          <w:lang w:val="en-US" w:eastAsia="zh-CN"/>
        </w:rPr>
        <w:t>11</w:t>
      </w:r>
      <w:r>
        <w:rPr>
          <w:rFonts w:hint="eastAsia" w:ascii="宋体" w:hAnsi="宋体" w:cs="宋体"/>
          <w:bCs/>
          <w:color w:val="auto"/>
          <w:spacing w:val="10"/>
          <w:kern w:val="0"/>
          <w:sz w:val="24"/>
        </w:rPr>
        <w:t>月</w:t>
      </w:r>
      <w:r>
        <w:rPr>
          <w:rFonts w:hint="eastAsia" w:ascii="宋体" w:hAnsi="宋体" w:cs="宋体"/>
          <w:bCs/>
          <w:color w:val="auto"/>
          <w:spacing w:val="10"/>
          <w:kern w:val="0"/>
          <w:sz w:val="24"/>
          <w:lang w:val="en-US" w:eastAsia="zh-CN"/>
        </w:rPr>
        <w:t>21</w:t>
      </w:r>
      <w:r>
        <w:rPr>
          <w:rFonts w:hint="eastAsia" w:ascii="宋体" w:hAnsi="宋体" w:cs="宋体"/>
          <w:bCs/>
          <w:color w:val="auto"/>
          <w:spacing w:val="10"/>
          <w:kern w:val="0"/>
          <w:sz w:val="24"/>
        </w:rPr>
        <w:t>日，每天上午8：00至12:00，下午15:00至18：00（北京时间，周末和法定节假日除外）。</w:t>
      </w:r>
    </w:p>
    <w:p w14:paraId="4784714E">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地点：广西政府采购云平台（网址： https://www.gcy.zfcg.gxzf.gov.cn/）。</w:t>
      </w:r>
    </w:p>
    <w:p w14:paraId="30B075DC">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lang w:eastAsia="en-US"/>
        </w:rPr>
        <w:t>方式：</w:t>
      </w:r>
      <w:r>
        <w:rPr>
          <w:rFonts w:hint="eastAsia" w:ascii="宋体" w:hAnsi="宋体" w:cs="宋体"/>
          <w:bCs/>
          <w:color w:val="auto"/>
          <w:spacing w:val="10"/>
          <w:kern w:val="0"/>
          <w:sz w:val="24"/>
        </w:rPr>
        <w:t>网上自行下载，本项目不发放纸质采购文件，潜在供应商可自行登录广西政府采购云平台（网址： https://www.gcy.zfcg.gxzf.gov.cn/）下载采购文件（操作路径：登录“政采云”平台→项目采购→获取采购文件→搜索找到本项目→点击“申请获取采购文件”</w:t>
      </w:r>
    </w:p>
    <w:p w14:paraId="4BB74D9C">
      <w:pPr>
        <w:spacing w:line="360" w:lineRule="auto"/>
        <w:ind w:firstLine="540"/>
        <w:rPr>
          <w:rFonts w:ascii="宋体" w:hAnsi="宋体" w:cs="宋体"/>
          <w:bCs/>
          <w:color w:val="auto"/>
          <w:spacing w:val="10"/>
          <w:kern w:val="0"/>
          <w:sz w:val="24"/>
        </w:rPr>
      </w:pPr>
      <w:r>
        <w:rPr>
          <w:rFonts w:hint="eastAsia" w:ascii="宋体" w:hAnsi="宋体" w:cs="宋体"/>
          <w:bCs/>
          <w:color w:val="auto"/>
          <w:spacing w:val="10"/>
          <w:kern w:val="0"/>
          <w:sz w:val="24"/>
        </w:rPr>
        <w:t>售价：0元。</w:t>
      </w:r>
    </w:p>
    <w:p w14:paraId="7418BD9C">
      <w:pPr>
        <w:pStyle w:val="3"/>
        <w:spacing w:before="60" w:after="60" w:line="360" w:lineRule="auto"/>
        <w:ind w:firstLine="600" w:firstLineChars="200"/>
        <w:jc w:val="both"/>
        <w:rPr>
          <w:rFonts w:ascii="宋体" w:hAnsi="宋体" w:cs="宋体"/>
          <w:color w:val="auto"/>
          <w:spacing w:val="10"/>
          <w:kern w:val="0"/>
          <w:sz w:val="28"/>
          <w:szCs w:val="28"/>
        </w:rPr>
      </w:pPr>
      <w:bookmarkStart w:id="11" w:name="_Toc24232"/>
      <w:bookmarkStart w:id="12" w:name="_Toc25156"/>
      <w:r>
        <w:rPr>
          <w:rFonts w:hint="eastAsia" w:ascii="宋体" w:hAnsi="宋体" w:cs="宋体"/>
          <w:color w:val="auto"/>
          <w:spacing w:val="10"/>
          <w:kern w:val="0"/>
          <w:sz w:val="28"/>
          <w:szCs w:val="28"/>
        </w:rPr>
        <w:t>四、响应文件提交</w:t>
      </w:r>
      <w:bookmarkEnd w:id="11"/>
      <w:bookmarkEnd w:id="12"/>
    </w:p>
    <w:p w14:paraId="15E134C6">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截止时间：</w:t>
      </w:r>
      <w:r>
        <w:rPr>
          <w:rFonts w:hint="eastAsia" w:ascii="宋体" w:hAnsi="宋体" w:cs="宋体"/>
          <w:bCs/>
          <w:color w:val="auto"/>
          <w:spacing w:val="10"/>
          <w:kern w:val="0"/>
          <w:sz w:val="24"/>
          <w:u w:val="single"/>
          <w:lang w:eastAsia="zh-CN"/>
        </w:rPr>
        <w:t>2025年11月24日09时30分</w:t>
      </w:r>
      <w:r>
        <w:rPr>
          <w:rFonts w:hint="eastAsia" w:ascii="宋体" w:hAnsi="宋体" w:cs="宋体"/>
          <w:bCs/>
          <w:color w:val="auto"/>
          <w:spacing w:val="10"/>
          <w:kern w:val="0"/>
          <w:sz w:val="24"/>
        </w:rPr>
        <w:t>（北</w:t>
      </w:r>
      <w:r>
        <w:rPr>
          <w:rFonts w:hint="eastAsia" w:ascii="宋体" w:hAnsi="宋体" w:cs="宋体"/>
          <w:bCs/>
          <w:color w:val="auto"/>
          <w:spacing w:val="10"/>
          <w:kern w:val="0"/>
          <w:sz w:val="24"/>
        </w:rPr>
        <w:t>京时间）</w:t>
      </w:r>
    </w:p>
    <w:p w14:paraId="74883DA1">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地点：通过“政采云”平台（https://www.zcygov.cn）实行在线电子响应，供应商应先安装“广西政府采购云平台客户端（请自行前往“政采云”平台进行下载），并按照本项目的采购文件和“政采云”平台的要求进行编制、加密后在响应文件截止时间前上传至“政采云”平台”。供应商在“政采云”平台提交电子版响应文件时，请填写参加远程采购活动经办人联系方式。</w:t>
      </w:r>
    </w:p>
    <w:p w14:paraId="1F2F90FB">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 </w:t>
      </w:r>
    </w:p>
    <w:p w14:paraId="47226080">
      <w:pPr>
        <w:pStyle w:val="3"/>
        <w:spacing w:before="60" w:after="60" w:line="360" w:lineRule="auto"/>
        <w:ind w:firstLine="600" w:firstLineChars="200"/>
        <w:jc w:val="both"/>
        <w:rPr>
          <w:rFonts w:ascii="宋体" w:hAnsi="宋体" w:cs="宋体"/>
          <w:color w:val="auto"/>
          <w:spacing w:val="10"/>
          <w:kern w:val="0"/>
          <w:sz w:val="28"/>
          <w:szCs w:val="28"/>
        </w:rPr>
      </w:pPr>
      <w:r>
        <w:rPr>
          <w:rFonts w:hint="eastAsia" w:ascii="宋体" w:hAnsi="宋体" w:cs="宋体"/>
          <w:color w:val="auto"/>
          <w:spacing w:val="10"/>
          <w:kern w:val="0"/>
          <w:sz w:val="28"/>
          <w:szCs w:val="28"/>
        </w:rPr>
        <w:t>五、响应文件开启</w:t>
      </w:r>
    </w:p>
    <w:p w14:paraId="008DB818">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时间：</w:t>
      </w:r>
      <w:r>
        <w:rPr>
          <w:rFonts w:hint="eastAsia" w:ascii="宋体" w:hAnsi="宋体" w:cs="宋体"/>
          <w:bCs/>
          <w:color w:val="auto"/>
          <w:spacing w:val="10"/>
          <w:kern w:val="0"/>
          <w:sz w:val="24"/>
          <w:u w:val="single"/>
          <w:lang w:eastAsia="zh-CN"/>
        </w:rPr>
        <w:t>2025年11月24日09时30分</w:t>
      </w:r>
      <w:r>
        <w:rPr>
          <w:rFonts w:hint="eastAsia" w:ascii="宋体" w:hAnsi="宋体" w:cs="宋体"/>
          <w:bCs/>
          <w:color w:val="auto"/>
          <w:spacing w:val="10"/>
          <w:kern w:val="0"/>
          <w:sz w:val="24"/>
        </w:rPr>
        <w:t>（北</w:t>
      </w:r>
      <w:r>
        <w:rPr>
          <w:rFonts w:hint="eastAsia" w:ascii="宋体" w:hAnsi="宋体" w:cs="宋体"/>
          <w:bCs/>
          <w:color w:val="auto"/>
          <w:spacing w:val="10"/>
          <w:kern w:val="0"/>
          <w:sz w:val="24"/>
        </w:rPr>
        <w:t>京时间）。</w:t>
      </w:r>
    </w:p>
    <w:p w14:paraId="61A5641C">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地点：“政采云”平台开标大厅。</w:t>
      </w:r>
      <w:r>
        <w:rPr>
          <w:rFonts w:hint="eastAsia" w:ascii="宋体" w:hAnsi="宋体" w:cs="宋体"/>
          <w:color w:val="auto"/>
          <w:kern w:val="0"/>
          <w:sz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7D11FAB6">
      <w:pPr>
        <w:pStyle w:val="3"/>
        <w:spacing w:before="60" w:after="60" w:line="360" w:lineRule="auto"/>
        <w:ind w:firstLine="600" w:firstLineChars="200"/>
        <w:jc w:val="both"/>
        <w:rPr>
          <w:rFonts w:ascii="宋体" w:hAnsi="宋体" w:cs="宋体"/>
          <w:color w:val="auto"/>
          <w:spacing w:val="10"/>
          <w:kern w:val="0"/>
          <w:sz w:val="28"/>
          <w:szCs w:val="28"/>
        </w:rPr>
      </w:pPr>
      <w:bookmarkStart w:id="13" w:name="_Toc2318"/>
      <w:bookmarkStart w:id="14" w:name="_Toc27113"/>
      <w:r>
        <w:rPr>
          <w:rFonts w:hint="eastAsia" w:ascii="宋体" w:hAnsi="宋体" w:cs="宋体"/>
          <w:color w:val="auto"/>
          <w:spacing w:val="10"/>
          <w:kern w:val="0"/>
          <w:sz w:val="28"/>
          <w:szCs w:val="28"/>
        </w:rPr>
        <w:t>六、公告期限</w:t>
      </w:r>
      <w:bookmarkEnd w:id="13"/>
      <w:bookmarkEnd w:id="14"/>
    </w:p>
    <w:p w14:paraId="4CFD4D63">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自本公告发布之日起5个工作日。</w:t>
      </w:r>
    </w:p>
    <w:p w14:paraId="30BFC76F">
      <w:pPr>
        <w:pStyle w:val="3"/>
        <w:spacing w:before="60" w:after="60" w:line="360" w:lineRule="auto"/>
        <w:ind w:firstLine="600" w:firstLineChars="200"/>
        <w:jc w:val="both"/>
        <w:rPr>
          <w:rFonts w:ascii="宋体" w:hAnsi="宋体" w:cs="宋体"/>
          <w:color w:val="auto"/>
          <w:spacing w:val="10"/>
          <w:kern w:val="0"/>
          <w:sz w:val="28"/>
          <w:szCs w:val="28"/>
        </w:rPr>
      </w:pPr>
      <w:bookmarkStart w:id="15" w:name="_Toc28776"/>
      <w:bookmarkStart w:id="16" w:name="_Toc10440"/>
      <w:r>
        <w:rPr>
          <w:rFonts w:hint="eastAsia" w:ascii="宋体" w:hAnsi="宋体" w:cs="宋体"/>
          <w:color w:val="auto"/>
          <w:spacing w:val="10"/>
          <w:kern w:val="0"/>
          <w:sz w:val="28"/>
          <w:szCs w:val="28"/>
        </w:rPr>
        <w:t>七、其他补充事宜</w:t>
      </w:r>
      <w:bookmarkEnd w:id="15"/>
      <w:bookmarkEnd w:id="16"/>
    </w:p>
    <w:p w14:paraId="4B4096CD">
      <w:pPr>
        <w:pStyle w:val="206"/>
        <w:spacing w:line="360" w:lineRule="auto"/>
        <w:ind w:firstLine="480" w:firstLineChars="200"/>
        <w:jc w:val="both"/>
        <w:rPr>
          <w:rFonts w:hint="eastAsia" w:ascii="宋体" w:hAnsi="宋体" w:cs="宋体"/>
          <w:color w:val="auto"/>
          <w:sz w:val="24"/>
          <w:szCs w:val="24"/>
        </w:rPr>
      </w:pPr>
      <w:bookmarkStart w:id="17" w:name="OLE_LINK5"/>
      <w:r>
        <w:rPr>
          <w:rFonts w:hint="eastAsia" w:ascii="宋体" w:hAnsi="宋体" w:cs="宋体"/>
          <w:color w:val="auto"/>
          <w:sz w:val="24"/>
          <w:szCs w:val="24"/>
        </w:rPr>
        <w:t>1、发布公告的媒介：中国政府采购网（http://www.ccgp.gov.cn）、广西壮族自治区政府采购网（http://www.ccgp-guangxi.gov.cn/）</w:t>
      </w:r>
    </w:p>
    <w:p w14:paraId="4445E35A">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2、其他注意事项：</w:t>
      </w:r>
    </w:p>
    <w:p w14:paraId="1EDDCAB6">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1）本项目为全流程电子化项目，不要求供应商到达开标现场，但供应商应派法定代表人或委托代理人准时在线出席电子开评标会议，随时关注开评标进度，如在开评标过程中有电子询标，应在规定的时间内对电子询标函进行澄清回复。供应商在使用系统参与磋商过程中遇到涉及平台使用的任何问题，可登录“政采云”平台，点击右侧咨询小采，获取小蜜服务管家帮助，或拨打政采云服务热线：</w:t>
      </w:r>
      <w:r>
        <w:rPr>
          <w:rFonts w:hint="eastAsia" w:ascii="宋体" w:hAnsi="宋体" w:cs="宋体"/>
          <w:color w:val="auto"/>
          <w:sz w:val="24"/>
          <w:szCs w:val="24"/>
        </w:rPr>
        <w:t>95763</w:t>
      </w:r>
      <w:r>
        <w:rPr>
          <w:rFonts w:hint="eastAsia" w:ascii="宋体" w:hAnsi="宋体" w:cs="宋体"/>
          <w:color w:val="auto"/>
          <w:kern w:val="2"/>
          <w:sz w:val="24"/>
          <w:szCs w:val="24"/>
        </w:rPr>
        <w:t>获取服务帮助。</w:t>
      </w:r>
    </w:p>
    <w:p w14:paraId="77CBE099">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（2）供应商应及时熟悉掌握电子标系统操作指南（见政采云电子卖场首页右上角—服务中心—帮助文档—项目采购）：</w:t>
      </w:r>
      <w:r>
        <w:rPr>
          <w:color w:val="auto"/>
        </w:rPr>
        <w:fldChar w:fldCharType="begin"/>
      </w:r>
      <w:r>
        <w:rPr>
          <w:color w:val="auto"/>
        </w:rPr>
        <w:instrText xml:space="preserve"> HYPERLINK "https://service.zcygov.cn/#/knowledges/tree?tag=AG1DtGwBFdiHxlNdhY0r。" </w:instrText>
      </w:r>
      <w:r>
        <w:rPr>
          <w:color w:val="auto"/>
        </w:rPr>
        <w:fldChar w:fldCharType="separate"/>
      </w:r>
      <w:r>
        <w:rPr>
          <w:rFonts w:hint="eastAsia" w:ascii="宋体" w:hAnsi="宋体" w:cs="宋体"/>
          <w:color w:val="auto"/>
          <w:kern w:val="2"/>
          <w:sz w:val="24"/>
          <w:szCs w:val="24"/>
        </w:rPr>
        <w:t>https://service.zcygov.cn/#/knowledges/tree?tag=AG1DtGwBFdiHxlNdhY0r。</w:t>
      </w:r>
      <w:r>
        <w:rPr>
          <w:rFonts w:hint="eastAsia" w:ascii="宋体" w:hAnsi="宋体" w:cs="宋体"/>
          <w:color w:val="auto"/>
          <w:kern w:val="2"/>
          <w:sz w:val="24"/>
          <w:szCs w:val="24"/>
        </w:rPr>
        <w:fldChar w:fldCharType="end"/>
      </w:r>
    </w:p>
    <w:p w14:paraId="0A471466">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（3）供应商应及时完成CA申领和绑定（见广西壮族自治区政府采购网—办事服务—下载专区-“政采云”CA证书办理操作指南）。</w:t>
      </w:r>
    </w:p>
    <w:p w14:paraId="33EBC737">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p>
    <w:p w14:paraId="0B731473">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（5）因未注册入库、未办理CA数字证书、CA证书故障、操作不当等原因造成无法参与或磋商失败等后果由供应商自行承担。</w:t>
      </w:r>
    </w:p>
    <w:p w14:paraId="41748E55">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6）响应文件网上递交时间截止后，“政采云”（电子标系统）自动提取所有响应文件，各供应商须在开标程序开始后30分钟内对上传“政采云”的响应文件进行解密，所有供应商在规定的解密时限内解密完成或解密时限结束后，采购代理机构、采购人将开启响应文件；供应商超过解密时限的，系统默认自动放弃。</w:t>
      </w:r>
    </w:p>
    <w:p w14:paraId="440E632F">
      <w:pPr>
        <w:spacing w:line="560" w:lineRule="exact"/>
        <w:ind w:firstLine="480" w:firstLineChars="200"/>
        <w:rPr>
          <w:rFonts w:ascii="宋体" w:hAnsi="宋体" w:cs="宋体"/>
          <w:color w:val="auto"/>
          <w:sz w:val="24"/>
        </w:rPr>
      </w:pPr>
      <w:r>
        <w:rPr>
          <w:rFonts w:hint="eastAsia" w:ascii="宋体" w:hAnsi="宋体" w:cs="宋体"/>
          <w:color w:val="auto"/>
          <w:sz w:val="24"/>
        </w:rPr>
        <w:t>（7）如电子加密响应文件无法按时解密时，按供应商提供的电子备份响应文件（电子备份响应文件须按广西政府采购云平台项目采购-电子招投标操作指南中上传的电子响应文件格式）为依据。电子备份响应文件在响应文件提交截止时间前可以通过以下两种方式递交：①电子邮箱方式：将电子备份响应文件发送至</w:t>
      </w:r>
      <w:r>
        <w:rPr>
          <w:rFonts w:hint="eastAsia" w:ascii="宋体" w:hAnsi="宋体" w:cs="宋体"/>
          <w:color w:val="auto"/>
          <w:sz w:val="24"/>
          <w:lang w:eastAsia="zh-CN"/>
        </w:rPr>
        <w:t>广西诚华工程造价咨询有限公司</w:t>
      </w:r>
      <w:r>
        <w:rPr>
          <w:rFonts w:hint="eastAsia" w:ascii="宋体" w:hAnsi="宋体" w:cs="宋体"/>
          <w:color w:val="auto"/>
          <w:sz w:val="24"/>
        </w:rPr>
        <w:t>邮箱：</w:t>
      </w:r>
      <w:r>
        <w:rPr>
          <w:rFonts w:hint="eastAsia" w:ascii="宋体" w:hAnsi="宋体" w:cs="宋体"/>
          <w:color w:val="auto"/>
          <w:sz w:val="24"/>
          <w:lang w:val="en-US" w:eastAsia="zh-CN"/>
        </w:rPr>
        <w:t>574905807@qq.com</w:t>
      </w:r>
      <w:r>
        <w:rPr>
          <w:rFonts w:hint="eastAsia" w:ascii="宋体" w:hAnsi="宋体" w:cs="宋体"/>
          <w:color w:val="auto"/>
          <w:sz w:val="24"/>
        </w:rPr>
        <w:t>，文件名称须为：供应商名称+项目名称+项目编号+电子备份响应文件；②邮寄或现场送达方式：将电子备份响应文件以U盘存储方式送达至</w:t>
      </w:r>
      <w:r>
        <w:rPr>
          <w:rFonts w:hint="eastAsia" w:ascii="宋体" w:hAnsi="宋体" w:cs="宋体"/>
          <w:color w:val="auto"/>
          <w:sz w:val="24"/>
          <w:lang w:eastAsia="zh-CN"/>
        </w:rPr>
        <w:t>广西诚华工程造价咨询有限公司</w:t>
      </w:r>
      <w:r>
        <w:rPr>
          <w:rFonts w:hint="eastAsia" w:ascii="宋体" w:hAnsi="宋体" w:cs="宋体"/>
          <w:color w:val="auto"/>
          <w:sz w:val="24"/>
        </w:rPr>
        <w:t>（灵山县三海街道文峰路东二巷21号），电子备份响应文件应当密封包装并在包装上标注项目名称、供应商单位名称并加盖公章并注明“截标时才能启封”。（密封要求达到不泄露供应商响应文件实质性内容为合格）。</w:t>
      </w:r>
    </w:p>
    <w:p w14:paraId="75F24DA4">
      <w:pPr>
        <w:spacing w:line="560" w:lineRule="exact"/>
        <w:ind w:firstLine="480" w:firstLineChars="200"/>
        <w:rPr>
          <w:rFonts w:ascii="宋体" w:hAnsi="宋体" w:cs="宋体"/>
          <w:color w:val="auto"/>
          <w:sz w:val="24"/>
        </w:rPr>
      </w:pPr>
      <w:r>
        <w:rPr>
          <w:rFonts w:hint="eastAsia" w:ascii="宋体" w:hAnsi="宋体" w:cs="宋体"/>
          <w:color w:val="auto"/>
          <w:sz w:val="24"/>
        </w:rPr>
        <w:t>本项目拒收到付邮件，通过邮寄方式送达的，请合理安排邮寄时间，因邮寄原因未能在规定时间内送达的后果由供应商自行承担。</w:t>
      </w:r>
    </w:p>
    <w:p w14:paraId="56CDAB84">
      <w:pPr>
        <w:numPr>
          <w:ilvl w:val="0"/>
          <w:numId w:val="2"/>
        </w:numPr>
        <w:spacing w:line="560" w:lineRule="exact"/>
        <w:ind w:firstLine="480" w:firstLineChars="200"/>
        <w:rPr>
          <w:rFonts w:hint="eastAsia" w:ascii="宋体" w:hAnsi="宋体" w:cs="宋体"/>
          <w:color w:val="auto"/>
          <w:sz w:val="24"/>
        </w:rPr>
      </w:pPr>
      <w:r>
        <w:rPr>
          <w:rFonts w:hint="eastAsia" w:ascii="宋体" w:hAnsi="宋体" w:cs="宋体"/>
          <w:color w:val="auto"/>
          <w:sz w:val="24"/>
        </w:rPr>
        <w:t>通过“政府采购云平台”上传递交的“电子加密响应文件”无法按时解密，供应商递交了电子备份响应文件的，以电子备份响应文件为依据，否则视为响应文件撤回。通过广西政府采购云平台上传递交的电子加密响应文件已按时解密的，电子备份响应文件自动失效。供应商仅递交电子备份响应文件的，竞标无效。</w:t>
      </w:r>
    </w:p>
    <w:p w14:paraId="14C42ABA">
      <w:pPr>
        <w:spacing w:line="360" w:lineRule="auto"/>
        <w:ind w:firstLine="480" w:firstLineChars="200"/>
        <w:rPr>
          <w:rFonts w:ascii="宋体" w:hAnsi="宋体" w:cs="宋体"/>
          <w:color w:val="auto"/>
          <w:sz w:val="24"/>
        </w:rPr>
      </w:pPr>
      <w:r>
        <w:rPr>
          <w:rFonts w:hint="eastAsia" w:ascii="宋体" w:hAnsi="宋体" w:cs="宋体"/>
          <w:color w:val="auto"/>
          <w:kern w:val="2"/>
          <w:sz w:val="24"/>
          <w:szCs w:val="24"/>
        </w:rPr>
        <w:t>3.</w:t>
      </w:r>
      <w:r>
        <w:rPr>
          <w:rFonts w:ascii="宋体" w:hAnsi="宋体" w:cs="宋体"/>
          <w:color w:val="auto"/>
          <w:sz w:val="24"/>
        </w:rPr>
        <w:t>政府采购监督部门：</w:t>
      </w:r>
    </w:p>
    <w:p w14:paraId="0943D675">
      <w:pPr>
        <w:spacing w:line="360" w:lineRule="auto"/>
        <w:ind w:firstLine="480" w:firstLineChars="200"/>
        <w:rPr>
          <w:rFonts w:ascii="宋体" w:hAnsi="宋体" w:cs="宋体"/>
          <w:color w:val="auto"/>
          <w:sz w:val="24"/>
        </w:rPr>
      </w:pPr>
      <w:r>
        <w:rPr>
          <w:rFonts w:hint="eastAsia" w:ascii="宋体" w:hAnsi="宋体" w:cs="宋体"/>
          <w:color w:val="auto"/>
          <w:sz w:val="24"/>
        </w:rPr>
        <w:t>灵山县财政局政府采购监督管理股；电话：0777-6428581</w:t>
      </w:r>
    </w:p>
    <w:bookmarkEnd w:id="17"/>
    <w:p w14:paraId="53784193">
      <w:pPr>
        <w:pStyle w:val="32"/>
        <w:rPr>
          <w:color w:val="auto"/>
        </w:rPr>
      </w:pPr>
    </w:p>
    <w:p w14:paraId="742DB478">
      <w:pPr>
        <w:pStyle w:val="3"/>
        <w:spacing w:before="60" w:after="60" w:line="360" w:lineRule="auto"/>
        <w:ind w:firstLine="600" w:firstLineChars="200"/>
        <w:jc w:val="both"/>
        <w:rPr>
          <w:rFonts w:ascii="宋体" w:hAnsi="宋体" w:cs="宋体"/>
          <w:color w:val="auto"/>
          <w:spacing w:val="10"/>
          <w:kern w:val="0"/>
          <w:sz w:val="28"/>
          <w:szCs w:val="28"/>
        </w:rPr>
      </w:pPr>
      <w:bookmarkStart w:id="18" w:name="_Toc618"/>
      <w:bookmarkStart w:id="19" w:name="_Toc28277"/>
      <w:r>
        <w:rPr>
          <w:rFonts w:hint="eastAsia" w:ascii="宋体" w:hAnsi="宋体" w:cs="宋体"/>
          <w:color w:val="auto"/>
          <w:spacing w:val="10"/>
          <w:kern w:val="0"/>
          <w:sz w:val="28"/>
          <w:szCs w:val="28"/>
        </w:rPr>
        <w:t>八、凡对本次采购提出询问，请按以下方式联系。</w:t>
      </w:r>
      <w:bookmarkEnd w:id="18"/>
      <w:bookmarkEnd w:id="19"/>
    </w:p>
    <w:p w14:paraId="73CED6B1">
      <w:pPr>
        <w:spacing w:line="360" w:lineRule="auto"/>
        <w:ind w:firstLine="520" w:firstLineChars="200"/>
        <w:jc w:val="left"/>
        <w:rPr>
          <w:rFonts w:ascii="宋体" w:hAnsi="宋体" w:cs="宋体"/>
          <w:b/>
          <w:bCs/>
          <w:color w:val="auto"/>
          <w:spacing w:val="10"/>
          <w:kern w:val="0"/>
          <w:sz w:val="24"/>
        </w:rPr>
      </w:pPr>
      <w:bookmarkStart w:id="20" w:name="_Toc16679"/>
      <w:bookmarkStart w:id="21" w:name="_Toc19333"/>
      <w:r>
        <w:rPr>
          <w:rFonts w:hint="eastAsia" w:ascii="宋体" w:hAnsi="宋体" w:cs="宋体"/>
          <w:b/>
          <w:bCs/>
          <w:color w:val="auto"/>
          <w:spacing w:val="10"/>
          <w:kern w:val="0"/>
          <w:sz w:val="24"/>
        </w:rPr>
        <w:t>1.采购人信息</w:t>
      </w:r>
      <w:bookmarkEnd w:id="20"/>
      <w:bookmarkEnd w:id="21"/>
    </w:p>
    <w:p w14:paraId="2F6E4C1F">
      <w:pPr>
        <w:spacing w:line="360" w:lineRule="auto"/>
        <w:ind w:firstLine="480" w:firstLineChars="200"/>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 xml:space="preserve">灵山县移民工作服务中心                   </w:t>
      </w:r>
      <w:r>
        <w:rPr>
          <w:rFonts w:hint="eastAsia" w:ascii="宋体" w:hAnsi="宋体" w:cs="宋体"/>
          <w:color w:val="auto"/>
          <w:sz w:val="24"/>
        </w:rPr>
        <w:t>　　　　　　　　　　　　</w:t>
      </w:r>
    </w:p>
    <w:p w14:paraId="58C84B1F">
      <w:pPr>
        <w:spacing w:line="360" w:lineRule="auto"/>
        <w:ind w:firstLine="480" w:firstLineChars="200"/>
        <w:jc w:val="left"/>
        <w:rPr>
          <w:rFonts w:ascii="宋体" w:hAnsi="宋体" w:cs="宋体"/>
          <w:color w:val="auto"/>
          <w:sz w:val="24"/>
        </w:rPr>
      </w:pPr>
      <w:r>
        <w:rPr>
          <w:rFonts w:hint="eastAsia" w:ascii="宋体" w:hAnsi="宋体" w:cs="宋体"/>
          <w:color w:val="auto"/>
          <w:sz w:val="24"/>
        </w:rPr>
        <w:t>地  址：灵山县三海街道江南路271号　　　　　　　　　　　</w:t>
      </w:r>
    </w:p>
    <w:p w14:paraId="204344CD">
      <w:pPr>
        <w:spacing w:line="360" w:lineRule="auto"/>
        <w:ind w:firstLine="480" w:firstLineChars="200"/>
        <w:jc w:val="left"/>
        <w:rPr>
          <w:rFonts w:ascii="宋体" w:hAnsi="宋体" w:cs="宋体"/>
          <w:bCs/>
          <w:color w:val="auto"/>
          <w:spacing w:val="10"/>
          <w:kern w:val="0"/>
          <w:sz w:val="24"/>
        </w:rPr>
      </w:pPr>
      <w:r>
        <w:rPr>
          <w:rFonts w:hint="eastAsia" w:ascii="宋体" w:hAnsi="宋体" w:cs="宋体"/>
          <w:color w:val="auto"/>
          <w:sz w:val="24"/>
        </w:rPr>
        <w:t>联系人及方式：叶俭</w:t>
      </w:r>
      <w:r>
        <w:rPr>
          <w:rFonts w:hint="eastAsia" w:ascii="宋体" w:hAnsi="宋体" w:cs="宋体"/>
          <w:color w:val="auto"/>
          <w:sz w:val="24"/>
          <w:lang w:val="en-US" w:eastAsia="zh-CN"/>
        </w:rPr>
        <w:t xml:space="preserve">   </w:t>
      </w:r>
      <w:r>
        <w:rPr>
          <w:rFonts w:hint="eastAsia" w:ascii="宋体" w:hAnsi="宋体" w:cs="宋体"/>
          <w:color w:val="auto"/>
          <w:kern w:val="0"/>
          <w:sz w:val="24"/>
        </w:rPr>
        <w:t>0777-6525003</w:t>
      </w:r>
      <w:r>
        <w:rPr>
          <w:rFonts w:hint="eastAsia" w:ascii="宋体" w:hAnsi="宋体" w:cs="宋体"/>
          <w:bCs/>
          <w:color w:val="auto"/>
          <w:spacing w:val="10"/>
          <w:kern w:val="0"/>
          <w:sz w:val="24"/>
        </w:rPr>
        <w:t xml:space="preserve">　　　 　　　 </w:t>
      </w:r>
    </w:p>
    <w:p w14:paraId="564509BD">
      <w:pPr>
        <w:spacing w:line="360" w:lineRule="auto"/>
        <w:ind w:firstLine="520" w:firstLineChars="200"/>
        <w:jc w:val="left"/>
        <w:rPr>
          <w:rFonts w:ascii="宋体" w:hAnsi="宋体" w:cs="宋体"/>
          <w:b/>
          <w:bCs/>
          <w:color w:val="auto"/>
          <w:spacing w:val="10"/>
          <w:kern w:val="0"/>
          <w:sz w:val="24"/>
        </w:rPr>
      </w:pPr>
      <w:bookmarkStart w:id="22" w:name="_Toc19263"/>
      <w:bookmarkStart w:id="23" w:name="_Toc32722"/>
      <w:r>
        <w:rPr>
          <w:rFonts w:hint="eastAsia" w:ascii="宋体" w:hAnsi="宋体" w:cs="宋体"/>
          <w:b/>
          <w:bCs/>
          <w:color w:val="auto"/>
          <w:spacing w:val="10"/>
          <w:kern w:val="0"/>
          <w:sz w:val="24"/>
        </w:rPr>
        <w:t>2.采购代理机构信息</w:t>
      </w:r>
      <w:bookmarkEnd w:id="22"/>
      <w:bookmarkEnd w:id="23"/>
    </w:p>
    <w:p w14:paraId="6D45AA66">
      <w:pPr>
        <w:spacing w:line="360" w:lineRule="auto"/>
        <w:ind w:firstLine="480" w:firstLineChars="200"/>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广西诚华工程造价咨询有限公司</w:t>
      </w:r>
      <w:r>
        <w:rPr>
          <w:rFonts w:hint="eastAsia" w:ascii="宋体" w:hAnsi="宋体" w:cs="宋体"/>
          <w:color w:val="auto"/>
          <w:sz w:val="24"/>
        </w:rPr>
        <w:t>　　　　　　　　　　　　</w:t>
      </w:r>
    </w:p>
    <w:p w14:paraId="7AD28982">
      <w:pPr>
        <w:spacing w:line="360" w:lineRule="auto"/>
        <w:ind w:firstLine="480" w:firstLineChars="200"/>
        <w:jc w:val="left"/>
        <w:rPr>
          <w:rFonts w:ascii="宋体" w:hAnsi="宋体" w:cs="宋体"/>
          <w:color w:val="auto"/>
          <w:sz w:val="24"/>
        </w:rPr>
      </w:pPr>
      <w:r>
        <w:rPr>
          <w:rFonts w:hint="eastAsia" w:ascii="宋体" w:hAnsi="宋体" w:cs="宋体"/>
          <w:color w:val="auto"/>
          <w:sz w:val="24"/>
        </w:rPr>
        <w:t>地　址：灵山县三海街道文峰路东二巷21号　　　　　　　　　　　　</w:t>
      </w:r>
    </w:p>
    <w:p w14:paraId="23BA0427">
      <w:pPr>
        <w:spacing w:line="360" w:lineRule="auto"/>
        <w:ind w:firstLine="480" w:firstLineChars="200"/>
        <w:jc w:val="left"/>
        <w:rPr>
          <w:rFonts w:ascii="宋体" w:hAnsi="宋体" w:cs="宋体"/>
          <w:b/>
          <w:bCs/>
          <w:color w:val="auto"/>
          <w:spacing w:val="10"/>
          <w:kern w:val="0"/>
          <w:sz w:val="24"/>
        </w:rPr>
      </w:pPr>
      <w:r>
        <w:rPr>
          <w:rFonts w:hint="eastAsia" w:ascii="宋体" w:hAnsi="宋体" w:cs="宋体"/>
          <w:color w:val="auto"/>
          <w:sz w:val="24"/>
        </w:rPr>
        <w:t>联系人及方式：</w:t>
      </w:r>
      <w:bookmarkStart w:id="24" w:name="_Toc28359010"/>
      <w:bookmarkStart w:id="25" w:name="_Toc28359087"/>
      <w:r>
        <w:rPr>
          <w:rFonts w:hint="eastAsia" w:ascii="宋体" w:hAnsi="宋体" w:cs="宋体"/>
          <w:color w:val="auto"/>
          <w:sz w:val="24"/>
          <w:lang w:val="en-US" w:eastAsia="zh-CN"/>
        </w:rPr>
        <w:t>谢雍婷</w:t>
      </w:r>
      <w:r>
        <w:rPr>
          <w:rFonts w:hint="eastAsia" w:ascii="宋体" w:hAnsi="宋体" w:cs="宋体"/>
          <w:color w:val="auto"/>
          <w:sz w:val="24"/>
        </w:rPr>
        <w:t xml:space="preserve">    </w:t>
      </w:r>
      <w:bookmarkEnd w:id="24"/>
      <w:bookmarkEnd w:id="25"/>
      <w:r>
        <w:rPr>
          <w:rFonts w:hint="eastAsia" w:ascii="宋体" w:hAnsi="宋体" w:cs="宋体"/>
          <w:color w:val="auto"/>
          <w:kern w:val="0"/>
          <w:sz w:val="24"/>
          <w:highlight w:val="none"/>
          <w:shd w:val="clear" w:color="auto" w:fill="FFFFFF"/>
          <w:lang w:val="en-US" w:eastAsia="zh-CN" w:bidi="ar"/>
        </w:rPr>
        <w:t>15278724546</w:t>
      </w:r>
      <w:r>
        <w:rPr>
          <w:rFonts w:hint="eastAsia" w:ascii="宋体" w:hAnsi="宋体" w:cs="宋体"/>
          <w:color w:val="auto"/>
          <w:sz w:val="24"/>
        </w:rPr>
        <w:t xml:space="preserve"> </w:t>
      </w:r>
      <w:r>
        <w:rPr>
          <w:rFonts w:hint="eastAsia" w:ascii="宋体" w:hAnsi="宋体" w:cs="宋体"/>
          <w:bCs/>
          <w:color w:val="auto"/>
          <w:spacing w:val="10"/>
          <w:kern w:val="0"/>
          <w:sz w:val="24"/>
        </w:rPr>
        <w:t>　　　　　　　　　　　　</w:t>
      </w:r>
    </w:p>
    <w:p w14:paraId="451D62A6">
      <w:pPr>
        <w:spacing w:line="360" w:lineRule="auto"/>
        <w:jc w:val="left"/>
        <w:rPr>
          <w:rFonts w:ascii="宋体" w:hAnsi="宋体" w:cs="宋体"/>
          <w:color w:val="auto"/>
          <w:sz w:val="24"/>
          <w:szCs w:val="24"/>
        </w:rPr>
      </w:pPr>
    </w:p>
    <w:p w14:paraId="4A6C6577">
      <w:pPr>
        <w:pStyle w:val="206"/>
        <w:spacing w:line="360" w:lineRule="auto"/>
        <w:jc w:val="right"/>
        <w:rPr>
          <w:rFonts w:ascii="宋体" w:hAnsi="宋体" w:cs="宋体"/>
          <w:color w:val="auto"/>
          <w:sz w:val="24"/>
          <w:szCs w:val="24"/>
        </w:rPr>
      </w:pPr>
    </w:p>
    <w:p w14:paraId="05FBE1AC">
      <w:pPr>
        <w:pStyle w:val="206"/>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广西诚华工程造价咨询有限公司</w:t>
      </w:r>
    </w:p>
    <w:p w14:paraId="34D49AF9">
      <w:pPr>
        <w:pStyle w:val="206"/>
        <w:spacing w:line="360" w:lineRule="auto"/>
        <w:jc w:val="center"/>
        <w:rPr>
          <w:rFonts w:ascii="宋体" w:hAnsi="宋体" w:cs="宋体"/>
          <w:color w:val="auto"/>
          <w:sz w:val="24"/>
          <w:szCs w:val="24"/>
        </w:rPr>
      </w:pPr>
      <w:r>
        <w:rPr>
          <w:rFonts w:hint="eastAsia" w:ascii="宋体" w:hAnsi="宋体" w:cs="宋体"/>
          <w:color w:val="auto"/>
          <w:sz w:val="24"/>
          <w:szCs w:val="24"/>
        </w:rPr>
        <w:t xml:space="preserve">                           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cs="宋体"/>
          <w:color w:val="auto"/>
          <w:sz w:val="24"/>
          <w:szCs w:val="24"/>
        </w:rPr>
        <w:t>日</w:t>
      </w:r>
    </w:p>
    <w:bookmarkEnd w:id="4"/>
    <w:p w14:paraId="2BACCB0D">
      <w:pPr>
        <w:pStyle w:val="26"/>
        <w:spacing w:line="276" w:lineRule="auto"/>
        <w:jc w:val="center"/>
        <w:rPr>
          <w:rFonts w:hAnsi="宋体"/>
          <w:b/>
          <w:color w:val="auto"/>
          <w:sz w:val="28"/>
          <w:szCs w:val="28"/>
        </w:rPr>
      </w:pPr>
    </w:p>
    <w:p w14:paraId="1C99E2D8">
      <w:pPr>
        <w:pStyle w:val="26"/>
        <w:spacing w:line="276" w:lineRule="auto"/>
        <w:jc w:val="center"/>
        <w:rPr>
          <w:rFonts w:hAnsi="宋体"/>
          <w:b/>
          <w:color w:val="auto"/>
          <w:sz w:val="28"/>
          <w:szCs w:val="28"/>
        </w:rPr>
      </w:pPr>
    </w:p>
    <w:p w14:paraId="00EE56FD">
      <w:pPr>
        <w:pStyle w:val="26"/>
        <w:spacing w:line="276" w:lineRule="auto"/>
        <w:jc w:val="center"/>
        <w:rPr>
          <w:rFonts w:hAnsi="宋体"/>
          <w:b/>
          <w:color w:val="auto"/>
          <w:sz w:val="28"/>
          <w:szCs w:val="28"/>
        </w:rPr>
      </w:pPr>
    </w:p>
    <w:p w14:paraId="775A154B">
      <w:pPr>
        <w:pStyle w:val="26"/>
        <w:spacing w:line="276" w:lineRule="auto"/>
        <w:jc w:val="center"/>
        <w:rPr>
          <w:rFonts w:hAnsi="宋体"/>
          <w:b/>
          <w:color w:val="auto"/>
          <w:sz w:val="28"/>
          <w:szCs w:val="28"/>
        </w:rPr>
      </w:pPr>
    </w:p>
    <w:p w14:paraId="6B19B6E2">
      <w:pPr>
        <w:pStyle w:val="28"/>
        <w:ind w:left="5250"/>
        <w:rPr>
          <w:color w:val="auto"/>
        </w:rPr>
      </w:pPr>
    </w:p>
    <w:p w14:paraId="268E064B">
      <w:pPr>
        <w:rPr>
          <w:color w:val="auto"/>
        </w:rPr>
      </w:pPr>
    </w:p>
    <w:p w14:paraId="6646A563">
      <w:pPr>
        <w:widowControl/>
        <w:jc w:val="left"/>
        <w:rPr>
          <w:rFonts w:ascii="宋体" w:hAnsi="宋体"/>
          <w:b/>
          <w:color w:val="auto"/>
          <w:sz w:val="28"/>
          <w:szCs w:val="28"/>
        </w:rPr>
      </w:pPr>
      <w:bookmarkStart w:id="26" w:name="_Toc86935812"/>
      <w:r>
        <w:rPr>
          <w:rFonts w:hAnsi="宋体"/>
          <w:b/>
          <w:color w:val="auto"/>
          <w:sz w:val="28"/>
          <w:szCs w:val="28"/>
        </w:rPr>
        <w:br w:type="page"/>
      </w:r>
    </w:p>
    <w:p w14:paraId="610B40E9">
      <w:pPr>
        <w:pStyle w:val="26"/>
        <w:spacing w:line="276" w:lineRule="auto"/>
        <w:jc w:val="center"/>
        <w:outlineLvl w:val="0"/>
        <w:rPr>
          <w:rFonts w:hAnsi="宋体"/>
          <w:b/>
          <w:color w:val="auto"/>
          <w:sz w:val="32"/>
          <w:szCs w:val="22"/>
        </w:rPr>
      </w:pPr>
      <w:bookmarkStart w:id="27" w:name="_Toc18681"/>
      <w:r>
        <w:rPr>
          <w:rFonts w:hint="eastAsia" w:hAnsi="宋体"/>
          <w:b/>
          <w:color w:val="auto"/>
          <w:sz w:val="36"/>
          <w:szCs w:val="36"/>
        </w:rPr>
        <w:t>第二章 磋商供应商须知及前附表</w:t>
      </w:r>
      <w:bookmarkEnd w:id="26"/>
      <w:bookmarkEnd w:id="27"/>
    </w:p>
    <w:p w14:paraId="0151EB3F">
      <w:pPr>
        <w:ind w:firstLine="280" w:firstLineChars="100"/>
        <w:jc w:val="center"/>
        <w:rPr>
          <w:rFonts w:ascii="宋体" w:hAnsi="宋体"/>
          <w:b/>
          <w:color w:val="auto"/>
          <w:sz w:val="28"/>
          <w:szCs w:val="28"/>
        </w:rPr>
      </w:pPr>
      <w:r>
        <w:rPr>
          <w:rFonts w:hint="eastAsia" w:ascii="宋体" w:hAnsi="宋体"/>
          <w:b/>
          <w:color w:val="auto"/>
          <w:sz w:val="28"/>
          <w:szCs w:val="28"/>
        </w:rPr>
        <w:t>磋商供应商须知前附表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5"/>
        <w:gridCol w:w="7133"/>
      </w:tblGrid>
      <w:tr w14:paraId="06EA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06DB5784">
            <w:pPr>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1965" w:type="dxa"/>
            <w:noWrap/>
            <w:tcMar>
              <w:top w:w="0" w:type="dxa"/>
              <w:left w:w="57" w:type="dxa"/>
              <w:bottom w:w="0" w:type="dxa"/>
              <w:right w:w="57" w:type="dxa"/>
            </w:tcMar>
            <w:vAlign w:val="center"/>
          </w:tcPr>
          <w:p w14:paraId="4E26C654">
            <w:pPr>
              <w:spacing w:line="400" w:lineRule="exact"/>
              <w:jc w:val="center"/>
              <w:rPr>
                <w:rFonts w:ascii="宋体" w:hAnsi="宋体" w:cs="宋体"/>
                <w:b/>
                <w:bCs/>
                <w:color w:val="auto"/>
                <w:sz w:val="24"/>
              </w:rPr>
            </w:pPr>
            <w:r>
              <w:rPr>
                <w:rFonts w:hint="eastAsia" w:ascii="宋体" w:hAnsi="宋体" w:cs="宋体"/>
                <w:b/>
                <w:color w:val="auto"/>
                <w:sz w:val="24"/>
              </w:rPr>
              <w:t>名称</w:t>
            </w:r>
          </w:p>
        </w:tc>
        <w:tc>
          <w:tcPr>
            <w:tcW w:w="7133" w:type="dxa"/>
            <w:noWrap/>
            <w:tcMar>
              <w:top w:w="0" w:type="dxa"/>
              <w:left w:w="57" w:type="dxa"/>
              <w:bottom w:w="0" w:type="dxa"/>
              <w:right w:w="57" w:type="dxa"/>
            </w:tcMar>
            <w:vAlign w:val="center"/>
          </w:tcPr>
          <w:p w14:paraId="59FCBFAC">
            <w:pPr>
              <w:spacing w:line="400" w:lineRule="exact"/>
              <w:jc w:val="center"/>
              <w:rPr>
                <w:rFonts w:ascii="宋体" w:hAnsi="宋体" w:cs="宋体"/>
                <w:b/>
                <w:bCs/>
                <w:color w:val="auto"/>
                <w:sz w:val="24"/>
              </w:rPr>
            </w:pPr>
            <w:r>
              <w:rPr>
                <w:rFonts w:hint="eastAsia" w:ascii="宋体" w:hAnsi="宋体" w:cs="宋体"/>
                <w:b/>
                <w:bCs/>
                <w:color w:val="auto"/>
                <w:sz w:val="24"/>
              </w:rPr>
              <w:t>内     容</w:t>
            </w:r>
          </w:p>
        </w:tc>
      </w:tr>
      <w:tr w14:paraId="2673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5A914F2">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1</w:t>
            </w:r>
          </w:p>
        </w:tc>
        <w:tc>
          <w:tcPr>
            <w:tcW w:w="1965" w:type="dxa"/>
            <w:noWrap/>
            <w:tcMar>
              <w:top w:w="0" w:type="dxa"/>
              <w:left w:w="57" w:type="dxa"/>
              <w:bottom w:w="0" w:type="dxa"/>
              <w:right w:w="57" w:type="dxa"/>
            </w:tcMar>
            <w:vAlign w:val="center"/>
          </w:tcPr>
          <w:p w14:paraId="2F2BFFDE">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项目名称及</w:t>
            </w:r>
          </w:p>
          <w:p w14:paraId="7C0A1A46">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项目编号</w:t>
            </w:r>
          </w:p>
        </w:tc>
        <w:tc>
          <w:tcPr>
            <w:tcW w:w="7133" w:type="dxa"/>
            <w:noWrap/>
            <w:vAlign w:val="center"/>
          </w:tcPr>
          <w:p w14:paraId="37FDEAB1">
            <w:pPr>
              <w:tabs>
                <w:tab w:val="left" w:pos="1680"/>
              </w:tabs>
              <w:spacing w:line="400" w:lineRule="exact"/>
              <w:ind w:right="69"/>
              <w:rPr>
                <w:rFonts w:ascii="宋体" w:hAnsi="宋体" w:cs="宋体"/>
                <w:color w:val="auto"/>
                <w:sz w:val="24"/>
              </w:rPr>
            </w:pPr>
            <w:r>
              <w:rPr>
                <w:rFonts w:hint="eastAsia" w:ascii="宋体" w:hAnsi="宋体" w:cs="宋体"/>
                <w:b/>
                <w:bCs/>
                <w:color w:val="auto"/>
                <w:sz w:val="24"/>
              </w:rPr>
              <w:t>项目名称：</w:t>
            </w:r>
            <w:r>
              <w:rPr>
                <w:rFonts w:hint="eastAsia" w:ascii="宋体" w:hAnsi="宋体" w:cs="宋体"/>
                <w:color w:val="auto"/>
                <w:sz w:val="24"/>
                <w:lang w:eastAsia="zh-CN"/>
              </w:rPr>
              <w:t>伯劳镇伯凤村委基础设施建设工程</w:t>
            </w:r>
            <w:r>
              <w:rPr>
                <w:rFonts w:hint="eastAsia" w:ascii="宋体" w:hAnsi="宋体" w:cs="宋体"/>
                <w:color w:val="auto"/>
                <w:sz w:val="24"/>
              </w:rPr>
              <w:t xml:space="preserve"> </w:t>
            </w:r>
          </w:p>
          <w:p w14:paraId="1C368C6E">
            <w:pPr>
              <w:tabs>
                <w:tab w:val="left" w:pos="1680"/>
              </w:tabs>
              <w:spacing w:line="400" w:lineRule="exact"/>
              <w:ind w:right="-192"/>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lang w:eastAsia="zh-CN"/>
              </w:rPr>
              <w:t>QZZC2025-C2-210276-GXCH</w:t>
            </w:r>
          </w:p>
        </w:tc>
      </w:tr>
      <w:tr w14:paraId="281A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06" w:type="dxa"/>
            <w:noWrap/>
            <w:tcMar>
              <w:top w:w="0" w:type="dxa"/>
              <w:left w:w="57" w:type="dxa"/>
              <w:bottom w:w="0" w:type="dxa"/>
              <w:right w:w="57" w:type="dxa"/>
            </w:tcMar>
            <w:vAlign w:val="center"/>
          </w:tcPr>
          <w:p w14:paraId="77C993C9">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2</w:t>
            </w:r>
          </w:p>
        </w:tc>
        <w:tc>
          <w:tcPr>
            <w:tcW w:w="1965" w:type="dxa"/>
            <w:noWrap/>
            <w:tcMar>
              <w:top w:w="0" w:type="dxa"/>
              <w:left w:w="57" w:type="dxa"/>
              <w:bottom w:w="0" w:type="dxa"/>
              <w:right w:w="57" w:type="dxa"/>
            </w:tcMar>
            <w:vAlign w:val="center"/>
          </w:tcPr>
          <w:p w14:paraId="720D5FAE">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采购项目的采购</w:t>
            </w:r>
          </w:p>
          <w:p w14:paraId="7F63F752">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范围描述或项目</w:t>
            </w:r>
          </w:p>
          <w:p w14:paraId="14055FAD">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基本概况介绍</w:t>
            </w:r>
          </w:p>
        </w:tc>
        <w:tc>
          <w:tcPr>
            <w:tcW w:w="7133" w:type="dxa"/>
            <w:noWrap/>
            <w:vAlign w:val="center"/>
          </w:tcPr>
          <w:p w14:paraId="0B5F4BC6">
            <w:pPr>
              <w:tabs>
                <w:tab w:val="left" w:pos="1680"/>
              </w:tabs>
              <w:spacing w:line="400" w:lineRule="exact"/>
              <w:ind w:right="-74" w:firstLine="520" w:firstLineChars="200"/>
              <w:rPr>
                <w:rFonts w:ascii="宋体" w:hAnsi="宋体" w:cs="宋体"/>
                <w:b/>
                <w:bCs/>
                <w:color w:val="auto"/>
                <w:sz w:val="24"/>
              </w:rPr>
            </w:pPr>
            <w:r>
              <w:rPr>
                <w:rFonts w:hint="eastAsia" w:ascii="宋体" w:hAnsi="宋体" w:cs="宋体"/>
                <w:bCs/>
                <w:color w:val="auto"/>
                <w:spacing w:val="10"/>
                <w:kern w:val="0"/>
                <w:sz w:val="24"/>
                <w:lang w:eastAsia="zh-CN"/>
              </w:rPr>
              <w:t>本工程名称为伯劳镇伯凤村委基础设施建设工程。主要建设内容：路肩、道路硬化1855米，路面宽3.5米、厚度20厘米；路灯46盏。工程质量要求合格。具体详见本项目工程量清单表，施工预算及有关资料。</w:t>
            </w:r>
          </w:p>
        </w:tc>
      </w:tr>
      <w:tr w14:paraId="5DC8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A689C42">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3</w:t>
            </w:r>
          </w:p>
        </w:tc>
        <w:tc>
          <w:tcPr>
            <w:tcW w:w="1965" w:type="dxa"/>
            <w:noWrap/>
            <w:tcMar>
              <w:top w:w="0" w:type="dxa"/>
              <w:left w:w="57" w:type="dxa"/>
              <w:bottom w:w="0" w:type="dxa"/>
              <w:right w:w="57" w:type="dxa"/>
            </w:tcMar>
            <w:vAlign w:val="center"/>
          </w:tcPr>
          <w:p w14:paraId="6AF843B0">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资金来源</w:t>
            </w:r>
          </w:p>
        </w:tc>
        <w:tc>
          <w:tcPr>
            <w:tcW w:w="7133" w:type="dxa"/>
            <w:noWrap/>
            <w:vAlign w:val="center"/>
          </w:tcPr>
          <w:p w14:paraId="669CCA67">
            <w:pPr>
              <w:tabs>
                <w:tab w:val="left" w:pos="1680"/>
              </w:tabs>
              <w:spacing w:line="400" w:lineRule="exact"/>
              <w:ind w:right="-74"/>
              <w:rPr>
                <w:rFonts w:hint="eastAsia" w:ascii="宋体" w:hAnsi="宋体" w:eastAsia="宋体" w:cs="宋体"/>
                <w:color w:val="auto"/>
                <w:sz w:val="24"/>
                <w:lang w:eastAsia="zh-CN"/>
              </w:rPr>
            </w:pPr>
            <w:r>
              <w:rPr>
                <w:rFonts w:hint="eastAsia" w:ascii="宋体" w:hAnsi="宋体" w:cs="宋体"/>
                <w:color w:val="auto"/>
                <w:sz w:val="24"/>
                <w:lang w:val="en-US" w:eastAsia="zh-CN"/>
              </w:rPr>
              <w:t>灵山县2024年第二批自治区小型水库移民扶助基金</w:t>
            </w:r>
          </w:p>
        </w:tc>
      </w:tr>
      <w:tr w14:paraId="463D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32DFCF9C">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4</w:t>
            </w:r>
          </w:p>
        </w:tc>
        <w:tc>
          <w:tcPr>
            <w:tcW w:w="1965" w:type="dxa"/>
            <w:noWrap/>
            <w:tcMar>
              <w:top w:w="0" w:type="dxa"/>
              <w:left w:w="57" w:type="dxa"/>
              <w:bottom w:w="0" w:type="dxa"/>
              <w:right w:w="57" w:type="dxa"/>
            </w:tcMar>
            <w:vAlign w:val="center"/>
          </w:tcPr>
          <w:p w14:paraId="30818F27">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工期要求</w:t>
            </w:r>
          </w:p>
        </w:tc>
        <w:tc>
          <w:tcPr>
            <w:tcW w:w="7133" w:type="dxa"/>
            <w:noWrap/>
            <w:tcMar>
              <w:top w:w="0" w:type="dxa"/>
              <w:left w:w="57" w:type="dxa"/>
              <w:bottom w:w="0" w:type="dxa"/>
              <w:right w:w="57" w:type="dxa"/>
            </w:tcMar>
            <w:vAlign w:val="center"/>
          </w:tcPr>
          <w:p w14:paraId="33A7753B">
            <w:pPr>
              <w:tabs>
                <w:tab w:val="left" w:pos="1680"/>
              </w:tabs>
              <w:spacing w:line="400" w:lineRule="exact"/>
              <w:ind w:right="-192"/>
              <w:rPr>
                <w:rFonts w:ascii="宋体" w:hAnsi="宋体" w:cs="宋体"/>
                <w:b/>
                <w:bCs/>
                <w:color w:val="auto"/>
                <w:sz w:val="24"/>
              </w:rPr>
            </w:pPr>
            <w:r>
              <w:rPr>
                <w:rFonts w:hint="eastAsia" w:ascii="宋体" w:hAnsi="宋体" w:cs="宋体"/>
                <w:color w:val="auto"/>
                <w:sz w:val="24"/>
              </w:rPr>
              <w:t>以开工令为准，工期为</w:t>
            </w:r>
            <w:r>
              <w:rPr>
                <w:rFonts w:hint="eastAsia" w:ascii="宋体" w:hAnsi="宋体" w:cs="宋体"/>
                <w:color w:val="auto"/>
                <w:sz w:val="24"/>
                <w:lang w:val="en-US" w:eastAsia="zh-CN"/>
              </w:rPr>
              <w:t>120</w:t>
            </w:r>
            <w:r>
              <w:rPr>
                <w:rFonts w:hint="eastAsia" w:ascii="宋体" w:hAnsi="宋体" w:cs="宋体"/>
                <w:color w:val="auto"/>
                <w:sz w:val="24"/>
              </w:rPr>
              <w:t>日历天</w:t>
            </w:r>
          </w:p>
        </w:tc>
      </w:tr>
      <w:tr w14:paraId="517A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4E5D29F1">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5</w:t>
            </w:r>
          </w:p>
        </w:tc>
        <w:tc>
          <w:tcPr>
            <w:tcW w:w="1965" w:type="dxa"/>
            <w:noWrap/>
            <w:tcMar>
              <w:top w:w="0" w:type="dxa"/>
              <w:left w:w="57" w:type="dxa"/>
              <w:bottom w:w="0" w:type="dxa"/>
              <w:right w:w="57" w:type="dxa"/>
            </w:tcMar>
            <w:vAlign w:val="center"/>
          </w:tcPr>
          <w:p w14:paraId="08B84B75">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质量要求</w:t>
            </w:r>
          </w:p>
        </w:tc>
        <w:tc>
          <w:tcPr>
            <w:tcW w:w="7133" w:type="dxa"/>
            <w:noWrap/>
            <w:tcMar>
              <w:top w:w="0" w:type="dxa"/>
              <w:left w:w="57" w:type="dxa"/>
              <w:bottom w:w="0" w:type="dxa"/>
              <w:right w:w="57" w:type="dxa"/>
            </w:tcMar>
            <w:vAlign w:val="center"/>
          </w:tcPr>
          <w:p w14:paraId="092FF787">
            <w:pPr>
              <w:tabs>
                <w:tab w:val="left" w:pos="1680"/>
              </w:tabs>
              <w:spacing w:line="400" w:lineRule="exact"/>
              <w:ind w:right="-192"/>
              <w:rPr>
                <w:rFonts w:ascii="宋体" w:hAnsi="宋体" w:cs="宋体"/>
                <w:b/>
                <w:bCs/>
                <w:color w:val="auto"/>
                <w:sz w:val="24"/>
              </w:rPr>
            </w:pPr>
            <w:r>
              <w:rPr>
                <w:rFonts w:hint="eastAsia" w:ascii="宋体" w:hAnsi="宋体" w:cs="宋体"/>
                <w:color w:val="auto"/>
                <w:sz w:val="24"/>
              </w:rPr>
              <w:t>达到现行国家竣工验收规范合格标准</w:t>
            </w:r>
          </w:p>
        </w:tc>
      </w:tr>
      <w:tr w14:paraId="528A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41442D8B">
            <w:pPr>
              <w:spacing w:line="400" w:lineRule="exact"/>
              <w:jc w:val="center"/>
              <w:rPr>
                <w:rFonts w:ascii="宋体" w:hAnsi="宋体" w:cs="宋体"/>
                <w:color w:val="auto"/>
                <w:sz w:val="24"/>
              </w:rPr>
            </w:pPr>
            <w:r>
              <w:rPr>
                <w:rFonts w:hint="eastAsia" w:ascii="宋体" w:hAnsi="宋体" w:cs="宋体"/>
                <w:color w:val="auto"/>
                <w:sz w:val="24"/>
              </w:rPr>
              <w:t>6</w:t>
            </w:r>
          </w:p>
        </w:tc>
        <w:tc>
          <w:tcPr>
            <w:tcW w:w="1965" w:type="dxa"/>
            <w:noWrap/>
            <w:tcMar>
              <w:top w:w="0" w:type="dxa"/>
              <w:left w:w="57" w:type="dxa"/>
              <w:bottom w:w="0" w:type="dxa"/>
              <w:right w:w="57" w:type="dxa"/>
            </w:tcMar>
            <w:vAlign w:val="center"/>
          </w:tcPr>
          <w:p w14:paraId="17F82DB8">
            <w:pPr>
              <w:spacing w:line="400" w:lineRule="exact"/>
              <w:jc w:val="center"/>
              <w:rPr>
                <w:rFonts w:ascii="宋体" w:hAnsi="宋体" w:cs="宋体"/>
                <w:b/>
                <w:bCs/>
                <w:color w:val="auto"/>
                <w:sz w:val="24"/>
              </w:rPr>
            </w:pPr>
            <w:r>
              <w:rPr>
                <w:rFonts w:hint="eastAsia" w:ascii="宋体" w:hAnsi="宋体" w:cs="宋体"/>
                <w:b/>
                <w:bCs/>
                <w:color w:val="auto"/>
                <w:sz w:val="24"/>
              </w:rPr>
              <w:t>磋商供应商资格要求</w:t>
            </w:r>
          </w:p>
          <w:p w14:paraId="7BB22F6C">
            <w:pPr>
              <w:spacing w:line="400" w:lineRule="exact"/>
              <w:jc w:val="center"/>
              <w:rPr>
                <w:rFonts w:ascii="宋体" w:hAnsi="宋体" w:cs="宋体"/>
                <w:color w:val="auto"/>
                <w:sz w:val="24"/>
              </w:rPr>
            </w:pPr>
          </w:p>
        </w:tc>
        <w:tc>
          <w:tcPr>
            <w:tcW w:w="7133" w:type="dxa"/>
            <w:noWrap/>
            <w:tcMar>
              <w:top w:w="0" w:type="dxa"/>
              <w:left w:w="57" w:type="dxa"/>
              <w:bottom w:w="0" w:type="dxa"/>
              <w:right w:w="57" w:type="dxa"/>
            </w:tcMar>
            <w:vAlign w:val="center"/>
          </w:tcPr>
          <w:p w14:paraId="7D6352CD">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1.满足《中华人民共和国政府采购法》第二十二条规定；</w:t>
            </w:r>
          </w:p>
          <w:p w14:paraId="4A93CDE4">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2.落实政府采购政策需满足的资格要求：</w:t>
            </w:r>
            <w:r>
              <w:rPr>
                <w:rFonts w:hint="eastAsia" w:ascii="宋体" w:hAnsi="宋体" w:cs="宋体"/>
                <w:color w:val="auto"/>
                <w:sz w:val="24"/>
              </w:rPr>
              <w:t>本项目为专门面向中小企业采购的项目（供应商应为中小微企业或监狱企业或残疾人福利性单位)；</w:t>
            </w:r>
          </w:p>
          <w:p w14:paraId="2BBCD560">
            <w:pPr>
              <w:spacing w:line="360" w:lineRule="auto"/>
              <w:ind w:firstLine="480" w:firstLineChars="200"/>
              <w:rPr>
                <w:rFonts w:ascii="宋体" w:hAnsi="宋体" w:cs="宋体"/>
                <w:bCs/>
                <w:color w:val="auto"/>
                <w:spacing w:val="10"/>
                <w:kern w:val="0"/>
                <w:sz w:val="24"/>
              </w:rPr>
            </w:pPr>
            <w:r>
              <w:rPr>
                <w:rFonts w:hint="eastAsia" w:ascii="宋体" w:hAnsi="宋体" w:cs="宋体"/>
                <w:color w:val="auto"/>
                <w:sz w:val="24"/>
              </w:rPr>
              <w:t>3.本</w:t>
            </w:r>
            <w:r>
              <w:rPr>
                <w:rFonts w:hint="eastAsia" w:ascii="宋体" w:hAnsi="宋体" w:cs="宋体"/>
                <w:bCs/>
                <w:color w:val="auto"/>
                <w:spacing w:val="10"/>
                <w:kern w:val="0"/>
                <w:sz w:val="24"/>
              </w:rPr>
              <w:t>项目的特定资格要求：</w:t>
            </w:r>
          </w:p>
          <w:p w14:paraId="3A86AD0A">
            <w:pPr>
              <w:pStyle w:val="206"/>
              <w:spacing w:line="360" w:lineRule="auto"/>
              <w:ind w:firstLine="480" w:firstLineChars="200"/>
              <w:rPr>
                <w:rFonts w:ascii="宋体" w:hAnsi="宋体" w:cs="宋体"/>
                <w:color w:val="auto"/>
                <w:sz w:val="24"/>
                <w:szCs w:val="22"/>
                <w:lang w:val="zh-CN"/>
              </w:rPr>
            </w:pPr>
            <w:r>
              <w:rPr>
                <w:rFonts w:hint="eastAsia" w:ascii="宋体" w:hAnsi="宋体" w:cs="宋体"/>
                <w:color w:val="auto"/>
                <w:sz w:val="24"/>
                <w:szCs w:val="22"/>
                <w:lang w:val="zh-CN"/>
              </w:rPr>
              <w:t>（一）满足《中华人民共和国政府采购法》第二十二条规定。</w:t>
            </w:r>
          </w:p>
          <w:p w14:paraId="01BE41D4">
            <w:pPr>
              <w:spacing w:line="400" w:lineRule="exact"/>
              <w:ind w:firstLine="420" w:firstLineChars="200"/>
              <w:rPr>
                <w:rFonts w:ascii="宋体" w:hAnsi="宋体" w:cs="宋体"/>
                <w:color w:val="auto"/>
                <w:sz w:val="24"/>
              </w:rPr>
            </w:pPr>
            <w:r>
              <w:rPr>
                <w:rFonts w:hint="eastAsia" w:ascii="宋体" w:hAnsi="宋体" w:cs="宋体"/>
                <w:color w:val="auto"/>
                <w:lang w:val="zh-CN"/>
              </w:rPr>
              <w:t>（二）</w:t>
            </w:r>
            <w:r>
              <w:rPr>
                <w:rFonts w:hint="eastAsia" w:ascii="宋体" w:hAnsi="宋体" w:cs="宋体"/>
                <w:color w:val="auto"/>
                <w:sz w:val="24"/>
              </w:rPr>
              <w:t>竞标人须</w:t>
            </w:r>
            <w:r>
              <w:rPr>
                <w:rFonts w:hint="eastAsia" w:ascii="宋体" w:hAnsi="宋体" w:cs="宋体"/>
                <w:color w:val="auto"/>
                <w:sz w:val="24"/>
                <w:lang w:eastAsia="zh-CN"/>
              </w:rPr>
              <w:t>具备市政公用工程</w:t>
            </w:r>
            <w:r>
              <w:rPr>
                <w:rFonts w:hint="eastAsia" w:ascii="宋体" w:hAnsi="宋体" w:cs="宋体"/>
                <w:color w:val="auto"/>
                <w:sz w:val="24"/>
              </w:rPr>
              <w:t>施工总承包叁级及以上资质，并在人员、设备、资金等方面具备相应的施工能力。其中，竞标人拟派项目经理须</w:t>
            </w:r>
            <w:r>
              <w:rPr>
                <w:rFonts w:hint="eastAsia" w:ascii="宋体" w:hAnsi="宋体" w:cs="宋体"/>
                <w:color w:val="auto"/>
                <w:sz w:val="24"/>
                <w:lang w:eastAsia="zh-CN"/>
              </w:rPr>
              <w:t>具备市政公用工程</w:t>
            </w:r>
            <w:r>
              <w:rPr>
                <w:rFonts w:hint="eastAsia" w:ascii="宋体" w:hAnsi="宋体" w:cs="宋体"/>
                <w:color w:val="auto"/>
                <w:sz w:val="24"/>
              </w:rPr>
              <w:t>专业二级及以上注册建造师执业资格， 具备有效的安全生产考核合格证书（B 类）。</w:t>
            </w:r>
          </w:p>
          <w:p w14:paraId="7EA7CA54">
            <w:pPr>
              <w:pStyle w:val="206"/>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rPr>
              <w:t>三</w:t>
            </w:r>
            <w:r>
              <w:rPr>
                <w:rFonts w:hint="eastAsia" w:ascii="宋体" w:hAnsi="宋体" w:cs="宋体"/>
                <w:color w:val="auto"/>
                <w:sz w:val="24"/>
                <w:szCs w:val="24"/>
                <w:lang w:val="zh-CN"/>
              </w:rPr>
              <w:t>）单位负责人为同一人或者存在直接控股、管理关系的不同供应商，不得参加同一合同项下的政府采购活动。</w:t>
            </w:r>
          </w:p>
          <w:p w14:paraId="672F4F8F">
            <w:pPr>
              <w:pStyle w:val="206"/>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rPr>
              <w:t>四</w:t>
            </w:r>
            <w:r>
              <w:rPr>
                <w:rFonts w:hint="eastAsia" w:ascii="宋体" w:hAnsi="宋体" w:cs="宋体"/>
                <w:color w:val="auto"/>
                <w:sz w:val="24"/>
                <w:szCs w:val="24"/>
                <w:lang w:val="zh-CN"/>
              </w:rPr>
              <w:t>）对在“信用中国”网站(www.creditchina.gov.cn)、中国政府采购网(www.ccgp.gov.cn)等渠道列入失信被执行人、重大税收违法</w:t>
            </w:r>
            <w:r>
              <w:rPr>
                <w:rFonts w:hint="eastAsia" w:ascii="宋体" w:hAnsi="宋体" w:cs="宋体"/>
                <w:color w:val="auto"/>
                <w:sz w:val="24"/>
                <w:szCs w:val="24"/>
              </w:rPr>
              <w:t>失信主体</w:t>
            </w:r>
            <w:r>
              <w:rPr>
                <w:rFonts w:hint="eastAsia" w:ascii="宋体" w:hAnsi="宋体" w:cs="宋体"/>
                <w:color w:val="auto"/>
                <w:sz w:val="24"/>
                <w:szCs w:val="24"/>
                <w:lang w:val="zh-CN"/>
              </w:rPr>
              <w:t>、政府采购严重违法失信行为记录名单及其他不符合《中华人民共和国政府采购法》第二十二条规定条件的供应商，不得参与政府采购活动。</w:t>
            </w:r>
          </w:p>
          <w:p w14:paraId="468A85D7">
            <w:pPr>
              <w:pStyle w:val="217"/>
              <w:tabs>
                <w:tab w:val="left" w:pos="1164"/>
              </w:tabs>
              <w:spacing w:line="417" w:lineRule="auto"/>
              <w:ind w:right="13" w:firstLine="480"/>
              <w:jc w:val="left"/>
              <w:rPr>
                <w:rFonts w:ascii="宋体" w:hAnsi="宋体" w:cs="宋体"/>
                <w:color w:val="auto"/>
                <w:kern w:val="0"/>
                <w:sz w:val="24"/>
                <w:szCs w:val="24"/>
              </w:rPr>
            </w:pPr>
            <w:r>
              <w:rPr>
                <w:rFonts w:hint="eastAsia" w:ascii="宋体" w:hAnsi="宋体" w:cs="宋体"/>
                <w:color w:val="auto"/>
                <w:sz w:val="24"/>
                <w:szCs w:val="24"/>
                <w:lang w:val="zh-CN"/>
              </w:rPr>
              <w:t>（</w:t>
            </w:r>
            <w:r>
              <w:rPr>
                <w:rFonts w:hint="eastAsia" w:ascii="宋体" w:hAnsi="宋体" w:cs="宋体"/>
                <w:color w:val="auto"/>
                <w:sz w:val="24"/>
                <w:szCs w:val="24"/>
              </w:rPr>
              <w:t>五</w:t>
            </w:r>
            <w:r>
              <w:rPr>
                <w:rFonts w:hint="eastAsia" w:ascii="宋体" w:hAnsi="宋体" w:cs="宋体"/>
                <w:color w:val="auto"/>
                <w:sz w:val="24"/>
                <w:szCs w:val="24"/>
                <w:lang w:val="zh-CN"/>
              </w:rPr>
              <w:t>）</w:t>
            </w:r>
            <w:r>
              <w:rPr>
                <w:rFonts w:hint="eastAsia" w:ascii="宋体" w:hAnsi="宋体" w:cs="宋体"/>
                <w:color w:val="auto"/>
                <w:kern w:val="0"/>
                <w:sz w:val="24"/>
                <w:szCs w:val="24"/>
              </w:rPr>
              <w:t>国内注册（指按国家有关规定要求注册的），具有法人资格，</w:t>
            </w:r>
            <w:r>
              <w:rPr>
                <w:rFonts w:hint="eastAsia" w:cs="宋体"/>
                <w:color w:val="auto"/>
                <w:kern w:val="0"/>
                <w:sz w:val="24"/>
                <w:szCs w:val="24"/>
              </w:rPr>
              <w:t>且具备经营或生产本次项目的供应商。</w:t>
            </w:r>
          </w:p>
          <w:p w14:paraId="0F455AE9">
            <w:pPr>
              <w:pStyle w:val="206"/>
              <w:spacing w:line="360" w:lineRule="auto"/>
              <w:ind w:firstLine="480" w:firstLineChars="200"/>
              <w:rPr>
                <w:rFonts w:ascii="宋体" w:hAnsi="宋体" w:cs="宋体"/>
                <w:color w:val="auto"/>
                <w:sz w:val="24"/>
              </w:rPr>
            </w:pPr>
            <w:r>
              <w:rPr>
                <w:rFonts w:hint="eastAsia" w:ascii="宋体" w:hAnsi="宋体" w:cs="宋体"/>
                <w:color w:val="auto"/>
                <w:sz w:val="24"/>
                <w:szCs w:val="24"/>
                <w:lang w:val="zh-CN"/>
              </w:rPr>
              <w:t>（</w:t>
            </w:r>
            <w:r>
              <w:rPr>
                <w:rFonts w:hint="eastAsia" w:ascii="宋体" w:hAnsi="宋体" w:cs="宋体"/>
                <w:color w:val="auto"/>
                <w:sz w:val="24"/>
                <w:szCs w:val="24"/>
              </w:rPr>
              <w:t>六</w:t>
            </w:r>
            <w:r>
              <w:rPr>
                <w:rFonts w:hint="eastAsia" w:ascii="宋体" w:hAnsi="宋体" w:cs="宋体"/>
                <w:color w:val="auto"/>
                <w:sz w:val="24"/>
                <w:szCs w:val="24"/>
                <w:lang w:val="zh-CN"/>
              </w:rPr>
              <w:t>）本项目不接受联合体投标。</w:t>
            </w:r>
          </w:p>
        </w:tc>
      </w:tr>
      <w:tr w14:paraId="0193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7AC3923">
            <w:pPr>
              <w:spacing w:line="400" w:lineRule="exact"/>
              <w:jc w:val="center"/>
              <w:rPr>
                <w:rFonts w:ascii="宋体" w:hAnsi="宋体" w:cs="宋体"/>
                <w:color w:val="auto"/>
                <w:sz w:val="24"/>
              </w:rPr>
            </w:pPr>
            <w:r>
              <w:rPr>
                <w:rFonts w:hint="eastAsia" w:ascii="宋体" w:hAnsi="宋体" w:cs="宋体"/>
                <w:color w:val="auto"/>
                <w:sz w:val="24"/>
              </w:rPr>
              <w:t>7</w:t>
            </w:r>
          </w:p>
        </w:tc>
        <w:tc>
          <w:tcPr>
            <w:tcW w:w="1965" w:type="dxa"/>
            <w:noWrap/>
            <w:tcMar>
              <w:top w:w="0" w:type="dxa"/>
              <w:left w:w="57" w:type="dxa"/>
              <w:bottom w:w="0" w:type="dxa"/>
              <w:right w:w="57" w:type="dxa"/>
            </w:tcMar>
            <w:vAlign w:val="center"/>
          </w:tcPr>
          <w:p w14:paraId="36C054A7">
            <w:pPr>
              <w:spacing w:line="400" w:lineRule="exact"/>
              <w:jc w:val="center"/>
              <w:rPr>
                <w:rFonts w:ascii="宋体" w:hAnsi="宋体" w:cs="宋体"/>
                <w:color w:val="auto"/>
                <w:sz w:val="24"/>
              </w:rPr>
            </w:pPr>
            <w:r>
              <w:rPr>
                <w:rFonts w:hint="eastAsia" w:ascii="宋体" w:hAnsi="宋体"/>
                <w:b/>
                <w:bCs/>
                <w:color w:val="auto"/>
                <w:sz w:val="24"/>
              </w:rPr>
              <w:t>增值税计税方法</w:t>
            </w:r>
          </w:p>
        </w:tc>
        <w:tc>
          <w:tcPr>
            <w:tcW w:w="7133" w:type="dxa"/>
            <w:noWrap/>
            <w:tcMar>
              <w:top w:w="0" w:type="dxa"/>
              <w:left w:w="57" w:type="dxa"/>
              <w:bottom w:w="0" w:type="dxa"/>
              <w:right w:w="57" w:type="dxa"/>
            </w:tcMar>
            <w:vAlign w:val="center"/>
          </w:tcPr>
          <w:p w14:paraId="7D3B9C0F">
            <w:pPr>
              <w:spacing w:line="400" w:lineRule="exact"/>
              <w:rPr>
                <w:rFonts w:ascii="宋体" w:hAnsi="宋体" w:cs="宋体"/>
                <w:color w:val="auto"/>
                <w:sz w:val="24"/>
              </w:rPr>
            </w:pPr>
            <w:r>
              <w:rPr>
                <w:rFonts w:hint="eastAsia" w:ascii="宋体" w:hAnsi="宋体"/>
                <w:color w:val="auto"/>
                <w:sz w:val="24"/>
              </w:rPr>
              <w:t xml:space="preserve"> 一般计税法。</w:t>
            </w:r>
          </w:p>
        </w:tc>
      </w:tr>
      <w:tr w14:paraId="4198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F5AB19E">
            <w:pPr>
              <w:spacing w:line="400" w:lineRule="exact"/>
              <w:jc w:val="center"/>
              <w:rPr>
                <w:rFonts w:ascii="宋体" w:hAnsi="宋体" w:cs="宋体"/>
                <w:color w:val="auto"/>
                <w:sz w:val="24"/>
              </w:rPr>
            </w:pPr>
            <w:r>
              <w:rPr>
                <w:rFonts w:hint="eastAsia" w:ascii="宋体" w:hAnsi="宋体" w:cs="宋体"/>
                <w:color w:val="auto"/>
                <w:sz w:val="24"/>
              </w:rPr>
              <w:t>8</w:t>
            </w:r>
          </w:p>
        </w:tc>
        <w:tc>
          <w:tcPr>
            <w:tcW w:w="1965" w:type="dxa"/>
            <w:noWrap/>
            <w:tcMar>
              <w:top w:w="0" w:type="dxa"/>
              <w:left w:w="57" w:type="dxa"/>
              <w:bottom w:w="0" w:type="dxa"/>
              <w:right w:w="57" w:type="dxa"/>
            </w:tcMar>
            <w:vAlign w:val="center"/>
          </w:tcPr>
          <w:p w14:paraId="47F3D7CA">
            <w:pPr>
              <w:spacing w:line="400" w:lineRule="exact"/>
              <w:jc w:val="center"/>
              <w:rPr>
                <w:rFonts w:ascii="宋体" w:hAnsi="宋体" w:cs="宋体"/>
                <w:color w:val="auto"/>
                <w:sz w:val="24"/>
              </w:rPr>
            </w:pPr>
            <w:r>
              <w:rPr>
                <w:rFonts w:hint="eastAsia" w:ascii="宋体" w:hAnsi="宋体" w:cs="宋体"/>
                <w:b/>
                <w:bCs/>
                <w:color w:val="auto"/>
                <w:sz w:val="24"/>
              </w:rPr>
              <w:t>磋商有效期</w:t>
            </w:r>
          </w:p>
        </w:tc>
        <w:tc>
          <w:tcPr>
            <w:tcW w:w="7133" w:type="dxa"/>
            <w:noWrap/>
            <w:tcMar>
              <w:top w:w="0" w:type="dxa"/>
              <w:left w:w="57" w:type="dxa"/>
              <w:bottom w:w="0" w:type="dxa"/>
              <w:right w:w="57" w:type="dxa"/>
            </w:tcMar>
            <w:vAlign w:val="center"/>
          </w:tcPr>
          <w:p w14:paraId="5E463732">
            <w:pPr>
              <w:spacing w:line="400" w:lineRule="exact"/>
              <w:rPr>
                <w:rFonts w:ascii="宋体" w:hAnsi="宋体" w:cs="宋体"/>
                <w:color w:val="auto"/>
                <w:sz w:val="24"/>
              </w:rPr>
            </w:pPr>
            <w:r>
              <w:rPr>
                <w:rFonts w:hint="eastAsia" w:ascii="宋体" w:hAnsi="宋体" w:cs="宋体"/>
                <w:color w:val="auto"/>
                <w:sz w:val="24"/>
              </w:rPr>
              <w:t>磋商截止日期后60天。</w:t>
            </w:r>
          </w:p>
        </w:tc>
      </w:tr>
      <w:tr w14:paraId="6CF0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06" w:type="dxa"/>
            <w:noWrap/>
            <w:tcMar>
              <w:top w:w="0" w:type="dxa"/>
              <w:left w:w="57" w:type="dxa"/>
              <w:bottom w:w="0" w:type="dxa"/>
              <w:right w:w="57" w:type="dxa"/>
            </w:tcMar>
            <w:vAlign w:val="center"/>
          </w:tcPr>
          <w:p w14:paraId="727A07EE">
            <w:pPr>
              <w:spacing w:line="400" w:lineRule="exact"/>
              <w:jc w:val="center"/>
              <w:rPr>
                <w:rFonts w:ascii="宋体" w:hAnsi="宋体" w:cs="宋体"/>
                <w:color w:val="auto"/>
                <w:sz w:val="24"/>
              </w:rPr>
            </w:pPr>
            <w:r>
              <w:rPr>
                <w:rFonts w:hint="eastAsia" w:ascii="宋体" w:hAnsi="宋体" w:cs="宋体"/>
                <w:color w:val="auto"/>
                <w:sz w:val="24"/>
              </w:rPr>
              <w:t>9</w:t>
            </w:r>
          </w:p>
        </w:tc>
        <w:tc>
          <w:tcPr>
            <w:tcW w:w="1965" w:type="dxa"/>
            <w:noWrap/>
            <w:tcMar>
              <w:top w:w="0" w:type="dxa"/>
              <w:left w:w="57" w:type="dxa"/>
              <w:bottom w:w="0" w:type="dxa"/>
              <w:right w:w="57" w:type="dxa"/>
            </w:tcMar>
            <w:vAlign w:val="center"/>
          </w:tcPr>
          <w:p w14:paraId="5BBC786F">
            <w:pPr>
              <w:spacing w:line="340" w:lineRule="exact"/>
              <w:jc w:val="center"/>
              <w:rPr>
                <w:rFonts w:ascii="宋体" w:hAnsi="宋体" w:cs="宋体"/>
                <w:b/>
                <w:bCs/>
                <w:color w:val="auto"/>
                <w:sz w:val="24"/>
              </w:rPr>
            </w:pPr>
            <w:r>
              <w:rPr>
                <w:rFonts w:hint="eastAsia" w:ascii="宋体" w:hAnsi="宋体" w:cs="宋体"/>
                <w:b/>
                <w:bCs/>
                <w:color w:val="auto"/>
                <w:sz w:val="24"/>
              </w:rPr>
              <w:t>响应文件电子版要求</w:t>
            </w:r>
          </w:p>
        </w:tc>
        <w:tc>
          <w:tcPr>
            <w:tcW w:w="7133" w:type="dxa"/>
            <w:noWrap/>
            <w:tcMar>
              <w:top w:w="0" w:type="dxa"/>
              <w:left w:w="57" w:type="dxa"/>
              <w:bottom w:w="0" w:type="dxa"/>
              <w:right w:w="57" w:type="dxa"/>
            </w:tcMar>
            <w:vAlign w:val="center"/>
          </w:tcPr>
          <w:p w14:paraId="7A522DB3">
            <w:pPr>
              <w:numPr>
                <w:ilvl w:val="0"/>
                <w:numId w:val="3"/>
              </w:numPr>
              <w:spacing w:line="340" w:lineRule="exact"/>
              <w:rPr>
                <w:rFonts w:ascii="宋体" w:hAnsi="宋体" w:cs="宋体"/>
                <w:color w:val="auto"/>
                <w:sz w:val="24"/>
              </w:rPr>
            </w:pPr>
            <w:r>
              <w:rPr>
                <w:rFonts w:hint="eastAsia" w:ascii="宋体" w:hAnsi="宋体" w:cs="宋体"/>
                <w:color w:val="auto"/>
                <w:sz w:val="24"/>
              </w:rPr>
              <w:t>响应文件电子版要求：按照竞争性磋商文件第七章响应文件格式进行编写，按要求在规定位置进行签署、盖章，第七章未附格式的，由供应商自行拟定。</w:t>
            </w:r>
          </w:p>
          <w:p w14:paraId="7DF077A6">
            <w:pPr>
              <w:numPr>
                <w:ilvl w:val="0"/>
                <w:numId w:val="3"/>
              </w:numPr>
              <w:spacing w:line="340" w:lineRule="exact"/>
              <w:rPr>
                <w:rFonts w:ascii="宋体" w:hAnsi="宋体" w:cs="宋体"/>
                <w:color w:val="auto"/>
                <w:sz w:val="24"/>
              </w:rPr>
            </w:pPr>
            <w:r>
              <w:rPr>
                <w:rFonts w:hint="eastAsia" w:ascii="宋体" w:hAnsi="宋体" w:cs="宋体"/>
                <w:color w:val="auto"/>
                <w:sz w:val="24"/>
              </w:rPr>
              <w:t>响应文件电子版密封方式：电子响应文件通过平台有效 CA 加密后在“政采云”平台投送。</w:t>
            </w:r>
          </w:p>
          <w:p w14:paraId="20B23A82">
            <w:pPr>
              <w:numPr>
                <w:ilvl w:val="0"/>
                <w:numId w:val="3"/>
              </w:numPr>
              <w:spacing w:line="340" w:lineRule="exact"/>
              <w:rPr>
                <w:rFonts w:ascii="宋体" w:hAnsi="宋体" w:cs="宋体"/>
                <w:color w:val="auto"/>
                <w:sz w:val="24"/>
              </w:rPr>
            </w:pPr>
            <w:r>
              <w:rPr>
                <w:rFonts w:hint="eastAsia" w:ascii="宋体" w:hAnsi="宋体"/>
                <w:b/>
                <w:color w:val="auto"/>
                <w:szCs w:val="21"/>
                <w:u w:val="single"/>
              </w:rPr>
              <w:t>上传电子版响应文件方式详见竞争性磋商公告附件。</w:t>
            </w:r>
          </w:p>
        </w:tc>
      </w:tr>
      <w:tr w14:paraId="20E8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3B637A1D">
            <w:pPr>
              <w:spacing w:line="400" w:lineRule="exact"/>
              <w:jc w:val="center"/>
              <w:rPr>
                <w:rFonts w:ascii="宋体" w:hAnsi="宋体" w:cs="宋体"/>
                <w:color w:val="auto"/>
                <w:sz w:val="24"/>
              </w:rPr>
            </w:pPr>
            <w:r>
              <w:rPr>
                <w:rFonts w:hint="eastAsia" w:ascii="宋体" w:hAnsi="宋体" w:cs="宋体"/>
                <w:color w:val="auto"/>
                <w:sz w:val="24"/>
              </w:rPr>
              <w:t>10</w:t>
            </w:r>
          </w:p>
        </w:tc>
        <w:tc>
          <w:tcPr>
            <w:tcW w:w="1965" w:type="dxa"/>
            <w:noWrap/>
            <w:tcMar>
              <w:top w:w="0" w:type="dxa"/>
              <w:left w:w="57" w:type="dxa"/>
              <w:bottom w:w="0" w:type="dxa"/>
              <w:right w:w="57" w:type="dxa"/>
            </w:tcMar>
            <w:vAlign w:val="center"/>
          </w:tcPr>
          <w:p w14:paraId="2F795F2D">
            <w:pPr>
              <w:spacing w:line="400" w:lineRule="exact"/>
              <w:jc w:val="center"/>
              <w:rPr>
                <w:rFonts w:ascii="宋体" w:hAnsi="宋体" w:cs="宋体"/>
                <w:color w:val="auto"/>
                <w:sz w:val="24"/>
              </w:rPr>
            </w:pPr>
            <w:r>
              <w:rPr>
                <w:rFonts w:hint="eastAsia" w:ascii="宋体" w:hAnsi="宋体" w:cs="宋体"/>
                <w:b/>
                <w:bCs/>
                <w:color w:val="auto"/>
                <w:sz w:val="24"/>
              </w:rPr>
              <w:t>磋商保证金</w:t>
            </w:r>
          </w:p>
        </w:tc>
        <w:tc>
          <w:tcPr>
            <w:tcW w:w="7133" w:type="dxa"/>
            <w:noWrap/>
            <w:tcMar>
              <w:top w:w="0" w:type="dxa"/>
              <w:left w:w="57" w:type="dxa"/>
              <w:bottom w:w="0" w:type="dxa"/>
              <w:right w:w="57" w:type="dxa"/>
            </w:tcMar>
          </w:tcPr>
          <w:p w14:paraId="632775A5">
            <w:pPr>
              <w:spacing w:line="40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无需缴纳</w:t>
            </w:r>
          </w:p>
        </w:tc>
      </w:tr>
      <w:tr w14:paraId="3DE3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noWrap/>
            <w:tcMar>
              <w:top w:w="0" w:type="dxa"/>
              <w:left w:w="57" w:type="dxa"/>
              <w:bottom w:w="0" w:type="dxa"/>
              <w:right w:w="57" w:type="dxa"/>
            </w:tcMar>
            <w:vAlign w:val="center"/>
          </w:tcPr>
          <w:p w14:paraId="10B704A7">
            <w:pPr>
              <w:spacing w:line="400" w:lineRule="exact"/>
              <w:jc w:val="center"/>
              <w:rPr>
                <w:rFonts w:ascii="宋体" w:hAnsi="宋体" w:cs="宋体"/>
                <w:color w:val="auto"/>
                <w:sz w:val="24"/>
              </w:rPr>
            </w:pPr>
            <w:r>
              <w:rPr>
                <w:rFonts w:hint="eastAsia" w:ascii="宋体" w:hAnsi="宋体" w:cs="宋体"/>
                <w:color w:val="auto"/>
                <w:sz w:val="24"/>
              </w:rPr>
              <w:t>11</w:t>
            </w:r>
          </w:p>
        </w:tc>
        <w:tc>
          <w:tcPr>
            <w:tcW w:w="1965" w:type="dxa"/>
            <w:vMerge w:val="restart"/>
            <w:noWrap/>
            <w:tcMar>
              <w:top w:w="0" w:type="dxa"/>
              <w:left w:w="57" w:type="dxa"/>
              <w:bottom w:w="0" w:type="dxa"/>
              <w:right w:w="57" w:type="dxa"/>
            </w:tcMar>
            <w:vAlign w:val="center"/>
          </w:tcPr>
          <w:p w14:paraId="217D0398">
            <w:pPr>
              <w:spacing w:line="400" w:lineRule="exact"/>
              <w:jc w:val="center"/>
              <w:rPr>
                <w:rFonts w:ascii="宋体" w:hAnsi="宋体" w:cs="宋体"/>
                <w:b/>
                <w:bCs/>
                <w:color w:val="auto"/>
                <w:sz w:val="24"/>
              </w:rPr>
            </w:pPr>
            <w:r>
              <w:rPr>
                <w:rFonts w:hint="eastAsia" w:ascii="宋体" w:hAnsi="宋体" w:cs="宋体"/>
                <w:b/>
                <w:bCs/>
                <w:color w:val="auto"/>
                <w:sz w:val="24"/>
              </w:rPr>
              <w:t>响应文件的构成（分为资格证明文件、报价文件、商务技术文件三部分组成）</w:t>
            </w:r>
          </w:p>
        </w:tc>
        <w:tc>
          <w:tcPr>
            <w:tcW w:w="7133" w:type="dxa"/>
            <w:noWrap/>
            <w:tcMar>
              <w:top w:w="0" w:type="dxa"/>
              <w:left w:w="57" w:type="dxa"/>
              <w:bottom w:w="0" w:type="dxa"/>
              <w:right w:w="57" w:type="dxa"/>
            </w:tcMar>
          </w:tcPr>
          <w:p w14:paraId="36E95381">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资格证明文件：</w:t>
            </w:r>
          </w:p>
          <w:p w14:paraId="213279F9">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（1）有效的法人营业执照副本扫描件；</w:t>
            </w:r>
          </w:p>
          <w:p w14:paraId="31EEB7DE">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（2）有效的资质证书副本扫描件；</w:t>
            </w:r>
          </w:p>
          <w:p w14:paraId="5BDF49ED">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（3）有效的安全生产许可证副本扫描件；</w:t>
            </w:r>
          </w:p>
          <w:p w14:paraId="27CDD4D6">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（4）“诚信要求”信用查询；</w:t>
            </w:r>
          </w:p>
          <w:p w14:paraId="1ADF5804">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（5）法定代表人身份证明书；</w:t>
            </w:r>
          </w:p>
          <w:p w14:paraId="5A424433">
            <w:pPr>
              <w:pStyle w:val="26"/>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（6）授权委托书（委托时必须提供）；</w:t>
            </w:r>
          </w:p>
          <w:p w14:paraId="2E33F529">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7</w:t>
            </w:r>
            <w:r>
              <w:rPr>
                <w:rFonts w:hint="eastAsia" w:hAnsi="宋体" w:cs="宋体"/>
                <w:bCs/>
                <w:color w:val="auto"/>
                <w:sz w:val="24"/>
                <w:szCs w:val="24"/>
              </w:rPr>
              <w:t>）磋商截止之日前半年内连续三个月供应商依法纳税证明；无纳税记录的，应提供由竞标人所在地的税务部门出具的《依法纳税或依法免税证明》（格式自拟，扫描件）；</w:t>
            </w:r>
          </w:p>
          <w:p w14:paraId="175B6AB2">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8</w:t>
            </w:r>
            <w:r>
              <w:rPr>
                <w:rFonts w:hint="eastAsia" w:hAnsi="宋体" w:cs="宋体"/>
                <w:bCs/>
                <w:color w:val="auto"/>
                <w:sz w:val="24"/>
                <w:szCs w:val="24"/>
              </w:rPr>
              <w:t>）磋商截止之日前半年内连续三个月供应商依法缴纳社保证明；无纳税记录的，应提供由投标人所在地社保部门出具的《依法缴纳或依法免缴社保费证明》（格式自拟，扫描件）；</w:t>
            </w:r>
          </w:p>
          <w:p w14:paraId="293CB35C">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9</w:t>
            </w:r>
            <w:r>
              <w:rPr>
                <w:rFonts w:hint="eastAsia" w:hAnsi="宋体" w:cs="宋体"/>
                <w:bCs/>
                <w:color w:val="auto"/>
                <w:sz w:val="24"/>
                <w:szCs w:val="24"/>
              </w:rPr>
              <w:t>）拟派项目经理</w:t>
            </w:r>
            <w:r>
              <w:rPr>
                <w:rFonts w:hint="eastAsia" w:hAnsi="宋体" w:cs="宋体"/>
                <w:bCs/>
                <w:color w:val="auto"/>
                <w:sz w:val="24"/>
                <w:szCs w:val="24"/>
                <w:lang w:eastAsia="zh-CN"/>
              </w:rPr>
              <w:t>具备市政公用工程</w:t>
            </w:r>
            <w:r>
              <w:rPr>
                <w:rFonts w:hint="eastAsia" w:hAnsi="宋体" w:cs="宋体"/>
                <w:bCs/>
                <w:color w:val="auto"/>
                <w:sz w:val="24"/>
                <w:szCs w:val="24"/>
              </w:rPr>
              <w:t>二级及以上注册建造师证书及有效的省级或省级以上建设行政主管部门颁发的安全生产考核合格证书的扫描件；</w:t>
            </w:r>
          </w:p>
          <w:p w14:paraId="60476B08">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（1</w:t>
            </w:r>
            <w:r>
              <w:rPr>
                <w:rFonts w:hint="eastAsia" w:hAnsi="宋体" w:cs="宋体"/>
                <w:bCs/>
                <w:color w:val="auto"/>
                <w:sz w:val="24"/>
                <w:szCs w:val="24"/>
                <w:lang w:val="en-US" w:eastAsia="zh-CN"/>
              </w:rPr>
              <w:t>0</w:t>
            </w:r>
            <w:r>
              <w:rPr>
                <w:rFonts w:hint="eastAsia" w:hAnsi="宋体" w:cs="宋体"/>
                <w:bCs/>
                <w:color w:val="auto"/>
                <w:sz w:val="24"/>
                <w:szCs w:val="24"/>
              </w:rPr>
              <w:t>）拟派往本项目专职安全员岗位证书扫描件及有效的省级或省级以上建设行政主管部门颁发的安全生产考核合格证书的扫描件；</w:t>
            </w:r>
          </w:p>
          <w:p w14:paraId="656B5F3F">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11</w:t>
            </w:r>
            <w:r>
              <w:rPr>
                <w:rFonts w:hint="eastAsia" w:hAnsi="宋体" w:cs="宋体"/>
                <w:bCs/>
                <w:color w:val="auto"/>
                <w:sz w:val="24"/>
                <w:szCs w:val="24"/>
              </w:rPr>
              <w:t>）202</w:t>
            </w:r>
            <w:r>
              <w:rPr>
                <w:rFonts w:hint="eastAsia" w:hAnsi="宋体" w:cs="宋体"/>
                <w:bCs/>
                <w:color w:val="auto"/>
                <w:sz w:val="24"/>
                <w:szCs w:val="24"/>
                <w:lang w:val="en-US" w:eastAsia="zh-CN"/>
              </w:rPr>
              <w:t>4</w:t>
            </w:r>
            <w:r>
              <w:rPr>
                <w:rFonts w:hint="eastAsia" w:hAnsi="宋体" w:cs="宋体"/>
                <w:bCs/>
                <w:color w:val="auto"/>
                <w:sz w:val="24"/>
                <w:szCs w:val="24"/>
              </w:rPr>
              <w:t>年经审计的财务报告，或竞争性磋商公告日期后银行出具的有效资信证明，或竞争性磋商公告日期后政府采购专业担保机构出具的有效投标担保函（格式自拟，扫描件）；</w:t>
            </w:r>
          </w:p>
          <w:p w14:paraId="22F04DA7">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（1</w:t>
            </w:r>
            <w:r>
              <w:rPr>
                <w:rFonts w:hint="eastAsia" w:hAnsi="宋体" w:cs="宋体"/>
                <w:bCs/>
                <w:color w:val="auto"/>
                <w:sz w:val="24"/>
                <w:szCs w:val="24"/>
                <w:lang w:val="en-US" w:eastAsia="zh-CN"/>
              </w:rPr>
              <w:t>2</w:t>
            </w:r>
            <w:r>
              <w:rPr>
                <w:rFonts w:hint="eastAsia" w:hAnsi="宋体" w:cs="宋体"/>
                <w:bCs/>
                <w:color w:val="auto"/>
                <w:sz w:val="24"/>
                <w:szCs w:val="24"/>
              </w:rPr>
              <w:t>）磋商供应商认为必要提供的声明及文件资料。</w:t>
            </w:r>
          </w:p>
          <w:p w14:paraId="510F6844">
            <w:pPr>
              <w:pStyle w:val="26"/>
              <w:spacing w:line="390" w:lineRule="exact"/>
              <w:ind w:firstLine="480" w:firstLineChars="200"/>
              <w:rPr>
                <w:rFonts w:hAnsi="宋体" w:cs="宋体"/>
                <w:b/>
                <w:color w:val="auto"/>
                <w:sz w:val="24"/>
                <w:szCs w:val="24"/>
              </w:rPr>
            </w:pPr>
            <w:r>
              <w:rPr>
                <w:rFonts w:hint="eastAsia" w:hAnsi="宋体" w:cs="宋体"/>
                <w:b/>
                <w:bCs/>
                <w:color w:val="auto"/>
                <w:sz w:val="24"/>
                <w:szCs w:val="24"/>
              </w:rPr>
              <w:t>注：</w:t>
            </w:r>
            <w:r>
              <w:rPr>
                <w:rFonts w:hint="eastAsia" w:hAnsi="宋体" w:cs="宋体"/>
                <w:b/>
                <w:bCs/>
                <w:color w:val="auto"/>
                <w:sz w:val="24"/>
                <w:szCs w:val="24"/>
                <w:u w:val="single"/>
              </w:rPr>
              <w:t>1.</w:t>
            </w:r>
            <w:r>
              <w:rPr>
                <w:rFonts w:hint="eastAsia" w:hAnsi="宋体" w:cs="宋体"/>
                <w:b/>
                <w:color w:val="auto"/>
                <w:sz w:val="24"/>
                <w:szCs w:val="24"/>
                <w:u w:val="single"/>
              </w:rPr>
              <w:t>上述材料缺少任何一项或任何一项无效均会被视为资格审查不合格，作无效磋商处理</w:t>
            </w:r>
            <w:r>
              <w:rPr>
                <w:rFonts w:hint="eastAsia" w:hAnsi="宋体" w:cs="宋体"/>
                <w:b/>
                <w:color w:val="auto"/>
                <w:sz w:val="24"/>
                <w:szCs w:val="24"/>
              </w:rPr>
              <w:t>。</w:t>
            </w:r>
          </w:p>
          <w:p w14:paraId="32928177">
            <w:pPr>
              <w:pStyle w:val="26"/>
              <w:spacing w:line="390" w:lineRule="exact"/>
              <w:ind w:firstLine="480" w:firstLineChars="200"/>
              <w:rPr>
                <w:rFonts w:hAnsi="宋体" w:cs="宋体"/>
                <w:b/>
                <w:color w:val="auto"/>
                <w:sz w:val="24"/>
                <w:szCs w:val="24"/>
              </w:rPr>
            </w:pPr>
            <w:r>
              <w:rPr>
                <w:rFonts w:hint="eastAsia" w:hAnsi="宋体"/>
                <w:b/>
                <w:color w:val="auto"/>
                <w:sz w:val="24"/>
                <w:u w:val="single"/>
              </w:rPr>
              <w:t>2.以上材料属于复印件的扫描件的，必须加盖供应商电子公章，否则响应文件按无效响应处理。</w:t>
            </w:r>
          </w:p>
        </w:tc>
      </w:tr>
      <w:tr w14:paraId="049B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noWrap/>
            <w:tcMar>
              <w:top w:w="0" w:type="dxa"/>
              <w:left w:w="57" w:type="dxa"/>
              <w:bottom w:w="0" w:type="dxa"/>
              <w:right w:w="57" w:type="dxa"/>
            </w:tcMar>
            <w:vAlign w:val="center"/>
          </w:tcPr>
          <w:p w14:paraId="4BFBD291">
            <w:pPr>
              <w:spacing w:line="400" w:lineRule="exact"/>
              <w:jc w:val="center"/>
              <w:rPr>
                <w:rFonts w:ascii="宋体" w:hAnsi="宋体" w:cs="宋体"/>
                <w:color w:val="auto"/>
                <w:sz w:val="24"/>
              </w:rPr>
            </w:pPr>
          </w:p>
        </w:tc>
        <w:tc>
          <w:tcPr>
            <w:tcW w:w="1965" w:type="dxa"/>
            <w:vMerge w:val="continue"/>
            <w:noWrap/>
            <w:tcMar>
              <w:top w:w="0" w:type="dxa"/>
              <w:left w:w="57" w:type="dxa"/>
              <w:bottom w:w="0" w:type="dxa"/>
              <w:right w:w="57" w:type="dxa"/>
            </w:tcMar>
            <w:vAlign w:val="center"/>
          </w:tcPr>
          <w:p w14:paraId="5E4838F3">
            <w:pPr>
              <w:spacing w:line="400" w:lineRule="exact"/>
              <w:jc w:val="center"/>
              <w:rPr>
                <w:rFonts w:ascii="宋体" w:hAnsi="宋体" w:cs="宋体"/>
                <w:b/>
                <w:bCs/>
                <w:color w:val="auto"/>
                <w:sz w:val="24"/>
              </w:rPr>
            </w:pPr>
          </w:p>
        </w:tc>
        <w:tc>
          <w:tcPr>
            <w:tcW w:w="7133" w:type="dxa"/>
            <w:noWrap/>
            <w:tcMar>
              <w:top w:w="0" w:type="dxa"/>
              <w:left w:w="57" w:type="dxa"/>
              <w:bottom w:w="0" w:type="dxa"/>
              <w:right w:w="57" w:type="dxa"/>
            </w:tcMar>
          </w:tcPr>
          <w:p w14:paraId="2FF280A7">
            <w:pPr>
              <w:spacing w:line="400" w:lineRule="exact"/>
              <w:ind w:firstLine="480" w:firstLineChars="200"/>
              <w:rPr>
                <w:rFonts w:ascii="宋体" w:hAnsi="宋体" w:cs="宋体"/>
                <w:bCs/>
                <w:color w:val="auto"/>
                <w:sz w:val="24"/>
              </w:rPr>
            </w:pPr>
            <w:r>
              <w:rPr>
                <w:rFonts w:hint="eastAsia" w:ascii="宋体" w:hAnsi="宋体" w:cs="宋体"/>
                <w:bCs/>
                <w:color w:val="auto"/>
                <w:sz w:val="24"/>
              </w:rPr>
              <w:t>报价文件</w:t>
            </w:r>
          </w:p>
          <w:p w14:paraId="20BE9A52">
            <w:pPr>
              <w:pStyle w:val="70"/>
              <w:ind w:firstLine="480" w:firstLineChars="200"/>
              <w:rPr>
                <w:rFonts w:hAnsi="宋体"/>
                <w:bCs/>
                <w:color w:val="auto"/>
                <w:kern w:val="2"/>
              </w:rPr>
            </w:pPr>
            <w:r>
              <w:rPr>
                <w:rFonts w:hint="eastAsia" w:hAnsi="宋体"/>
                <w:bCs/>
                <w:color w:val="auto"/>
                <w:kern w:val="2"/>
              </w:rPr>
              <w:t>（1）磋商函及磋商函附录</w:t>
            </w:r>
          </w:p>
          <w:p w14:paraId="4854841B">
            <w:pPr>
              <w:pStyle w:val="70"/>
              <w:ind w:firstLine="480" w:firstLineChars="200"/>
              <w:rPr>
                <w:rFonts w:hAnsi="宋体"/>
                <w:bCs/>
                <w:color w:val="auto"/>
                <w:kern w:val="2"/>
              </w:rPr>
            </w:pPr>
            <w:r>
              <w:rPr>
                <w:rFonts w:hint="eastAsia" w:hAnsi="宋体"/>
                <w:bCs/>
                <w:color w:val="auto"/>
                <w:kern w:val="2"/>
              </w:rPr>
              <w:t>（2）竞标人基本情况表</w:t>
            </w:r>
          </w:p>
          <w:p w14:paraId="15050F69">
            <w:pPr>
              <w:pStyle w:val="70"/>
              <w:ind w:firstLine="480" w:firstLineChars="200"/>
              <w:rPr>
                <w:rFonts w:hAnsi="宋体"/>
                <w:bCs/>
                <w:color w:val="auto"/>
                <w:kern w:val="2"/>
              </w:rPr>
            </w:pPr>
            <w:r>
              <w:rPr>
                <w:rFonts w:hint="eastAsia" w:hAnsi="宋体"/>
                <w:bCs/>
                <w:color w:val="auto"/>
                <w:kern w:val="2"/>
              </w:rPr>
              <w:t>（3）已标价工程量清单</w:t>
            </w:r>
          </w:p>
          <w:p w14:paraId="1D9947E6">
            <w:pPr>
              <w:pStyle w:val="70"/>
              <w:ind w:firstLine="480" w:firstLineChars="200"/>
              <w:rPr>
                <w:color w:val="auto"/>
              </w:rPr>
            </w:pPr>
            <w:r>
              <w:rPr>
                <w:rFonts w:hint="eastAsia" w:hAnsi="宋体" w:cs="Times New Roman"/>
                <w:b/>
                <w:color w:val="auto"/>
                <w:u w:val="single"/>
              </w:rPr>
              <w:t>注：以上材料属于复印件的扫描件的，必须加盖供应商电子公章，否则响应文件按无效响应处理。</w:t>
            </w:r>
          </w:p>
        </w:tc>
      </w:tr>
      <w:tr w14:paraId="32F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noWrap/>
            <w:tcMar>
              <w:top w:w="0" w:type="dxa"/>
              <w:left w:w="57" w:type="dxa"/>
              <w:bottom w:w="0" w:type="dxa"/>
              <w:right w:w="57" w:type="dxa"/>
            </w:tcMar>
            <w:vAlign w:val="center"/>
          </w:tcPr>
          <w:p w14:paraId="63C93CA2">
            <w:pPr>
              <w:spacing w:line="400" w:lineRule="exact"/>
              <w:jc w:val="center"/>
              <w:rPr>
                <w:rFonts w:ascii="宋体" w:hAnsi="宋体" w:cs="宋体"/>
                <w:color w:val="auto"/>
                <w:sz w:val="24"/>
              </w:rPr>
            </w:pPr>
          </w:p>
        </w:tc>
        <w:tc>
          <w:tcPr>
            <w:tcW w:w="1965" w:type="dxa"/>
            <w:vMerge w:val="continue"/>
            <w:noWrap/>
            <w:tcMar>
              <w:top w:w="0" w:type="dxa"/>
              <w:left w:w="57" w:type="dxa"/>
              <w:bottom w:w="0" w:type="dxa"/>
              <w:right w:w="57" w:type="dxa"/>
            </w:tcMar>
            <w:vAlign w:val="center"/>
          </w:tcPr>
          <w:p w14:paraId="6D9C43BF">
            <w:pPr>
              <w:spacing w:line="400" w:lineRule="exact"/>
              <w:jc w:val="center"/>
              <w:rPr>
                <w:rFonts w:ascii="宋体" w:hAnsi="宋体" w:cs="宋体"/>
                <w:b/>
                <w:bCs/>
                <w:color w:val="auto"/>
                <w:sz w:val="24"/>
              </w:rPr>
            </w:pPr>
          </w:p>
        </w:tc>
        <w:tc>
          <w:tcPr>
            <w:tcW w:w="7133" w:type="dxa"/>
            <w:noWrap/>
            <w:tcMar>
              <w:top w:w="0" w:type="dxa"/>
              <w:left w:w="57" w:type="dxa"/>
              <w:bottom w:w="0" w:type="dxa"/>
              <w:right w:w="57" w:type="dxa"/>
            </w:tcMar>
          </w:tcPr>
          <w:p w14:paraId="38D27994">
            <w:pPr>
              <w:spacing w:line="400" w:lineRule="exact"/>
              <w:ind w:firstLine="480" w:firstLineChars="200"/>
              <w:rPr>
                <w:rFonts w:ascii="宋体" w:hAnsi="宋体" w:cs="宋体"/>
                <w:bCs/>
                <w:color w:val="auto"/>
                <w:sz w:val="24"/>
              </w:rPr>
            </w:pPr>
            <w:r>
              <w:rPr>
                <w:rFonts w:hint="eastAsia" w:ascii="宋体" w:hAnsi="宋体" w:cs="宋体"/>
                <w:bCs/>
                <w:color w:val="auto"/>
                <w:sz w:val="24"/>
              </w:rPr>
              <w:t>商务技术文件</w:t>
            </w:r>
          </w:p>
          <w:p w14:paraId="0618A2ED">
            <w:pPr>
              <w:pStyle w:val="26"/>
              <w:spacing w:line="390" w:lineRule="exact"/>
              <w:ind w:firstLine="480" w:firstLineChars="200"/>
              <w:rPr>
                <w:color w:val="auto"/>
                <w:sz w:val="24"/>
                <w:szCs w:val="24"/>
              </w:rPr>
            </w:pPr>
            <w:r>
              <w:rPr>
                <w:rFonts w:hint="eastAsia" w:hAnsi="宋体" w:cs="宋体"/>
                <w:bCs/>
                <w:color w:val="auto"/>
                <w:sz w:val="24"/>
                <w:szCs w:val="24"/>
              </w:rPr>
              <w:t>(1)</w:t>
            </w:r>
            <w:r>
              <w:rPr>
                <w:rFonts w:ascii="Calibri" w:hAnsi="Calibri" w:cs="Calibri"/>
                <w:bCs/>
                <w:color w:val="auto"/>
                <w:sz w:val="24"/>
                <w:szCs w:val="24"/>
              </w:rPr>
              <w:t>主要管理人员表</w:t>
            </w:r>
          </w:p>
          <w:p w14:paraId="0F064FD8">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(2)建设工程项目管理承诺书</w:t>
            </w:r>
          </w:p>
          <w:p w14:paraId="050D7995">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(3)施工组织设计</w:t>
            </w:r>
          </w:p>
          <w:p w14:paraId="2DA4D409">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(4)业绩</w:t>
            </w:r>
          </w:p>
          <w:p w14:paraId="18676308">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(5)其他资料</w:t>
            </w:r>
          </w:p>
          <w:p w14:paraId="03A4A2D6">
            <w:pPr>
              <w:pStyle w:val="70"/>
              <w:ind w:firstLine="480" w:firstLineChars="200"/>
              <w:rPr>
                <w:color w:val="auto"/>
              </w:rPr>
            </w:pPr>
            <w:r>
              <w:rPr>
                <w:rFonts w:hint="eastAsia" w:hAnsi="宋体" w:cs="Times New Roman"/>
                <w:b/>
                <w:color w:val="auto"/>
                <w:u w:val="single"/>
              </w:rPr>
              <w:t>注：以上材料属于复印件的扫描件的，必须加盖供应商电子公章，否则响应文件按无效响应处理。</w:t>
            </w:r>
          </w:p>
        </w:tc>
      </w:tr>
      <w:tr w14:paraId="5B66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1000466E">
            <w:pPr>
              <w:spacing w:line="400" w:lineRule="exact"/>
              <w:jc w:val="center"/>
              <w:rPr>
                <w:rFonts w:ascii="宋体" w:hAnsi="宋体" w:cs="宋体"/>
                <w:color w:val="auto"/>
                <w:sz w:val="24"/>
              </w:rPr>
            </w:pPr>
            <w:r>
              <w:rPr>
                <w:rFonts w:hint="eastAsia" w:ascii="宋体" w:hAnsi="宋体" w:cs="宋体"/>
                <w:color w:val="auto"/>
                <w:sz w:val="24"/>
              </w:rPr>
              <w:t>12</w:t>
            </w:r>
          </w:p>
        </w:tc>
        <w:tc>
          <w:tcPr>
            <w:tcW w:w="1965" w:type="dxa"/>
            <w:noWrap/>
            <w:tcMar>
              <w:top w:w="0" w:type="dxa"/>
              <w:left w:w="57" w:type="dxa"/>
              <w:bottom w:w="0" w:type="dxa"/>
              <w:right w:w="57" w:type="dxa"/>
            </w:tcMar>
            <w:vAlign w:val="center"/>
          </w:tcPr>
          <w:p w14:paraId="3E6F7AB2">
            <w:pPr>
              <w:spacing w:line="400" w:lineRule="exact"/>
              <w:ind w:firstLine="240" w:firstLineChars="100"/>
              <w:jc w:val="center"/>
              <w:rPr>
                <w:rFonts w:ascii="宋体" w:hAnsi="宋体" w:cs="宋体"/>
                <w:b/>
                <w:bCs/>
                <w:color w:val="auto"/>
                <w:sz w:val="24"/>
              </w:rPr>
            </w:pPr>
            <w:r>
              <w:rPr>
                <w:rFonts w:hint="eastAsia" w:ascii="宋体" w:hAnsi="宋体" w:cs="宋体"/>
                <w:b/>
                <w:bCs/>
                <w:color w:val="auto"/>
                <w:sz w:val="24"/>
              </w:rPr>
              <w:t>《响应文件》的递交</w:t>
            </w:r>
          </w:p>
        </w:tc>
        <w:tc>
          <w:tcPr>
            <w:tcW w:w="7133" w:type="dxa"/>
            <w:noWrap/>
            <w:tcMar>
              <w:top w:w="0" w:type="dxa"/>
              <w:left w:w="57" w:type="dxa"/>
              <w:bottom w:w="0" w:type="dxa"/>
              <w:right w:w="57" w:type="dxa"/>
            </w:tcMar>
          </w:tcPr>
          <w:p w14:paraId="3FAC1E3F">
            <w:pPr>
              <w:spacing w:line="400" w:lineRule="exact"/>
              <w:rPr>
                <w:rFonts w:ascii="宋体" w:hAnsi="宋体" w:cs="宋体"/>
                <w:color w:val="auto"/>
                <w:sz w:val="24"/>
              </w:rPr>
            </w:pPr>
            <w:r>
              <w:rPr>
                <w:rFonts w:hint="eastAsia" w:ascii="宋体" w:hAnsi="宋体" w:cs="宋体"/>
                <w:color w:val="auto"/>
                <w:sz w:val="24"/>
              </w:rPr>
              <w:t>递交地点：本项目为全流程电子化项目，通过“政采云”平台（http：//www.zcygov.cn）实行在线电子投标，供应商应先安装“广西政府采购云平台客户端”（请自行前往“政采云”平台进行下载），并按照本项目招标文件和“政采云”平台的要求编制、加密后在投标截止时间前通过网络上传至“政采云”平台，</w:t>
            </w:r>
            <w:r>
              <w:rPr>
                <w:rFonts w:hint="eastAsia" w:ascii="宋体" w:hAnsi="宋体" w:cs="宋体"/>
                <w:b/>
                <w:bCs/>
                <w:color w:val="auto"/>
                <w:sz w:val="24"/>
              </w:rPr>
              <w:t>供应商在“政采云”平台提交电子版响应文件时，请填写参加远程开标活动经办人联系方式，如在操作过程中遇到问题或需技术支持，请致电政采云客服热线：95763</w:t>
            </w:r>
            <w:r>
              <w:rPr>
                <w:rFonts w:hint="eastAsia" w:ascii="宋体" w:hAnsi="宋体" w:cs="宋体"/>
                <w:color w:val="auto"/>
                <w:sz w:val="24"/>
              </w:rPr>
              <w:t>。</w:t>
            </w:r>
          </w:p>
          <w:p w14:paraId="255EB942">
            <w:pPr>
              <w:spacing w:line="400" w:lineRule="exact"/>
              <w:rPr>
                <w:rFonts w:hint="eastAsia" w:ascii="宋体" w:hAnsi="宋体" w:eastAsia="宋体" w:cs="宋体"/>
                <w:color w:val="auto"/>
                <w:sz w:val="24"/>
                <w:lang w:eastAsia="zh-CN"/>
              </w:rPr>
            </w:pPr>
            <w:r>
              <w:rPr>
                <w:rFonts w:hint="eastAsia" w:ascii="宋体" w:hAnsi="宋体" w:cs="宋体"/>
                <w:color w:val="auto"/>
                <w:sz w:val="24"/>
              </w:rPr>
              <w:t>《响应文件》递交截止时间：</w:t>
            </w:r>
            <w:r>
              <w:rPr>
                <w:rFonts w:hint="eastAsia" w:ascii="宋体" w:hAnsi="宋体" w:cs="宋体"/>
                <w:bCs/>
                <w:color w:val="auto"/>
                <w:spacing w:val="10"/>
                <w:kern w:val="0"/>
                <w:sz w:val="24"/>
                <w:u w:val="single"/>
                <w:lang w:eastAsia="zh-CN"/>
              </w:rPr>
              <w:t>2025年11月24日09时30分</w:t>
            </w:r>
          </w:p>
        </w:tc>
      </w:tr>
      <w:tr w14:paraId="4DD0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97B2FBA">
            <w:pPr>
              <w:spacing w:line="400" w:lineRule="exact"/>
              <w:jc w:val="center"/>
              <w:rPr>
                <w:rFonts w:ascii="宋体" w:hAnsi="宋体" w:cs="宋体"/>
                <w:color w:val="auto"/>
                <w:sz w:val="24"/>
              </w:rPr>
            </w:pPr>
            <w:r>
              <w:rPr>
                <w:rFonts w:hint="eastAsia" w:ascii="宋体" w:hAnsi="宋体" w:cs="宋体"/>
                <w:color w:val="auto"/>
                <w:sz w:val="24"/>
              </w:rPr>
              <w:t>13</w:t>
            </w:r>
          </w:p>
        </w:tc>
        <w:tc>
          <w:tcPr>
            <w:tcW w:w="1965" w:type="dxa"/>
            <w:noWrap/>
            <w:tcMar>
              <w:top w:w="0" w:type="dxa"/>
              <w:left w:w="57" w:type="dxa"/>
              <w:bottom w:w="0" w:type="dxa"/>
              <w:right w:w="57" w:type="dxa"/>
            </w:tcMar>
            <w:vAlign w:val="center"/>
          </w:tcPr>
          <w:p w14:paraId="5ED70C15">
            <w:pPr>
              <w:spacing w:line="400" w:lineRule="exact"/>
              <w:jc w:val="center"/>
              <w:rPr>
                <w:rFonts w:ascii="宋体" w:hAnsi="宋体" w:cs="宋体"/>
                <w:b/>
                <w:bCs/>
                <w:color w:val="auto"/>
                <w:sz w:val="24"/>
              </w:rPr>
            </w:pPr>
            <w:r>
              <w:rPr>
                <w:rFonts w:hint="eastAsia" w:ascii="宋体" w:hAnsi="宋体" w:cs="宋体"/>
                <w:b/>
                <w:bCs/>
                <w:color w:val="auto"/>
                <w:sz w:val="24"/>
              </w:rPr>
              <w:t>开标时间</w:t>
            </w:r>
          </w:p>
        </w:tc>
        <w:tc>
          <w:tcPr>
            <w:tcW w:w="7133" w:type="dxa"/>
            <w:noWrap/>
            <w:tcMar>
              <w:top w:w="0" w:type="dxa"/>
              <w:left w:w="57" w:type="dxa"/>
              <w:bottom w:w="0" w:type="dxa"/>
              <w:right w:w="57" w:type="dxa"/>
            </w:tcMar>
          </w:tcPr>
          <w:p w14:paraId="2F2F17F4">
            <w:pPr>
              <w:spacing w:line="400" w:lineRule="exact"/>
              <w:ind w:firstLine="480" w:firstLineChars="200"/>
              <w:rPr>
                <w:rFonts w:ascii="宋体" w:hAnsi="宋体" w:cs="宋体"/>
                <w:color w:val="auto"/>
                <w:sz w:val="24"/>
              </w:rPr>
            </w:pPr>
            <w:r>
              <w:rPr>
                <w:rFonts w:hint="eastAsia" w:ascii="宋体" w:hAnsi="宋体" w:cs="宋体"/>
                <w:color w:val="auto"/>
                <w:sz w:val="24"/>
              </w:rPr>
              <w:t>开标时间：</w:t>
            </w:r>
            <w:r>
              <w:rPr>
                <w:rFonts w:hint="eastAsia" w:ascii="宋体" w:hAnsi="宋体" w:cs="宋体"/>
                <w:bCs/>
                <w:color w:val="auto"/>
                <w:spacing w:val="10"/>
                <w:kern w:val="0"/>
                <w:sz w:val="24"/>
                <w:u w:val="single"/>
                <w:lang w:eastAsia="zh-CN"/>
              </w:rPr>
              <w:t>2025年11月24日09时30分</w:t>
            </w:r>
            <w:r>
              <w:rPr>
                <w:rFonts w:hint="eastAsia" w:ascii="宋体" w:hAnsi="宋体" w:cs="宋体"/>
                <w:color w:val="auto"/>
                <w:sz w:val="24"/>
              </w:rPr>
              <w:t>截标后</w:t>
            </w:r>
          </w:p>
          <w:p w14:paraId="1D58DEE7">
            <w:pPr>
              <w:widowControl/>
              <w:shd w:val="clear" w:color="auto" w:fill="FFFFFF"/>
              <w:spacing w:line="20" w:lineRule="atLeast"/>
              <w:ind w:firstLine="480" w:firstLineChars="200"/>
              <w:jc w:val="left"/>
              <w:rPr>
                <w:rFonts w:ascii="宋体" w:hAnsi="宋体" w:cs="宋体"/>
                <w:color w:val="auto"/>
                <w:sz w:val="24"/>
              </w:rPr>
            </w:pPr>
            <w:r>
              <w:rPr>
                <w:rFonts w:hint="eastAsia" w:ascii="宋体" w:hAnsi="宋体" w:cs="宋体"/>
                <w:color w:val="auto"/>
                <w:sz w:val="24"/>
              </w:rPr>
              <w:t>开标地点：“政采云”平台电子开标大厅开标。</w:t>
            </w:r>
          </w:p>
          <w:p w14:paraId="02D4BDF5">
            <w:pPr>
              <w:widowControl/>
              <w:shd w:val="clear" w:color="auto" w:fill="FFFFFF"/>
              <w:spacing w:line="20" w:lineRule="atLeast"/>
              <w:jc w:val="left"/>
              <w:rPr>
                <w:rFonts w:ascii="宋体" w:hAnsi="宋体" w:cs="宋体"/>
                <w:color w:val="auto"/>
                <w:sz w:val="24"/>
              </w:rPr>
            </w:pPr>
            <w:r>
              <w:rPr>
                <w:rFonts w:hint="eastAsia" w:ascii="宋体" w:hAnsi="宋体" w:cs="宋体"/>
                <w:color w:val="auto"/>
                <w:kern w:val="0"/>
                <w:sz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14:paraId="5A24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877496F">
            <w:pPr>
              <w:spacing w:line="400" w:lineRule="exact"/>
              <w:jc w:val="center"/>
              <w:rPr>
                <w:rFonts w:ascii="宋体" w:hAnsi="宋体" w:cs="宋体"/>
                <w:color w:val="auto"/>
                <w:sz w:val="24"/>
              </w:rPr>
            </w:pPr>
            <w:r>
              <w:rPr>
                <w:rFonts w:hint="eastAsia" w:ascii="宋体" w:hAnsi="宋体" w:cs="宋体"/>
                <w:color w:val="auto"/>
                <w:sz w:val="24"/>
              </w:rPr>
              <w:t>14</w:t>
            </w:r>
          </w:p>
        </w:tc>
        <w:tc>
          <w:tcPr>
            <w:tcW w:w="1965" w:type="dxa"/>
            <w:noWrap/>
            <w:tcMar>
              <w:top w:w="0" w:type="dxa"/>
              <w:left w:w="57" w:type="dxa"/>
              <w:bottom w:w="0" w:type="dxa"/>
              <w:right w:w="57" w:type="dxa"/>
            </w:tcMar>
            <w:vAlign w:val="center"/>
          </w:tcPr>
          <w:p w14:paraId="6C9327E1">
            <w:pPr>
              <w:spacing w:line="400" w:lineRule="exact"/>
              <w:jc w:val="center"/>
              <w:rPr>
                <w:rFonts w:ascii="宋体" w:hAnsi="宋体" w:cs="宋体"/>
                <w:b/>
                <w:bCs/>
                <w:color w:val="auto"/>
                <w:sz w:val="24"/>
              </w:rPr>
            </w:pPr>
            <w:r>
              <w:rPr>
                <w:rFonts w:hint="eastAsia" w:ascii="宋体" w:hAnsi="宋体" w:cs="宋体"/>
                <w:b/>
                <w:bCs/>
                <w:color w:val="auto"/>
                <w:sz w:val="24"/>
              </w:rPr>
              <w:t>开标程序</w:t>
            </w:r>
          </w:p>
        </w:tc>
        <w:tc>
          <w:tcPr>
            <w:tcW w:w="7133" w:type="dxa"/>
            <w:noWrap/>
            <w:tcMar>
              <w:top w:w="0" w:type="dxa"/>
              <w:left w:w="57" w:type="dxa"/>
              <w:bottom w:w="0" w:type="dxa"/>
              <w:right w:w="57" w:type="dxa"/>
            </w:tcMar>
          </w:tcPr>
          <w:p w14:paraId="31279059">
            <w:pPr>
              <w:numPr>
                <w:ilvl w:val="0"/>
                <w:numId w:val="4"/>
              </w:numPr>
              <w:spacing w:line="390" w:lineRule="exact"/>
              <w:ind w:firstLine="480" w:firstLineChars="200"/>
              <w:rPr>
                <w:rFonts w:ascii="宋体" w:hAnsi="宋体" w:cs="宋体"/>
                <w:color w:val="auto"/>
                <w:sz w:val="24"/>
              </w:rPr>
            </w:pPr>
            <w:r>
              <w:rPr>
                <w:rFonts w:hint="eastAsia" w:ascii="宋体" w:hAnsi="宋体" w:cs="宋体"/>
                <w:color w:val="auto"/>
                <w:sz w:val="24"/>
              </w:rPr>
              <w:t>签收、解密电子投标文件。</w:t>
            </w:r>
            <w:r>
              <w:rPr>
                <w:rFonts w:ascii="宋体" w:hAnsi="宋体" w:cs="宋体"/>
                <w:color w:val="auto"/>
                <w:sz w:val="24"/>
              </w:rPr>
              <w:t>采购代理机构将在“供应商须知前附表”规定的时间通过电子交易平台组织响应文件开启， 采购机构依托电子交易平台发起</w:t>
            </w:r>
            <w:r>
              <w:rPr>
                <w:rFonts w:hint="eastAsia" w:ascii="宋体" w:hAnsi="宋体" w:cs="宋体"/>
                <w:color w:val="auto"/>
                <w:sz w:val="24"/>
              </w:rPr>
              <w:t>【开始解密】</w:t>
            </w:r>
            <w:r>
              <w:rPr>
                <w:rFonts w:ascii="宋体" w:hAnsi="宋体" w:cs="宋体"/>
                <w:color w:val="auto"/>
                <w:sz w:val="24"/>
              </w:rPr>
              <w:t xml:space="preserve">指令，供应商的法定代表人或其委托代理人须携带加密时所用的 CA 锁按平台提示和采购文件的规定登录到“政采云”平台电子开标大厅签到并在发起解密指令之时起 </w:t>
            </w:r>
            <w:r>
              <w:rPr>
                <w:rFonts w:hint="eastAsia" w:ascii="宋体" w:hAnsi="宋体" w:cs="宋体"/>
                <w:color w:val="auto"/>
                <w:sz w:val="24"/>
              </w:rPr>
              <w:t>30</w:t>
            </w:r>
            <w:r>
              <w:rPr>
                <w:rFonts w:ascii="宋体" w:hAnsi="宋体" w:cs="宋体"/>
                <w:color w:val="auto"/>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4"/>
              </w:rPr>
              <w:t>导致代理机构无法联系到投标人在</w:t>
            </w:r>
            <w:r>
              <w:rPr>
                <w:rFonts w:ascii="宋体" w:hAnsi="宋体" w:cs="宋体"/>
                <w:color w:val="auto"/>
                <w:sz w:val="24"/>
              </w:rPr>
              <w:t xml:space="preserve">发起解密指令之时起 </w:t>
            </w:r>
            <w:r>
              <w:rPr>
                <w:rFonts w:hint="eastAsia" w:ascii="宋体" w:hAnsi="宋体" w:cs="宋体"/>
                <w:color w:val="auto"/>
                <w:sz w:val="24"/>
              </w:rPr>
              <w:t>30</w:t>
            </w:r>
            <w:r>
              <w:rPr>
                <w:rFonts w:ascii="宋体" w:hAnsi="宋体" w:cs="宋体"/>
                <w:color w:val="auto"/>
                <w:sz w:val="24"/>
              </w:rPr>
              <w:t>分钟内完成对电子响应文件在线解密</w:t>
            </w:r>
            <w:r>
              <w:rPr>
                <w:rFonts w:hint="eastAsia" w:ascii="宋体" w:hAnsi="宋体" w:cs="宋体"/>
                <w:color w:val="auto"/>
                <w:sz w:val="24"/>
              </w:rPr>
              <w:t>的，均视为无效投标</w:t>
            </w:r>
            <w:r>
              <w:rPr>
                <w:rFonts w:ascii="宋体" w:hAnsi="宋体" w:cs="宋体"/>
                <w:color w:val="auto"/>
                <w:sz w:val="24"/>
              </w:rPr>
              <w:t>。</w:t>
            </w:r>
          </w:p>
          <w:p w14:paraId="6E24D705">
            <w:pPr>
              <w:spacing w:line="390" w:lineRule="exact"/>
              <w:ind w:firstLine="240" w:firstLineChars="100"/>
              <w:rPr>
                <w:rFonts w:ascii="宋体" w:hAnsi="宋体" w:cs="宋体"/>
                <w:color w:val="auto"/>
                <w:sz w:val="24"/>
              </w:rPr>
            </w:pPr>
            <w:r>
              <w:rPr>
                <w:rFonts w:ascii="宋体" w:hAnsi="宋体" w:cs="宋体"/>
                <w:color w:val="auto"/>
                <w:sz w:val="24"/>
              </w:rPr>
              <w:t xml:space="preserve">（解密异常情况处理：详见本章 </w:t>
            </w:r>
            <w:r>
              <w:rPr>
                <w:rFonts w:hint="eastAsia" w:ascii="宋体" w:hAnsi="宋体" w:cs="宋体"/>
                <w:color w:val="auto"/>
                <w:sz w:val="24"/>
              </w:rPr>
              <w:t>15.3</w:t>
            </w:r>
            <w:r>
              <w:rPr>
                <w:rFonts w:ascii="宋体" w:hAnsi="宋体" w:cs="宋体"/>
                <w:color w:val="auto"/>
                <w:sz w:val="24"/>
              </w:rPr>
              <w:t xml:space="preserve"> 电子交易活动的中止。） </w:t>
            </w:r>
          </w:p>
          <w:p w14:paraId="274BFBEE">
            <w:pPr>
              <w:spacing w:line="390" w:lineRule="exact"/>
              <w:ind w:firstLine="480" w:firstLineChars="200"/>
              <w:rPr>
                <w:rFonts w:ascii="宋体" w:hAnsi="宋体" w:cs="宋体"/>
                <w:color w:val="auto"/>
                <w:sz w:val="24"/>
              </w:rPr>
            </w:pPr>
            <w:r>
              <w:rPr>
                <w:rFonts w:ascii="宋体" w:hAnsi="宋体" w:cs="宋体"/>
                <w:color w:val="auto"/>
                <w:sz w:val="24"/>
              </w:rPr>
              <w:t>如供应商成功解密响应文件，但未在“政采云”电子开标大厅参加</w:t>
            </w:r>
            <w:r>
              <w:rPr>
                <w:rFonts w:hint="eastAsia" w:ascii="宋体" w:hAnsi="宋体" w:cs="宋体"/>
                <w:color w:val="auto"/>
                <w:sz w:val="24"/>
              </w:rPr>
              <w:t>磋商</w:t>
            </w:r>
            <w:r>
              <w:rPr>
                <w:rFonts w:ascii="宋体" w:hAnsi="宋体" w:cs="宋体"/>
                <w:color w:val="auto"/>
                <w:sz w:val="24"/>
              </w:rPr>
              <w:t>的，视同认可</w:t>
            </w:r>
            <w:r>
              <w:rPr>
                <w:rFonts w:hint="eastAsia" w:ascii="宋体" w:hAnsi="宋体" w:cs="宋体"/>
                <w:color w:val="auto"/>
                <w:sz w:val="24"/>
              </w:rPr>
              <w:t>磋商</w:t>
            </w:r>
            <w:r>
              <w:rPr>
                <w:rFonts w:ascii="宋体" w:hAnsi="宋体" w:cs="宋体"/>
                <w:color w:val="auto"/>
                <w:sz w:val="24"/>
              </w:rPr>
              <w:t>过程和结果，由此产生的后果由供应商自行负责。参与</w:t>
            </w:r>
            <w:r>
              <w:rPr>
                <w:rFonts w:hint="eastAsia" w:ascii="宋体" w:hAnsi="宋体" w:cs="宋体"/>
                <w:color w:val="auto"/>
                <w:sz w:val="24"/>
              </w:rPr>
              <w:t>磋商</w:t>
            </w:r>
            <w:r>
              <w:rPr>
                <w:rFonts w:ascii="宋体" w:hAnsi="宋体" w:cs="宋体"/>
                <w:color w:val="auto"/>
                <w:sz w:val="24"/>
              </w:rPr>
              <w:t>的供应商不足3 家的，不得</w:t>
            </w:r>
            <w:r>
              <w:rPr>
                <w:rFonts w:hint="eastAsia" w:ascii="宋体" w:hAnsi="宋体" w:cs="宋体"/>
                <w:color w:val="auto"/>
                <w:sz w:val="24"/>
              </w:rPr>
              <w:t>磋商</w:t>
            </w:r>
            <w:r>
              <w:rPr>
                <w:rFonts w:ascii="宋体" w:hAnsi="宋体" w:cs="宋体"/>
                <w:color w:val="auto"/>
                <w:sz w:val="24"/>
              </w:rPr>
              <w:t>。</w:t>
            </w:r>
          </w:p>
          <w:p w14:paraId="35344045">
            <w:pPr>
              <w:spacing w:line="400" w:lineRule="exact"/>
              <w:ind w:firstLine="480" w:firstLineChars="200"/>
              <w:rPr>
                <w:rFonts w:ascii="宋体" w:hAnsi="宋体" w:cs="宋体"/>
                <w:color w:val="auto"/>
                <w:sz w:val="24"/>
              </w:rPr>
            </w:pPr>
            <w:r>
              <w:rPr>
                <w:rFonts w:hint="eastAsia" w:ascii="宋体" w:hAnsi="宋体" w:cs="宋体"/>
                <w:color w:val="auto"/>
                <w:sz w:val="24"/>
              </w:rPr>
              <w:t>（2）初步评审。投标文件解密结束后，磋商小组依据法律法规和招标文件的规定，对投标人进行线上初步评审（资格性审查、符合性审查）。</w:t>
            </w:r>
          </w:p>
          <w:p w14:paraId="6BB29170">
            <w:pPr>
              <w:spacing w:line="390" w:lineRule="exact"/>
              <w:ind w:firstLine="480" w:firstLineChars="200"/>
              <w:rPr>
                <w:rFonts w:ascii="宋体" w:hAnsi="宋体" w:cs="宋体"/>
                <w:color w:val="auto"/>
                <w:sz w:val="24"/>
              </w:rPr>
            </w:pPr>
            <w:r>
              <w:rPr>
                <w:rFonts w:hint="eastAsia" w:ascii="宋体" w:hAnsi="宋体" w:cs="宋体"/>
                <w:color w:val="auto"/>
                <w:sz w:val="24"/>
              </w:rPr>
              <w:t>（3）电子在线询标（开启第二轮报价）。</w:t>
            </w:r>
            <w:r>
              <w:rPr>
                <w:rFonts w:ascii="Calibri" w:hAnsi="Calibri" w:cs="Calibri"/>
                <w:color w:val="auto"/>
                <w:sz w:val="24"/>
              </w:rPr>
              <w:t>①采购代理机构将按照提交首次响应文件的顺序在线上通知，通知磋商时，若某供应商不在通知现场时，该供应商排序到最后磋商，按照签到的顺序由其下一位供应商先参与磋商</w:t>
            </w:r>
            <w:r>
              <w:rPr>
                <w:rFonts w:hint="eastAsia" w:ascii="Calibri" w:hAnsi="Calibri" w:cs="Calibri"/>
                <w:color w:val="auto"/>
                <w:sz w:val="24"/>
              </w:rPr>
              <w:t>。</w:t>
            </w:r>
            <w:r>
              <w:rPr>
                <w:rFonts w:ascii="Calibri" w:hAnsi="Calibri" w:cs="Calibri"/>
                <w:color w:val="auto"/>
                <w:sz w:val="24"/>
              </w:rPr>
              <w:t>②</w:t>
            </w:r>
            <w:r>
              <w:rPr>
                <w:rFonts w:hint="eastAsia" w:ascii="宋体" w:hAnsi="宋体" w:cs="宋体"/>
                <w:color w:val="auto"/>
                <w:sz w:val="24"/>
              </w:rPr>
              <w:t>各投标供应商在规定地点、时间提交二次报价或询标回复。</w:t>
            </w:r>
          </w:p>
          <w:p w14:paraId="590B3431">
            <w:pPr>
              <w:spacing w:line="400" w:lineRule="exact"/>
              <w:ind w:firstLine="480" w:firstLineChars="200"/>
              <w:rPr>
                <w:rFonts w:ascii="宋体" w:hAnsi="宋体" w:cs="宋体"/>
                <w:color w:val="auto"/>
                <w:sz w:val="24"/>
              </w:rPr>
            </w:pPr>
            <w:r>
              <w:rPr>
                <w:rFonts w:hint="eastAsia" w:ascii="宋体" w:hAnsi="宋体" w:cs="宋体"/>
                <w:color w:val="auto"/>
                <w:sz w:val="24"/>
              </w:rPr>
              <w:t>（4）电子唱标。各投标供应商报价、工期等均在“政采云”平台远程不见面开标大厅展示；</w:t>
            </w:r>
          </w:p>
          <w:p w14:paraId="3A6976F9">
            <w:pPr>
              <w:spacing w:line="400" w:lineRule="exact"/>
              <w:ind w:firstLine="480" w:firstLineChars="200"/>
              <w:rPr>
                <w:rFonts w:ascii="宋体" w:hAnsi="宋体" w:cs="宋体"/>
                <w:color w:val="auto"/>
                <w:sz w:val="24"/>
              </w:rPr>
            </w:pPr>
            <w:r>
              <w:rPr>
                <w:rFonts w:hint="eastAsia" w:ascii="宋体" w:hAnsi="宋体" w:cs="宋体"/>
                <w:color w:val="auto"/>
                <w:sz w:val="24"/>
              </w:rPr>
              <w:t>（5）开标过程由采购代理机构如实记录，并电子留痕，由参加电子开标的各投标人代表对电子开标记录在开标记录公布后10分钟内进行当场校核及勘误，并线上确认，未确认的视同认可开标结果。</w:t>
            </w:r>
          </w:p>
          <w:p w14:paraId="327E3B07">
            <w:pPr>
              <w:spacing w:line="400" w:lineRule="exact"/>
              <w:ind w:firstLine="480" w:firstLineChars="200"/>
              <w:rPr>
                <w:rFonts w:ascii="宋体" w:hAnsi="宋体" w:cs="宋体"/>
                <w:color w:val="auto"/>
                <w:sz w:val="24"/>
              </w:rPr>
            </w:pPr>
            <w:r>
              <w:rPr>
                <w:rFonts w:hint="eastAsia" w:ascii="宋体" w:hAnsi="宋体" w:cs="宋体"/>
                <w:color w:val="auto"/>
                <w:sz w:val="24"/>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63A7575">
            <w:pPr>
              <w:spacing w:line="400" w:lineRule="exact"/>
              <w:ind w:firstLine="480" w:firstLineChars="200"/>
              <w:rPr>
                <w:rFonts w:ascii="宋体" w:hAnsi="宋体" w:cs="宋体"/>
                <w:color w:val="auto"/>
                <w:sz w:val="24"/>
              </w:rPr>
            </w:pPr>
            <w:r>
              <w:rPr>
                <w:rFonts w:hint="eastAsia" w:ascii="宋体" w:hAnsi="宋体" w:cs="宋体"/>
                <w:color w:val="auto"/>
                <w:sz w:val="24"/>
              </w:rPr>
              <w:t>（7）开标结束。</w:t>
            </w:r>
          </w:p>
          <w:p w14:paraId="4F58BA99">
            <w:pPr>
              <w:pStyle w:val="70"/>
              <w:rPr>
                <w:b/>
                <w:bCs/>
                <w:color w:val="auto"/>
              </w:rPr>
            </w:pPr>
          </w:p>
          <w:p w14:paraId="16ECF9F6">
            <w:pPr>
              <w:pStyle w:val="70"/>
              <w:ind w:firstLine="480" w:firstLineChars="200"/>
              <w:rPr>
                <w:color w:val="auto"/>
              </w:rPr>
            </w:pPr>
            <w:r>
              <w:rPr>
                <w:rFonts w:hint="eastAsia"/>
                <w:b/>
                <w:bCs/>
                <w:color w:val="auto"/>
              </w:rPr>
              <w:t>特别说明：如遇“政采云”平台电子化开标或评审程序调整的，按调整后执行。</w:t>
            </w:r>
          </w:p>
        </w:tc>
      </w:tr>
      <w:tr w14:paraId="3391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1B1D78D">
            <w:pPr>
              <w:spacing w:line="400" w:lineRule="exact"/>
              <w:jc w:val="center"/>
              <w:rPr>
                <w:rFonts w:ascii="宋体" w:hAnsi="宋体" w:cs="宋体"/>
                <w:color w:val="auto"/>
                <w:sz w:val="24"/>
              </w:rPr>
            </w:pPr>
            <w:r>
              <w:rPr>
                <w:rFonts w:hint="eastAsia" w:ascii="宋体" w:hAnsi="宋体" w:cs="宋体"/>
                <w:color w:val="auto"/>
                <w:sz w:val="24"/>
              </w:rPr>
              <w:t>15</w:t>
            </w:r>
          </w:p>
        </w:tc>
        <w:tc>
          <w:tcPr>
            <w:tcW w:w="1965" w:type="dxa"/>
            <w:noWrap/>
            <w:tcMar>
              <w:top w:w="0" w:type="dxa"/>
              <w:left w:w="57" w:type="dxa"/>
              <w:bottom w:w="0" w:type="dxa"/>
              <w:right w:w="57" w:type="dxa"/>
            </w:tcMar>
            <w:vAlign w:val="center"/>
          </w:tcPr>
          <w:p w14:paraId="6CE067F2">
            <w:pPr>
              <w:widowControl/>
              <w:spacing w:line="400" w:lineRule="exact"/>
              <w:jc w:val="center"/>
              <w:rPr>
                <w:rFonts w:ascii="宋体" w:hAnsi="宋体" w:cs="宋体"/>
                <w:color w:val="auto"/>
                <w:sz w:val="24"/>
              </w:rPr>
            </w:pPr>
            <w:r>
              <w:rPr>
                <w:rFonts w:hint="eastAsia" w:ascii="宋体" w:hAnsi="宋体" w:cs="宋体"/>
                <w:b/>
                <w:color w:val="auto"/>
                <w:sz w:val="24"/>
              </w:rPr>
              <w:t>磋商小组的组成</w:t>
            </w:r>
          </w:p>
        </w:tc>
        <w:tc>
          <w:tcPr>
            <w:tcW w:w="7133" w:type="dxa"/>
            <w:noWrap/>
            <w:tcMar>
              <w:top w:w="0" w:type="dxa"/>
              <w:left w:w="57" w:type="dxa"/>
              <w:bottom w:w="0" w:type="dxa"/>
              <w:right w:w="57" w:type="dxa"/>
            </w:tcMar>
          </w:tcPr>
          <w:p w14:paraId="71DADCC5">
            <w:pPr>
              <w:spacing w:line="340" w:lineRule="exact"/>
              <w:ind w:firstLine="480" w:firstLineChars="200"/>
              <w:rPr>
                <w:rFonts w:ascii="宋体" w:hAnsi="宋体" w:cs="宋体"/>
                <w:color w:val="auto"/>
                <w:sz w:val="24"/>
              </w:rPr>
            </w:pPr>
            <w:r>
              <w:rPr>
                <w:rFonts w:hint="eastAsia" w:ascii="宋体" w:hAnsi="宋体" w:cs="宋体"/>
                <w:b/>
                <w:bCs/>
                <w:color w:val="auto"/>
                <w:sz w:val="24"/>
              </w:rPr>
              <w:t>磋商小组构成：</w:t>
            </w:r>
            <w:r>
              <w:rPr>
                <w:rFonts w:hint="eastAsia" w:ascii="宋体" w:hAnsi="宋体" w:cs="宋体"/>
                <w:color w:val="auto"/>
                <w:sz w:val="24"/>
              </w:rPr>
              <w:t>3人，其中采购人代表1人，专家2人。</w:t>
            </w:r>
          </w:p>
          <w:p w14:paraId="346A3A12">
            <w:pPr>
              <w:widowControl/>
              <w:spacing w:line="400" w:lineRule="exact"/>
              <w:ind w:firstLine="480" w:firstLineChars="200"/>
              <w:rPr>
                <w:rFonts w:ascii="宋体" w:hAnsi="宋体" w:cs="宋体"/>
                <w:color w:val="auto"/>
                <w:sz w:val="24"/>
              </w:rPr>
            </w:pPr>
            <w:r>
              <w:rPr>
                <w:rFonts w:hint="eastAsia" w:ascii="宋体" w:hAnsi="宋体" w:cs="宋体"/>
                <w:b/>
                <w:bCs/>
                <w:color w:val="auto"/>
                <w:sz w:val="24"/>
              </w:rPr>
              <w:t>评标专家确定方式：</w:t>
            </w:r>
            <w:r>
              <w:rPr>
                <w:rFonts w:hint="eastAsia" w:ascii="宋体" w:hAnsi="宋体" w:cs="宋体"/>
                <w:color w:val="auto"/>
                <w:sz w:val="24"/>
              </w:rPr>
              <w:t>开标前由采购代理机构在广西政府采购云平台广西评审专家库随机抽取确定。</w:t>
            </w:r>
          </w:p>
        </w:tc>
      </w:tr>
      <w:tr w14:paraId="2710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72FA5B0D">
            <w:pPr>
              <w:spacing w:line="400" w:lineRule="exact"/>
              <w:jc w:val="center"/>
              <w:rPr>
                <w:rFonts w:ascii="宋体" w:hAnsi="宋体" w:cs="宋体"/>
                <w:color w:val="auto"/>
                <w:sz w:val="24"/>
              </w:rPr>
            </w:pPr>
            <w:r>
              <w:rPr>
                <w:rFonts w:hint="eastAsia" w:ascii="宋体" w:hAnsi="宋体" w:cs="宋体"/>
                <w:color w:val="auto"/>
                <w:sz w:val="24"/>
              </w:rPr>
              <w:t>16</w:t>
            </w:r>
          </w:p>
        </w:tc>
        <w:tc>
          <w:tcPr>
            <w:tcW w:w="1965" w:type="dxa"/>
            <w:noWrap/>
            <w:tcMar>
              <w:top w:w="0" w:type="dxa"/>
              <w:left w:w="57" w:type="dxa"/>
              <w:bottom w:w="0" w:type="dxa"/>
              <w:right w:w="57" w:type="dxa"/>
            </w:tcMar>
            <w:vAlign w:val="center"/>
          </w:tcPr>
          <w:p w14:paraId="2574E356">
            <w:pPr>
              <w:spacing w:line="340" w:lineRule="exact"/>
              <w:jc w:val="center"/>
              <w:rPr>
                <w:rFonts w:ascii="宋体" w:hAnsi="宋体" w:cs="宋体"/>
                <w:b/>
                <w:color w:val="auto"/>
                <w:sz w:val="24"/>
              </w:rPr>
            </w:pPr>
            <w:r>
              <w:rPr>
                <w:rFonts w:hint="eastAsia" w:ascii="宋体" w:hAnsi="宋体" w:cs="宋体"/>
                <w:b/>
                <w:bCs/>
                <w:color w:val="auto"/>
                <w:sz w:val="24"/>
              </w:rPr>
              <w:t>评标办法</w:t>
            </w:r>
          </w:p>
        </w:tc>
        <w:tc>
          <w:tcPr>
            <w:tcW w:w="7133" w:type="dxa"/>
            <w:noWrap/>
            <w:tcMar>
              <w:top w:w="0" w:type="dxa"/>
              <w:left w:w="57" w:type="dxa"/>
              <w:bottom w:w="0" w:type="dxa"/>
              <w:right w:w="57" w:type="dxa"/>
            </w:tcMar>
            <w:vAlign w:val="center"/>
          </w:tcPr>
          <w:p w14:paraId="4FE7CD06">
            <w:pPr>
              <w:spacing w:line="340" w:lineRule="exact"/>
              <w:rPr>
                <w:rFonts w:ascii="宋体" w:hAnsi="宋体" w:cs="宋体"/>
                <w:bCs/>
                <w:color w:val="auto"/>
                <w:sz w:val="24"/>
              </w:rPr>
            </w:pPr>
            <w:r>
              <w:rPr>
                <w:rFonts w:hint="eastAsia" w:ascii="宋体" w:hAnsi="宋体" w:cs="宋体"/>
                <w:color w:val="auto"/>
                <w:sz w:val="24"/>
              </w:rPr>
              <w:t>综合评分法</w:t>
            </w:r>
          </w:p>
        </w:tc>
      </w:tr>
      <w:tr w14:paraId="5996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8AA7B35">
            <w:pPr>
              <w:spacing w:line="400" w:lineRule="exact"/>
              <w:jc w:val="center"/>
              <w:rPr>
                <w:rFonts w:ascii="宋体" w:hAnsi="宋体" w:cs="宋体"/>
                <w:color w:val="auto"/>
                <w:sz w:val="24"/>
              </w:rPr>
            </w:pPr>
            <w:r>
              <w:rPr>
                <w:rFonts w:hint="eastAsia" w:ascii="宋体" w:hAnsi="宋体" w:cs="宋体"/>
                <w:color w:val="auto"/>
                <w:sz w:val="24"/>
              </w:rPr>
              <w:t>17</w:t>
            </w:r>
          </w:p>
        </w:tc>
        <w:tc>
          <w:tcPr>
            <w:tcW w:w="1965" w:type="dxa"/>
            <w:noWrap/>
            <w:tcMar>
              <w:top w:w="0" w:type="dxa"/>
              <w:left w:w="57" w:type="dxa"/>
              <w:bottom w:w="0" w:type="dxa"/>
              <w:right w:w="57" w:type="dxa"/>
            </w:tcMar>
            <w:vAlign w:val="center"/>
          </w:tcPr>
          <w:p w14:paraId="0B679E70">
            <w:pPr>
              <w:spacing w:line="400" w:lineRule="exact"/>
              <w:jc w:val="center"/>
              <w:rPr>
                <w:rFonts w:ascii="宋体" w:hAnsi="宋体" w:cs="宋体"/>
                <w:b/>
                <w:color w:val="auto"/>
                <w:sz w:val="24"/>
              </w:rPr>
            </w:pPr>
            <w:r>
              <w:rPr>
                <w:rFonts w:hint="eastAsia" w:ascii="宋体" w:hAnsi="宋体" w:cs="宋体"/>
                <w:b/>
                <w:color w:val="auto"/>
                <w:sz w:val="24"/>
              </w:rPr>
              <w:t>是否授权磋商小组确定成交人</w:t>
            </w:r>
          </w:p>
        </w:tc>
        <w:tc>
          <w:tcPr>
            <w:tcW w:w="7133" w:type="dxa"/>
            <w:noWrap/>
            <w:tcMar>
              <w:top w:w="0" w:type="dxa"/>
              <w:left w:w="57" w:type="dxa"/>
              <w:bottom w:w="0" w:type="dxa"/>
              <w:right w:w="57" w:type="dxa"/>
            </w:tcMar>
            <w:vAlign w:val="center"/>
          </w:tcPr>
          <w:p w14:paraId="088F2A91">
            <w:pPr>
              <w:widowControl/>
              <w:spacing w:line="400" w:lineRule="exact"/>
              <w:rPr>
                <w:rFonts w:ascii="宋体" w:hAnsi="宋体" w:cs="宋体"/>
                <w:bCs/>
                <w:color w:val="auto"/>
                <w:sz w:val="24"/>
              </w:rPr>
            </w:pPr>
            <w:r>
              <w:rPr>
                <w:rFonts w:hint="eastAsia" w:ascii="宋体" w:hAnsi="宋体" w:cs="宋体"/>
                <w:bCs/>
                <w:color w:val="auto"/>
                <w:sz w:val="24"/>
              </w:rPr>
              <w:t>否</w:t>
            </w:r>
          </w:p>
        </w:tc>
      </w:tr>
      <w:tr w14:paraId="45DA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3CBB1F3">
            <w:pPr>
              <w:spacing w:line="400" w:lineRule="exact"/>
              <w:jc w:val="center"/>
              <w:rPr>
                <w:rFonts w:ascii="宋体" w:hAnsi="宋体" w:cs="宋体"/>
                <w:color w:val="auto"/>
                <w:sz w:val="24"/>
              </w:rPr>
            </w:pPr>
            <w:r>
              <w:rPr>
                <w:rFonts w:hint="eastAsia" w:ascii="宋体" w:hAnsi="宋体" w:cs="宋体"/>
                <w:color w:val="auto"/>
                <w:sz w:val="24"/>
              </w:rPr>
              <w:t>18</w:t>
            </w:r>
          </w:p>
        </w:tc>
        <w:tc>
          <w:tcPr>
            <w:tcW w:w="1965" w:type="dxa"/>
            <w:noWrap/>
            <w:tcMar>
              <w:top w:w="0" w:type="dxa"/>
              <w:left w:w="57" w:type="dxa"/>
              <w:bottom w:w="0" w:type="dxa"/>
              <w:right w:w="57" w:type="dxa"/>
            </w:tcMar>
            <w:vAlign w:val="center"/>
          </w:tcPr>
          <w:p w14:paraId="20D7182A">
            <w:pPr>
              <w:spacing w:line="400" w:lineRule="exact"/>
              <w:jc w:val="center"/>
              <w:rPr>
                <w:rFonts w:ascii="宋体" w:hAnsi="宋体"/>
                <w:b/>
                <w:color w:val="auto"/>
                <w:sz w:val="24"/>
              </w:rPr>
            </w:pPr>
            <w:r>
              <w:rPr>
                <w:rFonts w:hint="eastAsia" w:ascii="宋体" w:hAnsi="宋体" w:cs="宋体"/>
                <w:b/>
                <w:bCs/>
                <w:color w:val="auto"/>
                <w:sz w:val="24"/>
              </w:rPr>
              <w:t>履约保证金</w:t>
            </w:r>
          </w:p>
        </w:tc>
        <w:tc>
          <w:tcPr>
            <w:tcW w:w="7133" w:type="dxa"/>
            <w:noWrap/>
            <w:tcMar>
              <w:top w:w="0" w:type="dxa"/>
              <w:left w:w="57" w:type="dxa"/>
              <w:bottom w:w="0" w:type="dxa"/>
              <w:right w:w="57" w:type="dxa"/>
            </w:tcMar>
          </w:tcPr>
          <w:p w14:paraId="520ADEB0">
            <w:pPr>
              <w:widowControl/>
              <w:spacing w:line="400" w:lineRule="exact"/>
              <w:rPr>
                <w:rFonts w:ascii="宋体" w:hAnsi="宋体"/>
                <w:b/>
                <w:bCs/>
                <w:color w:val="auto"/>
                <w:sz w:val="24"/>
              </w:rPr>
            </w:pPr>
            <w:r>
              <w:rPr>
                <w:rFonts w:hint="eastAsia" w:ascii="宋体" w:hAnsi="宋体"/>
                <w:color w:val="auto"/>
                <w:sz w:val="24"/>
              </w:rPr>
              <w:t>本项目不做要求。</w:t>
            </w:r>
          </w:p>
        </w:tc>
      </w:tr>
      <w:tr w14:paraId="77BE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8E8F365">
            <w:pPr>
              <w:spacing w:line="400" w:lineRule="exact"/>
              <w:jc w:val="center"/>
              <w:rPr>
                <w:rFonts w:ascii="宋体" w:hAnsi="宋体" w:cs="宋体"/>
                <w:color w:val="auto"/>
                <w:sz w:val="24"/>
              </w:rPr>
            </w:pPr>
            <w:r>
              <w:rPr>
                <w:rFonts w:hint="eastAsia" w:ascii="宋体" w:hAnsi="宋体" w:cs="宋体"/>
                <w:color w:val="auto"/>
                <w:sz w:val="24"/>
              </w:rPr>
              <w:t>19</w:t>
            </w:r>
          </w:p>
        </w:tc>
        <w:tc>
          <w:tcPr>
            <w:tcW w:w="1965" w:type="dxa"/>
            <w:noWrap/>
            <w:tcMar>
              <w:top w:w="0" w:type="dxa"/>
              <w:left w:w="57" w:type="dxa"/>
              <w:bottom w:w="0" w:type="dxa"/>
              <w:right w:w="57" w:type="dxa"/>
            </w:tcMar>
            <w:vAlign w:val="center"/>
          </w:tcPr>
          <w:p w14:paraId="6504FBA7">
            <w:pPr>
              <w:spacing w:line="400" w:lineRule="exact"/>
              <w:jc w:val="center"/>
              <w:rPr>
                <w:rFonts w:ascii="宋体" w:hAnsi="宋体" w:cs="宋体"/>
                <w:b/>
                <w:bCs/>
                <w:color w:val="auto"/>
                <w:sz w:val="24"/>
              </w:rPr>
            </w:pPr>
            <w:r>
              <w:rPr>
                <w:rFonts w:hint="eastAsia" w:ascii="宋体" w:hAnsi="宋体" w:cs="宋体"/>
                <w:b/>
                <w:bCs/>
                <w:color w:val="auto"/>
                <w:sz w:val="24"/>
              </w:rPr>
              <w:t>农民工工资保障金</w:t>
            </w:r>
          </w:p>
        </w:tc>
        <w:tc>
          <w:tcPr>
            <w:tcW w:w="7133" w:type="dxa"/>
            <w:noWrap/>
            <w:tcMar>
              <w:top w:w="0" w:type="dxa"/>
              <w:left w:w="57" w:type="dxa"/>
              <w:bottom w:w="0" w:type="dxa"/>
              <w:right w:w="57" w:type="dxa"/>
            </w:tcMar>
          </w:tcPr>
          <w:p w14:paraId="33763D80">
            <w:pPr>
              <w:widowControl/>
              <w:spacing w:line="400" w:lineRule="exact"/>
              <w:rPr>
                <w:rFonts w:ascii="宋体" w:hAnsi="宋体"/>
                <w:b/>
                <w:bCs/>
                <w:color w:val="auto"/>
                <w:sz w:val="24"/>
              </w:rPr>
            </w:pPr>
            <w:r>
              <w:rPr>
                <w:rFonts w:ascii="宋体" w:hAnsi="宋体"/>
                <w:b/>
                <w:bCs/>
                <w:color w:val="auto"/>
                <w:sz w:val="24"/>
              </w:rPr>
              <w:t>本项目不做要求。</w:t>
            </w:r>
          </w:p>
        </w:tc>
      </w:tr>
      <w:tr w14:paraId="5AA2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06" w:type="dxa"/>
            <w:noWrap/>
            <w:tcMar>
              <w:top w:w="0" w:type="dxa"/>
              <w:left w:w="57" w:type="dxa"/>
              <w:bottom w:w="0" w:type="dxa"/>
              <w:right w:w="57" w:type="dxa"/>
            </w:tcMar>
            <w:vAlign w:val="center"/>
          </w:tcPr>
          <w:p w14:paraId="2DA968DB">
            <w:pPr>
              <w:spacing w:line="400" w:lineRule="exact"/>
              <w:jc w:val="center"/>
              <w:rPr>
                <w:rFonts w:ascii="宋体" w:hAnsi="宋体" w:cs="宋体"/>
                <w:color w:val="auto"/>
                <w:sz w:val="24"/>
              </w:rPr>
            </w:pPr>
            <w:r>
              <w:rPr>
                <w:rFonts w:hint="eastAsia" w:ascii="宋体" w:hAnsi="宋体" w:cs="宋体"/>
                <w:color w:val="auto"/>
                <w:sz w:val="24"/>
              </w:rPr>
              <w:t>20</w:t>
            </w:r>
          </w:p>
        </w:tc>
        <w:tc>
          <w:tcPr>
            <w:tcW w:w="1965" w:type="dxa"/>
            <w:noWrap/>
            <w:tcMar>
              <w:top w:w="0" w:type="dxa"/>
              <w:left w:w="57" w:type="dxa"/>
              <w:bottom w:w="0" w:type="dxa"/>
              <w:right w:w="57" w:type="dxa"/>
            </w:tcMar>
            <w:vAlign w:val="center"/>
          </w:tcPr>
          <w:p w14:paraId="5B9CCD78">
            <w:pPr>
              <w:spacing w:line="400" w:lineRule="exact"/>
              <w:jc w:val="center"/>
              <w:rPr>
                <w:rFonts w:ascii="宋体" w:hAnsi="宋体" w:cs="宋体"/>
                <w:b/>
                <w:color w:val="auto"/>
                <w:sz w:val="24"/>
              </w:rPr>
            </w:pPr>
            <w:r>
              <w:rPr>
                <w:rFonts w:hint="eastAsia" w:ascii="宋体" w:hAnsi="宋体"/>
                <w:b/>
                <w:color w:val="auto"/>
                <w:sz w:val="24"/>
              </w:rPr>
              <w:t>上限控制价</w:t>
            </w:r>
          </w:p>
        </w:tc>
        <w:tc>
          <w:tcPr>
            <w:tcW w:w="7133" w:type="dxa"/>
            <w:noWrap/>
            <w:tcMar>
              <w:top w:w="0" w:type="dxa"/>
              <w:left w:w="57" w:type="dxa"/>
              <w:bottom w:w="0" w:type="dxa"/>
              <w:right w:w="57" w:type="dxa"/>
            </w:tcMar>
            <w:vAlign w:val="center"/>
          </w:tcPr>
          <w:p w14:paraId="4319600F">
            <w:pPr>
              <w:widowControl/>
              <w:jc w:val="left"/>
              <w:rPr>
                <w:color w:val="auto"/>
                <w:sz w:val="24"/>
              </w:rPr>
            </w:pPr>
            <w:r>
              <w:rPr>
                <w:rFonts w:hint="eastAsia"/>
                <w:b/>
                <w:bCs/>
                <w:color w:val="auto"/>
                <w:sz w:val="24"/>
              </w:rPr>
              <w:t>人民币</w:t>
            </w:r>
            <w:r>
              <w:rPr>
                <w:rFonts w:hint="eastAsia"/>
                <w:b/>
                <w:bCs/>
                <w:color w:val="auto"/>
                <w:sz w:val="24"/>
                <w:lang w:val="en-US" w:eastAsia="zh-CN"/>
              </w:rPr>
              <w:t>玖拾陆万捌仟陆佰柒拾元柒角捌分</w:t>
            </w:r>
            <w:r>
              <w:rPr>
                <w:rFonts w:hint="eastAsia"/>
                <w:b/>
                <w:bCs/>
                <w:color w:val="auto"/>
                <w:sz w:val="24"/>
              </w:rPr>
              <w:t>（</w:t>
            </w:r>
            <w:r>
              <w:rPr>
                <w:rFonts w:hint="eastAsia"/>
                <w:b/>
                <w:bCs/>
                <w:color w:val="auto"/>
                <w:sz w:val="24"/>
                <w:lang w:val="en-US" w:eastAsia="zh-CN"/>
              </w:rPr>
              <w:t>¥</w:t>
            </w:r>
            <w:r>
              <w:rPr>
                <w:rFonts w:hint="eastAsia"/>
                <w:b/>
                <w:bCs/>
                <w:color w:val="auto"/>
                <w:sz w:val="24"/>
              </w:rPr>
              <w:t>968670.78）</w:t>
            </w:r>
            <w:r>
              <w:rPr>
                <w:rFonts w:hint="eastAsia"/>
                <w:color w:val="auto"/>
                <w:sz w:val="24"/>
              </w:rPr>
              <w:t>，磋商供应商报价高于公布的控制价的，其《响应文件》（磋商）作否决磋商处理。</w:t>
            </w:r>
          </w:p>
        </w:tc>
      </w:tr>
      <w:tr w14:paraId="1270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06" w:type="dxa"/>
            <w:noWrap/>
            <w:tcMar>
              <w:top w:w="0" w:type="dxa"/>
              <w:left w:w="57" w:type="dxa"/>
              <w:bottom w:w="0" w:type="dxa"/>
              <w:right w:w="57" w:type="dxa"/>
            </w:tcMar>
            <w:vAlign w:val="center"/>
          </w:tcPr>
          <w:p w14:paraId="42D014FA">
            <w:pPr>
              <w:spacing w:line="360" w:lineRule="exact"/>
              <w:jc w:val="center"/>
              <w:rPr>
                <w:rFonts w:ascii="宋体" w:hAnsi="宋体" w:cs="宋体"/>
                <w:color w:val="auto"/>
                <w:sz w:val="24"/>
              </w:rPr>
            </w:pPr>
            <w:r>
              <w:rPr>
                <w:rFonts w:hint="eastAsia" w:ascii="宋体" w:hAnsi="宋体" w:cs="宋体"/>
                <w:color w:val="auto"/>
                <w:sz w:val="24"/>
              </w:rPr>
              <w:t>21</w:t>
            </w:r>
          </w:p>
        </w:tc>
        <w:tc>
          <w:tcPr>
            <w:tcW w:w="1965" w:type="dxa"/>
            <w:noWrap/>
            <w:tcMar>
              <w:top w:w="0" w:type="dxa"/>
              <w:left w:w="57" w:type="dxa"/>
              <w:bottom w:w="0" w:type="dxa"/>
              <w:right w:w="57" w:type="dxa"/>
            </w:tcMar>
            <w:vAlign w:val="center"/>
          </w:tcPr>
          <w:p w14:paraId="7E822143">
            <w:pPr>
              <w:spacing w:line="360" w:lineRule="exact"/>
              <w:jc w:val="center"/>
              <w:rPr>
                <w:rFonts w:ascii="宋体" w:hAnsi="宋体" w:cs="宋体"/>
                <w:b/>
                <w:color w:val="auto"/>
                <w:sz w:val="24"/>
              </w:rPr>
            </w:pPr>
            <w:r>
              <w:rPr>
                <w:rFonts w:hint="eastAsia" w:ascii="宋体" w:hAnsi="宋体" w:cs="宋体"/>
                <w:b/>
                <w:color w:val="auto"/>
                <w:sz w:val="24"/>
              </w:rPr>
              <w:t>代理服务费</w:t>
            </w:r>
          </w:p>
        </w:tc>
        <w:tc>
          <w:tcPr>
            <w:tcW w:w="7133" w:type="dxa"/>
            <w:noWrap/>
            <w:tcMar>
              <w:top w:w="0" w:type="dxa"/>
              <w:left w:w="57" w:type="dxa"/>
              <w:bottom w:w="0" w:type="dxa"/>
              <w:right w:w="57" w:type="dxa"/>
            </w:tcMar>
            <w:vAlign w:val="center"/>
          </w:tcPr>
          <w:p w14:paraId="39605BAB">
            <w:pPr>
              <w:spacing w:line="400" w:lineRule="exact"/>
              <w:ind w:firstLine="480" w:firstLineChars="200"/>
              <w:rPr>
                <w:rFonts w:ascii="宋体" w:hAnsi="宋体"/>
                <w:color w:val="auto"/>
                <w:sz w:val="24"/>
              </w:rPr>
            </w:pPr>
            <w:r>
              <w:rPr>
                <w:rFonts w:hint="eastAsia" w:ascii="宋体" w:hAnsi="宋体" w:cs="宋体"/>
                <w:color w:val="auto"/>
                <w:sz w:val="24"/>
                <w:lang w:eastAsia="zh-CN"/>
              </w:rPr>
              <w:t>本项目的招标代理服务收费标准按计价格[2002]1980号《招标代理服务收费管理暂行办法》收费标准向</w:t>
            </w:r>
            <w:r>
              <w:rPr>
                <w:rFonts w:hint="eastAsia" w:ascii="宋体" w:hAnsi="宋体" w:cs="宋体"/>
                <w:color w:val="auto"/>
                <w:sz w:val="24"/>
                <w:lang w:val="en-US" w:eastAsia="zh-CN"/>
              </w:rPr>
              <w:t>成交</w:t>
            </w:r>
            <w:r>
              <w:rPr>
                <w:rFonts w:hint="eastAsia" w:ascii="宋体" w:hAnsi="宋体" w:cs="宋体"/>
                <w:color w:val="auto"/>
                <w:sz w:val="24"/>
                <w:lang w:eastAsia="zh-CN"/>
              </w:rPr>
              <w:t>人收取</w:t>
            </w:r>
            <w:r>
              <w:rPr>
                <w:rFonts w:hint="eastAsia" w:ascii="宋体" w:hAnsi="宋体" w:cs="宋体"/>
                <w:color w:val="auto"/>
                <w:sz w:val="24"/>
              </w:rPr>
              <w:t>；成交人在领取成交通知书前一次性向采购代理机构付清全部采购代理服务费。</w:t>
            </w:r>
          </w:p>
        </w:tc>
      </w:tr>
      <w:tr w14:paraId="0E61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0ED09E3">
            <w:pPr>
              <w:spacing w:line="360" w:lineRule="exact"/>
              <w:jc w:val="center"/>
              <w:rPr>
                <w:rFonts w:ascii="宋体" w:hAnsi="宋体" w:cs="宋体"/>
                <w:color w:val="auto"/>
                <w:sz w:val="24"/>
              </w:rPr>
            </w:pPr>
            <w:r>
              <w:rPr>
                <w:rFonts w:hint="eastAsia" w:ascii="宋体" w:hAnsi="宋体" w:cs="宋体"/>
                <w:color w:val="auto"/>
                <w:sz w:val="24"/>
              </w:rPr>
              <w:t>22</w:t>
            </w:r>
          </w:p>
        </w:tc>
        <w:tc>
          <w:tcPr>
            <w:tcW w:w="1965" w:type="dxa"/>
            <w:noWrap/>
            <w:tcMar>
              <w:top w:w="0" w:type="dxa"/>
              <w:left w:w="57" w:type="dxa"/>
              <w:bottom w:w="0" w:type="dxa"/>
              <w:right w:w="57" w:type="dxa"/>
            </w:tcMar>
            <w:vAlign w:val="center"/>
          </w:tcPr>
          <w:p w14:paraId="31F4918D">
            <w:pPr>
              <w:spacing w:line="360" w:lineRule="exact"/>
              <w:jc w:val="center"/>
              <w:rPr>
                <w:rFonts w:ascii="宋体" w:hAnsi="宋体" w:cs="宋体"/>
                <w:b/>
                <w:color w:val="auto"/>
                <w:sz w:val="24"/>
              </w:rPr>
            </w:pPr>
            <w:r>
              <w:rPr>
                <w:rFonts w:hint="eastAsia" w:ascii="宋体" w:hAnsi="宋体" w:cs="宋体"/>
                <w:b/>
                <w:color w:val="auto"/>
                <w:sz w:val="24"/>
              </w:rPr>
              <w:t>特别说明</w:t>
            </w:r>
          </w:p>
        </w:tc>
        <w:tc>
          <w:tcPr>
            <w:tcW w:w="7133" w:type="dxa"/>
            <w:noWrap/>
            <w:tcMar>
              <w:top w:w="0" w:type="dxa"/>
              <w:left w:w="57" w:type="dxa"/>
              <w:bottom w:w="0" w:type="dxa"/>
              <w:right w:w="57" w:type="dxa"/>
            </w:tcMar>
            <w:vAlign w:val="center"/>
          </w:tcPr>
          <w:p w14:paraId="0EAE7F5B">
            <w:pPr>
              <w:spacing w:line="360" w:lineRule="exact"/>
              <w:ind w:firstLine="480" w:firstLineChars="200"/>
              <w:rPr>
                <w:rFonts w:ascii="宋体" w:hAnsi="宋体" w:cs="宋体"/>
                <w:color w:val="auto"/>
                <w:sz w:val="24"/>
              </w:rPr>
            </w:pPr>
            <w:r>
              <w:rPr>
                <w:rFonts w:hint="eastAsia" w:ascii="宋体" w:hAnsi="宋体" w:cs="宋体"/>
                <w:color w:val="auto"/>
                <w:sz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FA09026">
            <w:pPr>
              <w:spacing w:line="360" w:lineRule="exact"/>
              <w:ind w:firstLine="480" w:firstLineChars="200"/>
              <w:rPr>
                <w:rFonts w:ascii="宋体" w:hAnsi="宋体" w:cs="宋体"/>
                <w:color w:val="auto"/>
                <w:sz w:val="24"/>
              </w:rPr>
            </w:pPr>
            <w:r>
              <w:rPr>
                <w:rFonts w:hint="eastAsia" w:ascii="宋体" w:hAnsi="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3332926">
            <w:pPr>
              <w:spacing w:line="360" w:lineRule="exact"/>
              <w:ind w:firstLine="480" w:firstLineChars="200"/>
              <w:rPr>
                <w:rFonts w:ascii="宋体" w:hAnsi="宋体" w:cs="宋体"/>
                <w:color w:val="auto"/>
                <w:sz w:val="24"/>
              </w:rPr>
            </w:pPr>
            <w:r>
              <w:rPr>
                <w:rFonts w:hint="eastAsia" w:ascii="宋体" w:hAnsi="宋体" w:cs="宋体"/>
                <w:color w:val="auto"/>
                <w:sz w:val="24"/>
              </w:rPr>
              <w:t>3.自然人竞标的，磋商文件规定盖公章处由自然人摁手指指印。</w:t>
            </w:r>
          </w:p>
          <w:p w14:paraId="23F228B0">
            <w:pPr>
              <w:spacing w:line="360" w:lineRule="exact"/>
              <w:ind w:firstLine="480" w:firstLineChars="200"/>
              <w:rPr>
                <w:rFonts w:ascii="宋体" w:hAnsi="宋体" w:cs="宋体"/>
                <w:color w:val="auto"/>
                <w:sz w:val="24"/>
              </w:rPr>
            </w:pPr>
            <w:r>
              <w:rPr>
                <w:rFonts w:hint="eastAsia" w:ascii="宋体" w:hAnsi="宋体" w:cs="宋体"/>
                <w:color w:val="auto"/>
                <w:sz w:val="24"/>
              </w:rPr>
              <w:t>4.本磋商文件所称的“以上”“以下”“以内”“届满”，包括本数；所称的“不满”“超过”“以外”，不包括本数。</w:t>
            </w:r>
          </w:p>
        </w:tc>
      </w:tr>
      <w:tr w14:paraId="17C7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C259146">
            <w:pPr>
              <w:spacing w:line="360" w:lineRule="exact"/>
              <w:jc w:val="center"/>
              <w:rPr>
                <w:rFonts w:ascii="宋体" w:hAnsi="宋体" w:cs="宋体"/>
                <w:color w:val="auto"/>
                <w:sz w:val="24"/>
              </w:rPr>
            </w:pPr>
            <w:r>
              <w:rPr>
                <w:rFonts w:hint="eastAsia" w:ascii="宋体" w:hAnsi="宋体" w:cs="宋体"/>
                <w:color w:val="auto"/>
                <w:sz w:val="24"/>
              </w:rPr>
              <w:t>23</w:t>
            </w:r>
          </w:p>
        </w:tc>
        <w:tc>
          <w:tcPr>
            <w:tcW w:w="1965" w:type="dxa"/>
            <w:noWrap/>
            <w:tcMar>
              <w:top w:w="0" w:type="dxa"/>
              <w:left w:w="57" w:type="dxa"/>
              <w:bottom w:w="0" w:type="dxa"/>
              <w:right w:w="57" w:type="dxa"/>
            </w:tcMar>
            <w:vAlign w:val="center"/>
          </w:tcPr>
          <w:p w14:paraId="33718548">
            <w:pPr>
              <w:spacing w:line="360" w:lineRule="exact"/>
              <w:jc w:val="center"/>
              <w:rPr>
                <w:rFonts w:ascii="宋体" w:hAnsi="宋体" w:cs="宋体"/>
                <w:b/>
                <w:color w:val="auto"/>
                <w:sz w:val="24"/>
              </w:rPr>
            </w:pPr>
            <w:r>
              <w:rPr>
                <w:rFonts w:hint="eastAsia" w:ascii="宋体" w:hAnsi="宋体" w:cs="宋体"/>
                <w:b/>
                <w:color w:val="auto"/>
                <w:sz w:val="24"/>
              </w:rPr>
              <w:t>资料存档</w:t>
            </w:r>
          </w:p>
        </w:tc>
        <w:tc>
          <w:tcPr>
            <w:tcW w:w="7133" w:type="dxa"/>
            <w:noWrap/>
            <w:tcMar>
              <w:top w:w="0" w:type="dxa"/>
              <w:left w:w="57" w:type="dxa"/>
              <w:bottom w:w="0" w:type="dxa"/>
              <w:right w:w="57" w:type="dxa"/>
            </w:tcMar>
            <w:vAlign w:val="center"/>
          </w:tcPr>
          <w:p w14:paraId="5194F228">
            <w:pPr>
              <w:spacing w:line="360" w:lineRule="exact"/>
              <w:ind w:firstLine="488" w:firstLineChars="200"/>
              <w:rPr>
                <w:rFonts w:ascii="宋体" w:hAnsi="宋体" w:cs="宋体"/>
                <w:color w:val="auto"/>
                <w:sz w:val="24"/>
              </w:rPr>
            </w:pPr>
            <w:r>
              <w:rPr>
                <w:rFonts w:hint="eastAsia" w:ascii="宋体" w:hAnsi="宋体" w:cs="宋体"/>
                <w:color w:val="auto"/>
                <w:spacing w:val="2"/>
                <w:sz w:val="24"/>
              </w:rPr>
              <w:t>投标人中标后，须向招标人提供投标文件纸质版共3套。</w:t>
            </w:r>
          </w:p>
        </w:tc>
      </w:tr>
    </w:tbl>
    <w:p w14:paraId="2D2C49D5">
      <w:pPr>
        <w:spacing w:line="400" w:lineRule="exact"/>
        <w:jc w:val="center"/>
        <w:rPr>
          <w:rFonts w:ascii="宋体" w:hAnsi="宋体"/>
          <w:color w:val="auto"/>
          <w:sz w:val="24"/>
        </w:rPr>
      </w:pPr>
      <w:r>
        <w:rPr>
          <w:rFonts w:ascii="宋体" w:hAnsi="宋体"/>
          <w:color w:val="auto"/>
          <w:sz w:val="24"/>
        </w:rPr>
        <w:br w:type="page"/>
      </w:r>
    </w:p>
    <w:p w14:paraId="219D729B">
      <w:pPr>
        <w:spacing w:line="400" w:lineRule="exact"/>
        <w:jc w:val="center"/>
        <w:rPr>
          <w:rFonts w:ascii="宋体" w:hAnsi="宋体"/>
          <w:color w:val="auto"/>
          <w:sz w:val="24"/>
        </w:rPr>
      </w:pPr>
    </w:p>
    <w:p w14:paraId="7DE744E4">
      <w:pPr>
        <w:spacing w:line="400" w:lineRule="exact"/>
        <w:jc w:val="center"/>
        <w:rPr>
          <w:rFonts w:ascii="宋体" w:hAnsi="宋体"/>
          <w:color w:val="auto"/>
          <w:szCs w:val="21"/>
        </w:rPr>
      </w:pPr>
      <w:r>
        <w:rPr>
          <w:rFonts w:hint="eastAsia" w:ascii="宋体" w:hAnsi="宋体"/>
          <w:b/>
          <w:color w:val="auto"/>
          <w:sz w:val="28"/>
          <w:szCs w:val="28"/>
        </w:rPr>
        <w:t>磋商供应商须知</w:t>
      </w:r>
      <w:bookmarkStart w:id="28" w:name="_Toc459103898"/>
    </w:p>
    <w:p w14:paraId="634AE3BD">
      <w:pPr>
        <w:pStyle w:val="3"/>
        <w:spacing w:before="0" w:after="0" w:line="390" w:lineRule="exact"/>
        <w:rPr>
          <w:rFonts w:hint="eastAsia" w:ascii="宋体" w:hAnsi="宋体" w:eastAsia="宋体" w:cs="宋体"/>
          <w:color w:val="auto"/>
          <w:sz w:val="21"/>
          <w:szCs w:val="21"/>
        </w:rPr>
      </w:pPr>
      <w:bookmarkStart w:id="29" w:name="_Toc86935813"/>
    </w:p>
    <w:p w14:paraId="1B8E9142">
      <w:pPr>
        <w:pStyle w:val="3"/>
        <w:numPr>
          <w:ilvl w:val="0"/>
          <w:numId w:val="5"/>
        </w:numPr>
        <w:spacing w:before="0" w:after="0" w:line="390" w:lineRule="exact"/>
        <w:rPr>
          <w:rFonts w:hint="eastAsia" w:ascii="宋体" w:hAnsi="宋体" w:eastAsia="宋体" w:cs="宋体"/>
          <w:color w:val="auto"/>
          <w:sz w:val="21"/>
          <w:szCs w:val="21"/>
        </w:rPr>
      </w:pPr>
      <w:r>
        <w:rPr>
          <w:rFonts w:hint="eastAsia" w:ascii="宋体" w:hAnsi="宋体" w:eastAsia="宋体" w:cs="宋体"/>
          <w:color w:val="auto"/>
          <w:sz w:val="21"/>
          <w:szCs w:val="21"/>
        </w:rPr>
        <w:t>总则</w:t>
      </w:r>
      <w:bookmarkEnd w:id="28"/>
      <w:bookmarkEnd w:id="29"/>
    </w:p>
    <w:p w14:paraId="027A3238">
      <w:pPr>
        <w:numPr>
          <w:ilvl w:val="0"/>
          <w:numId w:val="0"/>
        </w:numPr>
      </w:pPr>
    </w:p>
    <w:p w14:paraId="3564BDC8">
      <w:pPr>
        <w:spacing w:line="390" w:lineRule="exact"/>
        <w:ind w:left="2127" w:right="-192" w:hanging="2119" w:hangingChars="883"/>
        <w:jc w:val="left"/>
        <w:rPr>
          <w:rFonts w:ascii="宋体" w:hAnsi="宋体" w:cs="宋体"/>
          <w:color w:val="auto"/>
          <w:sz w:val="24"/>
        </w:rPr>
      </w:pPr>
      <w:r>
        <w:rPr>
          <w:rFonts w:hint="eastAsia" w:ascii="宋体" w:hAnsi="宋体" w:cs="宋体"/>
          <w:b/>
          <w:bCs/>
          <w:color w:val="auto"/>
          <w:sz w:val="24"/>
        </w:rPr>
        <w:t>1、项目名</w:t>
      </w:r>
      <w:r>
        <w:rPr>
          <w:rFonts w:hint="eastAsia" w:ascii="宋体" w:hAnsi="宋体" w:cs="宋体"/>
          <w:b/>
          <w:bCs/>
          <w:color w:val="auto"/>
          <w:sz w:val="24"/>
        </w:rPr>
        <w:t>称：</w:t>
      </w:r>
      <w:r>
        <w:rPr>
          <w:rFonts w:hint="eastAsia" w:ascii="宋体" w:hAnsi="宋体" w:cs="宋体"/>
          <w:color w:val="auto"/>
          <w:sz w:val="24"/>
          <w:lang w:eastAsia="zh-CN"/>
        </w:rPr>
        <w:t>伯劳镇伯凤村委基础设施建设工程</w:t>
      </w:r>
      <w:r>
        <w:rPr>
          <w:rFonts w:hint="eastAsia" w:ascii="宋体" w:hAnsi="宋体" w:cs="宋体"/>
          <w:color w:val="auto"/>
          <w:sz w:val="24"/>
        </w:rPr>
        <w:t xml:space="preserve"> </w:t>
      </w:r>
    </w:p>
    <w:p w14:paraId="1C8B9EFF">
      <w:pPr>
        <w:spacing w:line="390" w:lineRule="exact"/>
        <w:ind w:firstLine="360" w:firstLineChars="150"/>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rPr>
        <w:t>：</w:t>
      </w:r>
      <w:r>
        <w:rPr>
          <w:rFonts w:hint="eastAsia" w:ascii="宋体" w:hAnsi="宋体" w:cs="宋体"/>
          <w:color w:val="auto"/>
          <w:sz w:val="24"/>
          <w:lang w:eastAsia="zh-CN"/>
        </w:rPr>
        <w:t>QZZC2025-C2-210276-GXCH</w:t>
      </w:r>
    </w:p>
    <w:p w14:paraId="6612E4E4">
      <w:pPr>
        <w:spacing w:line="390" w:lineRule="exact"/>
        <w:rPr>
          <w:rFonts w:ascii="宋体" w:hAnsi="宋体" w:cs="宋体"/>
          <w:b/>
          <w:bCs/>
          <w:color w:val="auto"/>
          <w:sz w:val="24"/>
        </w:rPr>
      </w:pPr>
      <w:r>
        <w:rPr>
          <w:rFonts w:hint="eastAsia" w:ascii="宋体" w:hAnsi="宋体" w:cs="宋体"/>
          <w:b/>
          <w:bCs/>
          <w:color w:val="auto"/>
          <w:sz w:val="24"/>
        </w:rPr>
        <w:t>2、磋商供应商资质要求：</w:t>
      </w:r>
    </w:p>
    <w:p w14:paraId="5654EA71">
      <w:pPr>
        <w:spacing w:line="390" w:lineRule="exact"/>
        <w:ind w:firstLine="480" w:firstLineChars="200"/>
        <w:rPr>
          <w:rFonts w:ascii="宋体" w:hAnsi="宋体" w:cs="宋体"/>
          <w:color w:val="auto"/>
          <w:sz w:val="24"/>
        </w:rPr>
      </w:pPr>
      <w:r>
        <w:rPr>
          <w:rFonts w:hint="eastAsia" w:ascii="宋体" w:hAnsi="宋体" w:cs="宋体"/>
          <w:color w:val="auto"/>
          <w:sz w:val="24"/>
        </w:rPr>
        <w:t>2.1资质要求：</w:t>
      </w:r>
    </w:p>
    <w:p w14:paraId="1349FF40">
      <w:pPr>
        <w:spacing w:line="400" w:lineRule="exact"/>
        <w:ind w:firstLine="480" w:firstLineChars="200"/>
        <w:rPr>
          <w:rFonts w:ascii="宋体" w:hAnsi="宋体" w:cs="宋体"/>
          <w:color w:val="auto"/>
          <w:sz w:val="24"/>
        </w:rPr>
      </w:pPr>
      <w:r>
        <w:rPr>
          <w:rFonts w:hint="eastAsia" w:ascii="宋体" w:hAnsi="宋体" w:cs="宋体"/>
          <w:color w:val="auto"/>
          <w:sz w:val="24"/>
        </w:rPr>
        <w:t>2.1.1满足《中华人民共和国政府采购法》第二十二条规定；未被“信用中国”（www.creditchina.gov.cn）、中国政府采购网（www.ccgp.gov.cn）列入失信被执行人、重大税收违法案件当事人名单、政府采购严重违法失信行为记录名单。</w:t>
      </w:r>
    </w:p>
    <w:p w14:paraId="3AF5D5C3">
      <w:pPr>
        <w:spacing w:line="400" w:lineRule="exact"/>
        <w:ind w:firstLine="480" w:firstLineChars="200"/>
        <w:rPr>
          <w:rFonts w:ascii="宋体" w:hAnsi="宋体" w:cs="宋体"/>
          <w:color w:val="auto"/>
          <w:sz w:val="24"/>
        </w:rPr>
      </w:pPr>
      <w:r>
        <w:rPr>
          <w:rFonts w:hint="eastAsia" w:ascii="宋体" w:hAnsi="宋体" w:cs="宋体"/>
          <w:color w:val="auto"/>
          <w:sz w:val="24"/>
        </w:rPr>
        <w:t>2.1.2落实政府采购政策需满足的资格要求：本项目为专门面向中小企业采购的项目（供应商应为中小微企业或监狱企业或残疾人福利性单位)；</w:t>
      </w:r>
    </w:p>
    <w:p w14:paraId="5BE3D389">
      <w:pPr>
        <w:spacing w:line="400" w:lineRule="exact"/>
        <w:ind w:firstLine="480" w:firstLineChars="200"/>
        <w:rPr>
          <w:rFonts w:ascii="宋体" w:hAnsi="宋体" w:cs="宋体"/>
          <w:color w:val="auto"/>
          <w:sz w:val="24"/>
        </w:rPr>
      </w:pPr>
      <w:r>
        <w:rPr>
          <w:rFonts w:hint="eastAsia" w:ascii="宋体" w:hAnsi="宋体" w:cs="宋体"/>
          <w:color w:val="auto"/>
          <w:sz w:val="24"/>
        </w:rPr>
        <w:t>2.1.3本项目的特定资格要求：</w:t>
      </w:r>
    </w:p>
    <w:p w14:paraId="46A5C03C">
      <w:pPr>
        <w:spacing w:line="400" w:lineRule="exact"/>
        <w:ind w:firstLine="480" w:firstLineChars="200"/>
        <w:rPr>
          <w:rFonts w:ascii="宋体" w:hAnsi="宋体" w:cs="宋体"/>
          <w:color w:val="auto"/>
          <w:sz w:val="24"/>
        </w:rPr>
      </w:pPr>
      <w:r>
        <w:rPr>
          <w:rFonts w:hint="eastAsia" w:ascii="宋体" w:hAnsi="宋体" w:cs="宋体"/>
          <w:color w:val="auto"/>
          <w:sz w:val="24"/>
        </w:rPr>
        <w:t>（1）竞标人须</w:t>
      </w:r>
      <w:r>
        <w:rPr>
          <w:rFonts w:hint="eastAsia" w:ascii="宋体" w:hAnsi="宋体" w:cs="宋体"/>
          <w:color w:val="auto"/>
          <w:sz w:val="24"/>
          <w:lang w:eastAsia="zh-CN"/>
        </w:rPr>
        <w:t>具备市政公用工程</w:t>
      </w:r>
      <w:r>
        <w:rPr>
          <w:rFonts w:hint="eastAsia" w:ascii="宋体" w:hAnsi="宋体" w:cs="宋体"/>
          <w:color w:val="auto"/>
          <w:sz w:val="24"/>
        </w:rPr>
        <w:t>施工总承包叁级及以上资质，并在人员、设备、资金等方面具备相应的施工能力。其中，竞标人拟派项目经理须</w:t>
      </w:r>
      <w:r>
        <w:rPr>
          <w:rFonts w:hint="eastAsia" w:ascii="宋体" w:hAnsi="宋体" w:cs="宋体"/>
          <w:color w:val="auto"/>
          <w:sz w:val="24"/>
          <w:lang w:eastAsia="zh-CN"/>
        </w:rPr>
        <w:t>具备市政公用工程</w:t>
      </w:r>
      <w:r>
        <w:rPr>
          <w:rFonts w:hint="eastAsia" w:ascii="宋体" w:hAnsi="宋体" w:cs="宋体"/>
          <w:color w:val="auto"/>
          <w:sz w:val="24"/>
        </w:rPr>
        <w:t>专业二级及以上注册建造师执业资格， 具备有效的安全生产考核合格证书（B 类）。</w:t>
      </w:r>
    </w:p>
    <w:p w14:paraId="00D87BA8">
      <w:pPr>
        <w:spacing w:line="390" w:lineRule="exact"/>
        <w:ind w:firstLine="480" w:firstLineChars="200"/>
        <w:rPr>
          <w:rFonts w:ascii="宋体" w:hAnsi="宋体" w:cs="宋体"/>
          <w:color w:val="auto"/>
          <w:sz w:val="24"/>
        </w:rPr>
      </w:pPr>
      <w:r>
        <w:rPr>
          <w:rFonts w:hint="eastAsia" w:ascii="宋体" w:hAnsi="宋体" w:cs="宋体"/>
          <w:color w:val="auto"/>
          <w:sz w:val="24"/>
        </w:rPr>
        <w:t>（2）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874CB07">
      <w:pPr>
        <w:spacing w:line="390" w:lineRule="exact"/>
        <w:ind w:firstLine="480" w:firstLineChars="200"/>
        <w:rPr>
          <w:rFonts w:ascii="宋体" w:hAnsi="宋体" w:cs="宋体"/>
          <w:color w:val="auto"/>
          <w:sz w:val="24"/>
        </w:rPr>
      </w:pPr>
      <w:r>
        <w:rPr>
          <w:rFonts w:hint="eastAsia" w:ascii="宋体" w:hAnsi="宋体" w:cs="宋体"/>
          <w:color w:val="auto"/>
          <w:sz w:val="24"/>
        </w:rPr>
        <w:t>2.2符合磋商供应商资格的磋商供应商应承担磋商及履约中应承担的全部责任与义务。</w:t>
      </w:r>
    </w:p>
    <w:p w14:paraId="34DAC6F5">
      <w:pPr>
        <w:spacing w:line="390" w:lineRule="exact"/>
        <w:rPr>
          <w:rFonts w:ascii="宋体" w:hAnsi="宋体" w:cs="宋体"/>
          <w:b/>
          <w:bCs/>
          <w:color w:val="auto"/>
          <w:sz w:val="24"/>
        </w:rPr>
      </w:pPr>
      <w:r>
        <w:rPr>
          <w:rFonts w:hint="eastAsia" w:ascii="宋体" w:hAnsi="宋体" w:cs="宋体"/>
          <w:b/>
          <w:bCs/>
          <w:color w:val="auto"/>
          <w:sz w:val="24"/>
        </w:rPr>
        <w:t>3、磋商费用</w:t>
      </w:r>
    </w:p>
    <w:p w14:paraId="1604D609">
      <w:pPr>
        <w:spacing w:line="390" w:lineRule="exact"/>
        <w:ind w:firstLine="480" w:firstLineChars="200"/>
        <w:rPr>
          <w:rFonts w:ascii="宋体" w:hAnsi="宋体" w:cs="宋体"/>
          <w:color w:val="auto"/>
          <w:sz w:val="24"/>
        </w:rPr>
      </w:pPr>
      <w:r>
        <w:rPr>
          <w:rFonts w:hint="eastAsia" w:ascii="宋体" w:hAnsi="宋体" w:cs="宋体"/>
          <w:color w:val="auto"/>
          <w:sz w:val="24"/>
        </w:rPr>
        <w:t>3.1磋商供应商应自行承担所有与本次磋商有关的全部费用。</w:t>
      </w:r>
    </w:p>
    <w:p w14:paraId="4540E648">
      <w:pPr>
        <w:pStyle w:val="3"/>
        <w:spacing w:before="0" w:after="0" w:line="390" w:lineRule="exact"/>
        <w:rPr>
          <w:rFonts w:ascii="宋体" w:hAnsi="宋体" w:eastAsia="宋体" w:cs="宋体"/>
          <w:color w:val="auto"/>
          <w:sz w:val="24"/>
          <w:szCs w:val="24"/>
        </w:rPr>
      </w:pPr>
      <w:bookmarkStart w:id="30" w:name="_Toc459103899"/>
    </w:p>
    <w:p w14:paraId="0560964F">
      <w:pPr>
        <w:pStyle w:val="3"/>
        <w:spacing w:before="0" w:after="0" w:line="390" w:lineRule="exact"/>
        <w:rPr>
          <w:rFonts w:ascii="宋体" w:hAnsi="宋体" w:eastAsia="宋体" w:cs="宋体"/>
          <w:color w:val="auto"/>
          <w:sz w:val="24"/>
          <w:szCs w:val="24"/>
        </w:rPr>
      </w:pPr>
      <w:bookmarkStart w:id="31" w:name="_Toc86935814"/>
      <w:r>
        <w:rPr>
          <w:rFonts w:hint="eastAsia" w:ascii="宋体" w:hAnsi="宋体" w:eastAsia="宋体" w:cs="宋体"/>
          <w:color w:val="auto"/>
          <w:sz w:val="24"/>
          <w:szCs w:val="24"/>
        </w:rPr>
        <w:t>二、</w:t>
      </w:r>
      <w:bookmarkEnd w:id="30"/>
      <w:r>
        <w:rPr>
          <w:rFonts w:hint="eastAsia" w:ascii="宋体" w:hAnsi="宋体" w:eastAsia="宋体" w:cs="宋体"/>
          <w:color w:val="auto"/>
          <w:sz w:val="24"/>
          <w:szCs w:val="24"/>
        </w:rPr>
        <w:t>《竞争性磋商文件》</w:t>
      </w:r>
      <w:bookmarkEnd w:id="31"/>
    </w:p>
    <w:p w14:paraId="0E2C7A8A">
      <w:pPr>
        <w:spacing w:line="390" w:lineRule="exact"/>
        <w:rPr>
          <w:rFonts w:ascii="宋体" w:hAnsi="宋体" w:cs="宋体"/>
          <w:b/>
          <w:bCs/>
          <w:color w:val="auto"/>
          <w:sz w:val="24"/>
        </w:rPr>
      </w:pPr>
      <w:r>
        <w:rPr>
          <w:rFonts w:hint="eastAsia" w:ascii="宋体" w:hAnsi="宋体" w:cs="宋体"/>
          <w:b/>
          <w:bCs/>
          <w:color w:val="auto"/>
          <w:sz w:val="24"/>
        </w:rPr>
        <w:t>4、《竞争性磋商文件》的构成</w:t>
      </w:r>
    </w:p>
    <w:p w14:paraId="5EA0E385">
      <w:pPr>
        <w:spacing w:line="390" w:lineRule="exact"/>
        <w:ind w:firstLine="480" w:firstLineChars="200"/>
        <w:rPr>
          <w:rFonts w:ascii="宋体" w:hAnsi="宋体" w:cs="宋体"/>
          <w:color w:val="auto"/>
          <w:sz w:val="24"/>
        </w:rPr>
      </w:pPr>
      <w:r>
        <w:rPr>
          <w:rFonts w:hint="eastAsia" w:ascii="宋体" w:hAnsi="宋体" w:cs="宋体"/>
          <w:color w:val="auto"/>
          <w:sz w:val="24"/>
        </w:rPr>
        <w:t>4.1磋商文件包括：</w:t>
      </w:r>
    </w:p>
    <w:p w14:paraId="7662588D">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（1）竞争性磋商公告</w:t>
      </w:r>
    </w:p>
    <w:p w14:paraId="62232B8D">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（2）磋商供应商须知及前附表</w:t>
      </w:r>
    </w:p>
    <w:p w14:paraId="0E92BFF6">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（3）合同条款及格式</w:t>
      </w:r>
    </w:p>
    <w:p w14:paraId="297115EE">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（4）</w:t>
      </w:r>
      <w:r>
        <w:rPr>
          <w:rFonts w:hint="eastAsia" w:hAnsi="宋体" w:cs="宋体"/>
          <w:color w:val="auto"/>
          <w:sz w:val="24"/>
          <w:szCs w:val="24"/>
        </w:rPr>
        <w:t>工程量清单</w:t>
      </w:r>
    </w:p>
    <w:p w14:paraId="13AF8E2E">
      <w:pPr>
        <w:pStyle w:val="26"/>
        <w:spacing w:line="390" w:lineRule="exact"/>
        <w:ind w:firstLine="480" w:firstLineChars="200"/>
        <w:rPr>
          <w:rFonts w:hAnsi="宋体" w:cs="宋体"/>
          <w:color w:val="auto"/>
          <w:sz w:val="24"/>
          <w:szCs w:val="24"/>
        </w:rPr>
      </w:pPr>
      <w:r>
        <w:rPr>
          <w:rFonts w:hint="eastAsia" w:hAnsi="宋体" w:cs="宋体"/>
          <w:color w:val="auto"/>
          <w:sz w:val="24"/>
          <w:szCs w:val="24"/>
        </w:rPr>
        <w:t>（5）图纸</w:t>
      </w:r>
    </w:p>
    <w:p w14:paraId="70E5267F">
      <w:pPr>
        <w:pStyle w:val="26"/>
        <w:spacing w:line="390" w:lineRule="exact"/>
        <w:ind w:firstLine="480" w:firstLineChars="200"/>
        <w:rPr>
          <w:rFonts w:hAnsi="宋体" w:cs="宋体"/>
          <w:color w:val="auto"/>
          <w:sz w:val="24"/>
          <w:szCs w:val="24"/>
        </w:rPr>
      </w:pPr>
      <w:r>
        <w:rPr>
          <w:rFonts w:hint="eastAsia" w:hAnsi="宋体" w:cs="宋体"/>
          <w:color w:val="auto"/>
          <w:sz w:val="24"/>
          <w:szCs w:val="24"/>
        </w:rPr>
        <w:t>（6）</w:t>
      </w:r>
      <w:r>
        <w:rPr>
          <w:rFonts w:hint="eastAsia" w:hAnsi="宋体" w:cs="宋体"/>
          <w:bCs/>
          <w:color w:val="auto"/>
          <w:sz w:val="24"/>
          <w:szCs w:val="24"/>
        </w:rPr>
        <w:t>技术标准和要求</w:t>
      </w:r>
    </w:p>
    <w:p w14:paraId="4FD96278">
      <w:pPr>
        <w:pStyle w:val="26"/>
        <w:spacing w:line="390" w:lineRule="exact"/>
        <w:ind w:firstLine="480" w:firstLineChars="200"/>
        <w:rPr>
          <w:rFonts w:hAnsi="宋体" w:cs="宋体"/>
          <w:color w:val="auto"/>
          <w:sz w:val="24"/>
          <w:szCs w:val="24"/>
        </w:rPr>
      </w:pPr>
      <w:r>
        <w:rPr>
          <w:rFonts w:hint="eastAsia" w:hAnsi="宋体" w:cs="宋体"/>
          <w:color w:val="auto"/>
          <w:sz w:val="24"/>
          <w:szCs w:val="24"/>
        </w:rPr>
        <w:t>（7）《响应文件》格式</w:t>
      </w:r>
    </w:p>
    <w:p w14:paraId="4E9B95B0">
      <w:pPr>
        <w:pStyle w:val="26"/>
        <w:spacing w:line="390" w:lineRule="exact"/>
        <w:ind w:firstLine="480" w:firstLineChars="200"/>
        <w:rPr>
          <w:rFonts w:hAnsi="宋体" w:cs="宋体"/>
          <w:color w:val="auto"/>
          <w:sz w:val="24"/>
          <w:szCs w:val="24"/>
        </w:rPr>
      </w:pPr>
      <w:r>
        <w:rPr>
          <w:rFonts w:hint="eastAsia" w:hAnsi="宋体" w:cs="宋体"/>
          <w:color w:val="auto"/>
          <w:sz w:val="24"/>
          <w:szCs w:val="24"/>
        </w:rPr>
        <w:t>（8）评标办法</w:t>
      </w:r>
    </w:p>
    <w:p w14:paraId="0DFA7CAD">
      <w:pPr>
        <w:spacing w:line="390" w:lineRule="exact"/>
        <w:rPr>
          <w:rFonts w:ascii="宋体" w:hAnsi="宋体" w:cs="宋体"/>
          <w:b/>
          <w:bCs/>
          <w:color w:val="auto"/>
          <w:sz w:val="24"/>
        </w:rPr>
      </w:pPr>
      <w:r>
        <w:rPr>
          <w:rFonts w:hint="eastAsia" w:ascii="宋体" w:hAnsi="宋体" w:cs="宋体"/>
          <w:b/>
          <w:bCs/>
          <w:color w:val="auto"/>
          <w:sz w:val="24"/>
        </w:rPr>
        <w:t>5、《竞争性磋商文件》的澄清和修改</w:t>
      </w:r>
    </w:p>
    <w:p w14:paraId="13437A26">
      <w:pPr>
        <w:spacing w:line="390" w:lineRule="exact"/>
        <w:ind w:firstLine="480" w:firstLineChars="200"/>
        <w:rPr>
          <w:rFonts w:ascii="宋体" w:hAnsi="宋体" w:cs="宋体"/>
          <w:color w:val="auto"/>
          <w:sz w:val="24"/>
        </w:rPr>
      </w:pPr>
      <w:r>
        <w:rPr>
          <w:rFonts w:hint="eastAsia" w:ascii="宋体" w:hAnsi="宋体" w:cs="宋体"/>
          <w:color w:val="auto"/>
          <w:sz w:val="24"/>
        </w:rPr>
        <w:t>5.1任何要求澄清《竞争性磋商文件》的磋商供应商，均应在磋商截止日期的5天前以传真、电报等书面形式通知采购代理机构，同时认定其他澄清方式为无效。采购代理机构将以书面形式予以答复。</w:t>
      </w:r>
    </w:p>
    <w:p w14:paraId="6BC1F234">
      <w:pPr>
        <w:spacing w:line="390" w:lineRule="exact"/>
        <w:ind w:firstLine="480" w:firstLineChars="200"/>
        <w:rPr>
          <w:rFonts w:ascii="宋体" w:hAnsi="宋体" w:cs="宋体"/>
          <w:color w:val="auto"/>
          <w:sz w:val="24"/>
        </w:rPr>
      </w:pPr>
      <w:r>
        <w:rPr>
          <w:rFonts w:hint="eastAsia" w:ascii="宋体" w:hAnsi="宋体" w:cs="宋体"/>
          <w:color w:val="auto"/>
          <w:sz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14:paraId="5C58E3C8">
      <w:pPr>
        <w:spacing w:line="390" w:lineRule="exact"/>
        <w:ind w:firstLine="480" w:firstLineChars="200"/>
        <w:rPr>
          <w:rFonts w:ascii="宋体" w:hAnsi="宋体" w:cs="宋体"/>
          <w:color w:val="auto"/>
          <w:sz w:val="24"/>
        </w:rPr>
      </w:pPr>
      <w:r>
        <w:rPr>
          <w:rFonts w:hint="eastAsia" w:ascii="宋体" w:hAnsi="宋体" w:cs="宋体"/>
          <w:color w:val="auto"/>
          <w:sz w:val="24"/>
        </w:rPr>
        <w:t>5.3《竞争性磋商文件》的澄清或修改将在发布竞争性磋商公告的同一媒介发布。</w:t>
      </w:r>
      <w:r>
        <w:rPr>
          <w:rFonts w:hint="eastAsia"/>
          <w:color w:val="auto"/>
          <w:sz w:val="24"/>
        </w:rPr>
        <w:t>磋商供应商未及时关注采购人在网站上发布的澄清文件造成的损失，由磋商供应商自行负责。</w:t>
      </w:r>
    </w:p>
    <w:p w14:paraId="19BFD3CC">
      <w:pPr>
        <w:spacing w:line="390" w:lineRule="exact"/>
        <w:ind w:firstLine="480" w:firstLineChars="200"/>
        <w:rPr>
          <w:rFonts w:ascii="宋体" w:hAnsi="宋体" w:cs="宋体"/>
          <w:color w:val="auto"/>
          <w:sz w:val="24"/>
        </w:rPr>
      </w:pPr>
      <w:r>
        <w:rPr>
          <w:rFonts w:hint="eastAsia" w:ascii="宋体" w:hAnsi="宋体" w:cs="宋体"/>
          <w:color w:val="auto"/>
          <w:sz w:val="24"/>
        </w:rPr>
        <w:t>5.4采购代理机构可视情况延长磋商截止日期，并将此澄清或修改发布竞争性磋商公告的同一媒介发布。</w:t>
      </w:r>
    </w:p>
    <w:p w14:paraId="356422F2">
      <w:pPr>
        <w:spacing w:line="390" w:lineRule="exact"/>
        <w:rPr>
          <w:rFonts w:ascii="宋体" w:hAnsi="宋体" w:cs="宋体"/>
          <w:color w:val="auto"/>
          <w:sz w:val="24"/>
        </w:rPr>
      </w:pPr>
    </w:p>
    <w:p w14:paraId="7647EDBF">
      <w:pPr>
        <w:pStyle w:val="3"/>
        <w:spacing w:before="0" w:after="0" w:line="390" w:lineRule="exact"/>
        <w:rPr>
          <w:rFonts w:ascii="宋体" w:hAnsi="宋体" w:eastAsia="宋体" w:cs="宋体"/>
          <w:color w:val="auto"/>
          <w:sz w:val="24"/>
          <w:szCs w:val="24"/>
        </w:rPr>
      </w:pPr>
      <w:bookmarkStart w:id="32" w:name="_Toc86935815"/>
      <w:bookmarkStart w:id="33" w:name="_Toc459103900"/>
      <w:r>
        <w:rPr>
          <w:rFonts w:hint="eastAsia" w:ascii="宋体" w:hAnsi="宋体" w:eastAsia="宋体" w:cs="宋体"/>
          <w:color w:val="auto"/>
          <w:sz w:val="24"/>
          <w:szCs w:val="24"/>
        </w:rPr>
        <w:t>三、磋商报价说明</w:t>
      </w:r>
      <w:bookmarkEnd w:id="32"/>
      <w:bookmarkEnd w:id="33"/>
    </w:p>
    <w:p w14:paraId="7DB79B02">
      <w:pPr>
        <w:pStyle w:val="26"/>
        <w:spacing w:line="390" w:lineRule="exact"/>
        <w:rPr>
          <w:rFonts w:hAnsi="宋体" w:cs="宋体"/>
          <w:b/>
          <w:color w:val="auto"/>
          <w:sz w:val="24"/>
          <w:szCs w:val="24"/>
        </w:rPr>
      </w:pPr>
      <w:r>
        <w:rPr>
          <w:rFonts w:hint="eastAsia" w:hAnsi="宋体" w:cs="宋体"/>
          <w:b/>
          <w:color w:val="auto"/>
          <w:sz w:val="24"/>
          <w:szCs w:val="24"/>
        </w:rPr>
        <w:t>6、磋商报价</w:t>
      </w:r>
    </w:p>
    <w:p w14:paraId="7F53E9D6">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6.1磋商报价：本项目磋商报价不允许超过采购上限控制价。</w:t>
      </w:r>
    </w:p>
    <w:p w14:paraId="6440DC75">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14:paraId="097B5F99">
      <w:pPr>
        <w:pStyle w:val="26"/>
        <w:tabs>
          <w:tab w:val="left" w:pos="284"/>
        </w:tabs>
        <w:spacing w:line="390" w:lineRule="exact"/>
        <w:ind w:firstLine="480" w:firstLineChars="200"/>
        <w:rPr>
          <w:rFonts w:hAnsi="宋体" w:cs="宋体"/>
          <w:b/>
          <w:color w:val="auto"/>
          <w:sz w:val="24"/>
          <w:szCs w:val="24"/>
        </w:rPr>
      </w:pPr>
      <w:r>
        <w:rPr>
          <w:rFonts w:hint="eastAsia" w:hAnsi="宋体" w:cs="宋体"/>
          <w:bCs/>
          <w:color w:val="auto"/>
          <w:sz w:val="24"/>
          <w:szCs w:val="24"/>
        </w:rPr>
        <w:t xml:space="preserve">6.2 </w:t>
      </w:r>
      <w:r>
        <w:rPr>
          <w:rFonts w:hint="eastAsia" w:hAnsi="宋体" w:cs="宋体"/>
          <w:color w:val="auto"/>
          <w:sz w:val="24"/>
          <w:szCs w:val="24"/>
        </w:rPr>
        <w:t>承包方式：</w:t>
      </w:r>
      <w:r>
        <w:rPr>
          <w:rFonts w:hint="eastAsia" w:hAnsi="宋体" w:cs="宋体"/>
          <w:bCs/>
          <w:color w:val="auto"/>
          <w:sz w:val="24"/>
          <w:szCs w:val="24"/>
        </w:rPr>
        <w:t>　</w:t>
      </w:r>
    </w:p>
    <w:p w14:paraId="53E41C72">
      <w:pPr>
        <w:spacing w:line="380" w:lineRule="exact"/>
        <w:ind w:firstLine="480" w:firstLineChars="200"/>
        <w:rPr>
          <w:rFonts w:ascii="宋体" w:hAnsi="宋体" w:cs="宋体"/>
          <w:color w:val="auto"/>
          <w:sz w:val="24"/>
        </w:rPr>
      </w:pPr>
      <w:r>
        <w:rPr>
          <w:rFonts w:hint="eastAsia" w:ascii="宋体" w:hAnsi="宋体" w:cs="宋体"/>
          <w:bCs/>
          <w:color w:val="auto"/>
          <w:sz w:val="24"/>
        </w:rPr>
        <w:t xml:space="preserve">6.2.1 </w:t>
      </w:r>
      <w:r>
        <w:rPr>
          <w:rFonts w:hint="eastAsia" w:ascii="宋体" w:hAnsi="宋体" w:cs="宋体"/>
          <w:color w:val="auto"/>
          <w:sz w:val="24"/>
        </w:rPr>
        <w:t>本合同价款采用固定综合单价方式。</w:t>
      </w:r>
    </w:p>
    <w:p w14:paraId="00882773">
      <w:pPr>
        <w:spacing w:line="380" w:lineRule="exact"/>
        <w:ind w:firstLine="480" w:firstLineChars="200"/>
        <w:rPr>
          <w:rFonts w:hAnsi="宋体" w:cs="宋体"/>
          <w:color w:val="auto"/>
          <w:sz w:val="24"/>
        </w:rPr>
      </w:pPr>
      <w:r>
        <w:rPr>
          <w:rFonts w:hint="eastAsia" w:ascii="宋体" w:hAnsi="宋体" w:cs="宋体"/>
          <w:color w:val="auto"/>
          <w:sz w:val="24"/>
        </w:rPr>
        <w:t>6.2.2 磋商供应商应按照采购人提供的工程量清单进行报价并对自己所填写的项目编码、项目名称、计量单位、工程数量负责。</w:t>
      </w:r>
      <w:r>
        <w:rPr>
          <w:rFonts w:hint="eastAsia" w:ascii="宋体" w:hAnsi="宋体" w:cs="宋体"/>
          <w:bCs/>
          <w:color w:val="auto"/>
          <w:sz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14:paraId="7AD8C765">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6.3 磋商货币：《响应文件》报价中的单价和合价全部采用人民币表示。</w:t>
      </w:r>
    </w:p>
    <w:p w14:paraId="48A69F07">
      <w:pPr>
        <w:spacing w:line="390" w:lineRule="exact"/>
        <w:jc w:val="center"/>
        <w:rPr>
          <w:rFonts w:ascii="宋体" w:hAnsi="宋体" w:cs="宋体"/>
          <w:b/>
          <w:color w:val="auto"/>
          <w:sz w:val="24"/>
        </w:rPr>
      </w:pPr>
    </w:p>
    <w:p w14:paraId="39A72C61">
      <w:pPr>
        <w:pStyle w:val="3"/>
        <w:spacing w:before="0" w:after="0" w:line="390" w:lineRule="exact"/>
        <w:rPr>
          <w:rFonts w:ascii="宋体" w:hAnsi="宋体" w:eastAsia="宋体" w:cs="宋体"/>
          <w:color w:val="auto"/>
          <w:sz w:val="24"/>
          <w:szCs w:val="24"/>
        </w:rPr>
      </w:pPr>
      <w:bookmarkStart w:id="34" w:name="_Toc86935816"/>
      <w:bookmarkStart w:id="35" w:name="_Toc459103901"/>
      <w:r>
        <w:rPr>
          <w:rFonts w:hint="eastAsia" w:ascii="宋体" w:hAnsi="宋体" w:eastAsia="宋体" w:cs="宋体"/>
          <w:color w:val="auto"/>
          <w:sz w:val="24"/>
          <w:szCs w:val="24"/>
        </w:rPr>
        <w:t>四、《响应文件》的编制格式</w:t>
      </w:r>
      <w:bookmarkEnd w:id="34"/>
      <w:bookmarkEnd w:id="35"/>
    </w:p>
    <w:p w14:paraId="437E22C4">
      <w:pPr>
        <w:pStyle w:val="26"/>
        <w:spacing w:line="390" w:lineRule="exact"/>
        <w:rPr>
          <w:rFonts w:hAnsi="宋体" w:cs="宋体"/>
          <w:b/>
          <w:color w:val="auto"/>
          <w:sz w:val="24"/>
          <w:szCs w:val="24"/>
        </w:rPr>
      </w:pPr>
      <w:r>
        <w:rPr>
          <w:rFonts w:hint="eastAsia" w:hAnsi="宋体" w:cs="宋体"/>
          <w:b/>
          <w:color w:val="auto"/>
          <w:sz w:val="24"/>
          <w:szCs w:val="24"/>
        </w:rPr>
        <w:t>7、《响应文件》的语言</w:t>
      </w:r>
    </w:p>
    <w:p w14:paraId="6C51C9D1">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《响应文件》及磋商供应商与采购人之间与磋商有关的来往通知、函件和文件均应使用中文。</w:t>
      </w:r>
    </w:p>
    <w:p w14:paraId="6E307207">
      <w:pPr>
        <w:pStyle w:val="26"/>
        <w:spacing w:line="390" w:lineRule="exact"/>
        <w:rPr>
          <w:rFonts w:hAnsi="宋体" w:cs="宋体"/>
          <w:b/>
          <w:color w:val="auto"/>
          <w:sz w:val="24"/>
          <w:szCs w:val="24"/>
        </w:rPr>
      </w:pPr>
      <w:r>
        <w:rPr>
          <w:rFonts w:hint="eastAsia" w:hAnsi="宋体" w:cs="宋体"/>
          <w:b/>
          <w:color w:val="auto"/>
          <w:sz w:val="24"/>
          <w:szCs w:val="24"/>
        </w:rPr>
        <w:t>8、《响应文件》的组成</w:t>
      </w:r>
    </w:p>
    <w:p w14:paraId="0FC57E92">
      <w:pPr>
        <w:pStyle w:val="26"/>
        <w:tabs>
          <w:tab w:val="left" w:pos="426"/>
        </w:tabs>
        <w:spacing w:line="390" w:lineRule="exact"/>
        <w:ind w:firstLine="480" w:firstLineChars="200"/>
        <w:rPr>
          <w:rFonts w:hAnsi="宋体" w:cs="宋体"/>
          <w:bCs/>
          <w:color w:val="auto"/>
          <w:sz w:val="24"/>
          <w:szCs w:val="24"/>
        </w:rPr>
      </w:pPr>
      <w:r>
        <w:rPr>
          <w:rFonts w:hint="eastAsia" w:hAnsi="宋体" w:cs="宋体"/>
          <w:bCs/>
          <w:color w:val="auto"/>
          <w:sz w:val="24"/>
          <w:szCs w:val="24"/>
        </w:rPr>
        <w:t>8.1《响应文件》应包括下列内容：</w:t>
      </w:r>
    </w:p>
    <w:p w14:paraId="15A22BD7">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8.1.1资格证明文件：</w:t>
      </w:r>
    </w:p>
    <w:p w14:paraId="1EE960EF">
      <w:pPr>
        <w:pStyle w:val="26"/>
        <w:spacing w:line="390" w:lineRule="exact"/>
        <w:ind w:firstLine="480" w:firstLineChars="200"/>
        <w:rPr>
          <w:rFonts w:hAnsi="宋体" w:cs="宋体"/>
          <w:color w:val="auto"/>
          <w:sz w:val="24"/>
          <w:szCs w:val="24"/>
        </w:rPr>
      </w:pPr>
      <w:r>
        <w:rPr>
          <w:rFonts w:hint="eastAsia" w:hAnsi="宋体" w:cs="宋体"/>
          <w:color w:val="auto"/>
          <w:sz w:val="24"/>
          <w:szCs w:val="24"/>
        </w:rPr>
        <w:t>（1）有效的法人营业执照副本扫描件；</w:t>
      </w:r>
    </w:p>
    <w:p w14:paraId="5C10FF28">
      <w:pPr>
        <w:pStyle w:val="26"/>
        <w:spacing w:line="390" w:lineRule="exact"/>
        <w:ind w:firstLine="480" w:firstLineChars="200"/>
        <w:rPr>
          <w:rFonts w:hAnsi="宋体" w:cs="宋体"/>
          <w:color w:val="auto"/>
          <w:sz w:val="24"/>
          <w:szCs w:val="24"/>
        </w:rPr>
      </w:pPr>
      <w:r>
        <w:rPr>
          <w:rFonts w:hint="eastAsia" w:hAnsi="宋体" w:cs="宋体"/>
          <w:color w:val="auto"/>
          <w:sz w:val="24"/>
          <w:szCs w:val="24"/>
        </w:rPr>
        <w:t>（2）有效的资质证书副本扫描件；</w:t>
      </w:r>
    </w:p>
    <w:p w14:paraId="0DFFF4EF">
      <w:pPr>
        <w:pStyle w:val="26"/>
        <w:spacing w:line="390" w:lineRule="exact"/>
        <w:ind w:firstLine="480" w:firstLineChars="200"/>
        <w:rPr>
          <w:rFonts w:hAnsi="宋体" w:cs="宋体"/>
          <w:color w:val="auto"/>
          <w:sz w:val="24"/>
          <w:szCs w:val="24"/>
        </w:rPr>
      </w:pPr>
      <w:r>
        <w:rPr>
          <w:rFonts w:hint="eastAsia" w:hAnsi="宋体" w:cs="宋体"/>
          <w:color w:val="auto"/>
          <w:sz w:val="24"/>
          <w:szCs w:val="24"/>
        </w:rPr>
        <w:t>（3）有效的安全生产许可证副本扫描件；</w:t>
      </w:r>
    </w:p>
    <w:p w14:paraId="7CB311FC">
      <w:pPr>
        <w:pStyle w:val="26"/>
        <w:spacing w:line="390" w:lineRule="exact"/>
        <w:ind w:firstLine="480" w:firstLineChars="200"/>
        <w:rPr>
          <w:rFonts w:hAnsi="宋体" w:cs="宋体"/>
          <w:color w:val="auto"/>
          <w:sz w:val="24"/>
          <w:szCs w:val="24"/>
        </w:rPr>
      </w:pPr>
      <w:r>
        <w:rPr>
          <w:rFonts w:hint="eastAsia" w:hAnsi="宋体" w:cs="宋体"/>
          <w:color w:val="auto"/>
          <w:sz w:val="24"/>
          <w:szCs w:val="24"/>
        </w:rPr>
        <w:t>（4）“诚信要求”信用查询；</w:t>
      </w:r>
    </w:p>
    <w:p w14:paraId="59694D44">
      <w:pPr>
        <w:pStyle w:val="26"/>
        <w:spacing w:line="390" w:lineRule="exact"/>
        <w:ind w:firstLine="480" w:firstLineChars="200"/>
        <w:rPr>
          <w:rFonts w:hAnsi="宋体" w:cs="宋体"/>
          <w:color w:val="auto"/>
          <w:sz w:val="24"/>
          <w:szCs w:val="24"/>
        </w:rPr>
      </w:pPr>
      <w:r>
        <w:rPr>
          <w:rFonts w:hint="eastAsia" w:hAnsi="宋体" w:cs="宋体"/>
          <w:color w:val="auto"/>
          <w:sz w:val="24"/>
          <w:szCs w:val="24"/>
        </w:rPr>
        <w:t>（5）法定代表人身份证明书；</w:t>
      </w:r>
    </w:p>
    <w:p w14:paraId="27672DED">
      <w:pPr>
        <w:pStyle w:val="26"/>
        <w:spacing w:line="390" w:lineRule="exact"/>
        <w:ind w:firstLine="480" w:firstLineChars="200"/>
        <w:rPr>
          <w:rFonts w:hint="eastAsia" w:eastAsia="宋体"/>
          <w:color w:val="auto"/>
          <w:lang w:eastAsia="zh-CN"/>
        </w:rPr>
      </w:pPr>
      <w:r>
        <w:rPr>
          <w:rFonts w:hint="eastAsia" w:hAnsi="宋体" w:cs="宋体"/>
          <w:color w:val="auto"/>
          <w:sz w:val="24"/>
          <w:szCs w:val="24"/>
        </w:rPr>
        <w:t>（6）授权委托书</w:t>
      </w:r>
      <w:r>
        <w:rPr>
          <w:rFonts w:hint="eastAsia" w:hAnsi="宋体" w:cs="宋体"/>
          <w:bCs/>
          <w:color w:val="auto"/>
          <w:sz w:val="24"/>
          <w:szCs w:val="24"/>
        </w:rPr>
        <w:t>（委托时必须提供）；</w:t>
      </w:r>
    </w:p>
    <w:p w14:paraId="10A7A291">
      <w:pPr>
        <w:pStyle w:val="26"/>
        <w:spacing w:line="390" w:lineRule="exact"/>
        <w:ind w:firstLine="480" w:firstLineChars="200"/>
        <w:rPr>
          <w:rFonts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7</w:t>
      </w:r>
      <w:r>
        <w:rPr>
          <w:rFonts w:hint="eastAsia" w:hAnsi="宋体" w:cs="宋体"/>
          <w:color w:val="auto"/>
          <w:sz w:val="24"/>
          <w:szCs w:val="24"/>
        </w:rPr>
        <w:t>）磋商截止之日前半年内连续三个月供应商依法纳税证明；无纳税记录的，应提供由竞标人所在地的税务部门出具的《依法纳税或依法免税证明》（格式自拟，扫描件）；</w:t>
      </w:r>
    </w:p>
    <w:p w14:paraId="58C44349">
      <w:pPr>
        <w:pStyle w:val="26"/>
        <w:spacing w:line="390" w:lineRule="exact"/>
        <w:ind w:firstLine="480" w:firstLineChars="200"/>
        <w:rPr>
          <w:rFonts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8</w:t>
      </w:r>
      <w:r>
        <w:rPr>
          <w:rFonts w:hint="eastAsia" w:hAnsi="宋体" w:cs="宋体"/>
          <w:color w:val="auto"/>
          <w:sz w:val="24"/>
          <w:szCs w:val="24"/>
        </w:rPr>
        <w:t>）磋商截止之日前半年内连续三个月供应商依法缴纳社保证明；无纳税记录的，应提供由投标人所在地社保部门出具的《依法缴纳或依法免缴社保费证明》（格式自拟，扫描件）；</w:t>
      </w:r>
    </w:p>
    <w:p w14:paraId="7EE44EB2">
      <w:pPr>
        <w:pStyle w:val="26"/>
        <w:spacing w:line="390" w:lineRule="exact"/>
        <w:ind w:firstLine="480" w:firstLineChars="200"/>
        <w:rPr>
          <w:rFonts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9</w:t>
      </w:r>
      <w:r>
        <w:rPr>
          <w:rFonts w:hint="eastAsia" w:hAnsi="宋体" w:cs="宋体"/>
          <w:color w:val="auto"/>
          <w:sz w:val="24"/>
          <w:szCs w:val="24"/>
        </w:rPr>
        <w:t>）</w:t>
      </w:r>
      <w:r>
        <w:rPr>
          <w:rFonts w:hint="eastAsia" w:hAnsi="宋体" w:cs="宋体"/>
          <w:bCs/>
          <w:color w:val="auto"/>
          <w:sz w:val="24"/>
          <w:szCs w:val="24"/>
        </w:rPr>
        <w:t>拟派项目经理</w:t>
      </w:r>
      <w:r>
        <w:rPr>
          <w:rFonts w:hint="eastAsia" w:hAnsi="宋体" w:cs="宋体"/>
          <w:bCs/>
          <w:color w:val="auto"/>
          <w:sz w:val="24"/>
          <w:szCs w:val="24"/>
          <w:lang w:eastAsia="zh-CN"/>
        </w:rPr>
        <w:t>具备市政公用工程</w:t>
      </w:r>
      <w:r>
        <w:rPr>
          <w:rFonts w:hint="eastAsia" w:hAnsi="宋体" w:cs="宋体"/>
          <w:bCs/>
          <w:color w:val="auto"/>
          <w:sz w:val="24"/>
          <w:szCs w:val="24"/>
        </w:rPr>
        <w:t>二级及以上注册建造师证书及有效的省级或省级以上建设行政主管部门颁发的安全生产考核合格证书的扫描件</w:t>
      </w:r>
      <w:r>
        <w:rPr>
          <w:rFonts w:hint="eastAsia" w:hAnsi="宋体" w:cs="宋体"/>
          <w:color w:val="auto"/>
          <w:sz w:val="24"/>
          <w:szCs w:val="24"/>
        </w:rPr>
        <w:t>；</w:t>
      </w:r>
    </w:p>
    <w:p w14:paraId="2F8F437D">
      <w:pPr>
        <w:pStyle w:val="26"/>
        <w:spacing w:line="390" w:lineRule="exact"/>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0</w:t>
      </w:r>
      <w:r>
        <w:rPr>
          <w:rFonts w:hint="eastAsia" w:hAnsi="宋体" w:cs="宋体"/>
          <w:color w:val="auto"/>
          <w:sz w:val="24"/>
          <w:szCs w:val="24"/>
        </w:rPr>
        <w:t>）拟派往本项目专职安全员岗位证书扫描件及有效的省级或省级以上建设行政主管部门颁发的安全生产考核合格证书的扫描件；</w:t>
      </w:r>
    </w:p>
    <w:p w14:paraId="291D23F4">
      <w:pPr>
        <w:pStyle w:val="26"/>
        <w:spacing w:line="390" w:lineRule="exact"/>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1</w:t>
      </w:r>
      <w:r>
        <w:rPr>
          <w:rFonts w:hint="eastAsia" w:hAnsi="宋体" w:cs="宋体"/>
          <w:color w:val="auto"/>
          <w:sz w:val="24"/>
          <w:szCs w:val="24"/>
        </w:rPr>
        <w:t>）202</w:t>
      </w:r>
      <w:r>
        <w:rPr>
          <w:rFonts w:hint="eastAsia" w:hAnsi="宋体" w:cs="宋体"/>
          <w:color w:val="auto"/>
          <w:sz w:val="24"/>
          <w:szCs w:val="24"/>
          <w:lang w:val="en-US" w:eastAsia="zh-CN"/>
        </w:rPr>
        <w:t>4</w:t>
      </w:r>
      <w:r>
        <w:rPr>
          <w:rFonts w:hint="eastAsia" w:hAnsi="宋体" w:cs="宋体"/>
          <w:color w:val="auto"/>
          <w:sz w:val="24"/>
          <w:szCs w:val="24"/>
        </w:rPr>
        <w:t>年经审计的财务报告，或竞争性磋商公告日期后银行出具的有效资信证明，或竞争性磋商公告日期后政府采购专业担保机构出具的有效投标担保函（格式自拟，扫描件）；</w:t>
      </w:r>
    </w:p>
    <w:p w14:paraId="48CEA2B0">
      <w:pPr>
        <w:pStyle w:val="26"/>
        <w:spacing w:line="390" w:lineRule="exact"/>
        <w:ind w:firstLine="480" w:firstLineChars="200"/>
        <w:rPr>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2</w:t>
      </w:r>
      <w:r>
        <w:rPr>
          <w:rFonts w:hint="eastAsia" w:hAnsi="宋体" w:cs="宋体"/>
          <w:color w:val="auto"/>
          <w:sz w:val="24"/>
          <w:szCs w:val="24"/>
        </w:rPr>
        <w:t>）磋商供应商认为必要提供的声明及文件资料。</w:t>
      </w:r>
    </w:p>
    <w:p w14:paraId="051ADB57">
      <w:pPr>
        <w:pStyle w:val="26"/>
        <w:spacing w:line="390" w:lineRule="exact"/>
        <w:ind w:firstLine="480" w:firstLineChars="200"/>
        <w:rPr>
          <w:rFonts w:hAnsi="宋体" w:cs="宋体"/>
          <w:color w:val="auto"/>
          <w:kern w:val="0"/>
          <w:sz w:val="24"/>
          <w:szCs w:val="24"/>
        </w:rPr>
      </w:pPr>
      <w:r>
        <w:rPr>
          <w:rFonts w:hint="eastAsia" w:hAnsi="宋体" w:cs="宋体"/>
          <w:b/>
          <w:bCs/>
          <w:color w:val="auto"/>
          <w:sz w:val="24"/>
          <w:szCs w:val="24"/>
        </w:rPr>
        <w:t>注：</w:t>
      </w:r>
      <w:r>
        <w:rPr>
          <w:rFonts w:hint="eastAsia" w:hAnsi="宋体" w:cs="宋体"/>
          <w:b/>
          <w:bCs/>
          <w:color w:val="auto"/>
          <w:sz w:val="24"/>
          <w:szCs w:val="24"/>
          <w:u w:val="single"/>
        </w:rPr>
        <w:t>1.</w:t>
      </w:r>
      <w:r>
        <w:rPr>
          <w:rFonts w:hint="eastAsia" w:hAnsi="宋体" w:cs="宋体"/>
          <w:b/>
          <w:color w:val="auto"/>
          <w:sz w:val="24"/>
          <w:szCs w:val="24"/>
          <w:u w:val="single"/>
        </w:rPr>
        <w:t>上述材料缺少任何一项或任何一项无效均会被视为资格审查不合格，作无效磋商处理</w:t>
      </w:r>
      <w:r>
        <w:rPr>
          <w:rFonts w:hint="eastAsia" w:hAnsi="宋体" w:cs="宋体"/>
          <w:b/>
          <w:color w:val="auto"/>
          <w:sz w:val="24"/>
          <w:szCs w:val="24"/>
        </w:rPr>
        <w:t>。</w:t>
      </w:r>
      <w:r>
        <w:rPr>
          <w:rFonts w:hint="eastAsia" w:hAnsi="宋体"/>
          <w:b/>
          <w:color w:val="auto"/>
          <w:sz w:val="24"/>
          <w:u w:val="single"/>
        </w:rPr>
        <w:t>2.以上材料属于复印件的扫描件的，必须加盖供应商电子公章，否则响应文件按无效响应处理。</w:t>
      </w:r>
    </w:p>
    <w:p w14:paraId="38D0844D">
      <w:pPr>
        <w:pStyle w:val="26"/>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8.1.2报价文件</w:t>
      </w:r>
    </w:p>
    <w:p w14:paraId="0498667F">
      <w:pPr>
        <w:pStyle w:val="26"/>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（1）磋商函及磋商函附录</w:t>
      </w:r>
    </w:p>
    <w:p w14:paraId="3DCB1A19">
      <w:pPr>
        <w:pStyle w:val="26"/>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（2）竞标人基本情况表</w:t>
      </w:r>
    </w:p>
    <w:p w14:paraId="5985D314">
      <w:pPr>
        <w:pStyle w:val="26"/>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（3）已标价工程量清单</w:t>
      </w:r>
    </w:p>
    <w:p w14:paraId="7D42B4F8">
      <w:pPr>
        <w:pStyle w:val="70"/>
        <w:rPr>
          <w:rFonts w:hAnsi="宋体"/>
          <w:bCs/>
          <w:color w:val="auto"/>
        </w:rPr>
      </w:pPr>
      <w:r>
        <w:rPr>
          <w:rFonts w:hint="eastAsia" w:hAnsi="宋体" w:cs="Times New Roman"/>
          <w:b/>
          <w:color w:val="auto"/>
          <w:u w:val="single"/>
        </w:rPr>
        <w:t>注：以上材料属于复印件的扫描件的，必须加盖供应商电子公章，否则响应文件按无效响应处理。</w:t>
      </w:r>
    </w:p>
    <w:p w14:paraId="1040C7DC">
      <w:pPr>
        <w:spacing w:line="400" w:lineRule="exact"/>
        <w:ind w:firstLine="480" w:firstLineChars="200"/>
        <w:rPr>
          <w:rFonts w:ascii="宋体" w:hAnsi="宋体" w:cs="宋体"/>
          <w:bCs/>
          <w:color w:val="auto"/>
          <w:sz w:val="24"/>
        </w:rPr>
      </w:pPr>
      <w:r>
        <w:rPr>
          <w:rFonts w:hint="eastAsia" w:ascii="宋体" w:hAnsi="宋体" w:cs="宋体"/>
          <w:bCs/>
          <w:color w:val="auto"/>
          <w:sz w:val="24"/>
        </w:rPr>
        <w:t>8.1.3商务技术文件</w:t>
      </w:r>
    </w:p>
    <w:p w14:paraId="0859AFDF">
      <w:pPr>
        <w:pStyle w:val="26"/>
        <w:spacing w:line="390" w:lineRule="exact"/>
        <w:ind w:firstLine="480" w:firstLineChars="200"/>
        <w:rPr>
          <w:color w:val="auto"/>
          <w:sz w:val="24"/>
          <w:szCs w:val="24"/>
        </w:rPr>
      </w:pPr>
      <w:r>
        <w:rPr>
          <w:rFonts w:hint="eastAsia" w:hAnsi="宋体" w:cs="宋体"/>
          <w:bCs/>
          <w:color w:val="auto"/>
          <w:sz w:val="24"/>
          <w:szCs w:val="24"/>
        </w:rPr>
        <w:t>(1)</w:t>
      </w:r>
      <w:r>
        <w:rPr>
          <w:rFonts w:ascii="Calibri" w:hAnsi="Calibri" w:cs="Calibri"/>
          <w:bCs/>
          <w:color w:val="auto"/>
          <w:sz w:val="24"/>
          <w:szCs w:val="24"/>
        </w:rPr>
        <w:t>主要管理人员表</w:t>
      </w:r>
    </w:p>
    <w:p w14:paraId="1E5105C6">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(2)建设工程项目管理承诺书</w:t>
      </w:r>
    </w:p>
    <w:p w14:paraId="55372A2F">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(3)施工组织设计</w:t>
      </w:r>
    </w:p>
    <w:p w14:paraId="041FAED0">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(4)业绩</w:t>
      </w:r>
    </w:p>
    <w:p w14:paraId="636901A6">
      <w:pPr>
        <w:pStyle w:val="26"/>
        <w:spacing w:line="390" w:lineRule="exact"/>
        <w:ind w:firstLine="480" w:firstLineChars="200"/>
        <w:rPr>
          <w:rFonts w:hAnsi="宋体" w:cs="宋体"/>
          <w:bCs/>
          <w:color w:val="auto"/>
          <w:sz w:val="24"/>
          <w:szCs w:val="24"/>
        </w:rPr>
      </w:pPr>
      <w:r>
        <w:rPr>
          <w:rFonts w:hint="eastAsia" w:hAnsi="宋体" w:cs="宋体"/>
          <w:bCs/>
          <w:color w:val="auto"/>
          <w:sz w:val="24"/>
          <w:szCs w:val="24"/>
        </w:rPr>
        <w:t>(5)其他资料</w:t>
      </w:r>
    </w:p>
    <w:p w14:paraId="67D114D0">
      <w:pPr>
        <w:pStyle w:val="71"/>
        <w:rPr>
          <w:color w:val="auto"/>
        </w:rPr>
      </w:pPr>
      <w:r>
        <w:rPr>
          <w:rFonts w:hint="eastAsia" w:hAnsi="宋体"/>
          <w:color w:val="auto"/>
          <w:sz w:val="24"/>
          <w:u w:val="single"/>
        </w:rPr>
        <w:t>注：以上材料属于复印件的扫描件的，必须加盖供应商电子公章，否则响应文件按无效响应处理。</w:t>
      </w:r>
    </w:p>
    <w:p w14:paraId="68772D5C">
      <w:pPr>
        <w:spacing w:line="390" w:lineRule="exact"/>
        <w:ind w:firstLine="480" w:firstLineChars="200"/>
        <w:rPr>
          <w:rFonts w:ascii="宋体" w:hAnsi="宋体" w:cs="宋体"/>
          <w:color w:val="auto"/>
          <w:sz w:val="24"/>
        </w:rPr>
      </w:pPr>
      <w:r>
        <w:rPr>
          <w:rFonts w:hint="eastAsia" w:ascii="宋体" w:hAnsi="宋体" w:cs="宋体"/>
          <w:bCs/>
          <w:color w:val="auto"/>
          <w:sz w:val="24"/>
        </w:rPr>
        <w:t>8.2 磋商单位应使用</w:t>
      </w:r>
      <w:r>
        <w:rPr>
          <w:rFonts w:hint="eastAsia" w:ascii="宋体" w:hAnsi="宋体" w:cs="宋体"/>
          <w:color w:val="auto"/>
          <w:sz w:val="24"/>
        </w:rPr>
        <w:t>《竞争性磋商文件》</w:t>
      </w:r>
      <w:r>
        <w:rPr>
          <w:rFonts w:hint="eastAsia" w:ascii="宋体" w:hAnsi="宋体" w:cs="宋体"/>
          <w:bCs/>
          <w:color w:val="auto"/>
          <w:sz w:val="24"/>
        </w:rPr>
        <w:t>提供的格式，但表格可以按同样格式扩展，磋商保证金、履约保证金的方式按本须知有关条款的规定可以选择。</w:t>
      </w:r>
    </w:p>
    <w:p w14:paraId="5DAE9740">
      <w:pPr>
        <w:spacing w:line="390" w:lineRule="exact"/>
        <w:rPr>
          <w:rFonts w:ascii="宋体" w:hAnsi="宋体" w:cs="宋体"/>
          <w:b/>
          <w:bCs/>
          <w:color w:val="auto"/>
          <w:sz w:val="24"/>
        </w:rPr>
      </w:pPr>
      <w:r>
        <w:rPr>
          <w:rFonts w:hint="eastAsia" w:ascii="宋体" w:hAnsi="宋体" w:cs="宋体"/>
          <w:b/>
          <w:bCs/>
          <w:color w:val="auto"/>
          <w:sz w:val="24"/>
        </w:rPr>
        <w:t>9、磋商货币</w:t>
      </w:r>
    </w:p>
    <w:p w14:paraId="4C00B81E">
      <w:pPr>
        <w:tabs>
          <w:tab w:val="left" w:pos="426"/>
        </w:tabs>
        <w:spacing w:line="390" w:lineRule="exact"/>
        <w:ind w:firstLine="480" w:firstLineChars="200"/>
        <w:rPr>
          <w:rFonts w:ascii="宋体" w:hAnsi="宋体" w:cs="宋体"/>
          <w:color w:val="auto"/>
          <w:sz w:val="24"/>
        </w:rPr>
      </w:pPr>
      <w:r>
        <w:rPr>
          <w:rFonts w:hint="eastAsia" w:ascii="宋体" w:hAnsi="宋体" w:cs="宋体"/>
          <w:color w:val="auto"/>
          <w:sz w:val="24"/>
        </w:rPr>
        <w:t>9.1磋商应以人民币报价。</w:t>
      </w:r>
    </w:p>
    <w:p w14:paraId="277EA5CD">
      <w:pPr>
        <w:spacing w:line="390" w:lineRule="exact"/>
        <w:rPr>
          <w:rFonts w:ascii="宋体" w:hAnsi="宋体" w:cs="宋体"/>
          <w:b/>
          <w:bCs/>
          <w:color w:val="auto"/>
          <w:sz w:val="24"/>
        </w:rPr>
      </w:pPr>
      <w:r>
        <w:rPr>
          <w:rFonts w:hint="eastAsia" w:ascii="宋体" w:hAnsi="宋体" w:cs="宋体"/>
          <w:b/>
          <w:bCs/>
          <w:color w:val="auto"/>
          <w:sz w:val="24"/>
        </w:rPr>
        <w:t>10、磋商的有效期</w:t>
      </w:r>
    </w:p>
    <w:p w14:paraId="446159D3">
      <w:pPr>
        <w:spacing w:line="390" w:lineRule="exact"/>
        <w:ind w:firstLine="480" w:firstLineChars="200"/>
        <w:rPr>
          <w:rFonts w:ascii="宋体" w:hAnsi="宋体" w:cs="宋体"/>
          <w:color w:val="auto"/>
          <w:sz w:val="24"/>
        </w:rPr>
      </w:pPr>
      <w:r>
        <w:rPr>
          <w:rFonts w:hint="eastAsia" w:ascii="宋体" w:hAnsi="宋体" w:cs="宋体"/>
          <w:color w:val="auto"/>
          <w:sz w:val="24"/>
        </w:rPr>
        <w:t>10．1《响应文件》从磋商截止日期后60天内有效。</w:t>
      </w:r>
    </w:p>
    <w:p w14:paraId="18194F29">
      <w:pPr>
        <w:spacing w:line="390" w:lineRule="exact"/>
        <w:ind w:firstLine="480" w:firstLineChars="200"/>
        <w:rPr>
          <w:rFonts w:ascii="宋体" w:hAnsi="宋体" w:cs="宋体"/>
          <w:color w:val="auto"/>
          <w:sz w:val="24"/>
        </w:rPr>
      </w:pPr>
      <w:r>
        <w:rPr>
          <w:rFonts w:hint="eastAsia" w:ascii="宋体" w:hAnsi="宋体" w:cs="宋体"/>
          <w:color w:val="auto"/>
          <w:sz w:val="24"/>
        </w:rPr>
        <w:t>10．2在特殊情况下，采购代理机构可与磋商供应商协商延长《响应文件》的有效期。</w:t>
      </w:r>
    </w:p>
    <w:p w14:paraId="2C336514">
      <w:pPr>
        <w:spacing w:line="390" w:lineRule="exact"/>
        <w:rPr>
          <w:rFonts w:ascii="宋体" w:hAnsi="宋体" w:cs="宋体"/>
          <w:b/>
          <w:bCs/>
          <w:color w:val="auto"/>
          <w:sz w:val="24"/>
        </w:rPr>
      </w:pPr>
      <w:r>
        <w:rPr>
          <w:rFonts w:hint="eastAsia" w:ascii="宋体" w:hAnsi="宋体" w:cs="宋体"/>
          <w:b/>
          <w:bCs/>
          <w:color w:val="auto"/>
          <w:sz w:val="24"/>
        </w:rPr>
        <w:t>11、《响应文件》电子版的编制要求</w:t>
      </w:r>
    </w:p>
    <w:p w14:paraId="17FA54E0">
      <w:pPr>
        <w:spacing w:line="390" w:lineRule="exact"/>
        <w:ind w:firstLine="480" w:firstLineChars="200"/>
        <w:rPr>
          <w:rFonts w:ascii="宋体" w:hAnsi="宋体" w:cs="宋体"/>
          <w:color w:val="auto"/>
          <w:sz w:val="24"/>
        </w:rPr>
      </w:pPr>
      <w:r>
        <w:rPr>
          <w:rFonts w:hint="eastAsia" w:ascii="宋体" w:hAnsi="宋体" w:cs="宋体"/>
          <w:color w:val="auto"/>
          <w:sz w:val="24"/>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14:paraId="370DF833">
      <w:pPr>
        <w:spacing w:line="390" w:lineRule="exact"/>
        <w:ind w:firstLine="480" w:firstLineChars="200"/>
        <w:rPr>
          <w:rFonts w:ascii="宋体" w:hAnsi="宋体" w:cs="宋体"/>
          <w:color w:val="auto"/>
          <w:sz w:val="24"/>
        </w:rPr>
      </w:pPr>
      <w:r>
        <w:rPr>
          <w:rFonts w:hint="eastAsia" w:ascii="宋体" w:hAnsi="宋体" w:cs="宋体"/>
          <w:color w:val="auto"/>
          <w:sz w:val="24"/>
        </w:rPr>
        <w:t>11.2本磋商只接受电子版响应文件，要求见本章前附表“响应文件电子版要求”。</w:t>
      </w:r>
    </w:p>
    <w:p w14:paraId="1F561C32">
      <w:pPr>
        <w:spacing w:line="390" w:lineRule="exact"/>
        <w:ind w:firstLine="480" w:firstLineChars="200"/>
        <w:rPr>
          <w:rFonts w:ascii="宋体" w:hAnsi="宋体" w:cs="宋体"/>
          <w:bCs/>
          <w:color w:val="auto"/>
          <w:sz w:val="24"/>
        </w:rPr>
      </w:pPr>
      <w:r>
        <w:rPr>
          <w:rFonts w:hint="eastAsia" w:ascii="宋体" w:hAnsi="宋体" w:cs="宋体"/>
          <w:color w:val="auto"/>
          <w:sz w:val="24"/>
        </w:rPr>
        <w:t>11.3响应文件须由供应商在“第七章 响应文件（格式）”规定位置进行签署、盖章，否则其响应文件按无效响应处理。骑缝盖公章不视为在规定位置盖章</w:t>
      </w:r>
      <w:r>
        <w:rPr>
          <w:rFonts w:hint="eastAsia" w:ascii="宋体" w:hAnsi="宋体" w:cs="宋体"/>
          <w:bCs/>
          <w:color w:val="auto"/>
          <w:sz w:val="24"/>
        </w:rPr>
        <w:t>。</w:t>
      </w:r>
    </w:p>
    <w:p w14:paraId="4007DF83">
      <w:pPr>
        <w:spacing w:line="390" w:lineRule="exact"/>
        <w:ind w:firstLine="480" w:firstLineChars="200"/>
        <w:rPr>
          <w:rFonts w:ascii="宋体" w:hAnsi="宋体"/>
          <w:b/>
          <w:color w:val="auto"/>
          <w:sz w:val="24"/>
        </w:rPr>
      </w:pPr>
      <w:r>
        <w:rPr>
          <w:rFonts w:hint="eastAsia" w:ascii="宋体" w:hAnsi="宋体" w:cs="宋体"/>
          <w:bCs/>
          <w:color w:val="auto"/>
          <w:sz w:val="24"/>
        </w:rPr>
        <w:t>11.4响应文件中标注的供应商名称应与营业执照（事业单位法人证书、执业许可证、自然人身份证）及电子公章一致，否则其响应文件按无效响应处理</w:t>
      </w:r>
      <w:r>
        <w:rPr>
          <w:rFonts w:hint="eastAsia" w:ascii="宋体" w:hAnsi="宋体"/>
          <w:bCs/>
          <w:color w:val="auto"/>
          <w:sz w:val="24"/>
        </w:rPr>
        <w:t>。</w:t>
      </w:r>
    </w:p>
    <w:p w14:paraId="06B0AA66">
      <w:pPr>
        <w:spacing w:line="390" w:lineRule="exact"/>
        <w:ind w:firstLine="480" w:firstLineChars="200"/>
        <w:rPr>
          <w:rFonts w:ascii="宋体" w:hAnsi="宋体" w:cs="宋体"/>
          <w:color w:val="auto"/>
          <w:sz w:val="24"/>
        </w:rPr>
      </w:pPr>
      <w:r>
        <w:rPr>
          <w:rFonts w:hint="eastAsia" w:ascii="宋体" w:hAnsi="宋体" w:cs="宋体"/>
          <w:color w:val="auto"/>
          <w:sz w:val="24"/>
        </w:rPr>
        <w:t>11.5响应文件应避免涂改、行间插字或者删除，否则其响应文件按无效响应处理。</w:t>
      </w:r>
    </w:p>
    <w:p w14:paraId="73F77BA6">
      <w:pPr>
        <w:spacing w:line="390" w:lineRule="exact"/>
        <w:rPr>
          <w:rFonts w:ascii="宋体" w:hAnsi="宋体" w:cs="宋体"/>
          <w:b/>
          <w:bCs/>
          <w:color w:val="auto"/>
          <w:sz w:val="24"/>
        </w:rPr>
      </w:pPr>
      <w:r>
        <w:rPr>
          <w:rFonts w:hint="eastAsia" w:ascii="宋体" w:hAnsi="宋体" w:cs="宋体"/>
          <w:b/>
          <w:bCs/>
          <w:color w:val="auto"/>
          <w:sz w:val="24"/>
        </w:rPr>
        <w:t>12、磋商保证金</w:t>
      </w:r>
    </w:p>
    <w:p w14:paraId="3F36B246">
      <w:pPr>
        <w:pStyle w:val="3"/>
        <w:spacing w:before="0" w:after="0" w:line="390" w:lineRule="exact"/>
        <w:ind w:firstLine="480" w:firstLineChars="200"/>
        <w:jc w:val="both"/>
        <w:rPr>
          <w:rFonts w:hint="eastAsia" w:ascii="宋体" w:hAnsi="宋体" w:eastAsia="宋体" w:cs="宋体"/>
          <w:color w:val="auto"/>
          <w:sz w:val="24"/>
          <w:lang w:val="en-US" w:eastAsia="zh-CN"/>
        </w:rPr>
      </w:pPr>
      <w:bookmarkStart w:id="36" w:name="_Toc459103902"/>
      <w:bookmarkStart w:id="37" w:name="_Toc86935817"/>
      <w:r>
        <w:rPr>
          <w:rFonts w:hint="eastAsia" w:ascii="宋体" w:hAnsi="宋体" w:eastAsia="宋体" w:cs="宋体"/>
          <w:b w:val="0"/>
          <w:bCs/>
          <w:color w:val="auto"/>
          <w:kern w:val="2"/>
          <w:sz w:val="24"/>
          <w:szCs w:val="24"/>
          <w:lang w:val="en-US" w:eastAsia="zh-CN" w:bidi="ar-SA"/>
        </w:rPr>
        <w:t>无需缴纳</w:t>
      </w:r>
    </w:p>
    <w:p w14:paraId="7193E2FE">
      <w:pPr>
        <w:pStyle w:val="3"/>
        <w:spacing w:before="0" w:after="0" w:line="390" w:lineRule="exact"/>
        <w:rPr>
          <w:rFonts w:ascii="宋体" w:hAnsi="宋体" w:eastAsia="宋体" w:cs="宋体"/>
          <w:color w:val="auto"/>
          <w:sz w:val="24"/>
          <w:szCs w:val="24"/>
        </w:rPr>
      </w:pPr>
      <w:r>
        <w:rPr>
          <w:rFonts w:hint="eastAsia" w:ascii="宋体" w:hAnsi="宋体" w:eastAsia="宋体" w:cs="宋体"/>
          <w:color w:val="auto"/>
          <w:sz w:val="24"/>
          <w:szCs w:val="24"/>
        </w:rPr>
        <w:t>五、《响应文件》的递交</w:t>
      </w:r>
      <w:bookmarkEnd w:id="36"/>
      <w:bookmarkEnd w:id="37"/>
    </w:p>
    <w:p w14:paraId="2371F52E">
      <w:pPr>
        <w:spacing w:line="390" w:lineRule="exact"/>
        <w:rPr>
          <w:rFonts w:ascii="宋体" w:hAnsi="宋体" w:cs="宋体"/>
          <w:b/>
          <w:bCs/>
          <w:color w:val="auto"/>
          <w:sz w:val="24"/>
        </w:rPr>
      </w:pPr>
      <w:r>
        <w:rPr>
          <w:rFonts w:hint="eastAsia" w:ascii="宋体" w:hAnsi="宋体" w:cs="宋体"/>
          <w:b/>
          <w:bCs/>
          <w:color w:val="auto"/>
          <w:sz w:val="24"/>
        </w:rPr>
        <w:t>13、《响应文件》的密封与标记</w:t>
      </w:r>
    </w:p>
    <w:p w14:paraId="42E2DFE3">
      <w:pPr>
        <w:spacing w:line="390" w:lineRule="exact"/>
        <w:ind w:firstLine="480" w:firstLineChars="200"/>
        <w:rPr>
          <w:rFonts w:ascii="宋体" w:hAnsi="宋体" w:cs="宋体"/>
          <w:color w:val="auto"/>
          <w:sz w:val="24"/>
        </w:rPr>
      </w:pPr>
      <w:r>
        <w:rPr>
          <w:rFonts w:hint="eastAsia" w:ascii="宋体" w:hAnsi="宋体" w:cs="宋体"/>
          <w:color w:val="auto"/>
          <w:sz w:val="24"/>
        </w:rPr>
        <w:t>13.1供应商进行电子交易应安装客户端软件“广西政府采购云平台客户端”，并按照磋商文件和电子交易平台的要求编制并加密响应文件。供应商未按规定加密的响应文件，电子交易平台 将拒收并提示。</w:t>
      </w:r>
    </w:p>
    <w:p w14:paraId="78082613">
      <w:pPr>
        <w:spacing w:line="390" w:lineRule="exact"/>
        <w:ind w:firstLine="480" w:firstLineChars="200"/>
        <w:rPr>
          <w:rFonts w:ascii="宋体" w:hAnsi="宋体" w:cs="宋体"/>
          <w:color w:val="auto"/>
          <w:sz w:val="24"/>
        </w:rPr>
      </w:pPr>
      <w:r>
        <w:rPr>
          <w:rFonts w:hint="eastAsia" w:ascii="宋体" w:hAnsi="宋体" w:cs="宋体"/>
          <w:color w:val="auto"/>
          <w:sz w:val="24"/>
        </w:rPr>
        <w:t>13.2使用“广西政府采购云平台客户端”需要提前申领 CA 数字证书，申领流程见本项目采购公告。</w:t>
      </w:r>
    </w:p>
    <w:p w14:paraId="2FB777CE">
      <w:pPr>
        <w:spacing w:line="390" w:lineRule="exact"/>
        <w:ind w:firstLine="480" w:firstLineChars="200"/>
        <w:rPr>
          <w:rFonts w:ascii="宋体" w:hAnsi="宋体" w:cs="宋体"/>
          <w:color w:val="auto"/>
          <w:sz w:val="24"/>
        </w:rPr>
      </w:pPr>
      <w:r>
        <w:rPr>
          <w:rFonts w:hint="eastAsia" w:ascii="宋体" w:hAnsi="宋体" w:cs="宋体"/>
          <w:color w:val="auto"/>
          <w:sz w:val="24"/>
        </w:rPr>
        <w:t>13.3为确保网上操作合法、有效和安全，供应商应当在响应文件提交截止时间前完成在“政府采购云平台”的身份认证，确保在电子交易过程中能够对相关数据电文进行加密和使用电子签名。</w:t>
      </w:r>
    </w:p>
    <w:p w14:paraId="646E71F4">
      <w:pPr>
        <w:spacing w:line="390" w:lineRule="exact"/>
        <w:rPr>
          <w:rFonts w:ascii="宋体" w:hAnsi="宋体" w:cs="宋体"/>
          <w:b/>
          <w:bCs/>
          <w:color w:val="auto"/>
          <w:sz w:val="24"/>
        </w:rPr>
      </w:pPr>
      <w:r>
        <w:rPr>
          <w:rFonts w:hint="eastAsia" w:ascii="宋体" w:hAnsi="宋体" w:cs="宋体"/>
          <w:b/>
          <w:bCs/>
          <w:color w:val="auto"/>
          <w:sz w:val="24"/>
        </w:rPr>
        <w:t xml:space="preserve">14、磋商截止时间  </w:t>
      </w:r>
    </w:p>
    <w:p w14:paraId="7931E7B8">
      <w:pPr>
        <w:spacing w:line="390" w:lineRule="exact"/>
        <w:ind w:firstLine="480" w:firstLineChars="200"/>
        <w:rPr>
          <w:rFonts w:ascii="宋体" w:hAnsi="宋体" w:cs="宋体"/>
          <w:color w:val="auto"/>
          <w:sz w:val="24"/>
          <w:u w:val="single"/>
        </w:rPr>
      </w:pPr>
      <w:r>
        <w:rPr>
          <w:rFonts w:hint="eastAsia" w:ascii="宋体" w:hAnsi="宋体" w:cs="宋体"/>
          <w:color w:val="auto"/>
          <w:sz w:val="24"/>
        </w:rPr>
        <w:t>14.1《响应文件》的递交不得迟于本须知前附表第11项规定的截止时间。</w:t>
      </w:r>
    </w:p>
    <w:p w14:paraId="4065D197">
      <w:pPr>
        <w:spacing w:line="390" w:lineRule="exact"/>
        <w:ind w:firstLine="480" w:firstLineChars="200"/>
        <w:rPr>
          <w:rFonts w:ascii="宋体" w:hAnsi="宋体" w:cs="宋体"/>
          <w:color w:val="auto"/>
          <w:sz w:val="24"/>
        </w:rPr>
      </w:pPr>
      <w:r>
        <w:rPr>
          <w:rFonts w:hint="eastAsia" w:ascii="宋体" w:hAnsi="宋体" w:cs="宋体"/>
          <w:color w:val="auto"/>
          <w:sz w:val="24"/>
        </w:rPr>
        <w:t>14.2磋商供应商必须在规定时间内将《响应文件》送到本须知前附表第11项规定地点，</w:t>
      </w:r>
      <w:r>
        <w:rPr>
          <w:rFonts w:hint="eastAsia" w:hAnsi="宋体" w:cs="宋体"/>
          <w:color w:val="auto"/>
          <w:sz w:val="24"/>
        </w:rPr>
        <w:t>采购代理机构不可视情况延长提交响应文件的截止时间，</w:t>
      </w:r>
      <w:r>
        <w:rPr>
          <w:rFonts w:hint="eastAsia" w:ascii="宋体" w:hAnsi="宋体" w:cs="宋体"/>
          <w:color w:val="auto"/>
          <w:sz w:val="24"/>
        </w:rPr>
        <w:t>超过磋商截止时间送达的《响应文件》将不予受理。</w:t>
      </w:r>
    </w:p>
    <w:p w14:paraId="79C8C981">
      <w:pPr>
        <w:spacing w:line="390" w:lineRule="exact"/>
        <w:ind w:firstLine="480" w:firstLineChars="200"/>
        <w:rPr>
          <w:rFonts w:hAnsi="宋体" w:cs="宋体"/>
          <w:color w:val="auto"/>
          <w:sz w:val="24"/>
        </w:rPr>
      </w:pPr>
      <w:r>
        <w:rPr>
          <w:rFonts w:hint="eastAsia" w:ascii="宋体" w:hAnsi="宋体" w:cs="宋体"/>
          <w:color w:val="auto"/>
          <w:sz w:val="24"/>
        </w:rPr>
        <w:t>14.3磋商供应商应当在开标截止时间前，将生成的“电子加密响应文件”上传递交至广西政府采购云平台。响应文件递交截止时间前可以补充、修改或者撤回电子磋商响应文件。补充或者修改电子磋商响应文件的，应当先行撤回原文件，补充、修改后重新传输递交，开标截止时间前未完成传输的，视为撤回响应文件。在《响应文件》提交截止时间以后，不能补充、修改响应文件。截止时间后可向采购人、采购代理机构书面申请撤回电子响应文件。</w:t>
      </w:r>
    </w:p>
    <w:p w14:paraId="62514DF2">
      <w:pPr>
        <w:spacing w:line="390" w:lineRule="exact"/>
        <w:ind w:firstLine="480" w:firstLineChars="200"/>
        <w:rPr>
          <w:rFonts w:ascii="宋体" w:hAnsi="宋体" w:cs="宋体"/>
          <w:color w:val="auto"/>
          <w:sz w:val="24"/>
        </w:rPr>
      </w:pPr>
      <w:r>
        <w:rPr>
          <w:rFonts w:hint="eastAsia" w:ascii="宋体" w:hAnsi="宋体" w:cs="宋体"/>
          <w:color w:val="auto"/>
          <w:sz w:val="24"/>
        </w:rPr>
        <w:t>14.4电子交易平台收到响应文件，将妥善保存并即时向供应商发出确认回执通知。在响应文件提交截止时间前，除供应商补充、修改或者撤回响应文件外，任何单位和个人不得解密或提取响应文件。</w:t>
      </w:r>
    </w:p>
    <w:p w14:paraId="713BB5BE">
      <w:pPr>
        <w:spacing w:line="390" w:lineRule="exact"/>
        <w:ind w:firstLine="480" w:firstLineChars="200"/>
        <w:rPr>
          <w:color w:val="auto"/>
        </w:rPr>
      </w:pPr>
      <w:r>
        <w:rPr>
          <w:rFonts w:hint="eastAsia" w:ascii="宋体" w:hAnsi="宋体" w:cs="宋体"/>
          <w:color w:val="auto"/>
          <w:sz w:val="24"/>
        </w:rPr>
        <w:t>14.5响应文件提交截止时间止提交响应文件的供应商不足 3 家时，电子响应文件由代理机构在“政采云”平台操作退回，除此之外采购人和采购代理机构对已提交的电子响应文件概不退回。</w:t>
      </w:r>
    </w:p>
    <w:p w14:paraId="2CA8C091">
      <w:pPr>
        <w:pStyle w:val="3"/>
        <w:spacing w:before="0" w:after="0" w:line="390" w:lineRule="exact"/>
        <w:rPr>
          <w:rFonts w:ascii="宋体" w:hAnsi="宋体" w:eastAsia="宋体" w:cs="宋体"/>
          <w:color w:val="auto"/>
          <w:sz w:val="24"/>
          <w:szCs w:val="24"/>
        </w:rPr>
      </w:pPr>
      <w:bookmarkStart w:id="38" w:name="_Toc459103903"/>
    </w:p>
    <w:p w14:paraId="4DD1D429">
      <w:pPr>
        <w:pStyle w:val="3"/>
        <w:spacing w:before="0" w:after="0" w:line="390" w:lineRule="exact"/>
        <w:rPr>
          <w:rFonts w:ascii="宋体" w:hAnsi="宋体" w:eastAsia="宋体" w:cs="宋体"/>
          <w:color w:val="auto"/>
          <w:sz w:val="24"/>
          <w:szCs w:val="24"/>
        </w:rPr>
      </w:pPr>
      <w:bookmarkStart w:id="39" w:name="_Toc86935818"/>
      <w:r>
        <w:rPr>
          <w:rFonts w:hint="eastAsia" w:ascii="宋体" w:hAnsi="宋体" w:eastAsia="宋体" w:cs="宋体"/>
          <w:color w:val="auto"/>
          <w:sz w:val="24"/>
          <w:szCs w:val="24"/>
        </w:rPr>
        <w:t>六、竞争性磋商与评标</w:t>
      </w:r>
      <w:bookmarkEnd w:id="38"/>
      <w:bookmarkEnd w:id="39"/>
    </w:p>
    <w:p w14:paraId="442CD778">
      <w:pPr>
        <w:spacing w:line="390" w:lineRule="exact"/>
        <w:rPr>
          <w:rFonts w:ascii="宋体" w:hAnsi="宋体" w:cs="宋体"/>
          <w:b/>
          <w:bCs/>
          <w:color w:val="auto"/>
          <w:sz w:val="24"/>
        </w:rPr>
      </w:pPr>
      <w:r>
        <w:rPr>
          <w:rFonts w:hint="eastAsia" w:ascii="宋体" w:hAnsi="宋体" w:cs="宋体"/>
          <w:b/>
          <w:bCs/>
          <w:color w:val="auto"/>
          <w:sz w:val="24"/>
        </w:rPr>
        <w:t>15.响应文件的开启</w:t>
      </w:r>
    </w:p>
    <w:p w14:paraId="408DDC7D">
      <w:pPr>
        <w:spacing w:line="390" w:lineRule="exact"/>
        <w:ind w:firstLine="480" w:firstLineChars="200"/>
        <w:rPr>
          <w:rFonts w:ascii="宋体" w:hAnsi="宋体" w:cs="宋体"/>
          <w:color w:val="auto"/>
          <w:sz w:val="24"/>
        </w:rPr>
      </w:pPr>
      <w:r>
        <w:rPr>
          <w:rFonts w:hint="eastAsia" w:ascii="宋体" w:hAnsi="宋体" w:cs="宋体"/>
          <w:color w:val="auto"/>
          <w:sz w:val="24"/>
        </w:rPr>
        <w:t>15.1响应文件由磋商小组或者采购代理机构在“供应商须知前附表”规定的时间开启。</w:t>
      </w:r>
    </w:p>
    <w:p w14:paraId="6BEC4DB9">
      <w:pPr>
        <w:spacing w:line="390" w:lineRule="exact"/>
        <w:ind w:firstLine="480" w:firstLineChars="200"/>
        <w:rPr>
          <w:rFonts w:ascii="宋体" w:hAnsi="宋体" w:cs="宋体"/>
          <w:color w:val="auto"/>
          <w:sz w:val="24"/>
        </w:rPr>
      </w:pPr>
      <w:r>
        <w:rPr>
          <w:rFonts w:hint="eastAsia" w:ascii="宋体" w:hAnsi="宋体" w:cs="宋体"/>
          <w:color w:val="auto"/>
          <w:sz w:val="24"/>
        </w:rPr>
        <w:t>15.2响应文件解密</w:t>
      </w:r>
    </w:p>
    <w:p w14:paraId="30F58CEF">
      <w:pPr>
        <w:spacing w:line="390" w:lineRule="exact"/>
        <w:ind w:firstLine="480" w:firstLineChars="200"/>
        <w:rPr>
          <w:rFonts w:ascii="宋体" w:hAnsi="宋体" w:cs="宋体"/>
          <w:color w:val="auto"/>
          <w:sz w:val="24"/>
        </w:rPr>
      </w:pPr>
      <w:r>
        <w:rPr>
          <w:rFonts w:ascii="宋体" w:hAnsi="宋体" w:cs="宋体"/>
          <w:color w:val="auto"/>
          <w:sz w:val="24"/>
        </w:rPr>
        <w:t>采购代理机构将在“供应商须知前附表”规定的时间通过电子交易平台组织响应文件开启， 采购机构依托电子交易平台发起</w:t>
      </w:r>
      <w:r>
        <w:rPr>
          <w:rFonts w:hint="eastAsia" w:ascii="宋体" w:hAnsi="宋体" w:cs="宋体"/>
          <w:color w:val="auto"/>
          <w:sz w:val="24"/>
        </w:rPr>
        <w:t>【开始解密】</w:t>
      </w:r>
      <w:r>
        <w:rPr>
          <w:rFonts w:ascii="宋体" w:hAnsi="宋体" w:cs="宋体"/>
          <w:color w:val="auto"/>
          <w:sz w:val="24"/>
        </w:rPr>
        <w:t xml:space="preserve">指令，供应商的法定代表人或其委托代理人须携带加密时所用的 CA 锁按平台提示和采购文件的规定登录到“政采云”平台电子开标大厅签到并在发起解密指令之时起 </w:t>
      </w:r>
      <w:r>
        <w:rPr>
          <w:rFonts w:hint="eastAsia" w:ascii="宋体" w:hAnsi="宋体" w:cs="宋体"/>
          <w:color w:val="auto"/>
          <w:sz w:val="24"/>
        </w:rPr>
        <w:t>30</w:t>
      </w:r>
      <w:r>
        <w:rPr>
          <w:rFonts w:ascii="宋体" w:hAnsi="宋体" w:cs="宋体"/>
          <w:color w:val="auto"/>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4"/>
        </w:rPr>
        <w:t>导致代理机构无法联系到投标人在</w:t>
      </w:r>
      <w:r>
        <w:rPr>
          <w:rFonts w:ascii="宋体" w:hAnsi="宋体" w:cs="宋体"/>
          <w:color w:val="auto"/>
          <w:sz w:val="24"/>
        </w:rPr>
        <w:t xml:space="preserve">发起解密指令之时起 </w:t>
      </w:r>
      <w:r>
        <w:rPr>
          <w:rFonts w:hint="eastAsia" w:ascii="宋体" w:hAnsi="宋体" w:cs="宋体"/>
          <w:color w:val="auto"/>
          <w:sz w:val="24"/>
        </w:rPr>
        <w:t>30</w:t>
      </w:r>
      <w:r>
        <w:rPr>
          <w:rFonts w:ascii="宋体" w:hAnsi="宋体" w:cs="宋体"/>
          <w:color w:val="auto"/>
          <w:sz w:val="24"/>
        </w:rPr>
        <w:t>分钟内完成对电子响应文件在线解密</w:t>
      </w:r>
      <w:r>
        <w:rPr>
          <w:rFonts w:hint="eastAsia" w:ascii="宋体" w:hAnsi="宋体" w:cs="宋体"/>
          <w:color w:val="auto"/>
          <w:sz w:val="24"/>
        </w:rPr>
        <w:t>的，均视为无效投标</w:t>
      </w:r>
      <w:r>
        <w:rPr>
          <w:rFonts w:ascii="宋体" w:hAnsi="宋体" w:cs="宋体"/>
          <w:color w:val="auto"/>
          <w:sz w:val="24"/>
        </w:rPr>
        <w:t xml:space="preserve">。（解密异常情况处理：详见本章 </w:t>
      </w:r>
      <w:r>
        <w:rPr>
          <w:rFonts w:hint="eastAsia" w:ascii="宋体" w:hAnsi="宋体" w:cs="宋体"/>
          <w:color w:val="auto"/>
          <w:sz w:val="24"/>
        </w:rPr>
        <w:t>15.3</w:t>
      </w:r>
      <w:r>
        <w:rPr>
          <w:rFonts w:ascii="宋体" w:hAnsi="宋体" w:cs="宋体"/>
          <w:color w:val="auto"/>
          <w:sz w:val="24"/>
        </w:rPr>
        <w:t xml:space="preserve"> 电子交易活动的中止。） </w:t>
      </w:r>
    </w:p>
    <w:p w14:paraId="588C4FE5">
      <w:pPr>
        <w:spacing w:line="390" w:lineRule="exact"/>
        <w:ind w:firstLine="480" w:firstLineChars="200"/>
        <w:rPr>
          <w:rFonts w:ascii="宋体" w:hAnsi="宋体" w:cs="宋体"/>
          <w:color w:val="auto"/>
          <w:sz w:val="24"/>
        </w:rPr>
      </w:pPr>
      <w:r>
        <w:rPr>
          <w:rFonts w:ascii="宋体" w:hAnsi="宋体" w:cs="宋体"/>
          <w:color w:val="auto"/>
          <w:sz w:val="24"/>
        </w:rPr>
        <w:t>如供应商成功解密响应文件，但未在“政采云”电子开标大厅参加谈判的，视同认可</w:t>
      </w:r>
      <w:r>
        <w:rPr>
          <w:rFonts w:hint="eastAsia" w:ascii="宋体" w:hAnsi="宋体" w:cs="宋体"/>
          <w:color w:val="auto"/>
          <w:sz w:val="24"/>
        </w:rPr>
        <w:t>磋商</w:t>
      </w:r>
      <w:r>
        <w:rPr>
          <w:rFonts w:ascii="宋体" w:hAnsi="宋体" w:cs="宋体"/>
          <w:color w:val="auto"/>
          <w:sz w:val="24"/>
        </w:rPr>
        <w:t>过程和结果，由此产生的后果由供应商自行负责。参与</w:t>
      </w:r>
      <w:r>
        <w:rPr>
          <w:rFonts w:hint="eastAsia" w:ascii="宋体" w:hAnsi="宋体" w:cs="宋体"/>
          <w:color w:val="auto"/>
          <w:sz w:val="24"/>
        </w:rPr>
        <w:t>磋商</w:t>
      </w:r>
      <w:r>
        <w:rPr>
          <w:rFonts w:ascii="宋体" w:hAnsi="宋体" w:cs="宋体"/>
          <w:color w:val="auto"/>
          <w:sz w:val="24"/>
        </w:rPr>
        <w:t>的供应商不足3 家的，不得</w:t>
      </w:r>
      <w:r>
        <w:rPr>
          <w:rFonts w:hint="eastAsia" w:ascii="宋体" w:hAnsi="宋体" w:cs="宋体"/>
          <w:color w:val="auto"/>
          <w:sz w:val="24"/>
        </w:rPr>
        <w:t>继续磋商</w:t>
      </w:r>
      <w:r>
        <w:rPr>
          <w:rFonts w:ascii="宋体" w:hAnsi="宋体" w:cs="宋体"/>
          <w:color w:val="auto"/>
          <w:sz w:val="24"/>
        </w:rPr>
        <w:t>。</w:t>
      </w:r>
    </w:p>
    <w:p w14:paraId="2D7D33F3">
      <w:pPr>
        <w:spacing w:line="390" w:lineRule="exact"/>
        <w:ind w:firstLine="480" w:firstLineChars="200"/>
        <w:rPr>
          <w:rFonts w:ascii="宋体" w:hAnsi="宋体" w:cs="宋体"/>
          <w:color w:val="auto"/>
          <w:sz w:val="24"/>
        </w:rPr>
      </w:pPr>
      <w:r>
        <w:rPr>
          <w:rFonts w:hint="eastAsia" w:ascii="宋体" w:hAnsi="宋体" w:cs="宋体"/>
          <w:color w:val="auto"/>
          <w:sz w:val="24"/>
        </w:rPr>
        <w:t>15.3电子交易活动的中止</w:t>
      </w:r>
    </w:p>
    <w:p w14:paraId="62E6FD5E">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采购过程中出现以下情形，导致电子交易平台无法正常运行， 或者无法保证电子交易的公平、公正和安全时，采购机构可中止电子交易活动： </w:t>
      </w:r>
    </w:p>
    <w:p w14:paraId="06496226">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（1）电子交易平台发生故障而无法登录访问的； </w:t>
      </w:r>
    </w:p>
    <w:p w14:paraId="6E80752B">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（2）电子交易平台应用或数据库出现错误，不能进行正常操作的； </w:t>
      </w:r>
    </w:p>
    <w:p w14:paraId="363BBA06">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（3）电子交易平台发现严重安全漏洞，有潜在泄密危险的； </w:t>
      </w:r>
    </w:p>
    <w:p w14:paraId="0C004C93">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（4）病毒发作导致不能进行正常操作的； </w:t>
      </w:r>
    </w:p>
    <w:p w14:paraId="067825D8">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（5）其他无法保证电子交易的公平、公正和安全的情况 </w:t>
      </w:r>
    </w:p>
    <w:p w14:paraId="762AD13E">
      <w:pPr>
        <w:spacing w:line="390" w:lineRule="exact"/>
        <w:ind w:firstLine="480" w:firstLineChars="200"/>
        <w:rPr>
          <w:color w:val="auto"/>
        </w:rPr>
      </w:pPr>
      <w:r>
        <w:rPr>
          <w:rFonts w:hint="eastAsia" w:ascii="宋体" w:hAnsi="宋体" w:cs="宋体"/>
          <w:color w:val="auto"/>
          <w:sz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68018972">
      <w:pPr>
        <w:spacing w:line="390" w:lineRule="exact"/>
        <w:rPr>
          <w:rFonts w:ascii="宋体" w:hAnsi="宋体" w:cs="宋体"/>
          <w:b/>
          <w:bCs/>
          <w:color w:val="auto"/>
          <w:sz w:val="24"/>
        </w:rPr>
      </w:pPr>
      <w:r>
        <w:rPr>
          <w:rFonts w:hint="eastAsia" w:ascii="宋体" w:hAnsi="宋体" w:cs="宋体"/>
          <w:b/>
          <w:bCs/>
          <w:color w:val="auto"/>
          <w:sz w:val="24"/>
        </w:rPr>
        <w:t>16、磋商</w:t>
      </w:r>
    </w:p>
    <w:p w14:paraId="6D3CBB97">
      <w:pPr>
        <w:spacing w:line="400" w:lineRule="exact"/>
        <w:ind w:firstLine="480" w:firstLineChars="200"/>
        <w:rPr>
          <w:rFonts w:ascii="宋体" w:hAnsi="宋体" w:cs="宋体"/>
          <w:color w:val="auto"/>
          <w:sz w:val="24"/>
        </w:rPr>
      </w:pPr>
      <w:r>
        <w:rPr>
          <w:rFonts w:hint="eastAsia" w:ascii="宋体" w:hAnsi="宋体" w:cs="宋体"/>
          <w:color w:val="auto"/>
          <w:sz w:val="24"/>
        </w:rPr>
        <w:t>16.1磋商时间及地点：截标后为与磋商供应商的磋商时间，磋商地点为“政采云”平台电子开标大厅。</w:t>
      </w:r>
    </w:p>
    <w:p w14:paraId="30303BC3">
      <w:pPr>
        <w:spacing w:line="390" w:lineRule="exact"/>
        <w:ind w:firstLine="480" w:firstLineChars="200"/>
        <w:rPr>
          <w:rFonts w:ascii="宋体" w:hAnsi="宋体" w:cs="宋体"/>
          <w:color w:val="auto"/>
          <w:sz w:val="24"/>
        </w:rPr>
      </w:pPr>
      <w:r>
        <w:rPr>
          <w:rFonts w:hint="eastAsia" w:ascii="宋体" w:hAnsi="宋体" w:cs="宋体"/>
          <w:color w:val="auto"/>
          <w:sz w:val="24"/>
        </w:rPr>
        <w:t>16.2采购人根据要求依法组建竞争性磋商小组（以下简称磋商小组），磋商小组由采购人代表和评审专家共三人以上（含三人）单数组成，其中评审专家人数不少于磋商小组成员总数的2/3。评审专家由采购代理机构在广西政府采购云平台广西评审专家库内相关专业技术、经济等方面的专家名单中随机抽取。</w:t>
      </w:r>
    </w:p>
    <w:p w14:paraId="1039F0BD">
      <w:pPr>
        <w:pStyle w:val="34"/>
        <w:ind w:firstLine="480" w:firstLineChars="200"/>
        <w:rPr>
          <w:color w:val="auto"/>
          <w:sz w:val="24"/>
          <w:szCs w:val="24"/>
        </w:rPr>
      </w:pPr>
      <w:r>
        <w:rPr>
          <w:rFonts w:hint="eastAsia" w:ascii="宋体" w:hAnsi="宋体" w:cs="宋体"/>
          <w:color w:val="auto"/>
          <w:sz w:val="24"/>
          <w:szCs w:val="24"/>
        </w:rPr>
        <w:t>16.3</w:t>
      </w:r>
      <w:r>
        <w:rPr>
          <w:rFonts w:hint="eastAsia"/>
          <w:color w:val="auto"/>
          <w:sz w:val="24"/>
          <w:szCs w:val="24"/>
        </w:rPr>
        <w:t>评审专家应当遵守评审工作纪律，不得泄露评审情况和评审中获悉的商业秘密。</w:t>
      </w:r>
    </w:p>
    <w:p w14:paraId="48382F4E">
      <w:pPr>
        <w:spacing w:line="390" w:lineRule="exact"/>
        <w:ind w:firstLine="480" w:firstLineChars="200"/>
        <w:rPr>
          <w:color w:val="auto"/>
          <w:sz w:val="24"/>
        </w:rPr>
      </w:pPr>
      <w:r>
        <w:rPr>
          <w:rFonts w:hint="eastAsia" w:ascii="宋体" w:hAnsi="宋体" w:cs="宋体"/>
          <w:color w:val="auto"/>
          <w:sz w:val="24"/>
        </w:rPr>
        <w:t>16.4</w:t>
      </w:r>
      <w:r>
        <w:rPr>
          <w:rFonts w:hint="eastAsia"/>
          <w:color w:val="auto"/>
          <w:sz w:val="24"/>
        </w:rPr>
        <w:t>磋商小组成员应当按照客观、公正、审慎的原则，根据磋商文件规定的评审程序、评审方法和评审标准进行独立评审，</w:t>
      </w:r>
      <w:r>
        <w:rPr>
          <w:rFonts w:hint="eastAsia" w:ascii="宋体" w:hAnsi="宋体" w:cs="宋体"/>
          <w:color w:val="auto"/>
          <w:sz w:val="24"/>
        </w:rPr>
        <w:t>在整个磋商过程中，磋商小组将负责对全部《响应文件》进行审查、磋商及评标工作。</w:t>
      </w:r>
    </w:p>
    <w:p w14:paraId="661B66CB">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16.5采购代理机构将按照提交首次响应文件的顺序在线上通知，通知磋商时，若某供应商不在通知现场时，该供应商排序到最后磋商，按照签到的顺序由其下一位供应商先参与磋商。 </w:t>
      </w:r>
    </w:p>
    <w:p w14:paraId="4CDA3906">
      <w:pPr>
        <w:spacing w:line="390" w:lineRule="exact"/>
        <w:ind w:firstLine="480" w:firstLineChars="200"/>
        <w:rPr>
          <w:rFonts w:ascii="宋体" w:hAnsi="宋体" w:cs="宋体"/>
          <w:color w:val="auto"/>
          <w:sz w:val="24"/>
        </w:rPr>
      </w:pPr>
      <w:r>
        <w:rPr>
          <w:rFonts w:hint="eastAsia" w:ascii="宋体" w:hAnsi="宋体" w:cs="宋体"/>
          <w:color w:val="auto"/>
          <w:sz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14:paraId="48AA0F30">
      <w:pPr>
        <w:spacing w:line="390" w:lineRule="exact"/>
        <w:ind w:firstLine="480" w:firstLineChars="200"/>
        <w:rPr>
          <w:rFonts w:ascii="宋体" w:hAnsi="宋体" w:cs="宋体"/>
          <w:color w:val="auto"/>
          <w:sz w:val="24"/>
        </w:rPr>
      </w:pPr>
      <w:r>
        <w:rPr>
          <w:rFonts w:hint="eastAsia" w:ascii="宋体" w:hAnsi="宋体" w:cs="宋体"/>
          <w:color w:val="auto"/>
          <w:sz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14:paraId="193BCEEF">
      <w:pPr>
        <w:spacing w:line="390" w:lineRule="exact"/>
        <w:ind w:firstLine="480" w:firstLineChars="200"/>
        <w:rPr>
          <w:rFonts w:ascii="宋体" w:hAnsi="宋体" w:cs="宋体"/>
          <w:color w:val="auto"/>
          <w:sz w:val="24"/>
        </w:rPr>
      </w:pPr>
      <w:r>
        <w:rPr>
          <w:rFonts w:hint="eastAsia" w:ascii="宋体" w:hAnsi="宋体" w:cs="宋体"/>
          <w:color w:val="auto"/>
          <w:sz w:val="24"/>
        </w:rPr>
        <w:t>16.8最终磋商结束后，磋商小组不得再与磋商供应商进行任何形式的商谈。</w:t>
      </w:r>
    </w:p>
    <w:p w14:paraId="7AFD25ED">
      <w:pPr>
        <w:spacing w:line="390" w:lineRule="exact"/>
        <w:ind w:firstLine="480" w:firstLineChars="200"/>
        <w:rPr>
          <w:rFonts w:ascii="宋体" w:hAnsi="宋体" w:cs="宋体"/>
          <w:color w:val="auto"/>
          <w:sz w:val="24"/>
        </w:rPr>
      </w:pPr>
      <w:r>
        <w:rPr>
          <w:rFonts w:hint="eastAsia" w:ascii="宋体" w:hAnsi="宋体" w:cs="宋体"/>
          <w:color w:val="auto"/>
          <w:sz w:val="24"/>
        </w:rPr>
        <w:t>16.9磋商的任何一方不得透露与磋商有关的其他磋商供应商的技术资料、价格和其他信息。</w:t>
      </w:r>
    </w:p>
    <w:p w14:paraId="6DEEAAE1">
      <w:pPr>
        <w:spacing w:line="390" w:lineRule="exact"/>
        <w:rPr>
          <w:rFonts w:ascii="宋体" w:hAnsi="宋体" w:cs="宋体"/>
          <w:b/>
          <w:bCs/>
          <w:color w:val="auto"/>
          <w:sz w:val="24"/>
        </w:rPr>
      </w:pPr>
      <w:r>
        <w:rPr>
          <w:rFonts w:hint="eastAsia" w:ascii="宋体" w:hAnsi="宋体" w:cs="宋体"/>
          <w:b/>
          <w:bCs/>
          <w:color w:val="auto"/>
          <w:sz w:val="24"/>
        </w:rPr>
        <w:t>17、评标</w:t>
      </w:r>
    </w:p>
    <w:p w14:paraId="19123ED3">
      <w:pPr>
        <w:spacing w:line="390" w:lineRule="exact"/>
        <w:ind w:firstLine="480" w:firstLineChars="200"/>
        <w:rPr>
          <w:rFonts w:ascii="宋体" w:hAnsi="宋体" w:cs="宋体"/>
          <w:color w:val="auto"/>
          <w:sz w:val="24"/>
        </w:rPr>
      </w:pPr>
      <w:r>
        <w:rPr>
          <w:rFonts w:hint="eastAsia" w:ascii="宋体" w:hAnsi="宋体" w:cs="宋体"/>
          <w:color w:val="auto"/>
          <w:sz w:val="24"/>
        </w:rPr>
        <w:t>17.1本采购项目的评标依据为《竞争性磋商文件》和《响应文件》。</w:t>
      </w:r>
    </w:p>
    <w:p w14:paraId="4BFA29CB">
      <w:pPr>
        <w:spacing w:line="390" w:lineRule="exact"/>
        <w:ind w:firstLine="480" w:firstLineChars="200"/>
        <w:rPr>
          <w:rFonts w:ascii="宋体" w:hAnsi="宋体" w:cs="宋体"/>
          <w:color w:val="auto"/>
          <w:sz w:val="24"/>
        </w:rPr>
      </w:pPr>
      <w:r>
        <w:rPr>
          <w:rFonts w:hint="eastAsia" w:ascii="宋体" w:hAnsi="宋体" w:cs="宋体"/>
          <w:color w:val="auto"/>
          <w:sz w:val="24"/>
        </w:rPr>
        <w:t>17.2评标工作将采取</w:t>
      </w:r>
      <w:r>
        <w:rPr>
          <w:rFonts w:hint="eastAsia" w:ascii="宋体" w:hAnsi="宋体" w:cs="宋体"/>
          <w:color w:val="auto"/>
          <w:sz w:val="24"/>
          <w:u w:val="single"/>
        </w:rPr>
        <w:t>封闭方式</w:t>
      </w:r>
      <w:r>
        <w:rPr>
          <w:rFonts w:hint="eastAsia" w:ascii="宋体" w:hAnsi="宋体" w:cs="宋体"/>
          <w:color w:val="auto"/>
          <w:sz w:val="24"/>
        </w:rPr>
        <w:t>进行，磋商小组成员和有关工作人员不得透露对《响应文件》的评审、比较和成交人的确定情况以及与评标有关的其他情况。</w:t>
      </w:r>
    </w:p>
    <w:p w14:paraId="74063366">
      <w:pPr>
        <w:spacing w:line="390" w:lineRule="exact"/>
        <w:ind w:firstLine="480" w:firstLineChars="200"/>
        <w:rPr>
          <w:rFonts w:ascii="宋体" w:hAnsi="宋体" w:cs="宋体"/>
          <w:color w:val="auto"/>
          <w:sz w:val="24"/>
        </w:rPr>
      </w:pPr>
      <w:r>
        <w:rPr>
          <w:rFonts w:hint="eastAsia" w:ascii="宋体" w:hAnsi="宋体" w:cs="宋体"/>
          <w:color w:val="auto"/>
          <w:sz w:val="24"/>
        </w:rPr>
        <w:t>17.3磋商供应商在评标过程中，所进行的力图影响评标结果公正性的活动，将可能导致其成交资格被取消。</w:t>
      </w:r>
    </w:p>
    <w:p w14:paraId="032BFB1E">
      <w:pPr>
        <w:spacing w:line="390" w:lineRule="exact"/>
        <w:ind w:firstLine="480" w:firstLineChars="200"/>
        <w:rPr>
          <w:rFonts w:ascii="宋体" w:hAnsi="宋体" w:cs="宋体"/>
          <w:color w:val="auto"/>
          <w:sz w:val="24"/>
        </w:rPr>
      </w:pPr>
      <w:r>
        <w:rPr>
          <w:rFonts w:hint="eastAsia" w:ascii="宋体" w:hAnsi="宋体" w:cs="宋体"/>
          <w:color w:val="auto"/>
          <w:sz w:val="24"/>
        </w:rPr>
        <w:t>17.4磋商小组成员按照客观、公正、审慎的原则，根据磋商文件规定的评审程序、评审方法和评审标准进行独立评审。</w:t>
      </w:r>
    </w:p>
    <w:p w14:paraId="66946D68">
      <w:pPr>
        <w:spacing w:line="390" w:lineRule="exact"/>
        <w:ind w:firstLine="480" w:firstLineChars="200"/>
        <w:rPr>
          <w:rFonts w:ascii="宋体" w:hAnsi="宋体" w:cs="宋体"/>
          <w:color w:val="auto"/>
          <w:sz w:val="24"/>
        </w:rPr>
      </w:pPr>
      <w:r>
        <w:rPr>
          <w:rFonts w:hint="eastAsia" w:ascii="宋体" w:hAnsi="宋体" w:cs="宋体"/>
          <w:color w:val="auto"/>
          <w:sz w:val="24"/>
        </w:rPr>
        <w:t>17.4.1响应文件线上资格评审。资格评审分为资格性审查和符合性审查。</w:t>
      </w:r>
    </w:p>
    <w:p w14:paraId="1B31B7AC">
      <w:pPr>
        <w:spacing w:line="390" w:lineRule="exact"/>
        <w:ind w:firstLine="480" w:firstLineChars="200"/>
        <w:rPr>
          <w:rFonts w:ascii="宋体" w:hAnsi="宋体" w:cs="宋体"/>
          <w:color w:val="auto"/>
          <w:sz w:val="24"/>
        </w:rPr>
      </w:pPr>
      <w:r>
        <w:rPr>
          <w:rFonts w:hint="eastAsia" w:ascii="宋体" w:hAnsi="宋体" w:cs="宋体"/>
          <w:color w:val="auto"/>
          <w:sz w:val="24"/>
        </w:rPr>
        <w:t>(1) 资格性检查。依据法律法规和竞争性磋商文件的规定对响应文件的资质证明等进行审查，以确定供应商是否具备竞标资格。它所涉及到的主要文件和内容为磋商文件供应商须知第8条、第11条所述的资格证明文件内容和签署、盖章的合格性、合法性等（注：其中信用查询规则见“供应商须知前附表”，“政采云”平台已与“信用中国”和“中国政府采购网”平台做接口，磋商小组可直接在线查询）。如果供应商不具备竞标资格，不满足磋商文件所规定的资格标准或提供资格证明文件不全的，其竞标将被拒绝。</w:t>
      </w:r>
    </w:p>
    <w:p w14:paraId="1C38ED38">
      <w:pPr>
        <w:spacing w:line="390" w:lineRule="exact"/>
        <w:ind w:firstLine="480" w:firstLineChars="200"/>
        <w:rPr>
          <w:rFonts w:ascii="宋体" w:hAnsi="宋体" w:cs="宋体"/>
          <w:color w:val="auto"/>
          <w:sz w:val="24"/>
        </w:rPr>
      </w:pPr>
      <w:r>
        <w:rPr>
          <w:rFonts w:hint="eastAsia" w:ascii="宋体" w:hAnsi="宋体" w:cs="宋体"/>
          <w:color w:val="auto"/>
          <w:sz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3E3A6429">
      <w:pPr>
        <w:spacing w:line="390" w:lineRule="exact"/>
        <w:ind w:firstLine="480" w:firstLineChars="200"/>
        <w:rPr>
          <w:rFonts w:ascii="宋体" w:hAnsi="宋体" w:cs="宋体"/>
          <w:color w:val="auto"/>
          <w:sz w:val="24"/>
        </w:rPr>
      </w:pPr>
      <w:r>
        <w:rPr>
          <w:rFonts w:hint="eastAsia" w:ascii="宋体" w:hAnsi="宋体" w:cs="宋体"/>
          <w:color w:val="auto"/>
          <w:sz w:val="24"/>
        </w:rPr>
        <w:t>(3) 出现下列情况之一的，视为未实质性响应磋商文件的响应文件，按无效响应处理。</w:t>
      </w:r>
    </w:p>
    <w:p w14:paraId="5A63AE89">
      <w:pPr>
        <w:spacing w:line="390" w:lineRule="exact"/>
        <w:ind w:firstLine="480" w:firstLineChars="200"/>
        <w:rPr>
          <w:rFonts w:ascii="宋体" w:hAnsi="宋体" w:cs="宋体"/>
          <w:color w:val="auto"/>
          <w:sz w:val="24"/>
        </w:rPr>
      </w:pPr>
      <w:r>
        <w:rPr>
          <w:rFonts w:hint="eastAsia" w:ascii="宋体" w:hAnsi="宋体" w:cs="宋体"/>
          <w:color w:val="auto"/>
          <w:sz w:val="24"/>
        </w:rPr>
        <w:t>① 响应文件未按本须知第8条、第11条规定进行编制、签署、盖章的；</w:t>
      </w:r>
    </w:p>
    <w:p w14:paraId="7A2ED472">
      <w:pPr>
        <w:spacing w:line="390" w:lineRule="exact"/>
        <w:ind w:firstLine="480" w:firstLineChars="200"/>
        <w:rPr>
          <w:rFonts w:ascii="宋体" w:hAnsi="宋体" w:cs="宋体"/>
          <w:color w:val="auto"/>
          <w:sz w:val="24"/>
        </w:rPr>
      </w:pPr>
      <w:r>
        <w:rPr>
          <w:rFonts w:hint="eastAsia" w:ascii="宋体" w:hAnsi="宋体" w:cs="宋体"/>
          <w:color w:val="auto"/>
          <w:sz w:val="24"/>
        </w:rPr>
        <w:t>② 未按本须知第8条规定提交必须提供且有效的证明文件的；</w:t>
      </w:r>
    </w:p>
    <w:p w14:paraId="110D1E7B">
      <w:pPr>
        <w:spacing w:line="390" w:lineRule="exact"/>
        <w:ind w:firstLine="480" w:firstLineChars="200"/>
        <w:rPr>
          <w:rFonts w:ascii="宋体" w:hAnsi="宋体" w:cs="宋体"/>
          <w:color w:val="auto"/>
          <w:sz w:val="24"/>
        </w:rPr>
      </w:pPr>
      <w:r>
        <w:rPr>
          <w:rFonts w:hint="eastAsia" w:ascii="宋体" w:hAnsi="宋体" w:cs="宋体"/>
          <w:color w:val="auto"/>
          <w:sz w:val="24"/>
        </w:rPr>
        <w:t>③ 未按有关要求提交或足额提交磋商保证金的；</w:t>
      </w:r>
    </w:p>
    <w:p w14:paraId="306917B8">
      <w:pPr>
        <w:spacing w:line="390" w:lineRule="exact"/>
        <w:ind w:firstLine="480" w:firstLineChars="200"/>
        <w:rPr>
          <w:rFonts w:ascii="宋体" w:hAnsi="宋体" w:cs="宋体"/>
          <w:color w:val="auto"/>
          <w:sz w:val="24"/>
        </w:rPr>
      </w:pPr>
      <w:r>
        <w:rPr>
          <w:rFonts w:hint="eastAsia" w:ascii="宋体" w:hAnsi="宋体" w:cs="宋体"/>
          <w:color w:val="auto"/>
          <w:sz w:val="24"/>
        </w:rPr>
        <w:t>④ 磋商有效期不满足磋商文件要求的；</w:t>
      </w:r>
    </w:p>
    <w:p w14:paraId="7477923C">
      <w:pPr>
        <w:spacing w:line="390" w:lineRule="exact"/>
        <w:ind w:firstLine="480" w:firstLineChars="200"/>
        <w:rPr>
          <w:rFonts w:ascii="宋体" w:hAnsi="宋体" w:cs="宋体"/>
          <w:color w:val="auto"/>
          <w:sz w:val="24"/>
        </w:rPr>
      </w:pPr>
      <w:r>
        <w:rPr>
          <w:rFonts w:hint="eastAsia" w:ascii="宋体" w:hAnsi="宋体" w:cs="宋体"/>
          <w:color w:val="auto"/>
          <w:sz w:val="24"/>
        </w:rPr>
        <w:t>⑤ 响应文件的关键内容字迹模糊、无法辨认的；</w:t>
      </w:r>
    </w:p>
    <w:p w14:paraId="4A300F1E">
      <w:pPr>
        <w:spacing w:line="390" w:lineRule="exact"/>
        <w:ind w:firstLine="480" w:firstLineChars="200"/>
        <w:rPr>
          <w:rFonts w:ascii="宋体" w:hAnsi="宋体" w:cs="宋体"/>
          <w:color w:val="auto"/>
          <w:sz w:val="24"/>
        </w:rPr>
      </w:pPr>
      <w:r>
        <w:rPr>
          <w:rFonts w:hint="eastAsia" w:ascii="宋体" w:hAnsi="宋体" w:cs="宋体"/>
          <w:color w:val="auto"/>
          <w:sz w:val="24"/>
        </w:rPr>
        <w:t>⑥供应商提交的是可选择的报价的，或最后报价超过采购预算价的；</w:t>
      </w:r>
    </w:p>
    <w:p w14:paraId="413B789B">
      <w:pPr>
        <w:spacing w:line="390" w:lineRule="exact"/>
        <w:ind w:firstLine="480" w:firstLineChars="200"/>
        <w:rPr>
          <w:rFonts w:ascii="宋体" w:hAnsi="宋体" w:cs="宋体"/>
          <w:color w:val="auto"/>
          <w:sz w:val="24"/>
        </w:rPr>
      </w:pPr>
      <w:r>
        <w:rPr>
          <w:rFonts w:hint="eastAsia" w:ascii="宋体" w:hAnsi="宋体" w:cs="宋体"/>
          <w:color w:val="auto"/>
          <w:sz w:val="24"/>
        </w:rPr>
        <w:t>⑦竞标内容与采购内容及要求存在重大偏离或保留的（如严重背离采购需求、合同协议要求等）；</w:t>
      </w:r>
    </w:p>
    <w:p w14:paraId="253926E9">
      <w:pPr>
        <w:spacing w:line="390" w:lineRule="exact"/>
        <w:ind w:firstLine="480" w:firstLineChars="200"/>
        <w:rPr>
          <w:rFonts w:ascii="宋体" w:hAnsi="宋体" w:cs="宋体"/>
          <w:color w:val="auto"/>
          <w:sz w:val="24"/>
        </w:rPr>
      </w:pPr>
      <w:r>
        <w:rPr>
          <w:rFonts w:hint="eastAsia" w:ascii="宋体" w:hAnsi="宋体" w:cs="宋体"/>
          <w:color w:val="auto"/>
          <w:sz w:val="24"/>
        </w:rPr>
        <w:t>⑧ 响应文件中提供虚假或失实资料的；</w:t>
      </w:r>
    </w:p>
    <w:p w14:paraId="1A7FE225">
      <w:pPr>
        <w:spacing w:line="390" w:lineRule="exact"/>
        <w:ind w:firstLine="480" w:firstLineChars="200"/>
        <w:rPr>
          <w:rFonts w:ascii="宋体" w:hAnsi="宋体" w:cs="宋体"/>
          <w:color w:val="auto"/>
          <w:sz w:val="24"/>
        </w:rPr>
      </w:pPr>
      <w:r>
        <w:rPr>
          <w:rFonts w:hint="eastAsia" w:ascii="宋体" w:hAnsi="宋体" w:cs="宋体"/>
          <w:color w:val="auto"/>
          <w:sz w:val="24"/>
        </w:rPr>
        <w:t>⑨ 不符合有关法律、法规和磋商文件中规定的其他实质性条款。</w:t>
      </w:r>
    </w:p>
    <w:p w14:paraId="01373C79">
      <w:pPr>
        <w:spacing w:line="390" w:lineRule="exact"/>
        <w:ind w:firstLine="480" w:firstLineChars="200"/>
        <w:rPr>
          <w:rFonts w:ascii="宋体" w:hAnsi="宋体" w:cs="宋体"/>
          <w:color w:val="auto"/>
          <w:sz w:val="24"/>
        </w:rPr>
      </w:pPr>
      <w:r>
        <w:rPr>
          <w:rFonts w:hint="eastAsia" w:ascii="宋体" w:hAnsi="宋体" w:cs="宋体"/>
          <w:color w:val="auto"/>
          <w:sz w:val="24"/>
        </w:rPr>
        <w:t>17.4.2澄清有关问题。</w:t>
      </w:r>
    </w:p>
    <w:p w14:paraId="49AB827A">
      <w:pPr>
        <w:spacing w:line="390" w:lineRule="exact"/>
        <w:ind w:firstLine="480" w:firstLineChars="200"/>
        <w:rPr>
          <w:rFonts w:ascii="宋体" w:hAnsi="宋体" w:cs="宋体"/>
          <w:color w:val="auto"/>
          <w:sz w:val="24"/>
        </w:rPr>
      </w:pPr>
      <w:r>
        <w:rPr>
          <w:rFonts w:hint="eastAsia" w:ascii="宋体" w:hAnsi="宋体" w:cs="宋体"/>
          <w:color w:val="auto"/>
          <w:sz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89C694">
      <w:pPr>
        <w:spacing w:line="390" w:lineRule="exact"/>
        <w:ind w:firstLine="480" w:firstLineChars="200"/>
        <w:rPr>
          <w:rFonts w:ascii="宋体" w:hAnsi="宋体" w:cs="宋体"/>
          <w:color w:val="auto"/>
          <w:sz w:val="24"/>
        </w:rPr>
      </w:pPr>
      <w:r>
        <w:rPr>
          <w:rFonts w:hint="eastAsia" w:ascii="宋体" w:hAnsi="宋体" w:cs="宋体"/>
          <w:color w:val="auto"/>
          <w:sz w:val="24"/>
        </w:rPr>
        <w:t>(2)磋商小组要求供应商澄清、说明或者更正响应文件应当以在线询标形式作出。供应商的澄清、说明或者更正应当由法定代表人或委托代理人签名或盖电子公章。由授权代表签字的，应当附法定代表人授权书。</w:t>
      </w:r>
    </w:p>
    <w:p w14:paraId="02747F46">
      <w:pPr>
        <w:spacing w:line="390" w:lineRule="exact"/>
        <w:ind w:firstLine="480" w:firstLineChars="200"/>
        <w:rPr>
          <w:rFonts w:ascii="宋体" w:hAnsi="宋体" w:cs="宋体"/>
          <w:color w:val="auto"/>
          <w:sz w:val="24"/>
        </w:rPr>
      </w:pPr>
      <w:r>
        <w:rPr>
          <w:rFonts w:hint="eastAsia" w:ascii="宋体" w:hAnsi="宋体" w:cs="宋体"/>
          <w:color w:val="auto"/>
          <w:sz w:val="24"/>
        </w:rPr>
        <w:t>(3)响应文件如果出现计算或表达上的错误，修正错误的原则如下：</w:t>
      </w:r>
    </w:p>
    <w:p w14:paraId="013B6F40">
      <w:pPr>
        <w:spacing w:line="390" w:lineRule="exact"/>
        <w:ind w:firstLine="480" w:firstLineChars="200"/>
        <w:rPr>
          <w:rFonts w:ascii="宋体" w:hAnsi="宋体" w:cs="宋体"/>
          <w:color w:val="auto"/>
          <w:sz w:val="24"/>
        </w:rPr>
      </w:pPr>
      <w:r>
        <w:rPr>
          <w:rFonts w:hint="eastAsia" w:ascii="宋体" w:hAnsi="宋体" w:cs="宋体"/>
          <w:color w:val="auto"/>
          <w:sz w:val="24"/>
        </w:rPr>
        <w:t>① 响应文件中《竞标函附录》与《竞标函》内容不一致的，以《竞标函附录》为准。</w:t>
      </w:r>
    </w:p>
    <w:p w14:paraId="0F43C2FE">
      <w:pPr>
        <w:spacing w:line="390" w:lineRule="exact"/>
        <w:ind w:firstLine="480" w:firstLineChars="200"/>
        <w:rPr>
          <w:rFonts w:ascii="宋体" w:hAnsi="宋体" w:cs="宋体"/>
          <w:color w:val="auto"/>
          <w:sz w:val="24"/>
        </w:rPr>
      </w:pPr>
      <w:r>
        <w:rPr>
          <w:rFonts w:hint="eastAsia" w:ascii="宋体" w:hAnsi="宋体" w:cs="宋体"/>
          <w:color w:val="auto"/>
          <w:sz w:val="24"/>
        </w:rPr>
        <w:t>② 响应文件的大写金额和小写金额不一致的，以大写金额为准；</w:t>
      </w:r>
    </w:p>
    <w:p w14:paraId="103AEB2B">
      <w:pPr>
        <w:spacing w:line="390" w:lineRule="exact"/>
        <w:ind w:firstLine="480" w:firstLineChars="200"/>
        <w:rPr>
          <w:rFonts w:ascii="宋体" w:hAnsi="宋体" w:cs="宋体"/>
          <w:color w:val="auto"/>
          <w:sz w:val="24"/>
        </w:rPr>
      </w:pPr>
      <w:r>
        <w:rPr>
          <w:rFonts w:hint="eastAsia" w:ascii="宋体" w:hAnsi="宋体" w:cs="宋体"/>
          <w:color w:val="auto"/>
          <w:sz w:val="24"/>
        </w:rPr>
        <w:t>③ 总价金额与按单价汇总金额不一致的，以单价金额计算结果为准；</w:t>
      </w:r>
    </w:p>
    <w:p w14:paraId="2D7F8B8C">
      <w:pPr>
        <w:spacing w:line="390" w:lineRule="exact"/>
        <w:ind w:firstLine="480" w:firstLineChars="200"/>
        <w:rPr>
          <w:rFonts w:ascii="宋体" w:hAnsi="宋体" w:cs="宋体"/>
          <w:color w:val="auto"/>
          <w:sz w:val="24"/>
        </w:rPr>
      </w:pPr>
      <w:r>
        <w:rPr>
          <w:rFonts w:hint="eastAsia" w:ascii="宋体" w:hAnsi="宋体" w:cs="宋体"/>
          <w:color w:val="auto"/>
          <w:sz w:val="24"/>
        </w:rPr>
        <w:t>④ 单价金额小数点有明显错位的，应以总价为准，并修改单价；</w:t>
      </w:r>
    </w:p>
    <w:p w14:paraId="2CA2549F">
      <w:pPr>
        <w:spacing w:line="390" w:lineRule="exact"/>
        <w:ind w:firstLine="480" w:firstLineChars="200"/>
        <w:rPr>
          <w:rFonts w:ascii="宋体" w:hAnsi="宋体" w:cs="宋体"/>
          <w:color w:val="auto"/>
          <w:sz w:val="24"/>
        </w:rPr>
      </w:pPr>
      <w:r>
        <w:rPr>
          <w:rFonts w:hint="eastAsia" w:ascii="宋体" w:hAnsi="宋体" w:cs="宋体"/>
          <w:color w:val="auto"/>
          <w:sz w:val="24"/>
        </w:rPr>
        <w:t>⑤ 对不同文字文本响应文件的解释发生异议的，以中文文本为准。</w:t>
      </w:r>
    </w:p>
    <w:p w14:paraId="493AE03B">
      <w:pPr>
        <w:spacing w:line="390" w:lineRule="exact"/>
        <w:ind w:firstLine="480" w:firstLineChars="200"/>
        <w:rPr>
          <w:rFonts w:ascii="宋体" w:hAnsi="宋体" w:cs="宋体"/>
          <w:color w:val="auto"/>
          <w:sz w:val="24"/>
        </w:rPr>
      </w:pPr>
      <w:r>
        <w:rPr>
          <w:rFonts w:hint="eastAsia" w:ascii="宋体" w:hAnsi="宋体" w:cs="宋体"/>
          <w:color w:val="auto"/>
          <w:sz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67475342">
      <w:pPr>
        <w:spacing w:line="390" w:lineRule="exact"/>
        <w:ind w:firstLine="480" w:firstLineChars="200"/>
        <w:rPr>
          <w:rFonts w:ascii="宋体" w:hAnsi="宋体" w:cs="宋体"/>
          <w:color w:val="auto"/>
          <w:sz w:val="24"/>
        </w:rPr>
      </w:pPr>
      <w:r>
        <w:rPr>
          <w:rFonts w:hint="eastAsia" w:ascii="宋体" w:hAnsi="宋体" w:cs="宋体"/>
          <w:color w:val="auto"/>
          <w:sz w:val="24"/>
        </w:rPr>
        <w:t>17.4.3磋商过程。</w:t>
      </w:r>
    </w:p>
    <w:p w14:paraId="309D8BBB">
      <w:pPr>
        <w:spacing w:line="390" w:lineRule="exact"/>
        <w:ind w:firstLine="480" w:firstLineChars="200"/>
        <w:rPr>
          <w:rFonts w:ascii="宋体" w:hAnsi="宋体" w:cs="宋体"/>
          <w:color w:val="auto"/>
          <w:sz w:val="24"/>
        </w:rPr>
      </w:pPr>
      <w:r>
        <w:rPr>
          <w:rFonts w:hint="eastAsia" w:ascii="宋体" w:hAnsi="宋体" w:cs="宋体"/>
          <w:color w:val="auto"/>
          <w:sz w:val="24"/>
        </w:rPr>
        <w:t>(1)磋商小组所有成员集中与单一供应商分别进行磋商（最多三轮），磋商的内容包括技术条件、商务性条件及磋商小组认为需要磋商的内容。</w:t>
      </w:r>
    </w:p>
    <w:p w14:paraId="65B01F5F">
      <w:pPr>
        <w:spacing w:line="390" w:lineRule="exact"/>
        <w:ind w:firstLine="480" w:firstLineChars="200"/>
        <w:rPr>
          <w:rFonts w:ascii="宋体" w:hAnsi="宋体" w:cs="宋体"/>
          <w:color w:val="auto"/>
          <w:sz w:val="24"/>
        </w:rPr>
      </w:pPr>
      <w:r>
        <w:rPr>
          <w:rFonts w:hint="eastAsia" w:ascii="宋体" w:hAnsi="宋体" w:cs="宋体"/>
          <w:color w:val="auto"/>
          <w:sz w:val="24"/>
        </w:rPr>
        <w:t>(2)在磋商过程中，磋商小组可以根据磋商文件和磋商情况实质性变动项目需求中的技术、服务要求以及合同草案条款，但不得变动磋商文件中的其他内容。实质性变动的内容，须经采购人代表确认。</w:t>
      </w:r>
    </w:p>
    <w:p w14:paraId="7B589521">
      <w:pPr>
        <w:spacing w:line="390" w:lineRule="exact"/>
        <w:ind w:firstLine="480" w:firstLineChars="200"/>
        <w:rPr>
          <w:rFonts w:ascii="宋体" w:hAnsi="宋体" w:cs="宋体"/>
          <w:color w:val="auto"/>
          <w:sz w:val="24"/>
        </w:rPr>
      </w:pPr>
      <w:r>
        <w:rPr>
          <w:rFonts w:hint="eastAsia" w:ascii="宋体" w:hAnsi="宋体" w:cs="宋体"/>
          <w:color w:val="auto"/>
          <w:sz w:val="24"/>
        </w:rPr>
        <w:t>(3)对磋商文件作出的实质性变动是磋商文件的有效组成部分，磋商小组应当及时以在线询标/澄清形式同时通知所有参加磋商的供应商。</w:t>
      </w:r>
    </w:p>
    <w:p w14:paraId="1B4A8EF2">
      <w:pPr>
        <w:spacing w:line="390" w:lineRule="exact"/>
        <w:ind w:firstLine="480" w:firstLineChars="200"/>
        <w:rPr>
          <w:rFonts w:ascii="宋体" w:hAnsi="宋体" w:cs="宋体"/>
          <w:color w:val="auto"/>
          <w:sz w:val="24"/>
        </w:rPr>
      </w:pPr>
      <w:r>
        <w:rPr>
          <w:rFonts w:hint="eastAsia" w:ascii="宋体" w:hAnsi="宋体" w:cs="宋体"/>
          <w:color w:val="auto"/>
          <w:sz w:val="24"/>
        </w:rPr>
        <w:t>(4)供应商应当按照磋商文件的变动情况和磋商小组的要求重新提交应答文件，并由其法定代表人或委托代理人签名或盖电子公章。由授权代表签字的。</w:t>
      </w:r>
    </w:p>
    <w:p w14:paraId="66BC3359">
      <w:pPr>
        <w:spacing w:line="390" w:lineRule="exact"/>
        <w:ind w:firstLine="480" w:firstLineChars="200"/>
        <w:rPr>
          <w:rFonts w:ascii="宋体" w:hAnsi="宋体" w:cs="宋体"/>
          <w:color w:val="auto"/>
          <w:sz w:val="24"/>
        </w:rPr>
      </w:pPr>
      <w:r>
        <w:rPr>
          <w:rFonts w:hint="eastAsia" w:ascii="宋体" w:hAnsi="宋体" w:cs="宋体"/>
          <w:color w:val="auto"/>
          <w:sz w:val="24"/>
        </w:rPr>
        <w:t>(5)供应商未在通知的时间内到达现场参加磋商的，或未提交书面说明退出磋商的，或未在规定时间内提交在线应答文件和最后报价的，视为供应商自动放弃磋商。</w:t>
      </w:r>
    </w:p>
    <w:p w14:paraId="6FC50515">
      <w:pPr>
        <w:spacing w:line="390" w:lineRule="exact"/>
        <w:ind w:firstLine="480" w:firstLineChars="200"/>
        <w:rPr>
          <w:rFonts w:ascii="宋体" w:hAnsi="宋体" w:cs="宋体"/>
          <w:color w:val="auto"/>
          <w:sz w:val="24"/>
        </w:rPr>
      </w:pPr>
      <w:r>
        <w:rPr>
          <w:rFonts w:hint="eastAsia" w:ascii="宋体" w:hAnsi="宋体" w:cs="宋体"/>
          <w:color w:val="auto"/>
          <w:sz w:val="24"/>
        </w:rPr>
        <w:t>(6)最终磋商结束后，磋商小组不得再与供应商进行任何形式的商谈。磋商的任何一方不得透露与磋商有关的其他供应商的技术资料、价格和其他信息。</w:t>
      </w:r>
    </w:p>
    <w:p w14:paraId="70B83A9F">
      <w:pPr>
        <w:spacing w:line="390" w:lineRule="exact"/>
        <w:ind w:firstLine="480" w:firstLineChars="200"/>
        <w:rPr>
          <w:rFonts w:ascii="宋体" w:hAnsi="宋体" w:cs="宋体"/>
          <w:color w:val="auto"/>
          <w:sz w:val="24"/>
        </w:rPr>
      </w:pPr>
      <w:r>
        <w:rPr>
          <w:rFonts w:hint="eastAsia" w:ascii="宋体" w:hAnsi="宋体" w:cs="宋体"/>
          <w:color w:val="auto"/>
          <w:sz w:val="24"/>
        </w:rPr>
        <w:t>17.4.4磋商小组对竞标人资格性和竞标文件符合性审查。磋商小组只接受通过资格性和符合性审查竞标人在规定时间（10分钟）内进行磋商最终总报价。</w:t>
      </w:r>
    </w:p>
    <w:p w14:paraId="45DABFB0">
      <w:pPr>
        <w:spacing w:line="390" w:lineRule="exact"/>
        <w:ind w:firstLine="480" w:firstLineChars="200"/>
        <w:rPr>
          <w:rFonts w:ascii="宋体" w:hAnsi="宋体" w:cs="宋体"/>
          <w:color w:val="auto"/>
          <w:sz w:val="24"/>
        </w:rPr>
      </w:pPr>
      <w:r>
        <w:rPr>
          <w:rFonts w:hint="eastAsia" w:ascii="宋体" w:hAnsi="宋体" w:cs="宋体"/>
          <w:color w:val="auto"/>
          <w:sz w:val="24"/>
        </w:rPr>
        <w:t>17.4.5比较与评价。经磋商确定最终采购需求和提交最后报价的供应商后，由磋商小组采用综合评分法（详见第八章）对提交最后报价的供应商的响应文件和最后报价进行综合评分。</w:t>
      </w:r>
    </w:p>
    <w:p w14:paraId="01CE4EF0">
      <w:pPr>
        <w:spacing w:line="390" w:lineRule="exact"/>
        <w:ind w:firstLine="480" w:firstLineChars="200"/>
        <w:rPr>
          <w:rFonts w:ascii="宋体" w:hAnsi="宋体" w:cs="宋体"/>
          <w:color w:val="auto"/>
          <w:sz w:val="24"/>
        </w:rPr>
      </w:pPr>
      <w:r>
        <w:rPr>
          <w:rFonts w:hint="eastAsia" w:ascii="宋体" w:hAnsi="宋体" w:cs="宋体"/>
          <w:color w:val="auto"/>
          <w:sz w:val="24"/>
        </w:rPr>
        <w:t>17.4.6推荐成交候选人名单及编写评审报告。磋商小组根据综合评分情况，按照评分办法的成交标准及成交候选人推荐原则依次推荐成交候选人名单，并根据磋商过程和结果编写评审报告。</w:t>
      </w:r>
    </w:p>
    <w:p w14:paraId="4FEF6DCF">
      <w:pPr>
        <w:spacing w:line="390" w:lineRule="exact"/>
        <w:ind w:firstLine="480" w:firstLineChars="200"/>
        <w:rPr>
          <w:rFonts w:ascii="宋体" w:hAnsi="宋体" w:cs="宋体"/>
          <w:color w:val="auto"/>
          <w:sz w:val="24"/>
        </w:rPr>
      </w:pPr>
      <w:r>
        <w:rPr>
          <w:rFonts w:hint="eastAsia" w:ascii="宋体" w:hAnsi="宋体" w:cs="宋体"/>
          <w:color w:val="auto"/>
          <w:sz w:val="24"/>
        </w:rPr>
        <w:t>17.5评审会纪律</w:t>
      </w:r>
    </w:p>
    <w:p w14:paraId="4EF3E5BF">
      <w:pPr>
        <w:spacing w:line="390" w:lineRule="exact"/>
        <w:ind w:firstLine="480" w:firstLineChars="200"/>
        <w:rPr>
          <w:rFonts w:ascii="宋体" w:hAnsi="宋体" w:cs="宋体"/>
          <w:color w:val="auto"/>
          <w:sz w:val="24"/>
        </w:rPr>
      </w:pPr>
      <w:r>
        <w:rPr>
          <w:rFonts w:hint="eastAsia" w:ascii="宋体" w:hAnsi="宋体" w:cs="宋体"/>
          <w:color w:val="auto"/>
          <w:sz w:val="24"/>
        </w:rPr>
        <w:t>17.5.1评审过程的保密性。磋商小组成员、有关工作人员及其他知情人不得透露对响应文件评审、比较、成交候选人的推荐情况以及与评审有关的其他情况。</w:t>
      </w:r>
    </w:p>
    <w:p w14:paraId="4C27BC26">
      <w:pPr>
        <w:spacing w:line="390" w:lineRule="exact"/>
        <w:ind w:firstLine="480" w:firstLineChars="200"/>
        <w:rPr>
          <w:rFonts w:ascii="宋体" w:hAnsi="宋体" w:cs="宋体"/>
          <w:color w:val="auto"/>
          <w:sz w:val="24"/>
        </w:rPr>
      </w:pPr>
      <w:r>
        <w:rPr>
          <w:rFonts w:hint="eastAsia" w:ascii="宋体" w:hAnsi="宋体" w:cs="宋体"/>
          <w:color w:val="auto"/>
          <w:sz w:val="24"/>
        </w:rPr>
        <w:t>17.5.2在磋商评审期间，供应商试图影响采购人和磋商小组的任何活动，将导致其报价被拒绝，并承担相应的法律责任。</w:t>
      </w:r>
    </w:p>
    <w:p w14:paraId="1C59E196">
      <w:pPr>
        <w:pStyle w:val="26"/>
        <w:spacing w:line="400" w:lineRule="exact"/>
        <w:rPr>
          <w:rFonts w:hAnsi="宋体" w:cs="宋体"/>
          <w:b/>
          <w:bCs/>
          <w:color w:val="auto"/>
          <w:sz w:val="24"/>
          <w:szCs w:val="24"/>
        </w:rPr>
      </w:pPr>
      <w:r>
        <w:rPr>
          <w:rFonts w:hint="eastAsia" w:hAnsi="宋体" w:cs="宋体"/>
          <w:b/>
          <w:bCs/>
          <w:color w:val="auto"/>
          <w:sz w:val="24"/>
          <w:szCs w:val="24"/>
        </w:rPr>
        <w:t>18、拒绝接收</w:t>
      </w:r>
    </w:p>
    <w:p w14:paraId="2148CF62">
      <w:pPr>
        <w:pStyle w:val="26"/>
        <w:spacing w:line="400" w:lineRule="exact"/>
        <w:ind w:firstLine="480" w:firstLineChars="200"/>
        <w:rPr>
          <w:rFonts w:hAnsi="宋体" w:cs="宋体"/>
          <w:color w:val="auto"/>
          <w:sz w:val="24"/>
          <w:szCs w:val="24"/>
        </w:rPr>
      </w:pPr>
      <w:r>
        <w:rPr>
          <w:rFonts w:hint="eastAsia" w:hAnsi="宋体" w:cs="宋体"/>
          <w:color w:val="auto"/>
          <w:sz w:val="24"/>
          <w:szCs w:val="24"/>
        </w:rPr>
        <w:t>18.1属下列情形之一的，采购机构应当拒绝接收磋商供应商的响应文件：</w:t>
      </w:r>
    </w:p>
    <w:p w14:paraId="2BCB8BE4">
      <w:pPr>
        <w:pStyle w:val="26"/>
        <w:spacing w:line="400" w:lineRule="exact"/>
        <w:ind w:firstLine="480" w:firstLineChars="200"/>
        <w:rPr>
          <w:rFonts w:hAnsi="宋体" w:cs="宋体"/>
          <w:color w:val="auto"/>
          <w:sz w:val="24"/>
          <w:szCs w:val="24"/>
        </w:rPr>
      </w:pPr>
      <w:r>
        <w:rPr>
          <w:rFonts w:hint="eastAsia" w:hAnsi="宋体" w:cs="宋体"/>
          <w:color w:val="auto"/>
          <w:sz w:val="24"/>
          <w:szCs w:val="24"/>
        </w:rPr>
        <w:t>（1）在本章第14.1项规定的投标截止时间之后送达的；</w:t>
      </w:r>
    </w:p>
    <w:p w14:paraId="40EBAC3C">
      <w:pPr>
        <w:pStyle w:val="26"/>
        <w:spacing w:line="400" w:lineRule="exact"/>
        <w:ind w:firstLine="480" w:firstLineChars="200"/>
        <w:rPr>
          <w:rFonts w:hAnsi="宋体" w:cs="宋体"/>
          <w:color w:val="auto"/>
          <w:sz w:val="24"/>
          <w:szCs w:val="24"/>
        </w:rPr>
      </w:pPr>
      <w:r>
        <w:rPr>
          <w:rFonts w:hint="eastAsia" w:hAnsi="宋体" w:cs="宋体"/>
          <w:color w:val="auto"/>
          <w:sz w:val="24"/>
          <w:szCs w:val="24"/>
        </w:rPr>
        <w:t>（2）未送达至本章第14.1项指定的递交响应文件地点的；</w:t>
      </w:r>
    </w:p>
    <w:p w14:paraId="11199EA8">
      <w:pPr>
        <w:pStyle w:val="87"/>
        <w:spacing w:line="400" w:lineRule="exact"/>
        <w:outlineLvl w:val="3"/>
        <w:rPr>
          <w:rFonts w:hAnsi="宋体" w:cs="宋体"/>
          <w:b/>
          <w:color w:val="auto"/>
          <w:sz w:val="24"/>
          <w:szCs w:val="24"/>
        </w:rPr>
      </w:pPr>
      <w:r>
        <w:rPr>
          <w:rFonts w:hint="eastAsia" w:hAnsi="宋体" w:cs="宋体"/>
          <w:b/>
          <w:color w:val="auto"/>
          <w:sz w:val="24"/>
          <w:szCs w:val="24"/>
        </w:rPr>
        <w:t>19、无效的响应文件</w:t>
      </w:r>
    </w:p>
    <w:p w14:paraId="3CBFA173">
      <w:pPr>
        <w:widowControl/>
        <w:spacing w:line="400" w:lineRule="exact"/>
        <w:ind w:firstLine="420"/>
        <w:jc w:val="left"/>
        <w:rPr>
          <w:rFonts w:ascii="宋体" w:hAnsi="宋体" w:cs="宋体"/>
          <w:color w:val="auto"/>
          <w:sz w:val="24"/>
        </w:rPr>
      </w:pPr>
      <w:r>
        <w:rPr>
          <w:rFonts w:hint="eastAsia" w:ascii="宋体" w:hAnsi="宋体" w:cs="宋体"/>
          <w:color w:val="auto"/>
          <w:sz w:val="24"/>
        </w:rPr>
        <w:t>19.1响应文件如有下列情况之一，将会在评标中视为无效文件处理：</w:t>
      </w:r>
    </w:p>
    <w:p w14:paraId="43D2D137">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未按照磋商文件规定要求密封、签署、盖章的；</w:t>
      </w:r>
    </w:p>
    <w:p w14:paraId="2FFB7F03">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不具备磋商文件中规定资格要求的；</w:t>
      </w:r>
    </w:p>
    <w:p w14:paraId="3512AE21">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未交应交磋商保证金的或未按磋商文件要求缴纳磋商保证金的；</w:t>
      </w:r>
    </w:p>
    <w:p w14:paraId="37FC25F9">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磋商供应商报价超出了采购预算价的；</w:t>
      </w:r>
    </w:p>
    <w:p w14:paraId="1F0203ED">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不符磋商文件中规定的其它实质性要求并且在磋商规定内时间无法说明和补充的；</w:t>
      </w:r>
    </w:p>
    <w:p w14:paraId="0B51AD77">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未按磋商文件中提出实质性要求和条件作出完全响应的；</w:t>
      </w:r>
    </w:p>
    <w:p w14:paraId="2B5767DB">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不同供应商的响应文件由同一单位或者个人编制的；</w:t>
      </w:r>
    </w:p>
    <w:p w14:paraId="1F2B7BA9">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不同供应商委托同一单位或者个人办理竞标事宜的；</w:t>
      </w:r>
    </w:p>
    <w:p w14:paraId="74376DD0">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不同供应商的响应文件异常一致或者磋商报价呈规律性差异；</w:t>
      </w:r>
    </w:p>
    <w:p w14:paraId="382AF50F">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不同供应商的磋商保证金从同一单位或者个人的银行账户转；</w:t>
      </w:r>
    </w:p>
    <w:p w14:paraId="63BA73C1">
      <w:pPr>
        <w:pStyle w:val="87"/>
        <w:spacing w:line="400" w:lineRule="exact"/>
        <w:outlineLvl w:val="3"/>
        <w:rPr>
          <w:rFonts w:hAnsi="宋体" w:cs="宋体"/>
          <w:b/>
          <w:color w:val="auto"/>
          <w:sz w:val="24"/>
          <w:szCs w:val="24"/>
        </w:rPr>
      </w:pPr>
      <w:r>
        <w:rPr>
          <w:rFonts w:hint="eastAsia" w:hAnsi="宋体" w:cs="宋体"/>
          <w:b/>
          <w:color w:val="auto"/>
          <w:sz w:val="24"/>
          <w:szCs w:val="24"/>
        </w:rPr>
        <w:t>20、废标</w:t>
      </w:r>
    </w:p>
    <w:p w14:paraId="67E90DB7">
      <w:pPr>
        <w:pStyle w:val="26"/>
        <w:spacing w:line="400" w:lineRule="exact"/>
        <w:rPr>
          <w:rFonts w:hAnsi="宋体" w:cs="宋体"/>
          <w:color w:val="auto"/>
          <w:sz w:val="24"/>
          <w:szCs w:val="24"/>
        </w:rPr>
      </w:pPr>
      <w:r>
        <w:rPr>
          <w:rFonts w:hint="eastAsia" w:hAnsi="宋体" w:cs="宋体"/>
          <w:color w:val="auto"/>
          <w:kern w:val="0"/>
          <w:sz w:val="24"/>
          <w:szCs w:val="24"/>
        </w:rPr>
        <w:t>　　</w:t>
      </w:r>
      <w:r>
        <w:rPr>
          <w:rFonts w:hint="eastAsia" w:hAnsi="宋体" w:cs="宋体"/>
          <w:b/>
          <w:bCs/>
          <w:color w:val="auto"/>
          <w:sz w:val="24"/>
          <w:szCs w:val="24"/>
        </w:rPr>
        <w:t>20.1磋商采购项目出现下列情形之一的，采购代理机构将予以废标：</w:t>
      </w:r>
    </w:p>
    <w:p w14:paraId="741DE015">
      <w:pPr>
        <w:pStyle w:val="26"/>
        <w:spacing w:line="440" w:lineRule="exact"/>
        <w:ind w:firstLine="420"/>
        <w:rPr>
          <w:rFonts w:hAnsi="宋体" w:cs="宋体"/>
          <w:color w:val="auto"/>
          <w:sz w:val="24"/>
          <w:szCs w:val="24"/>
        </w:rPr>
      </w:pPr>
      <w:r>
        <w:rPr>
          <w:rFonts w:hint="eastAsia" w:hAnsi="宋体" w:cs="宋体"/>
          <w:color w:val="auto"/>
          <w:sz w:val="24"/>
          <w:szCs w:val="24"/>
        </w:rPr>
        <w:t>(1)出现影响采购公正的违法、违规行为的；</w:t>
      </w:r>
    </w:p>
    <w:p w14:paraId="5007D499">
      <w:pPr>
        <w:pStyle w:val="26"/>
        <w:spacing w:line="440" w:lineRule="exact"/>
        <w:ind w:firstLine="420"/>
        <w:rPr>
          <w:rFonts w:hAnsi="宋体" w:cs="宋体"/>
          <w:color w:val="auto"/>
          <w:sz w:val="24"/>
          <w:szCs w:val="24"/>
        </w:rPr>
      </w:pPr>
      <w:r>
        <w:rPr>
          <w:rFonts w:hint="eastAsia" w:hAnsi="宋体" w:cs="宋体"/>
          <w:color w:val="auto"/>
          <w:sz w:val="24"/>
          <w:szCs w:val="24"/>
        </w:rPr>
        <w:t>(2)所有服务商的报价均超过了采购预算，采购人不能支付的；</w:t>
      </w:r>
    </w:p>
    <w:p w14:paraId="138345EF">
      <w:pPr>
        <w:pStyle w:val="26"/>
        <w:spacing w:line="440" w:lineRule="exact"/>
        <w:ind w:firstLine="420"/>
        <w:rPr>
          <w:rFonts w:hAnsi="宋体" w:cs="宋体"/>
          <w:color w:val="auto"/>
          <w:sz w:val="24"/>
          <w:szCs w:val="24"/>
        </w:rPr>
      </w:pPr>
      <w:r>
        <w:rPr>
          <w:rFonts w:hint="eastAsia" w:hAnsi="宋体" w:cs="宋体"/>
          <w:color w:val="auto"/>
          <w:sz w:val="24"/>
          <w:szCs w:val="24"/>
        </w:rPr>
        <w:t>(3)因重大变故，采购任务取消的；</w:t>
      </w:r>
    </w:p>
    <w:p w14:paraId="5E6E7653">
      <w:pPr>
        <w:pStyle w:val="26"/>
        <w:spacing w:line="440" w:lineRule="exact"/>
        <w:ind w:firstLine="420"/>
        <w:rPr>
          <w:rFonts w:hAnsi="宋体" w:cs="宋体"/>
          <w:color w:val="auto"/>
          <w:sz w:val="24"/>
          <w:szCs w:val="24"/>
        </w:rPr>
      </w:pPr>
      <w:r>
        <w:rPr>
          <w:rFonts w:hint="eastAsia" w:hAnsi="宋体" w:cs="宋体"/>
          <w:color w:val="auto"/>
          <w:sz w:val="24"/>
          <w:szCs w:val="24"/>
        </w:rPr>
        <w:t>(4)磋商文件存在不合理条款的，竞争性磋商公告时间及程序不符合规定的；</w:t>
      </w:r>
    </w:p>
    <w:p w14:paraId="4F1985B9">
      <w:pPr>
        <w:pStyle w:val="26"/>
        <w:spacing w:line="400" w:lineRule="exact"/>
        <w:ind w:firstLine="420"/>
        <w:rPr>
          <w:rFonts w:hAnsi="宋体" w:cs="宋体"/>
          <w:color w:val="auto"/>
          <w:sz w:val="24"/>
          <w:szCs w:val="24"/>
        </w:rPr>
      </w:pPr>
      <w:r>
        <w:rPr>
          <w:rFonts w:hint="eastAsia" w:hAnsi="宋体" w:cs="宋体"/>
          <w:color w:val="auto"/>
          <w:sz w:val="24"/>
          <w:szCs w:val="24"/>
        </w:rPr>
        <w:t>20.2如本次项目废标后，采购代理机构将把废标理由通知所有磋商供应商。</w:t>
      </w:r>
    </w:p>
    <w:p w14:paraId="40ACC2B1">
      <w:pPr>
        <w:pStyle w:val="87"/>
        <w:spacing w:line="400" w:lineRule="exact"/>
        <w:outlineLvl w:val="3"/>
        <w:rPr>
          <w:rFonts w:hAnsi="宋体" w:cs="宋体"/>
          <w:b/>
          <w:color w:val="auto"/>
          <w:sz w:val="24"/>
          <w:szCs w:val="24"/>
        </w:rPr>
      </w:pPr>
      <w:r>
        <w:rPr>
          <w:rFonts w:hint="eastAsia" w:hAnsi="宋体" w:cs="宋体"/>
          <w:b/>
          <w:color w:val="auto"/>
          <w:sz w:val="24"/>
          <w:szCs w:val="24"/>
        </w:rPr>
        <w:t>21、重新招标</w:t>
      </w:r>
    </w:p>
    <w:p w14:paraId="348EC8F3">
      <w:pPr>
        <w:pStyle w:val="26"/>
        <w:spacing w:line="400" w:lineRule="exact"/>
        <w:ind w:firstLine="480" w:firstLineChars="200"/>
        <w:rPr>
          <w:rFonts w:hAnsi="宋体" w:cs="宋体"/>
          <w:color w:val="auto"/>
          <w:sz w:val="24"/>
          <w:szCs w:val="24"/>
        </w:rPr>
      </w:pPr>
      <w:r>
        <w:rPr>
          <w:rFonts w:hint="eastAsia" w:hAnsi="宋体" w:cs="宋体"/>
          <w:color w:val="auto"/>
          <w:sz w:val="24"/>
          <w:szCs w:val="24"/>
        </w:rPr>
        <w:t>21</w:t>
      </w:r>
      <w:r>
        <w:rPr>
          <w:rFonts w:hAnsi="宋体" w:cs="宋体"/>
          <w:color w:val="auto"/>
          <w:sz w:val="24"/>
          <w:szCs w:val="24"/>
        </w:rPr>
        <w:t>.1 经磋商小组评审后，认为所有竞标均不符合竞争性磋商采购文件要求，可以否决所有竞标。所有竞标被否决后，采购人将依法重新招标。</w:t>
      </w:r>
    </w:p>
    <w:p w14:paraId="37AD68CC">
      <w:pPr>
        <w:spacing w:line="390" w:lineRule="exact"/>
        <w:ind w:firstLine="480" w:firstLineChars="200"/>
        <w:rPr>
          <w:color w:val="auto"/>
          <w:sz w:val="24"/>
        </w:rPr>
      </w:pPr>
      <w:r>
        <w:rPr>
          <w:rFonts w:hint="eastAsia" w:hAnsi="宋体" w:cs="宋体"/>
          <w:color w:val="auto"/>
          <w:sz w:val="24"/>
        </w:rPr>
        <w:t>21</w:t>
      </w:r>
      <w:r>
        <w:rPr>
          <w:rFonts w:hAnsi="宋体" w:cs="宋体"/>
          <w:color w:val="auto"/>
          <w:sz w:val="24"/>
        </w:rPr>
        <w:t>.2重新招标后竞标人仍少于三个或者所有竞标被否决的，属于必须审批或核准的工程建设项目，经原审批或核准部门批准后不再进行招标</w:t>
      </w:r>
      <w:bookmarkStart w:id="40" w:name="_Toc459103904"/>
      <w:r>
        <w:rPr>
          <w:rFonts w:hint="eastAsia" w:hAnsi="宋体" w:cs="宋体"/>
          <w:color w:val="auto"/>
          <w:sz w:val="24"/>
        </w:rPr>
        <w:t>。</w:t>
      </w:r>
    </w:p>
    <w:p w14:paraId="4D3BCF82">
      <w:pPr>
        <w:pStyle w:val="3"/>
        <w:spacing w:before="0" w:after="0" w:line="390" w:lineRule="exact"/>
        <w:rPr>
          <w:rFonts w:ascii="宋体" w:hAnsi="宋体" w:eastAsia="宋体" w:cs="宋体"/>
          <w:color w:val="auto"/>
          <w:sz w:val="24"/>
          <w:szCs w:val="24"/>
        </w:rPr>
      </w:pPr>
      <w:bookmarkStart w:id="41" w:name="_Toc86935819"/>
      <w:r>
        <w:rPr>
          <w:rFonts w:hint="eastAsia" w:ascii="宋体" w:hAnsi="宋体" w:eastAsia="宋体" w:cs="宋体"/>
          <w:color w:val="auto"/>
          <w:sz w:val="24"/>
          <w:szCs w:val="24"/>
        </w:rPr>
        <w:t>七、签订合同</w:t>
      </w:r>
      <w:bookmarkEnd w:id="40"/>
      <w:bookmarkEnd w:id="41"/>
    </w:p>
    <w:p w14:paraId="0DE741B0">
      <w:pPr>
        <w:pStyle w:val="26"/>
        <w:spacing w:line="400" w:lineRule="exact"/>
        <w:outlineLvl w:val="2"/>
        <w:rPr>
          <w:rFonts w:hAnsi="宋体" w:cs="宋体"/>
          <w:b/>
          <w:color w:val="auto"/>
          <w:sz w:val="24"/>
          <w:szCs w:val="24"/>
        </w:rPr>
      </w:pPr>
      <w:bookmarkStart w:id="42" w:name="_Toc7205"/>
      <w:bookmarkStart w:id="43" w:name="_Toc86935820"/>
      <w:r>
        <w:rPr>
          <w:rFonts w:hint="eastAsia" w:hAnsi="宋体" w:cs="宋体"/>
          <w:b/>
          <w:color w:val="auto"/>
          <w:sz w:val="24"/>
          <w:szCs w:val="24"/>
        </w:rPr>
        <w:t>22.成交结果</w:t>
      </w:r>
      <w:bookmarkEnd w:id="42"/>
      <w:r>
        <w:rPr>
          <w:rFonts w:hint="eastAsia" w:hAnsi="宋体" w:cs="宋体"/>
          <w:b/>
          <w:color w:val="auto"/>
          <w:sz w:val="24"/>
          <w:szCs w:val="24"/>
        </w:rPr>
        <w:t>公告</w:t>
      </w:r>
      <w:bookmarkEnd w:id="43"/>
    </w:p>
    <w:p w14:paraId="2DEE970D">
      <w:pPr>
        <w:pStyle w:val="26"/>
        <w:spacing w:line="400" w:lineRule="exact"/>
        <w:ind w:firstLine="480" w:firstLineChars="200"/>
        <w:outlineLvl w:val="2"/>
        <w:rPr>
          <w:rFonts w:hAnsi="宋体" w:cs="宋体"/>
          <w:bCs/>
          <w:color w:val="auto"/>
          <w:sz w:val="24"/>
          <w:szCs w:val="24"/>
        </w:rPr>
      </w:pPr>
      <w:bookmarkStart w:id="44" w:name="_Toc86935821"/>
      <w:bookmarkStart w:id="45" w:name="_Toc5678"/>
      <w:r>
        <w:rPr>
          <w:rFonts w:hint="eastAsia" w:hAnsi="宋体" w:cs="宋体"/>
          <w:bCs/>
          <w:color w:val="auto"/>
          <w:sz w:val="24"/>
          <w:szCs w:val="24"/>
        </w:rPr>
        <w:t>22.1采购代理机构在磋商工作完成后2日内将磋商报告送采购人，采购人确认后，成交结果公告将在发布本项目竞争性磋商公告的同一网站上发布。</w:t>
      </w:r>
      <w:bookmarkEnd w:id="44"/>
      <w:bookmarkEnd w:id="45"/>
    </w:p>
    <w:p w14:paraId="7F7B5608">
      <w:pPr>
        <w:pStyle w:val="26"/>
        <w:spacing w:line="400" w:lineRule="exact"/>
        <w:ind w:firstLine="420"/>
        <w:rPr>
          <w:rFonts w:hAnsi="宋体" w:cs="宋体"/>
          <w:bCs/>
          <w:color w:val="auto"/>
          <w:sz w:val="24"/>
          <w:szCs w:val="24"/>
        </w:rPr>
      </w:pPr>
      <w:bookmarkStart w:id="46" w:name="_Toc29884"/>
      <w:r>
        <w:rPr>
          <w:rFonts w:hint="eastAsia" w:hAnsi="宋体" w:cs="宋体"/>
          <w:bCs/>
          <w:color w:val="auto"/>
          <w:sz w:val="24"/>
          <w:szCs w:val="24"/>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14:paraId="5CEB1849">
      <w:pPr>
        <w:pStyle w:val="26"/>
        <w:spacing w:line="400" w:lineRule="exact"/>
        <w:ind w:firstLine="420"/>
        <w:rPr>
          <w:rFonts w:hAnsi="宋体" w:cs="宋体"/>
          <w:bCs/>
          <w:color w:val="auto"/>
          <w:sz w:val="24"/>
          <w:szCs w:val="24"/>
        </w:rPr>
      </w:pPr>
      <w:r>
        <w:rPr>
          <w:rFonts w:hint="eastAsia" w:hAnsi="宋体" w:cs="宋体"/>
          <w:bCs/>
          <w:color w:val="auto"/>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1EBB5FCE">
      <w:pPr>
        <w:pStyle w:val="26"/>
        <w:spacing w:line="400" w:lineRule="exact"/>
        <w:ind w:firstLine="420"/>
        <w:rPr>
          <w:rFonts w:hAnsi="宋体" w:cs="宋体"/>
          <w:bCs/>
          <w:color w:val="auto"/>
          <w:sz w:val="24"/>
          <w:szCs w:val="24"/>
        </w:rPr>
      </w:pPr>
      <w:r>
        <w:rPr>
          <w:rFonts w:hint="eastAsia" w:hAnsi="宋体" w:cs="宋体"/>
          <w:color w:val="auto"/>
          <w:sz w:val="24"/>
          <w:szCs w:val="24"/>
        </w:rPr>
        <w:t>22.4磋商供应商认为成交结果使自己的权益受到损害的，可以在成交结果公告期限届满之日起7个工作日内以书面形式向采购人或受托代理机构提出质疑，逾期将不再受理</w:t>
      </w:r>
      <w:r>
        <w:rPr>
          <w:rFonts w:hint="eastAsia" w:hAnsi="宋体" w:cs="宋体"/>
          <w:bCs/>
          <w:color w:val="auto"/>
          <w:sz w:val="24"/>
          <w:szCs w:val="24"/>
        </w:rPr>
        <w:t>。</w:t>
      </w:r>
      <w:r>
        <w:rPr>
          <w:rFonts w:hint="eastAsia" w:hAnsi="宋体" w:cs="宋体"/>
          <w:color w:val="auto"/>
          <w:sz w:val="24"/>
          <w:szCs w:val="24"/>
        </w:rPr>
        <w:t>采购人或受托代理机构</w:t>
      </w:r>
      <w:r>
        <w:rPr>
          <w:rFonts w:hint="eastAsia" w:hAnsi="宋体" w:cs="宋体"/>
          <w:bCs/>
          <w:color w:val="auto"/>
          <w:sz w:val="24"/>
          <w:szCs w:val="24"/>
        </w:rPr>
        <w:t>在收到磋商供应商的书面质疑后7个工作日内做出答复，但答复的内容不得涉及商业秘密。</w:t>
      </w:r>
      <w:bookmarkEnd w:id="46"/>
    </w:p>
    <w:p w14:paraId="552390A8">
      <w:pPr>
        <w:pStyle w:val="26"/>
        <w:spacing w:line="400" w:lineRule="exact"/>
        <w:ind w:firstLine="420"/>
        <w:rPr>
          <w:rFonts w:hAnsi="宋体" w:cs="宋体"/>
          <w:color w:val="auto"/>
          <w:sz w:val="24"/>
          <w:szCs w:val="24"/>
        </w:rPr>
      </w:pPr>
      <w:r>
        <w:rPr>
          <w:rFonts w:hint="eastAsia" w:hAnsi="宋体" w:cs="宋体"/>
          <w:color w:val="auto"/>
          <w:sz w:val="24"/>
          <w:szCs w:val="24"/>
        </w:rPr>
        <w:t>22.5质疑和投诉书面要求:</w:t>
      </w:r>
    </w:p>
    <w:p w14:paraId="049AB338">
      <w:pPr>
        <w:pStyle w:val="26"/>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质疑人或投诉人的单位名称或姓名、详细地址、邮政编码、联系电话等；</w:t>
      </w:r>
    </w:p>
    <w:p w14:paraId="37AB4F04">
      <w:pPr>
        <w:pStyle w:val="26"/>
        <w:numPr>
          <w:ilvl w:val="0"/>
          <w:numId w:val="7"/>
        </w:numPr>
        <w:spacing w:line="400" w:lineRule="exact"/>
        <w:ind w:firstLine="420"/>
        <w:rPr>
          <w:rFonts w:hAnsi="宋体" w:cs="宋体"/>
          <w:color w:val="auto"/>
          <w:sz w:val="24"/>
          <w:szCs w:val="24"/>
        </w:rPr>
      </w:pPr>
      <w:r>
        <w:rPr>
          <w:rFonts w:hint="eastAsia" w:hAnsi="宋体" w:cs="宋体"/>
          <w:color w:val="auto"/>
          <w:sz w:val="24"/>
          <w:szCs w:val="24"/>
        </w:rPr>
        <w:t>被质疑人或被投诉人的单位名称或姓名等；</w:t>
      </w:r>
    </w:p>
    <w:p w14:paraId="57A92562">
      <w:pPr>
        <w:pStyle w:val="26"/>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质疑或投诉的事实及理由；</w:t>
      </w:r>
    </w:p>
    <w:p w14:paraId="4FA8FDCE">
      <w:pPr>
        <w:pStyle w:val="26"/>
        <w:numPr>
          <w:ilvl w:val="0"/>
          <w:numId w:val="7"/>
        </w:numPr>
        <w:spacing w:line="400" w:lineRule="exact"/>
        <w:ind w:firstLine="420"/>
        <w:rPr>
          <w:rFonts w:hAnsi="宋体" w:cs="宋体"/>
          <w:color w:val="auto"/>
          <w:sz w:val="24"/>
          <w:szCs w:val="24"/>
        </w:rPr>
      </w:pPr>
      <w:r>
        <w:rPr>
          <w:rFonts w:hint="eastAsia" w:hAnsi="宋体" w:cs="宋体"/>
          <w:color w:val="auto"/>
          <w:sz w:val="24"/>
          <w:szCs w:val="24"/>
        </w:rPr>
        <w:t>有关违规违法的情况和有效证明材料；</w:t>
      </w:r>
    </w:p>
    <w:p w14:paraId="2A45B6FC">
      <w:pPr>
        <w:pStyle w:val="26"/>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质疑人或投诉人的签章及质疑或投诉时间；</w:t>
      </w:r>
    </w:p>
    <w:p w14:paraId="1ED1711A">
      <w:pPr>
        <w:pStyle w:val="26"/>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质疑书递交方式：质疑人的法定代表人凭本人身份证原件或授权委托代理人凭法定代表人授权委托书原件和本人身份证原件同时持质疑书原件递交至</w:t>
      </w:r>
      <w:r>
        <w:rPr>
          <w:rFonts w:hint="eastAsia" w:hAnsi="宋体" w:cs="宋体"/>
          <w:color w:val="auto"/>
          <w:sz w:val="24"/>
          <w:szCs w:val="24"/>
          <w:lang w:eastAsia="zh-CN"/>
        </w:rPr>
        <w:t>广西诚华工程造价咨询有限公司</w:t>
      </w:r>
      <w:r>
        <w:rPr>
          <w:rFonts w:hint="eastAsia" w:hAnsi="宋体" w:cs="宋体"/>
          <w:color w:val="auto"/>
          <w:sz w:val="24"/>
          <w:szCs w:val="24"/>
        </w:rPr>
        <w:t>。</w:t>
      </w:r>
    </w:p>
    <w:p w14:paraId="70D34ACE">
      <w:pPr>
        <w:pStyle w:val="26"/>
        <w:numPr>
          <w:ilvl w:val="0"/>
          <w:numId w:val="7"/>
        </w:numPr>
        <w:spacing w:line="400" w:lineRule="exact"/>
        <w:ind w:firstLine="420"/>
        <w:rPr>
          <w:rFonts w:hAnsi="宋体" w:cs="宋体"/>
          <w:bCs/>
          <w:color w:val="auto"/>
          <w:sz w:val="24"/>
          <w:szCs w:val="24"/>
        </w:rPr>
      </w:pPr>
      <w:r>
        <w:rPr>
          <w:rFonts w:hint="eastAsia" w:hAnsi="宋体" w:cs="宋体"/>
          <w:color w:val="auto"/>
          <w:sz w:val="24"/>
          <w:szCs w:val="24"/>
        </w:rPr>
        <w:t>如不按规定质疑或投诉的，视为无效投诉，不予采理。</w:t>
      </w:r>
    </w:p>
    <w:p w14:paraId="180103FF">
      <w:pPr>
        <w:pStyle w:val="26"/>
        <w:spacing w:line="400" w:lineRule="exact"/>
        <w:ind w:firstLine="480" w:firstLineChars="200"/>
        <w:outlineLvl w:val="2"/>
        <w:rPr>
          <w:rFonts w:hAnsi="宋体" w:cs="宋体"/>
          <w:b/>
          <w:bCs/>
          <w:color w:val="auto"/>
          <w:sz w:val="24"/>
          <w:szCs w:val="24"/>
        </w:rPr>
      </w:pPr>
      <w:bookmarkStart w:id="47" w:name="_Toc86935822"/>
      <w:bookmarkStart w:id="48" w:name="_Toc15621"/>
      <w:r>
        <w:rPr>
          <w:rFonts w:hint="eastAsia" w:hAnsi="宋体" w:cs="宋体"/>
          <w:bCs/>
          <w:color w:val="auto"/>
          <w:sz w:val="24"/>
          <w:szCs w:val="24"/>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47"/>
      <w:bookmarkEnd w:id="48"/>
    </w:p>
    <w:p w14:paraId="05C15831">
      <w:pPr>
        <w:spacing w:line="390" w:lineRule="exact"/>
        <w:rPr>
          <w:rFonts w:ascii="宋体" w:hAnsi="宋体" w:cs="宋体"/>
          <w:b/>
          <w:bCs/>
          <w:color w:val="auto"/>
          <w:sz w:val="24"/>
        </w:rPr>
      </w:pPr>
      <w:r>
        <w:rPr>
          <w:rFonts w:hint="eastAsia" w:ascii="宋体" w:hAnsi="宋体" w:cs="宋体"/>
          <w:b/>
          <w:bCs/>
          <w:color w:val="auto"/>
          <w:sz w:val="24"/>
        </w:rPr>
        <w:t>23、成交通知</w:t>
      </w:r>
    </w:p>
    <w:p w14:paraId="1B9A7A2A">
      <w:pPr>
        <w:pStyle w:val="26"/>
        <w:spacing w:line="400" w:lineRule="exact"/>
        <w:ind w:firstLine="480" w:firstLineChars="200"/>
        <w:outlineLvl w:val="2"/>
        <w:rPr>
          <w:rFonts w:hAnsi="宋体" w:cs="宋体"/>
          <w:bCs/>
          <w:color w:val="auto"/>
          <w:sz w:val="24"/>
          <w:szCs w:val="24"/>
        </w:rPr>
      </w:pPr>
      <w:bookmarkStart w:id="49" w:name="_Toc86935823"/>
      <w:bookmarkStart w:id="50" w:name="_Toc30837"/>
      <w:r>
        <w:rPr>
          <w:rFonts w:hint="eastAsia" w:hAnsi="宋体" w:cs="宋体"/>
          <w:bCs/>
          <w:color w:val="auto"/>
          <w:sz w:val="24"/>
          <w:szCs w:val="24"/>
        </w:rPr>
        <w:t>23.1采购代理机构在发布成交公告的同时，采购代理机构向成交人通过“政采云”平台发出电子中标通知书。</w:t>
      </w:r>
      <w:bookmarkEnd w:id="49"/>
      <w:bookmarkEnd w:id="50"/>
    </w:p>
    <w:p w14:paraId="6BC25D02">
      <w:pPr>
        <w:pStyle w:val="26"/>
        <w:spacing w:line="400" w:lineRule="exact"/>
        <w:ind w:firstLine="480" w:firstLineChars="200"/>
        <w:outlineLvl w:val="2"/>
        <w:rPr>
          <w:rFonts w:hAnsi="宋体" w:cs="宋体"/>
          <w:bCs/>
          <w:color w:val="auto"/>
          <w:sz w:val="24"/>
          <w:szCs w:val="24"/>
        </w:rPr>
      </w:pPr>
      <w:bookmarkStart w:id="51" w:name="_Toc86935824"/>
      <w:bookmarkStart w:id="52" w:name="_Toc28429"/>
      <w:r>
        <w:rPr>
          <w:rFonts w:hint="eastAsia" w:hAnsi="宋体" w:cs="宋体"/>
          <w:bCs/>
          <w:color w:val="auto"/>
          <w:sz w:val="24"/>
          <w:szCs w:val="24"/>
        </w:rPr>
        <w:t>23.2对未通过资格审查的竞标人，采购人或采购机构应当告知其未通过的原因；采用综合评分办法评审的，采购人或采购机构还应当告知未成交人本人的评审得分与排序。</w:t>
      </w:r>
      <w:bookmarkEnd w:id="51"/>
    </w:p>
    <w:p w14:paraId="3115DF7A">
      <w:pPr>
        <w:pStyle w:val="26"/>
        <w:spacing w:line="400" w:lineRule="exact"/>
        <w:ind w:firstLine="480" w:firstLineChars="200"/>
        <w:outlineLvl w:val="2"/>
        <w:rPr>
          <w:rFonts w:hAnsi="宋体" w:cs="宋体"/>
          <w:bCs/>
          <w:color w:val="auto"/>
          <w:sz w:val="24"/>
          <w:szCs w:val="24"/>
        </w:rPr>
      </w:pPr>
      <w:bookmarkStart w:id="53" w:name="_Toc86935825"/>
      <w:r>
        <w:rPr>
          <w:rFonts w:hint="eastAsia" w:hAnsi="宋体" w:cs="宋体"/>
          <w:bCs/>
          <w:color w:val="auto"/>
          <w:sz w:val="24"/>
          <w:szCs w:val="24"/>
        </w:rPr>
        <w:t>23.3采购代理机构无义务向落标的磋商供应商解释落标原因和退还《响应文件》。</w:t>
      </w:r>
      <w:bookmarkEnd w:id="52"/>
      <w:bookmarkEnd w:id="53"/>
    </w:p>
    <w:p w14:paraId="688E73B7">
      <w:pPr>
        <w:pStyle w:val="26"/>
        <w:spacing w:line="400" w:lineRule="exact"/>
        <w:outlineLvl w:val="2"/>
        <w:rPr>
          <w:rFonts w:hAnsi="宋体" w:cs="宋体"/>
          <w:bCs/>
          <w:color w:val="auto"/>
          <w:sz w:val="24"/>
          <w:szCs w:val="24"/>
        </w:rPr>
      </w:pPr>
      <w:bookmarkStart w:id="54" w:name="_Toc16088"/>
      <w:bookmarkStart w:id="55" w:name="_Toc86935826"/>
      <w:bookmarkStart w:id="56" w:name="_Toc17903"/>
      <w:r>
        <w:rPr>
          <w:rFonts w:hint="eastAsia" w:hAnsi="宋体" w:cs="宋体"/>
          <w:b/>
          <w:color w:val="auto"/>
          <w:sz w:val="24"/>
          <w:szCs w:val="24"/>
        </w:rPr>
        <w:t>24.合同授予标准</w:t>
      </w:r>
      <w:bookmarkEnd w:id="54"/>
      <w:bookmarkEnd w:id="55"/>
    </w:p>
    <w:p w14:paraId="707B27D6">
      <w:pPr>
        <w:pStyle w:val="26"/>
        <w:spacing w:line="400" w:lineRule="exact"/>
        <w:ind w:firstLine="480" w:firstLineChars="200"/>
        <w:outlineLvl w:val="2"/>
        <w:rPr>
          <w:rFonts w:hAnsi="宋体" w:cs="宋体"/>
          <w:bCs/>
          <w:color w:val="auto"/>
          <w:sz w:val="24"/>
          <w:szCs w:val="24"/>
        </w:rPr>
      </w:pPr>
      <w:bookmarkStart w:id="57" w:name="_Toc86935827"/>
      <w:r>
        <w:rPr>
          <w:rFonts w:hint="eastAsia" w:hAnsi="宋体" w:cs="宋体"/>
          <w:bCs/>
          <w:color w:val="auto"/>
          <w:sz w:val="24"/>
          <w:szCs w:val="24"/>
        </w:rPr>
        <w:t>24.1合同将授予被确定为实质上响应《竞争性磋商文件》要求，评标认为具备履行合同能力，获得综合评分最高的磋商供应商。</w:t>
      </w:r>
      <w:bookmarkEnd w:id="56"/>
      <w:bookmarkEnd w:id="57"/>
      <w:r>
        <w:rPr>
          <w:rFonts w:hint="eastAsia" w:hAnsi="宋体" w:cs="宋体"/>
          <w:bCs/>
          <w:color w:val="auto"/>
          <w:sz w:val="24"/>
          <w:szCs w:val="24"/>
        </w:rPr>
        <w:t xml:space="preserve"> </w:t>
      </w:r>
    </w:p>
    <w:p w14:paraId="15B716A1">
      <w:pPr>
        <w:pStyle w:val="26"/>
        <w:spacing w:line="400" w:lineRule="exact"/>
        <w:ind w:firstLine="480" w:firstLineChars="200"/>
        <w:outlineLvl w:val="2"/>
        <w:rPr>
          <w:rFonts w:hAnsi="宋体" w:cs="宋体"/>
          <w:bCs/>
          <w:color w:val="auto"/>
          <w:sz w:val="24"/>
          <w:szCs w:val="24"/>
        </w:rPr>
      </w:pPr>
      <w:bookmarkStart w:id="58" w:name="_Toc22962"/>
      <w:bookmarkStart w:id="59" w:name="_Toc86935828"/>
      <w:r>
        <w:rPr>
          <w:rFonts w:hint="eastAsia" w:hAnsi="宋体" w:cs="宋体"/>
          <w:bCs/>
          <w:color w:val="auto"/>
          <w:sz w:val="24"/>
          <w:szCs w:val="24"/>
        </w:rPr>
        <w:t>24.2采购人应按照评标报告中推荐的成交候选人顺序确定成交人，也可授权磋商小组直接确定成交人。</w:t>
      </w:r>
      <w:bookmarkEnd w:id="58"/>
      <w:r>
        <w:rPr>
          <w:rFonts w:hint="eastAsia" w:hAnsi="宋体" w:cs="宋体"/>
          <w:bCs/>
          <w:color w:val="auto"/>
          <w:sz w:val="24"/>
          <w:szCs w:val="24"/>
        </w:rPr>
        <w:t>本项目授权磋商小组直接确定成交供应商。</w:t>
      </w:r>
      <w:bookmarkEnd w:id="59"/>
    </w:p>
    <w:p w14:paraId="2FEB37E0">
      <w:pPr>
        <w:spacing w:line="390" w:lineRule="exact"/>
        <w:rPr>
          <w:rFonts w:ascii="宋体" w:hAnsi="宋体" w:cs="宋体"/>
          <w:b/>
          <w:bCs/>
          <w:color w:val="auto"/>
          <w:sz w:val="24"/>
        </w:rPr>
      </w:pPr>
      <w:r>
        <w:rPr>
          <w:rFonts w:hint="eastAsia" w:ascii="宋体" w:hAnsi="宋体" w:cs="宋体"/>
          <w:b/>
          <w:bCs/>
          <w:color w:val="auto"/>
          <w:sz w:val="24"/>
        </w:rPr>
        <w:t>25、签订合同</w:t>
      </w:r>
    </w:p>
    <w:p w14:paraId="670B3703">
      <w:pPr>
        <w:pStyle w:val="26"/>
        <w:spacing w:line="360" w:lineRule="exact"/>
        <w:ind w:firstLine="480" w:firstLineChars="200"/>
        <w:rPr>
          <w:rFonts w:hAnsi="宋体" w:cs="宋体"/>
          <w:color w:val="auto"/>
          <w:sz w:val="24"/>
          <w:szCs w:val="24"/>
        </w:rPr>
      </w:pPr>
      <w:bookmarkStart w:id="60" w:name="_Toc459103905"/>
      <w:r>
        <w:rPr>
          <w:rFonts w:hint="eastAsia" w:hAnsi="宋体" w:cs="宋体"/>
          <w:color w:val="auto"/>
          <w:sz w:val="24"/>
          <w:szCs w:val="24"/>
        </w:rPr>
        <w:t>25.1成交人领取电子成交通知书后，按成交通知书中规定的时间、地点与采购人签订合同。</w:t>
      </w:r>
    </w:p>
    <w:p w14:paraId="1BB4AF12">
      <w:pPr>
        <w:pStyle w:val="26"/>
        <w:spacing w:line="400" w:lineRule="exact"/>
        <w:ind w:firstLine="480" w:firstLineChars="200"/>
        <w:rPr>
          <w:rFonts w:hAnsi="宋体" w:cs="宋体"/>
          <w:color w:val="auto"/>
          <w:sz w:val="24"/>
          <w:szCs w:val="24"/>
        </w:rPr>
      </w:pPr>
      <w:r>
        <w:rPr>
          <w:rFonts w:hint="eastAsia" w:hAnsi="宋体" w:cs="宋体"/>
          <w:color w:val="auto"/>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14:paraId="71921886">
      <w:pPr>
        <w:pStyle w:val="26"/>
        <w:spacing w:line="400" w:lineRule="exact"/>
        <w:ind w:firstLine="480" w:firstLineChars="200"/>
        <w:rPr>
          <w:rFonts w:hAnsi="宋体" w:cs="宋体"/>
          <w:color w:val="auto"/>
          <w:sz w:val="24"/>
          <w:szCs w:val="24"/>
        </w:rPr>
      </w:pPr>
      <w:r>
        <w:rPr>
          <w:rFonts w:hint="eastAsia" w:hAnsi="宋体" w:cs="宋体"/>
          <w:color w:val="auto"/>
          <w:sz w:val="24"/>
          <w:szCs w:val="24"/>
        </w:rPr>
        <w:t>25.3成交人因不可抗力或者自身原因不能履行政府采购合同的，采购人可以确定排名第二位的成交候选人并与其签订政府采购合同，以此类推，也可以重新开展政府采购活动。</w:t>
      </w:r>
    </w:p>
    <w:p w14:paraId="1D237BC5">
      <w:pPr>
        <w:pStyle w:val="26"/>
        <w:spacing w:line="400" w:lineRule="exact"/>
        <w:ind w:firstLine="480" w:firstLineChars="200"/>
        <w:rPr>
          <w:rFonts w:hAnsi="宋体" w:cs="宋体"/>
          <w:color w:val="auto"/>
          <w:sz w:val="24"/>
          <w:szCs w:val="24"/>
        </w:rPr>
      </w:pPr>
      <w:r>
        <w:rPr>
          <w:rFonts w:hint="eastAsia" w:hAnsi="宋体" w:cs="宋体"/>
          <w:color w:val="auto"/>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0898F3FA">
      <w:pPr>
        <w:spacing w:line="400" w:lineRule="exact"/>
        <w:ind w:firstLine="480" w:firstLineChars="200"/>
        <w:rPr>
          <w:rFonts w:ascii="宋体" w:hAnsi="宋体" w:cs="宋体"/>
          <w:color w:val="auto"/>
          <w:sz w:val="24"/>
        </w:rPr>
      </w:pPr>
      <w:r>
        <w:rPr>
          <w:rFonts w:hint="eastAsia" w:ascii="宋体" w:hAnsi="宋体" w:cs="宋体"/>
          <w:color w:val="auto"/>
          <w:sz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0AB4E95">
      <w:pPr>
        <w:spacing w:line="400" w:lineRule="exact"/>
        <w:ind w:firstLine="480" w:firstLineChars="200"/>
        <w:rPr>
          <w:rFonts w:ascii="宋体" w:hAnsi="宋体" w:cs="宋体"/>
          <w:b/>
          <w:bCs/>
          <w:color w:val="auto"/>
          <w:sz w:val="24"/>
        </w:rPr>
      </w:pPr>
      <w:r>
        <w:rPr>
          <w:rFonts w:hint="eastAsia" w:ascii="宋体" w:hAnsi="宋体" w:cs="宋体"/>
          <w:color w:val="auto"/>
          <w:sz w:val="24"/>
        </w:rPr>
        <w:t>25.6采购人和成交人应当自《成交通知书》发出之日起25日内，根据《竞争性磋商文件》和成交人的《响应文件》等内容签订采购合同</w:t>
      </w:r>
      <w:r>
        <w:rPr>
          <w:rFonts w:hint="eastAsia" w:ascii="宋体" w:hAnsi="宋体" w:cs="宋体"/>
          <w:b/>
          <w:bCs/>
          <w:color w:val="auto"/>
          <w:sz w:val="24"/>
        </w:rPr>
        <w:t>。</w:t>
      </w:r>
    </w:p>
    <w:p w14:paraId="34BB40FF">
      <w:pPr>
        <w:spacing w:line="400" w:lineRule="exact"/>
        <w:ind w:firstLine="480" w:firstLineChars="200"/>
        <w:rPr>
          <w:rFonts w:ascii="宋体" w:hAnsi="宋体" w:cs="宋体"/>
          <w:color w:val="auto"/>
          <w:sz w:val="24"/>
        </w:rPr>
      </w:pPr>
      <w:r>
        <w:rPr>
          <w:rFonts w:hint="eastAsia" w:ascii="宋体" w:hAnsi="宋体" w:cs="宋体"/>
          <w:color w:val="auto"/>
          <w:sz w:val="24"/>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6AE4561E">
      <w:pPr>
        <w:pStyle w:val="26"/>
        <w:spacing w:line="400" w:lineRule="exact"/>
        <w:outlineLvl w:val="2"/>
        <w:rPr>
          <w:rFonts w:hAnsi="宋体" w:cs="宋体"/>
          <w:b/>
          <w:color w:val="auto"/>
          <w:sz w:val="24"/>
          <w:szCs w:val="24"/>
        </w:rPr>
      </w:pPr>
      <w:bookmarkStart w:id="61" w:name="_Toc86935829"/>
      <w:bookmarkStart w:id="62" w:name="_Toc8743"/>
      <w:r>
        <w:rPr>
          <w:rFonts w:hint="eastAsia" w:hAnsi="宋体" w:cs="宋体"/>
          <w:b/>
          <w:color w:val="auto"/>
          <w:sz w:val="24"/>
          <w:szCs w:val="24"/>
        </w:rPr>
        <w:t>26.合同履行中的追加</w:t>
      </w:r>
      <w:bookmarkEnd w:id="61"/>
      <w:bookmarkEnd w:id="62"/>
    </w:p>
    <w:p w14:paraId="70BC9CED">
      <w:pPr>
        <w:pStyle w:val="26"/>
        <w:spacing w:line="400" w:lineRule="exact"/>
        <w:ind w:firstLine="480" w:firstLineChars="200"/>
        <w:rPr>
          <w:rFonts w:hAnsi="宋体" w:cs="宋体"/>
          <w:color w:val="auto"/>
          <w:sz w:val="24"/>
          <w:szCs w:val="24"/>
        </w:rPr>
      </w:pPr>
      <w:r>
        <w:rPr>
          <w:rFonts w:hint="eastAsia" w:hAnsi="宋体" w:cs="宋体"/>
          <w:color w:val="auto"/>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2A4199FB">
      <w:pPr>
        <w:spacing w:line="390" w:lineRule="exact"/>
        <w:rPr>
          <w:rFonts w:ascii="宋体" w:hAnsi="宋体" w:cs="宋体"/>
          <w:b/>
          <w:bCs/>
          <w:color w:val="auto"/>
          <w:sz w:val="24"/>
        </w:rPr>
      </w:pPr>
      <w:r>
        <w:rPr>
          <w:rFonts w:hint="eastAsia" w:ascii="宋体" w:hAnsi="宋体" w:cs="宋体"/>
          <w:b/>
          <w:bCs/>
          <w:color w:val="auto"/>
          <w:sz w:val="24"/>
        </w:rPr>
        <w:t>27.农民工工资保障金</w:t>
      </w:r>
    </w:p>
    <w:p w14:paraId="7D465746">
      <w:pPr>
        <w:pStyle w:val="3"/>
        <w:spacing w:before="0" w:after="0" w:line="390" w:lineRule="exact"/>
        <w:ind w:firstLine="480" w:firstLineChars="200"/>
        <w:jc w:val="both"/>
        <w:rPr>
          <w:rFonts w:ascii="宋体" w:hAnsi="宋体" w:eastAsia="宋体" w:cs="宋体"/>
          <w:b w:val="0"/>
          <w:color w:val="auto"/>
          <w:sz w:val="24"/>
          <w:szCs w:val="24"/>
        </w:rPr>
      </w:pPr>
      <w:bookmarkStart w:id="63" w:name="_Toc86935830"/>
      <w:r>
        <w:rPr>
          <w:rFonts w:hint="eastAsia" w:ascii="宋体" w:hAnsi="宋体" w:eastAsia="宋体" w:cs="宋体"/>
          <w:b w:val="0"/>
          <w:color w:val="auto"/>
          <w:sz w:val="24"/>
          <w:szCs w:val="24"/>
        </w:rPr>
        <w:t>27.1本项目不做要求。</w:t>
      </w:r>
      <w:bookmarkEnd w:id="63"/>
    </w:p>
    <w:p w14:paraId="52DA1CC2">
      <w:pPr>
        <w:pStyle w:val="3"/>
        <w:spacing w:before="0" w:after="0" w:line="390" w:lineRule="exact"/>
        <w:rPr>
          <w:rFonts w:ascii="宋体" w:hAnsi="宋体" w:eastAsia="宋体" w:cs="宋体"/>
          <w:color w:val="auto"/>
          <w:sz w:val="24"/>
          <w:szCs w:val="24"/>
        </w:rPr>
      </w:pPr>
      <w:bookmarkStart w:id="64" w:name="_Toc86935831"/>
      <w:r>
        <w:rPr>
          <w:rFonts w:hint="eastAsia" w:ascii="宋体" w:hAnsi="宋体" w:eastAsia="宋体" w:cs="宋体"/>
          <w:color w:val="auto"/>
          <w:sz w:val="24"/>
          <w:szCs w:val="24"/>
        </w:rPr>
        <w:t>八、其他事项</w:t>
      </w:r>
      <w:bookmarkEnd w:id="60"/>
      <w:bookmarkEnd w:id="64"/>
    </w:p>
    <w:p w14:paraId="5899E636">
      <w:pPr>
        <w:spacing w:line="390" w:lineRule="exact"/>
        <w:rPr>
          <w:rFonts w:ascii="宋体" w:hAnsi="宋体" w:cs="宋体"/>
          <w:b/>
          <w:bCs/>
          <w:color w:val="auto"/>
          <w:sz w:val="24"/>
        </w:rPr>
      </w:pPr>
      <w:r>
        <w:rPr>
          <w:rFonts w:hint="eastAsia" w:ascii="宋体" w:hAnsi="宋体" w:cs="宋体"/>
          <w:b/>
          <w:bCs/>
          <w:color w:val="auto"/>
          <w:sz w:val="24"/>
        </w:rPr>
        <w:t>28、解释权</w:t>
      </w:r>
    </w:p>
    <w:p w14:paraId="78F613E5">
      <w:pPr>
        <w:spacing w:line="390" w:lineRule="exact"/>
        <w:ind w:firstLine="480" w:firstLineChars="200"/>
        <w:rPr>
          <w:rFonts w:ascii="宋体" w:hAnsi="宋体" w:cs="宋体"/>
          <w:color w:val="auto"/>
          <w:sz w:val="24"/>
        </w:rPr>
      </w:pPr>
      <w:r>
        <w:rPr>
          <w:rFonts w:hint="eastAsia" w:ascii="宋体" w:hAnsi="宋体" w:cs="宋体"/>
          <w:color w:val="auto"/>
          <w:sz w:val="24"/>
        </w:rPr>
        <w:t>28.1本《竞争性磋商文件》是根据国家有关法律、法规以及政府采购管理有关规定和参照国际惯例编制，解释权属本采购代理机构。</w:t>
      </w:r>
    </w:p>
    <w:p w14:paraId="2321A56E">
      <w:pPr>
        <w:spacing w:line="390" w:lineRule="exact"/>
        <w:rPr>
          <w:rFonts w:ascii="宋体" w:hAnsi="宋体" w:cs="宋体"/>
          <w:b/>
          <w:color w:val="auto"/>
          <w:sz w:val="24"/>
        </w:rPr>
      </w:pPr>
      <w:r>
        <w:rPr>
          <w:rFonts w:hint="eastAsia" w:ascii="宋体" w:hAnsi="宋体" w:cs="宋体"/>
          <w:b/>
          <w:color w:val="auto"/>
          <w:sz w:val="24"/>
        </w:rPr>
        <w:t>29、代理服务费</w:t>
      </w:r>
    </w:p>
    <w:p w14:paraId="7D1D2EF5">
      <w:pPr>
        <w:spacing w:line="390" w:lineRule="exact"/>
        <w:ind w:firstLine="480" w:firstLineChars="200"/>
        <w:rPr>
          <w:rFonts w:ascii="宋体" w:hAnsi="宋体" w:cs="宋体"/>
          <w:color w:val="auto"/>
          <w:sz w:val="24"/>
        </w:rPr>
      </w:pPr>
      <w:r>
        <w:rPr>
          <w:rFonts w:hint="eastAsia" w:ascii="宋体" w:hAnsi="宋体" w:cs="宋体"/>
          <w:color w:val="auto"/>
          <w:sz w:val="24"/>
        </w:rPr>
        <w:t>29.1代理服务费：本项目的采购代理服务费按</w:t>
      </w:r>
      <w:r>
        <w:rPr>
          <w:rFonts w:hint="eastAsia" w:ascii="宋体" w:hAnsi="宋体" w:cs="宋体"/>
          <w:color w:val="auto"/>
          <w:sz w:val="24"/>
          <w:lang w:eastAsia="zh-CN"/>
        </w:rPr>
        <w:t>按计价格[2002]1980号《招标代理服务收费管理暂行办法》收费标准计取后向中标人收取。</w:t>
      </w:r>
    </w:p>
    <w:p w14:paraId="58939F15">
      <w:pPr>
        <w:spacing w:line="390" w:lineRule="exact"/>
        <w:rPr>
          <w:rFonts w:ascii="宋体" w:hAnsi="宋体" w:cs="宋体"/>
          <w:b/>
          <w:bCs/>
          <w:color w:val="auto"/>
          <w:sz w:val="24"/>
        </w:rPr>
      </w:pPr>
      <w:r>
        <w:rPr>
          <w:rFonts w:hint="eastAsia" w:ascii="宋体" w:hAnsi="宋体" w:cs="宋体"/>
          <w:b/>
          <w:color w:val="auto"/>
          <w:sz w:val="24"/>
        </w:rPr>
        <w:t>30、</w:t>
      </w:r>
      <w:r>
        <w:rPr>
          <w:rFonts w:hint="eastAsia" w:ascii="宋体" w:hAnsi="宋体" w:cs="宋体"/>
          <w:b/>
          <w:bCs/>
          <w:color w:val="auto"/>
          <w:sz w:val="24"/>
        </w:rPr>
        <w:t>有关事宜</w:t>
      </w:r>
    </w:p>
    <w:p w14:paraId="25C22499">
      <w:pPr>
        <w:spacing w:line="390" w:lineRule="exact"/>
        <w:ind w:firstLine="480" w:firstLineChars="200"/>
        <w:rPr>
          <w:rFonts w:ascii="宋体" w:hAnsi="宋体" w:cs="宋体"/>
          <w:color w:val="auto"/>
          <w:sz w:val="24"/>
        </w:rPr>
      </w:pPr>
      <w:r>
        <w:rPr>
          <w:rFonts w:hint="eastAsia" w:ascii="宋体" w:hAnsi="宋体" w:cs="宋体"/>
          <w:color w:val="auto"/>
          <w:sz w:val="24"/>
        </w:rPr>
        <w:t>30.1所有与本磋商文件有关的函电请按下列通讯地址联系：</w:t>
      </w:r>
    </w:p>
    <w:p w14:paraId="07BC1908">
      <w:pPr>
        <w:spacing w:line="390" w:lineRule="exact"/>
        <w:ind w:firstLine="480" w:firstLineChars="200"/>
        <w:rPr>
          <w:rFonts w:ascii="宋体" w:hAnsi="宋体" w:cs="宋体"/>
          <w:color w:val="auto"/>
          <w:sz w:val="24"/>
        </w:rPr>
      </w:pPr>
      <w:r>
        <w:rPr>
          <w:rFonts w:hint="eastAsia" w:ascii="宋体" w:hAnsi="宋体" w:cs="宋体"/>
          <w:color w:val="auto"/>
          <w:sz w:val="24"/>
        </w:rPr>
        <w:t>30.1.1采购代理机构：</w:t>
      </w:r>
    </w:p>
    <w:p w14:paraId="482EB384">
      <w:pPr>
        <w:spacing w:line="39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采购代理机构：</w:t>
      </w:r>
      <w:r>
        <w:rPr>
          <w:rFonts w:hint="eastAsia" w:ascii="宋体" w:hAnsi="宋体" w:cs="宋体"/>
          <w:color w:val="auto"/>
          <w:sz w:val="24"/>
          <w:lang w:eastAsia="zh-CN"/>
        </w:rPr>
        <w:t>广西诚华工程造价咨询有限公司</w:t>
      </w:r>
    </w:p>
    <w:p w14:paraId="2F95BBB7">
      <w:pPr>
        <w:spacing w:line="390" w:lineRule="exact"/>
        <w:ind w:right="-192" w:firstLine="480" w:firstLineChars="200"/>
        <w:rPr>
          <w:rFonts w:ascii="宋体" w:hAnsi="宋体" w:cs="宋体"/>
          <w:color w:val="auto"/>
          <w:sz w:val="24"/>
        </w:rPr>
      </w:pPr>
      <w:r>
        <w:rPr>
          <w:rFonts w:hint="eastAsia" w:ascii="宋体" w:hAnsi="宋体" w:cs="宋体"/>
          <w:color w:val="auto"/>
          <w:sz w:val="24"/>
        </w:rPr>
        <w:t>地 址：</w:t>
      </w:r>
      <w:r>
        <w:rPr>
          <w:rFonts w:hint="eastAsia" w:ascii="宋体" w:hAnsi="宋体" w:cs="宋体"/>
          <w:sz w:val="24"/>
        </w:rPr>
        <w:t>灵山县三海街道文峰路东二巷21号</w:t>
      </w:r>
      <w:r>
        <w:rPr>
          <w:rFonts w:hint="eastAsia" w:ascii="宋体" w:hAnsi="宋体" w:cs="宋体"/>
          <w:color w:val="auto"/>
          <w:kern w:val="0"/>
          <w:sz w:val="24"/>
        </w:rPr>
        <w:t>　</w:t>
      </w:r>
    </w:p>
    <w:p w14:paraId="64C56113">
      <w:pPr>
        <w:spacing w:line="390" w:lineRule="exact"/>
        <w:ind w:right="-192" w:firstLine="480" w:firstLineChars="200"/>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lang w:val="en-US" w:eastAsia="zh-CN"/>
        </w:rPr>
        <w:t>谢雍婷</w:t>
      </w:r>
    </w:p>
    <w:p w14:paraId="6FA1C66F">
      <w:pPr>
        <w:spacing w:line="390" w:lineRule="exact"/>
        <w:ind w:right="-192" w:firstLine="480" w:firstLineChars="200"/>
        <w:rPr>
          <w:rFonts w:ascii="宋体" w:hAnsi="宋体" w:cs="宋体"/>
          <w:color w:val="auto"/>
          <w:sz w:val="24"/>
        </w:rPr>
      </w:pPr>
      <w:r>
        <w:rPr>
          <w:rFonts w:hint="eastAsia" w:ascii="宋体" w:hAnsi="宋体" w:cs="宋体"/>
          <w:color w:val="auto"/>
          <w:sz w:val="24"/>
        </w:rPr>
        <w:t xml:space="preserve">电 话： </w:t>
      </w:r>
      <w:r>
        <w:rPr>
          <w:rFonts w:hint="eastAsia" w:ascii="宋体" w:hAnsi="宋体" w:cs="宋体"/>
          <w:color w:val="auto"/>
          <w:sz w:val="24"/>
          <w:lang w:val="en-US" w:eastAsia="zh-CN"/>
        </w:rPr>
        <w:t>19978059336</w:t>
      </w:r>
    </w:p>
    <w:p w14:paraId="55C855C9">
      <w:pPr>
        <w:spacing w:line="390" w:lineRule="exact"/>
        <w:ind w:right="-192" w:firstLine="480" w:firstLineChars="200"/>
        <w:rPr>
          <w:rFonts w:ascii="宋体" w:hAnsi="宋体" w:cs="宋体"/>
          <w:color w:val="auto"/>
          <w:sz w:val="24"/>
        </w:rPr>
      </w:pPr>
      <w:r>
        <w:rPr>
          <w:rFonts w:hint="eastAsia" w:ascii="宋体" w:hAnsi="宋体" w:cs="宋体"/>
          <w:color w:val="auto"/>
          <w:sz w:val="24"/>
        </w:rPr>
        <w:t>30.1.2监督机构</w:t>
      </w:r>
    </w:p>
    <w:p w14:paraId="6D87CDE0">
      <w:pPr>
        <w:spacing w:line="390" w:lineRule="exact"/>
        <w:ind w:right="-192" w:firstLine="480" w:firstLineChars="200"/>
        <w:rPr>
          <w:rFonts w:ascii="宋体" w:hAnsi="宋体" w:cs="宋体"/>
          <w:color w:val="auto"/>
          <w:sz w:val="24"/>
        </w:rPr>
      </w:pPr>
      <w:r>
        <w:rPr>
          <w:rFonts w:hint="eastAsia" w:ascii="宋体" w:hAnsi="宋体" w:cs="宋体"/>
          <w:color w:val="auto"/>
          <w:sz w:val="24"/>
        </w:rPr>
        <w:t>监督单位全称：灵山县财政局政府采购监督管理股</w:t>
      </w:r>
    </w:p>
    <w:p w14:paraId="4A964ADB">
      <w:pPr>
        <w:spacing w:line="390" w:lineRule="exact"/>
        <w:ind w:right="-192" w:firstLine="480" w:firstLineChars="200"/>
        <w:jc w:val="left"/>
        <w:rPr>
          <w:rFonts w:ascii="宋体" w:hAnsi="宋体" w:cs="宋体"/>
          <w:color w:val="auto"/>
          <w:sz w:val="24"/>
        </w:rPr>
      </w:pPr>
      <w:r>
        <w:rPr>
          <w:rFonts w:hint="eastAsia" w:ascii="宋体" w:hAnsi="宋体" w:cs="宋体"/>
          <w:color w:val="auto"/>
          <w:sz w:val="24"/>
        </w:rPr>
        <w:t>电话：</w:t>
      </w:r>
      <w:bookmarkStart w:id="65" w:name="_Toc439163592"/>
      <w:bookmarkStart w:id="66" w:name="_Toc296890982"/>
      <w:bookmarkStart w:id="67" w:name="_Toc440877583"/>
      <w:bookmarkStart w:id="68" w:name="_Toc373227552"/>
      <w:bookmarkStart w:id="69" w:name="_Toc296503025"/>
      <w:bookmarkStart w:id="70" w:name="_Toc351203480"/>
      <w:bookmarkStart w:id="71" w:name="_Toc406071080"/>
      <w:bookmarkStart w:id="72" w:name="_Toc389065255"/>
      <w:bookmarkStart w:id="73" w:name="_Toc430095341"/>
      <w:bookmarkStart w:id="74" w:name="_Toc373478199"/>
      <w:r>
        <w:rPr>
          <w:rFonts w:hint="eastAsia" w:ascii="宋体" w:hAnsi="宋体" w:cs="宋体"/>
          <w:color w:val="auto"/>
          <w:sz w:val="24"/>
        </w:rPr>
        <w:t xml:space="preserve">0777-6428581 </w:t>
      </w:r>
    </w:p>
    <w:p w14:paraId="18928978">
      <w:pPr>
        <w:pStyle w:val="70"/>
        <w:rPr>
          <w:color w:val="auto"/>
        </w:rPr>
      </w:pPr>
      <w:r>
        <w:rPr>
          <w:color w:val="auto"/>
        </w:rPr>
        <w:br w:type="page"/>
      </w:r>
    </w:p>
    <w:p w14:paraId="66794892">
      <w:pPr>
        <w:spacing w:line="390" w:lineRule="exact"/>
        <w:jc w:val="center"/>
        <w:outlineLvl w:val="0"/>
        <w:rPr>
          <w:rFonts w:hAnsi="宋体"/>
          <w:b/>
          <w:color w:val="auto"/>
          <w:sz w:val="36"/>
          <w:szCs w:val="36"/>
        </w:rPr>
      </w:pPr>
      <w:bookmarkStart w:id="75" w:name="_Toc19803"/>
      <w:r>
        <w:rPr>
          <w:rFonts w:hAnsi="宋体"/>
          <w:b/>
          <w:color w:val="auto"/>
          <w:sz w:val="36"/>
          <w:szCs w:val="36"/>
        </w:rPr>
        <w:t>第</w:t>
      </w:r>
      <w:r>
        <w:rPr>
          <w:rFonts w:hint="eastAsia" w:hAnsi="宋体"/>
          <w:b/>
          <w:color w:val="auto"/>
          <w:sz w:val="36"/>
          <w:szCs w:val="36"/>
        </w:rPr>
        <w:t>三</w:t>
      </w:r>
      <w:r>
        <w:rPr>
          <w:rFonts w:hAnsi="宋体"/>
          <w:b/>
          <w:color w:val="auto"/>
          <w:sz w:val="36"/>
          <w:szCs w:val="36"/>
        </w:rPr>
        <w:t>章  合同条款及格式</w:t>
      </w:r>
      <w:bookmarkEnd w:id="65"/>
      <w:bookmarkEnd w:id="75"/>
    </w:p>
    <w:p w14:paraId="22F0072C">
      <w:pPr>
        <w:pStyle w:val="19"/>
        <w:rPr>
          <w:color w:val="auto"/>
        </w:rPr>
      </w:pPr>
    </w:p>
    <w:bookmarkEnd w:id="66"/>
    <w:bookmarkEnd w:id="67"/>
    <w:bookmarkEnd w:id="68"/>
    <w:bookmarkEnd w:id="69"/>
    <w:bookmarkEnd w:id="70"/>
    <w:bookmarkEnd w:id="71"/>
    <w:bookmarkEnd w:id="72"/>
    <w:bookmarkEnd w:id="73"/>
    <w:bookmarkEnd w:id="74"/>
    <w:p w14:paraId="7F5E3239">
      <w:pPr>
        <w:spacing w:line="400" w:lineRule="exact"/>
        <w:ind w:firstLine="3640" w:firstLineChars="1300"/>
        <w:rPr>
          <w:rFonts w:ascii="黑体" w:hAnsi="宋体" w:eastAsia="黑体"/>
          <w:b/>
          <w:color w:val="auto"/>
          <w:sz w:val="28"/>
          <w:szCs w:val="28"/>
        </w:rPr>
      </w:pPr>
      <w:bookmarkStart w:id="76" w:name="_Toc430095344"/>
      <w:bookmarkStart w:id="77" w:name="_Toc440877586"/>
      <w:r>
        <w:rPr>
          <w:rFonts w:hint="eastAsia" w:ascii="黑体" w:hAnsi="宋体" w:eastAsia="黑体"/>
          <w:b/>
          <w:color w:val="auto"/>
          <w:sz w:val="28"/>
          <w:szCs w:val="28"/>
        </w:rPr>
        <w:t>第一部分 合同协议书</w:t>
      </w:r>
    </w:p>
    <w:p w14:paraId="26C4876D">
      <w:pPr>
        <w:spacing w:line="400" w:lineRule="exact"/>
        <w:rPr>
          <w:rFonts w:ascii="宋体" w:hAnsi="宋体"/>
          <w:color w:val="auto"/>
          <w:szCs w:val="21"/>
        </w:rPr>
      </w:pPr>
    </w:p>
    <w:p w14:paraId="592CEFF9">
      <w:pPr>
        <w:spacing w:line="400" w:lineRule="exact"/>
        <w:rPr>
          <w:rFonts w:ascii="宋体" w:hAnsi="宋体"/>
          <w:color w:val="auto"/>
          <w:szCs w:val="21"/>
          <w:u w:val="single"/>
        </w:rPr>
      </w:pPr>
      <w:r>
        <w:rPr>
          <w:rFonts w:ascii="宋体" w:hAnsi="宋体"/>
          <w:color w:val="auto"/>
          <w:szCs w:val="21"/>
        </w:rPr>
        <w:t>发包人（全称）：</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p>
    <w:p w14:paraId="64FC926D">
      <w:pPr>
        <w:spacing w:line="400" w:lineRule="exact"/>
        <w:rPr>
          <w:rFonts w:ascii="宋体" w:hAnsi="宋体"/>
          <w:color w:val="auto"/>
          <w:szCs w:val="21"/>
          <w:u w:val="single"/>
        </w:rPr>
      </w:pPr>
      <w:r>
        <w:rPr>
          <w:rFonts w:ascii="宋体" w:hAnsi="宋体"/>
          <w:color w:val="auto"/>
          <w:szCs w:val="21"/>
        </w:rPr>
        <w:t>承包人（全称）：</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p>
    <w:p w14:paraId="3BE38820">
      <w:pPr>
        <w:spacing w:line="400" w:lineRule="exact"/>
        <w:rPr>
          <w:rFonts w:ascii="宋体" w:hAnsi="宋体"/>
          <w:color w:val="auto"/>
          <w:szCs w:val="21"/>
        </w:rPr>
      </w:pPr>
    </w:p>
    <w:p w14:paraId="2BAA647B">
      <w:pPr>
        <w:spacing w:line="400" w:lineRule="exact"/>
        <w:ind w:firstLine="420" w:firstLineChars="200"/>
        <w:rPr>
          <w:rFonts w:ascii="宋体" w:hAnsi="宋体"/>
          <w:color w:val="auto"/>
          <w:szCs w:val="21"/>
        </w:rPr>
      </w:pPr>
      <w:r>
        <w:rPr>
          <w:rFonts w:ascii="宋体" w:hAnsi="宋体"/>
          <w:color w:val="auto"/>
          <w:szCs w:val="21"/>
        </w:rPr>
        <w:t>根据《</w:t>
      </w:r>
      <w:r>
        <w:rPr>
          <w:rFonts w:hint="eastAsia" w:ascii="宋体" w:hAnsi="宋体"/>
          <w:color w:val="auto"/>
          <w:szCs w:val="21"/>
        </w:rPr>
        <w:t>中华人民共和国民法典</w:t>
      </w:r>
      <w:r>
        <w:rPr>
          <w:rFonts w:ascii="宋体" w:hAnsi="宋体"/>
          <w:color w:val="auto"/>
          <w:szCs w:val="21"/>
        </w:rPr>
        <w:t>》、《中华人民共和国建筑法》及有关法律规定，遵循平等、自愿、公平和诚实信用的原则，双方就</w:t>
      </w:r>
      <w:r>
        <w:rPr>
          <w:rFonts w:ascii="宋体" w:hAnsi="宋体"/>
          <w:color w:val="auto"/>
          <w:szCs w:val="21"/>
          <w:u w:val="single"/>
        </w:rPr>
        <w:t xml:space="preserve">                       </w:t>
      </w:r>
      <w:r>
        <w:rPr>
          <w:rFonts w:ascii="宋体" w:hAnsi="宋体"/>
          <w:color w:val="auto"/>
          <w:szCs w:val="21"/>
        </w:rPr>
        <w:t>工程施工及有关事项协商一致，共同达成如下协议：</w:t>
      </w:r>
      <w:bookmarkStart w:id="78" w:name="_Toc351203481"/>
    </w:p>
    <w:p w14:paraId="1A6FF738">
      <w:pPr>
        <w:spacing w:line="400" w:lineRule="exact"/>
        <w:rPr>
          <w:rFonts w:ascii="宋体" w:hAnsi="宋体"/>
          <w:b/>
          <w:bCs/>
          <w:color w:val="auto"/>
          <w:szCs w:val="21"/>
        </w:rPr>
      </w:pPr>
      <w:r>
        <w:rPr>
          <w:rFonts w:ascii="宋体" w:hAnsi="宋体"/>
          <w:b/>
          <w:bCs/>
          <w:color w:val="auto"/>
          <w:szCs w:val="21"/>
        </w:rPr>
        <w:t>一</w:t>
      </w:r>
      <w:r>
        <w:rPr>
          <w:rFonts w:hint="eastAsia" w:ascii="宋体" w:hAnsi="宋体"/>
          <w:b/>
          <w:bCs/>
          <w:color w:val="auto"/>
          <w:szCs w:val="21"/>
        </w:rPr>
        <w:t>．</w:t>
      </w:r>
      <w:r>
        <w:rPr>
          <w:rFonts w:ascii="宋体" w:hAnsi="宋体"/>
          <w:b/>
          <w:bCs/>
          <w:color w:val="auto"/>
          <w:szCs w:val="21"/>
        </w:rPr>
        <w:t>工程概况</w:t>
      </w:r>
      <w:bookmarkEnd w:id="78"/>
    </w:p>
    <w:p w14:paraId="6BFD3725">
      <w:pPr>
        <w:spacing w:line="400" w:lineRule="exact"/>
        <w:rPr>
          <w:rFonts w:ascii="宋体" w:hAnsi="宋体"/>
          <w:color w:val="auto"/>
          <w:szCs w:val="21"/>
          <w:u w:val="single"/>
        </w:rPr>
      </w:pPr>
      <w:r>
        <w:rPr>
          <w:rFonts w:ascii="宋体" w:hAnsi="宋体"/>
          <w:bCs/>
          <w:color w:val="auto"/>
          <w:szCs w:val="21"/>
        </w:rPr>
        <w:t>1.</w:t>
      </w:r>
      <w:r>
        <w:rPr>
          <w:rFonts w:hint="eastAsia" w:ascii="宋体" w:hAnsi="宋体"/>
          <w:bCs/>
          <w:color w:val="auto"/>
          <w:szCs w:val="21"/>
        </w:rPr>
        <w:t xml:space="preserve"> </w:t>
      </w:r>
      <w:r>
        <w:rPr>
          <w:rFonts w:ascii="宋体" w:hAnsi="宋体"/>
          <w:bCs/>
          <w:color w:val="auto"/>
          <w:szCs w:val="21"/>
        </w:rPr>
        <w:t>工程名称</w:t>
      </w:r>
      <w:r>
        <w:rPr>
          <w:rFonts w:ascii="宋体" w:hAnsi="宋体"/>
          <w:color w:val="auto"/>
          <w:szCs w:val="21"/>
        </w:rPr>
        <w:t>：</w:t>
      </w:r>
      <w:r>
        <w:rPr>
          <w:rFonts w:ascii="宋体" w:hAnsi="宋体"/>
          <w:color w:val="auto"/>
          <w:szCs w:val="21"/>
          <w:u w:val="single"/>
        </w:rPr>
        <w:t xml:space="preserve">       </w:t>
      </w:r>
      <w:r>
        <w:rPr>
          <w:rFonts w:ascii="宋体" w:hAnsi="宋体"/>
          <w:color w:val="auto"/>
          <w:szCs w:val="21"/>
        </w:rPr>
        <w:t>。</w:t>
      </w:r>
    </w:p>
    <w:p w14:paraId="00942474">
      <w:pPr>
        <w:spacing w:line="400" w:lineRule="exact"/>
        <w:rPr>
          <w:rFonts w:ascii="宋体" w:hAnsi="宋体"/>
          <w:bCs/>
          <w:color w:val="auto"/>
          <w:szCs w:val="21"/>
        </w:rPr>
      </w:pPr>
      <w:r>
        <w:rPr>
          <w:rFonts w:ascii="宋体" w:hAnsi="宋体"/>
          <w:bCs/>
          <w:color w:val="auto"/>
          <w:szCs w:val="21"/>
        </w:rPr>
        <w:t>2.</w:t>
      </w:r>
      <w:r>
        <w:rPr>
          <w:rFonts w:hint="eastAsia" w:ascii="宋体" w:hAnsi="宋体"/>
          <w:bCs/>
          <w:color w:val="auto"/>
          <w:szCs w:val="21"/>
        </w:rPr>
        <w:t xml:space="preserve"> </w:t>
      </w:r>
      <w:r>
        <w:rPr>
          <w:rFonts w:ascii="宋体" w:hAnsi="宋体"/>
          <w:bCs/>
          <w:color w:val="auto"/>
          <w:szCs w:val="21"/>
        </w:rPr>
        <w:t>工程地点：</w:t>
      </w:r>
      <w:r>
        <w:rPr>
          <w:rFonts w:ascii="宋体" w:hAnsi="宋体"/>
          <w:color w:val="auto"/>
          <w:szCs w:val="21"/>
          <w:u w:val="single"/>
        </w:rPr>
        <w:t xml:space="preserve">       </w:t>
      </w:r>
      <w:r>
        <w:rPr>
          <w:rFonts w:ascii="宋体" w:hAnsi="宋体"/>
          <w:color w:val="auto"/>
          <w:szCs w:val="21"/>
        </w:rPr>
        <w:t>。</w:t>
      </w:r>
    </w:p>
    <w:p w14:paraId="27BCC89A">
      <w:pPr>
        <w:spacing w:line="400" w:lineRule="exact"/>
        <w:rPr>
          <w:rFonts w:ascii="宋体" w:hAnsi="宋体"/>
          <w:bCs/>
          <w:color w:val="auto"/>
          <w:szCs w:val="21"/>
        </w:rPr>
      </w:pPr>
      <w:r>
        <w:rPr>
          <w:rFonts w:ascii="宋体" w:hAnsi="宋体"/>
          <w:bCs/>
          <w:color w:val="auto"/>
          <w:szCs w:val="21"/>
        </w:rPr>
        <w:t>3.</w:t>
      </w:r>
      <w:r>
        <w:rPr>
          <w:rFonts w:hint="eastAsia" w:ascii="宋体" w:hAnsi="宋体"/>
          <w:bCs/>
          <w:color w:val="auto"/>
          <w:szCs w:val="21"/>
        </w:rPr>
        <w:t xml:space="preserve"> </w:t>
      </w:r>
      <w:r>
        <w:rPr>
          <w:rFonts w:ascii="宋体" w:hAnsi="宋体"/>
          <w:bCs/>
          <w:color w:val="auto"/>
          <w:szCs w:val="21"/>
        </w:rPr>
        <w:t>工程立项批准文号：</w:t>
      </w:r>
      <w:r>
        <w:rPr>
          <w:rFonts w:ascii="宋体" w:hAnsi="宋体"/>
          <w:color w:val="auto"/>
          <w:szCs w:val="21"/>
          <w:u w:val="single"/>
        </w:rPr>
        <w:t xml:space="preserve">       </w:t>
      </w:r>
      <w:r>
        <w:rPr>
          <w:rFonts w:ascii="宋体" w:hAnsi="宋体"/>
          <w:bCs/>
          <w:color w:val="auto"/>
          <w:szCs w:val="21"/>
        </w:rPr>
        <w:t>。</w:t>
      </w:r>
    </w:p>
    <w:p w14:paraId="0D7CAFDD">
      <w:pPr>
        <w:spacing w:line="400" w:lineRule="exact"/>
        <w:rPr>
          <w:rFonts w:ascii="宋体" w:hAnsi="宋体"/>
          <w:bCs/>
          <w:color w:val="auto"/>
          <w:szCs w:val="21"/>
        </w:rPr>
      </w:pPr>
      <w:r>
        <w:rPr>
          <w:rFonts w:ascii="宋体" w:hAnsi="宋体"/>
          <w:bCs/>
          <w:color w:val="auto"/>
          <w:szCs w:val="21"/>
        </w:rPr>
        <w:t>4.</w:t>
      </w:r>
      <w:r>
        <w:rPr>
          <w:rFonts w:hint="eastAsia" w:ascii="宋体" w:hAnsi="宋体"/>
          <w:bCs/>
          <w:color w:val="auto"/>
          <w:szCs w:val="21"/>
        </w:rPr>
        <w:t xml:space="preserve"> </w:t>
      </w:r>
      <w:r>
        <w:rPr>
          <w:rFonts w:ascii="宋体" w:hAnsi="宋体"/>
          <w:bCs/>
          <w:color w:val="auto"/>
          <w:szCs w:val="21"/>
        </w:rPr>
        <w:t>资金来源：</w:t>
      </w:r>
      <w:r>
        <w:rPr>
          <w:rFonts w:ascii="宋体" w:hAnsi="宋体"/>
          <w:color w:val="auto"/>
          <w:szCs w:val="21"/>
          <w:u w:val="single"/>
        </w:rPr>
        <w:t xml:space="preserve">       </w:t>
      </w:r>
      <w:r>
        <w:rPr>
          <w:rFonts w:ascii="宋体" w:hAnsi="宋体"/>
          <w:bCs/>
          <w:color w:val="auto"/>
          <w:szCs w:val="21"/>
        </w:rPr>
        <w:t>。</w:t>
      </w:r>
    </w:p>
    <w:p w14:paraId="1CA329AE">
      <w:pPr>
        <w:spacing w:line="400" w:lineRule="exact"/>
        <w:rPr>
          <w:rFonts w:ascii="宋体" w:hAnsi="宋体"/>
          <w:bCs/>
          <w:color w:val="auto"/>
          <w:szCs w:val="21"/>
        </w:rPr>
      </w:pPr>
      <w:r>
        <w:rPr>
          <w:rFonts w:ascii="宋体" w:hAnsi="宋体"/>
          <w:bCs/>
          <w:color w:val="auto"/>
          <w:szCs w:val="21"/>
        </w:rPr>
        <w:t>5.</w:t>
      </w:r>
      <w:r>
        <w:rPr>
          <w:rFonts w:hint="eastAsia" w:ascii="宋体" w:hAnsi="宋体"/>
          <w:bCs/>
          <w:color w:val="auto"/>
          <w:szCs w:val="21"/>
        </w:rPr>
        <w:t xml:space="preserve"> </w:t>
      </w:r>
      <w:r>
        <w:rPr>
          <w:rFonts w:ascii="宋体" w:hAnsi="宋体"/>
          <w:bCs/>
          <w:color w:val="auto"/>
          <w:szCs w:val="21"/>
        </w:rPr>
        <w:t>工程内容：</w:t>
      </w:r>
      <w:r>
        <w:rPr>
          <w:rFonts w:ascii="宋体" w:hAnsi="宋体"/>
          <w:color w:val="auto"/>
          <w:szCs w:val="21"/>
          <w:u w:val="single"/>
        </w:rPr>
        <w:t xml:space="preserve">       </w:t>
      </w:r>
      <w:r>
        <w:rPr>
          <w:rFonts w:ascii="宋体" w:hAnsi="宋体"/>
          <w:bCs/>
          <w:color w:val="auto"/>
          <w:szCs w:val="21"/>
        </w:rPr>
        <w:t>。</w:t>
      </w:r>
    </w:p>
    <w:p w14:paraId="709C860B">
      <w:pPr>
        <w:spacing w:line="400" w:lineRule="exact"/>
        <w:rPr>
          <w:rFonts w:ascii="宋体" w:hAnsi="宋体"/>
          <w:bCs/>
          <w:color w:val="auto"/>
          <w:szCs w:val="21"/>
        </w:rPr>
      </w:pPr>
      <w:r>
        <w:rPr>
          <w:rFonts w:ascii="宋体" w:hAnsi="宋体"/>
          <w:color w:val="auto"/>
          <w:szCs w:val="21"/>
        </w:rPr>
        <w:t>群体工程应附《承包人承揽工程项目一览表》（附件1）。</w:t>
      </w:r>
    </w:p>
    <w:p w14:paraId="05010874">
      <w:pPr>
        <w:spacing w:line="400" w:lineRule="exact"/>
        <w:rPr>
          <w:rFonts w:ascii="宋体" w:hAnsi="宋体"/>
          <w:bCs/>
          <w:color w:val="auto"/>
          <w:szCs w:val="21"/>
        </w:rPr>
      </w:pPr>
      <w:r>
        <w:rPr>
          <w:rFonts w:ascii="宋体" w:hAnsi="宋体"/>
          <w:bCs/>
          <w:color w:val="auto"/>
          <w:szCs w:val="21"/>
        </w:rPr>
        <w:t>6.</w:t>
      </w:r>
      <w:r>
        <w:rPr>
          <w:rFonts w:hint="eastAsia" w:ascii="宋体" w:hAnsi="宋体"/>
          <w:bCs/>
          <w:color w:val="auto"/>
          <w:szCs w:val="21"/>
        </w:rPr>
        <w:t xml:space="preserve"> </w:t>
      </w:r>
      <w:r>
        <w:rPr>
          <w:rFonts w:ascii="宋体" w:hAnsi="宋体"/>
          <w:bCs/>
          <w:color w:val="auto"/>
          <w:szCs w:val="21"/>
        </w:rPr>
        <w:t>工程承包范围：</w:t>
      </w:r>
      <w:r>
        <w:rPr>
          <w:rFonts w:ascii="宋体" w:hAnsi="宋体"/>
          <w:color w:val="auto"/>
          <w:szCs w:val="21"/>
          <w:u w:val="single"/>
        </w:rPr>
        <w:t>    </w:t>
      </w:r>
      <w:r>
        <w:rPr>
          <w:rFonts w:ascii="宋体" w:hAnsi="宋体"/>
          <w:color w:val="auto"/>
          <w:szCs w:val="21"/>
        </w:rPr>
        <w:t>。</w:t>
      </w:r>
    </w:p>
    <w:p w14:paraId="06C550E8">
      <w:pPr>
        <w:spacing w:line="400" w:lineRule="exact"/>
        <w:rPr>
          <w:rFonts w:ascii="宋体" w:hAnsi="宋体"/>
          <w:b/>
          <w:bCs/>
          <w:color w:val="auto"/>
          <w:szCs w:val="21"/>
        </w:rPr>
      </w:pPr>
      <w:bookmarkStart w:id="79" w:name="_Toc351203482"/>
      <w:r>
        <w:rPr>
          <w:rFonts w:ascii="宋体" w:hAnsi="宋体"/>
          <w:b/>
          <w:bCs/>
          <w:color w:val="auto"/>
          <w:szCs w:val="21"/>
        </w:rPr>
        <w:t>二</w:t>
      </w:r>
      <w:r>
        <w:rPr>
          <w:rFonts w:hint="eastAsia" w:ascii="宋体" w:hAnsi="宋体"/>
          <w:b/>
          <w:bCs/>
          <w:color w:val="auto"/>
          <w:szCs w:val="21"/>
        </w:rPr>
        <w:t>．</w:t>
      </w:r>
      <w:r>
        <w:rPr>
          <w:rFonts w:ascii="宋体" w:hAnsi="宋体"/>
          <w:b/>
          <w:bCs/>
          <w:color w:val="auto"/>
          <w:szCs w:val="21"/>
        </w:rPr>
        <w:t>合同工期</w:t>
      </w:r>
      <w:bookmarkEnd w:id="79"/>
    </w:p>
    <w:p w14:paraId="49DB0EA7">
      <w:pPr>
        <w:spacing w:line="400" w:lineRule="exact"/>
        <w:rPr>
          <w:rFonts w:ascii="宋体" w:hAnsi="宋体"/>
          <w:color w:val="auto"/>
          <w:szCs w:val="21"/>
        </w:rPr>
      </w:pPr>
      <w:r>
        <w:rPr>
          <w:rFonts w:ascii="宋体" w:hAnsi="宋体"/>
          <w:color w:val="auto"/>
          <w:szCs w:val="21"/>
        </w:rPr>
        <w:t>计划开工日期：</w:t>
      </w:r>
      <w:r>
        <w:rPr>
          <w:rFonts w:ascii="宋体" w:hAnsi="宋体"/>
          <w:color w:val="auto"/>
          <w:szCs w:val="21"/>
          <w:u w:val="single"/>
        </w:rPr>
        <w:t></w:t>
      </w:r>
      <w:r>
        <w:rPr>
          <w:rFonts w:ascii="宋体" w:hAnsi="宋体"/>
          <w:color w:val="auto"/>
          <w:szCs w:val="21"/>
        </w:rPr>
        <w:t>年</w:t>
      </w:r>
      <w:r>
        <w:rPr>
          <w:rFonts w:ascii="宋体" w:hAnsi="宋体"/>
          <w:color w:val="auto"/>
          <w:szCs w:val="21"/>
          <w:u w:val="single"/>
        </w:rPr>
        <w:t></w:t>
      </w:r>
      <w:r>
        <w:rPr>
          <w:rFonts w:ascii="宋体" w:hAnsi="宋体"/>
          <w:color w:val="auto"/>
          <w:szCs w:val="21"/>
        </w:rPr>
        <w:t>月</w:t>
      </w:r>
      <w:r>
        <w:rPr>
          <w:rFonts w:ascii="宋体" w:hAnsi="宋体"/>
          <w:color w:val="auto"/>
          <w:szCs w:val="21"/>
          <w:u w:val="single"/>
        </w:rPr>
        <w:t></w:t>
      </w:r>
      <w:r>
        <w:rPr>
          <w:rFonts w:ascii="宋体" w:hAnsi="宋体"/>
          <w:color w:val="auto"/>
          <w:szCs w:val="21"/>
        </w:rPr>
        <w:t>日。</w:t>
      </w:r>
    </w:p>
    <w:p w14:paraId="17AE4917">
      <w:pPr>
        <w:spacing w:line="400" w:lineRule="exact"/>
        <w:rPr>
          <w:rFonts w:ascii="宋体" w:hAnsi="宋体"/>
          <w:color w:val="auto"/>
          <w:szCs w:val="21"/>
        </w:rPr>
      </w:pPr>
      <w:r>
        <w:rPr>
          <w:rFonts w:ascii="宋体" w:hAnsi="宋体"/>
          <w:color w:val="auto"/>
          <w:szCs w:val="21"/>
        </w:rPr>
        <w:t>计划竣工日期：</w:t>
      </w:r>
      <w:r>
        <w:rPr>
          <w:rFonts w:ascii="宋体" w:hAnsi="宋体"/>
          <w:color w:val="auto"/>
          <w:szCs w:val="21"/>
          <w:u w:val="single"/>
        </w:rPr>
        <w:t></w:t>
      </w:r>
      <w:r>
        <w:rPr>
          <w:rFonts w:ascii="宋体" w:hAnsi="宋体"/>
          <w:color w:val="auto"/>
          <w:szCs w:val="21"/>
        </w:rPr>
        <w:t>年</w:t>
      </w:r>
      <w:r>
        <w:rPr>
          <w:rFonts w:ascii="宋体" w:hAnsi="宋体"/>
          <w:color w:val="auto"/>
          <w:szCs w:val="21"/>
          <w:u w:val="single"/>
        </w:rPr>
        <w:t></w:t>
      </w:r>
      <w:r>
        <w:rPr>
          <w:rFonts w:ascii="宋体" w:hAnsi="宋体"/>
          <w:color w:val="auto"/>
          <w:szCs w:val="21"/>
        </w:rPr>
        <w:t>月</w:t>
      </w:r>
      <w:r>
        <w:rPr>
          <w:rFonts w:ascii="宋体" w:hAnsi="宋体"/>
          <w:color w:val="auto"/>
          <w:szCs w:val="21"/>
          <w:u w:val="single"/>
        </w:rPr>
        <w:t></w:t>
      </w:r>
      <w:r>
        <w:rPr>
          <w:rFonts w:ascii="宋体" w:hAnsi="宋体"/>
          <w:color w:val="auto"/>
          <w:szCs w:val="21"/>
        </w:rPr>
        <w:t>日。</w:t>
      </w:r>
    </w:p>
    <w:p w14:paraId="2B372AFA">
      <w:pPr>
        <w:spacing w:line="400" w:lineRule="exact"/>
        <w:rPr>
          <w:rFonts w:ascii="宋体" w:hAnsi="宋体"/>
          <w:color w:val="auto"/>
          <w:szCs w:val="21"/>
        </w:rPr>
      </w:pPr>
      <w:r>
        <w:rPr>
          <w:rFonts w:ascii="宋体" w:hAnsi="宋体"/>
          <w:color w:val="auto"/>
          <w:szCs w:val="21"/>
        </w:rPr>
        <w:t>工期总日历天数：</w:t>
      </w:r>
      <w:r>
        <w:rPr>
          <w:rFonts w:ascii="宋体" w:hAnsi="宋体"/>
          <w:color w:val="auto"/>
          <w:szCs w:val="21"/>
          <w:u w:val="single"/>
        </w:rPr>
        <w:t></w:t>
      </w:r>
      <w:r>
        <w:rPr>
          <w:rFonts w:ascii="宋体" w:hAnsi="宋体"/>
          <w:color w:val="auto"/>
          <w:szCs w:val="21"/>
        </w:rPr>
        <w:t>天。工期总日历天数与根据前述计划开竣工日期计算的工期天数不一致的，以工期总日历天数为准。</w:t>
      </w:r>
    </w:p>
    <w:p w14:paraId="061C73A3">
      <w:pPr>
        <w:spacing w:line="400" w:lineRule="exact"/>
        <w:rPr>
          <w:rFonts w:ascii="宋体" w:hAnsi="宋体"/>
          <w:b/>
          <w:bCs/>
          <w:color w:val="auto"/>
          <w:szCs w:val="21"/>
        </w:rPr>
      </w:pPr>
      <w:bookmarkStart w:id="80" w:name="_Toc351203483"/>
      <w:r>
        <w:rPr>
          <w:rFonts w:ascii="宋体" w:hAnsi="宋体"/>
          <w:b/>
          <w:bCs/>
          <w:color w:val="auto"/>
          <w:szCs w:val="21"/>
        </w:rPr>
        <w:t>三</w:t>
      </w:r>
      <w:r>
        <w:rPr>
          <w:rFonts w:hint="eastAsia" w:ascii="宋体" w:hAnsi="宋体"/>
          <w:b/>
          <w:bCs/>
          <w:color w:val="auto"/>
          <w:szCs w:val="21"/>
        </w:rPr>
        <w:t>．</w:t>
      </w:r>
      <w:r>
        <w:rPr>
          <w:rFonts w:ascii="宋体" w:hAnsi="宋体"/>
          <w:b/>
          <w:bCs/>
          <w:color w:val="auto"/>
          <w:szCs w:val="21"/>
        </w:rPr>
        <w:t>质量标准</w:t>
      </w:r>
      <w:bookmarkEnd w:id="80"/>
    </w:p>
    <w:p w14:paraId="246F74F9">
      <w:pPr>
        <w:spacing w:line="400" w:lineRule="exact"/>
        <w:rPr>
          <w:rFonts w:ascii="宋体" w:hAnsi="宋体"/>
          <w:color w:val="auto"/>
          <w:szCs w:val="21"/>
        </w:rPr>
      </w:pPr>
      <w:r>
        <w:rPr>
          <w:rFonts w:ascii="宋体" w:hAnsi="宋体"/>
          <w:color w:val="auto"/>
          <w:szCs w:val="21"/>
        </w:rPr>
        <w:t>工程质量符合</w:t>
      </w:r>
      <w:r>
        <w:rPr>
          <w:rFonts w:ascii="宋体" w:hAnsi="宋体"/>
          <w:color w:val="auto"/>
          <w:szCs w:val="21"/>
          <w:u w:val="single"/>
        </w:rPr>
        <w:t></w:t>
      </w:r>
      <w:r>
        <w:rPr>
          <w:rFonts w:ascii="宋体" w:hAnsi="宋体"/>
          <w:color w:val="auto"/>
          <w:szCs w:val="21"/>
        </w:rPr>
        <w:t>标准。</w:t>
      </w:r>
    </w:p>
    <w:p w14:paraId="7359EE23">
      <w:pPr>
        <w:spacing w:line="400" w:lineRule="exact"/>
        <w:rPr>
          <w:rFonts w:ascii="宋体" w:hAnsi="宋体"/>
          <w:b/>
          <w:bCs/>
          <w:color w:val="auto"/>
          <w:szCs w:val="21"/>
        </w:rPr>
      </w:pPr>
      <w:bookmarkStart w:id="81" w:name="_Toc351203484"/>
      <w:r>
        <w:rPr>
          <w:rFonts w:ascii="宋体" w:hAnsi="宋体"/>
          <w:b/>
          <w:bCs/>
          <w:color w:val="auto"/>
          <w:szCs w:val="21"/>
        </w:rPr>
        <w:t>四</w:t>
      </w:r>
      <w:r>
        <w:rPr>
          <w:rFonts w:hint="eastAsia" w:ascii="宋体" w:hAnsi="宋体"/>
          <w:b/>
          <w:bCs/>
          <w:color w:val="auto"/>
          <w:szCs w:val="21"/>
        </w:rPr>
        <w:t>．</w:t>
      </w:r>
      <w:r>
        <w:rPr>
          <w:rFonts w:ascii="宋体" w:hAnsi="宋体"/>
          <w:b/>
          <w:bCs/>
          <w:color w:val="auto"/>
          <w:szCs w:val="21"/>
        </w:rPr>
        <w:t>签约合同价与合同价格形式</w:t>
      </w:r>
      <w:bookmarkEnd w:id="81"/>
    </w:p>
    <w:p w14:paraId="56FED6AA">
      <w:pPr>
        <w:spacing w:line="400" w:lineRule="exact"/>
        <w:rPr>
          <w:rFonts w:ascii="宋体" w:hAnsi="宋体"/>
          <w:color w:val="auto"/>
          <w:szCs w:val="21"/>
        </w:rPr>
      </w:pPr>
      <w:r>
        <w:rPr>
          <w:rFonts w:ascii="宋体" w:hAnsi="宋体"/>
          <w:color w:val="auto"/>
          <w:szCs w:val="21"/>
        </w:rPr>
        <w:t>1.签约合同价为：</w:t>
      </w:r>
    </w:p>
    <w:p w14:paraId="22F5D266">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r>
        <w:rPr>
          <w:rFonts w:ascii="宋体" w:hAnsi="宋体"/>
          <w:color w:val="auto"/>
          <w:szCs w:val="21"/>
        </w:rPr>
        <w:t>；</w:t>
      </w:r>
    </w:p>
    <w:p w14:paraId="0C265A81">
      <w:pPr>
        <w:spacing w:line="400" w:lineRule="exact"/>
        <w:rPr>
          <w:rFonts w:ascii="宋体" w:hAnsi="宋体"/>
          <w:color w:val="auto"/>
          <w:szCs w:val="21"/>
        </w:rPr>
      </w:pPr>
      <w:r>
        <w:rPr>
          <w:rFonts w:ascii="宋体" w:hAnsi="宋体"/>
          <w:color w:val="auto"/>
          <w:szCs w:val="21"/>
        </w:rPr>
        <w:t>其中：</w:t>
      </w:r>
    </w:p>
    <w:p w14:paraId="6F46E013">
      <w:pPr>
        <w:spacing w:line="400" w:lineRule="exact"/>
        <w:rPr>
          <w:rFonts w:ascii="宋体" w:hAnsi="宋体"/>
          <w:color w:val="auto"/>
          <w:szCs w:val="21"/>
        </w:rPr>
      </w:pPr>
      <w:r>
        <w:rPr>
          <w:rFonts w:hint="eastAsia" w:ascii="宋体" w:hAnsi="宋体"/>
          <w:color w:val="auto"/>
          <w:szCs w:val="21"/>
        </w:rPr>
        <w:t>（1）</w:t>
      </w:r>
      <w:r>
        <w:rPr>
          <w:rFonts w:ascii="宋体" w:hAnsi="宋体"/>
          <w:color w:val="auto"/>
          <w:szCs w:val="21"/>
        </w:rPr>
        <w:t>建安劳保费：</w:t>
      </w:r>
    </w:p>
    <w:p w14:paraId="1C69C25B">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r>
        <w:rPr>
          <w:rFonts w:ascii="宋体" w:hAnsi="宋体"/>
          <w:color w:val="auto"/>
          <w:szCs w:val="21"/>
        </w:rPr>
        <w:t>；</w:t>
      </w:r>
    </w:p>
    <w:p w14:paraId="2484EB7D">
      <w:pPr>
        <w:spacing w:line="400" w:lineRule="exact"/>
        <w:rPr>
          <w:rFonts w:ascii="宋体" w:hAnsi="宋体"/>
          <w:color w:val="auto"/>
          <w:szCs w:val="21"/>
        </w:rPr>
      </w:pPr>
      <w:r>
        <w:rPr>
          <w:rFonts w:ascii="宋体" w:hAnsi="宋体"/>
          <w:color w:val="auto"/>
          <w:szCs w:val="21"/>
        </w:rPr>
        <w:t>（2）安全文明施工费：</w:t>
      </w:r>
    </w:p>
    <w:p w14:paraId="6B78D1C2">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r>
        <w:rPr>
          <w:rFonts w:ascii="宋体" w:hAnsi="宋体"/>
          <w:color w:val="auto"/>
          <w:szCs w:val="21"/>
        </w:rPr>
        <w:t>；</w:t>
      </w:r>
    </w:p>
    <w:p w14:paraId="4AB283D5">
      <w:pPr>
        <w:spacing w:line="400" w:lineRule="exact"/>
        <w:rPr>
          <w:rFonts w:ascii="宋体" w:hAnsi="宋体"/>
          <w:color w:val="auto"/>
          <w:szCs w:val="21"/>
        </w:rPr>
      </w:pPr>
      <w:r>
        <w:rPr>
          <w:rFonts w:ascii="宋体" w:hAnsi="宋体"/>
          <w:color w:val="auto"/>
          <w:szCs w:val="21"/>
        </w:rPr>
        <w:t>（3）材料和工程设备暂估价金额：</w:t>
      </w:r>
    </w:p>
    <w:p w14:paraId="1A7C8865">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r>
        <w:rPr>
          <w:rFonts w:ascii="宋体" w:hAnsi="宋体"/>
          <w:color w:val="auto"/>
          <w:szCs w:val="21"/>
        </w:rPr>
        <w:t>；</w:t>
      </w:r>
    </w:p>
    <w:p w14:paraId="765A8076">
      <w:pPr>
        <w:spacing w:line="400" w:lineRule="exact"/>
        <w:rPr>
          <w:rFonts w:ascii="宋体" w:hAnsi="宋体"/>
          <w:color w:val="auto"/>
          <w:szCs w:val="21"/>
        </w:rPr>
      </w:pPr>
      <w:r>
        <w:rPr>
          <w:rFonts w:ascii="宋体" w:hAnsi="宋体"/>
          <w:color w:val="auto"/>
          <w:szCs w:val="21"/>
        </w:rPr>
        <w:t>（4）专业工程暂估价金额：</w:t>
      </w:r>
    </w:p>
    <w:p w14:paraId="6BE9E536">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r>
        <w:rPr>
          <w:rFonts w:ascii="宋体" w:hAnsi="宋体"/>
          <w:color w:val="auto"/>
          <w:szCs w:val="21"/>
        </w:rPr>
        <w:t>；</w:t>
      </w:r>
    </w:p>
    <w:p w14:paraId="7D91BDCC">
      <w:pPr>
        <w:spacing w:line="400" w:lineRule="exact"/>
        <w:rPr>
          <w:rFonts w:ascii="宋体" w:hAnsi="宋体"/>
          <w:color w:val="auto"/>
          <w:szCs w:val="21"/>
        </w:rPr>
      </w:pPr>
      <w:r>
        <w:rPr>
          <w:rFonts w:ascii="宋体" w:hAnsi="宋体"/>
          <w:color w:val="auto"/>
          <w:szCs w:val="21"/>
        </w:rPr>
        <w:t>（5）暂列金额：</w:t>
      </w:r>
    </w:p>
    <w:p w14:paraId="26EEAD42">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r>
        <w:rPr>
          <w:rFonts w:ascii="宋体" w:hAnsi="宋体"/>
          <w:color w:val="auto"/>
          <w:szCs w:val="21"/>
        </w:rPr>
        <w:t>。</w:t>
      </w:r>
    </w:p>
    <w:p w14:paraId="6716FDC4">
      <w:pPr>
        <w:spacing w:line="400" w:lineRule="exact"/>
        <w:rPr>
          <w:rFonts w:ascii="宋体" w:hAnsi="宋体"/>
          <w:color w:val="auto"/>
          <w:szCs w:val="21"/>
        </w:rPr>
      </w:pPr>
      <w:r>
        <w:rPr>
          <w:rFonts w:ascii="宋体" w:hAnsi="宋体"/>
          <w:color w:val="auto"/>
          <w:szCs w:val="21"/>
        </w:rPr>
        <w:t xml:space="preserve">2.合同价格形式：   </w:t>
      </w:r>
      <w:r>
        <w:rPr>
          <w:rFonts w:ascii="宋体" w:hAnsi="宋体"/>
          <w:color w:val="auto"/>
          <w:szCs w:val="21"/>
          <w:u w:val="single"/>
        </w:rPr>
        <w:t xml:space="preserve">               </w:t>
      </w:r>
      <w:r>
        <w:rPr>
          <w:rFonts w:ascii="宋体" w:hAnsi="宋体"/>
          <w:color w:val="auto"/>
          <w:szCs w:val="21"/>
        </w:rPr>
        <w:t>。</w:t>
      </w:r>
    </w:p>
    <w:p w14:paraId="6F06E69B">
      <w:pPr>
        <w:spacing w:line="400" w:lineRule="exact"/>
        <w:rPr>
          <w:rFonts w:ascii="宋体" w:hAnsi="宋体"/>
          <w:b/>
          <w:bCs/>
          <w:color w:val="auto"/>
          <w:szCs w:val="21"/>
        </w:rPr>
      </w:pPr>
      <w:bookmarkStart w:id="82" w:name="_Toc351203485"/>
      <w:r>
        <w:rPr>
          <w:rFonts w:ascii="宋体" w:hAnsi="宋体"/>
          <w:b/>
          <w:bCs/>
          <w:color w:val="auto"/>
          <w:szCs w:val="21"/>
        </w:rPr>
        <w:t>五</w:t>
      </w:r>
      <w:bookmarkEnd w:id="82"/>
      <w:r>
        <w:rPr>
          <w:rFonts w:hint="eastAsia" w:ascii="宋体" w:hAnsi="宋体"/>
          <w:b/>
          <w:bCs/>
          <w:color w:val="auto"/>
          <w:szCs w:val="21"/>
        </w:rPr>
        <w:t>．</w:t>
      </w:r>
      <w:r>
        <w:rPr>
          <w:rFonts w:ascii="宋体" w:hAnsi="宋体"/>
          <w:b/>
          <w:bCs/>
          <w:color w:val="auto"/>
          <w:szCs w:val="21"/>
        </w:rPr>
        <w:t>项目经理</w:t>
      </w:r>
    </w:p>
    <w:p w14:paraId="27B50A38">
      <w:pPr>
        <w:spacing w:line="400" w:lineRule="exact"/>
        <w:rPr>
          <w:rFonts w:ascii="宋体" w:hAnsi="宋体"/>
          <w:color w:val="auto"/>
          <w:szCs w:val="21"/>
        </w:rPr>
      </w:pPr>
      <w:r>
        <w:rPr>
          <w:rFonts w:ascii="宋体" w:hAnsi="宋体"/>
          <w:color w:val="auto"/>
          <w:szCs w:val="21"/>
        </w:rPr>
        <w:t>承包人项目经理：</w:t>
      </w:r>
      <w:r>
        <w:rPr>
          <w:rFonts w:ascii="宋体" w:hAnsi="宋体"/>
          <w:color w:val="auto"/>
          <w:szCs w:val="21"/>
          <w:u w:val="single"/>
        </w:rPr>
        <w:t>                     </w:t>
      </w:r>
      <w:r>
        <w:rPr>
          <w:rFonts w:ascii="宋体" w:hAnsi="宋体"/>
          <w:color w:val="auto"/>
          <w:szCs w:val="21"/>
        </w:rPr>
        <w:t>。</w:t>
      </w:r>
    </w:p>
    <w:p w14:paraId="51431385">
      <w:pPr>
        <w:spacing w:line="400" w:lineRule="exact"/>
        <w:rPr>
          <w:rFonts w:ascii="宋体" w:hAnsi="宋体"/>
          <w:b/>
          <w:bCs/>
          <w:color w:val="auto"/>
          <w:szCs w:val="21"/>
        </w:rPr>
      </w:pPr>
      <w:bookmarkStart w:id="83" w:name="_Toc351203486"/>
      <w:r>
        <w:rPr>
          <w:rFonts w:ascii="宋体" w:hAnsi="宋体"/>
          <w:b/>
          <w:bCs/>
          <w:color w:val="auto"/>
          <w:szCs w:val="21"/>
        </w:rPr>
        <w:t>六</w:t>
      </w:r>
      <w:r>
        <w:rPr>
          <w:rFonts w:hint="eastAsia" w:ascii="宋体" w:hAnsi="宋体"/>
          <w:b/>
          <w:bCs/>
          <w:color w:val="auto"/>
          <w:szCs w:val="21"/>
        </w:rPr>
        <w:t>．</w:t>
      </w:r>
      <w:r>
        <w:rPr>
          <w:rFonts w:ascii="宋体" w:hAnsi="宋体"/>
          <w:b/>
          <w:bCs/>
          <w:color w:val="auto"/>
          <w:szCs w:val="21"/>
        </w:rPr>
        <w:t>合同文件构成</w:t>
      </w:r>
      <w:bookmarkEnd w:id="83"/>
    </w:p>
    <w:p w14:paraId="35EEBBC9">
      <w:pPr>
        <w:spacing w:line="400" w:lineRule="exact"/>
        <w:rPr>
          <w:rFonts w:ascii="宋体" w:hAnsi="宋体"/>
          <w:bCs/>
          <w:color w:val="auto"/>
          <w:szCs w:val="21"/>
        </w:rPr>
      </w:pPr>
      <w:r>
        <w:rPr>
          <w:rFonts w:ascii="宋体" w:hAnsi="宋体"/>
          <w:bCs/>
          <w:color w:val="auto"/>
          <w:szCs w:val="21"/>
        </w:rPr>
        <w:t>本协议书与下列文件一起构成合同文件：</w:t>
      </w:r>
    </w:p>
    <w:p w14:paraId="6A8B1233">
      <w:pPr>
        <w:autoSpaceDE w:val="0"/>
        <w:autoSpaceDN w:val="0"/>
        <w:adjustRightInd w:val="0"/>
        <w:spacing w:line="400" w:lineRule="exact"/>
        <w:jc w:val="left"/>
        <w:rPr>
          <w:rFonts w:ascii="宋体" w:hAnsi="宋体"/>
          <w:color w:val="auto"/>
          <w:szCs w:val="21"/>
        </w:rPr>
      </w:pPr>
      <w:r>
        <w:rPr>
          <w:rFonts w:ascii="宋体" w:hAnsi="宋体"/>
          <w:color w:val="auto"/>
          <w:szCs w:val="21"/>
        </w:rPr>
        <w:t>（1）</w:t>
      </w:r>
      <w:r>
        <w:rPr>
          <w:rFonts w:hint="eastAsia" w:ascii="宋体" w:hAnsi="宋体"/>
          <w:color w:val="auto"/>
          <w:szCs w:val="21"/>
        </w:rPr>
        <w:t>成交</w:t>
      </w:r>
      <w:r>
        <w:rPr>
          <w:rFonts w:ascii="宋体" w:hAnsi="宋体"/>
          <w:color w:val="auto"/>
          <w:szCs w:val="21"/>
        </w:rPr>
        <w:t>通知书；</w:t>
      </w:r>
    </w:p>
    <w:p w14:paraId="3DCE1962">
      <w:pPr>
        <w:autoSpaceDE w:val="0"/>
        <w:autoSpaceDN w:val="0"/>
        <w:adjustRightInd w:val="0"/>
        <w:spacing w:line="400" w:lineRule="exact"/>
        <w:jc w:val="left"/>
        <w:rPr>
          <w:rFonts w:ascii="宋体" w:hAnsi="宋体"/>
          <w:color w:val="auto"/>
          <w:szCs w:val="21"/>
        </w:rPr>
      </w:pPr>
      <w:r>
        <w:rPr>
          <w:rFonts w:ascii="宋体" w:hAnsi="宋体"/>
          <w:color w:val="auto"/>
          <w:szCs w:val="21"/>
        </w:rPr>
        <w:t>（2）</w:t>
      </w:r>
      <w:r>
        <w:rPr>
          <w:rFonts w:hint="eastAsia" w:ascii="宋体" w:hAnsi="宋体"/>
          <w:color w:val="auto"/>
          <w:szCs w:val="21"/>
        </w:rPr>
        <w:t>竞标</w:t>
      </w:r>
      <w:r>
        <w:rPr>
          <w:rFonts w:ascii="宋体" w:hAnsi="宋体"/>
          <w:color w:val="auto"/>
          <w:szCs w:val="21"/>
        </w:rPr>
        <w:t xml:space="preserve">函及其附录； </w:t>
      </w:r>
    </w:p>
    <w:p w14:paraId="7793EE67">
      <w:pPr>
        <w:autoSpaceDE w:val="0"/>
        <w:autoSpaceDN w:val="0"/>
        <w:adjustRightInd w:val="0"/>
        <w:spacing w:line="400" w:lineRule="exact"/>
        <w:jc w:val="left"/>
        <w:rPr>
          <w:rFonts w:ascii="宋体" w:hAnsi="宋体"/>
          <w:color w:val="auto"/>
          <w:szCs w:val="21"/>
        </w:rPr>
      </w:pPr>
      <w:r>
        <w:rPr>
          <w:rFonts w:ascii="宋体" w:hAnsi="宋体"/>
          <w:color w:val="auto"/>
          <w:szCs w:val="21"/>
        </w:rPr>
        <w:t>（3）专用合同条款及其附件；</w:t>
      </w:r>
    </w:p>
    <w:p w14:paraId="445ED01A">
      <w:pPr>
        <w:autoSpaceDE w:val="0"/>
        <w:autoSpaceDN w:val="0"/>
        <w:adjustRightInd w:val="0"/>
        <w:spacing w:line="400" w:lineRule="exact"/>
        <w:jc w:val="left"/>
        <w:rPr>
          <w:rFonts w:ascii="宋体" w:hAnsi="宋体"/>
          <w:color w:val="auto"/>
          <w:szCs w:val="21"/>
        </w:rPr>
      </w:pPr>
      <w:r>
        <w:rPr>
          <w:rFonts w:ascii="宋体" w:hAnsi="宋体"/>
          <w:color w:val="auto"/>
          <w:szCs w:val="21"/>
        </w:rPr>
        <w:t>（4）通用合同条款；</w:t>
      </w:r>
    </w:p>
    <w:p w14:paraId="3BE447C3">
      <w:pPr>
        <w:autoSpaceDE w:val="0"/>
        <w:autoSpaceDN w:val="0"/>
        <w:adjustRightInd w:val="0"/>
        <w:spacing w:line="400" w:lineRule="exact"/>
        <w:jc w:val="left"/>
        <w:rPr>
          <w:rFonts w:ascii="宋体" w:hAnsi="宋体"/>
          <w:color w:val="auto"/>
          <w:szCs w:val="21"/>
        </w:rPr>
      </w:pPr>
      <w:r>
        <w:rPr>
          <w:rFonts w:ascii="宋体" w:hAnsi="宋体"/>
          <w:color w:val="auto"/>
          <w:szCs w:val="21"/>
        </w:rPr>
        <w:t>（5）技术标准和要求；</w:t>
      </w:r>
    </w:p>
    <w:p w14:paraId="67EE757A">
      <w:pPr>
        <w:autoSpaceDE w:val="0"/>
        <w:autoSpaceDN w:val="0"/>
        <w:adjustRightInd w:val="0"/>
        <w:spacing w:line="400" w:lineRule="exact"/>
        <w:jc w:val="left"/>
        <w:rPr>
          <w:rFonts w:ascii="宋体" w:hAnsi="宋体"/>
          <w:color w:val="auto"/>
          <w:szCs w:val="21"/>
        </w:rPr>
      </w:pPr>
      <w:r>
        <w:rPr>
          <w:rFonts w:ascii="宋体" w:hAnsi="宋体"/>
          <w:color w:val="auto"/>
          <w:szCs w:val="21"/>
        </w:rPr>
        <w:t xml:space="preserve">（6）已标价工程量清单或预算书； </w:t>
      </w:r>
    </w:p>
    <w:p w14:paraId="15E8DE08">
      <w:pPr>
        <w:autoSpaceDE w:val="0"/>
        <w:autoSpaceDN w:val="0"/>
        <w:adjustRightInd w:val="0"/>
        <w:spacing w:line="400" w:lineRule="exact"/>
        <w:jc w:val="left"/>
        <w:rPr>
          <w:rFonts w:ascii="宋体" w:hAnsi="宋体"/>
          <w:color w:val="auto"/>
          <w:szCs w:val="21"/>
        </w:rPr>
      </w:pPr>
      <w:r>
        <w:rPr>
          <w:rFonts w:ascii="宋体" w:hAnsi="宋体"/>
          <w:color w:val="auto"/>
          <w:szCs w:val="21"/>
        </w:rPr>
        <w:t>（7）图纸；</w:t>
      </w:r>
    </w:p>
    <w:p w14:paraId="44456923">
      <w:pPr>
        <w:autoSpaceDE w:val="0"/>
        <w:autoSpaceDN w:val="0"/>
        <w:adjustRightInd w:val="0"/>
        <w:spacing w:line="400" w:lineRule="exact"/>
        <w:jc w:val="left"/>
        <w:rPr>
          <w:rFonts w:ascii="宋体" w:hAnsi="宋体"/>
          <w:color w:val="auto"/>
          <w:szCs w:val="21"/>
        </w:rPr>
      </w:pPr>
      <w:r>
        <w:rPr>
          <w:rFonts w:ascii="宋体" w:hAnsi="宋体"/>
          <w:color w:val="auto"/>
          <w:szCs w:val="21"/>
        </w:rPr>
        <w:t>（8）其他合同文件。</w:t>
      </w:r>
    </w:p>
    <w:p w14:paraId="05059D45">
      <w:pPr>
        <w:autoSpaceDE w:val="0"/>
        <w:autoSpaceDN w:val="0"/>
        <w:adjustRightInd w:val="0"/>
        <w:spacing w:line="400" w:lineRule="exact"/>
        <w:jc w:val="left"/>
        <w:rPr>
          <w:rFonts w:ascii="宋体" w:hAnsi="宋体"/>
          <w:color w:val="auto"/>
          <w:szCs w:val="21"/>
        </w:rPr>
      </w:pPr>
      <w:r>
        <w:rPr>
          <w:rFonts w:ascii="宋体" w:hAnsi="宋体"/>
          <w:color w:val="auto"/>
          <w:szCs w:val="21"/>
        </w:rPr>
        <w:t>在合同订立及履行过程中形成的与合同有关的文件均构成合同文件组成部分。</w:t>
      </w:r>
    </w:p>
    <w:p w14:paraId="31C839F4">
      <w:pPr>
        <w:autoSpaceDE w:val="0"/>
        <w:autoSpaceDN w:val="0"/>
        <w:adjustRightInd w:val="0"/>
        <w:spacing w:line="400" w:lineRule="exact"/>
        <w:jc w:val="left"/>
        <w:rPr>
          <w:rFonts w:ascii="宋体" w:hAnsi="宋体"/>
          <w:color w:val="auto"/>
          <w:szCs w:val="21"/>
        </w:rPr>
      </w:pPr>
      <w:r>
        <w:rPr>
          <w:rFonts w:ascii="宋体" w:hAnsi="宋体"/>
          <w:color w:val="auto"/>
          <w:szCs w:val="21"/>
        </w:rPr>
        <w:t>上述各项合同文件包括合同当事人就该项合同文件所作出的补充和修改，属于同一类内容的文件，应以最新签署的为准。专用合同条款及其附件须经合同当事人签字或盖章。</w:t>
      </w:r>
    </w:p>
    <w:p w14:paraId="5C834496">
      <w:pPr>
        <w:autoSpaceDE w:val="0"/>
        <w:autoSpaceDN w:val="0"/>
        <w:adjustRightInd w:val="0"/>
        <w:spacing w:line="400" w:lineRule="exact"/>
        <w:jc w:val="left"/>
        <w:rPr>
          <w:rFonts w:ascii="宋体" w:hAnsi="宋体"/>
          <w:b/>
          <w:bCs/>
          <w:color w:val="auto"/>
          <w:szCs w:val="21"/>
        </w:rPr>
      </w:pPr>
      <w:bookmarkStart w:id="84" w:name="_Toc351203487"/>
      <w:r>
        <w:rPr>
          <w:rFonts w:ascii="宋体" w:hAnsi="宋体"/>
          <w:b/>
          <w:bCs/>
          <w:color w:val="auto"/>
          <w:szCs w:val="21"/>
        </w:rPr>
        <w:t>七</w:t>
      </w:r>
      <w:r>
        <w:rPr>
          <w:rFonts w:hint="eastAsia" w:ascii="宋体" w:hAnsi="宋体"/>
          <w:b/>
          <w:bCs/>
          <w:color w:val="auto"/>
          <w:szCs w:val="21"/>
        </w:rPr>
        <w:t>．</w:t>
      </w:r>
      <w:r>
        <w:rPr>
          <w:rFonts w:ascii="宋体" w:hAnsi="宋体"/>
          <w:b/>
          <w:bCs/>
          <w:color w:val="auto"/>
          <w:szCs w:val="21"/>
        </w:rPr>
        <w:t>承诺</w:t>
      </w:r>
      <w:bookmarkEnd w:id="84"/>
    </w:p>
    <w:p w14:paraId="2F8CB348">
      <w:pPr>
        <w:spacing w:line="400" w:lineRule="exact"/>
        <w:rPr>
          <w:rFonts w:ascii="宋体" w:hAnsi="宋体"/>
          <w:bCs/>
          <w:color w:val="auto"/>
          <w:szCs w:val="21"/>
        </w:rPr>
      </w:pPr>
      <w:r>
        <w:rPr>
          <w:rFonts w:ascii="宋体" w:hAnsi="宋体"/>
          <w:bCs/>
          <w:color w:val="auto"/>
          <w:szCs w:val="21"/>
        </w:rPr>
        <w:t>1.发包人承诺按照法律规定履行项目审批手续、筹集工程建设资金并按照合同约定的期限和方式支付合同价款。</w:t>
      </w:r>
    </w:p>
    <w:p w14:paraId="119B349D">
      <w:pPr>
        <w:spacing w:line="400" w:lineRule="exact"/>
        <w:rPr>
          <w:rFonts w:ascii="宋体" w:hAnsi="宋体"/>
          <w:bCs/>
          <w:color w:val="auto"/>
          <w:szCs w:val="21"/>
        </w:rPr>
      </w:pPr>
      <w:r>
        <w:rPr>
          <w:rFonts w:ascii="宋体" w:hAnsi="宋体"/>
          <w:bCs/>
          <w:color w:val="auto"/>
          <w:szCs w:val="21"/>
        </w:rPr>
        <w:t>2.承包人承诺按照法律规定及合同约定组织完成工程施工，确保工程质量和安全，不进行转包及违法分包，并在缺陷责任期及保修期内承担相应的工程维修责任。</w:t>
      </w:r>
    </w:p>
    <w:p w14:paraId="373DE9F9">
      <w:pPr>
        <w:spacing w:line="400" w:lineRule="exact"/>
        <w:rPr>
          <w:rFonts w:ascii="宋体" w:hAnsi="宋体"/>
          <w:bCs/>
          <w:color w:val="auto"/>
          <w:szCs w:val="21"/>
        </w:rPr>
      </w:pPr>
      <w:r>
        <w:rPr>
          <w:rFonts w:ascii="宋体" w:hAnsi="宋体"/>
          <w:bCs/>
          <w:color w:val="auto"/>
          <w:szCs w:val="21"/>
        </w:rPr>
        <w:t>3.发包人和承包人通过招</w:t>
      </w:r>
      <w:r>
        <w:rPr>
          <w:rFonts w:hint="eastAsia" w:ascii="宋体" w:hAnsi="宋体"/>
          <w:bCs/>
          <w:color w:val="auto"/>
          <w:szCs w:val="21"/>
        </w:rPr>
        <w:t>竞标</w:t>
      </w:r>
      <w:r>
        <w:rPr>
          <w:rFonts w:ascii="宋体" w:hAnsi="宋体"/>
          <w:bCs/>
          <w:color w:val="auto"/>
          <w:szCs w:val="21"/>
        </w:rPr>
        <w:t>形式签订合同的，双方理解并承诺不再就同一工程另行签订与合同实质性内容相背离的协议。</w:t>
      </w:r>
      <w:bookmarkStart w:id="85" w:name="_Toc351203488"/>
    </w:p>
    <w:p w14:paraId="0165499D">
      <w:pPr>
        <w:spacing w:line="400" w:lineRule="exact"/>
        <w:rPr>
          <w:rFonts w:ascii="宋体" w:hAnsi="宋体"/>
          <w:b/>
          <w:bCs/>
          <w:color w:val="auto"/>
          <w:szCs w:val="21"/>
        </w:rPr>
      </w:pPr>
      <w:r>
        <w:rPr>
          <w:rFonts w:ascii="宋体" w:hAnsi="宋体"/>
          <w:b/>
          <w:bCs/>
          <w:color w:val="auto"/>
          <w:szCs w:val="21"/>
        </w:rPr>
        <w:t>八</w:t>
      </w:r>
      <w:r>
        <w:rPr>
          <w:rFonts w:hint="eastAsia" w:ascii="宋体" w:hAnsi="宋体"/>
          <w:b/>
          <w:bCs/>
          <w:color w:val="auto"/>
          <w:szCs w:val="21"/>
        </w:rPr>
        <w:t>．</w:t>
      </w:r>
      <w:r>
        <w:rPr>
          <w:rFonts w:ascii="宋体" w:hAnsi="宋体"/>
          <w:b/>
          <w:bCs/>
          <w:color w:val="auto"/>
          <w:szCs w:val="21"/>
        </w:rPr>
        <w:t>词语含义</w:t>
      </w:r>
      <w:bookmarkEnd w:id="85"/>
    </w:p>
    <w:p w14:paraId="3D8F4284">
      <w:pPr>
        <w:spacing w:line="400" w:lineRule="exact"/>
        <w:rPr>
          <w:rFonts w:ascii="宋体" w:hAnsi="宋体"/>
          <w:bCs/>
          <w:color w:val="auto"/>
          <w:szCs w:val="21"/>
        </w:rPr>
      </w:pPr>
      <w:r>
        <w:rPr>
          <w:rFonts w:ascii="宋体" w:hAnsi="宋体"/>
          <w:bCs/>
          <w:color w:val="auto"/>
          <w:szCs w:val="21"/>
        </w:rPr>
        <w:t>本协议书中词语含义与第二部分通用合同条款中赋予的含义相同。</w:t>
      </w:r>
    </w:p>
    <w:p w14:paraId="0103970D">
      <w:pPr>
        <w:spacing w:line="400" w:lineRule="exact"/>
        <w:rPr>
          <w:rFonts w:ascii="宋体" w:hAnsi="宋体"/>
          <w:b/>
          <w:bCs/>
          <w:color w:val="auto"/>
          <w:szCs w:val="21"/>
        </w:rPr>
      </w:pPr>
      <w:bookmarkStart w:id="86" w:name="_Toc351203489"/>
      <w:r>
        <w:rPr>
          <w:rFonts w:ascii="宋体" w:hAnsi="宋体"/>
          <w:b/>
          <w:bCs/>
          <w:color w:val="auto"/>
          <w:szCs w:val="21"/>
        </w:rPr>
        <w:t>九</w:t>
      </w:r>
      <w:r>
        <w:rPr>
          <w:rFonts w:hint="eastAsia" w:ascii="宋体" w:hAnsi="宋体"/>
          <w:b/>
          <w:bCs/>
          <w:color w:val="auto"/>
          <w:szCs w:val="21"/>
        </w:rPr>
        <w:t>．</w:t>
      </w:r>
      <w:r>
        <w:rPr>
          <w:rFonts w:ascii="宋体" w:hAnsi="宋体"/>
          <w:b/>
          <w:bCs/>
          <w:color w:val="auto"/>
          <w:szCs w:val="21"/>
        </w:rPr>
        <w:t>签订时间</w:t>
      </w:r>
      <w:bookmarkEnd w:id="86"/>
    </w:p>
    <w:p w14:paraId="44AB2D95">
      <w:pPr>
        <w:spacing w:line="400" w:lineRule="exact"/>
        <w:rPr>
          <w:rFonts w:ascii="宋体" w:hAnsi="宋体"/>
          <w:bCs/>
          <w:color w:val="auto"/>
          <w:szCs w:val="21"/>
        </w:rPr>
      </w:pPr>
      <w:r>
        <w:rPr>
          <w:rFonts w:ascii="宋体" w:hAnsi="宋体"/>
          <w:bCs/>
          <w:color w:val="auto"/>
          <w:szCs w:val="21"/>
        </w:rPr>
        <w:t>本合同于</w:t>
      </w:r>
      <w:r>
        <w:rPr>
          <w:rFonts w:ascii="宋体" w:hAnsi="宋体"/>
          <w:bCs/>
          <w:color w:val="auto"/>
          <w:szCs w:val="21"/>
          <w:u w:val="single"/>
        </w:rPr>
        <w:t xml:space="preserve">         </w:t>
      </w:r>
      <w:r>
        <w:rPr>
          <w:rFonts w:ascii="宋体" w:hAnsi="宋体"/>
          <w:bCs/>
          <w:color w:val="auto"/>
          <w:szCs w:val="21"/>
        </w:rPr>
        <w:t>年</w:t>
      </w:r>
      <w:r>
        <w:rPr>
          <w:rFonts w:ascii="宋体" w:hAnsi="宋体"/>
          <w:bCs/>
          <w:color w:val="auto"/>
          <w:szCs w:val="21"/>
          <w:u w:val="single"/>
        </w:rPr>
        <w:t xml:space="preserve">    </w:t>
      </w:r>
      <w:r>
        <w:rPr>
          <w:rFonts w:ascii="宋体" w:hAnsi="宋体"/>
          <w:bCs/>
          <w:color w:val="auto"/>
          <w:szCs w:val="21"/>
        </w:rPr>
        <w:t>月</w:t>
      </w:r>
      <w:r>
        <w:rPr>
          <w:rFonts w:ascii="宋体" w:hAnsi="宋体"/>
          <w:bCs/>
          <w:color w:val="auto"/>
          <w:szCs w:val="21"/>
          <w:u w:val="single"/>
        </w:rPr>
        <w:t xml:space="preserve">    </w:t>
      </w:r>
      <w:r>
        <w:rPr>
          <w:rFonts w:ascii="宋体" w:hAnsi="宋体"/>
          <w:bCs/>
          <w:color w:val="auto"/>
          <w:szCs w:val="21"/>
        </w:rPr>
        <w:t>日签订。</w:t>
      </w:r>
    </w:p>
    <w:p w14:paraId="5F5F39AB">
      <w:pPr>
        <w:spacing w:line="400" w:lineRule="exact"/>
        <w:rPr>
          <w:rFonts w:ascii="宋体" w:hAnsi="宋体"/>
          <w:b/>
          <w:bCs/>
          <w:color w:val="auto"/>
          <w:szCs w:val="21"/>
        </w:rPr>
      </w:pPr>
      <w:bookmarkStart w:id="87" w:name="_Toc351203490"/>
      <w:r>
        <w:rPr>
          <w:rFonts w:ascii="宋体" w:hAnsi="宋体"/>
          <w:b/>
          <w:bCs/>
          <w:color w:val="auto"/>
          <w:szCs w:val="21"/>
        </w:rPr>
        <w:t>十</w:t>
      </w:r>
      <w:r>
        <w:rPr>
          <w:rFonts w:hint="eastAsia" w:ascii="宋体" w:hAnsi="宋体"/>
          <w:b/>
          <w:bCs/>
          <w:color w:val="auto"/>
          <w:szCs w:val="21"/>
        </w:rPr>
        <w:t>．</w:t>
      </w:r>
      <w:r>
        <w:rPr>
          <w:rFonts w:ascii="宋体" w:hAnsi="宋体"/>
          <w:b/>
          <w:bCs/>
          <w:color w:val="auto"/>
          <w:szCs w:val="21"/>
        </w:rPr>
        <w:t>签订地点</w:t>
      </w:r>
      <w:bookmarkEnd w:id="87"/>
    </w:p>
    <w:p w14:paraId="60DF3E59">
      <w:pPr>
        <w:spacing w:line="400" w:lineRule="exact"/>
        <w:rPr>
          <w:rFonts w:ascii="宋体" w:hAnsi="宋体"/>
          <w:bCs/>
          <w:color w:val="auto"/>
          <w:szCs w:val="21"/>
        </w:rPr>
      </w:pPr>
      <w:r>
        <w:rPr>
          <w:rFonts w:ascii="宋体" w:hAnsi="宋体"/>
          <w:bCs/>
          <w:color w:val="auto"/>
          <w:szCs w:val="21"/>
        </w:rPr>
        <w:t>本合同在</w:t>
      </w:r>
      <w:r>
        <w:rPr>
          <w:rFonts w:ascii="宋体" w:hAnsi="宋体"/>
          <w:bCs/>
          <w:color w:val="auto"/>
          <w:szCs w:val="21"/>
          <w:u w:val="single"/>
        </w:rPr>
        <w:t xml:space="preserve">                                    </w:t>
      </w:r>
      <w:r>
        <w:rPr>
          <w:rFonts w:ascii="宋体" w:hAnsi="宋体"/>
          <w:bCs/>
          <w:color w:val="auto"/>
          <w:szCs w:val="21"/>
        </w:rPr>
        <w:t>签订。</w:t>
      </w:r>
    </w:p>
    <w:p w14:paraId="0404C040">
      <w:pPr>
        <w:spacing w:line="400" w:lineRule="exact"/>
        <w:rPr>
          <w:rFonts w:ascii="宋体" w:hAnsi="宋体"/>
          <w:b/>
          <w:bCs/>
          <w:color w:val="auto"/>
          <w:szCs w:val="21"/>
        </w:rPr>
      </w:pPr>
      <w:bookmarkStart w:id="88" w:name="_Toc351203491"/>
      <w:r>
        <w:rPr>
          <w:rFonts w:ascii="宋体" w:hAnsi="宋体"/>
          <w:b/>
          <w:bCs/>
          <w:color w:val="auto"/>
          <w:szCs w:val="21"/>
        </w:rPr>
        <w:t>十一</w:t>
      </w:r>
      <w:r>
        <w:rPr>
          <w:rFonts w:hint="eastAsia" w:ascii="宋体" w:hAnsi="宋体"/>
          <w:b/>
          <w:bCs/>
          <w:color w:val="auto"/>
          <w:szCs w:val="21"/>
        </w:rPr>
        <w:t>．</w:t>
      </w:r>
      <w:r>
        <w:rPr>
          <w:rFonts w:ascii="宋体" w:hAnsi="宋体"/>
          <w:b/>
          <w:bCs/>
          <w:color w:val="auto"/>
          <w:szCs w:val="21"/>
        </w:rPr>
        <w:t>补充协议</w:t>
      </w:r>
      <w:bookmarkEnd w:id="88"/>
    </w:p>
    <w:p w14:paraId="64CA597E">
      <w:pPr>
        <w:spacing w:line="400" w:lineRule="exact"/>
        <w:rPr>
          <w:rFonts w:ascii="宋体" w:hAnsi="宋体"/>
          <w:bCs/>
          <w:color w:val="auto"/>
          <w:szCs w:val="21"/>
        </w:rPr>
      </w:pPr>
      <w:r>
        <w:rPr>
          <w:rFonts w:ascii="宋体" w:hAnsi="宋体"/>
          <w:bCs/>
          <w:color w:val="auto"/>
          <w:szCs w:val="21"/>
        </w:rPr>
        <w:t>合同未尽事宜，合同当事人另行签订补充协议，补充协议是合同的组成部分。</w:t>
      </w:r>
    </w:p>
    <w:p w14:paraId="358FE17C">
      <w:pPr>
        <w:spacing w:line="400" w:lineRule="exact"/>
        <w:rPr>
          <w:rFonts w:ascii="宋体" w:hAnsi="宋体"/>
          <w:b/>
          <w:bCs/>
          <w:color w:val="auto"/>
          <w:szCs w:val="21"/>
        </w:rPr>
      </w:pPr>
      <w:bookmarkStart w:id="89" w:name="_Toc351203492"/>
      <w:r>
        <w:rPr>
          <w:rFonts w:ascii="宋体" w:hAnsi="宋体"/>
          <w:b/>
          <w:bCs/>
          <w:color w:val="auto"/>
          <w:szCs w:val="21"/>
        </w:rPr>
        <w:t>十二</w:t>
      </w:r>
      <w:r>
        <w:rPr>
          <w:rFonts w:hint="eastAsia" w:ascii="宋体" w:hAnsi="宋体"/>
          <w:b/>
          <w:bCs/>
          <w:color w:val="auto"/>
          <w:szCs w:val="21"/>
        </w:rPr>
        <w:t>．</w:t>
      </w:r>
      <w:r>
        <w:rPr>
          <w:rFonts w:ascii="宋体" w:hAnsi="宋体"/>
          <w:b/>
          <w:bCs/>
          <w:color w:val="auto"/>
          <w:szCs w:val="21"/>
        </w:rPr>
        <w:t>合同生效</w:t>
      </w:r>
      <w:bookmarkEnd w:id="89"/>
    </w:p>
    <w:p w14:paraId="47193613">
      <w:pPr>
        <w:spacing w:line="400" w:lineRule="exact"/>
        <w:rPr>
          <w:rFonts w:ascii="宋体" w:hAnsi="宋体"/>
          <w:bCs/>
          <w:color w:val="auto"/>
          <w:szCs w:val="21"/>
        </w:rPr>
      </w:pPr>
      <w:r>
        <w:rPr>
          <w:rFonts w:ascii="宋体" w:hAnsi="宋体"/>
          <w:bCs/>
          <w:color w:val="auto"/>
          <w:szCs w:val="21"/>
        </w:rPr>
        <w:t>本合同自</w:t>
      </w:r>
      <w:r>
        <w:rPr>
          <w:rFonts w:ascii="宋体" w:hAnsi="宋体"/>
          <w:bCs/>
          <w:color w:val="auto"/>
          <w:szCs w:val="21"/>
          <w:u w:val="single"/>
        </w:rPr>
        <w:t xml:space="preserve">                                   </w:t>
      </w:r>
      <w:r>
        <w:rPr>
          <w:rFonts w:ascii="宋体" w:hAnsi="宋体"/>
          <w:bCs/>
          <w:color w:val="auto"/>
          <w:szCs w:val="21"/>
        </w:rPr>
        <w:t>生效。</w:t>
      </w:r>
    </w:p>
    <w:p w14:paraId="7B2BE086">
      <w:pPr>
        <w:spacing w:line="400" w:lineRule="exact"/>
        <w:rPr>
          <w:rFonts w:ascii="宋体" w:hAnsi="宋体"/>
          <w:b/>
          <w:bCs/>
          <w:color w:val="auto"/>
          <w:szCs w:val="21"/>
        </w:rPr>
      </w:pPr>
      <w:bookmarkStart w:id="90" w:name="_Toc351203493"/>
      <w:r>
        <w:rPr>
          <w:rFonts w:ascii="宋体" w:hAnsi="宋体"/>
          <w:b/>
          <w:bCs/>
          <w:color w:val="auto"/>
          <w:szCs w:val="21"/>
        </w:rPr>
        <w:t>十三</w:t>
      </w:r>
      <w:r>
        <w:rPr>
          <w:rFonts w:hint="eastAsia" w:ascii="宋体" w:hAnsi="宋体"/>
          <w:b/>
          <w:bCs/>
          <w:color w:val="auto"/>
          <w:szCs w:val="21"/>
        </w:rPr>
        <w:t>．</w:t>
      </w:r>
      <w:r>
        <w:rPr>
          <w:rFonts w:ascii="宋体" w:hAnsi="宋体"/>
          <w:b/>
          <w:bCs/>
          <w:color w:val="auto"/>
          <w:szCs w:val="21"/>
        </w:rPr>
        <w:t>合同份数</w:t>
      </w:r>
      <w:bookmarkEnd w:id="90"/>
    </w:p>
    <w:p w14:paraId="0BA81E0B">
      <w:pPr>
        <w:spacing w:line="400" w:lineRule="exact"/>
        <w:rPr>
          <w:rFonts w:ascii="宋体" w:hAnsi="宋体"/>
          <w:bCs/>
          <w:color w:val="auto"/>
          <w:szCs w:val="21"/>
        </w:rPr>
      </w:pPr>
      <w:r>
        <w:rPr>
          <w:rFonts w:ascii="宋体" w:hAnsi="宋体"/>
          <w:bCs/>
          <w:color w:val="auto"/>
          <w:szCs w:val="21"/>
        </w:rPr>
        <w:t>本合同一式</w:t>
      </w:r>
      <w:r>
        <w:rPr>
          <w:rFonts w:ascii="宋体" w:hAnsi="宋体"/>
          <w:bCs/>
          <w:color w:val="auto"/>
          <w:szCs w:val="21"/>
          <w:u w:val="single"/>
        </w:rPr>
        <w:t xml:space="preserve">    </w:t>
      </w:r>
      <w:r>
        <w:rPr>
          <w:rFonts w:ascii="宋体" w:hAnsi="宋体"/>
          <w:bCs/>
          <w:color w:val="auto"/>
          <w:szCs w:val="21"/>
        </w:rPr>
        <w:t>份，均具有同等法律效力，发包人执</w:t>
      </w:r>
      <w:r>
        <w:rPr>
          <w:rFonts w:ascii="宋体" w:hAnsi="宋体"/>
          <w:bCs/>
          <w:color w:val="auto"/>
          <w:szCs w:val="21"/>
          <w:u w:val="single"/>
        </w:rPr>
        <w:t xml:space="preserve">    </w:t>
      </w:r>
      <w:r>
        <w:rPr>
          <w:rFonts w:ascii="宋体" w:hAnsi="宋体"/>
          <w:bCs/>
          <w:color w:val="auto"/>
          <w:szCs w:val="21"/>
        </w:rPr>
        <w:t>份，承包人执</w:t>
      </w:r>
      <w:r>
        <w:rPr>
          <w:rFonts w:ascii="宋体" w:hAnsi="宋体"/>
          <w:bCs/>
          <w:color w:val="auto"/>
          <w:szCs w:val="21"/>
          <w:u w:val="single"/>
        </w:rPr>
        <w:t xml:space="preserve">    </w:t>
      </w:r>
      <w:r>
        <w:rPr>
          <w:rFonts w:ascii="宋体" w:hAnsi="宋体"/>
          <w:bCs/>
          <w:color w:val="auto"/>
          <w:szCs w:val="21"/>
        </w:rPr>
        <w:t>份。</w:t>
      </w:r>
    </w:p>
    <w:p w14:paraId="03D47C97">
      <w:pPr>
        <w:spacing w:line="400" w:lineRule="exact"/>
        <w:rPr>
          <w:rFonts w:ascii="宋体" w:hAnsi="宋体"/>
          <w:bCs/>
          <w:color w:val="auto"/>
          <w:szCs w:val="21"/>
        </w:rPr>
      </w:pPr>
    </w:p>
    <w:p w14:paraId="5C089CEA">
      <w:pPr>
        <w:spacing w:line="400" w:lineRule="exact"/>
        <w:rPr>
          <w:rFonts w:ascii="宋体" w:hAnsi="宋体"/>
          <w:color w:val="auto"/>
          <w:szCs w:val="21"/>
        </w:rPr>
      </w:pPr>
    </w:p>
    <w:p w14:paraId="569A5727">
      <w:pPr>
        <w:spacing w:line="400" w:lineRule="exact"/>
        <w:rPr>
          <w:rFonts w:ascii="宋体" w:hAnsi="宋体"/>
          <w:color w:val="auto"/>
          <w:szCs w:val="21"/>
        </w:rPr>
      </w:pPr>
      <w:r>
        <w:rPr>
          <w:rFonts w:ascii="宋体" w:hAnsi="宋体"/>
          <w:color w:val="auto"/>
          <w:szCs w:val="21"/>
        </w:rPr>
        <w:t xml:space="preserve">发包人：  </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 xml:space="preserve">                            承包人：  </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p>
    <w:p w14:paraId="457AC248">
      <w:pPr>
        <w:spacing w:line="400" w:lineRule="exact"/>
        <w:rPr>
          <w:rFonts w:ascii="宋体" w:hAnsi="宋体"/>
          <w:color w:val="auto"/>
          <w:szCs w:val="21"/>
          <w:u w:val="single"/>
        </w:rPr>
      </w:pPr>
      <w:r>
        <w:rPr>
          <w:rFonts w:ascii="宋体" w:hAnsi="宋体"/>
          <w:color w:val="auto"/>
          <w:szCs w:val="21"/>
        </w:rPr>
        <w:t xml:space="preserve">                                 </w:t>
      </w:r>
    </w:p>
    <w:p w14:paraId="4F0D1F57">
      <w:pPr>
        <w:spacing w:line="400" w:lineRule="exact"/>
        <w:rPr>
          <w:rFonts w:ascii="宋体" w:hAnsi="宋体"/>
          <w:color w:val="auto"/>
          <w:szCs w:val="21"/>
        </w:rPr>
      </w:pPr>
      <w:r>
        <w:rPr>
          <w:rFonts w:ascii="宋体" w:hAnsi="宋体"/>
          <w:color w:val="auto"/>
          <w:szCs w:val="21"/>
        </w:rPr>
        <w:t>法定代表人或其委托代理人：                    法定代表人或其委托代理人：</w:t>
      </w:r>
    </w:p>
    <w:p w14:paraId="6635309E">
      <w:pPr>
        <w:spacing w:line="400" w:lineRule="exact"/>
        <w:rPr>
          <w:rFonts w:ascii="宋体" w:hAnsi="宋体"/>
          <w:color w:val="auto"/>
          <w:szCs w:val="21"/>
        </w:rPr>
      </w:pPr>
      <w:r>
        <w:rPr>
          <w:rFonts w:ascii="宋体" w:hAnsi="宋体"/>
          <w:color w:val="auto"/>
          <w:szCs w:val="21"/>
        </w:rPr>
        <w:t>（签字）                                     （签字）</w:t>
      </w:r>
    </w:p>
    <w:p w14:paraId="65FE27DF">
      <w:pPr>
        <w:spacing w:line="400" w:lineRule="exact"/>
        <w:rPr>
          <w:rFonts w:ascii="宋体" w:hAnsi="宋体"/>
          <w:color w:val="auto"/>
          <w:szCs w:val="21"/>
          <w:u w:val="single"/>
        </w:rPr>
      </w:pPr>
    </w:p>
    <w:p w14:paraId="5CEE7B1C">
      <w:pPr>
        <w:tabs>
          <w:tab w:val="left" w:pos="4410"/>
        </w:tabs>
        <w:spacing w:line="400" w:lineRule="exact"/>
        <w:rPr>
          <w:rFonts w:ascii="宋体" w:hAnsi="宋体"/>
          <w:color w:val="auto"/>
          <w:szCs w:val="21"/>
        </w:rPr>
      </w:pPr>
      <w:r>
        <w:rPr>
          <w:rFonts w:ascii="宋体" w:hAnsi="宋体"/>
          <w:color w:val="auto"/>
          <w:szCs w:val="21"/>
        </w:rPr>
        <w:t>组织机构代码：</w:t>
      </w:r>
      <w:r>
        <w:rPr>
          <w:rFonts w:ascii="宋体" w:hAnsi="宋体"/>
          <w:color w:val="auto"/>
          <w:szCs w:val="21"/>
          <w:u w:val="single"/>
        </w:rPr>
        <w:t xml:space="preserve">       </w:t>
      </w:r>
      <w:r>
        <w:rPr>
          <w:rFonts w:ascii="宋体" w:hAnsi="宋体"/>
          <w:color w:val="auto"/>
          <w:szCs w:val="21"/>
        </w:rPr>
        <w:t xml:space="preserve">                  组织机构代码：</w:t>
      </w:r>
      <w:r>
        <w:rPr>
          <w:rFonts w:ascii="宋体" w:hAnsi="宋体"/>
          <w:color w:val="auto"/>
          <w:szCs w:val="21"/>
          <w:u w:val="single"/>
        </w:rPr>
        <w:t xml:space="preserve">          </w:t>
      </w:r>
      <w:r>
        <w:rPr>
          <w:rFonts w:ascii="宋体" w:hAnsi="宋体"/>
          <w:color w:val="auto"/>
          <w:szCs w:val="21"/>
        </w:rPr>
        <w:t xml:space="preserve"> </w:t>
      </w:r>
    </w:p>
    <w:p w14:paraId="4B32E42A">
      <w:pPr>
        <w:spacing w:line="400" w:lineRule="exact"/>
        <w:rPr>
          <w:rFonts w:ascii="宋体" w:hAnsi="宋体"/>
          <w:color w:val="auto"/>
          <w:szCs w:val="21"/>
        </w:rPr>
      </w:pPr>
      <w:r>
        <w:rPr>
          <w:rFonts w:ascii="宋体" w:hAnsi="宋体"/>
          <w:color w:val="auto"/>
          <w:szCs w:val="21"/>
        </w:rPr>
        <w:t>地  址：</w:t>
      </w:r>
      <w:r>
        <w:rPr>
          <w:rFonts w:ascii="宋体" w:hAnsi="宋体"/>
          <w:color w:val="auto"/>
          <w:szCs w:val="21"/>
          <w:u w:val="single"/>
        </w:rPr>
        <w:t xml:space="preserve">     </w:t>
      </w:r>
      <w:r>
        <w:rPr>
          <w:rFonts w:ascii="宋体" w:hAnsi="宋体"/>
          <w:color w:val="auto"/>
          <w:szCs w:val="21"/>
        </w:rPr>
        <w:t xml:space="preserve">                  地  址：</w:t>
      </w:r>
      <w:r>
        <w:rPr>
          <w:rFonts w:ascii="宋体" w:hAnsi="宋体"/>
          <w:color w:val="auto"/>
          <w:szCs w:val="21"/>
          <w:u w:val="single"/>
        </w:rPr>
        <w:t xml:space="preserve">        </w:t>
      </w:r>
    </w:p>
    <w:p w14:paraId="5FBEADA6">
      <w:pPr>
        <w:spacing w:line="400" w:lineRule="exact"/>
        <w:rPr>
          <w:rFonts w:ascii="宋体" w:hAnsi="宋体"/>
          <w:color w:val="auto"/>
          <w:szCs w:val="21"/>
        </w:rPr>
      </w:pPr>
      <w:r>
        <w:rPr>
          <w:rFonts w:ascii="宋体" w:hAnsi="宋体"/>
          <w:color w:val="auto"/>
          <w:szCs w:val="21"/>
        </w:rPr>
        <w:t>邮政编码：</w:t>
      </w:r>
      <w:r>
        <w:rPr>
          <w:rFonts w:ascii="宋体" w:hAnsi="宋体"/>
          <w:color w:val="auto"/>
          <w:szCs w:val="21"/>
          <w:u w:val="single"/>
        </w:rPr>
        <w:t xml:space="preserve">      </w:t>
      </w:r>
      <w:r>
        <w:rPr>
          <w:rFonts w:ascii="宋体" w:hAnsi="宋体"/>
          <w:color w:val="auto"/>
          <w:szCs w:val="21"/>
        </w:rPr>
        <w:t xml:space="preserve">                 邮政编码：</w:t>
      </w:r>
      <w:r>
        <w:rPr>
          <w:rFonts w:ascii="宋体" w:hAnsi="宋体"/>
          <w:color w:val="auto"/>
          <w:szCs w:val="21"/>
          <w:u w:val="single"/>
        </w:rPr>
        <w:t xml:space="preserve">   </w:t>
      </w:r>
    </w:p>
    <w:p w14:paraId="05949880">
      <w:pPr>
        <w:spacing w:line="400" w:lineRule="exact"/>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      </w:t>
      </w:r>
      <w:r>
        <w:rPr>
          <w:rFonts w:ascii="宋体" w:hAnsi="宋体"/>
          <w:color w:val="auto"/>
          <w:szCs w:val="21"/>
        </w:rPr>
        <w:t xml:space="preserve">                  法定代表人：</w:t>
      </w:r>
      <w:r>
        <w:rPr>
          <w:rFonts w:ascii="宋体" w:hAnsi="宋体"/>
          <w:color w:val="auto"/>
          <w:szCs w:val="21"/>
          <w:u w:val="single"/>
        </w:rPr>
        <w:t xml:space="preserve">             </w:t>
      </w:r>
    </w:p>
    <w:p w14:paraId="28A068CD">
      <w:pPr>
        <w:spacing w:line="400" w:lineRule="exact"/>
        <w:rPr>
          <w:rFonts w:ascii="宋体" w:hAnsi="宋体"/>
          <w:color w:val="auto"/>
          <w:szCs w:val="21"/>
        </w:rPr>
      </w:pPr>
      <w:r>
        <w:rPr>
          <w:rFonts w:ascii="宋体" w:hAnsi="宋体"/>
          <w:color w:val="auto"/>
          <w:szCs w:val="21"/>
        </w:rPr>
        <w:t>委托代理人：</w:t>
      </w:r>
      <w:r>
        <w:rPr>
          <w:rFonts w:ascii="宋体" w:hAnsi="宋体"/>
          <w:color w:val="auto"/>
          <w:szCs w:val="21"/>
          <w:u w:val="single"/>
        </w:rPr>
        <w:t xml:space="preserve">           </w:t>
      </w:r>
      <w:r>
        <w:rPr>
          <w:rFonts w:ascii="宋体" w:hAnsi="宋体"/>
          <w:color w:val="auto"/>
          <w:szCs w:val="21"/>
        </w:rPr>
        <w:t xml:space="preserve">                  委托代理人：</w:t>
      </w:r>
      <w:r>
        <w:rPr>
          <w:rFonts w:ascii="宋体" w:hAnsi="宋体"/>
          <w:color w:val="auto"/>
          <w:szCs w:val="21"/>
          <w:u w:val="single"/>
        </w:rPr>
        <w:t xml:space="preserve">             </w:t>
      </w:r>
    </w:p>
    <w:p w14:paraId="3538F9D2">
      <w:pPr>
        <w:spacing w:line="400" w:lineRule="exact"/>
        <w:rPr>
          <w:rFonts w:ascii="宋体" w:hAnsi="宋体"/>
          <w:color w:val="auto"/>
          <w:szCs w:val="21"/>
        </w:rPr>
      </w:pPr>
      <w:r>
        <w:rPr>
          <w:rFonts w:ascii="宋体" w:hAnsi="宋体"/>
          <w:color w:val="auto"/>
          <w:szCs w:val="21"/>
        </w:rPr>
        <w:t>电  话：</w:t>
      </w:r>
      <w:r>
        <w:rPr>
          <w:rFonts w:ascii="宋体" w:hAnsi="宋体"/>
          <w:color w:val="auto"/>
          <w:szCs w:val="21"/>
          <w:u w:val="single"/>
        </w:rPr>
        <w:t xml:space="preserve">   </w:t>
      </w:r>
      <w:r>
        <w:rPr>
          <w:rFonts w:ascii="宋体" w:hAnsi="宋体"/>
          <w:color w:val="auto"/>
          <w:szCs w:val="21"/>
        </w:rPr>
        <w:t xml:space="preserve">                  电  话：</w:t>
      </w:r>
      <w:r>
        <w:rPr>
          <w:rFonts w:ascii="宋体" w:hAnsi="宋体"/>
          <w:color w:val="auto"/>
          <w:szCs w:val="21"/>
          <w:u w:val="single"/>
        </w:rPr>
        <w:t xml:space="preserve">     </w:t>
      </w:r>
    </w:p>
    <w:p w14:paraId="26303D53">
      <w:pPr>
        <w:spacing w:line="400" w:lineRule="exact"/>
        <w:rPr>
          <w:rFonts w:ascii="宋体" w:hAnsi="宋体"/>
          <w:color w:val="auto"/>
          <w:szCs w:val="21"/>
        </w:rPr>
      </w:pPr>
      <w:r>
        <w:rPr>
          <w:rFonts w:ascii="宋体" w:hAnsi="宋体"/>
          <w:color w:val="auto"/>
          <w:szCs w:val="21"/>
        </w:rPr>
        <w:t>传  真：</w:t>
      </w:r>
      <w:r>
        <w:rPr>
          <w:rFonts w:ascii="宋体" w:hAnsi="宋体"/>
          <w:color w:val="auto"/>
          <w:szCs w:val="21"/>
          <w:u w:val="single"/>
        </w:rPr>
        <w:t xml:space="preserve">   </w:t>
      </w:r>
      <w:r>
        <w:rPr>
          <w:rFonts w:ascii="宋体" w:hAnsi="宋体"/>
          <w:color w:val="auto"/>
          <w:szCs w:val="21"/>
        </w:rPr>
        <w:t xml:space="preserve">                  传  真：</w:t>
      </w:r>
      <w:r>
        <w:rPr>
          <w:rFonts w:ascii="宋体" w:hAnsi="宋体"/>
          <w:color w:val="auto"/>
          <w:szCs w:val="21"/>
          <w:u w:val="single"/>
        </w:rPr>
        <w:t xml:space="preserve">     </w:t>
      </w:r>
    </w:p>
    <w:p w14:paraId="40992859">
      <w:pPr>
        <w:spacing w:line="400" w:lineRule="exact"/>
        <w:rPr>
          <w:rFonts w:ascii="宋体" w:hAnsi="宋体"/>
          <w:color w:val="auto"/>
          <w:szCs w:val="21"/>
        </w:rPr>
      </w:pPr>
      <w:r>
        <w:rPr>
          <w:rFonts w:ascii="宋体" w:hAnsi="宋体"/>
          <w:color w:val="auto"/>
          <w:szCs w:val="21"/>
        </w:rPr>
        <w:t>电子信箱：</w:t>
      </w:r>
      <w:r>
        <w:rPr>
          <w:rFonts w:ascii="宋体" w:hAnsi="宋体"/>
          <w:color w:val="auto"/>
          <w:szCs w:val="21"/>
          <w:u w:val="single"/>
        </w:rPr>
        <w:t xml:space="preserve">                 </w:t>
      </w:r>
      <w:r>
        <w:rPr>
          <w:rFonts w:ascii="宋体" w:hAnsi="宋体"/>
          <w:color w:val="auto"/>
          <w:szCs w:val="21"/>
        </w:rPr>
        <w:t xml:space="preserve">                  电子信箱：</w:t>
      </w:r>
      <w:r>
        <w:rPr>
          <w:rFonts w:ascii="宋体" w:hAnsi="宋体"/>
          <w:color w:val="auto"/>
          <w:szCs w:val="21"/>
          <w:u w:val="single"/>
        </w:rPr>
        <w:t xml:space="preserve">   </w:t>
      </w:r>
    </w:p>
    <w:p w14:paraId="25E9538C">
      <w:pPr>
        <w:spacing w:line="400" w:lineRule="exact"/>
        <w:rPr>
          <w:rFonts w:ascii="宋体" w:hAnsi="宋体"/>
          <w:color w:val="auto"/>
          <w:szCs w:val="21"/>
        </w:rPr>
      </w:pPr>
      <w:r>
        <w:rPr>
          <w:rFonts w:ascii="宋体" w:hAnsi="宋体"/>
          <w:color w:val="auto"/>
          <w:szCs w:val="21"/>
        </w:rPr>
        <w:t>开户银行：</w:t>
      </w:r>
      <w:r>
        <w:rPr>
          <w:rFonts w:ascii="宋体" w:hAnsi="宋体"/>
          <w:color w:val="auto"/>
          <w:szCs w:val="21"/>
          <w:u w:val="single"/>
        </w:rPr>
        <w:t xml:space="preserve">   </w:t>
      </w:r>
      <w:r>
        <w:rPr>
          <w:rFonts w:ascii="宋体" w:hAnsi="宋体"/>
          <w:color w:val="auto"/>
          <w:szCs w:val="21"/>
        </w:rPr>
        <w:t xml:space="preserve">                  开户银行：</w:t>
      </w:r>
      <w:r>
        <w:rPr>
          <w:rFonts w:ascii="宋体" w:hAnsi="宋体"/>
          <w:color w:val="auto"/>
          <w:szCs w:val="21"/>
          <w:u w:val="single"/>
        </w:rPr>
        <w:t xml:space="preserve">   </w:t>
      </w:r>
    </w:p>
    <w:p w14:paraId="03052976">
      <w:pPr>
        <w:spacing w:line="400" w:lineRule="exact"/>
        <w:rPr>
          <w:rFonts w:ascii="宋体" w:hAnsi="宋体"/>
          <w:color w:val="auto"/>
          <w:szCs w:val="21"/>
          <w:u w:val="single"/>
        </w:rPr>
      </w:pPr>
      <w:r>
        <w:rPr>
          <w:rFonts w:ascii="宋体" w:hAnsi="宋体"/>
          <w:color w:val="auto"/>
          <w:szCs w:val="21"/>
        </w:rPr>
        <w:t>账  号：</w:t>
      </w:r>
      <w:r>
        <w:rPr>
          <w:rFonts w:ascii="宋体" w:hAnsi="宋体"/>
          <w:color w:val="auto"/>
          <w:szCs w:val="21"/>
          <w:u w:val="single"/>
        </w:rPr>
        <w:t xml:space="preserve">       </w:t>
      </w:r>
      <w:r>
        <w:rPr>
          <w:rFonts w:ascii="宋体" w:hAnsi="宋体"/>
          <w:color w:val="auto"/>
          <w:szCs w:val="21"/>
        </w:rPr>
        <w:t xml:space="preserve">                  账  号：</w:t>
      </w:r>
      <w:r>
        <w:rPr>
          <w:rFonts w:ascii="宋体" w:hAnsi="宋体"/>
          <w:color w:val="auto"/>
          <w:szCs w:val="21"/>
          <w:u w:val="single"/>
        </w:rPr>
        <w:t xml:space="preserve">     </w:t>
      </w:r>
    </w:p>
    <w:p w14:paraId="069FDE10">
      <w:pPr>
        <w:widowControl/>
        <w:spacing w:line="400" w:lineRule="exact"/>
        <w:jc w:val="left"/>
        <w:rPr>
          <w:rFonts w:ascii="宋体" w:hAnsi="宋体"/>
          <w:color w:val="auto"/>
          <w:szCs w:val="21"/>
          <w:u w:val="single"/>
        </w:rPr>
      </w:pPr>
    </w:p>
    <w:p w14:paraId="2A843B65">
      <w:pPr>
        <w:widowControl/>
        <w:spacing w:line="400" w:lineRule="exact"/>
        <w:jc w:val="left"/>
        <w:rPr>
          <w:rFonts w:ascii="宋体" w:hAnsi="宋体"/>
          <w:color w:val="auto"/>
          <w:szCs w:val="21"/>
          <w:u w:val="single"/>
        </w:rPr>
      </w:pPr>
    </w:p>
    <w:p w14:paraId="72530084">
      <w:pPr>
        <w:widowControl/>
        <w:spacing w:line="400" w:lineRule="exact"/>
        <w:jc w:val="left"/>
        <w:rPr>
          <w:rFonts w:ascii="宋体" w:hAnsi="宋体"/>
          <w:color w:val="auto"/>
          <w:szCs w:val="21"/>
          <w:u w:val="single"/>
        </w:rPr>
      </w:pPr>
    </w:p>
    <w:p w14:paraId="2DCF2B20">
      <w:pPr>
        <w:widowControl/>
        <w:spacing w:line="400" w:lineRule="exact"/>
        <w:jc w:val="left"/>
        <w:rPr>
          <w:rFonts w:ascii="宋体" w:hAnsi="宋体"/>
          <w:color w:val="auto"/>
          <w:szCs w:val="21"/>
          <w:u w:val="single"/>
        </w:rPr>
      </w:pPr>
    </w:p>
    <w:p w14:paraId="5DE900F0">
      <w:pPr>
        <w:widowControl/>
        <w:spacing w:line="400" w:lineRule="exact"/>
        <w:jc w:val="left"/>
        <w:rPr>
          <w:rFonts w:ascii="宋体" w:hAnsi="宋体"/>
          <w:color w:val="auto"/>
          <w:szCs w:val="21"/>
          <w:u w:val="single"/>
        </w:rPr>
      </w:pPr>
    </w:p>
    <w:p w14:paraId="7A8012CD">
      <w:pPr>
        <w:widowControl/>
        <w:spacing w:line="400" w:lineRule="exact"/>
        <w:jc w:val="left"/>
        <w:rPr>
          <w:rFonts w:ascii="宋体" w:hAnsi="宋体"/>
          <w:color w:val="auto"/>
          <w:szCs w:val="21"/>
          <w:u w:val="single"/>
        </w:rPr>
      </w:pPr>
    </w:p>
    <w:p w14:paraId="097A6340">
      <w:pPr>
        <w:widowControl/>
        <w:spacing w:line="400" w:lineRule="exact"/>
        <w:jc w:val="left"/>
        <w:rPr>
          <w:rFonts w:ascii="宋体" w:hAnsi="宋体"/>
          <w:color w:val="auto"/>
          <w:szCs w:val="21"/>
          <w:u w:val="single"/>
        </w:rPr>
      </w:pPr>
    </w:p>
    <w:p w14:paraId="591B148D">
      <w:pPr>
        <w:widowControl/>
        <w:spacing w:line="400" w:lineRule="exact"/>
        <w:jc w:val="left"/>
        <w:rPr>
          <w:rFonts w:ascii="宋体" w:hAnsi="宋体"/>
          <w:color w:val="auto"/>
          <w:szCs w:val="21"/>
          <w:u w:val="single"/>
        </w:rPr>
      </w:pPr>
    </w:p>
    <w:p w14:paraId="651FC6B0">
      <w:pPr>
        <w:widowControl/>
        <w:spacing w:line="400" w:lineRule="exact"/>
        <w:jc w:val="left"/>
        <w:rPr>
          <w:rFonts w:ascii="宋体" w:hAnsi="宋体"/>
          <w:color w:val="auto"/>
          <w:szCs w:val="21"/>
          <w:u w:val="single"/>
        </w:rPr>
      </w:pPr>
    </w:p>
    <w:p w14:paraId="2AC3C7AA">
      <w:pPr>
        <w:widowControl/>
        <w:spacing w:line="400" w:lineRule="exact"/>
        <w:jc w:val="left"/>
        <w:rPr>
          <w:rFonts w:ascii="宋体" w:hAnsi="宋体"/>
          <w:color w:val="auto"/>
          <w:szCs w:val="21"/>
          <w:u w:val="single"/>
        </w:rPr>
      </w:pPr>
    </w:p>
    <w:p w14:paraId="63267201">
      <w:pPr>
        <w:spacing w:line="400" w:lineRule="exact"/>
        <w:rPr>
          <w:rFonts w:ascii="黑体" w:hAnsi="宋体" w:eastAsia="黑体"/>
          <w:b/>
          <w:color w:val="auto"/>
          <w:sz w:val="28"/>
          <w:szCs w:val="28"/>
        </w:rPr>
      </w:pPr>
      <w:bookmarkStart w:id="91" w:name="_Toc351203632"/>
      <w:bookmarkStart w:id="92" w:name="_Toc373478338"/>
      <w:bookmarkStart w:id="93" w:name="_Toc395382492"/>
      <w:bookmarkStart w:id="94" w:name="_Toc373227691"/>
      <w:bookmarkStart w:id="95" w:name="_Toc389065256"/>
    </w:p>
    <w:p w14:paraId="5602C7A9">
      <w:pPr>
        <w:spacing w:line="400" w:lineRule="exact"/>
        <w:rPr>
          <w:rFonts w:ascii="黑体" w:hAnsi="宋体" w:eastAsia="黑体"/>
          <w:b/>
          <w:color w:val="auto"/>
          <w:sz w:val="28"/>
          <w:szCs w:val="28"/>
        </w:rPr>
      </w:pPr>
    </w:p>
    <w:p w14:paraId="500F99F6">
      <w:pPr>
        <w:spacing w:line="400" w:lineRule="exact"/>
        <w:rPr>
          <w:rFonts w:ascii="黑体" w:hAnsi="宋体" w:eastAsia="黑体"/>
          <w:b/>
          <w:color w:val="auto"/>
          <w:sz w:val="28"/>
          <w:szCs w:val="28"/>
        </w:rPr>
      </w:pPr>
    </w:p>
    <w:p w14:paraId="367019AE">
      <w:pPr>
        <w:spacing w:line="400" w:lineRule="exact"/>
        <w:rPr>
          <w:rFonts w:ascii="黑体" w:hAnsi="宋体" w:eastAsia="黑体"/>
          <w:b/>
          <w:color w:val="auto"/>
          <w:sz w:val="28"/>
          <w:szCs w:val="28"/>
        </w:rPr>
      </w:pPr>
    </w:p>
    <w:p w14:paraId="5FC043E9">
      <w:pPr>
        <w:spacing w:line="400" w:lineRule="exact"/>
        <w:rPr>
          <w:rFonts w:ascii="黑体" w:hAnsi="宋体" w:eastAsia="黑体"/>
          <w:b/>
          <w:color w:val="auto"/>
          <w:sz w:val="28"/>
          <w:szCs w:val="28"/>
        </w:rPr>
      </w:pPr>
    </w:p>
    <w:p w14:paraId="4EEF9572">
      <w:pPr>
        <w:spacing w:line="400" w:lineRule="exact"/>
        <w:rPr>
          <w:rFonts w:ascii="黑体" w:hAnsi="宋体" w:eastAsia="黑体"/>
          <w:b/>
          <w:color w:val="auto"/>
          <w:sz w:val="28"/>
          <w:szCs w:val="28"/>
        </w:rPr>
      </w:pPr>
    </w:p>
    <w:p w14:paraId="4FFD3963">
      <w:pPr>
        <w:spacing w:line="400" w:lineRule="exact"/>
        <w:rPr>
          <w:rFonts w:ascii="黑体" w:hAnsi="宋体" w:eastAsia="黑体"/>
          <w:b/>
          <w:color w:val="auto"/>
          <w:sz w:val="28"/>
          <w:szCs w:val="28"/>
        </w:rPr>
      </w:pPr>
    </w:p>
    <w:bookmarkEnd w:id="91"/>
    <w:bookmarkEnd w:id="92"/>
    <w:bookmarkEnd w:id="93"/>
    <w:bookmarkEnd w:id="94"/>
    <w:bookmarkEnd w:id="95"/>
    <w:p w14:paraId="53201600">
      <w:pPr>
        <w:pStyle w:val="2"/>
        <w:jc w:val="center"/>
        <w:rPr>
          <w:rFonts w:hint="eastAsia" w:ascii="黑体" w:hAnsi="宋体" w:eastAsia="黑体" w:cs="Times New Roman"/>
          <w:b/>
          <w:bCs w:val="0"/>
          <w:color w:val="auto"/>
          <w:kern w:val="2"/>
          <w:sz w:val="28"/>
          <w:szCs w:val="28"/>
          <w:lang w:val="en-US" w:eastAsia="zh-CN" w:bidi="ar-SA"/>
        </w:rPr>
      </w:pPr>
      <w:r>
        <w:rPr>
          <w:rFonts w:hint="eastAsia" w:ascii="黑体" w:hAnsi="宋体" w:eastAsia="黑体" w:cs="Times New Roman"/>
          <w:b/>
          <w:bCs w:val="0"/>
          <w:color w:val="auto"/>
          <w:kern w:val="2"/>
          <w:sz w:val="28"/>
          <w:szCs w:val="28"/>
          <w:lang w:val="en-US" w:eastAsia="zh-CN" w:bidi="ar-SA"/>
        </w:rPr>
        <w:t>第二部分 通用合同条款</w:t>
      </w:r>
    </w:p>
    <w:p w14:paraId="02FC53AC">
      <w:pPr>
        <w:spacing w:line="360" w:lineRule="auto"/>
        <w:jc w:val="center"/>
        <w:rPr>
          <w:rFonts w:hint="eastAsia" w:ascii="宋体" w:hAnsi="宋体" w:cs="宋体"/>
          <w:b/>
          <w:bCs/>
          <w:color w:val="auto"/>
          <w:kern w:val="0"/>
          <w:highlight w:val="none"/>
        </w:rPr>
      </w:pPr>
      <w:r>
        <w:rPr>
          <w:rFonts w:hint="eastAsia" w:ascii="宋体" w:hAnsi="宋体" w:cs="宋体"/>
          <w:b/>
          <w:bCs/>
          <w:color w:val="auto"/>
          <w:kern w:val="0"/>
          <w:sz w:val="24"/>
          <w:highlight w:val="none"/>
        </w:rPr>
        <w:t>采用《建设工程施工合同（示范文本）》（GF—2017—0201）</w:t>
      </w:r>
      <w:r>
        <w:rPr>
          <w:rFonts w:hint="eastAsia" w:ascii="宋体" w:hAnsi="宋体" w:cs="宋体"/>
          <w:b/>
          <w:bCs/>
          <w:color w:val="auto"/>
          <w:kern w:val="0"/>
          <w:highlight w:val="none"/>
        </w:rPr>
        <w:t>。</w:t>
      </w:r>
    </w:p>
    <w:p w14:paraId="1C596127">
      <w:pPr>
        <w:pStyle w:val="2"/>
        <w:jc w:val="center"/>
        <w:rPr>
          <w:rFonts w:hint="eastAsia" w:ascii="黑体" w:hAnsi="宋体" w:eastAsia="黑体" w:cs="Times New Roman"/>
          <w:b/>
          <w:bCs w:val="0"/>
          <w:color w:val="auto"/>
          <w:kern w:val="2"/>
          <w:sz w:val="28"/>
          <w:szCs w:val="28"/>
          <w:lang w:val="en-US" w:eastAsia="zh-CN" w:bidi="ar-SA"/>
        </w:rPr>
      </w:pPr>
      <w:bookmarkStart w:id="96" w:name="_Toc9850521"/>
      <w:bookmarkStart w:id="97" w:name="_Toc19929"/>
      <w:bookmarkStart w:id="98" w:name="_Toc407135193"/>
      <w:bookmarkStart w:id="99" w:name="_Toc389065257"/>
    </w:p>
    <w:p w14:paraId="0AB0172B">
      <w:pPr>
        <w:pStyle w:val="2"/>
        <w:jc w:val="center"/>
        <w:rPr>
          <w:rFonts w:hint="eastAsia" w:ascii="黑体" w:hAnsi="宋体" w:eastAsia="黑体" w:cs="Times New Roman"/>
          <w:b/>
          <w:bCs w:val="0"/>
          <w:color w:val="auto"/>
          <w:kern w:val="2"/>
          <w:sz w:val="28"/>
          <w:szCs w:val="28"/>
          <w:lang w:val="en-US" w:eastAsia="zh-CN" w:bidi="ar-SA"/>
        </w:rPr>
      </w:pPr>
    </w:p>
    <w:p w14:paraId="04377275">
      <w:pPr>
        <w:pStyle w:val="2"/>
        <w:jc w:val="center"/>
        <w:rPr>
          <w:rFonts w:hint="eastAsia" w:ascii="黑体" w:hAnsi="宋体" w:eastAsia="黑体" w:cs="Times New Roman"/>
          <w:b/>
          <w:bCs w:val="0"/>
          <w:color w:val="auto"/>
          <w:kern w:val="2"/>
          <w:sz w:val="28"/>
          <w:szCs w:val="28"/>
          <w:lang w:val="en-US" w:eastAsia="zh-CN" w:bidi="ar-SA"/>
        </w:rPr>
      </w:pPr>
    </w:p>
    <w:p w14:paraId="2E7E9806">
      <w:pPr>
        <w:pStyle w:val="2"/>
        <w:jc w:val="center"/>
        <w:rPr>
          <w:rFonts w:hint="eastAsia" w:ascii="黑体" w:hAnsi="宋体" w:eastAsia="黑体" w:cs="Times New Roman"/>
          <w:b/>
          <w:bCs w:val="0"/>
          <w:color w:val="auto"/>
          <w:kern w:val="2"/>
          <w:sz w:val="28"/>
          <w:szCs w:val="28"/>
          <w:lang w:val="en-US" w:eastAsia="zh-CN" w:bidi="ar-SA"/>
        </w:rPr>
      </w:pPr>
    </w:p>
    <w:p w14:paraId="181E9D93">
      <w:pPr>
        <w:pStyle w:val="2"/>
        <w:jc w:val="center"/>
        <w:rPr>
          <w:rFonts w:hint="eastAsia" w:ascii="黑体" w:hAnsi="宋体" w:eastAsia="黑体" w:cs="Times New Roman"/>
          <w:b/>
          <w:bCs w:val="0"/>
          <w:color w:val="auto"/>
          <w:kern w:val="2"/>
          <w:sz w:val="28"/>
          <w:szCs w:val="28"/>
          <w:lang w:val="en-US" w:eastAsia="zh-CN" w:bidi="ar-SA"/>
        </w:rPr>
      </w:pPr>
    </w:p>
    <w:p w14:paraId="34AFCF21">
      <w:pPr>
        <w:pStyle w:val="2"/>
        <w:jc w:val="center"/>
        <w:rPr>
          <w:rFonts w:hint="eastAsia" w:ascii="黑体" w:hAnsi="宋体" w:eastAsia="黑体" w:cs="Times New Roman"/>
          <w:b/>
          <w:bCs w:val="0"/>
          <w:color w:val="auto"/>
          <w:kern w:val="2"/>
          <w:sz w:val="28"/>
          <w:szCs w:val="28"/>
          <w:lang w:val="en-US" w:eastAsia="zh-CN" w:bidi="ar-SA"/>
        </w:rPr>
      </w:pPr>
    </w:p>
    <w:p w14:paraId="2D5B2497">
      <w:pPr>
        <w:pStyle w:val="2"/>
        <w:jc w:val="center"/>
        <w:rPr>
          <w:rFonts w:hint="eastAsia" w:ascii="黑体" w:hAnsi="宋体" w:eastAsia="黑体" w:cs="Times New Roman"/>
          <w:b/>
          <w:bCs w:val="0"/>
          <w:color w:val="auto"/>
          <w:kern w:val="2"/>
          <w:sz w:val="28"/>
          <w:szCs w:val="28"/>
          <w:lang w:val="en-US" w:eastAsia="zh-CN" w:bidi="ar-SA"/>
        </w:rPr>
      </w:pPr>
    </w:p>
    <w:p w14:paraId="72F2CEF8">
      <w:pPr>
        <w:pStyle w:val="2"/>
        <w:jc w:val="both"/>
        <w:rPr>
          <w:rFonts w:hint="eastAsia" w:ascii="黑体" w:hAnsi="宋体" w:eastAsia="黑体" w:cs="Times New Roman"/>
          <w:b/>
          <w:bCs w:val="0"/>
          <w:color w:val="auto"/>
          <w:kern w:val="2"/>
          <w:sz w:val="28"/>
          <w:szCs w:val="28"/>
          <w:lang w:val="en-US" w:eastAsia="zh-CN" w:bidi="ar-SA"/>
        </w:rPr>
      </w:pPr>
    </w:p>
    <w:p w14:paraId="7E585312">
      <w:pPr>
        <w:bidi w:val="0"/>
        <w:rPr>
          <w:rFonts w:hint="eastAsia"/>
          <w:lang w:val="en-US" w:eastAsia="zh-CN"/>
        </w:rPr>
      </w:pPr>
    </w:p>
    <w:p w14:paraId="1D659922">
      <w:pPr>
        <w:bidi w:val="0"/>
        <w:rPr>
          <w:rFonts w:hint="eastAsia"/>
          <w:lang w:val="en-US" w:eastAsia="zh-CN"/>
        </w:rPr>
      </w:pPr>
    </w:p>
    <w:p w14:paraId="413FA98D">
      <w:pPr>
        <w:bidi w:val="0"/>
        <w:rPr>
          <w:rFonts w:hint="eastAsia"/>
          <w:lang w:val="en-US" w:eastAsia="zh-CN"/>
        </w:rPr>
      </w:pPr>
    </w:p>
    <w:p w14:paraId="2CF0FB98">
      <w:pPr>
        <w:bidi w:val="0"/>
        <w:rPr>
          <w:rFonts w:hint="eastAsia"/>
          <w:lang w:val="en-US" w:eastAsia="zh-CN"/>
        </w:rPr>
      </w:pPr>
    </w:p>
    <w:p w14:paraId="62411030">
      <w:pPr>
        <w:bidi w:val="0"/>
        <w:rPr>
          <w:rFonts w:hint="eastAsia"/>
          <w:lang w:val="en-US" w:eastAsia="zh-CN"/>
        </w:rPr>
      </w:pPr>
    </w:p>
    <w:p w14:paraId="67A10C3C">
      <w:pPr>
        <w:bidi w:val="0"/>
        <w:rPr>
          <w:rFonts w:hint="eastAsia"/>
          <w:lang w:val="en-US" w:eastAsia="zh-CN"/>
        </w:rPr>
      </w:pPr>
    </w:p>
    <w:p w14:paraId="37C050FB">
      <w:pPr>
        <w:bidi w:val="0"/>
        <w:jc w:val="center"/>
        <w:rPr>
          <w:rFonts w:hint="eastAsia" w:ascii="黑体" w:hAnsi="宋体" w:eastAsia="黑体" w:cs="Times New Roman"/>
          <w:b/>
          <w:bCs w:val="0"/>
          <w:color w:val="auto"/>
          <w:kern w:val="2"/>
          <w:sz w:val="28"/>
          <w:szCs w:val="28"/>
          <w:lang w:val="en-US" w:eastAsia="zh-CN" w:bidi="ar-SA"/>
        </w:rPr>
      </w:pPr>
      <w:r>
        <w:rPr>
          <w:rFonts w:hint="eastAsia" w:ascii="黑体" w:hAnsi="宋体" w:eastAsia="黑体" w:cs="Times New Roman"/>
          <w:b/>
          <w:bCs w:val="0"/>
          <w:color w:val="auto"/>
          <w:kern w:val="2"/>
          <w:sz w:val="28"/>
          <w:szCs w:val="28"/>
          <w:lang w:val="en-US" w:eastAsia="zh-CN" w:bidi="ar-SA"/>
        </w:rPr>
        <w:t>第三部分 专用合同条款</w:t>
      </w:r>
      <w:bookmarkEnd w:id="96"/>
      <w:bookmarkEnd w:id="97"/>
      <w:bookmarkEnd w:id="98"/>
      <w:bookmarkEnd w:id="99"/>
    </w:p>
    <w:p w14:paraId="7BD3E34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（注：专用合同条款每一条均应填写完整！）</w:t>
      </w:r>
    </w:p>
    <w:p w14:paraId="19569F2A">
      <w:pPr>
        <w:pStyle w:val="3"/>
        <w:rPr>
          <w:rFonts w:hint="eastAsia" w:ascii="宋体" w:hAnsi="宋体" w:eastAsia="宋体" w:cs="宋体"/>
          <w:color w:val="auto"/>
          <w:sz w:val="21"/>
          <w:szCs w:val="21"/>
          <w:highlight w:val="none"/>
        </w:rPr>
      </w:pPr>
      <w:bookmarkStart w:id="100" w:name="_Toc351203633"/>
      <w:bookmarkStart w:id="101" w:name="_Toc373227692"/>
      <w:bookmarkStart w:id="102" w:name="_Toc373478339"/>
      <w:bookmarkStart w:id="103" w:name="_Toc407135194"/>
      <w:bookmarkStart w:id="104" w:name="_Toc9850522"/>
      <w:bookmarkStart w:id="105" w:name="_Toc389065258"/>
      <w:r>
        <w:rPr>
          <w:rFonts w:hint="eastAsia" w:ascii="宋体" w:hAnsi="宋体" w:eastAsia="宋体" w:cs="宋体"/>
          <w:color w:val="auto"/>
          <w:sz w:val="21"/>
          <w:szCs w:val="21"/>
          <w:highlight w:val="none"/>
        </w:rPr>
        <w:t>1</w:t>
      </w:r>
      <w:bookmarkStart w:id="106" w:name="_Toc296891196"/>
      <w:bookmarkStart w:id="107" w:name="_Toc296890984"/>
      <w:bookmarkStart w:id="108" w:name="_Toc296944495"/>
      <w:bookmarkStart w:id="109" w:name="_Toc292559866"/>
      <w:bookmarkStart w:id="110" w:name="_Toc292559361"/>
      <w:bookmarkStart w:id="111" w:name="_Toc297048342"/>
      <w:bookmarkStart w:id="112" w:name="_Toc297120456"/>
      <w:bookmarkStart w:id="113" w:name="_Toc296503156"/>
      <w:bookmarkStart w:id="114" w:name="_Toc296346657"/>
      <w:bookmarkStart w:id="115" w:name="_Toc296347155"/>
      <w:r>
        <w:rPr>
          <w:rFonts w:hint="eastAsia" w:ascii="宋体" w:hAnsi="宋体" w:eastAsia="宋体" w:cs="宋体"/>
          <w:color w:val="auto"/>
          <w:sz w:val="21"/>
          <w:szCs w:val="21"/>
          <w:highlight w:val="none"/>
        </w:rPr>
        <w:t>. 一般约定</w:t>
      </w:r>
      <w:bookmarkEnd w:id="100"/>
      <w:bookmarkEnd w:id="101"/>
      <w:bookmarkEnd w:id="102"/>
      <w:bookmarkEnd w:id="103"/>
      <w:bookmarkEnd w:id="104"/>
      <w:bookmarkEnd w:id="105"/>
    </w:p>
    <w:bookmarkEnd w:id="106"/>
    <w:bookmarkEnd w:id="107"/>
    <w:bookmarkEnd w:id="108"/>
    <w:bookmarkEnd w:id="109"/>
    <w:bookmarkEnd w:id="110"/>
    <w:bookmarkEnd w:id="111"/>
    <w:bookmarkEnd w:id="112"/>
    <w:bookmarkEnd w:id="113"/>
    <w:bookmarkEnd w:id="114"/>
    <w:bookmarkEnd w:id="115"/>
    <w:p w14:paraId="3F2E053A">
      <w:pPr>
        <w:pStyle w:val="4"/>
        <w:rPr>
          <w:rFonts w:hint="eastAsia" w:ascii="宋体" w:hAnsi="宋体" w:cs="宋体"/>
          <w:color w:val="auto"/>
          <w:sz w:val="21"/>
          <w:szCs w:val="21"/>
          <w:highlight w:val="none"/>
        </w:rPr>
      </w:pPr>
      <w:bookmarkStart w:id="116" w:name="_Toc373478340"/>
      <w:bookmarkStart w:id="117" w:name="_Toc373227693"/>
      <w:bookmarkStart w:id="118" w:name="_Toc407135195"/>
      <w:bookmarkStart w:id="119" w:name="_Toc9850523"/>
      <w:bookmarkStart w:id="120" w:name="_Toc389065259"/>
      <w:r>
        <w:rPr>
          <w:rFonts w:hint="eastAsia" w:ascii="宋体" w:hAnsi="宋体" w:cs="宋体"/>
          <w:color w:val="auto"/>
          <w:sz w:val="21"/>
          <w:szCs w:val="21"/>
          <w:highlight w:val="none"/>
        </w:rPr>
        <w:t>1.1 词语定义</w:t>
      </w:r>
      <w:bookmarkEnd w:id="116"/>
      <w:bookmarkEnd w:id="117"/>
      <w:bookmarkEnd w:id="118"/>
      <w:bookmarkEnd w:id="119"/>
      <w:bookmarkEnd w:id="120"/>
    </w:p>
    <w:p w14:paraId="215BE25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 合同</w:t>
      </w:r>
    </w:p>
    <w:p w14:paraId="7160B58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1.1.1.10 其他合同文件包括：</w:t>
      </w:r>
      <w:r>
        <w:rPr>
          <w:rFonts w:hint="eastAsia" w:ascii="宋体" w:hAnsi="宋体" w:cs="宋体"/>
          <w:color w:val="auto"/>
          <w:szCs w:val="21"/>
          <w:highlight w:val="none"/>
          <w:u w:val="single"/>
        </w:rPr>
        <w:t xml:space="preserve"> 履行合同过程中双方法定代表人（或经确认被授权的双方工地代表人）书面确认的对合同内容有实质性影响的会议纪要、签证、设计变更等资料 </w:t>
      </w:r>
      <w:r>
        <w:rPr>
          <w:rFonts w:hint="eastAsia" w:ascii="宋体" w:hAnsi="宋体" w:cs="宋体"/>
          <w:color w:val="auto"/>
          <w:szCs w:val="21"/>
          <w:highlight w:val="none"/>
        </w:rPr>
        <w:t>。</w:t>
      </w:r>
    </w:p>
    <w:p w14:paraId="1F8C67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合同当事人及其他相关方</w:t>
      </w:r>
    </w:p>
    <w:p w14:paraId="699287A3">
      <w:pPr>
        <w:spacing w:line="360" w:lineRule="auto"/>
        <w:ind w:firstLine="420" w:firstLineChars="200"/>
        <w:outlineLvl w:val="0"/>
        <w:rPr>
          <w:rFonts w:hint="eastAsia" w:ascii="宋体" w:hAnsi="宋体" w:cs="宋体"/>
          <w:color w:val="auto"/>
          <w:szCs w:val="21"/>
          <w:highlight w:val="none"/>
        </w:rPr>
      </w:pPr>
      <w:bookmarkStart w:id="121" w:name="_Toc9562"/>
      <w:r>
        <w:rPr>
          <w:rFonts w:hint="eastAsia" w:ascii="宋体" w:hAnsi="宋体" w:cs="宋体"/>
          <w:color w:val="auto"/>
          <w:szCs w:val="21"/>
          <w:highlight w:val="none"/>
        </w:rPr>
        <w:t>1.1.2.4 监理人：</w:t>
      </w:r>
      <w:bookmarkEnd w:id="121"/>
    </w:p>
    <w:p w14:paraId="114FFD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2DE5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BFA1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55C9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A173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41C13D4">
      <w:pPr>
        <w:spacing w:line="360" w:lineRule="auto"/>
        <w:ind w:firstLine="420" w:firstLineChars="200"/>
        <w:outlineLvl w:val="0"/>
        <w:rPr>
          <w:rFonts w:hint="eastAsia" w:ascii="宋体" w:hAnsi="宋体" w:cs="宋体"/>
          <w:color w:val="auto"/>
          <w:szCs w:val="21"/>
          <w:highlight w:val="none"/>
        </w:rPr>
      </w:pPr>
      <w:bookmarkStart w:id="122" w:name="_Toc26008"/>
      <w:r>
        <w:rPr>
          <w:rFonts w:hint="eastAsia" w:ascii="宋体" w:hAnsi="宋体" w:cs="宋体"/>
          <w:color w:val="auto"/>
          <w:szCs w:val="21"/>
          <w:highlight w:val="none"/>
        </w:rPr>
        <w:t>1.1.2.5 设计人：</w:t>
      </w:r>
      <w:bookmarkEnd w:id="122"/>
    </w:p>
    <w:p w14:paraId="016F0B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C143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75C80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FC83D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1A3C9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2D01A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工程和设备</w:t>
      </w:r>
    </w:p>
    <w:p w14:paraId="41B0487B">
      <w:pPr>
        <w:spacing w:line="360" w:lineRule="auto"/>
        <w:ind w:firstLine="420" w:firstLineChars="200"/>
        <w:outlineLvl w:val="0"/>
        <w:rPr>
          <w:rFonts w:hint="eastAsia" w:ascii="宋体" w:hAnsi="宋体" w:cs="宋体"/>
          <w:color w:val="auto"/>
          <w:szCs w:val="21"/>
          <w:highlight w:val="none"/>
        </w:rPr>
      </w:pPr>
      <w:bookmarkStart w:id="123" w:name="_Toc28039"/>
      <w:r>
        <w:rPr>
          <w:rFonts w:hint="eastAsia" w:ascii="宋体" w:hAnsi="宋体" w:cs="宋体"/>
          <w:color w:val="auto"/>
          <w:szCs w:val="21"/>
          <w:highlight w:val="none"/>
        </w:rPr>
        <w:t>1.1.3.7 作为施工现场组成部分的其他场所包括：</w:t>
      </w:r>
      <w:bookmarkEnd w:id="123"/>
      <w:r>
        <w:rPr>
          <w:rFonts w:hint="eastAsia" w:ascii="宋体" w:hAnsi="宋体" w:cs="宋体"/>
          <w:color w:val="auto"/>
          <w:szCs w:val="21"/>
          <w:highlight w:val="none"/>
          <w:u w:val="single"/>
        </w:rPr>
        <w:t xml:space="preserve"> 按通用条款执行  </w:t>
      </w:r>
      <w:r>
        <w:rPr>
          <w:rFonts w:hint="eastAsia" w:ascii="宋体" w:hAnsi="宋体" w:cs="宋体"/>
          <w:color w:val="auto"/>
          <w:szCs w:val="21"/>
          <w:highlight w:val="none"/>
        </w:rPr>
        <w:t>。</w:t>
      </w:r>
    </w:p>
    <w:p w14:paraId="09060A2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1.1.3.9 永久占地包括：</w:t>
      </w:r>
      <w:r>
        <w:rPr>
          <w:rFonts w:hint="eastAsia" w:ascii="宋体" w:hAnsi="宋体" w:cs="宋体"/>
          <w:color w:val="auto"/>
          <w:szCs w:val="21"/>
          <w:highlight w:val="none"/>
          <w:u w:val="single"/>
        </w:rPr>
        <w:t xml:space="preserve"> 按施工图纸确定 </w:t>
      </w:r>
      <w:r>
        <w:rPr>
          <w:rFonts w:hint="eastAsia" w:ascii="宋体" w:hAnsi="宋体" w:cs="宋体"/>
          <w:color w:val="auto"/>
          <w:kern w:val="0"/>
          <w:szCs w:val="21"/>
          <w:highlight w:val="none"/>
        </w:rPr>
        <w:t>。</w:t>
      </w:r>
    </w:p>
    <w:p w14:paraId="2FDE723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1.1.3.10 临时占地包括：</w:t>
      </w:r>
      <w:r>
        <w:rPr>
          <w:rFonts w:hint="eastAsia" w:ascii="宋体" w:hAnsi="宋体" w:cs="宋体"/>
          <w:color w:val="auto"/>
          <w:szCs w:val="21"/>
          <w:highlight w:val="none"/>
          <w:u w:val="single"/>
        </w:rPr>
        <w:t xml:space="preserve"> 按经审批的施工组织平面设计 </w:t>
      </w:r>
      <w:r>
        <w:rPr>
          <w:rFonts w:hint="eastAsia" w:ascii="宋体" w:hAnsi="宋体" w:cs="宋体"/>
          <w:color w:val="auto"/>
          <w:kern w:val="0"/>
          <w:szCs w:val="21"/>
          <w:highlight w:val="none"/>
        </w:rPr>
        <w:t>。</w:t>
      </w:r>
    </w:p>
    <w:p w14:paraId="21A01200">
      <w:pPr>
        <w:pStyle w:val="4"/>
        <w:rPr>
          <w:rFonts w:hint="eastAsia" w:ascii="宋体" w:hAnsi="宋体" w:cs="宋体"/>
          <w:color w:val="auto"/>
          <w:sz w:val="21"/>
          <w:szCs w:val="21"/>
          <w:highlight w:val="none"/>
        </w:rPr>
      </w:pPr>
      <w:bookmarkStart w:id="124" w:name="_Toc373227694"/>
      <w:bookmarkStart w:id="125" w:name="_Toc9850524"/>
      <w:bookmarkStart w:id="126" w:name="_Toc407135196"/>
      <w:bookmarkStart w:id="127" w:name="_Toc389065260"/>
      <w:bookmarkStart w:id="128" w:name="_Toc373478341"/>
      <w:r>
        <w:rPr>
          <w:rFonts w:hint="eastAsia" w:ascii="宋体" w:hAnsi="宋体" w:cs="宋体"/>
          <w:color w:val="auto"/>
          <w:sz w:val="21"/>
          <w:szCs w:val="21"/>
          <w:highlight w:val="none"/>
        </w:rPr>
        <w:t>1.3 法律</w:t>
      </w:r>
      <w:bookmarkEnd w:id="124"/>
      <w:bookmarkEnd w:id="125"/>
      <w:bookmarkEnd w:id="126"/>
      <w:bookmarkEnd w:id="127"/>
      <w:bookmarkEnd w:id="128"/>
    </w:p>
    <w:p w14:paraId="6AA5AE3C">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xml:space="preserve"> 《中华人民共和国民法典》、《中华人民共和国建筑法》、《建设工程质量管理条例》及现行的国家法律和行政法规、部门规章，广西壮族自治区、工程所在地的政府及相关主管部门发布的有关法规和规章及政策、法规性文件等 </w:t>
      </w:r>
      <w:r>
        <w:rPr>
          <w:rFonts w:hint="eastAsia" w:ascii="宋体" w:hAnsi="宋体" w:cs="宋体"/>
          <w:color w:val="auto"/>
          <w:szCs w:val="21"/>
          <w:highlight w:val="none"/>
        </w:rPr>
        <w:t>。</w:t>
      </w:r>
    </w:p>
    <w:p w14:paraId="71E7561C">
      <w:pPr>
        <w:pStyle w:val="4"/>
        <w:rPr>
          <w:rFonts w:hint="eastAsia" w:ascii="宋体" w:hAnsi="宋体" w:cs="宋体"/>
          <w:color w:val="auto"/>
          <w:sz w:val="21"/>
          <w:szCs w:val="21"/>
          <w:highlight w:val="none"/>
        </w:rPr>
      </w:pPr>
      <w:bookmarkStart w:id="129" w:name="_Toc389065261"/>
      <w:bookmarkStart w:id="130" w:name="_Toc373227695"/>
      <w:bookmarkStart w:id="131" w:name="_Toc407135197"/>
      <w:bookmarkStart w:id="132" w:name="_Toc373478342"/>
      <w:bookmarkStart w:id="133" w:name="_Toc9850525"/>
      <w:r>
        <w:rPr>
          <w:rFonts w:hint="eastAsia" w:ascii="宋体" w:hAnsi="宋体" w:cs="宋体"/>
          <w:color w:val="auto"/>
          <w:sz w:val="21"/>
          <w:szCs w:val="21"/>
          <w:highlight w:val="none"/>
        </w:rPr>
        <w:t>1.4 标准和规范</w:t>
      </w:r>
      <w:bookmarkEnd w:id="129"/>
      <w:bookmarkEnd w:id="130"/>
      <w:bookmarkEnd w:id="131"/>
      <w:bookmarkEnd w:id="132"/>
      <w:bookmarkEnd w:id="133"/>
    </w:p>
    <w:p w14:paraId="4822D9D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1.4.1 适用于工程的标准规范包括：</w:t>
      </w:r>
      <w:r>
        <w:rPr>
          <w:rFonts w:hint="eastAsia" w:ascii="宋体" w:hAnsi="宋体" w:cs="宋体"/>
          <w:color w:val="auto"/>
          <w:szCs w:val="21"/>
          <w:highlight w:val="none"/>
          <w:u w:val="single"/>
        </w:rPr>
        <w:t xml:space="preserve"> 适用于现行的国家建筑标准、行业标准、工程所在地的地方标准，以及相应的规范、规程等 </w:t>
      </w:r>
      <w:r>
        <w:rPr>
          <w:rFonts w:hint="eastAsia" w:ascii="宋体" w:hAnsi="宋体" w:cs="宋体"/>
          <w:color w:val="auto"/>
          <w:szCs w:val="21"/>
          <w:highlight w:val="none"/>
        </w:rPr>
        <w:t>。</w:t>
      </w:r>
    </w:p>
    <w:p w14:paraId="328C9A2E">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1.4.2 发包人提供国外标准、规范的名称：</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5CE757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发包人提供国外标准、规范的份数：</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54B15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发包人提供国外标准、规范的名称：</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7536D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 发包人对工程的技术标准和功能要求的特殊要求：</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w:t>
      </w:r>
    </w:p>
    <w:p w14:paraId="0C11BFD1">
      <w:pPr>
        <w:pStyle w:val="4"/>
        <w:rPr>
          <w:rFonts w:hint="eastAsia" w:ascii="宋体" w:hAnsi="宋体" w:cs="宋体"/>
          <w:color w:val="auto"/>
          <w:sz w:val="21"/>
          <w:szCs w:val="21"/>
          <w:highlight w:val="none"/>
        </w:rPr>
      </w:pPr>
      <w:bookmarkStart w:id="134" w:name="_Toc373478343"/>
      <w:bookmarkStart w:id="135" w:name="_Toc389065262"/>
      <w:bookmarkStart w:id="136" w:name="_Toc373227696"/>
      <w:bookmarkStart w:id="137" w:name="_Toc407135198"/>
      <w:bookmarkStart w:id="138" w:name="_Toc9850526"/>
      <w:r>
        <w:rPr>
          <w:rFonts w:hint="eastAsia" w:ascii="宋体" w:hAnsi="宋体" w:cs="宋体"/>
          <w:color w:val="auto"/>
          <w:sz w:val="21"/>
          <w:szCs w:val="21"/>
          <w:highlight w:val="none"/>
        </w:rPr>
        <w:t>1.5 合同文件的优先顺序</w:t>
      </w:r>
      <w:bookmarkEnd w:id="134"/>
      <w:bookmarkEnd w:id="135"/>
      <w:bookmarkEnd w:id="136"/>
      <w:bookmarkEnd w:id="137"/>
      <w:bookmarkEnd w:id="138"/>
    </w:p>
    <w:p w14:paraId="7D0321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合同文件组成及优先顺序为：</w:t>
      </w:r>
    </w:p>
    <w:p w14:paraId="062D666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（1）合同协议书；</w:t>
      </w:r>
    </w:p>
    <w:p w14:paraId="7D6C928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（2）中标通知书（如有）；</w:t>
      </w:r>
    </w:p>
    <w:p w14:paraId="5E00D42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（3）竞标函及其附录（如有）；</w:t>
      </w:r>
    </w:p>
    <w:p w14:paraId="6648A0B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（4）专用合同条款及其附件；</w:t>
      </w:r>
    </w:p>
    <w:p w14:paraId="4DFCB71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（5）通用合同条款；</w:t>
      </w:r>
    </w:p>
    <w:p w14:paraId="188B125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（6）标准、规范及有关技术文件；</w:t>
      </w:r>
    </w:p>
    <w:p w14:paraId="40FE68B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（7）已标价工程量清单或预算书；</w:t>
      </w:r>
    </w:p>
    <w:p w14:paraId="345A111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（8）图纸；</w:t>
      </w:r>
    </w:p>
    <w:p w14:paraId="16C9AA70">
      <w:pPr>
        <w:pStyle w:val="206"/>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（9）招标文件（含补充通知和答疑）、招标控制价；</w:t>
      </w:r>
    </w:p>
    <w:p w14:paraId="41C07FD5">
      <w:pPr>
        <w:pStyle w:val="206"/>
        <w:rPr>
          <w:rFonts w:hint="eastAsia" w:ascii="宋体" w:hAnsi="宋体" w:cs="宋体"/>
          <w:color w:val="auto"/>
          <w:sz w:val="21"/>
          <w:szCs w:val="21"/>
          <w:highlight w:val="none"/>
        </w:rPr>
      </w:pPr>
    </w:p>
    <w:p w14:paraId="71D1615F">
      <w:pPr>
        <w:pStyle w:val="206"/>
        <w:numPr>
          <w:ilvl w:val="0"/>
          <w:numId w:val="8"/>
        </w:num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设计施工图纸、施工招标文件等；</w:t>
      </w:r>
    </w:p>
    <w:p w14:paraId="2BA4677D">
      <w:pPr>
        <w:pStyle w:val="206"/>
        <w:numPr>
          <w:ilvl w:val="0"/>
          <w:numId w:val="8"/>
        </w:num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《建设工程工程量清单计价规范》（GB 50500-2013）、《房屋建筑与装饰工程工程量计算规范》（GB 500854-2013）及广西壮族自治区实施细则、2013年《广西壮族自治区建筑装饰装修工程消耗量定额》及其费用定额、2014版《广西壮族自治区市政工程消耗量定额》（上中下册）及其费用定额、2013年《广西壮族自治区园林绿化及仿古建筑工程消耗量定额》及其费用定额、2015《广西壮族自治区安装工程消耗量定额》及其费用定额、《关于调整建设工程定额人工费及有关费率的通知》桂建标[2015] 5号、《自治区住房城乡建设部厅关于建筑业实施营业税改征增值税后广西壮族自治区建设工程计价增值税税率的通知》桂建标[2018]14号文、《关于调整建设工程定额人工费及有关费率的通知》桂建标[2018]19号文、（桂造价[2019]10号）《关于调整除税价计算适用增值税税率的通知》等有关文件；</w:t>
      </w:r>
    </w:p>
    <w:p w14:paraId="2A2FF02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w:t>
      </w:r>
      <w:r>
        <w:rPr>
          <w:rFonts w:hint="eastAsia" w:ascii="宋体" w:hAnsi="宋体" w:cs="宋体"/>
          <w:color w:val="auto"/>
          <w:kern w:val="0"/>
          <w:szCs w:val="21"/>
          <w:highlight w:val="none"/>
          <w:u w:val="single"/>
        </w:rPr>
        <w:t xml:space="preserve">  其他合同文件           </w:t>
      </w:r>
      <w:r>
        <w:rPr>
          <w:rFonts w:hint="eastAsia" w:ascii="宋体" w:hAnsi="宋体" w:cs="宋体"/>
          <w:color w:val="auto"/>
          <w:kern w:val="0"/>
          <w:szCs w:val="21"/>
          <w:highlight w:val="none"/>
        </w:rPr>
        <w:t>。</w:t>
      </w:r>
    </w:p>
    <w:p w14:paraId="6F7E80C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说明：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07DD6513">
      <w:pPr>
        <w:pStyle w:val="4"/>
        <w:rPr>
          <w:rFonts w:hint="eastAsia" w:ascii="宋体" w:hAnsi="宋体" w:cs="宋体"/>
          <w:color w:val="auto"/>
          <w:sz w:val="21"/>
          <w:szCs w:val="21"/>
          <w:highlight w:val="none"/>
        </w:rPr>
      </w:pPr>
      <w:bookmarkStart w:id="139" w:name="_Toc373227697"/>
      <w:bookmarkStart w:id="140" w:name="_Toc373478344"/>
      <w:bookmarkStart w:id="141" w:name="_Toc389065263"/>
      <w:bookmarkStart w:id="142" w:name="_Toc9850527"/>
      <w:bookmarkStart w:id="143" w:name="_Toc407135199"/>
      <w:r>
        <w:rPr>
          <w:rFonts w:hint="eastAsia" w:ascii="宋体" w:hAnsi="宋体" w:cs="宋体"/>
          <w:color w:val="auto"/>
          <w:sz w:val="21"/>
          <w:szCs w:val="21"/>
          <w:highlight w:val="none"/>
        </w:rPr>
        <w:t>1.6 图纸和承包人文件</w:t>
      </w:r>
      <w:bookmarkEnd w:id="139"/>
      <w:bookmarkEnd w:id="140"/>
      <w:bookmarkEnd w:id="141"/>
      <w:bookmarkEnd w:id="142"/>
      <w:bookmarkEnd w:id="143"/>
      <w:r>
        <w:rPr>
          <w:rFonts w:hint="eastAsia" w:ascii="宋体" w:hAnsi="宋体" w:cs="宋体"/>
          <w:color w:val="auto"/>
          <w:sz w:val="21"/>
          <w:szCs w:val="21"/>
          <w:highlight w:val="none"/>
        </w:rPr>
        <w:tab/>
      </w:r>
    </w:p>
    <w:p w14:paraId="6ABE4C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图纸的提供</w:t>
      </w:r>
    </w:p>
    <w:p w14:paraId="07AC5D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 xml:space="preserve"> 合同生效后7天内 </w:t>
      </w:r>
      <w:r>
        <w:rPr>
          <w:rFonts w:hint="eastAsia" w:ascii="宋体" w:hAnsi="宋体" w:cs="宋体"/>
          <w:color w:val="auto"/>
          <w:szCs w:val="21"/>
          <w:highlight w:val="none"/>
        </w:rPr>
        <w:t>；</w:t>
      </w:r>
    </w:p>
    <w:p w14:paraId="473C00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套（承包人需要增加图纸套数的，发包人应代为复制，复制费用由承包人承担）；</w:t>
      </w:r>
    </w:p>
    <w:p w14:paraId="415FD8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 xml:space="preserve"> 完整的施工图纸和相关的市政配套资料 </w:t>
      </w:r>
      <w:r>
        <w:rPr>
          <w:rFonts w:hint="eastAsia" w:ascii="宋体" w:hAnsi="宋体" w:cs="宋体"/>
          <w:color w:val="auto"/>
          <w:szCs w:val="21"/>
          <w:highlight w:val="none"/>
        </w:rPr>
        <w:t>。</w:t>
      </w:r>
    </w:p>
    <w:p w14:paraId="5BB588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 承包人文件</w:t>
      </w:r>
    </w:p>
    <w:p w14:paraId="7C597480">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 xml:space="preserve"> 经发包人同意的合法分包施工协议书、材料供应商名录、施工技术文件等 </w:t>
      </w:r>
      <w:r>
        <w:rPr>
          <w:rFonts w:hint="eastAsia" w:ascii="宋体" w:hAnsi="宋体" w:cs="宋体"/>
          <w:color w:val="auto"/>
          <w:szCs w:val="21"/>
          <w:highlight w:val="none"/>
        </w:rPr>
        <w:t>；</w:t>
      </w:r>
    </w:p>
    <w:p w14:paraId="3089E0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 xml:space="preserve"> 事件发生前20日历天内 </w:t>
      </w:r>
      <w:r>
        <w:rPr>
          <w:rFonts w:hint="eastAsia" w:ascii="宋体" w:hAnsi="宋体" w:cs="宋体"/>
          <w:color w:val="auto"/>
          <w:szCs w:val="21"/>
          <w:highlight w:val="none"/>
        </w:rPr>
        <w:t>；</w:t>
      </w:r>
    </w:p>
    <w:p w14:paraId="70F360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 xml:space="preserve"> 一式6份 </w:t>
      </w:r>
      <w:r>
        <w:rPr>
          <w:rFonts w:hint="eastAsia" w:ascii="宋体" w:hAnsi="宋体" w:cs="宋体"/>
          <w:color w:val="auto"/>
          <w:szCs w:val="21"/>
          <w:highlight w:val="none"/>
        </w:rPr>
        <w:t>；</w:t>
      </w:r>
    </w:p>
    <w:p w14:paraId="0A7E2B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 xml:space="preserve"> 纸质及电子版 </w:t>
      </w:r>
      <w:r>
        <w:rPr>
          <w:rFonts w:hint="eastAsia" w:ascii="宋体" w:hAnsi="宋体" w:cs="宋体"/>
          <w:color w:val="auto"/>
          <w:szCs w:val="21"/>
          <w:highlight w:val="none"/>
        </w:rPr>
        <w:t>；</w:t>
      </w:r>
    </w:p>
    <w:p w14:paraId="65A6EC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 xml:space="preserve"> 接收日起算10天日历天 </w:t>
      </w:r>
      <w:r>
        <w:rPr>
          <w:rFonts w:hint="eastAsia" w:ascii="宋体" w:hAnsi="宋体" w:cs="宋体"/>
          <w:color w:val="auto"/>
          <w:szCs w:val="21"/>
          <w:highlight w:val="none"/>
        </w:rPr>
        <w:t>。</w:t>
      </w:r>
    </w:p>
    <w:p w14:paraId="7D1B3F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 现场图纸准备</w:t>
      </w:r>
    </w:p>
    <w:p w14:paraId="67EEE7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color w:val="auto"/>
          <w:szCs w:val="21"/>
          <w:highlight w:val="none"/>
          <w:u w:val="single"/>
        </w:rPr>
        <w:t xml:space="preserve"> 按通用条款第1.6条执行 </w:t>
      </w:r>
      <w:r>
        <w:rPr>
          <w:rFonts w:hint="eastAsia" w:ascii="宋体" w:hAnsi="宋体" w:cs="宋体"/>
          <w:color w:val="auto"/>
          <w:szCs w:val="21"/>
          <w:highlight w:val="none"/>
        </w:rPr>
        <w:t>。</w:t>
      </w:r>
    </w:p>
    <w:p w14:paraId="51366118">
      <w:pPr>
        <w:pStyle w:val="4"/>
        <w:rPr>
          <w:rFonts w:hint="eastAsia" w:ascii="宋体" w:hAnsi="宋体" w:cs="宋体"/>
          <w:color w:val="auto"/>
          <w:sz w:val="21"/>
          <w:szCs w:val="21"/>
          <w:highlight w:val="none"/>
        </w:rPr>
      </w:pPr>
      <w:bookmarkStart w:id="144" w:name="_Toc9850528"/>
      <w:bookmarkStart w:id="145" w:name="_Toc373227698"/>
      <w:bookmarkStart w:id="146" w:name="_Toc389065264"/>
      <w:bookmarkStart w:id="147" w:name="_Toc407135200"/>
      <w:bookmarkStart w:id="148" w:name="_Toc373478345"/>
      <w:r>
        <w:rPr>
          <w:rFonts w:hint="eastAsia" w:ascii="宋体" w:hAnsi="宋体" w:cs="宋体"/>
          <w:color w:val="auto"/>
          <w:sz w:val="21"/>
          <w:szCs w:val="21"/>
          <w:highlight w:val="none"/>
        </w:rPr>
        <w:t>1.7 联络</w:t>
      </w:r>
      <w:bookmarkEnd w:id="144"/>
      <w:bookmarkEnd w:id="145"/>
      <w:bookmarkEnd w:id="146"/>
      <w:bookmarkEnd w:id="147"/>
      <w:bookmarkEnd w:id="148"/>
    </w:p>
    <w:p w14:paraId="13A29C0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1.7.1发包人和承包人应当在</w:t>
      </w:r>
      <w:r>
        <w:rPr>
          <w:rFonts w:hint="eastAsia" w:ascii="宋体" w:hAnsi="宋体" w:cs="宋体"/>
          <w:color w:val="auto"/>
          <w:szCs w:val="21"/>
          <w:highlight w:val="none"/>
          <w:u w:val="single"/>
        </w:rPr>
        <w:t xml:space="preserve"> 事件发生后7 </w:t>
      </w:r>
      <w:r>
        <w:rPr>
          <w:rFonts w:hint="eastAsia" w:ascii="宋体" w:hAnsi="宋体" w:cs="宋体"/>
          <w:color w:val="auto"/>
          <w:kern w:val="0"/>
          <w:szCs w:val="21"/>
          <w:highlight w:val="none"/>
        </w:rPr>
        <w:t>天内将与合同有关的通知、批准、证明、证书、指示、指令、要求、请求、同意、意见、确定和决定等书面函件送达对方当事人。</w:t>
      </w:r>
    </w:p>
    <w:p w14:paraId="133943F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szCs w:val="21"/>
          <w:highlight w:val="none"/>
          <w:u w:val="single"/>
        </w:rPr>
        <w:t xml:space="preserve"> 现场项目部 </w:t>
      </w:r>
      <w:r>
        <w:rPr>
          <w:rFonts w:hint="eastAsia" w:ascii="宋体" w:hAnsi="宋体" w:cs="宋体"/>
          <w:color w:val="auto"/>
          <w:kern w:val="0"/>
          <w:szCs w:val="21"/>
          <w:highlight w:val="none"/>
        </w:rPr>
        <w:t>；</w:t>
      </w:r>
    </w:p>
    <w:p w14:paraId="39F0442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现场负责人 </w:t>
      </w:r>
      <w:r>
        <w:rPr>
          <w:rFonts w:hint="eastAsia" w:ascii="宋体" w:hAnsi="宋体" w:cs="宋体"/>
          <w:color w:val="auto"/>
          <w:kern w:val="0"/>
          <w:szCs w:val="21"/>
          <w:highlight w:val="none"/>
        </w:rPr>
        <w:t>。</w:t>
      </w:r>
    </w:p>
    <w:p w14:paraId="7596A45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项目所在地承包人项目部 </w:t>
      </w:r>
      <w:r>
        <w:rPr>
          <w:rFonts w:hint="eastAsia" w:ascii="宋体" w:hAnsi="宋体" w:cs="宋体"/>
          <w:color w:val="auto"/>
          <w:kern w:val="0"/>
          <w:szCs w:val="21"/>
          <w:highlight w:val="none"/>
        </w:rPr>
        <w:t>；</w:t>
      </w:r>
    </w:p>
    <w:p w14:paraId="448EDE5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承包方项目经理或技术（现场）负责人 </w:t>
      </w:r>
      <w:r>
        <w:rPr>
          <w:rFonts w:hint="eastAsia" w:ascii="宋体" w:hAnsi="宋体" w:cs="宋体"/>
          <w:color w:val="auto"/>
          <w:kern w:val="0"/>
          <w:szCs w:val="21"/>
          <w:highlight w:val="none"/>
        </w:rPr>
        <w:t>。</w:t>
      </w:r>
    </w:p>
    <w:p w14:paraId="3CFE779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项目所在地监理人办公室 </w:t>
      </w:r>
      <w:r>
        <w:rPr>
          <w:rFonts w:hint="eastAsia" w:ascii="宋体" w:hAnsi="宋体" w:cs="宋体"/>
          <w:color w:val="auto"/>
          <w:kern w:val="0"/>
          <w:szCs w:val="21"/>
          <w:highlight w:val="none"/>
        </w:rPr>
        <w:t>；</w:t>
      </w:r>
    </w:p>
    <w:p w14:paraId="7B96CE7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szCs w:val="21"/>
          <w:highlight w:val="none"/>
          <w:u w:val="single"/>
        </w:rPr>
        <w:t xml:space="preserve"> 监理工程师 </w:t>
      </w:r>
      <w:r>
        <w:rPr>
          <w:rFonts w:hint="eastAsia" w:ascii="宋体" w:hAnsi="宋体" w:cs="宋体"/>
          <w:color w:val="auto"/>
          <w:kern w:val="0"/>
          <w:szCs w:val="21"/>
          <w:highlight w:val="none"/>
        </w:rPr>
        <w:t>。</w:t>
      </w:r>
    </w:p>
    <w:p w14:paraId="6535E9AD">
      <w:pPr>
        <w:pStyle w:val="4"/>
        <w:rPr>
          <w:rFonts w:hint="eastAsia" w:ascii="宋体" w:hAnsi="宋体" w:cs="宋体"/>
          <w:color w:val="auto"/>
          <w:sz w:val="21"/>
          <w:szCs w:val="21"/>
          <w:highlight w:val="none"/>
        </w:rPr>
      </w:pPr>
      <w:bookmarkStart w:id="149" w:name="_Toc407135201"/>
      <w:bookmarkStart w:id="150" w:name="_Toc9850529"/>
      <w:bookmarkStart w:id="151" w:name="_Toc373478346"/>
      <w:bookmarkStart w:id="152" w:name="_Toc373227699"/>
      <w:bookmarkStart w:id="153" w:name="_Toc389065265"/>
      <w:r>
        <w:rPr>
          <w:rFonts w:hint="eastAsia" w:ascii="宋体" w:hAnsi="宋体" w:cs="宋体"/>
          <w:color w:val="auto"/>
          <w:sz w:val="21"/>
          <w:szCs w:val="21"/>
          <w:highlight w:val="none"/>
        </w:rPr>
        <w:t>1.10 交通运输</w:t>
      </w:r>
      <w:bookmarkEnd w:id="149"/>
      <w:bookmarkEnd w:id="150"/>
      <w:bookmarkEnd w:id="151"/>
      <w:bookmarkEnd w:id="152"/>
      <w:bookmarkEnd w:id="153"/>
    </w:p>
    <w:p w14:paraId="4A223F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154" w:name="_Toc304295521"/>
      <w:bookmarkStart w:id="155" w:name="_Toc303539100"/>
      <w:bookmarkStart w:id="156" w:name="_Toc312677986"/>
      <w:bookmarkStart w:id="157" w:name="_Toc318581155"/>
      <w:bookmarkStart w:id="158" w:name="_Toc300934943"/>
      <w:r>
        <w:rPr>
          <w:rFonts w:hint="eastAsia" w:ascii="宋体" w:hAnsi="宋体" w:cs="宋体"/>
          <w:color w:val="auto"/>
          <w:szCs w:val="21"/>
          <w:highlight w:val="none"/>
        </w:rPr>
        <w:t>.10.1 出入现场的权利</w:t>
      </w:r>
    </w:p>
    <w:p w14:paraId="37096BA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 xml:space="preserve"> 按《通用条款》1.10.1条执行 </w:t>
      </w:r>
      <w:r>
        <w:rPr>
          <w:rFonts w:hint="eastAsia" w:ascii="宋体" w:hAnsi="宋体" w:cs="宋体"/>
          <w:color w:val="auto"/>
          <w:szCs w:val="21"/>
          <w:highlight w:val="none"/>
        </w:rPr>
        <w:t>。</w:t>
      </w:r>
    </w:p>
    <w:bookmarkEnd w:id="154"/>
    <w:bookmarkEnd w:id="155"/>
    <w:bookmarkEnd w:id="156"/>
    <w:bookmarkEnd w:id="157"/>
    <w:bookmarkEnd w:id="158"/>
    <w:p w14:paraId="7005907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Start w:id="159" w:name="_Toc312677987"/>
      <w:bookmarkStart w:id="160" w:name="_Toc300934944"/>
      <w:bookmarkStart w:id="161" w:name="_Toc318581156"/>
      <w:bookmarkStart w:id="162" w:name="_Toc304295522"/>
      <w:bookmarkStart w:id="163" w:name="_Toc303539101"/>
      <w:r>
        <w:rPr>
          <w:rFonts w:hint="eastAsia" w:ascii="宋体" w:hAnsi="宋体" w:cs="宋体"/>
          <w:color w:val="auto"/>
          <w:szCs w:val="21"/>
          <w:highlight w:val="none"/>
        </w:rPr>
        <w:t>.10.3 场内交通</w:t>
      </w:r>
    </w:p>
    <w:p w14:paraId="14E7AAB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关于场外交通和场内交通的边界的约定：</w:t>
      </w:r>
      <w:r>
        <w:rPr>
          <w:rFonts w:hint="eastAsia" w:ascii="宋体" w:hAnsi="宋体" w:cs="宋体"/>
          <w:color w:val="auto"/>
          <w:szCs w:val="21"/>
          <w:highlight w:val="none"/>
          <w:u w:val="single"/>
        </w:rPr>
        <w:t xml:space="preserve"> 规划批复工程所在地块红线范围内为内场 </w:t>
      </w:r>
      <w:r>
        <w:rPr>
          <w:rFonts w:hint="eastAsia" w:ascii="宋体" w:hAnsi="宋体" w:cs="宋体"/>
          <w:color w:val="auto"/>
          <w:szCs w:val="21"/>
          <w:highlight w:val="none"/>
        </w:rPr>
        <w:t>。</w:t>
      </w:r>
    </w:p>
    <w:p w14:paraId="2420DC1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r>
        <w:rPr>
          <w:rFonts w:hint="eastAsia" w:ascii="宋体" w:hAnsi="宋体" w:cs="宋体"/>
          <w:color w:val="auto"/>
          <w:szCs w:val="21"/>
          <w:highlight w:val="none"/>
          <w:u w:val="single"/>
        </w:rPr>
        <w:t>由承包人自行完成场地平整工程</w:t>
      </w:r>
      <w:r>
        <w:rPr>
          <w:rFonts w:hint="eastAsia" w:ascii="宋体" w:hAnsi="宋体" w:cs="宋体"/>
          <w:color w:val="auto"/>
          <w:szCs w:val="21"/>
          <w:highlight w:val="none"/>
        </w:rPr>
        <w:t>。</w:t>
      </w:r>
      <w:bookmarkEnd w:id="159"/>
      <w:bookmarkEnd w:id="160"/>
      <w:bookmarkEnd w:id="161"/>
      <w:bookmarkEnd w:id="162"/>
      <w:bookmarkEnd w:id="163"/>
      <w:bookmarkStart w:id="164" w:name="_Toc318581157"/>
    </w:p>
    <w:p w14:paraId="258CFB5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1.10.4 超大件和超重件的运输</w:t>
      </w:r>
    </w:p>
    <w:p w14:paraId="708C0D0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承担。</w:t>
      </w:r>
    </w:p>
    <w:p w14:paraId="471E885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1.10.5 场外交通</w:t>
      </w:r>
    </w:p>
    <w:p w14:paraId="02565209">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关于场外交通的约定：</w:t>
      </w:r>
      <w:r>
        <w:rPr>
          <w:rFonts w:hint="eastAsia" w:ascii="宋体" w:hAnsi="宋体" w:cs="宋体"/>
          <w:color w:val="auto"/>
          <w:szCs w:val="21"/>
          <w:highlight w:val="none"/>
          <w:u w:val="single"/>
        </w:rPr>
        <w:t>如该工程项目属于重点整治范围内的散货运输必须委托经  城市管理监督局核准的企业进行运输，并加强工地管理，对工地出入口道路硬化及保洁，对不按规定落实大气污染防尘治理的工地进行查处。</w:t>
      </w:r>
    </w:p>
    <w:bookmarkEnd w:id="164"/>
    <w:p w14:paraId="476027BD">
      <w:pPr>
        <w:pStyle w:val="4"/>
        <w:rPr>
          <w:rFonts w:hint="eastAsia" w:ascii="宋体" w:hAnsi="宋体" w:cs="宋体"/>
          <w:color w:val="auto"/>
          <w:sz w:val="21"/>
          <w:szCs w:val="21"/>
          <w:highlight w:val="none"/>
        </w:rPr>
      </w:pPr>
      <w:bookmarkStart w:id="165" w:name="_Toc373227700"/>
      <w:bookmarkStart w:id="166" w:name="_Toc389065266"/>
      <w:bookmarkStart w:id="167" w:name="_Toc373478347"/>
      <w:bookmarkStart w:id="168" w:name="_Toc407135202"/>
      <w:bookmarkStart w:id="169" w:name="_Toc9850530"/>
      <w:r>
        <w:rPr>
          <w:rFonts w:hint="eastAsia" w:ascii="宋体" w:hAnsi="宋体" w:cs="宋体"/>
          <w:color w:val="auto"/>
          <w:sz w:val="21"/>
          <w:szCs w:val="21"/>
          <w:highlight w:val="none"/>
        </w:rPr>
        <w:t>1.11 知识产权</w:t>
      </w:r>
      <w:bookmarkEnd w:id="165"/>
      <w:bookmarkEnd w:id="166"/>
      <w:bookmarkEnd w:id="167"/>
      <w:bookmarkEnd w:id="168"/>
      <w:bookmarkEnd w:id="169"/>
    </w:p>
    <w:p w14:paraId="3EEC15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 xml:space="preserve"> 发包人 </w:t>
      </w:r>
      <w:r>
        <w:rPr>
          <w:rFonts w:hint="eastAsia" w:ascii="宋体" w:hAnsi="宋体" w:cs="宋体"/>
          <w:color w:val="auto"/>
          <w:szCs w:val="21"/>
          <w:highlight w:val="none"/>
        </w:rPr>
        <w:t>。</w:t>
      </w:r>
    </w:p>
    <w:p w14:paraId="49B188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s="宋体"/>
          <w:color w:val="auto"/>
          <w:szCs w:val="21"/>
          <w:highlight w:val="none"/>
          <w:u w:val="single"/>
        </w:rPr>
        <w:t xml:space="preserve"> 按本合同《通用条款》1.11.1执行 </w:t>
      </w:r>
      <w:r>
        <w:rPr>
          <w:rFonts w:hint="eastAsia" w:ascii="宋体" w:hAnsi="宋体" w:cs="宋体"/>
          <w:color w:val="auto"/>
          <w:szCs w:val="21"/>
          <w:highlight w:val="none"/>
        </w:rPr>
        <w:t>。</w:t>
      </w:r>
    </w:p>
    <w:p w14:paraId="4FC2EF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1.11.2 关于承包人为实施工程所编制文件的著作权的归属：</w:t>
      </w:r>
      <w:r>
        <w:rPr>
          <w:rFonts w:hint="eastAsia" w:ascii="宋体" w:hAnsi="宋体" w:cs="宋体"/>
          <w:color w:val="auto"/>
          <w:szCs w:val="21"/>
          <w:highlight w:val="none"/>
          <w:u w:val="single"/>
        </w:rPr>
        <w:t xml:space="preserve"> 除署名权以外的著作权属于发包人 </w:t>
      </w:r>
      <w:r>
        <w:rPr>
          <w:rFonts w:hint="eastAsia" w:ascii="宋体" w:hAnsi="宋体" w:cs="宋体"/>
          <w:color w:val="auto"/>
          <w:szCs w:val="21"/>
          <w:highlight w:val="none"/>
        </w:rPr>
        <w:t>。</w:t>
      </w:r>
    </w:p>
    <w:p w14:paraId="5195D7A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关于承包人提供的上述文件的使用限制的要求：</w:t>
      </w:r>
      <w:r>
        <w:rPr>
          <w:rFonts w:hint="eastAsia" w:ascii="宋体" w:hAnsi="宋体" w:cs="宋体"/>
          <w:color w:val="auto"/>
          <w:szCs w:val="21"/>
          <w:highlight w:val="none"/>
          <w:u w:val="single"/>
        </w:rPr>
        <w:t xml:space="preserve"> 不经发包方同意，不得用于其他工程或提供给第三方 </w:t>
      </w:r>
      <w:r>
        <w:rPr>
          <w:rFonts w:hint="eastAsia" w:ascii="宋体" w:hAnsi="宋体" w:cs="宋体"/>
          <w:color w:val="auto"/>
          <w:szCs w:val="21"/>
          <w:highlight w:val="none"/>
        </w:rPr>
        <w:t>。</w:t>
      </w:r>
    </w:p>
    <w:p w14:paraId="094D46C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1.11.4 承包人在施工过程中所采用的专利、专有技术、技术秘密的使用费的承担方式：</w:t>
      </w:r>
      <w:r>
        <w:rPr>
          <w:rFonts w:hint="eastAsia" w:ascii="宋体" w:hAnsi="宋体" w:cs="宋体"/>
          <w:color w:val="auto"/>
          <w:szCs w:val="21"/>
          <w:highlight w:val="none"/>
          <w:u w:val="single"/>
        </w:rPr>
        <w:t xml:space="preserve"> 承包人自理并包括在投标总价内 </w:t>
      </w:r>
      <w:r>
        <w:rPr>
          <w:rFonts w:hint="eastAsia" w:ascii="宋体" w:hAnsi="宋体" w:cs="宋体"/>
          <w:color w:val="auto"/>
          <w:kern w:val="0"/>
          <w:szCs w:val="21"/>
          <w:highlight w:val="none"/>
        </w:rPr>
        <w:t>。</w:t>
      </w:r>
    </w:p>
    <w:p w14:paraId="5A5076AC">
      <w:pPr>
        <w:pStyle w:val="4"/>
        <w:rPr>
          <w:rFonts w:hint="eastAsia" w:ascii="宋体" w:hAnsi="宋体" w:cs="宋体"/>
          <w:color w:val="auto"/>
          <w:sz w:val="21"/>
          <w:szCs w:val="21"/>
          <w:highlight w:val="none"/>
        </w:rPr>
      </w:pPr>
      <w:bookmarkStart w:id="170" w:name="_Toc373478348"/>
      <w:bookmarkStart w:id="171" w:name="_Toc389065267"/>
      <w:bookmarkStart w:id="172" w:name="_Toc373227701"/>
      <w:bookmarkStart w:id="173" w:name="_Toc407135203"/>
      <w:bookmarkStart w:id="174" w:name="_Toc9850531"/>
      <w:r>
        <w:rPr>
          <w:rFonts w:hint="eastAsia" w:ascii="宋体" w:hAnsi="宋体" w:cs="宋体"/>
          <w:color w:val="auto"/>
          <w:sz w:val="21"/>
          <w:szCs w:val="21"/>
          <w:highlight w:val="none"/>
        </w:rPr>
        <w:t>1.13工程量清单错误的修正</w:t>
      </w:r>
      <w:bookmarkEnd w:id="170"/>
      <w:bookmarkEnd w:id="171"/>
      <w:bookmarkEnd w:id="172"/>
      <w:bookmarkEnd w:id="173"/>
      <w:bookmarkEnd w:id="174"/>
    </w:p>
    <w:p w14:paraId="7582BC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出现工程量清单工程量偏差时，是否调整合同价格：</w:t>
      </w:r>
      <w:r>
        <w:rPr>
          <w:rFonts w:hint="eastAsia" w:ascii="宋体" w:hAnsi="宋体" w:cs="宋体"/>
          <w:color w:val="auto"/>
          <w:szCs w:val="21"/>
          <w:highlight w:val="none"/>
          <w:u w:val="single"/>
        </w:rPr>
        <w:t xml:space="preserve">□是  ☑否      </w:t>
      </w:r>
      <w:r>
        <w:rPr>
          <w:rFonts w:hint="eastAsia" w:ascii="宋体" w:hAnsi="宋体" w:cs="宋体"/>
          <w:color w:val="auto"/>
          <w:kern w:val="0"/>
          <w:szCs w:val="21"/>
          <w:highlight w:val="none"/>
        </w:rPr>
        <w:t>。</w:t>
      </w:r>
    </w:p>
    <w:p w14:paraId="0D7470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允许调整合同价格的工程量偏差范围及其调整办法：</w:t>
      </w:r>
    </w:p>
    <w:p w14:paraId="1307B47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除严重不平衡报价外，无论分部分项工程量清单项目中的工程量变化多少均不调整                 </w:t>
      </w:r>
      <w:r>
        <w:rPr>
          <w:rFonts w:hint="eastAsia" w:ascii="宋体" w:hAnsi="宋体" w:cs="宋体"/>
          <w:color w:val="auto"/>
          <w:kern w:val="0"/>
          <w:szCs w:val="21"/>
          <w:highlight w:val="none"/>
        </w:rPr>
        <w:t>。</w:t>
      </w:r>
    </w:p>
    <w:p w14:paraId="06B646D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u w:val="single"/>
        </w:rPr>
        <w:t>承包人实际完成的某单项清单项目工程量与招标工程量清单工程量偏差超过    %且该单项清单造价超过合同总价  %以上的，超过后增加部分工程量或减少后剩余部分工程量的综合单价按以下方法调整：                                    。</w:t>
      </w:r>
    </w:p>
    <w:p w14:paraId="6FDFADF4">
      <w:pPr>
        <w:pStyle w:val="3"/>
        <w:rPr>
          <w:rFonts w:hint="eastAsia" w:ascii="宋体" w:hAnsi="宋体" w:eastAsia="宋体" w:cs="宋体"/>
          <w:color w:val="auto"/>
          <w:sz w:val="21"/>
          <w:szCs w:val="21"/>
          <w:highlight w:val="none"/>
        </w:rPr>
      </w:pPr>
      <w:bookmarkStart w:id="175" w:name="_Toc9850532"/>
      <w:bookmarkStart w:id="176" w:name="_Toc373227702"/>
      <w:bookmarkStart w:id="177" w:name="_Toc373478349"/>
      <w:bookmarkStart w:id="178" w:name="_Toc407135204"/>
      <w:bookmarkStart w:id="179" w:name="_Toc389065268"/>
      <w:bookmarkStart w:id="180" w:name="_Toc351203634"/>
      <w:r>
        <w:rPr>
          <w:rFonts w:hint="eastAsia" w:ascii="宋体" w:hAnsi="宋体" w:eastAsia="宋体" w:cs="宋体"/>
          <w:color w:val="auto"/>
          <w:sz w:val="21"/>
          <w:szCs w:val="21"/>
          <w:highlight w:val="none"/>
        </w:rPr>
        <w:t>2</w:t>
      </w:r>
      <w:bookmarkStart w:id="181" w:name="_Toc292559362"/>
      <w:bookmarkStart w:id="182" w:name="_Toc296944496"/>
      <w:bookmarkStart w:id="183" w:name="_Toc297048343"/>
      <w:bookmarkStart w:id="184" w:name="_Toc297120457"/>
      <w:bookmarkStart w:id="185" w:name="_Toc296346658"/>
      <w:bookmarkStart w:id="186" w:name="_Toc296890985"/>
      <w:bookmarkStart w:id="187" w:name="_Toc296503157"/>
      <w:bookmarkStart w:id="188" w:name="_Toc296891197"/>
      <w:bookmarkStart w:id="189" w:name="_Toc292559867"/>
      <w:bookmarkStart w:id="190" w:name="_Toc296347156"/>
      <w:r>
        <w:rPr>
          <w:rFonts w:hint="eastAsia" w:ascii="宋体" w:hAnsi="宋体" w:eastAsia="宋体" w:cs="宋体"/>
          <w:color w:val="auto"/>
          <w:sz w:val="21"/>
          <w:szCs w:val="21"/>
          <w:highlight w:val="none"/>
        </w:rPr>
        <w:t>. 发包人</w:t>
      </w:r>
      <w:bookmarkEnd w:id="175"/>
      <w:bookmarkEnd w:id="176"/>
      <w:bookmarkEnd w:id="177"/>
      <w:bookmarkEnd w:id="178"/>
      <w:bookmarkEnd w:id="179"/>
      <w:bookmarkEnd w:id="180"/>
    </w:p>
    <w:bookmarkEnd w:id="181"/>
    <w:bookmarkEnd w:id="182"/>
    <w:bookmarkEnd w:id="183"/>
    <w:bookmarkEnd w:id="184"/>
    <w:bookmarkEnd w:id="185"/>
    <w:bookmarkEnd w:id="186"/>
    <w:bookmarkEnd w:id="187"/>
    <w:bookmarkEnd w:id="188"/>
    <w:bookmarkEnd w:id="189"/>
    <w:bookmarkEnd w:id="190"/>
    <w:p w14:paraId="22A82678">
      <w:pPr>
        <w:pStyle w:val="4"/>
        <w:rPr>
          <w:rFonts w:hint="eastAsia" w:ascii="宋体" w:hAnsi="宋体" w:cs="宋体"/>
          <w:color w:val="auto"/>
          <w:sz w:val="21"/>
          <w:szCs w:val="21"/>
          <w:highlight w:val="none"/>
        </w:rPr>
      </w:pPr>
      <w:bookmarkStart w:id="191" w:name="_Toc373227703"/>
      <w:bookmarkStart w:id="192" w:name="_Toc9850533"/>
      <w:bookmarkStart w:id="193" w:name="_Toc389065269"/>
      <w:bookmarkStart w:id="194" w:name="_Toc373478350"/>
      <w:bookmarkStart w:id="195" w:name="_Toc407135205"/>
      <w:r>
        <w:rPr>
          <w:rFonts w:hint="eastAsia" w:ascii="宋体" w:hAnsi="宋体" w:cs="宋体"/>
          <w:color w:val="auto"/>
          <w:sz w:val="21"/>
          <w:szCs w:val="21"/>
          <w:highlight w:val="none"/>
        </w:rPr>
        <w:t>2.2 发包人代表</w:t>
      </w:r>
      <w:bookmarkEnd w:id="191"/>
      <w:bookmarkEnd w:id="192"/>
      <w:bookmarkEnd w:id="193"/>
      <w:bookmarkEnd w:id="194"/>
      <w:bookmarkEnd w:id="195"/>
    </w:p>
    <w:p w14:paraId="6E6D33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36E8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24A6E7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C91B3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3CDAF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7DB7F6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3011AF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9B5C8A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 xml:space="preserve"> （1）施工、施工技术监督，以及技术文件的审核、签认管理；（2）施工、工程材料进场、使用监督管理；（3）现场变更签认；（4）应付款签核；（5）合同相关方的协调管理 </w:t>
      </w:r>
      <w:r>
        <w:rPr>
          <w:rFonts w:hint="eastAsia" w:ascii="宋体" w:hAnsi="宋体" w:cs="宋体"/>
          <w:color w:val="auto"/>
          <w:szCs w:val="21"/>
          <w:highlight w:val="none"/>
        </w:rPr>
        <w:t>。</w:t>
      </w:r>
    </w:p>
    <w:p w14:paraId="6F7071D1">
      <w:pPr>
        <w:pStyle w:val="4"/>
        <w:rPr>
          <w:rFonts w:hint="eastAsia" w:ascii="宋体" w:hAnsi="宋体" w:cs="宋体"/>
          <w:color w:val="auto"/>
          <w:sz w:val="21"/>
          <w:szCs w:val="21"/>
          <w:highlight w:val="none"/>
        </w:rPr>
      </w:pPr>
      <w:bookmarkStart w:id="196" w:name="_Toc389065270"/>
      <w:bookmarkStart w:id="197" w:name="_Toc9850534"/>
      <w:bookmarkStart w:id="198" w:name="_Toc407135206"/>
      <w:bookmarkStart w:id="199" w:name="_Toc373227704"/>
      <w:bookmarkStart w:id="200" w:name="_Toc373478351"/>
      <w:r>
        <w:rPr>
          <w:rFonts w:hint="eastAsia" w:ascii="宋体" w:hAnsi="宋体" w:cs="宋体"/>
          <w:color w:val="auto"/>
          <w:sz w:val="21"/>
          <w:szCs w:val="21"/>
          <w:highlight w:val="none"/>
        </w:rPr>
        <w:t>2.4 施工现场、施工条件和基础资料的提供</w:t>
      </w:r>
      <w:bookmarkEnd w:id="196"/>
      <w:bookmarkEnd w:id="197"/>
      <w:bookmarkEnd w:id="198"/>
      <w:bookmarkEnd w:id="199"/>
      <w:bookmarkEnd w:id="200"/>
    </w:p>
    <w:p w14:paraId="420961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 提供施工现场</w:t>
      </w:r>
    </w:p>
    <w:p w14:paraId="256FE32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s="宋体"/>
          <w:color w:val="auto"/>
          <w:szCs w:val="21"/>
          <w:highlight w:val="none"/>
          <w:u w:val="single"/>
        </w:rPr>
        <w:t xml:space="preserve"> 施工场地应当在监理人发出的开工通知中载明的开工日期前7 天具备施工条件并移交给承包人，具体施工条件在专用条款中约定。发包人最迟应当在移交施工场地的同时向承包人提供施工场地内地下管线和地下设施等有关资料，并保证资料的真实、准确和完整 </w:t>
      </w:r>
      <w:r>
        <w:rPr>
          <w:rFonts w:hint="eastAsia" w:ascii="宋体" w:hAnsi="宋体" w:cs="宋体"/>
          <w:color w:val="auto"/>
          <w:szCs w:val="21"/>
          <w:highlight w:val="none"/>
        </w:rPr>
        <w:t>。</w:t>
      </w:r>
    </w:p>
    <w:p w14:paraId="73DE4F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提供施工条件</w:t>
      </w:r>
    </w:p>
    <w:p w14:paraId="3AD5276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关于发包人应负责提供施工所需要的条件，包括：</w:t>
      </w:r>
      <w:r>
        <w:rPr>
          <w:rFonts w:hint="eastAsia" w:ascii="宋体" w:hAnsi="宋体" w:cs="宋体"/>
          <w:color w:val="auto"/>
          <w:szCs w:val="21"/>
          <w:highlight w:val="none"/>
          <w:u w:val="single"/>
        </w:rPr>
        <w:t xml:space="preserve"> 发包人于开工前7天，将水、电接至施工现场围墙内。电讯线路的接通由承包人自行解决。承包人进场至工程完工后清场所使用的水、电、通讯费用由承包人承担，发包人可从应支付给承包人的款项中直接扣除。发包人于开工前3日内现场交验水准点与座标控制点，双方做好签认工作。其它设施和条件由承包方自理 </w:t>
      </w:r>
      <w:r>
        <w:rPr>
          <w:rFonts w:hint="eastAsia" w:ascii="宋体" w:hAnsi="宋体" w:cs="宋体"/>
          <w:color w:val="auto"/>
          <w:szCs w:val="21"/>
          <w:highlight w:val="none"/>
        </w:rPr>
        <w:t>。</w:t>
      </w:r>
    </w:p>
    <w:p w14:paraId="076F293B">
      <w:pPr>
        <w:pStyle w:val="4"/>
        <w:rPr>
          <w:rFonts w:hint="eastAsia" w:ascii="宋体" w:hAnsi="宋体" w:cs="宋体"/>
          <w:color w:val="auto"/>
          <w:sz w:val="21"/>
          <w:szCs w:val="21"/>
          <w:highlight w:val="none"/>
        </w:rPr>
      </w:pPr>
      <w:bookmarkStart w:id="201" w:name="_Toc407135207"/>
      <w:bookmarkStart w:id="202" w:name="_Toc373227705"/>
      <w:bookmarkStart w:id="203" w:name="_Toc9850535"/>
      <w:bookmarkStart w:id="204" w:name="_Toc373478352"/>
      <w:bookmarkStart w:id="205" w:name="_Toc389065271"/>
      <w:r>
        <w:rPr>
          <w:rFonts w:hint="eastAsia" w:ascii="宋体" w:hAnsi="宋体" w:cs="宋体"/>
          <w:color w:val="auto"/>
          <w:sz w:val="21"/>
          <w:szCs w:val="21"/>
          <w:highlight w:val="none"/>
        </w:rPr>
        <w:t>2.5 资金来源证明及支付担保</w:t>
      </w:r>
      <w:bookmarkEnd w:id="201"/>
      <w:bookmarkEnd w:id="202"/>
      <w:bookmarkEnd w:id="203"/>
      <w:bookmarkEnd w:id="204"/>
      <w:bookmarkEnd w:id="205"/>
    </w:p>
    <w:p w14:paraId="1E9951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CBBC7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10CF0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A66751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发包人提供的支付担保格式见合同附件9。</w:t>
      </w:r>
    </w:p>
    <w:p w14:paraId="5DB50E11">
      <w:pPr>
        <w:pStyle w:val="3"/>
        <w:rPr>
          <w:rFonts w:hint="eastAsia" w:ascii="宋体" w:hAnsi="宋体" w:eastAsia="宋体" w:cs="宋体"/>
          <w:color w:val="auto"/>
          <w:sz w:val="21"/>
          <w:szCs w:val="21"/>
          <w:highlight w:val="none"/>
        </w:rPr>
      </w:pPr>
      <w:bookmarkStart w:id="206" w:name="_Toc373478353"/>
      <w:bookmarkStart w:id="207" w:name="_Toc373227706"/>
      <w:bookmarkStart w:id="208" w:name="_Toc351203635"/>
      <w:bookmarkStart w:id="209" w:name="_Toc389065272"/>
      <w:bookmarkStart w:id="210" w:name="_Toc9850536"/>
      <w:bookmarkStart w:id="211" w:name="_Toc407135208"/>
      <w:r>
        <w:rPr>
          <w:rFonts w:hint="eastAsia" w:ascii="宋体" w:hAnsi="宋体" w:eastAsia="宋体" w:cs="宋体"/>
          <w:color w:val="auto"/>
          <w:sz w:val="21"/>
          <w:szCs w:val="21"/>
          <w:highlight w:val="none"/>
        </w:rPr>
        <w:t>3</w:t>
      </w:r>
      <w:bookmarkStart w:id="212" w:name="_Toc296891198"/>
      <w:bookmarkStart w:id="213" w:name="_Toc296890986"/>
      <w:bookmarkStart w:id="214" w:name="_Toc292559363"/>
      <w:bookmarkStart w:id="215" w:name="_Toc292559868"/>
      <w:bookmarkStart w:id="216" w:name="_Toc296347157"/>
      <w:bookmarkStart w:id="217" w:name="_Toc297048344"/>
      <w:bookmarkStart w:id="218" w:name="_Toc296503158"/>
      <w:bookmarkStart w:id="219" w:name="_Toc296944497"/>
      <w:bookmarkStart w:id="220" w:name="_Toc296346659"/>
      <w:bookmarkStart w:id="221" w:name="_Toc297120458"/>
      <w:r>
        <w:rPr>
          <w:rFonts w:hint="eastAsia" w:ascii="宋体" w:hAnsi="宋体" w:eastAsia="宋体" w:cs="宋体"/>
          <w:color w:val="auto"/>
          <w:sz w:val="21"/>
          <w:szCs w:val="21"/>
          <w:highlight w:val="none"/>
        </w:rPr>
        <w:t>. 承包人</w:t>
      </w:r>
      <w:bookmarkEnd w:id="206"/>
      <w:bookmarkEnd w:id="207"/>
      <w:bookmarkEnd w:id="208"/>
      <w:bookmarkEnd w:id="209"/>
      <w:bookmarkEnd w:id="210"/>
      <w:bookmarkEnd w:id="211"/>
    </w:p>
    <w:bookmarkEnd w:id="212"/>
    <w:bookmarkEnd w:id="213"/>
    <w:bookmarkEnd w:id="214"/>
    <w:bookmarkEnd w:id="215"/>
    <w:bookmarkEnd w:id="216"/>
    <w:bookmarkEnd w:id="217"/>
    <w:bookmarkEnd w:id="218"/>
    <w:bookmarkEnd w:id="219"/>
    <w:bookmarkEnd w:id="220"/>
    <w:bookmarkEnd w:id="221"/>
    <w:p w14:paraId="176B0DEA">
      <w:pPr>
        <w:pStyle w:val="4"/>
        <w:rPr>
          <w:rFonts w:hint="eastAsia" w:ascii="宋体" w:hAnsi="宋体" w:cs="宋体"/>
          <w:color w:val="auto"/>
          <w:sz w:val="21"/>
          <w:szCs w:val="21"/>
          <w:highlight w:val="none"/>
        </w:rPr>
      </w:pPr>
      <w:bookmarkStart w:id="222" w:name="_Toc373227707"/>
      <w:bookmarkStart w:id="223" w:name="_Toc9850537"/>
      <w:bookmarkStart w:id="224" w:name="_Toc389065273"/>
      <w:bookmarkStart w:id="225" w:name="_Toc373478354"/>
      <w:bookmarkStart w:id="226" w:name="_Toc407135209"/>
      <w:r>
        <w:rPr>
          <w:rFonts w:hint="eastAsia" w:ascii="宋体" w:hAnsi="宋体" w:cs="宋体"/>
          <w:color w:val="auto"/>
          <w:sz w:val="21"/>
          <w:szCs w:val="21"/>
          <w:highlight w:val="none"/>
        </w:rPr>
        <w:t>3.1 承包人的一般义务</w:t>
      </w:r>
      <w:bookmarkEnd w:id="222"/>
      <w:bookmarkEnd w:id="223"/>
      <w:bookmarkEnd w:id="224"/>
      <w:bookmarkEnd w:id="225"/>
      <w:bookmarkEnd w:id="226"/>
    </w:p>
    <w:p w14:paraId="110BCC4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（9）</w:t>
      </w:r>
      <w:r>
        <w:rPr>
          <w:rFonts w:hint="eastAsia" w:ascii="宋体" w:hAnsi="宋体" w:cs="宋体"/>
          <w:color w:val="auto"/>
          <w:szCs w:val="21"/>
          <w:highlight w:val="none"/>
        </w:rPr>
        <w:t>承包人提交的竣工资料的内容：</w:t>
      </w:r>
    </w:p>
    <w:p w14:paraId="3C6E2A51">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a、工程项目结算书（附工程量计算式、工料分析等）；</w:t>
      </w:r>
    </w:p>
    <w:p w14:paraId="70E4624C">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b、工程项目施工技术文件《施工组织设计》等，以及相应的施工规范、标准目次；</w:t>
      </w:r>
    </w:p>
    <w:p w14:paraId="108F0CA1">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c、工程项目竣工图纸及竣工验收资料、工程的实际开工日期、竣工日期、图纸会审纪要，有关会议记录；</w:t>
      </w:r>
    </w:p>
    <w:p w14:paraId="6120FAF8">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d、施工中有关的增、减、变更工程内容和施工记录；</w:t>
      </w:r>
    </w:p>
    <w:p w14:paraId="3067408F">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e、施工期间与工程相关的政策性调整文件、监理记录等；</w:t>
      </w:r>
    </w:p>
    <w:p w14:paraId="67F498BC">
      <w:pPr>
        <w:pStyle w:val="205"/>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f、审计工作需要提供的其他资料</w:t>
      </w:r>
      <w:r>
        <w:rPr>
          <w:rFonts w:hint="eastAsia" w:ascii="宋体" w:hAnsi="宋体" w:cs="宋体"/>
          <w:color w:val="auto"/>
          <w:szCs w:val="21"/>
          <w:highlight w:val="none"/>
        </w:rPr>
        <w:t>。</w:t>
      </w:r>
    </w:p>
    <w:p w14:paraId="05DDAC0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rPr>
        <w:t xml:space="preserve">5份 </w:t>
      </w:r>
      <w:r>
        <w:rPr>
          <w:rFonts w:hint="eastAsia" w:ascii="宋体" w:hAnsi="宋体" w:cs="宋体"/>
          <w:color w:val="auto"/>
          <w:szCs w:val="21"/>
          <w:highlight w:val="none"/>
        </w:rPr>
        <w:t>。</w:t>
      </w:r>
    </w:p>
    <w:p w14:paraId="35C9E81F">
      <w:pPr>
        <w:spacing w:line="360" w:lineRule="auto"/>
        <w:ind w:left="424" w:leftChars="202"/>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color w:val="auto"/>
          <w:szCs w:val="21"/>
          <w:highlight w:val="none"/>
          <w:u w:val="single"/>
        </w:rPr>
        <w:t xml:space="preserve"> 承包人承担  </w:t>
      </w:r>
      <w:r>
        <w:rPr>
          <w:rFonts w:hint="eastAsia" w:ascii="宋体" w:hAnsi="宋体" w:cs="宋体"/>
          <w:color w:val="auto"/>
          <w:szCs w:val="21"/>
          <w:highlight w:val="none"/>
        </w:rPr>
        <w:t>。</w:t>
      </w:r>
    </w:p>
    <w:p w14:paraId="104EABBD">
      <w:pPr>
        <w:spacing w:line="360" w:lineRule="auto"/>
        <w:ind w:left="424" w:leftChars="202"/>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承包人提交的竣工资料移交时间：</w:t>
      </w:r>
      <w:r>
        <w:rPr>
          <w:rFonts w:hint="eastAsia" w:ascii="宋体" w:hAnsi="宋体" w:cs="宋体"/>
          <w:color w:val="auto"/>
          <w:szCs w:val="21"/>
          <w:highlight w:val="none"/>
          <w:u w:val="single"/>
        </w:rPr>
        <w:t xml:space="preserve"> 竣工验收合格签认日后30天 </w:t>
      </w:r>
      <w:r>
        <w:rPr>
          <w:rFonts w:hint="eastAsia" w:ascii="宋体" w:hAnsi="宋体" w:cs="宋体"/>
          <w:color w:val="auto"/>
          <w:szCs w:val="21"/>
          <w:highlight w:val="none"/>
        </w:rPr>
        <w:t>。</w:t>
      </w:r>
    </w:p>
    <w:p w14:paraId="4F48AA6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rPr>
        <w:t xml:space="preserve"> 竣工图、结算书、签证单以及相应的影像、照片等 </w:t>
      </w:r>
      <w:r>
        <w:rPr>
          <w:rFonts w:hint="eastAsia" w:ascii="宋体" w:hAnsi="宋体" w:cs="宋体"/>
          <w:color w:val="auto"/>
          <w:szCs w:val="21"/>
          <w:highlight w:val="none"/>
        </w:rPr>
        <w:t>。</w:t>
      </w:r>
    </w:p>
    <w:p w14:paraId="1A7C977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（10）承包人应履行的其他义务：</w:t>
      </w:r>
    </w:p>
    <w:p w14:paraId="548C893F">
      <w:pPr>
        <w:pStyle w:val="280"/>
        <w:spacing w:line="360" w:lineRule="auto"/>
        <w:ind w:firstLine="420" w:firstLineChars="200"/>
        <w:rPr>
          <w:rFonts w:hint="eastAsia" w:ascii="宋体" w:hAnsi="宋体" w:cs="宋体"/>
          <w:color w:val="auto"/>
          <w:kern w:val="0"/>
          <w:szCs w:val="21"/>
          <w:highlight w:val="none"/>
          <w:u w:val="single"/>
        </w:rPr>
      </w:pPr>
      <w:bookmarkStart w:id="227" w:name="_Toc9850538"/>
      <w:bookmarkStart w:id="228" w:name="_Toc373478355"/>
      <w:bookmarkStart w:id="229" w:name="_Toc373227708"/>
      <w:bookmarkStart w:id="230" w:name="_Toc389065274"/>
      <w:bookmarkStart w:id="231" w:name="_Toc407135210"/>
      <w:r>
        <w:rPr>
          <w:rFonts w:hint="eastAsia" w:ascii="宋体" w:hAnsi="宋体" w:cs="宋体"/>
          <w:color w:val="auto"/>
          <w:kern w:val="0"/>
          <w:szCs w:val="21"/>
          <w:highlight w:val="none"/>
          <w:u w:val="single"/>
        </w:rPr>
        <w:t>①施工场地周围地下管线和邻近建筑物、构筑物（含文物保护建筑）、古树名木的保护要求及费用承担：承包人施工时应探明并负责保护,费用由发包人承担。施工时如损坏地下管线、邻近建筑物、构筑物，所发生费用由承包人承担。</w:t>
      </w:r>
    </w:p>
    <w:p w14:paraId="7F0E214E">
      <w:pPr>
        <w:pStyle w:val="28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②取土场及弃土场由承包人自行解决，但不得违反相关管理规定，并承担相关费用。</w:t>
      </w:r>
    </w:p>
    <w:p w14:paraId="17700435">
      <w:pPr>
        <w:pStyle w:val="205"/>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③承包人在查阅本工程合同文件或在本工程实施过程中，有责任对设计图纸、标准、规范及其他资料进行复核，承包人对设计中存在的问题应积极向发包人反映。如发现其中有任何差错、遗漏或缺陷，应在有关工程施工前及时书面通知发包人工程师，发包人工程师接到总承包人通知后，应在24小时内作出决定。④在施工场地内车辆出入口处必须按要求设置洗车池，车辆驶入市政道路前必须经过洗车池冲洗，以保证出场上路的车辆的整洁情况符合要求，其修建、维护及拆除、恢复等费用全部由总承包人承担</w:t>
      </w:r>
      <w:r>
        <w:rPr>
          <w:rFonts w:hint="eastAsia" w:ascii="宋体" w:hAnsi="宋体" w:cs="宋体"/>
          <w:color w:val="auto"/>
          <w:kern w:val="0"/>
          <w:szCs w:val="21"/>
          <w:highlight w:val="none"/>
        </w:rPr>
        <w:t>。</w:t>
      </w:r>
    </w:p>
    <w:p w14:paraId="031C34FC">
      <w:pPr>
        <w:pStyle w:val="4"/>
        <w:rPr>
          <w:rFonts w:hint="eastAsia" w:ascii="宋体" w:hAnsi="宋体" w:cs="宋体"/>
          <w:color w:val="auto"/>
          <w:sz w:val="21"/>
          <w:szCs w:val="21"/>
          <w:highlight w:val="none"/>
        </w:rPr>
      </w:pPr>
      <w:r>
        <w:rPr>
          <w:rFonts w:hint="eastAsia" w:ascii="宋体" w:hAnsi="宋体" w:cs="宋体"/>
          <w:color w:val="auto"/>
          <w:sz w:val="21"/>
          <w:szCs w:val="21"/>
          <w:highlight w:val="none"/>
        </w:rPr>
        <w:t>3.2 项目经理</w:t>
      </w:r>
      <w:bookmarkEnd w:id="227"/>
      <w:bookmarkEnd w:id="228"/>
      <w:bookmarkEnd w:id="229"/>
      <w:bookmarkEnd w:id="230"/>
      <w:bookmarkEnd w:id="231"/>
    </w:p>
    <w:p w14:paraId="60F391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项目经理：</w:t>
      </w:r>
    </w:p>
    <w:p w14:paraId="7BFC4C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1BB615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0E1C08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95341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0C4A23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2904A5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6C9C37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632425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E32DF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723696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承包人对项目经理的授权范围如下：  </w:t>
      </w:r>
      <w:r>
        <w:rPr>
          <w:rFonts w:hint="eastAsia" w:ascii="宋体" w:hAnsi="宋体" w:cs="宋体"/>
          <w:color w:val="auto"/>
          <w:szCs w:val="21"/>
          <w:highlight w:val="none"/>
          <w:u w:val="single"/>
        </w:rPr>
        <w:t xml:space="preserve"> 负责组织合同工程的实施 </w:t>
      </w:r>
      <w:r>
        <w:rPr>
          <w:rFonts w:hint="eastAsia" w:ascii="宋体" w:hAnsi="宋体" w:cs="宋体"/>
          <w:color w:val="auto"/>
          <w:szCs w:val="21"/>
          <w:highlight w:val="none"/>
        </w:rPr>
        <w:t>。</w:t>
      </w:r>
    </w:p>
    <w:p w14:paraId="3E1D1BB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color w:val="auto"/>
          <w:szCs w:val="21"/>
          <w:highlight w:val="none"/>
          <w:u w:val="single"/>
        </w:rPr>
        <w:t xml:space="preserve"> 项目经理每月在岗带班时间不得少于当月施工时间的80%。且项目经理离开施工现场时，不得影响工程进度 </w:t>
      </w:r>
      <w:r>
        <w:rPr>
          <w:rFonts w:hint="eastAsia" w:ascii="宋体" w:hAnsi="宋体" w:cs="宋体"/>
          <w:color w:val="auto"/>
          <w:szCs w:val="21"/>
          <w:highlight w:val="none"/>
        </w:rPr>
        <w:t>。</w:t>
      </w:r>
    </w:p>
    <w:p w14:paraId="497B21E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承包人未提交劳动合同，以及没有为项目经理缴纳社会保险证明的违约责任：</w:t>
      </w:r>
      <w:r>
        <w:rPr>
          <w:rFonts w:hint="eastAsia" w:ascii="宋体" w:hAnsi="宋体" w:cs="宋体"/>
          <w:color w:val="auto"/>
          <w:szCs w:val="21"/>
          <w:highlight w:val="none"/>
          <w:u w:val="single"/>
        </w:rPr>
        <w:t xml:space="preserve">发包人有权按承包人项目经理不到位或不委派项目经理处理 </w:t>
      </w:r>
      <w:r>
        <w:rPr>
          <w:rFonts w:hint="eastAsia" w:ascii="宋体" w:hAnsi="宋体" w:cs="宋体"/>
          <w:color w:val="auto"/>
          <w:szCs w:val="21"/>
          <w:highlight w:val="none"/>
        </w:rPr>
        <w:t>。</w:t>
      </w:r>
    </w:p>
    <w:p w14:paraId="475EFFA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color w:val="auto"/>
          <w:szCs w:val="21"/>
          <w:highlight w:val="none"/>
          <w:u w:val="single"/>
        </w:rPr>
        <w:t xml:space="preserve">项目经理每月在岗带班时间不得少于当月施工时间的80%。未经发包人同意或正当理由，项目经理每月在岗带班时间少于当月施工时间80%的，少在岗带班一天，发包人有权处违约金1000元/日（人民币）  </w:t>
      </w:r>
      <w:r>
        <w:rPr>
          <w:rFonts w:hint="eastAsia" w:ascii="宋体" w:hAnsi="宋体" w:cs="宋体"/>
          <w:color w:val="auto"/>
          <w:szCs w:val="21"/>
          <w:highlight w:val="none"/>
        </w:rPr>
        <w:t>。</w:t>
      </w:r>
    </w:p>
    <w:p w14:paraId="45AF4C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承包人擅自更换项目经理的违约责任：</w:t>
      </w:r>
      <w:r>
        <w:rPr>
          <w:rFonts w:hint="eastAsia" w:ascii="宋体" w:hAnsi="宋体" w:cs="宋体"/>
          <w:color w:val="auto"/>
          <w:szCs w:val="21"/>
          <w:highlight w:val="none"/>
          <w:u w:val="single"/>
        </w:rPr>
        <w:t>承包人项目经理必须与承包人竞标时所承诺的人员一致，并在（开工日期）前到任。在监理人向承包人颁发（竣工证明材料名称）前，项目经理不得同时兼任其他任何项目的项目经理</w:t>
      </w:r>
      <w:r>
        <w:rPr>
          <w:rFonts w:hint="eastAsia" w:ascii="宋体" w:hAnsi="宋体" w:cs="宋体"/>
          <w:color w:val="auto"/>
          <w:kern w:val="0"/>
          <w:szCs w:val="21"/>
          <w:highlight w:val="none"/>
          <w:u w:val="single"/>
        </w:rPr>
        <w:t>（符合桂建管</w:t>
      </w:r>
      <w:r>
        <w:rPr>
          <w:rFonts w:hint="eastAsia" w:ascii="宋体" w:hAnsi="宋体" w:cs="宋体"/>
          <w:color w:val="auto"/>
          <w:szCs w:val="21"/>
          <w:highlight w:val="none"/>
          <w:u w:val="single"/>
        </w:rPr>
        <w:t>﹝2013﹞</w:t>
      </w:r>
      <w:r>
        <w:rPr>
          <w:rFonts w:hint="eastAsia" w:ascii="宋体" w:hAnsi="宋体" w:cs="宋体"/>
          <w:color w:val="auto"/>
          <w:kern w:val="0"/>
          <w:szCs w:val="21"/>
          <w:highlight w:val="none"/>
          <w:u w:val="single"/>
        </w:rPr>
        <w:t>17号和</w:t>
      </w:r>
      <w:r>
        <w:rPr>
          <w:rFonts w:hint="eastAsia" w:ascii="宋体" w:hAnsi="宋体" w:cs="宋体"/>
          <w:color w:val="auto"/>
          <w:szCs w:val="21"/>
          <w:highlight w:val="none"/>
          <w:u w:val="single"/>
        </w:rPr>
        <w:t>桂建管﹝2014﹞25号</w:t>
      </w:r>
      <w:r>
        <w:rPr>
          <w:rFonts w:hint="eastAsia" w:ascii="宋体" w:hAnsi="宋体" w:cs="宋体"/>
          <w:color w:val="auto"/>
          <w:kern w:val="0"/>
          <w:szCs w:val="21"/>
          <w:highlight w:val="none"/>
          <w:u w:val="single"/>
        </w:rPr>
        <w:t>文除外）</w:t>
      </w:r>
      <w:r>
        <w:rPr>
          <w:rFonts w:hint="eastAsia" w:ascii="宋体" w:hAnsi="宋体" w:cs="宋体"/>
          <w:color w:val="auto"/>
          <w:szCs w:val="21"/>
          <w:highlight w:val="none"/>
          <w:u w:val="single"/>
        </w:rPr>
        <w:t>。未经发包人书面同意，承包人擅自更换项目经理的视为违约，违约金处    元/人•次（人民币）</w:t>
      </w:r>
      <w:r>
        <w:rPr>
          <w:rFonts w:hint="eastAsia" w:ascii="宋体" w:hAnsi="宋体" w:cs="宋体"/>
          <w:color w:val="auto"/>
          <w:szCs w:val="21"/>
          <w:highlight w:val="none"/>
        </w:rPr>
        <w:t>。</w:t>
      </w:r>
    </w:p>
    <w:p w14:paraId="38B0CB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3.2.4 承包人无正当理由拒绝更换项目经理的违约责任：</w:t>
      </w:r>
      <w:r>
        <w:rPr>
          <w:rFonts w:hint="eastAsia" w:ascii="宋体" w:hAnsi="宋体" w:cs="宋体"/>
          <w:color w:val="auto"/>
          <w:szCs w:val="21"/>
          <w:highlight w:val="none"/>
          <w:u w:val="single"/>
        </w:rPr>
        <w:t>因承包人项目经理不称职，发包人要求调换而未及时调换的，视为承包人违约，必须向发包人交纳处罚金    元/人•次（人民币）</w:t>
      </w:r>
      <w:r>
        <w:rPr>
          <w:rFonts w:hint="eastAsia" w:ascii="宋体" w:hAnsi="宋体" w:cs="宋体"/>
          <w:color w:val="auto"/>
          <w:szCs w:val="21"/>
          <w:highlight w:val="none"/>
        </w:rPr>
        <w:t>。</w:t>
      </w:r>
    </w:p>
    <w:p w14:paraId="3BE373F5">
      <w:pPr>
        <w:pStyle w:val="4"/>
        <w:rPr>
          <w:rFonts w:hint="eastAsia" w:ascii="宋体" w:hAnsi="宋体" w:cs="宋体"/>
          <w:color w:val="auto"/>
          <w:sz w:val="21"/>
          <w:szCs w:val="21"/>
          <w:highlight w:val="none"/>
        </w:rPr>
      </w:pPr>
      <w:bookmarkStart w:id="232" w:name="_Toc373478356"/>
      <w:bookmarkStart w:id="233" w:name="_Toc407135211"/>
      <w:bookmarkStart w:id="234" w:name="_Toc389065275"/>
      <w:bookmarkStart w:id="235" w:name="_Toc373227709"/>
      <w:bookmarkStart w:id="236" w:name="_Toc9850539"/>
      <w:r>
        <w:rPr>
          <w:rFonts w:hint="eastAsia" w:ascii="宋体" w:hAnsi="宋体" w:cs="宋体"/>
          <w:color w:val="auto"/>
          <w:sz w:val="21"/>
          <w:szCs w:val="21"/>
          <w:highlight w:val="none"/>
        </w:rPr>
        <w:t>3.3 承包人人员</w:t>
      </w:r>
      <w:bookmarkEnd w:id="232"/>
      <w:bookmarkEnd w:id="233"/>
      <w:bookmarkEnd w:id="234"/>
      <w:bookmarkEnd w:id="235"/>
      <w:bookmarkEnd w:id="236"/>
    </w:p>
    <w:p w14:paraId="165CAE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承包人提交项目管理机构及施工现场管理人员安排报告（格式见合同附件5）的期限：</w:t>
      </w:r>
      <w:r>
        <w:rPr>
          <w:rFonts w:hint="eastAsia" w:ascii="宋体" w:hAnsi="宋体" w:cs="宋体"/>
          <w:color w:val="auto"/>
          <w:szCs w:val="21"/>
          <w:highlight w:val="none"/>
          <w:u w:val="single"/>
        </w:rPr>
        <w:t xml:space="preserve">开工前7天 </w:t>
      </w:r>
      <w:r>
        <w:rPr>
          <w:rFonts w:hint="eastAsia" w:ascii="宋体" w:hAnsi="宋体" w:cs="宋体"/>
          <w:color w:val="auto"/>
          <w:szCs w:val="21"/>
          <w:highlight w:val="none"/>
        </w:rPr>
        <w:t>。</w:t>
      </w:r>
    </w:p>
    <w:p w14:paraId="68829D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要求调换而无正当理由拒绝撤换或未及时调换的，视为承包人违约，必须向发包人交纳处罚金，处罚标准：技术负责人1000元/人•次（人民币）；专业工程师500元/人•次（人民币）</w:t>
      </w:r>
      <w:r>
        <w:rPr>
          <w:rFonts w:hint="eastAsia" w:ascii="宋体" w:hAnsi="宋体" w:cs="宋体"/>
          <w:color w:val="auto"/>
          <w:szCs w:val="21"/>
          <w:highlight w:val="none"/>
        </w:rPr>
        <w:t>。</w:t>
      </w:r>
    </w:p>
    <w:p w14:paraId="55ACEFE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 xml:space="preserve"> 向发包人提出书面申请并获得书面批准 </w:t>
      </w:r>
      <w:r>
        <w:rPr>
          <w:rFonts w:hint="eastAsia" w:ascii="宋体" w:hAnsi="宋体" w:cs="宋体"/>
          <w:color w:val="auto"/>
          <w:szCs w:val="21"/>
          <w:highlight w:val="none"/>
        </w:rPr>
        <w:t>。</w:t>
      </w:r>
    </w:p>
    <w:p w14:paraId="4DBD0F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 承包人擅自更换主要施工管理人员的违约责任：</w:t>
      </w:r>
      <w:r>
        <w:rPr>
          <w:rFonts w:hint="eastAsia" w:ascii="宋体" w:hAnsi="宋体" w:cs="宋体"/>
          <w:color w:val="auto"/>
          <w:szCs w:val="21"/>
          <w:highlight w:val="none"/>
          <w:u w:val="single"/>
        </w:rPr>
        <w:t>项目技术负责人、专职安全生产管理人员及其承诺的其它在场管理人员未经发包人书面同意不准擅自更换，擅自更换项目技术负责人处10000元/人•次（人民币）违约金；擅自更换专职安全生产管理人员处10000元/人•次（人民币）违约金；擅自更换其它在场管理人员处10000元/人•次（人民币）违约金</w:t>
      </w:r>
      <w:r>
        <w:rPr>
          <w:rFonts w:hint="eastAsia" w:ascii="宋体" w:hAnsi="宋体" w:cs="宋体"/>
          <w:color w:val="auto"/>
          <w:szCs w:val="21"/>
          <w:highlight w:val="none"/>
        </w:rPr>
        <w:t>。</w:t>
      </w:r>
    </w:p>
    <w:p w14:paraId="1061ED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未经发包人同意，项目技术负责人擅自离岗的，视为承包人违约，发包人有权处违约金2000元/人•次（人民币）；未经发包人同意，专职安全生产管理人员擅自离岗的，视为承包人违约，发包人有权处违约金2000元/人•次（人民币）；其它在场管理人员擅自离岗的，视为承包人违约，发包人有权处违约金2000元/人•次（人民币）</w:t>
      </w:r>
      <w:r>
        <w:rPr>
          <w:rFonts w:hint="eastAsia" w:ascii="宋体" w:hAnsi="宋体" w:cs="宋体"/>
          <w:color w:val="auto"/>
          <w:szCs w:val="21"/>
          <w:highlight w:val="none"/>
        </w:rPr>
        <w:t>。</w:t>
      </w:r>
    </w:p>
    <w:p w14:paraId="7AD0461C">
      <w:pPr>
        <w:pStyle w:val="4"/>
        <w:rPr>
          <w:rFonts w:hint="eastAsia" w:ascii="宋体" w:hAnsi="宋体" w:cs="宋体"/>
          <w:color w:val="auto"/>
          <w:sz w:val="21"/>
          <w:szCs w:val="21"/>
          <w:highlight w:val="none"/>
        </w:rPr>
      </w:pPr>
      <w:bookmarkStart w:id="237" w:name="_Toc373478357"/>
      <w:bookmarkStart w:id="238" w:name="_Toc407135212"/>
      <w:bookmarkStart w:id="239" w:name="_Toc373227710"/>
      <w:bookmarkStart w:id="240" w:name="_Toc9850540"/>
      <w:bookmarkStart w:id="241" w:name="_Toc389065276"/>
      <w:r>
        <w:rPr>
          <w:rFonts w:hint="eastAsia" w:ascii="宋体" w:hAnsi="宋体" w:cs="宋体"/>
          <w:color w:val="auto"/>
          <w:sz w:val="21"/>
          <w:szCs w:val="21"/>
          <w:highlight w:val="none"/>
        </w:rPr>
        <w:t>3</w:t>
      </w:r>
      <w:bookmarkStart w:id="242" w:name="_Toc292559364"/>
      <w:bookmarkStart w:id="243" w:name="_Toc296890987"/>
      <w:bookmarkStart w:id="244" w:name="_Toc300934945"/>
      <w:bookmarkStart w:id="245" w:name="_Toc296346660"/>
      <w:bookmarkStart w:id="246" w:name="_Toc296944498"/>
      <w:bookmarkStart w:id="247" w:name="_Toc312677988"/>
      <w:bookmarkStart w:id="248" w:name="_Toc296347158"/>
      <w:bookmarkStart w:id="249" w:name="_Toc297048345"/>
      <w:bookmarkStart w:id="250" w:name="_Toc297216151"/>
      <w:bookmarkStart w:id="251" w:name="_Toc297120459"/>
      <w:bookmarkStart w:id="252" w:name="_Toc303539102"/>
      <w:bookmarkStart w:id="253" w:name="_Toc296503159"/>
      <w:bookmarkStart w:id="254" w:name="_Toc304295523"/>
      <w:bookmarkStart w:id="255" w:name="_Toc296891199"/>
      <w:bookmarkStart w:id="256" w:name="_Toc297123492"/>
      <w:bookmarkStart w:id="257" w:name="_Toc292559869"/>
      <w:r>
        <w:rPr>
          <w:rFonts w:hint="eastAsia" w:ascii="宋体" w:hAnsi="宋体" w:cs="宋体"/>
          <w:color w:val="auto"/>
          <w:sz w:val="21"/>
          <w:szCs w:val="21"/>
          <w:highlight w:val="none"/>
        </w:rPr>
        <w:t>.5 分包</w:t>
      </w:r>
      <w:bookmarkEnd w:id="237"/>
      <w:bookmarkEnd w:id="238"/>
      <w:bookmarkEnd w:id="239"/>
      <w:bookmarkEnd w:id="240"/>
      <w:bookmarkEnd w:id="241"/>
    </w:p>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14:paraId="2C40B7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258" w:name="_Toc296347159"/>
      <w:bookmarkStart w:id="259" w:name="_Toc312677989"/>
      <w:bookmarkStart w:id="260" w:name="_Toc296346661"/>
      <w:bookmarkStart w:id="261" w:name="_Toc292559365"/>
      <w:bookmarkStart w:id="262" w:name="_Toc297123493"/>
      <w:bookmarkStart w:id="263" w:name="_Toc296890988"/>
      <w:bookmarkStart w:id="264" w:name="_Toc297120460"/>
      <w:bookmarkStart w:id="265" w:name="_Toc300934946"/>
      <w:bookmarkStart w:id="266" w:name="_Toc296503160"/>
      <w:bookmarkStart w:id="267" w:name="_Toc304295524"/>
      <w:bookmarkStart w:id="268" w:name="_Toc297048346"/>
      <w:bookmarkStart w:id="269" w:name="_Toc296891200"/>
      <w:bookmarkStart w:id="270" w:name="_Toc297216152"/>
      <w:bookmarkStart w:id="271" w:name="_Toc318581158"/>
      <w:bookmarkStart w:id="272" w:name="_Toc296944499"/>
      <w:bookmarkStart w:id="273" w:name="_Toc292559870"/>
      <w:bookmarkStart w:id="274" w:name="_Toc303539103"/>
      <w:r>
        <w:rPr>
          <w:rFonts w:hint="eastAsia" w:ascii="宋体" w:hAnsi="宋体" w:cs="宋体"/>
          <w:color w:val="auto"/>
          <w:szCs w:val="21"/>
          <w:highlight w:val="none"/>
        </w:rPr>
        <w:t>.5.1 分包的一般约定</w:t>
      </w:r>
    </w:p>
    <w:p w14:paraId="4195BC8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color w:val="auto"/>
          <w:szCs w:val="21"/>
          <w:highlight w:val="none"/>
          <w:u w:val="single"/>
        </w:rPr>
        <w:t xml:space="preserve"> 本工程不得分包 </w:t>
      </w:r>
      <w:r>
        <w:rPr>
          <w:rFonts w:hint="eastAsia" w:ascii="宋体" w:hAnsi="宋体" w:cs="宋体"/>
          <w:color w:val="auto"/>
          <w:szCs w:val="21"/>
          <w:highlight w:val="none"/>
        </w:rPr>
        <w:t>。</w:t>
      </w:r>
    </w:p>
    <w:p w14:paraId="2881298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主体结构、关键性工作的范围：</w:t>
      </w:r>
      <w:r>
        <w:rPr>
          <w:rFonts w:hint="eastAsia" w:ascii="宋体" w:hAnsi="宋体" w:cs="宋体"/>
          <w:color w:val="auto"/>
          <w:szCs w:val="21"/>
          <w:highlight w:val="none"/>
          <w:u w:val="single"/>
        </w:rPr>
        <w:t xml:space="preserve"> 本工程不得分包 </w:t>
      </w:r>
      <w:r>
        <w:rPr>
          <w:rFonts w:hint="eastAsia" w:ascii="宋体" w:hAnsi="宋体" w:cs="宋体"/>
          <w:color w:val="auto"/>
          <w:szCs w:val="21"/>
          <w:highlight w:val="none"/>
        </w:rPr>
        <w:t>。</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511E8C4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bookmarkStart w:id="275" w:name="_Toc318581159"/>
      <w:bookmarkStart w:id="276" w:name="_Toc312677990"/>
      <w:r>
        <w:rPr>
          <w:rFonts w:hint="eastAsia" w:ascii="宋体" w:hAnsi="宋体" w:cs="宋体"/>
          <w:color w:val="auto"/>
          <w:szCs w:val="21"/>
          <w:highlight w:val="none"/>
        </w:rPr>
        <w:t>.5.2 分包的确定</w:t>
      </w:r>
    </w:p>
    <w:p w14:paraId="59E477D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 xml:space="preserve"> 本工程不得分包 </w:t>
      </w:r>
      <w:r>
        <w:rPr>
          <w:rFonts w:hint="eastAsia" w:ascii="宋体" w:hAnsi="宋体" w:cs="宋体"/>
          <w:color w:val="auto"/>
          <w:szCs w:val="21"/>
          <w:highlight w:val="none"/>
        </w:rPr>
        <w:t>。</w:t>
      </w:r>
    </w:p>
    <w:p w14:paraId="7E6F8F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其他关于分包的约定：</w:t>
      </w:r>
    </w:p>
    <w:p w14:paraId="3EB39D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66BBF3F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（2）在相关分包合同签订并报送有关建设行政主管部门备案后7天内，承包人应当将一份副本提交给监理人，承包人应保障分包工作不得再次分包。</w:t>
      </w:r>
    </w:p>
    <w:p w14:paraId="21ED35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（3）未经承包人和监理人审批同意的分包工程和分包人，承包人有权拒绝验收分包工程和支付相应款项，由此引起的发包人费用增加和(或)延误的工期由发包人承担。</w:t>
      </w:r>
    </w:p>
    <w:p w14:paraId="264DD2B4">
      <w:pPr>
        <w:pStyle w:val="26"/>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（4）承包人有以下情况之一者，发包人有权解除合同，并视情况扣除其履约保证金：</w:t>
      </w:r>
    </w:p>
    <w:p w14:paraId="49F835FB">
      <w:pPr>
        <w:pStyle w:val="26"/>
        <w:spacing w:line="360" w:lineRule="auto"/>
        <w:ind w:firstLine="441" w:firstLineChars="210"/>
        <w:rPr>
          <w:rFonts w:hint="eastAsia" w:hAnsi="宋体" w:cs="宋体"/>
          <w:color w:val="auto"/>
          <w:sz w:val="21"/>
          <w:szCs w:val="21"/>
          <w:highlight w:val="none"/>
        </w:rPr>
      </w:pPr>
      <w:r>
        <w:rPr>
          <w:rFonts w:hint="eastAsia" w:hAnsi="宋体" w:cs="宋体"/>
          <w:color w:val="auto"/>
          <w:sz w:val="21"/>
          <w:szCs w:val="21"/>
          <w:highlight w:val="none"/>
        </w:rPr>
        <w:t>①个人承包工程，包括本人单位及外单位人员承包，发包人不承认其个人拥有任何资质等级及营业许可资格。没收全部履约保证金。</w:t>
      </w:r>
    </w:p>
    <w:p w14:paraId="16E3E4C4">
      <w:pPr>
        <w:pStyle w:val="26"/>
        <w:spacing w:line="360" w:lineRule="auto"/>
        <w:ind w:firstLine="441" w:firstLineChars="210"/>
        <w:rPr>
          <w:rFonts w:hint="eastAsia" w:hAnsi="宋体" w:cs="宋体"/>
          <w:color w:val="auto"/>
          <w:sz w:val="21"/>
          <w:szCs w:val="21"/>
          <w:highlight w:val="none"/>
        </w:rPr>
      </w:pPr>
      <w:r>
        <w:rPr>
          <w:rFonts w:hint="eastAsia" w:hAnsi="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F0BD980">
      <w:pPr>
        <w:pStyle w:val="26"/>
        <w:spacing w:line="360" w:lineRule="auto"/>
        <w:ind w:firstLine="441" w:firstLineChars="210"/>
        <w:rPr>
          <w:rFonts w:hint="eastAsia" w:hAnsi="宋体" w:cs="宋体"/>
          <w:color w:val="auto"/>
          <w:sz w:val="21"/>
          <w:szCs w:val="21"/>
          <w:highlight w:val="none"/>
        </w:rPr>
      </w:pPr>
      <w:r>
        <w:rPr>
          <w:rFonts w:hint="eastAsia" w:hAnsi="宋体" w:cs="宋体"/>
          <w:color w:val="auto"/>
          <w:sz w:val="21"/>
          <w:szCs w:val="21"/>
          <w:highlight w:val="none"/>
        </w:rPr>
        <w:t>③就地转包全部的工程，以谋取高额转让费、管理费的承包人。没收全部履约保证金。</w:t>
      </w:r>
    </w:p>
    <w:p w14:paraId="7904D4D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5CE2E1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 分包合同价款</w:t>
      </w:r>
    </w:p>
    <w:bookmarkEnd w:id="275"/>
    <w:bookmarkEnd w:id="276"/>
    <w:p w14:paraId="298088D4">
      <w:pPr>
        <w:spacing w:line="360" w:lineRule="auto"/>
        <w:ind w:firstLine="420" w:firstLineChars="200"/>
        <w:rPr>
          <w:rFonts w:hint="eastAsia" w:ascii="宋体" w:hAnsi="宋体" w:cs="宋体"/>
          <w:color w:val="auto"/>
          <w:szCs w:val="21"/>
          <w:highlight w:val="none"/>
        </w:rPr>
      </w:pPr>
      <w:bookmarkStart w:id="277" w:name="_Toc373478358"/>
      <w:bookmarkStart w:id="278" w:name="_Toc389065277"/>
      <w:bookmarkStart w:id="279" w:name="_Toc373227711"/>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04784ACA">
      <w:pPr>
        <w:pStyle w:val="4"/>
        <w:rPr>
          <w:rFonts w:hint="eastAsia" w:ascii="宋体" w:hAnsi="宋体" w:cs="宋体"/>
          <w:color w:val="auto"/>
          <w:sz w:val="21"/>
          <w:szCs w:val="21"/>
          <w:highlight w:val="none"/>
        </w:rPr>
      </w:pPr>
      <w:bookmarkStart w:id="280" w:name="_Toc9850541"/>
      <w:bookmarkStart w:id="281" w:name="_Toc407135213"/>
      <w:r>
        <w:rPr>
          <w:rFonts w:hint="eastAsia" w:ascii="宋体" w:hAnsi="宋体" w:cs="宋体"/>
          <w:color w:val="auto"/>
          <w:sz w:val="21"/>
          <w:szCs w:val="21"/>
          <w:highlight w:val="none"/>
        </w:rPr>
        <w:t>3.6 工程照管与成品、半成品保护</w:t>
      </w:r>
      <w:bookmarkEnd w:id="277"/>
      <w:bookmarkEnd w:id="278"/>
      <w:bookmarkEnd w:id="279"/>
      <w:bookmarkEnd w:id="280"/>
      <w:bookmarkEnd w:id="281"/>
    </w:p>
    <w:p w14:paraId="36B7B7EF">
      <w:pPr>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color w:val="auto"/>
          <w:kern w:val="0"/>
          <w:szCs w:val="21"/>
          <w:highlight w:val="none"/>
          <w:u w:val="single"/>
        </w:rPr>
        <w:t xml:space="preserve">从工程开工至竣工验收合格 </w:t>
      </w:r>
      <w:r>
        <w:rPr>
          <w:rFonts w:hint="eastAsia" w:ascii="宋体" w:hAnsi="宋体" w:cs="宋体"/>
          <w:color w:val="auto"/>
          <w:kern w:val="0"/>
          <w:szCs w:val="21"/>
          <w:highlight w:val="none"/>
        </w:rPr>
        <w:t>。</w:t>
      </w:r>
    </w:p>
    <w:p w14:paraId="6E153298">
      <w:pPr>
        <w:pStyle w:val="4"/>
        <w:rPr>
          <w:rFonts w:hint="eastAsia" w:ascii="宋体" w:hAnsi="宋体" w:cs="宋体"/>
          <w:color w:val="auto"/>
          <w:sz w:val="21"/>
          <w:szCs w:val="21"/>
          <w:highlight w:val="none"/>
        </w:rPr>
      </w:pPr>
      <w:bookmarkStart w:id="282" w:name="_Toc389065278"/>
      <w:bookmarkStart w:id="283" w:name="_Toc373478359"/>
      <w:bookmarkStart w:id="284" w:name="_Toc373227712"/>
      <w:bookmarkStart w:id="285" w:name="_Toc407135214"/>
      <w:bookmarkStart w:id="286" w:name="_Toc9850542"/>
      <w:r>
        <w:rPr>
          <w:rFonts w:hint="eastAsia" w:ascii="宋体" w:hAnsi="宋体" w:cs="宋体"/>
          <w:color w:val="auto"/>
          <w:sz w:val="21"/>
          <w:szCs w:val="21"/>
          <w:highlight w:val="none"/>
        </w:rPr>
        <w:t>3.7 履约</w:t>
      </w:r>
      <w:bookmarkEnd w:id="282"/>
      <w:bookmarkEnd w:id="283"/>
      <w:bookmarkEnd w:id="284"/>
      <w:r>
        <w:rPr>
          <w:rFonts w:hint="eastAsia" w:ascii="宋体" w:hAnsi="宋体" w:cs="宋体"/>
          <w:color w:val="auto"/>
          <w:sz w:val="21"/>
          <w:szCs w:val="21"/>
          <w:highlight w:val="none"/>
        </w:rPr>
        <w:t>保证金</w:t>
      </w:r>
      <w:bookmarkEnd w:id="285"/>
      <w:bookmarkEnd w:id="286"/>
    </w:p>
    <w:p w14:paraId="2105EF5B">
      <w:pPr>
        <w:spacing w:line="360" w:lineRule="auto"/>
        <w:ind w:firstLine="420" w:firstLineChars="200"/>
        <w:jc w:val="left"/>
        <w:rPr>
          <w:rFonts w:hint="eastAsia" w:ascii="宋体" w:hAnsi="宋体" w:cs="宋体"/>
          <w:color w:val="auto"/>
          <w:szCs w:val="21"/>
          <w:highlight w:val="none"/>
        </w:rPr>
      </w:pPr>
      <w:bookmarkStart w:id="287" w:name="_Toc373478360"/>
      <w:bookmarkStart w:id="288" w:name="_Toc351203636"/>
      <w:bookmarkStart w:id="289" w:name="_Toc373227713"/>
      <w:bookmarkStart w:id="290" w:name="_Toc389065279"/>
      <w:r>
        <w:rPr>
          <w:rFonts w:hint="eastAsia" w:ascii="宋体" w:hAnsi="宋体" w:cs="宋体"/>
          <w:color w:val="auto"/>
          <w:szCs w:val="21"/>
          <w:highlight w:val="none"/>
        </w:rPr>
        <w:t>承包人提供履约担保的形式、金额及期限的：</w:t>
      </w:r>
      <w:r>
        <w:rPr>
          <w:rFonts w:hint="eastAsia" w:ascii="宋体" w:hAnsi="宋体" w:cs="宋体"/>
          <w:color w:val="auto"/>
          <w:szCs w:val="21"/>
          <w:highlight w:val="none"/>
          <w:u w:val="single"/>
        </w:rPr>
        <w:t>承包人在收到中标通知书后，须在7日内向发包人提交合同价款扣除发包人材料设备价款、暂估专业工程、暂列金额后的   %的履约担保（格式见合同附件7）。履约担保的有效期应当自本合同生效之日起至发包人签认并由监理人向承包人出具（竣工证明材料名称）之日止。如果承包人无法获得一份不带具体截止日期的担保，履约担保中应当有“变更工程竣工日期的，保证期间按照变更后的竣工日期做相应调整”或类似约定的条款。</w:t>
      </w:r>
    </w:p>
    <w:p w14:paraId="013ED34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工程竣工验收合格并对验收发现的问题完成整改后的7个日历天内，发包人支付履约保证金的50%；承包人向发包人完成（施工）竣工资料移交手续后，可向发包人申请退还剩余履约保证金，发包人应在收到申请之日起28个日历天内扣减承包人赔偿金和其他应从承包人扣回的款项后，将履约保证金的余额退还给承包人。</w:t>
      </w:r>
    </w:p>
    <w:p w14:paraId="01B0660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承包人在中标后7个工作日内，按《钦州市住房城乡建设行政主管部门规定》规定将农民工工资保障金存入帐户。工程竣工验收结算经审定后，按照规定程序，将农民工工资保障金没有使用或剩余的金额退还给承包人。</w:t>
      </w:r>
    </w:p>
    <w:p w14:paraId="25B3052C">
      <w:pPr>
        <w:pStyle w:val="3"/>
        <w:rPr>
          <w:rFonts w:hint="eastAsia" w:ascii="宋体" w:hAnsi="宋体" w:eastAsia="宋体" w:cs="宋体"/>
          <w:color w:val="auto"/>
          <w:sz w:val="21"/>
          <w:szCs w:val="21"/>
          <w:highlight w:val="none"/>
        </w:rPr>
      </w:pPr>
      <w:bookmarkStart w:id="291" w:name="_Toc407135215"/>
      <w:bookmarkStart w:id="292" w:name="_Toc9850543"/>
      <w:r>
        <w:rPr>
          <w:rFonts w:hint="eastAsia" w:ascii="宋体" w:hAnsi="宋体" w:eastAsia="宋体" w:cs="宋体"/>
          <w:color w:val="auto"/>
          <w:sz w:val="21"/>
          <w:szCs w:val="21"/>
          <w:highlight w:val="none"/>
        </w:rPr>
        <w:t>4</w:t>
      </w:r>
      <w:bookmarkStart w:id="293" w:name="_Toc296944501"/>
      <w:bookmarkStart w:id="294" w:name="_Toc296347161"/>
      <w:bookmarkStart w:id="295" w:name="_Toc292559871"/>
      <w:bookmarkStart w:id="296" w:name="_Toc296346663"/>
      <w:bookmarkStart w:id="297" w:name="_Toc296891202"/>
      <w:bookmarkStart w:id="298" w:name="_Toc267251413"/>
      <w:bookmarkStart w:id="299" w:name="_Toc296890990"/>
      <w:bookmarkStart w:id="300" w:name="_Toc297048348"/>
      <w:bookmarkStart w:id="301" w:name="_Toc292559366"/>
      <w:bookmarkStart w:id="302" w:name="_Toc296503162"/>
      <w:bookmarkStart w:id="303" w:name="_Toc297120462"/>
      <w:r>
        <w:rPr>
          <w:rFonts w:hint="eastAsia" w:ascii="宋体" w:hAnsi="宋体" w:eastAsia="宋体" w:cs="宋体"/>
          <w:color w:val="auto"/>
          <w:sz w:val="21"/>
          <w:szCs w:val="21"/>
          <w:highlight w:val="none"/>
        </w:rPr>
        <w:t>. 监</w:t>
      </w:r>
      <w:bookmarkEnd w:id="293"/>
      <w:bookmarkEnd w:id="294"/>
      <w:bookmarkEnd w:id="295"/>
      <w:bookmarkEnd w:id="296"/>
      <w:bookmarkEnd w:id="297"/>
      <w:bookmarkEnd w:id="298"/>
      <w:bookmarkEnd w:id="299"/>
      <w:bookmarkEnd w:id="300"/>
      <w:bookmarkEnd w:id="301"/>
      <w:bookmarkEnd w:id="302"/>
      <w:bookmarkEnd w:id="303"/>
      <w:r>
        <w:rPr>
          <w:rFonts w:hint="eastAsia" w:ascii="宋体" w:hAnsi="宋体" w:eastAsia="宋体" w:cs="宋体"/>
          <w:color w:val="auto"/>
          <w:sz w:val="21"/>
          <w:szCs w:val="21"/>
          <w:highlight w:val="none"/>
        </w:rPr>
        <w:t>理人</w:t>
      </w:r>
      <w:bookmarkEnd w:id="287"/>
      <w:bookmarkEnd w:id="288"/>
      <w:bookmarkEnd w:id="289"/>
      <w:bookmarkEnd w:id="290"/>
      <w:bookmarkEnd w:id="291"/>
      <w:bookmarkEnd w:id="292"/>
    </w:p>
    <w:p w14:paraId="7E39DE14">
      <w:pPr>
        <w:pStyle w:val="4"/>
        <w:rPr>
          <w:rFonts w:hint="eastAsia" w:ascii="宋体" w:hAnsi="宋体" w:cs="宋体"/>
          <w:color w:val="auto"/>
          <w:sz w:val="21"/>
          <w:szCs w:val="21"/>
          <w:highlight w:val="none"/>
        </w:rPr>
      </w:pPr>
      <w:bookmarkStart w:id="304" w:name="_Toc373478361"/>
      <w:bookmarkStart w:id="305" w:name="_Toc9850544"/>
      <w:bookmarkStart w:id="306" w:name="_Toc389065280"/>
      <w:bookmarkStart w:id="307" w:name="_Toc407135216"/>
      <w:bookmarkStart w:id="308" w:name="_Toc373227714"/>
      <w:r>
        <w:rPr>
          <w:rFonts w:hint="eastAsia" w:ascii="宋体" w:hAnsi="宋体" w:cs="宋体"/>
          <w:color w:val="auto"/>
          <w:sz w:val="21"/>
          <w:szCs w:val="21"/>
          <w:highlight w:val="none"/>
        </w:rPr>
        <w:t>4.1 监理人的一般规定</w:t>
      </w:r>
      <w:bookmarkEnd w:id="304"/>
      <w:bookmarkEnd w:id="305"/>
      <w:bookmarkEnd w:id="306"/>
      <w:bookmarkEnd w:id="307"/>
      <w:bookmarkEnd w:id="308"/>
    </w:p>
    <w:p w14:paraId="6C12912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 xml:space="preserve"> 负责整个工程的施工组织设计方案审定，质量、安全、进度的控制，协调项目各参建单位之间的关系；执行发包人与监理单位签订的监理合同中的相关条款。完成本工程的监理合同中的有关条款工作 </w:t>
      </w:r>
      <w:r>
        <w:rPr>
          <w:rFonts w:hint="eastAsia" w:ascii="宋体" w:hAnsi="宋体" w:cs="宋体"/>
          <w:color w:val="auto"/>
          <w:szCs w:val="21"/>
          <w:highlight w:val="none"/>
        </w:rPr>
        <w:t>。</w:t>
      </w:r>
    </w:p>
    <w:p w14:paraId="69A89A5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 xml:space="preserve"> 代表监理人全面履行监理服务合同规定的责任和义务 </w:t>
      </w:r>
      <w:r>
        <w:rPr>
          <w:rFonts w:hint="eastAsia" w:ascii="宋体" w:hAnsi="宋体" w:cs="宋体"/>
          <w:color w:val="auto"/>
          <w:szCs w:val="21"/>
          <w:highlight w:val="none"/>
        </w:rPr>
        <w:t xml:space="preserve">。 </w:t>
      </w:r>
    </w:p>
    <w:p w14:paraId="7060C91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B21C844">
      <w:pPr>
        <w:pStyle w:val="4"/>
        <w:rPr>
          <w:rFonts w:hint="eastAsia" w:ascii="宋体" w:hAnsi="宋体" w:cs="宋体"/>
          <w:color w:val="auto"/>
          <w:sz w:val="21"/>
          <w:szCs w:val="21"/>
          <w:highlight w:val="none"/>
        </w:rPr>
      </w:pPr>
      <w:bookmarkStart w:id="309" w:name="_Toc373227715"/>
      <w:bookmarkStart w:id="310" w:name="_Toc407135217"/>
      <w:bookmarkStart w:id="311" w:name="_Toc373478362"/>
      <w:bookmarkStart w:id="312" w:name="_Toc9850545"/>
      <w:bookmarkStart w:id="313" w:name="_Toc389065281"/>
      <w:r>
        <w:rPr>
          <w:rFonts w:hint="eastAsia" w:ascii="宋体" w:hAnsi="宋体" w:cs="宋体"/>
          <w:color w:val="auto"/>
          <w:sz w:val="21"/>
          <w:szCs w:val="21"/>
          <w:highlight w:val="none"/>
        </w:rPr>
        <w:t>4.2 监理人员</w:t>
      </w:r>
      <w:bookmarkEnd w:id="309"/>
      <w:bookmarkEnd w:id="310"/>
      <w:bookmarkEnd w:id="311"/>
      <w:bookmarkEnd w:id="312"/>
      <w:bookmarkEnd w:id="313"/>
    </w:p>
    <w:p w14:paraId="31CD5D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总监理工程师：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CD03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A6EA1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9DFC0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监理工程师注册证书号：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7C75EC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F9691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9BE11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4AD16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9BB564D">
      <w:pPr>
        <w:pStyle w:val="4"/>
        <w:rPr>
          <w:rFonts w:hint="eastAsia" w:ascii="宋体" w:hAnsi="宋体" w:cs="宋体"/>
          <w:color w:val="auto"/>
          <w:sz w:val="21"/>
          <w:szCs w:val="21"/>
          <w:highlight w:val="none"/>
        </w:rPr>
      </w:pPr>
      <w:bookmarkStart w:id="314" w:name="_Toc407135218"/>
      <w:bookmarkStart w:id="315" w:name="_Toc373478363"/>
      <w:bookmarkStart w:id="316" w:name="_Toc9850546"/>
      <w:bookmarkStart w:id="317" w:name="_Toc389065282"/>
      <w:bookmarkStart w:id="318" w:name="_Toc373227716"/>
      <w:r>
        <w:rPr>
          <w:rFonts w:hint="eastAsia" w:ascii="宋体" w:hAnsi="宋体" w:cs="宋体"/>
          <w:color w:val="auto"/>
          <w:sz w:val="21"/>
          <w:szCs w:val="21"/>
          <w:highlight w:val="none"/>
        </w:rPr>
        <w:t>4.4 商定或确定</w:t>
      </w:r>
      <w:bookmarkEnd w:id="314"/>
      <w:bookmarkEnd w:id="315"/>
      <w:bookmarkEnd w:id="316"/>
      <w:bookmarkEnd w:id="317"/>
      <w:bookmarkEnd w:id="318"/>
    </w:p>
    <w:p w14:paraId="32D2112B">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bookmarkStart w:id="319" w:name="_Toc267251418"/>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w:t>
      </w:r>
    </w:p>
    <w:p w14:paraId="663AA44E">
      <w:pPr>
        <w:pStyle w:val="3"/>
        <w:rPr>
          <w:rFonts w:hint="eastAsia" w:ascii="宋体" w:hAnsi="宋体" w:eastAsia="宋体" w:cs="宋体"/>
          <w:color w:val="auto"/>
          <w:sz w:val="21"/>
          <w:szCs w:val="21"/>
          <w:highlight w:val="none"/>
        </w:rPr>
      </w:pPr>
      <w:bookmarkStart w:id="320" w:name="_Toc373227717"/>
      <w:bookmarkStart w:id="321" w:name="_Toc9850547"/>
      <w:bookmarkStart w:id="322" w:name="_Toc373478364"/>
      <w:bookmarkStart w:id="323" w:name="_Toc389065283"/>
      <w:bookmarkStart w:id="324" w:name="_Toc351203637"/>
      <w:bookmarkStart w:id="325" w:name="_Toc407135219"/>
      <w:r>
        <w:rPr>
          <w:rFonts w:hint="eastAsia" w:ascii="宋体" w:hAnsi="宋体" w:eastAsia="宋体" w:cs="宋体"/>
          <w:color w:val="auto"/>
          <w:sz w:val="21"/>
          <w:szCs w:val="21"/>
          <w:highlight w:val="none"/>
        </w:rPr>
        <w:t>5</w:t>
      </w:r>
      <w:bookmarkEnd w:id="319"/>
      <w:bookmarkStart w:id="326" w:name="_Toc296503163"/>
      <w:bookmarkStart w:id="327" w:name="_Toc296944502"/>
      <w:bookmarkStart w:id="328" w:name="_Toc296346664"/>
      <w:bookmarkStart w:id="329" w:name="_Toc296347162"/>
      <w:bookmarkStart w:id="330" w:name="_Toc297048349"/>
      <w:bookmarkStart w:id="331" w:name="_Toc296890991"/>
      <w:bookmarkStart w:id="332" w:name="_Toc292559367"/>
      <w:bookmarkStart w:id="333" w:name="_Toc297120463"/>
      <w:bookmarkStart w:id="334" w:name="_Toc292559872"/>
      <w:bookmarkStart w:id="335" w:name="_Toc296891203"/>
      <w:r>
        <w:rPr>
          <w:rFonts w:hint="eastAsia" w:ascii="宋体" w:hAnsi="宋体" w:eastAsia="宋体" w:cs="宋体"/>
          <w:color w:val="auto"/>
          <w:sz w:val="21"/>
          <w:szCs w:val="21"/>
          <w:highlight w:val="none"/>
        </w:rPr>
        <w:t>. 工程质量</w:t>
      </w:r>
      <w:bookmarkEnd w:id="320"/>
      <w:bookmarkEnd w:id="321"/>
      <w:bookmarkEnd w:id="322"/>
      <w:bookmarkEnd w:id="323"/>
      <w:bookmarkEnd w:id="324"/>
      <w:bookmarkEnd w:id="325"/>
    </w:p>
    <w:p w14:paraId="4A1F7925">
      <w:pPr>
        <w:pStyle w:val="4"/>
        <w:rPr>
          <w:rFonts w:hint="eastAsia" w:ascii="宋体" w:hAnsi="宋体" w:cs="宋体"/>
          <w:color w:val="auto"/>
          <w:sz w:val="21"/>
          <w:szCs w:val="21"/>
          <w:highlight w:val="none"/>
        </w:rPr>
      </w:pPr>
      <w:bookmarkStart w:id="336" w:name="_Toc373478365"/>
      <w:bookmarkStart w:id="337" w:name="_Toc9850548"/>
      <w:bookmarkStart w:id="338" w:name="_Toc407135220"/>
      <w:bookmarkStart w:id="339" w:name="_Toc389065284"/>
      <w:bookmarkStart w:id="340" w:name="_Toc373227718"/>
      <w:r>
        <w:rPr>
          <w:rFonts w:hint="eastAsia" w:ascii="宋体" w:hAnsi="宋体" w:cs="宋体"/>
          <w:color w:val="auto"/>
          <w:sz w:val="21"/>
          <w:szCs w:val="21"/>
          <w:highlight w:val="none"/>
        </w:rPr>
        <w:t>5.1 质量要求</w:t>
      </w:r>
      <w:bookmarkEnd w:id="336"/>
      <w:bookmarkEnd w:id="337"/>
      <w:bookmarkEnd w:id="338"/>
      <w:bookmarkEnd w:id="339"/>
      <w:bookmarkEnd w:id="340"/>
    </w:p>
    <w:p w14:paraId="2FD10881">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5</w:t>
      </w:r>
      <w:bookmarkStart w:id="341" w:name="_Toc303539106"/>
      <w:bookmarkStart w:id="342" w:name="_Toc297216155"/>
      <w:bookmarkStart w:id="343" w:name="_Toc304295527"/>
      <w:bookmarkStart w:id="344" w:name="_Toc318581164"/>
      <w:bookmarkStart w:id="345" w:name="_Toc312677997"/>
      <w:bookmarkStart w:id="346" w:name="_Toc297123496"/>
      <w:bookmarkStart w:id="347" w:name="_Toc300934949"/>
      <w:r>
        <w:rPr>
          <w:rFonts w:hint="eastAsia" w:ascii="宋体" w:hAnsi="宋体" w:cs="宋体"/>
          <w:color w:val="auto"/>
          <w:szCs w:val="21"/>
          <w:highlight w:val="none"/>
        </w:rPr>
        <w:t>.1.1 特殊质量标准和要求：</w:t>
      </w:r>
      <w:r>
        <w:rPr>
          <w:rFonts w:hint="eastAsia" w:ascii="宋体" w:hAnsi="宋体" w:cs="宋体"/>
          <w:color w:val="auto"/>
          <w:szCs w:val="21"/>
          <w:highlight w:val="none"/>
          <w:u w:val="single"/>
        </w:rPr>
        <w:t xml:space="preserve">  严格执行广西壮族自治区住房和城乡建设厅《关于严格实行房屋建筑和市政基础设施工程质量终身责任承诺、永久性质量责任标牌、终身责任信息档案等制度的通知》(桂建管[2014]96号)的要求，落实建设工程质量终身责任。</w:t>
      </w:r>
    </w:p>
    <w:p w14:paraId="1DD66A55">
      <w:pPr>
        <w:spacing w:line="360" w:lineRule="auto"/>
        <w:ind w:firstLine="420" w:firstLineChars="200"/>
        <w:jc w:val="left"/>
        <w:rPr>
          <w:rFonts w:hint="eastAsia" w:ascii="宋体" w:hAnsi="宋体" w:cs="宋体"/>
          <w:color w:val="auto"/>
          <w:szCs w:val="21"/>
          <w:highlight w:val="none"/>
          <w:u w:val="single"/>
        </w:rPr>
      </w:pPr>
    </w:p>
    <w:p w14:paraId="5D6ECB6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关于工程奖项的约定： 如果工程获得</w:t>
      </w:r>
      <w:r>
        <w:rPr>
          <w:rFonts w:hint="eastAsia" w:ascii="宋体" w:hAnsi="宋体" w:cs="宋体"/>
          <w:color w:val="auto"/>
          <w:szCs w:val="21"/>
          <w:highlight w:val="none"/>
          <w:u w:val="single"/>
        </w:rPr>
        <w:t xml:space="preserve">             （奖项名称）</w:t>
      </w:r>
      <w:r>
        <w:rPr>
          <w:rFonts w:hint="eastAsia" w:ascii="宋体" w:hAnsi="宋体" w:cs="宋体"/>
          <w:color w:val="auto"/>
          <w:szCs w:val="21"/>
          <w:highlight w:val="none"/>
        </w:rPr>
        <w:t>，给予承包人合同价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%的奖励。</w:t>
      </w:r>
    </w:p>
    <w:p w14:paraId="5BB0DBC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 隐蔽工程检查</w:t>
      </w:r>
    </w:p>
    <w:p w14:paraId="723ED5CC">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47D93A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 xml:space="preserve"> 8 </w:t>
      </w:r>
      <w:r>
        <w:rPr>
          <w:rFonts w:hint="eastAsia" w:ascii="宋体" w:hAnsi="宋体" w:cs="宋体"/>
          <w:color w:val="auto"/>
          <w:szCs w:val="21"/>
          <w:highlight w:val="none"/>
        </w:rPr>
        <w:t>小时提交书面延期要求。</w:t>
      </w:r>
    </w:p>
    <w:p w14:paraId="0DF7205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18CDDBB3">
      <w:pPr>
        <w:pStyle w:val="3"/>
        <w:rPr>
          <w:rFonts w:hint="eastAsia" w:ascii="宋体" w:hAnsi="宋体" w:eastAsia="宋体" w:cs="宋体"/>
          <w:color w:val="auto"/>
          <w:sz w:val="21"/>
          <w:szCs w:val="21"/>
          <w:highlight w:val="none"/>
        </w:rPr>
      </w:pPr>
      <w:bookmarkStart w:id="348" w:name="_Toc373227719"/>
      <w:bookmarkStart w:id="349" w:name="_Toc389065285"/>
      <w:bookmarkStart w:id="350" w:name="_Toc9850549"/>
      <w:bookmarkStart w:id="351" w:name="_Toc407135221"/>
      <w:bookmarkStart w:id="352" w:name="_Toc351203638"/>
      <w:bookmarkStart w:id="353" w:name="_Toc373478366"/>
      <w:r>
        <w:rPr>
          <w:rFonts w:hint="eastAsia" w:ascii="宋体" w:hAnsi="宋体" w:eastAsia="宋体" w:cs="宋体"/>
          <w:color w:val="auto"/>
          <w:sz w:val="21"/>
          <w:szCs w:val="21"/>
          <w:highlight w:val="none"/>
        </w:rPr>
        <w:t>6. 安全文明施工与环境保护</w:t>
      </w:r>
      <w:bookmarkEnd w:id="348"/>
      <w:bookmarkEnd w:id="349"/>
      <w:bookmarkEnd w:id="350"/>
      <w:bookmarkEnd w:id="351"/>
      <w:bookmarkEnd w:id="352"/>
      <w:bookmarkEnd w:id="353"/>
    </w:p>
    <w:p w14:paraId="7DF98CDF">
      <w:pPr>
        <w:pStyle w:val="4"/>
        <w:rPr>
          <w:rFonts w:hint="eastAsia" w:ascii="宋体" w:hAnsi="宋体" w:cs="宋体"/>
          <w:color w:val="auto"/>
          <w:sz w:val="21"/>
          <w:szCs w:val="21"/>
          <w:highlight w:val="none"/>
        </w:rPr>
      </w:pPr>
      <w:bookmarkStart w:id="354" w:name="_Toc407135222"/>
      <w:bookmarkStart w:id="355" w:name="_Toc373478367"/>
      <w:bookmarkStart w:id="356" w:name="_Toc373227720"/>
      <w:bookmarkStart w:id="357" w:name="_Toc389065286"/>
      <w:bookmarkStart w:id="358" w:name="_Toc9850550"/>
      <w:r>
        <w:rPr>
          <w:rFonts w:hint="eastAsia" w:ascii="宋体" w:hAnsi="宋体" w:cs="宋体"/>
          <w:color w:val="auto"/>
          <w:sz w:val="21"/>
          <w:szCs w:val="21"/>
          <w:highlight w:val="none"/>
        </w:rPr>
        <w:t>6.1 安全文明施工</w:t>
      </w:r>
      <w:bookmarkEnd w:id="354"/>
      <w:bookmarkEnd w:id="355"/>
      <w:bookmarkEnd w:id="356"/>
      <w:bookmarkEnd w:id="357"/>
      <w:bookmarkEnd w:id="358"/>
    </w:p>
    <w:p w14:paraId="49A528B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按现行标准规范和当地建设主管部门有关规定执行 </w:t>
      </w:r>
      <w:r>
        <w:rPr>
          <w:rFonts w:hint="eastAsia" w:ascii="宋体" w:hAnsi="宋体" w:cs="宋体"/>
          <w:color w:val="auto"/>
          <w:szCs w:val="21"/>
          <w:highlight w:val="none"/>
        </w:rPr>
        <w:t>。</w:t>
      </w:r>
    </w:p>
    <w:p w14:paraId="78697D4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签订合同时另行约定 </w:t>
      </w:r>
      <w:r>
        <w:rPr>
          <w:rFonts w:hint="eastAsia" w:ascii="宋体" w:hAnsi="宋体" w:cs="宋体"/>
          <w:color w:val="auto"/>
          <w:szCs w:val="21"/>
          <w:highlight w:val="none"/>
        </w:rPr>
        <w:t>。</w:t>
      </w:r>
    </w:p>
    <w:p w14:paraId="766B6295">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E6C848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双方另行协商 </w:t>
      </w:r>
      <w:r>
        <w:rPr>
          <w:rFonts w:hint="eastAsia" w:ascii="宋体" w:hAnsi="宋体" w:cs="宋体"/>
          <w:color w:val="auto"/>
          <w:szCs w:val="21"/>
          <w:highlight w:val="none"/>
        </w:rPr>
        <w:t>。</w:t>
      </w:r>
    </w:p>
    <w:p w14:paraId="0BA52B5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6.1.5 文明施工</w:t>
      </w:r>
    </w:p>
    <w:p w14:paraId="1BC157FB">
      <w:pPr>
        <w:spacing w:line="360" w:lineRule="auto"/>
        <w:ind w:firstLine="420" w:firstLineChars="200"/>
        <w:jc w:val="left"/>
        <w:rPr>
          <w:rFonts w:hint="eastAsia" w:ascii="宋体" w:hAnsi="宋体" w:cs="宋体"/>
          <w:b/>
          <w:bCs/>
          <w:color w:val="auto"/>
          <w:szCs w:val="21"/>
          <w:highlight w:val="none"/>
          <w:u w:val="single"/>
        </w:rPr>
      </w:pPr>
      <w:r>
        <w:rPr>
          <w:rFonts w:hint="eastAsia" w:ascii="宋体" w:hAnsi="宋体" w:cs="宋体"/>
          <w:color w:val="auto"/>
          <w:szCs w:val="21"/>
          <w:highlight w:val="none"/>
        </w:rPr>
        <w:t>合同当事人对文明施工的要求：</w:t>
      </w:r>
      <w:r>
        <w:rPr>
          <w:rFonts w:hint="eastAsia" w:ascii="宋体" w:hAnsi="宋体" w:cs="宋体"/>
          <w:bCs/>
          <w:color w:val="auto"/>
          <w:szCs w:val="21"/>
          <w:highlight w:val="none"/>
          <w:u w:val="single"/>
        </w:rPr>
        <w:t>严格执行《大气污染防治法》（主席令第三十一号）的有关规定确保建设工程各项安全防护、文明施工措施及其费用在工地一线按标准落实到位</w:t>
      </w:r>
      <w:r>
        <w:rPr>
          <w:rFonts w:hint="eastAsia" w:ascii="宋体" w:hAnsi="宋体" w:cs="宋体"/>
          <w:bCs/>
          <w:color w:val="auto"/>
          <w:szCs w:val="21"/>
          <w:highlight w:val="none"/>
        </w:rPr>
        <w:t>。</w:t>
      </w:r>
    </w:p>
    <w:p w14:paraId="5A17F26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6.1.6</w:t>
      </w:r>
      <w:r>
        <w:rPr>
          <w:rFonts w:hint="eastAsia" w:ascii="宋体" w:hAnsi="宋体" w:cs="宋体"/>
          <w:color w:val="auto"/>
          <w:kern w:val="0"/>
          <w:szCs w:val="21"/>
          <w:highlight w:val="none"/>
        </w:rPr>
        <w:t>关于安全生产费总额、支付比例、支付期限、转入和结余收回的约定：</w:t>
      </w:r>
    </w:p>
    <w:p w14:paraId="129924AE">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（1）本合同价款已包含安全文明施工费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w:t>
      </w:r>
    </w:p>
    <w:p w14:paraId="23D02C67">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（2）使用要求：专款专用。具体按</w:t>
      </w:r>
      <w:r>
        <w:rPr>
          <w:rFonts w:hint="eastAsia" w:ascii="宋体" w:hAnsi="宋体" w:cs="宋体"/>
          <w:color w:val="auto"/>
          <w:kern w:val="0"/>
          <w:szCs w:val="21"/>
          <w:highlight w:val="none"/>
          <w:u w:val="single"/>
        </w:rPr>
        <w:t>《广西壮族自治区建设工程安全文明施工费使用管理细则》（桂建质〔2015〕16号）</w:t>
      </w:r>
      <w:r>
        <w:rPr>
          <w:rFonts w:hint="eastAsia" w:ascii="宋体" w:hAnsi="宋体" w:cs="宋体"/>
          <w:color w:val="auto"/>
          <w:kern w:val="0"/>
          <w:szCs w:val="21"/>
          <w:highlight w:val="none"/>
        </w:rPr>
        <w:t>和</w:t>
      </w:r>
      <w:r>
        <w:rPr>
          <w:rFonts w:hint="eastAsia" w:ascii="宋体" w:hAnsi="宋体" w:cs="宋体"/>
          <w:color w:val="auto"/>
          <w:kern w:val="0"/>
          <w:szCs w:val="21"/>
          <w:highlight w:val="none"/>
          <w:u w:val="single"/>
        </w:rPr>
        <w:t>钦州市</w:t>
      </w:r>
      <w:r>
        <w:rPr>
          <w:rFonts w:hint="eastAsia" w:ascii="宋体" w:hAnsi="宋体" w:cs="宋体"/>
          <w:color w:val="auto"/>
          <w:kern w:val="0"/>
          <w:szCs w:val="21"/>
          <w:highlight w:val="none"/>
        </w:rPr>
        <w:t>相关规定执行。</w:t>
      </w:r>
    </w:p>
    <w:p w14:paraId="7E0413C7">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（3）支付约定：在本合同签订后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个工作日内，预付安全文明施工费总额的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%，其余部分与进度款同期支付，安全文明施工费预付款在工程进度款累计金额超过合同价的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%时开始起扣，每月从支付给承包商的工程款内按安全文明预付款占合同总价的同一百分比扣回。</w:t>
      </w:r>
    </w:p>
    <w:p w14:paraId="20F6E8E5">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（4）建设单位按规定将安全生产费用转入施工单位设立的安全生产费用专户。</w:t>
      </w:r>
    </w:p>
    <w:p w14:paraId="79EA9C48">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（5）工程施工完成后安全生产费用尚有结余的，结余部分由建设单位收回。</w:t>
      </w:r>
    </w:p>
    <w:p w14:paraId="43411CB7">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（6）施工单位将安全生产费用使用情况定期报告建设单位和监理单位，并提供相应的材料接受建设行政主管部门对此事项监管。</w:t>
      </w:r>
    </w:p>
    <w:p w14:paraId="117CD666">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（7）安全生产费用专户：××××公司安全生产费用专户。账号：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5BAC94DC">
      <w:pPr>
        <w:pStyle w:val="4"/>
        <w:rPr>
          <w:rFonts w:hint="eastAsia" w:ascii="宋体" w:hAnsi="宋体" w:cs="宋体"/>
          <w:color w:val="auto"/>
          <w:sz w:val="21"/>
          <w:szCs w:val="21"/>
          <w:highlight w:val="none"/>
        </w:rPr>
      </w:pPr>
      <w:bookmarkStart w:id="359" w:name="_Toc407135223"/>
      <w:bookmarkStart w:id="360" w:name="_Toc373478368"/>
      <w:bookmarkStart w:id="361" w:name="_Toc373227721"/>
      <w:bookmarkStart w:id="362" w:name="_Toc389065287"/>
      <w:bookmarkStart w:id="363" w:name="_Toc9850551"/>
      <w:r>
        <w:rPr>
          <w:rFonts w:hint="eastAsia" w:ascii="宋体" w:hAnsi="宋体" w:cs="宋体"/>
          <w:color w:val="auto"/>
          <w:sz w:val="21"/>
          <w:szCs w:val="21"/>
          <w:highlight w:val="none"/>
        </w:rPr>
        <w:t>6.3 环境保护</w:t>
      </w:r>
      <w:bookmarkEnd w:id="359"/>
      <w:bookmarkEnd w:id="360"/>
      <w:bookmarkEnd w:id="361"/>
      <w:bookmarkEnd w:id="362"/>
      <w:bookmarkEnd w:id="363"/>
    </w:p>
    <w:p w14:paraId="7ACE5456">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因施工需要，经发包人批准，由承包人办理有关施工场地交通、环卫和施工噪音管理等手续，费用由承包人负责。</w:t>
      </w:r>
    </w:p>
    <w:p w14:paraId="4F73C8D6">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经过城市道路的施工车辆，必须按交警、城管、运输等部门相关规定执行。由于施工车辆造成的道路、环境等污染，其责任和费用均由承包人承担。</w:t>
      </w:r>
    </w:p>
    <w:bookmarkEnd w:id="341"/>
    <w:bookmarkEnd w:id="342"/>
    <w:bookmarkEnd w:id="343"/>
    <w:bookmarkEnd w:id="344"/>
    <w:bookmarkEnd w:id="345"/>
    <w:bookmarkEnd w:id="346"/>
    <w:bookmarkEnd w:id="347"/>
    <w:p w14:paraId="153E6952">
      <w:pPr>
        <w:pStyle w:val="3"/>
        <w:rPr>
          <w:rFonts w:hint="eastAsia" w:ascii="宋体" w:hAnsi="宋体" w:eastAsia="宋体" w:cs="宋体"/>
          <w:color w:val="auto"/>
          <w:sz w:val="21"/>
          <w:szCs w:val="21"/>
          <w:highlight w:val="none"/>
        </w:rPr>
      </w:pPr>
      <w:bookmarkStart w:id="364" w:name="_Toc351203639"/>
      <w:bookmarkStart w:id="365" w:name="_Toc389065288"/>
      <w:bookmarkStart w:id="366" w:name="_Toc9850552"/>
      <w:bookmarkStart w:id="367" w:name="_Toc373227722"/>
      <w:bookmarkStart w:id="368" w:name="_Toc373478369"/>
      <w:bookmarkStart w:id="369" w:name="_Toc407135224"/>
      <w:r>
        <w:rPr>
          <w:rFonts w:hint="eastAsia" w:ascii="宋体" w:hAnsi="宋体" w:eastAsia="宋体" w:cs="宋体"/>
          <w:color w:val="auto"/>
          <w:sz w:val="21"/>
          <w:szCs w:val="21"/>
          <w:highlight w:val="none"/>
        </w:rPr>
        <w:t>7. 工期和进度</w:t>
      </w:r>
      <w:bookmarkEnd w:id="364"/>
      <w:bookmarkEnd w:id="365"/>
      <w:bookmarkEnd w:id="366"/>
      <w:bookmarkEnd w:id="367"/>
      <w:bookmarkEnd w:id="368"/>
      <w:bookmarkEnd w:id="369"/>
    </w:p>
    <w:p w14:paraId="70F84FFD">
      <w:pPr>
        <w:pStyle w:val="4"/>
        <w:rPr>
          <w:rFonts w:hint="eastAsia" w:ascii="宋体" w:hAnsi="宋体" w:cs="宋体"/>
          <w:color w:val="auto"/>
          <w:sz w:val="21"/>
          <w:szCs w:val="21"/>
          <w:highlight w:val="none"/>
        </w:rPr>
      </w:pPr>
      <w:bookmarkStart w:id="370" w:name="_Toc389065289"/>
      <w:bookmarkStart w:id="371" w:name="_Toc373478370"/>
      <w:bookmarkStart w:id="372" w:name="_Toc9850553"/>
      <w:bookmarkStart w:id="373" w:name="_Toc407135225"/>
      <w:bookmarkStart w:id="374" w:name="_Toc373227723"/>
      <w:r>
        <w:rPr>
          <w:rFonts w:hint="eastAsia" w:ascii="宋体" w:hAnsi="宋体" w:cs="宋体"/>
          <w:color w:val="auto"/>
          <w:sz w:val="21"/>
          <w:szCs w:val="21"/>
          <w:highlight w:val="none"/>
        </w:rPr>
        <w:t>7.1 施工组织设计</w:t>
      </w:r>
      <w:bookmarkEnd w:id="370"/>
      <w:bookmarkEnd w:id="371"/>
      <w:bookmarkEnd w:id="372"/>
      <w:bookmarkEnd w:id="373"/>
      <w:bookmarkEnd w:id="374"/>
    </w:p>
    <w:p w14:paraId="5336580A">
      <w:pPr>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7.1.1 合</w:t>
      </w:r>
      <w:r>
        <w:rPr>
          <w:rFonts w:hint="eastAsia" w:ascii="宋体" w:hAnsi="宋体" w:cs="宋体"/>
          <w:color w:val="auto"/>
          <w:kern w:val="0"/>
          <w:szCs w:val="21"/>
          <w:highlight w:val="none"/>
        </w:rPr>
        <w:t>同当事人约定的施工组织设计应包括的其他内容：</w:t>
      </w:r>
      <w:r>
        <w:rPr>
          <w:rFonts w:hint="eastAsia" w:ascii="宋体" w:hAnsi="宋体" w:cs="宋体"/>
          <w:color w:val="auto"/>
          <w:szCs w:val="21"/>
          <w:highlight w:val="none"/>
          <w:u w:val="single"/>
        </w:rPr>
        <w:t xml:space="preserve"> 按招标文件约定，招标文件无约定的按通用合同条款或双方另行约定 </w:t>
      </w:r>
      <w:r>
        <w:rPr>
          <w:rFonts w:hint="eastAsia" w:ascii="宋体" w:hAnsi="宋体" w:cs="宋体"/>
          <w:color w:val="auto"/>
          <w:szCs w:val="21"/>
          <w:highlight w:val="none"/>
        </w:rPr>
        <w:t>。</w:t>
      </w:r>
    </w:p>
    <w:p w14:paraId="5D31F330">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14:paraId="63374D34">
      <w:pPr>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s="宋体"/>
          <w:color w:val="auto"/>
          <w:szCs w:val="21"/>
          <w:highlight w:val="none"/>
          <w:u w:val="single"/>
        </w:rPr>
        <w:t xml:space="preserve"> 开工前7天 </w:t>
      </w:r>
      <w:r>
        <w:rPr>
          <w:rFonts w:hint="eastAsia" w:ascii="宋体" w:hAnsi="宋体" w:cs="宋体"/>
          <w:color w:val="auto"/>
          <w:szCs w:val="21"/>
          <w:highlight w:val="none"/>
        </w:rPr>
        <w:t>。</w:t>
      </w:r>
    </w:p>
    <w:p w14:paraId="39961D4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color w:val="auto"/>
          <w:szCs w:val="21"/>
          <w:highlight w:val="none"/>
          <w:u w:val="single"/>
        </w:rPr>
        <w:t xml:space="preserve"> 自监理人收到承包人报送的相关进度计划和施工方案说明后14天内 </w:t>
      </w:r>
      <w:r>
        <w:rPr>
          <w:rFonts w:hint="eastAsia" w:ascii="宋体" w:hAnsi="宋体" w:cs="宋体"/>
          <w:color w:val="auto"/>
          <w:szCs w:val="21"/>
          <w:highlight w:val="none"/>
        </w:rPr>
        <w:t>。</w:t>
      </w:r>
    </w:p>
    <w:p w14:paraId="4BF9D70B">
      <w:pPr>
        <w:pStyle w:val="4"/>
        <w:rPr>
          <w:rFonts w:hint="eastAsia" w:ascii="宋体" w:hAnsi="宋体" w:cs="宋体"/>
          <w:color w:val="auto"/>
          <w:sz w:val="21"/>
          <w:szCs w:val="21"/>
          <w:highlight w:val="none"/>
        </w:rPr>
      </w:pPr>
      <w:bookmarkStart w:id="375" w:name="_Toc389065290"/>
      <w:bookmarkStart w:id="376" w:name="_Toc373227724"/>
      <w:bookmarkStart w:id="377" w:name="_Toc9850554"/>
      <w:bookmarkStart w:id="378" w:name="_Toc373478371"/>
      <w:bookmarkStart w:id="379" w:name="_Toc407135226"/>
      <w:r>
        <w:rPr>
          <w:rFonts w:hint="eastAsia" w:ascii="宋体" w:hAnsi="宋体" w:cs="宋体"/>
          <w:color w:val="auto"/>
          <w:sz w:val="21"/>
          <w:szCs w:val="21"/>
          <w:highlight w:val="none"/>
        </w:rPr>
        <w:t>7</w:t>
      </w:r>
      <w:bookmarkStart w:id="380" w:name="_Toc312678005"/>
      <w:bookmarkStart w:id="381" w:name="_Toc312677479"/>
      <w:bookmarkStart w:id="382" w:name="_Toc300934966"/>
      <w:bookmarkStart w:id="383" w:name="_Toc297216173"/>
      <w:bookmarkStart w:id="384" w:name="_Toc297123514"/>
      <w:bookmarkStart w:id="385" w:name="_Toc304295541"/>
      <w:bookmarkStart w:id="386" w:name="_Toc303539123"/>
      <w:r>
        <w:rPr>
          <w:rFonts w:hint="eastAsia" w:ascii="宋体" w:hAnsi="宋体" w:cs="宋体"/>
          <w:color w:val="auto"/>
          <w:sz w:val="21"/>
          <w:szCs w:val="21"/>
          <w:highlight w:val="none"/>
        </w:rPr>
        <w:t>.2 施工进度计划</w:t>
      </w:r>
      <w:bookmarkEnd w:id="375"/>
      <w:bookmarkEnd w:id="376"/>
      <w:bookmarkEnd w:id="377"/>
      <w:bookmarkEnd w:id="378"/>
      <w:bookmarkEnd w:id="379"/>
    </w:p>
    <w:p w14:paraId="040EB95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7.2.2 施工进度计划的修订</w:t>
      </w:r>
    </w:p>
    <w:p w14:paraId="144E111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color w:val="auto"/>
          <w:szCs w:val="21"/>
          <w:highlight w:val="none"/>
          <w:u w:val="single"/>
        </w:rPr>
        <w:t xml:space="preserve"> 自监理人收到承包人报送的相关进度计划和施工方案说明后14天内 </w:t>
      </w:r>
      <w:r>
        <w:rPr>
          <w:rFonts w:hint="eastAsia" w:ascii="宋体" w:hAnsi="宋体" w:cs="宋体"/>
          <w:color w:val="auto"/>
          <w:szCs w:val="21"/>
          <w:highlight w:val="none"/>
        </w:rPr>
        <w:t>。</w:t>
      </w:r>
    </w:p>
    <w:p w14:paraId="1DEE15F4">
      <w:pPr>
        <w:pStyle w:val="4"/>
        <w:rPr>
          <w:rFonts w:hint="eastAsia" w:ascii="宋体" w:hAnsi="宋体" w:cs="宋体"/>
          <w:color w:val="auto"/>
          <w:sz w:val="21"/>
          <w:szCs w:val="21"/>
          <w:highlight w:val="none"/>
        </w:rPr>
      </w:pPr>
      <w:bookmarkStart w:id="387" w:name="_Toc407135227"/>
      <w:bookmarkStart w:id="388" w:name="_Toc373478372"/>
      <w:bookmarkStart w:id="389" w:name="_Toc9850555"/>
      <w:bookmarkStart w:id="390" w:name="_Toc373227725"/>
      <w:bookmarkStart w:id="391" w:name="_Toc389065291"/>
      <w:r>
        <w:rPr>
          <w:rFonts w:hint="eastAsia" w:ascii="宋体" w:hAnsi="宋体" w:cs="宋体"/>
          <w:color w:val="auto"/>
          <w:sz w:val="21"/>
          <w:szCs w:val="21"/>
          <w:highlight w:val="none"/>
        </w:rPr>
        <w:t>7.3 开工</w:t>
      </w:r>
      <w:bookmarkEnd w:id="387"/>
      <w:bookmarkEnd w:id="388"/>
      <w:bookmarkEnd w:id="389"/>
      <w:bookmarkEnd w:id="390"/>
      <w:bookmarkEnd w:id="391"/>
    </w:p>
    <w:p w14:paraId="2027C20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7.3.1 开工准备</w:t>
      </w:r>
    </w:p>
    <w:p w14:paraId="1DDAC594">
      <w:pPr>
        <w:spacing w:line="360" w:lineRule="auto"/>
        <w:ind w:firstLine="426"/>
        <w:jc w:val="left"/>
        <w:rPr>
          <w:rFonts w:hint="eastAsia"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color w:val="auto"/>
          <w:szCs w:val="21"/>
          <w:highlight w:val="none"/>
          <w:u w:val="single"/>
        </w:rPr>
        <w:t xml:space="preserve"> 开工前7天 </w:t>
      </w:r>
      <w:r>
        <w:rPr>
          <w:rFonts w:hint="eastAsia" w:ascii="宋体" w:hAnsi="宋体" w:cs="宋体"/>
          <w:color w:val="auto"/>
          <w:szCs w:val="21"/>
          <w:highlight w:val="none"/>
        </w:rPr>
        <w:t>。</w:t>
      </w:r>
    </w:p>
    <w:p w14:paraId="5D4B978B">
      <w:pPr>
        <w:spacing w:line="360" w:lineRule="auto"/>
        <w:ind w:firstLine="426"/>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关于发包人应完成的其他开工准备工作及期限：</w:t>
      </w:r>
      <w:r>
        <w:rPr>
          <w:rFonts w:hint="eastAsia" w:ascii="宋体" w:hAnsi="宋体" w:cs="宋体"/>
          <w:color w:val="auto"/>
          <w:szCs w:val="21"/>
          <w:highlight w:val="none"/>
          <w:u w:val="single"/>
        </w:rPr>
        <w:t xml:space="preserve"> 在开工前7天完成施工场地“三通一平”，坐标点、基准点的工作交接 </w:t>
      </w:r>
      <w:r>
        <w:rPr>
          <w:rFonts w:hint="eastAsia" w:ascii="宋体" w:hAnsi="宋体" w:cs="宋体"/>
          <w:color w:val="auto"/>
          <w:szCs w:val="21"/>
          <w:highlight w:val="none"/>
        </w:rPr>
        <w:t>。</w:t>
      </w:r>
    </w:p>
    <w:p w14:paraId="35EBF581">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关于承包人应完成的其他开工准备工作及期限：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7789F5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7.3.2 开工通知</w:t>
      </w:r>
    </w:p>
    <w:p w14:paraId="2288E2C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s="宋体"/>
          <w:color w:val="auto"/>
          <w:szCs w:val="21"/>
          <w:highlight w:val="none"/>
          <w:u w:val="single"/>
        </w:rPr>
        <w:t xml:space="preserve"> 90 </w:t>
      </w:r>
      <w:r>
        <w:rPr>
          <w:rFonts w:hint="eastAsia" w:ascii="宋体" w:hAnsi="宋体" w:cs="宋体"/>
          <w:color w:val="auto"/>
          <w:szCs w:val="21"/>
          <w:highlight w:val="none"/>
        </w:rPr>
        <w:t>天内发出开工通知的，承包人有权提出价格调整要求，或者解除合同。</w:t>
      </w:r>
    </w:p>
    <w:bookmarkEnd w:id="380"/>
    <w:bookmarkEnd w:id="381"/>
    <w:bookmarkEnd w:id="382"/>
    <w:bookmarkEnd w:id="383"/>
    <w:bookmarkEnd w:id="384"/>
    <w:bookmarkEnd w:id="385"/>
    <w:bookmarkEnd w:id="386"/>
    <w:p w14:paraId="32EBFFA6">
      <w:pPr>
        <w:pStyle w:val="4"/>
        <w:rPr>
          <w:rFonts w:hint="eastAsia" w:ascii="宋体" w:hAnsi="宋体" w:cs="宋体"/>
          <w:color w:val="auto"/>
          <w:sz w:val="21"/>
          <w:szCs w:val="21"/>
          <w:highlight w:val="none"/>
        </w:rPr>
      </w:pPr>
      <w:bookmarkStart w:id="392" w:name="_Toc9850556"/>
      <w:bookmarkStart w:id="393" w:name="_Toc373227726"/>
      <w:bookmarkStart w:id="394" w:name="_Toc407135228"/>
      <w:bookmarkStart w:id="395" w:name="_Toc389065292"/>
      <w:bookmarkStart w:id="396" w:name="_Toc373478373"/>
      <w:r>
        <w:rPr>
          <w:rFonts w:hint="eastAsia" w:ascii="宋体" w:hAnsi="宋体" w:cs="宋体"/>
          <w:color w:val="auto"/>
          <w:sz w:val="21"/>
          <w:szCs w:val="21"/>
          <w:highlight w:val="none"/>
        </w:rPr>
        <w:t>7.4 测量放线</w:t>
      </w:r>
      <w:bookmarkEnd w:id="392"/>
      <w:bookmarkEnd w:id="393"/>
      <w:bookmarkEnd w:id="394"/>
      <w:bookmarkEnd w:id="395"/>
      <w:bookmarkEnd w:id="396"/>
    </w:p>
    <w:p w14:paraId="637A3543">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color w:val="auto"/>
          <w:szCs w:val="21"/>
          <w:highlight w:val="none"/>
          <w:u w:val="single"/>
        </w:rPr>
        <w:t xml:space="preserve"> 于开工前7日内 </w:t>
      </w:r>
      <w:r>
        <w:rPr>
          <w:rFonts w:hint="eastAsia" w:ascii="宋体" w:hAnsi="宋体" w:cs="宋体"/>
          <w:color w:val="auto"/>
          <w:szCs w:val="21"/>
          <w:highlight w:val="none"/>
        </w:rPr>
        <w:t>。</w:t>
      </w:r>
    </w:p>
    <w:p w14:paraId="3E247BD8">
      <w:pPr>
        <w:pStyle w:val="4"/>
        <w:rPr>
          <w:rFonts w:hint="eastAsia" w:ascii="宋体" w:hAnsi="宋体" w:cs="宋体"/>
          <w:color w:val="auto"/>
          <w:sz w:val="21"/>
          <w:szCs w:val="21"/>
          <w:highlight w:val="none"/>
        </w:rPr>
      </w:pPr>
      <w:bookmarkStart w:id="397" w:name="_Toc373478374"/>
      <w:bookmarkStart w:id="398" w:name="_Toc389065293"/>
      <w:bookmarkStart w:id="399" w:name="_Toc407135229"/>
      <w:bookmarkStart w:id="400" w:name="_Toc373227727"/>
      <w:bookmarkStart w:id="401" w:name="_Toc9850557"/>
      <w:r>
        <w:rPr>
          <w:rFonts w:hint="eastAsia" w:ascii="宋体" w:hAnsi="宋体" w:cs="宋体"/>
          <w:color w:val="auto"/>
          <w:sz w:val="21"/>
          <w:szCs w:val="21"/>
          <w:highlight w:val="none"/>
        </w:rPr>
        <w:t>7</w:t>
      </w:r>
      <w:bookmarkStart w:id="402" w:name="_Toc297216175"/>
      <w:bookmarkStart w:id="403" w:name="_Toc303539125"/>
      <w:bookmarkStart w:id="404" w:name="_Toc312677484"/>
      <w:bookmarkStart w:id="405" w:name="_Toc297123516"/>
      <w:bookmarkStart w:id="406" w:name="_Toc304295546"/>
      <w:bookmarkStart w:id="407" w:name="_Toc300934968"/>
      <w:bookmarkStart w:id="408" w:name="_Toc312678010"/>
      <w:r>
        <w:rPr>
          <w:rFonts w:hint="eastAsia" w:ascii="宋体" w:hAnsi="宋体" w:cs="宋体"/>
          <w:color w:val="auto"/>
          <w:sz w:val="21"/>
          <w:szCs w:val="21"/>
          <w:highlight w:val="none"/>
        </w:rPr>
        <w:t>.5 工期延误</w:t>
      </w:r>
      <w:bookmarkEnd w:id="397"/>
      <w:bookmarkEnd w:id="398"/>
      <w:bookmarkEnd w:id="399"/>
      <w:bookmarkEnd w:id="400"/>
      <w:bookmarkEnd w:id="401"/>
    </w:p>
    <w:bookmarkEnd w:id="402"/>
    <w:bookmarkEnd w:id="403"/>
    <w:bookmarkEnd w:id="404"/>
    <w:bookmarkEnd w:id="405"/>
    <w:bookmarkEnd w:id="406"/>
    <w:bookmarkEnd w:id="407"/>
    <w:bookmarkEnd w:id="408"/>
    <w:p w14:paraId="0CC4B29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7.5.1 因发包人原因导致工期延误</w:t>
      </w:r>
    </w:p>
    <w:p w14:paraId="4896A5FA">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（7）因发包人原因导致工期延误的其他情形：</w:t>
      </w:r>
      <w:r>
        <w:rPr>
          <w:rFonts w:hint="eastAsia" w:ascii="宋体" w:hAnsi="宋体" w:cs="宋体"/>
          <w:color w:val="auto"/>
          <w:szCs w:val="21"/>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auto"/>
          <w:szCs w:val="21"/>
          <w:highlight w:val="none"/>
        </w:rPr>
        <w:t xml:space="preserve"> 。</w:t>
      </w:r>
    </w:p>
    <w:p w14:paraId="7C85C57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bookmarkStart w:id="409" w:name="_Toc312678012"/>
      <w:bookmarkStart w:id="410" w:name="_Toc312677486"/>
      <w:bookmarkStart w:id="411" w:name="_Toc318581169"/>
      <w:bookmarkStart w:id="412" w:name="_Toc300934970"/>
      <w:bookmarkStart w:id="413" w:name="_Toc303539127"/>
      <w:bookmarkStart w:id="414" w:name="_Toc304295548"/>
      <w:bookmarkStart w:id="415" w:name="_Toc297123518"/>
      <w:bookmarkStart w:id="416" w:name="_Toc297216177"/>
      <w:r>
        <w:rPr>
          <w:rFonts w:hint="eastAsia" w:ascii="宋体" w:hAnsi="宋体" w:cs="宋体"/>
          <w:color w:val="auto"/>
          <w:szCs w:val="21"/>
          <w:highlight w:val="none"/>
        </w:rPr>
        <w:t>.5.2 因承包人原因导致工期延误</w:t>
      </w:r>
    </w:p>
    <w:bookmarkEnd w:id="409"/>
    <w:bookmarkEnd w:id="410"/>
    <w:bookmarkEnd w:id="411"/>
    <w:p w14:paraId="3C12AE1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双方约定经监理工程师确认，工期相应顺延的况：</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AB143D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w:t>
      </w:r>
      <w:bookmarkStart w:id="417" w:name="_Toc318581170"/>
      <w:bookmarkStart w:id="418" w:name="_Toc312678013"/>
      <w:bookmarkStart w:id="419" w:name="_Toc312677487"/>
      <w:r>
        <w:rPr>
          <w:rFonts w:hint="eastAsia" w:ascii="宋体" w:hAnsi="宋体" w:cs="宋体"/>
          <w:color w:val="auto"/>
          <w:szCs w:val="21"/>
          <w:highlight w:val="none"/>
        </w:rPr>
        <w:t>承包人原因造成工期延误，逾期竣工违约金的计算方法为：</w:t>
      </w:r>
      <w:r>
        <w:rPr>
          <w:rFonts w:hint="eastAsia" w:ascii="宋体" w:hAnsi="宋体" w:cs="宋体"/>
          <w:color w:val="auto"/>
          <w:szCs w:val="21"/>
          <w:highlight w:val="none"/>
          <w:u w:val="single"/>
        </w:rPr>
        <w:t>按逾期竣工的单项工程罚款，每延误一天,按单项工程应支付给承包人的结算造价的万分之二处罚,罚款直接从结算款中扣除。误期时间从规定竣工日期起直到实际竣工日期的天数（扣除发包人批准顺延的工期）。</w:t>
      </w:r>
      <w:bookmarkEnd w:id="412"/>
      <w:bookmarkEnd w:id="413"/>
      <w:bookmarkEnd w:id="414"/>
      <w:bookmarkEnd w:id="415"/>
      <w:bookmarkEnd w:id="416"/>
      <w:bookmarkEnd w:id="417"/>
      <w:bookmarkEnd w:id="418"/>
      <w:bookmarkEnd w:id="419"/>
      <w:r>
        <w:rPr>
          <w:rFonts w:hint="eastAsia" w:ascii="宋体" w:hAnsi="宋体" w:cs="宋体"/>
          <w:color w:val="auto"/>
          <w:szCs w:val="21"/>
          <w:highlight w:val="none"/>
        </w:rPr>
        <w:t>因承包人原因造成工期延误，逾</w:t>
      </w:r>
      <w:bookmarkStart w:id="420" w:name="_Toc312678014"/>
      <w:bookmarkStart w:id="421" w:name="_Toc318581171"/>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rPr>
        <w:t>逾期竣工的单项工程结算造价的2%</w:t>
      </w:r>
      <w:r>
        <w:rPr>
          <w:rFonts w:hint="eastAsia" w:ascii="宋体" w:hAnsi="宋体" w:cs="宋体"/>
          <w:color w:val="auto"/>
          <w:szCs w:val="21"/>
          <w:highlight w:val="none"/>
        </w:rPr>
        <w:t>。</w:t>
      </w:r>
    </w:p>
    <w:bookmarkEnd w:id="420"/>
    <w:bookmarkEnd w:id="421"/>
    <w:p w14:paraId="01EF11E7">
      <w:pPr>
        <w:pStyle w:val="4"/>
        <w:rPr>
          <w:rFonts w:hint="eastAsia" w:ascii="宋体" w:hAnsi="宋体" w:cs="宋体"/>
          <w:color w:val="auto"/>
          <w:sz w:val="21"/>
          <w:szCs w:val="21"/>
          <w:highlight w:val="none"/>
        </w:rPr>
      </w:pPr>
      <w:bookmarkStart w:id="422" w:name="_Toc373478375"/>
      <w:bookmarkStart w:id="423" w:name="_Toc389065294"/>
      <w:bookmarkStart w:id="424" w:name="_Toc9850558"/>
      <w:bookmarkStart w:id="425" w:name="_Toc407135230"/>
      <w:bookmarkStart w:id="426" w:name="_Toc373227728"/>
      <w:r>
        <w:rPr>
          <w:rFonts w:hint="eastAsia" w:ascii="宋体" w:hAnsi="宋体" w:cs="宋体"/>
          <w:color w:val="auto"/>
          <w:sz w:val="21"/>
          <w:szCs w:val="21"/>
          <w:highlight w:val="none"/>
        </w:rPr>
        <w:t>7</w:t>
      </w:r>
      <w:bookmarkStart w:id="427" w:name="_Toc300934971"/>
      <w:bookmarkStart w:id="428" w:name="_Toc304295549"/>
      <w:bookmarkStart w:id="429" w:name="_Toc303539128"/>
      <w:bookmarkStart w:id="430" w:name="_Toc297123519"/>
      <w:bookmarkStart w:id="431" w:name="_Toc297216178"/>
      <w:bookmarkStart w:id="432" w:name="_Toc312678015"/>
      <w:r>
        <w:rPr>
          <w:rFonts w:hint="eastAsia" w:ascii="宋体" w:hAnsi="宋体" w:cs="宋体"/>
          <w:color w:val="auto"/>
          <w:sz w:val="21"/>
          <w:szCs w:val="21"/>
          <w:highlight w:val="none"/>
        </w:rPr>
        <w:t>.6 不</w:t>
      </w:r>
      <w:bookmarkEnd w:id="427"/>
      <w:bookmarkEnd w:id="428"/>
      <w:bookmarkEnd w:id="429"/>
      <w:bookmarkEnd w:id="430"/>
      <w:bookmarkEnd w:id="431"/>
      <w:bookmarkEnd w:id="432"/>
      <w:r>
        <w:rPr>
          <w:rFonts w:hint="eastAsia" w:ascii="宋体" w:hAnsi="宋体" w:cs="宋体"/>
          <w:color w:val="auto"/>
          <w:sz w:val="21"/>
          <w:szCs w:val="21"/>
          <w:highlight w:val="none"/>
        </w:rPr>
        <w:t>利物质条件</w:t>
      </w:r>
      <w:bookmarkEnd w:id="422"/>
      <w:bookmarkEnd w:id="423"/>
      <w:bookmarkEnd w:id="424"/>
      <w:bookmarkEnd w:id="425"/>
      <w:bookmarkEnd w:id="426"/>
    </w:p>
    <w:p w14:paraId="4755C154">
      <w:pPr>
        <w:spacing w:line="360" w:lineRule="auto"/>
        <w:ind w:firstLine="420" w:firstLineChars="200"/>
        <w:jc w:val="left"/>
        <w:rPr>
          <w:rFonts w:hint="eastAsia" w:ascii="宋体" w:hAnsi="宋体" w:cs="宋体"/>
          <w:color w:val="auto"/>
          <w:szCs w:val="21"/>
          <w:highlight w:val="none"/>
          <w:u w:val="single"/>
        </w:rPr>
      </w:pPr>
      <w:bookmarkStart w:id="433" w:name="_Toc300934972"/>
      <w:bookmarkStart w:id="434" w:name="_Toc303539129"/>
      <w:bookmarkStart w:id="435" w:name="_Toc312678016"/>
      <w:bookmarkStart w:id="436" w:name="_Toc297123520"/>
      <w:bookmarkStart w:id="437" w:name="_Toc318581172"/>
      <w:bookmarkStart w:id="438" w:name="_Toc297216179"/>
      <w:bookmarkStart w:id="439" w:name="_Toc304295550"/>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以有关部门发布的文告或文件为准 </w:t>
      </w:r>
      <w:r>
        <w:rPr>
          <w:rFonts w:hint="eastAsia" w:ascii="宋体" w:hAnsi="宋体" w:cs="宋体"/>
          <w:color w:val="auto"/>
          <w:szCs w:val="21"/>
          <w:highlight w:val="none"/>
        </w:rPr>
        <w:t>。</w:t>
      </w:r>
    </w:p>
    <w:bookmarkEnd w:id="433"/>
    <w:bookmarkEnd w:id="434"/>
    <w:bookmarkEnd w:id="435"/>
    <w:bookmarkEnd w:id="436"/>
    <w:bookmarkEnd w:id="437"/>
    <w:bookmarkEnd w:id="438"/>
    <w:bookmarkEnd w:id="439"/>
    <w:p w14:paraId="6F283333">
      <w:pPr>
        <w:pStyle w:val="4"/>
        <w:rPr>
          <w:rFonts w:hint="eastAsia" w:ascii="宋体" w:hAnsi="宋体" w:cs="宋体"/>
          <w:color w:val="auto"/>
          <w:sz w:val="21"/>
          <w:szCs w:val="21"/>
          <w:highlight w:val="none"/>
        </w:rPr>
      </w:pPr>
      <w:bookmarkStart w:id="440" w:name="_Toc407135231"/>
      <w:bookmarkStart w:id="441" w:name="_Toc9850559"/>
      <w:bookmarkStart w:id="442" w:name="_Toc389065295"/>
      <w:bookmarkStart w:id="443" w:name="_Toc373478376"/>
      <w:bookmarkStart w:id="444" w:name="_Toc373227729"/>
      <w:r>
        <w:rPr>
          <w:rFonts w:hint="eastAsia" w:ascii="宋体" w:hAnsi="宋体" w:cs="宋体"/>
          <w:color w:val="auto"/>
          <w:sz w:val="21"/>
          <w:szCs w:val="21"/>
          <w:highlight w:val="none"/>
        </w:rPr>
        <w:t>7</w:t>
      </w:r>
      <w:bookmarkStart w:id="445" w:name="_Toc297123521"/>
      <w:bookmarkStart w:id="446" w:name="_Toc303539130"/>
      <w:bookmarkStart w:id="447" w:name="_Toc304295551"/>
      <w:bookmarkStart w:id="448" w:name="_Toc297216180"/>
      <w:bookmarkStart w:id="449" w:name="_Toc312678017"/>
      <w:bookmarkStart w:id="450" w:name="_Toc300934973"/>
      <w:r>
        <w:rPr>
          <w:rFonts w:hint="eastAsia" w:ascii="宋体" w:hAnsi="宋体" w:cs="宋体"/>
          <w:color w:val="auto"/>
          <w:sz w:val="21"/>
          <w:szCs w:val="21"/>
          <w:highlight w:val="none"/>
        </w:rPr>
        <w:t>.7 异常恶劣的气候条件</w:t>
      </w:r>
      <w:bookmarkEnd w:id="440"/>
      <w:bookmarkEnd w:id="441"/>
      <w:bookmarkEnd w:id="442"/>
      <w:bookmarkEnd w:id="443"/>
      <w:bookmarkEnd w:id="444"/>
    </w:p>
    <w:bookmarkEnd w:id="445"/>
    <w:bookmarkEnd w:id="446"/>
    <w:bookmarkEnd w:id="447"/>
    <w:bookmarkEnd w:id="448"/>
    <w:bookmarkEnd w:id="449"/>
    <w:bookmarkEnd w:id="450"/>
    <w:p w14:paraId="7F9A7E2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42BD09ED">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6级以上的地震</w:t>
      </w:r>
      <w:r>
        <w:rPr>
          <w:rFonts w:hint="eastAsia" w:ascii="宋体" w:hAnsi="宋体" w:cs="宋体"/>
          <w:color w:val="auto"/>
          <w:szCs w:val="21"/>
          <w:highlight w:val="none"/>
        </w:rPr>
        <w:t>；</w:t>
      </w:r>
    </w:p>
    <w:p w14:paraId="1817E6E0">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6 级以上持续1天的大风</w:t>
      </w:r>
      <w:r>
        <w:rPr>
          <w:rFonts w:hint="eastAsia" w:ascii="宋体" w:hAnsi="宋体" w:cs="宋体"/>
          <w:color w:val="auto"/>
          <w:szCs w:val="21"/>
          <w:highlight w:val="none"/>
        </w:rPr>
        <w:t>；</w:t>
      </w:r>
    </w:p>
    <w:p w14:paraId="708C6491">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大雨以上持续1天的暴雨</w:t>
      </w:r>
      <w:r>
        <w:rPr>
          <w:rFonts w:hint="eastAsia" w:ascii="宋体" w:hAnsi="宋体" w:cs="宋体"/>
          <w:color w:val="auto"/>
          <w:szCs w:val="21"/>
          <w:highlight w:val="none"/>
        </w:rPr>
        <w:t>；</w:t>
      </w:r>
    </w:p>
    <w:p w14:paraId="6F922DA2">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（4）</w:t>
      </w:r>
      <w:r>
        <w:rPr>
          <w:rFonts w:hint="eastAsia" w:ascii="宋体" w:hAnsi="宋体" w:cs="宋体"/>
          <w:color w:val="auto"/>
          <w:szCs w:val="21"/>
          <w:highlight w:val="none"/>
          <w:u w:val="single"/>
        </w:rPr>
        <w:t>20年以上未发生过，持续2天的高温天气</w:t>
      </w:r>
      <w:r>
        <w:rPr>
          <w:rFonts w:hint="eastAsia" w:ascii="宋体" w:hAnsi="宋体" w:cs="宋体"/>
          <w:color w:val="auto"/>
          <w:szCs w:val="21"/>
          <w:highlight w:val="none"/>
        </w:rPr>
        <w:t>；</w:t>
      </w:r>
    </w:p>
    <w:p w14:paraId="199A617B">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（5）</w:t>
      </w:r>
      <w:r>
        <w:rPr>
          <w:rFonts w:hint="eastAsia" w:ascii="宋体" w:hAnsi="宋体" w:cs="宋体"/>
          <w:color w:val="auto"/>
          <w:szCs w:val="21"/>
          <w:highlight w:val="none"/>
          <w:u w:val="single"/>
        </w:rPr>
        <w:t>20年以上未发生过，持续2天的低温天气</w:t>
      </w:r>
      <w:r>
        <w:rPr>
          <w:rFonts w:hint="eastAsia" w:ascii="宋体" w:hAnsi="宋体" w:cs="宋体"/>
          <w:color w:val="auto"/>
          <w:szCs w:val="21"/>
          <w:highlight w:val="none"/>
        </w:rPr>
        <w:t>；</w:t>
      </w:r>
    </w:p>
    <w:p w14:paraId="27498EEA">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（6）</w:t>
      </w:r>
      <w:r>
        <w:rPr>
          <w:rFonts w:hint="eastAsia" w:ascii="宋体" w:hAnsi="宋体" w:cs="宋体"/>
          <w:color w:val="auto"/>
          <w:szCs w:val="21"/>
          <w:highlight w:val="none"/>
          <w:u w:val="single"/>
        </w:rPr>
        <w:t>20年以上未发生过的洪水</w:t>
      </w:r>
      <w:r>
        <w:rPr>
          <w:rFonts w:hint="eastAsia" w:ascii="宋体" w:hAnsi="宋体" w:cs="宋体"/>
          <w:color w:val="auto"/>
          <w:szCs w:val="21"/>
          <w:highlight w:val="none"/>
        </w:rPr>
        <w:t>；</w:t>
      </w:r>
    </w:p>
    <w:p w14:paraId="2A0B7FA1">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u w:val="single"/>
        </w:rPr>
        <w:t>对上述几种形式，应以造成灾害和影响施工为准</w:t>
      </w:r>
      <w:r>
        <w:rPr>
          <w:rFonts w:hint="eastAsia" w:ascii="宋体" w:hAnsi="宋体" w:cs="宋体"/>
          <w:color w:val="auto"/>
          <w:szCs w:val="21"/>
          <w:highlight w:val="none"/>
        </w:rPr>
        <w:t>。</w:t>
      </w:r>
    </w:p>
    <w:p w14:paraId="0AB4D364">
      <w:pPr>
        <w:pStyle w:val="4"/>
        <w:rPr>
          <w:rFonts w:hint="eastAsia" w:ascii="宋体" w:hAnsi="宋体" w:cs="宋体"/>
          <w:color w:val="auto"/>
          <w:sz w:val="21"/>
          <w:szCs w:val="21"/>
          <w:highlight w:val="none"/>
        </w:rPr>
      </w:pPr>
      <w:bookmarkStart w:id="451" w:name="_Toc373227730"/>
      <w:bookmarkStart w:id="452" w:name="_Toc407135232"/>
      <w:bookmarkStart w:id="453" w:name="_Toc373478377"/>
      <w:bookmarkStart w:id="454" w:name="_Toc389065296"/>
      <w:bookmarkStart w:id="455" w:name="_Toc9850560"/>
      <w:r>
        <w:rPr>
          <w:rFonts w:hint="eastAsia" w:ascii="宋体" w:hAnsi="宋体" w:cs="宋体"/>
          <w:color w:val="auto"/>
          <w:sz w:val="21"/>
          <w:szCs w:val="21"/>
          <w:highlight w:val="none"/>
        </w:rPr>
        <w:t>7.9 提前竣工</w:t>
      </w:r>
      <w:bookmarkEnd w:id="451"/>
      <w:bookmarkEnd w:id="452"/>
      <w:bookmarkEnd w:id="453"/>
      <w:bookmarkEnd w:id="454"/>
      <w:bookmarkEnd w:id="455"/>
    </w:p>
    <w:p w14:paraId="2DE622B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7.9.2提前竣工（赶工）增加费的计算方法：</w:t>
      </w:r>
      <w:r>
        <w:rPr>
          <w:rFonts w:hint="eastAsia" w:ascii="宋体" w:hAnsi="宋体" w:cs="宋体"/>
          <w:color w:val="auto"/>
          <w:szCs w:val="21"/>
          <w:highlight w:val="none"/>
          <w:u w:val="single"/>
        </w:rPr>
        <w:t xml:space="preserve"> 按通用合同条款相关规定执行 </w:t>
      </w:r>
      <w:r>
        <w:rPr>
          <w:rFonts w:hint="eastAsia" w:ascii="宋体" w:hAnsi="宋体" w:cs="宋体"/>
          <w:color w:val="auto"/>
          <w:szCs w:val="21"/>
          <w:highlight w:val="none"/>
        </w:rPr>
        <w:t>。</w:t>
      </w:r>
    </w:p>
    <w:p w14:paraId="3E00766A">
      <w:pPr>
        <w:pStyle w:val="3"/>
        <w:rPr>
          <w:rFonts w:hint="eastAsia" w:ascii="宋体" w:hAnsi="宋体" w:eastAsia="宋体" w:cs="宋体"/>
          <w:color w:val="auto"/>
          <w:sz w:val="21"/>
          <w:szCs w:val="21"/>
          <w:highlight w:val="none"/>
        </w:rPr>
      </w:pPr>
      <w:bookmarkStart w:id="456" w:name="_Toc389065297"/>
      <w:bookmarkStart w:id="457" w:name="_Toc373227731"/>
      <w:bookmarkStart w:id="458" w:name="_Toc407135233"/>
      <w:bookmarkStart w:id="459" w:name="_Toc9850561"/>
      <w:bookmarkStart w:id="460" w:name="_Toc373478378"/>
      <w:bookmarkStart w:id="461" w:name="_Toc351203640"/>
      <w:r>
        <w:rPr>
          <w:rFonts w:hint="eastAsia" w:ascii="宋体" w:hAnsi="宋体" w:eastAsia="宋体" w:cs="宋体"/>
          <w:color w:val="auto"/>
          <w:sz w:val="21"/>
          <w:szCs w:val="21"/>
          <w:highlight w:val="none"/>
        </w:rPr>
        <w:t>8. 材料与设备</w:t>
      </w:r>
      <w:bookmarkEnd w:id="456"/>
      <w:bookmarkEnd w:id="457"/>
      <w:bookmarkEnd w:id="458"/>
      <w:bookmarkEnd w:id="459"/>
      <w:bookmarkEnd w:id="460"/>
      <w:bookmarkEnd w:id="461"/>
    </w:p>
    <w:bookmarkEnd w:id="326"/>
    <w:bookmarkEnd w:id="327"/>
    <w:bookmarkEnd w:id="328"/>
    <w:bookmarkEnd w:id="329"/>
    <w:bookmarkEnd w:id="330"/>
    <w:bookmarkEnd w:id="331"/>
    <w:bookmarkEnd w:id="332"/>
    <w:bookmarkEnd w:id="333"/>
    <w:bookmarkEnd w:id="334"/>
    <w:bookmarkEnd w:id="335"/>
    <w:p w14:paraId="50B1FA0D">
      <w:pPr>
        <w:pStyle w:val="4"/>
        <w:rPr>
          <w:rFonts w:hint="eastAsia" w:ascii="宋体" w:hAnsi="宋体" w:cs="宋体"/>
          <w:color w:val="auto"/>
          <w:sz w:val="21"/>
          <w:szCs w:val="21"/>
          <w:highlight w:val="none"/>
        </w:rPr>
      </w:pPr>
      <w:bookmarkStart w:id="462" w:name="_Toc373478379"/>
      <w:bookmarkStart w:id="463" w:name="_Toc389065298"/>
      <w:bookmarkStart w:id="464" w:name="_Toc373227732"/>
      <w:bookmarkStart w:id="465" w:name="_Toc407135234"/>
      <w:bookmarkStart w:id="466" w:name="_Toc9850562"/>
      <w:r>
        <w:rPr>
          <w:rFonts w:hint="eastAsia" w:ascii="宋体" w:hAnsi="宋体" w:cs="宋体"/>
          <w:color w:val="auto"/>
          <w:sz w:val="21"/>
          <w:szCs w:val="21"/>
          <w:highlight w:val="none"/>
        </w:rPr>
        <w:t>8.2 承包人采购材料与工程设备</w:t>
      </w:r>
      <w:bookmarkEnd w:id="462"/>
      <w:bookmarkEnd w:id="463"/>
      <w:bookmarkEnd w:id="464"/>
      <w:bookmarkEnd w:id="465"/>
      <w:bookmarkEnd w:id="466"/>
    </w:p>
    <w:p w14:paraId="5E930368">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48E4B497">
      <w:pPr>
        <w:autoSpaceDE w:val="0"/>
        <w:autoSpaceDN w:val="0"/>
        <w:adjustRightInd w:val="0"/>
        <w:spacing w:line="360" w:lineRule="auto"/>
        <w:ind w:firstLine="420" w:firstLineChars="200"/>
        <w:jc w:val="left"/>
        <w:rPr>
          <w:rFonts w:hint="eastAsia" w:ascii="宋体" w:hAnsi="宋体" w:cs="宋体"/>
          <w:color w:val="auto"/>
          <w:szCs w:val="21"/>
          <w:highlight w:val="none"/>
        </w:rPr>
      </w:pPr>
      <w:bookmarkStart w:id="467" w:name="_Toc373478380"/>
      <w:bookmarkStart w:id="468" w:name="_Toc373227733"/>
      <w:bookmarkStart w:id="469" w:name="_Toc389065299"/>
      <w:r>
        <w:rPr>
          <w:rFonts w:hint="eastAsia" w:ascii="宋体" w:hAnsi="宋体" w:cs="宋体"/>
          <w:color w:val="auto"/>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竞标单价支付，不得调整。</w:t>
      </w:r>
    </w:p>
    <w:p w14:paraId="04817E5A">
      <w:pPr>
        <w:pStyle w:val="4"/>
        <w:rPr>
          <w:rFonts w:hint="eastAsia" w:ascii="宋体" w:hAnsi="宋体" w:cs="宋体"/>
          <w:color w:val="auto"/>
          <w:sz w:val="21"/>
          <w:szCs w:val="21"/>
          <w:highlight w:val="none"/>
        </w:rPr>
      </w:pPr>
      <w:bookmarkStart w:id="470" w:name="_Toc9850563"/>
      <w:bookmarkStart w:id="471" w:name="_Toc407135235"/>
      <w:r>
        <w:rPr>
          <w:rFonts w:hint="eastAsia" w:ascii="宋体" w:hAnsi="宋体" w:cs="宋体"/>
          <w:color w:val="auto"/>
          <w:sz w:val="21"/>
          <w:szCs w:val="21"/>
          <w:highlight w:val="none"/>
        </w:rPr>
        <w:t>8</w:t>
      </w:r>
      <w:bookmarkStart w:id="472" w:name="_Toc296347166"/>
      <w:bookmarkStart w:id="473" w:name="_Toc312678019"/>
      <w:bookmarkStart w:id="474" w:name="_Toc296890995"/>
      <w:bookmarkStart w:id="475" w:name="_Toc296346668"/>
      <w:bookmarkStart w:id="476" w:name="_Toc292559372"/>
      <w:bookmarkStart w:id="477" w:name="_Toc300934979"/>
      <w:bookmarkStart w:id="478" w:name="_Toc296891207"/>
      <w:bookmarkStart w:id="479" w:name="_Toc296944506"/>
      <w:bookmarkStart w:id="480" w:name="_Toc297048353"/>
      <w:bookmarkStart w:id="481" w:name="_Toc303539136"/>
      <w:bookmarkStart w:id="482" w:name="_Toc304295556"/>
      <w:bookmarkStart w:id="483" w:name="_Toc312677493"/>
      <w:bookmarkStart w:id="484" w:name="_Toc296503167"/>
      <w:bookmarkStart w:id="485" w:name="_Toc292559877"/>
      <w:bookmarkStart w:id="486" w:name="_Toc297216186"/>
      <w:bookmarkStart w:id="487" w:name="_Toc297123527"/>
      <w:bookmarkStart w:id="488" w:name="_Toc297120467"/>
      <w:bookmarkStart w:id="489" w:name="_Toc280868654"/>
      <w:bookmarkStart w:id="490" w:name="_Toc267251424"/>
      <w:bookmarkStart w:id="491" w:name="_Toc280868655"/>
      <w:bookmarkStart w:id="492" w:name="_Toc280868656"/>
      <w:r>
        <w:rPr>
          <w:rFonts w:hint="eastAsia" w:ascii="宋体" w:hAnsi="宋体" w:cs="宋体"/>
          <w:color w:val="auto"/>
          <w:sz w:val="21"/>
          <w:szCs w:val="21"/>
          <w:highlight w:val="none"/>
        </w:rPr>
        <w:t>.4 材料与工程设备的保管与使用</w:t>
      </w:r>
      <w:bookmarkEnd w:id="467"/>
      <w:bookmarkEnd w:id="468"/>
      <w:bookmarkEnd w:id="469"/>
      <w:bookmarkEnd w:id="470"/>
      <w:bookmarkEnd w:id="471"/>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14:paraId="5D59523B">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8</w:t>
      </w:r>
      <w:bookmarkStart w:id="493" w:name="_Toc292559373"/>
      <w:bookmarkStart w:id="494" w:name="_Toc292559878"/>
      <w:bookmarkStart w:id="495" w:name="_Toc297120468"/>
      <w:bookmarkStart w:id="496" w:name="_Toc296346669"/>
      <w:bookmarkStart w:id="497" w:name="_Toc312677494"/>
      <w:bookmarkStart w:id="498" w:name="_Toc312678020"/>
      <w:bookmarkStart w:id="499" w:name="_Toc296891208"/>
      <w:bookmarkStart w:id="500" w:name="_Toc303539137"/>
      <w:bookmarkStart w:id="501" w:name="_Toc297216187"/>
      <w:bookmarkStart w:id="502" w:name="_Toc318581173"/>
      <w:bookmarkStart w:id="503" w:name="_Toc300934980"/>
      <w:bookmarkStart w:id="504" w:name="_Toc296503168"/>
      <w:bookmarkStart w:id="505" w:name="_Toc304295557"/>
      <w:bookmarkStart w:id="506" w:name="_Toc296944507"/>
      <w:bookmarkStart w:id="507" w:name="_Toc296347167"/>
      <w:bookmarkStart w:id="508" w:name="_Toc296890996"/>
      <w:bookmarkStart w:id="509" w:name="_Toc297048354"/>
      <w:bookmarkStart w:id="510" w:name="_Toc297123528"/>
      <w:r>
        <w:rPr>
          <w:rFonts w:hint="eastAsia" w:ascii="宋体" w:hAnsi="宋体" w:cs="宋体"/>
          <w:color w:val="auto"/>
          <w:szCs w:val="21"/>
          <w:highlight w:val="none"/>
        </w:rPr>
        <w:t>.4.1发包人供应的材料设备的保管费用的承担：</w:t>
      </w:r>
      <w:r>
        <w:rPr>
          <w:rFonts w:hint="eastAsia" w:ascii="宋体" w:hAnsi="宋体" w:cs="宋体"/>
          <w:color w:val="auto"/>
          <w:szCs w:val="21"/>
          <w:highlight w:val="none"/>
          <w:u w:val="single"/>
        </w:rPr>
        <w:t xml:space="preserve">由承包人负责接收、运输和保管 </w:t>
      </w:r>
      <w:r>
        <w:rPr>
          <w:rFonts w:hint="eastAsia" w:ascii="宋体" w:hAnsi="宋体" w:cs="宋体"/>
          <w:color w:val="auto"/>
          <w:szCs w:val="21"/>
          <w:highlight w:val="none"/>
        </w:rPr>
        <w:t>。</w:t>
      </w:r>
    </w:p>
    <w:bookmarkEnd w:id="493"/>
    <w:bookmarkEnd w:id="494"/>
    <w:p w14:paraId="1DDB2B2E">
      <w:pPr>
        <w:pStyle w:val="4"/>
        <w:rPr>
          <w:rFonts w:hint="eastAsia" w:ascii="宋体" w:hAnsi="宋体" w:cs="宋体"/>
          <w:color w:val="auto"/>
          <w:sz w:val="21"/>
          <w:szCs w:val="21"/>
          <w:highlight w:val="none"/>
        </w:rPr>
      </w:pPr>
      <w:bookmarkStart w:id="511" w:name="_Toc373227734"/>
      <w:bookmarkStart w:id="512" w:name="_Toc9850564"/>
      <w:bookmarkStart w:id="513" w:name="_Toc389065300"/>
      <w:bookmarkStart w:id="514" w:name="_Toc407135236"/>
      <w:bookmarkStart w:id="515" w:name="_Toc373478381"/>
      <w:r>
        <w:rPr>
          <w:rFonts w:hint="eastAsia" w:ascii="宋体" w:hAnsi="宋体" w:cs="宋体"/>
          <w:color w:val="auto"/>
          <w:sz w:val="21"/>
          <w:szCs w:val="21"/>
          <w:highlight w:val="none"/>
        </w:rPr>
        <w:t>8.6 样品</w:t>
      </w:r>
      <w:bookmarkEnd w:id="511"/>
      <w:bookmarkEnd w:id="512"/>
      <w:bookmarkEnd w:id="513"/>
      <w:bookmarkEnd w:id="514"/>
      <w:bookmarkEnd w:id="515"/>
    </w:p>
    <w:p w14:paraId="47A8A8DE">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73EC6B79">
      <w:pPr>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主要材料涉及品种、款式、颜色等方面内容的，承包人应提交准备合格的材料样品送发包人选定。</w:t>
      </w:r>
    </w:p>
    <w:p w14:paraId="55864BAE">
      <w:pPr>
        <w:pStyle w:val="4"/>
        <w:rPr>
          <w:rFonts w:hint="eastAsia" w:ascii="宋体" w:hAnsi="宋体" w:cs="宋体"/>
          <w:color w:val="auto"/>
          <w:sz w:val="21"/>
          <w:szCs w:val="21"/>
          <w:highlight w:val="none"/>
        </w:rPr>
      </w:pPr>
      <w:bookmarkStart w:id="516" w:name="_Toc9850565"/>
      <w:bookmarkStart w:id="517" w:name="_Toc373227735"/>
      <w:bookmarkStart w:id="518" w:name="_Toc407135237"/>
      <w:bookmarkStart w:id="519" w:name="_Toc389065301"/>
      <w:bookmarkStart w:id="520" w:name="_Toc373478382"/>
      <w:r>
        <w:rPr>
          <w:rFonts w:hint="eastAsia" w:ascii="宋体" w:hAnsi="宋体" w:cs="宋体"/>
          <w:color w:val="auto"/>
          <w:sz w:val="21"/>
          <w:szCs w:val="21"/>
          <w:highlight w:val="none"/>
        </w:rPr>
        <w:t>8.8 施工设备和临时设施</w:t>
      </w:r>
      <w:bookmarkEnd w:id="516"/>
      <w:bookmarkEnd w:id="517"/>
      <w:bookmarkEnd w:id="518"/>
      <w:bookmarkEnd w:id="519"/>
      <w:bookmarkEnd w:id="520"/>
    </w:p>
    <w:p w14:paraId="01C1C5F4">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34411E12">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49373B07">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4996FB42">
      <w:pPr>
        <w:pStyle w:val="205"/>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1F0C6405">
      <w:pPr>
        <w:pStyle w:val="205"/>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5823FC71">
      <w:pPr>
        <w:pStyle w:val="205"/>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7278AF6">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04DD09B2">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D7ED7A0">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14:paraId="3EEB641E">
      <w:pPr>
        <w:pStyle w:val="3"/>
        <w:rPr>
          <w:rFonts w:hint="eastAsia" w:ascii="宋体" w:hAnsi="宋体" w:eastAsia="宋体" w:cs="宋体"/>
          <w:color w:val="auto"/>
          <w:sz w:val="21"/>
          <w:szCs w:val="21"/>
          <w:highlight w:val="none"/>
        </w:rPr>
      </w:pPr>
      <w:bookmarkStart w:id="521" w:name="_Toc373227736"/>
      <w:bookmarkStart w:id="522" w:name="_Toc351203641"/>
      <w:bookmarkStart w:id="523" w:name="_Toc389065302"/>
      <w:bookmarkStart w:id="524" w:name="_Toc9850566"/>
      <w:bookmarkStart w:id="525" w:name="_Toc373478383"/>
      <w:bookmarkStart w:id="526" w:name="_Toc407135238"/>
      <w:r>
        <w:rPr>
          <w:rFonts w:hint="eastAsia" w:ascii="宋体" w:hAnsi="宋体" w:eastAsia="宋体" w:cs="宋体"/>
          <w:color w:val="auto"/>
          <w:sz w:val="21"/>
          <w:szCs w:val="21"/>
          <w:highlight w:val="none"/>
        </w:rPr>
        <w:t>9</w:t>
      </w:r>
      <w:bookmarkEnd w:id="490"/>
      <w:bookmarkEnd w:id="491"/>
      <w:bookmarkEnd w:id="492"/>
      <w:bookmarkStart w:id="527" w:name="_Toc297123533"/>
      <w:bookmarkStart w:id="528" w:name="_Toc300934982"/>
      <w:bookmarkStart w:id="529" w:name="_Toc312678021"/>
      <w:bookmarkStart w:id="530" w:name="_Toc297216192"/>
      <w:bookmarkStart w:id="531" w:name="_Toc304295559"/>
      <w:bookmarkStart w:id="532" w:name="_Toc312677495"/>
      <w:bookmarkStart w:id="533" w:name="_Toc303539139"/>
      <w:bookmarkStart w:id="534" w:name="_Toc297120473"/>
      <w:bookmarkStart w:id="535" w:name="_Toc297048359"/>
      <w:bookmarkStart w:id="536" w:name="_Toc296891213"/>
      <w:bookmarkStart w:id="537" w:name="_Toc292559883"/>
      <w:bookmarkStart w:id="538" w:name="_Toc267251427"/>
      <w:bookmarkStart w:id="539" w:name="_Toc296944512"/>
      <w:bookmarkStart w:id="540" w:name="_Toc267251428"/>
      <w:bookmarkStart w:id="541" w:name="_Toc296891001"/>
      <w:bookmarkStart w:id="542" w:name="_Toc296346674"/>
      <w:bookmarkStart w:id="543" w:name="_Toc296347172"/>
      <w:bookmarkStart w:id="544" w:name="_Toc296503173"/>
      <w:bookmarkStart w:id="545" w:name="_Toc292559378"/>
      <w:r>
        <w:rPr>
          <w:rFonts w:hint="eastAsia" w:ascii="宋体" w:hAnsi="宋体" w:eastAsia="宋体" w:cs="宋体"/>
          <w:color w:val="auto"/>
          <w:sz w:val="21"/>
          <w:szCs w:val="21"/>
          <w:highlight w:val="none"/>
        </w:rPr>
        <w:t>. 试验与检验</w:t>
      </w:r>
      <w:bookmarkEnd w:id="521"/>
      <w:bookmarkEnd w:id="522"/>
      <w:bookmarkEnd w:id="523"/>
      <w:bookmarkEnd w:id="524"/>
      <w:bookmarkEnd w:id="525"/>
      <w:bookmarkEnd w:id="526"/>
    </w:p>
    <w:bookmarkEnd w:id="527"/>
    <w:bookmarkEnd w:id="528"/>
    <w:bookmarkEnd w:id="529"/>
    <w:bookmarkEnd w:id="530"/>
    <w:bookmarkEnd w:id="531"/>
    <w:bookmarkEnd w:id="532"/>
    <w:bookmarkEnd w:id="533"/>
    <w:p w14:paraId="5008DE88">
      <w:pPr>
        <w:pStyle w:val="4"/>
        <w:rPr>
          <w:rFonts w:hint="eastAsia" w:ascii="宋体" w:hAnsi="宋体" w:cs="宋体"/>
          <w:color w:val="auto"/>
          <w:sz w:val="21"/>
          <w:szCs w:val="21"/>
          <w:highlight w:val="none"/>
        </w:rPr>
      </w:pPr>
      <w:bookmarkStart w:id="546" w:name="_Toc389065303"/>
      <w:bookmarkStart w:id="547" w:name="_Toc373478384"/>
      <w:bookmarkStart w:id="548" w:name="_Toc407135239"/>
      <w:bookmarkStart w:id="549" w:name="_Toc373227737"/>
      <w:bookmarkStart w:id="550" w:name="_Toc9850567"/>
      <w:r>
        <w:rPr>
          <w:rFonts w:hint="eastAsia" w:ascii="宋体" w:hAnsi="宋体" w:cs="宋体"/>
          <w:color w:val="auto"/>
          <w:sz w:val="21"/>
          <w:szCs w:val="21"/>
          <w:highlight w:val="none"/>
        </w:rPr>
        <w:t>9</w:t>
      </w:r>
      <w:bookmarkStart w:id="551" w:name="_Toc304295560"/>
      <w:bookmarkStart w:id="552" w:name="_Toc312677496"/>
      <w:bookmarkStart w:id="553" w:name="_Toc300934983"/>
      <w:bookmarkStart w:id="554" w:name="_Toc303539140"/>
      <w:bookmarkStart w:id="555" w:name="_Toc297123534"/>
      <w:bookmarkStart w:id="556" w:name="_Toc312678022"/>
      <w:bookmarkStart w:id="557" w:name="_Toc297216193"/>
      <w:r>
        <w:rPr>
          <w:rFonts w:hint="eastAsia" w:ascii="宋体" w:hAnsi="宋体" w:cs="宋体"/>
          <w:color w:val="auto"/>
          <w:sz w:val="21"/>
          <w:szCs w:val="21"/>
          <w:highlight w:val="none"/>
        </w:rPr>
        <w:t>.1 试验设备与试验人员</w:t>
      </w:r>
      <w:bookmarkEnd w:id="546"/>
      <w:bookmarkEnd w:id="547"/>
      <w:bookmarkEnd w:id="548"/>
      <w:bookmarkEnd w:id="549"/>
      <w:bookmarkEnd w:id="550"/>
    </w:p>
    <w:bookmarkEnd w:id="551"/>
    <w:bookmarkEnd w:id="552"/>
    <w:bookmarkEnd w:id="553"/>
    <w:bookmarkEnd w:id="554"/>
    <w:bookmarkEnd w:id="555"/>
    <w:bookmarkEnd w:id="556"/>
    <w:bookmarkEnd w:id="557"/>
    <w:p w14:paraId="454EBAF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bookmarkStart w:id="558" w:name="_Toc312678023"/>
      <w:bookmarkStart w:id="559" w:name="_Toc303539141"/>
      <w:bookmarkStart w:id="560" w:name="_Toc297216194"/>
      <w:bookmarkStart w:id="561" w:name="_Toc300934984"/>
      <w:bookmarkStart w:id="562" w:name="_Toc297123535"/>
      <w:bookmarkStart w:id="563" w:name="_Toc312677497"/>
      <w:bookmarkStart w:id="564" w:name="_Toc304295561"/>
      <w:bookmarkStart w:id="565" w:name="_Toc318581174"/>
      <w:r>
        <w:rPr>
          <w:rFonts w:hint="eastAsia" w:ascii="宋体" w:hAnsi="宋体" w:cs="宋体"/>
          <w:color w:val="auto"/>
          <w:szCs w:val="21"/>
          <w:highlight w:val="none"/>
        </w:rPr>
        <w:t>.1.2 试验设备</w:t>
      </w:r>
    </w:p>
    <w:p w14:paraId="057A5211">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施工现场需要配置的试验场所：</w:t>
      </w:r>
      <w:bookmarkEnd w:id="558"/>
      <w:bookmarkEnd w:id="559"/>
      <w:bookmarkEnd w:id="560"/>
      <w:bookmarkEnd w:id="561"/>
      <w:bookmarkEnd w:id="562"/>
      <w:bookmarkEnd w:id="563"/>
      <w:bookmarkEnd w:id="564"/>
      <w:bookmarkStart w:id="566" w:name="_Toc297123536"/>
      <w:bookmarkStart w:id="567" w:name="_Toc312677498"/>
      <w:bookmarkStart w:id="568" w:name="_Toc312678024"/>
      <w:bookmarkStart w:id="569" w:name="_Toc304295562"/>
      <w:bookmarkStart w:id="570" w:name="_Toc303539142"/>
      <w:bookmarkStart w:id="571" w:name="_Toc300934985"/>
      <w:bookmarkStart w:id="572" w:name="_Toc297216195"/>
      <w:r>
        <w:rPr>
          <w:rFonts w:hint="eastAsia" w:ascii="宋体" w:hAnsi="宋体" w:cs="宋体"/>
          <w:color w:val="auto"/>
          <w:szCs w:val="21"/>
          <w:highlight w:val="none"/>
          <w:u w:val="single"/>
        </w:rPr>
        <w:t xml:space="preserve"> 满足自检需要 </w:t>
      </w:r>
      <w:r>
        <w:rPr>
          <w:rFonts w:hint="eastAsia" w:ascii="宋体" w:hAnsi="宋体" w:cs="宋体"/>
          <w:color w:val="auto"/>
          <w:szCs w:val="21"/>
          <w:highlight w:val="none"/>
        </w:rPr>
        <w:t>。</w:t>
      </w:r>
    </w:p>
    <w:p w14:paraId="2AA59A8F">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施工现场需要配备的试验设备：</w:t>
      </w:r>
      <w:r>
        <w:rPr>
          <w:rFonts w:hint="eastAsia" w:ascii="宋体" w:hAnsi="宋体" w:cs="宋体"/>
          <w:color w:val="auto"/>
          <w:szCs w:val="21"/>
          <w:highlight w:val="none"/>
          <w:u w:val="single"/>
        </w:rPr>
        <w:t xml:space="preserve"> 满足自检需要 </w:t>
      </w:r>
      <w:r>
        <w:rPr>
          <w:rFonts w:hint="eastAsia" w:ascii="宋体" w:hAnsi="宋体" w:cs="宋体"/>
          <w:color w:val="auto"/>
          <w:szCs w:val="21"/>
          <w:highlight w:val="none"/>
        </w:rPr>
        <w:t>。</w:t>
      </w:r>
    </w:p>
    <w:p w14:paraId="4ADCCA34">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满足自检需要 </w:t>
      </w:r>
      <w:r>
        <w:rPr>
          <w:rFonts w:hint="eastAsia" w:ascii="宋体" w:hAnsi="宋体" w:cs="宋体"/>
          <w:color w:val="auto"/>
          <w:szCs w:val="21"/>
          <w:highlight w:val="none"/>
        </w:rPr>
        <w:t>。</w:t>
      </w:r>
    </w:p>
    <w:p w14:paraId="2FD84019">
      <w:pPr>
        <w:pStyle w:val="4"/>
        <w:rPr>
          <w:rFonts w:hint="eastAsia" w:ascii="宋体" w:hAnsi="宋体" w:cs="宋体"/>
          <w:color w:val="auto"/>
          <w:sz w:val="21"/>
          <w:szCs w:val="21"/>
          <w:highlight w:val="none"/>
        </w:rPr>
      </w:pPr>
      <w:bookmarkStart w:id="573" w:name="_Toc9850568"/>
      <w:bookmarkStart w:id="574" w:name="_Toc373227738"/>
      <w:bookmarkStart w:id="575" w:name="_Toc373478385"/>
      <w:bookmarkStart w:id="576" w:name="_Toc407135240"/>
      <w:bookmarkStart w:id="577" w:name="_Toc389065304"/>
      <w:r>
        <w:rPr>
          <w:rFonts w:hint="eastAsia" w:ascii="宋体" w:hAnsi="宋体" w:cs="宋体"/>
          <w:color w:val="auto"/>
          <w:sz w:val="21"/>
          <w:szCs w:val="21"/>
          <w:highlight w:val="none"/>
        </w:rPr>
        <w:t>9.4 现场工艺试验</w:t>
      </w:r>
      <w:bookmarkEnd w:id="573"/>
      <w:bookmarkEnd w:id="574"/>
      <w:bookmarkEnd w:id="575"/>
      <w:bookmarkEnd w:id="576"/>
      <w:bookmarkEnd w:id="577"/>
      <w:r>
        <w:rPr>
          <w:rFonts w:hint="eastAsia" w:ascii="宋体" w:hAnsi="宋体" w:cs="宋体"/>
          <w:color w:val="auto"/>
          <w:sz w:val="21"/>
          <w:szCs w:val="21"/>
          <w:highlight w:val="none"/>
        </w:rPr>
        <w:t xml:space="preserve"> </w:t>
      </w:r>
    </w:p>
    <w:p w14:paraId="1059531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满足自检需要 </w:t>
      </w:r>
      <w:r>
        <w:rPr>
          <w:rFonts w:hint="eastAsia" w:ascii="宋体" w:hAnsi="宋体" w:cs="宋体"/>
          <w:color w:val="auto"/>
          <w:szCs w:val="21"/>
          <w:highlight w:val="none"/>
        </w:rPr>
        <w:t>。</w:t>
      </w:r>
    </w:p>
    <w:p w14:paraId="207F41A9">
      <w:pPr>
        <w:pStyle w:val="4"/>
        <w:rPr>
          <w:rFonts w:hint="eastAsia" w:ascii="宋体" w:hAnsi="宋体" w:cs="宋体"/>
          <w:color w:val="auto"/>
          <w:sz w:val="21"/>
          <w:szCs w:val="21"/>
          <w:highlight w:val="none"/>
        </w:rPr>
      </w:pPr>
      <w:bookmarkStart w:id="578" w:name="_Toc9850569"/>
      <w:bookmarkStart w:id="579" w:name="_Toc407135241"/>
      <w:r>
        <w:rPr>
          <w:rFonts w:hint="eastAsia" w:ascii="宋体" w:hAnsi="宋体" w:cs="宋体"/>
          <w:color w:val="auto"/>
          <w:sz w:val="21"/>
          <w:szCs w:val="21"/>
          <w:highlight w:val="none"/>
        </w:rPr>
        <w:t>9.5 检验费用</w:t>
      </w:r>
      <w:bookmarkEnd w:id="578"/>
      <w:bookmarkEnd w:id="579"/>
    </w:p>
    <w:p w14:paraId="7C2EC7C3">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565"/>
    <w:bookmarkEnd w:id="566"/>
    <w:bookmarkEnd w:id="567"/>
    <w:bookmarkEnd w:id="568"/>
    <w:bookmarkEnd w:id="569"/>
    <w:bookmarkEnd w:id="570"/>
    <w:bookmarkEnd w:id="571"/>
    <w:bookmarkEnd w:id="572"/>
    <w:p w14:paraId="404246F3">
      <w:pPr>
        <w:pStyle w:val="3"/>
        <w:rPr>
          <w:rFonts w:hint="eastAsia" w:ascii="宋体" w:hAnsi="宋体" w:eastAsia="宋体" w:cs="宋体"/>
          <w:color w:val="auto"/>
          <w:sz w:val="21"/>
          <w:szCs w:val="21"/>
          <w:highlight w:val="none"/>
        </w:rPr>
      </w:pPr>
      <w:bookmarkStart w:id="580" w:name="_Toc389065305"/>
      <w:bookmarkStart w:id="581" w:name="_Toc407135242"/>
      <w:bookmarkStart w:id="582" w:name="_Toc373478386"/>
      <w:bookmarkStart w:id="583" w:name="_Toc9850570"/>
      <w:bookmarkStart w:id="584" w:name="_Toc351203642"/>
      <w:bookmarkStart w:id="585" w:name="_Toc373227739"/>
      <w:r>
        <w:rPr>
          <w:rFonts w:hint="eastAsia" w:ascii="宋体" w:hAnsi="宋体" w:eastAsia="宋体" w:cs="宋体"/>
          <w:color w:val="auto"/>
          <w:sz w:val="21"/>
          <w:szCs w:val="21"/>
          <w:highlight w:val="none"/>
        </w:rPr>
        <w:t>1</w:t>
      </w:r>
      <w:bookmarkEnd w:id="534"/>
      <w:bookmarkEnd w:id="535"/>
      <w:bookmarkEnd w:id="536"/>
      <w:bookmarkEnd w:id="537"/>
      <w:bookmarkEnd w:id="538"/>
      <w:bookmarkEnd w:id="539"/>
      <w:bookmarkEnd w:id="540"/>
      <w:bookmarkEnd w:id="541"/>
      <w:bookmarkEnd w:id="542"/>
      <w:bookmarkEnd w:id="543"/>
      <w:bookmarkEnd w:id="544"/>
      <w:bookmarkEnd w:id="545"/>
      <w:bookmarkStart w:id="586" w:name="_Toc297123540"/>
      <w:bookmarkStart w:id="587" w:name="_Toc296347192"/>
      <w:bookmarkStart w:id="588" w:name="_Toc297120493"/>
      <w:bookmarkStart w:id="589" w:name="_Toc296891233"/>
      <w:bookmarkStart w:id="590" w:name="_Toc292559398"/>
      <w:bookmarkStart w:id="591" w:name="_Toc297048379"/>
      <w:bookmarkStart w:id="592" w:name="_Toc296891021"/>
      <w:bookmarkStart w:id="593" w:name="_Toc296346694"/>
      <w:bookmarkStart w:id="594" w:name="_Toc300934989"/>
      <w:bookmarkStart w:id="595" w:name="_Toc296944532"/>
      <w:bookmarkStart w:id="596" w:name="_Toc292559903"/>
      <w:bookmarkStart w:id="597" w:name="_Toc304295566"/>
      <w:bookmarkStart w:id="598" w:name="_Toc303539146"/>
      <w:bookmarkStart w:id="599" w:name="_Toc296503193"/>
      <w:bookmarkStart w:id="600" w:name="_Toc297216199"/>
      <w:bookmarkStart w:id="601" w:name="_Toc312677499"/>
      <w:bookmarkStart w:id="602" w:name="_Toc312678025"/>
      <w:bookmarkStart w:id="603" w:name="_Toc267251441"/>
      <w:bookmarkStart w:id="604" w:name="_Toc267251440"/>
      <w:bookmarkStart w:id="605" w:name="_Toc267251435"/>
      <w:bookmarkStart w:id="606" w:name="_Toc267251437"/>
      <w:bookmarkStart w:id="607" w:name="_Toc267251433"/>
      <w:bookmarkStart w:id="608" w:name="_Toc267251439"/>
      <w:bookmarkStart w:id="609" w:name="_Toc267251442"/>
      <w:r>
        <w:rPr>
          <w:rFonts w:hint="eastAsia" w:ascii="宋体" w:hAnsi="宋体" w:eastAsia="宋体" w:cs="宋体"/>
          <w:color w:val="auto"/>
          <w:sz w:val="21"/>
          <w:szCs w:val="21"/>
          <w:highlight w:val="none"/>
        </w:rPr>
        <w:t>0. 变更</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bookmarkEnd w:id="601"/>
    <w:bookmarkEnd w:id="602"/>
    <w:p w14:paraId="11F86C71">
      <w:pPr>
        <w:pStyle w:val="4"/>
        <w:rPr>
          <w:rFonts w:hint="eastAsia" w:ascii="宋体" w:hAnsi="宋体" w:cs="宋体"/>
          <w:color w:val="auto"/>
          <w:sz w:val="21"/>
          <w:szCs w:val="21"/>
          <w:highlight w:val="none"/>
        </w:rPr>
      </w:pPr>
      <w:bookmarkStart w:id="610" w:name="_Toc389065306"/>
      <w:bookmarkStart w:id="611" w:name="_Toc373478387"/>
      <w:bookmarkStart w:id="612" w:name="_Toc373227740"/>
      <w:bookmarkStart w:id="613" w:name="_Toc9850571"/>
      <w:bookmarkStart w:id="614" w:name="_Toc407135243"/>
      <w:r>
        <w:rPr>
          <w:rFonts w:hint="eastAsia" w:ascii="宋体" w:hAnsi="宋体" w:cs="宋体"/>
          <w:color w:val="auto"/>
          <w:sz w:val="21"/>
          <w:szCs w:val="21"/>
          <w:highlight w:val="none"/>
        </w:rPr>
        <w:t>1</w:t>
      </w:r>
      <w:bookmarkStart w:id="615" w:name="_Toc296944533"/>
      <w:bookmarkStart w:id="616" w:name="_Toc297048380"/>
      <w:bookmarkStart w:id="617" w:name="_Toc296346695"/>
      <w:bookmarkStart w:id="618" w:name="_Toc297123541"/>
      <w:bookmarkStart w:id="619" w:name="_Toc304295567"/>
      <w:bookmarkStart w:id="620" w:name="_Toc303539147"/>
      <w:bookmarkStart w:id="621" w:name="_Toc292559399"/>
      <w:bookmarkStart w:id="622" w:name="_Toc296347193"/>
      <w:bookmarkStart w:id="623" w:name="_Toc296503194"/>
      <w:bookmarkStart w:id="624" w:name="_Toc300934990"/>
      <w:bookmarkStart w:id="625" w:name="_Toc296891022"/>
      <w:bookmarkStart w:id="626" w:name="_Toc292559904"/>
      <w:bookmarkStart w:id="627" w:name="_Toc312678026"/>
      <w:bookmarkStart w:id="628" w:name="_Toc312677500"/>
      <w:bookmarkStart w:id="629" w:name="_Toc296891234"/>
      <w:bookmarkStart w:id="630" w:name="_Toc297216200"/>
      <w:bookmarkStart w:id="631" w:name="_Toc297120494"/>
      <w:r>
        <w:rPr>
          <w:rFonts w:hint="eastAsia" w:ascii="宋体" w:hAnsi="宋体" w:cs="宋体"/>
          <w:color w:val="auto"/>
          <w:sz w:val="21"/>
          <w:szCs w:val="21"/>
          <w:highlight w:val="none"/>
        </w:rPr>
        <w:t>0.1 变更的范围</w:t>
      </w:r>
      <w:bookmarkEnd w:id="610"/>
      <w:bookmarkEnd w:id="611"/>
      <w:bookmarkEnd w:id="612"/>
      <w:bookmarkEnd w:id="613"/>
      <w:bookmarkEnd w:id="614"/>
    </w:p>
    <w:p w14:paraId="32ECDC83">
      <w:pPr>
        <w:spacing w:line="360" w:lineRule="auto"/>
        <w:ind w:firstLine="426"/>
        <w:jc w:val="left"/>
        <w:rPr>
          <w:rFonts w:hint="eastAsia" w:ascii="宋体" w:hAnsi="宋体" w:cs="宋体"/>
          <w:color w:val="auto"/>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 xml:space="preserve"> 当出现工程变更时，承包人不得以任何理由，拒绝变更内容的施工和变更内容合同价款的洽商 </w:t>
      </w:r>
      <w:r>
        <w:rPr>
          <w:rFonts w:hint="eastAsia" w:ascii="宋体" w:hAnsi="宋体" w:cs="宋体"/>
          <w:color w:val="auto"/>
          <w:szCs w:val="21"/>
          <w:highlight w:val="none"/>
        </w:rPr>
        <w:t>。</w:t>
      </w:r>
    </w:p>
    <w:p w14:paraId="502ABD7A">
      <w:pPr>
        <w:pStyle w:val="4"/>
        <w:rPr>
          <w:rFonts w:hint="eastAsia" w:ascii="宋体" w:hAnsi="宋体" w:cs="宋体"/>
          <w:color w:val="auto"/>
          <w:sz w:val="21"/>
          <w:szCs w:val="21"/>
          <w:highlight w:val="none"/>
        </w:rPr>
      </w:pPr>
      <w:bookmarkStart w:id="632" w:name="_Toc373227741"/>
      <w:bookmarkStart w:id="633" w:name="_Toc407135244"/>
      <w:bookmarkStart w:id="634" w:name="_Toc389065307"/>
      <w:bookmarkStart w:id="635" w:name="_Toc9850572"/>
      <w:bookmarkStart w:id="636" w:name="_Toc373478388"/>
      <w:r>
        <w:rPr>
          <w:rFonts w:hint="eastAsia" w:ascii="宋体" w:hAnsi="宋体" w:cs="宋体"/>
          <w:color w:val="auto"/>
          <w:sz w:val="21"/>
          <w:szCs w:val="21"/>
          <w:highlight w:val="none"/>
        </w:rPr>
        <w:t>10.3 变更程序</w:t>
      </w:r>
      <w:bookmarkEnd w:id="632"/>
      <w:bookmarkEnd w:id="633"/>
      <w:bookmarkEnd w:id="634"/>
      <w:bookmarkEnd w:id="635"/>
      <w:bookmarkEnd w:id="636"/>
    </w:p>
    <w:p w14:paraId="45FA14D9">
      <w:pPr>
        <w:pStyle w:val="26"/>
        <w:spacing w:line="360" w:lineRule="auto"/>
        <w:ind w:firstLine="441" w:firstLineChars="210"/>
        <w:rPr>
          <w:rFonts w:hint="eastAsia" w:hAnsi="宋体" w:cs="宋体"/>
          <w:color w:val="auto"/>
          <w:sz w:val="21"/>
          <w:szCs w:val="21"/>
          <w:highlight w:val="none"/>
        </w:rPr>
      </w:pPr>
      <w:r>
        <w:rPr>
          <w:rFonts w:hint="eastAsia" w:hAnsi="宋体" w:cs="宋体"/>
          <w:color w:val="auto"/>
          <w:sz w:val="21"/>
          <w:szCs w:val="21"/>
          <w:highlight w:val="none"/>
        </w:rPr>
        <w:t>10.3.1国有投资项目：</w:t>
      </w:r>
    </w:p>
    <w:p w14:paraId="578D42DE">
      <w:pPr>
        <w:pStyle w:val="26"/>
        <w:spacing w:line="360" w:lineRule="auto"/>
        <w:ind w:firstLine="441" w:firstLineChars="210"/>
        <w:rPr>
          <w:rFonts w:hint="eastAsia" w:hAnsi="宋体" w:cs="宋体"/>
          <w:bCs/>
          <w:color w:val="auto"/>
          <w:sz w:val="21"/>
          <w:szCs w:val="21"/>
          <w:highlight w:val="none"/>
        </w:rPr>
      </w:pPr>
      <w:r>
        <w:rPr>
          <w:rFonts w:hint="eastAsia" w:hAnsi="宋体" w:cs="宋体"/>
          <w:bCs/>
          <w:color w:val="auto"/>
          <w:sz w:val="21"/>
          <w:szCs w:val="21"/>
          <w:highlight w:val="none"/>
        </w:rPr>
        <w:t>⑴设计变更和工程签证，按</w:t>
      </w:r>
      <w:r>
        <w:rPr>
          <w:rFonts w:hint="eastAsia" w:hAnsi="宋体" w:cs="宋体"/>
          <w:bCs/>
          <w:color w:val="auto"/>
          <w:sz w:val="21"/>
          <w:szCs w:val="21"/>
          <w:highlight w:val="none"/>
          <w:lang w:eastAsia="zh-CN"/>
        </w:rPr>
        <w:t>灵山县人民</w:t>
      </w:r>
      <w:r>
        <w:rPr>
          <w:rFonts w:hint="eastAsia" w:hAnsi="宋体" w:cs="宋体"/>
          <w:bCs/>
          <w:color w:val="auto"/>
          <w:sz w:val="21"/>
          <w:szCs w:val="21"/>
          <w:highlight w:val="none"/>
        </w:rPr>
        <w:t>政府或相关部门的规定办理。属不可抗力（自然灾害、突发事件等）造成变更的，按特事特办原则予以办理。</w:t>
      </w:r>
    </w:p>
    <w:p w14:paraId="08668561">
      <w:pPr>
        <w:pStyle w:val="26"/>
        <w:spacing w:line="360" w:lineRule="auto"/>
        <w:ind w:firstLine="441" w:firstLineChars="210"/>
        <w:rPr>
          <w:rFonts w:hint="eastAsia" w:hAnsi="宋体" w:cs="宋体"/>
          <w:bCs/>
          <w:color w:val="auto"/>
          <w:sz w:val="21"/>
          <w:szCs w:val="21"/>
          <w:highlight w:val="none"/>
        </w:rPr>
      </w:pPr>
      <w:r>
        <w:rPr>
          <w:rFonts w:hint="eastAsia" w:hAnsi="宋体" w:cs="宋体"/>
          <w:bCs/>
          <w:color w:val="auto"/>
          <w:sz w:val="21"/>
          <w:szCs w:val="21"/>
          <w:highlight w:val="none"/>
        </w:rPr>
        <w:t>⑵建设单位在实施项目过程中，若发生单价变动，由发包人、承包人、监理或造价咨询等单位共同商定并签字确认，并按规定办理相关手续。</w:t>
      </w:r>
    </w:p>
    <w:p w14:paraId="4E583BA0">
      <w:pPr>
        <w:pStyle w:val="26"/>
        <w:spacing w:line="360" w:lineRule="auto"/>
        <w:ind w:firstLine="441" w:firstLineChars="210"/>
        <w:rPr>
          <w:rFonts w:hint="eastAsia" w:hAnsi="宋体" w:cs="宋体"/>
          <w:bCs/>
          <w:color w:val="auto"/>
          <w:sz w:val="21"/>
          <w:szCs w:val="21"/>
          <w:highlight w:val="none"/>
        </w:rPr>
      </w:pPr>
      <w:r>
        <w:rPr>
          <w:rFonts w:hint="eastAsia" w:hAnsi="宋体" w:cs="宋体"/>
          <w:bCs/>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3ED5B0A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10.3.2 非国有投资项目：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002E34">
      <w:pPr>
        <w:pStyle w:val="4"/>
        <w:rPr>
          <w:rFonts w:hint="eastAsia" w:ascii="宋体" w:hAnsi="宋体" w:cs="宋体"/>
          <w:color w:val="auto"/>
          <w:sz w:val="21"/>
          <w:szCs w:val="21"/>
          <w:highlight w:val="none"/>
        </w:rPr>
      </w:pPr>
      <w:bookmarkStart w:id="637" w:name="_Toc373227742"/>
      <w:bookmarkStart w:id="638" w:name="_Toc373478389"/>
      <w:bookmarkStart w:id="639" w:name="_Toc389065308"/>
      <w:bookmarkStart w:id="640" w:name="_Toc9850573"/>
      <w:bookmarkStart w:id="641" w:name="_Toc407135245"/>
      <w:r>
        <w:rPr>
          <w:rFonts w:hint="eastAsia" w:ascii="宋体" w:hAnsi="宋体" w:cs="宋体"/>
          <w:color w:val="auto"/>
          <w:sz w:val="21"/>
          <w:szCs w:val="21"/>
          <w:highlight w:val="none"/>
        </w:rPr>
        <w:t>10.4 变更估价</w:t>
      </w:r>
      <w:bookmarkEnd w:id="637"/>
      <w:bookmarkEnd w:id="638"/>
      <w:bookmarkEnd w:id="639"/>
      <w:bookmarkEnd w:id="640"/>
      <w:bookmarkEnd w:id="641"/>
    </w:p>
    <w:p w14:paraId="5C91B59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10.4.1 变更估价原则</w:t>
      </w:r>
    </w:p>
    <w:p w14:paraId="1CFB1F3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关于变更估价的约定: </w:t>
      </w:r>
      <w:bookmarkStart w:id="642" w:name="_Toc251051742"/>
      <w:r>
        <w:rPr>
          <w:rFonts w:hint="eastAsia" w:ascii="宋体" w:hAnsi="宋体" w:cs="宋体"/>
          <w:color w:val="auto"/>
          <w:szCs w:val="21"/>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cs="宋体"/>
          <w:b/>
          <w:bCs/>
          <w:color w:val="auto"/>
          <w:szCs w:val="21"/>
          <w:highlight w:val="none"/>
        </w:rPr>
        <w:t>☑</w:t>
      </w:r>
      <w:r>
        <w:rPr>
          <w:rFonts w:hint="eastAsia" w:ascii="宋体" w:hAnsi="宋体" w:cs="宋体"/>
          <w:color w:val="auto"/>
          <w:szCs w:val="21"/>
          <w:highlight w:val="none"/>
          <w:u w:val="single"/>
        </w:rPr>
        <w:t>乘以下浮系数（中标价/公布的招标控制价），</w:t>
      </w:r>
      <w:r>
        <w:rPr>
          <w:rFonts w:hint="eastAsia" w:ascii="宋体" w:hAnsi="宋体" w:cs="宋体"/>
          <w:b/>
          <w:bCs/>
          <w:color w:val="auto"/>
          <w:szCs w:val="21"/>
          <w:highlight w:val="none"/>
        </w:rPr>
        <w:t>□</w:t>
      </w:r>
      <w:r>
        <w:rPr>
          <w:rFonts w:hint="eastAsia" w:ascii="宋体" w:hAnsi="宋体" w:cs="宋体"/>
          <w:color w:val="auto"/>
          <w:szCs w:val="21"/>
          <w:highlight w:val="none"/>
          <w:u w:val="single"/>
        </w:rPr>
        <w:t>不乘下浮系数）计算，其中：材料设备价格按施工期间的《钦州市建设工程造价信息》相应信息价的加权平均值计算，《钦州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642"/>
      <w:r>
        <w:rPr>
          <w:rFonts w:hint="eastAsia" w:ascii="宋体" w:hAnsi="宋体" w:cs="宋体"/>
          <w:color w:val="auto"/>
          <w:szCs w:val="21"/>
          <w:highlight w:val="none"/>
        </w:rPr>
        <w:t>。以上约定同时适用于招标工程量清单缺项以及工程量清单项目特征与图纸不符时的价款确定。</w:t>
      </w:r>
    </w:p>
    <w:p w14:paraId="08001377">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5C0F5453">
      <w:pPr>
        <w:pStyle w:val="4"/>
        <w:rPr>
          <w:rFonts w:hint="eastAsia" w:ascii="宋体" w:hAnsi="宋体" w:cs="宋体"/>
          <w:color w:val="auto"/>
          <w:sz w:val="21"/>
          <w:szCs w:val="21"/>
          <w:highlight w:val="none"/>
        </w:rPr>
      </w:pPr>
      <w:bookmarkStart w:id="643" w:name="_Toc389065309"/>
      <w:bookmarkStart w:id="644" w:name="_Toc9850574"/>
      <w:bookmarkStart w:id="645" w:name="_Toc373478390"/>
      <w:bookmarkStart w:id="646" w:name="_Toc373227743"/>
      <w:bookmarkStart w:id="647" w:name="_Toc407135246"/>
      <w:r>
        <w:rPr>
          <w:rFonts w:hint="eastAsia" w:ascii="宋体" w:hAnsi="宋体" w:cs="宋体"/>
          <w:color w:val="auto"/>
          <w:sz w:val="21"/>
          <w:szCs w:val="21"/>
          <w:highlight w:val="none"/>
        </w:rPr>
        <w:t>1</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Start w:id="648" w:name="_Toc296944536"/>
      <w:bookmarkStart w:id="649" w:name="_Toc297123544"/>
      <w:bookmarkStart w:id="650" w:name="_Toc292559907"/>
      <w:bookmarkStart w:id="651" w:name="_Toc296891237"/>
      <w:bookmarkStart w:id="652" w:name="_Toc303539150"/>
      <w:bookmarkStart w:id="653" w:name="_Toc297120497"/>
      <w:bookmarkStart w:id="654" w:name="_Toc297216203"/>
      <w:bookmarkStart w:id="655" w:name="_Toc296347196"/>
      <w:bookmarkStart w:id="656" w:name="_Toc300934993"/>
      <w:bookmarkStart w:id="657" w:name="_Toc296891025"/>
      <w:bookmarkStart w:id="658" w:name="_Toc296346698"/>
      <w:bookmarkStart w:id="659" w:name="_Toc292559402"/>
      <w:bookmarkStart w:id="660" w:name="_Toc296503197"/>
      <w:bookmarkStart w:id="661" w:name="_Toc297048383"/>
      <w:bookmarkStart w:id="662" w:name="_Toc312678029"/>
      <w:bookmarkStart w:id="663" w:name="_Toc312677503"/>
      <w:bookmarkStart w:id="664" w:name="_Toc304295570"/>
      <w:r>
        <w:rPr>
          <w:rFonts w:hint="eastAsia" w:ascii="宋体" w:hAnsi="宋体" w:cs="宋体"/>
          <w:color w:val="auto"/>
          <w:sz w:val="21"/>
          <w:szCs w:val="21"/>
          <w:highlight w:val="none"/>
        </w:rPr>
        <w:t>0.5 承</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Start w:id="665" w:name="_Toc300934994"/>
      <w:bookmarkStart w:id="666" w:name="_Toc297120503"/>
      <w:bookmarkStart w:id="667" w:name="_Toc296346704"/>
      <w:bookmarkStart w:id="668" w:name="_Toc297048389"/>
      <w:bookmarkStart w:id="669" w:name="_Toc296944542"/>
      <w:bookmarkStart w:id="670" w:name="_Toc296891243"/>
      <w:bookmarkStart w:id="671" w:name="_Toc303539151"/>
      <w:bookmarkStart w:id="672" w:name="_Toc292559408"/>
      <w:bookmarkStart w:id="673" w:name="_Toc297123545"/>
      <w:bookmarkStart w:id="674" w:name="_Toc292559913"/>
      <w:bookmarkStart w:id="675" w:name="_Toc297216204"/>
      <w:bookmarkStart w:id="676" w:name="_Toc296503203"/>
      <w:bookmarkStart w:id="677" w:name="_Toc296347202"/>
      <w:bookmarkStart w:id="678" w:name="_Toc296891031"/>
      <w:r>
        <w:rPr>
          <w:rFonts w:hint="eastAsia" w:ascii="宋体" w:hAnsi="宋体" w:cs="宋体"/>
          <w:color w:val="auto"/>
          <w:sz w:val="21"/>
          <w:szCs w:val="21"/>
          <w:highlight w:val="none"/>
        </w:rPr>
        <w:t>包人的合理化建议</w:t>
      </w:r>
      <w:bookmarkEnd w:id="643"/>
      <w:bookmarkEnd w:id="644"/>
      <w:bookmarkEnd w:id="645"/>
      <w:bookmarkEnd w:id="646"/>
      <w:bookmarkEnd w:id="647"/>
    </w:p>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50BE370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 xml:space="preserve"> 在收到承包人提交的合理化建议后7天内 </w:t>
      </w:r>
      <w:r>
        <w:rPr>
          <w:rFonts w:hint="eastAsia" w:ascii="宋体" w:hAnsi="宋体" w:cs="宋体"/>
          <w:color w:val="auto"/>
          <w:szCs w:val="21"/>
          <w:highlight w:val="none"/>
        </w:rPr>
        <w:t>。</w:t>
      </w:r>
    </w:p>
    <w:p w14:paraId="732DF12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 xml:space="preserve"> 在收到承包人提交的合理化建议后7天内 </w:t>
      </w:r>
      <w:r>
        <w:rPr>
          <w:rFonts w:hint="eastAsia" w:ascii="宋体" w:hAnsi="宋体" w:cs="宋体"/>
          <w:color w:val="auto"/>
          <w:szCs w:val="21"/>
          <w:highlight w:val="none"/>
        </w:rPr>
        <w:t>。</w:t>
      </w:r>
    </w:p>
    <w:p w14:paraId="58581F39">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w:t>
      </w:r>
      <w:bookmarkStart w:id="679" w:name="_Toc304295571"/>
      <w:bookmarkStart w:id="680" w:name="_Toc296944543"/>
      <w:bookmarkStart w:id="681" w:name="_Toc318581175"/>
      <w:bookmarkStart w:id="682" w:name="_Toc296346705"/>
      <w:bookmarkStart w:id="683" w:name="_Toc297123546"/>
      <w:bookmarkStart w:id="684" w:name="_Toc312678030"/>
      <w:bookmarkStart w:id="685" w:name="_Toc312677504"/>
      <w:bookmarkStart w:id="686" w:name="_Toc292559409"/>
      <w:bookmarkStart w:id="687" w:name="_Toc296347203"/>
      <w:bookmarkStart w:id="688" w:name="_Toc303539152"/>
      <w:bookmarkStart w:id="689" w:name="_Toc297120504"/>
      <w:bookmarkStart w:id="690" w:name="_Toc296891032"/>
      <w:bookmarkStart w:id="691" w:name="_Toc296891244"/>
      <w:bookmarkStart w:id="692" w:name="_Toc297216205"/>
      <w:bookmarkStart w:id="693" w:name="_Toc292559914"/>
      <w:bookmarkStart w:id="694" w:name="_Toc300934995"/>
      <w:bookmarkStart w:id="695" w:name="_Toc296503204"/>
      <w:bookmarkStart w:id="696" w:name="_Toc297048390"/>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14:paraId="31C207AB">
      <w:pPr>
        <w:pStyle w:val="4"/>
        <w:rPr>
          <w:rFonts w:hint="eastAsia" w:ascii="宋体" w:hAnsi="宋体" w:cs="宋体"/>
          <w:color w:val="auto"/>
          <w:sz w:val="21"/>
          <w:szCs w:val="21"/>
          <w:highlight w:val="none"/>
        </w:rPr>
      </w:pPr>
      <w:bookmarkStart w:id="697" w:name="_Toc9850575"/>
      <w:bookmarkStart w:id="698" w:name="_Toc373227744"/>
      <w:bookmarkStart w:id="699" w:name="_Toc407135247"/>
      <w:bookmarkStart w:id="700" w:name="_Toc373478391"/>
      <w:bookmarkStart w:id="701" w:name="_Toc389065310"/>
      <w:r>
        <w:rPr>
          <w:rFonts w:hint="eastAsia" w:ascii="宋体" w:hAnsi="宋体" w:cs="宋体"/>
          <w:color w:val="auto"/>
          <w:sz w:val="21"/>
          <w:szCs w:val="21"/>
          <w:highlight w:val="none"/>
        </w:rPr>
        <w:t>1</w:t>
      </w:r>
      <w:bookmarkStart w:id="702" w:name="_Toc297216207"/>
      <w:bookmarkStart w:id="703" w:name="_Toc296891239"/>
      <w:bookmarkStart w:id="704" w:name="_Toc296891027"/>
      <w:bookmarkStart w:id="705" w:name="_Toc304295574"/>
      <w:bookmarkStart w:id="706" w:name="_Toc312677507"/>
      <w:bookmarkStart w:id="707" w:name="_Toc296346700"/>
      <w:bookmarkStart w:id="708" w:name="_Toc296347198"/>
      <w:bookmarkStart w:id="709" w:name="_Toc297048385"/>
      <w:bookmarkStart w:id="710" w:name="_Toc300934997"/>
      <w:bookmarkStart w:id="711" w:name="_Toc292559909"/>
      <w:bookmarkStart w:id="712" w:name="_Toc296944538"/>
      <w:bookmarkStart w:id="713" w:name="_Toc312678033"/>
      <w:bookmarkStart w:id="714" w:name="_Toc297120499"/>
      <w:bookmarkStart w:id="715" w:name="_Toc292559404"/>
      <w:bookmarkStart w:id="716" w:name="_Toc303539154"/>
      <w:bookmarkStart w:id="717" w:name="_Toc296503199"/>
      <w:bookmarkStart w:id="718" w:name="_Toc297123548"/>
      <w:r>
        <w:rPr>
          <w:rFonts w:hint="eastAsia" w:ascii="宋体" w:hAnsi="宋体" w:cs="宋体"/>
          <w:color w:val="auto"/>
          <w:sz w:val="21"/>
          <w:szCs w:val="21"/>
          <w:highlight w:val="none"/>
        </w:rPr>
        <w:t>0.7 暂估价</w:t>
      </w:r>
      <w:bookmarkEnd w:id="697"/>
      <w:bookmarkEnd w:id="698"/>
      <w:bookmarkEnd w:id="699"/>
      <w:bookmarkEnd w:id="700"/>
      <w:bookmarkEnd w:id="701"/>
    </w:p>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14:paraId="2EE47C6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暂</w:t>
      </w:r>
      <w:bookmarkStart w:id="719" w:name="_Toc312677508"/>
      <w:bookmarkStart w:id="720" w:name="_Toc312678034"/>
      <w:bookmarkStart w:id="721" w:name="_Toc318581176"/>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719"/>
    <w:bookmarkEnd w:id="720"/>
    <w:bookmarkEnd w:id="721"/>
    <w:p w14:paraId="04A5D7C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Start w:id="722" w:name="_Toc318581177"/>
      <w:bookmarkStart w:id="723" w:name="_Toc312677509"/>
      <w:bookmarkStart w:id="724" w:name="_Toc312678035"/>
      <w:r>
        <w:rPr>
          <w:rFonts w:hint="eastAsia" w:ascii="宋体" w:hAnsi="宋体" w:cs="宋体"/>
          <w:color w:val="auto"/>
          <w:szCs w:val="21"/>
          <w:highlight w:val="none"/>
        </w:rPr>
        <w:t>0.7.1 依法必须招标的暂估价项目</w:t>
      </w:r>
    </w:p>
    <w:bookmarkEnd w:id="722"/>
    <w:bookmarkEnd w:id="723"/>
    <w:bookmarkEnd w:id="724"/>
    <w:p w14:paraId="1B6973B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437EFACC">
      <w:pPr>
        <w:pStyle w:val="206"/>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4D8A97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088E4C5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 xml:space="preserve"> 种方式确定。</w:t>
      </w:r>
    </w:p>
    <w:p w14:paraId="0AFA4A3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0FBC37E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暂估价项目的定价程序：①先由承包人把所需要定价的设备（或材料）的调查价格报给发包人（并报监理单位及相关部门）；②由发包人汇同相关部门核查相关的设备（或材料）的价格；③相关的设备（或材料）价格的签证（由发包人、承包人、监理单位会同相关部门共同签证） </w:t>
      </w:r>
      <w:r>
        <w:rPr>
          <w:rFonts w:hint="eastAsia" w:ascii="宋体" w:hAnsi="宋体" w:cs="宋体"/>
          <w:color w:val="auto"/>
          <w:szCs w:val="21"/>
          <w:highlight w:val="none"/>
        </w:rPr>
        <w:t>。</w:t>
      </w:r>
    </w:p>
    <w:p w14:paraId="38509293">
      <w:pPr>
        <w:pStyle w:val="4"/>
        <w:rPr>
          <w:rFonts w:hint="eastAsia" w:ascii="宋体" w:hAnsi="宋体" w:cs="宋体"/>
          <w:color w:val="auto"/>
          <w:sz w:val="21"/>
          <w:szCs w:val="21"/>
          <w:highlight w:val="none"/>
        </w:rPr>
      </w:pPr>
      <w:bookmarkStart w:id="725" w:name="_Toc407135248"/>
      <w:bookmarkStart w:id="726" w:name="_Toc9850576"/>
      <w:bookmarkStart w:id="727" w:name="_Toc373478392"/>
      <w:bookmarkStart w:id="728" w:name="_Toc373227745"/>
      <w:bookmarkStart w:id="729" w:name="_Toc389065311"/>
      <w:r>
        <w:rPr>
          <w:rFonts w:hint="eastAsia" w:ascii="宋体" w:hAnsi="宋体" w:cs="宋体"/>
          <w:color w:val="auto"/>
          <w:sz w:val="21"/>
          <w:szCs w:val="21"/>
          <w:highlight w:val="none"/>
        </w:rPr>
        <w:t>10.8 暂列金额</w:t>
      </w:r>
      <w:bookmarkEnd w:id="725"/>
      <w:bookmarkEnd w:id="726"/>
      <w:bookmarkEnd w:id="727"/>
      <w:bookmarkEnd w:id="728"/>
      <w:bookmarkEnd w:id="729"/>
    </w:p>
    <w:p w14:paraId="7BB035AA">
      <w:pPr>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 （1）已签约合同价中的暂列金额由发包人掌握使用。（2）发包人按照规定所作支付后，暂列金额如有余额归发包人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3FDF6F0F">
      <w:pPr>
        <w:pStyle w:val="3"/>
        <w:numPr>
          <w:ilvl w:val="0"/>
          <w:numId w:val="9"/>
        </w:numPr>
        <w:rPr>
          <w:rFonts w:hint="eastAsia" w:ascii="宋体" w:hAnsi="宋体" w:eastAsia="宋体" w:cs="宋体"/>
          <w:color w:val="auto"/>
          <w:sz w:val="21"/>
          <w:szCs w:val="21"/>
          <w:highlight w:val="none"/>
        </w:rPr>
      </w:pPr>
      <w:bookmarkStart w:id="730" w:name="_Toc373478393"/>
      <w:bookmarkStart w:id="731" w:name="_Toc407135249"/>
      <w:bookmarkStart w:id="732" w:name="_Toc373227746"/>
      <w:bookmarkStart w:id="733" w:name="_Toc9850577"/>
      <w:bookmarkStart w:id="734" w:name="_Toc389065312"/>
      <w:bookmarkStart w:id="735" w:name="_Toc351203643"/>
      <w:r>
        <w:rPr>
          <w:rFonts w:hint="eastAsia" w:ascii="宋体" w:hAnsi="宋体" w:eastAsia="宋体" w:cs="宋体"/>
          <w:color w:val="auto"/>
          <w:sz w:val="21"/>
          <w:szCs w:val="21"/>
          <w:highlight w:val="none"/>
        </w:rPr>
        <w:t>价格调整</w:t>
      </w:r>
      <w:bookmarkEnd w:id="730"/>
      <w:bookmarkEnd w:id="731"/>
      <w:bookmarkEnd w:id="732"/>
      <w:bookmarkEnd w:id="733"/>
      <w:bookmarkEnd w:id="734"/>
      <w:bookmarkEnd w:id="735"/>
    </w:p>
    <w:p w14:paraId="45B52C36">
      <w:pPr>
        <w:pStyle w:val="4"/>
        <w:rPr>
          <w:rFonts w:hint="eastAsia" w:ascii="宋体" w:hAnsi="宋体" w:cs="宋体"/>
          <w:color w:val="auto"/>
          <w:sz w:val="21"/>
          <w:szCs w:val="21"/>
          <w:highlight w:val="none"/>
        </w:rPr>
      </w:pPr>
      <w:bookmarkStart w:id="736" w:name="_Toc9850578"/>
      <w:bookmarkStart w:id="737" w:name="_Toc407135250"/>
      <w:bookmarkStart w:id="738" w:name="_Toc389065313"/>
      <w:bookmarkStart w:id="739" w:name="_Toc373227747"/>
      <w:bookmarkStart w:id="740" w:name="_Toc373478394"/>
      <w:bookmarkStart w:id="741" w:name="_Toc296891029"/>
      <w:bookmarkStart w:id="742" w:name="_Toc292559406"/>
      <w:bookmarkStart w:id="743" w:name="_Toc296346702"/>
      <w:bookmarkStart w:id="744" w:name="_Toc303539157"/>
      <w:bookmarkStart w:id="745" w:name="_Toc296944540"/>
      <w:bookmarkStart w:id="746" w:name="_Toc297123550"/>
      <w:bookmarkStart w:id="747" w:name="_Toc297216209"/>
      <w:bookmarkStart w:id="748" w:name="_Toc296891241"/>
      <w:bookmarkStart w:id="749" w:name="_Toc296503201"/>
      <w:bookmarkStart w:id="750" w:name="_Toc300935000"/>
      <w:bookmarkStart w:id="751" w:name="_Toc297120501"/>
      <w:bookmarkStart w:id="752" w:name="_Toc297048387"/>
      <w:bookmarkStart w:id="753" w:name="_Toc296347200"/>
      <w:bookmarkStart w:id="754" w:name="_Toc292559911"/>
      <w:bookmarkStart w:id="755" w:name="_Toc304295577"/>
      <w:bookmarkStart w:id="756" w:name="_Toc312678039"/>
      <w:r>
        <w:rPr>
          <w:rFonts w:hint="eastAsia" w:ascii="宋体" w:hAnsi="宋体" w:cs="宋体"/>
          <w:color w:val="auto"/>
          <w:sz w:val="21"/>
          <w:szCs w:val="21"/>
          <w:highlight w:val="none"/>
        </w:rPr>
        <w:t>11.1 市场价格波动引起的调整</w:t>
      </w:r>
      <w:bookmarkEnd w:id="736"/>
      <w:bookmarkEnd w:id="737"/>
      <w:bookmarkEnd w:id="738"/>
      <w:bookmarkEnd w:id="739"/>
      <w:bookmarkEnd w:id="740"/>
    </w:p>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14:paraId="3228ECC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rPr>
        <w:t xml:space="preserve">施工期间主要材料(钢材、水泥、商品砼、铝合金门窗、电线和电缆)平均价以施工期间《工程所在地工程造价信息》公布的信息价平均值与预算控制价采用的材料价偏差在±5%内不调整，调整超出部分仅计差额及相应的税金（分部分项工程量清单（单价清单）和图纸未含项目除外） </w:t>
      </w:r>
      <w:r>
        <w:rPr>
          <w:rFonts w:hint="eastAsia" w:ascii="宋体" w:hAnsi="宋体" w:cs="宋体"/>
          <w:color w:val="auto"/>
          <w:szCs w:val="21"/>
          <w:highlight w:val="none"/>
        </w:rPr>
        <w:t>。</w:t>
      </w:r>
    </w:p>
    <w:p w14:paraId="52CF30F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种方式对合同价格进行调整：</w:t>
      </w:r>
    </w:p>
    <w:p w14:paraId="58103FF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14:paraId="09BD50FF">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7158519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14:paraId="4ABE232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允许调整的主要材料和设备、基期价格、风险系数、竞标报价详见《承包人提供主要材料和设备一览表》（表-22）,价差调整部分仅计算税金，除此表列明的材料、设备外，其余材料设备价差原则上不予调整。</w:t>
      </w:r>
    </w:p>
    <w:p w14:paraId="1DB69A7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（2）主要材料和设备确认价：</w:t>
      </w:r>
    </w:p>
    <w:p w14:paraId="4A148D2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按施工期间《</w:t>
      </w:r>
      <w:r>
        <w:rPr>
          <w:rFonts w:hint="eastAsia" w:ascii="宋体" w:hAnsi="宋体" w:cs="宋体"/>
          <w:color w:val="auto"/>
          <w:szCs w:val="21"/>
          <w:highlight w:val="none"/>
          <w:u w:val="single"/>
        </w:rPr>
        <w:t>钦州</w:t>
      </w:r>
      <w:r>
        <w:rPr>
          <w:rFonts w:hint="eastAsia" w:ascii="宋体" w:hAnsi="宋体" w:cs="宋体"/>
          <w:color w:val="auto"/>
          <w:szCs w:val="21"/>
          <w:highlight w:val="none"/>
        </w:rPr>
        <w:t>市建设工程造价信息》材料信息价的加权平均价计算，信息价没有的按通用条款规定确定。</w:t>
      </w:r>
    </w:p>
    <w:p w14:paraId="6FD640A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（3）价差计算方法：</w:t>
      </w:r>
    </w:p>
    <w:p w14:paraId="67F70B4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承包人提供主要材料和设备一览表》中载明的材料和设备竞标报价低于基准价格的：合同履行期间材料和设备单价涨幅以基准价格为基础超过约定的风险范围时，或材料和设备单价跌幅以竞标报价为基础超过约定的风险范围时，对其超过部分进行价差调整，价差计算公式：价格上涨价差=确认价-基准价*（1+风险系数），价格下跌价差=确认价-竞标报价*（1+风险系数）。</w:t>
      </w:r>
    </w:p>
    <w:p w14:paraId="74146E0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承包人在《承包人提供主要材料和设备一览表》中载明的材料和设备竞标报价高于基准价格的：合同履行期间材料和设备单价跌幅以基准价格为基础超过约定的风险范围时，或材料和设备单价涨幅以竞标报价为基础超过约定的风险范围时，对其超过部分进行价差调整。价差计算公式：价格上涨价差=确认价-竞标报价*（1+风险系数），价格下跌价差=确认价-基准价*（1+风险系数。）</w:t>
      </w:r>
    </w:p>
    <w:p w14:paraId="1EDB31A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40F14B0D">
      <w:pPr>
        <w:spacing w:line="360" w:lineRule="auto"/>
        <w:ind w:firstLine="645"/>
        <w:jc w:val="left"/>
        <w:rPr>
          <w:rFonts w:hint="eastAsia" w:ascii="宋体" w:hAnsi="宋体" w:cs="宋体"/>
          <w:color w:val="auto"/>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bookmarkEnd w:id="603"/>
    <w:bookmarkEnd w:id="604"/>
    <w:bookmarkEnd w:id="605"/>
    <w:bookmarkEnd w:id="606"/>
    <w:bookmarkEnd w:id="607"/>
    <w:bookmarkEnd w:id="608"/>
    <w:p w14:paraId="135AD51D">
      <w:pPr>
        <w:pStyle w:val="3"/>
        <w:rPr>
          <w:rFonts w:hint="eastAsia" w:ascii="宋体" w:hAnsi="宋体" w:eastAsia="宋体" w:cs="宋体"/>
          <w:color w:val="auto"/>
          <w:sz w:val="21"/>
          <w:szCs w:val="21"/>
          <w:highlight w:val="none"/>
        </w:rPr>
      </w:pPr>
      <w:bookmarkStart w:id="757" w:name="_Toc297120505"/>
      <w:bookmarkStart w:id="758" w:name="_Toc296503205"/>
      <w:bookmarkStart w:id="759" w:name="_Toc292559915"/>
      <w:bookmarkStart w:id="760" w:name="_Toc296891033"/>
      <w:bookmarkStart w:id="761" w:name="_Toc297048391"/>
      <w:bookmarkStart w:id="762" w:name="_Toc296347204"/>
      <w:bookmarkStart w:id="763" w:name="_Toc292559410"/>
      <w:bookmarkStart w:id="764" w:name="_Toc296891245"/>
      <w:bookmarkStart w:id="765" w:name="_Toc296944544"/>
      <w:bookmarkStart w:id="766" w:name="_Toc296346706"/>
      <w:bookmarkStart w:id="767" w:name="_Toc351203644"/>
      <w:bookmarkStart w:id="768" w:name="_Toc407135251"/>
      <w:bookmarkStart w:id="769" w:name="_Toc9850579"/>
      <w:bookmarkStart w:id="770" w:name="_Toc373227748"/>
      <w:bookmarkStart w:id="771" w:name="_Toc373478395"/>
      <w:bookmarkStart w:id="772" w:name="_Toc297216211"/>
      <w:bookmarkStart w:id="773" w:name="_Toc304295579"/>
      <w:bookmarkStart w:id="774" w:name="_Toc300935002"/>
      <w:bookmarkStart w:id="775" w:name="_Toc303539159"/>
      <w:bookmarkStart w:id="776" w:name="_Toc312678040"/>
      <w:bookmarkStart w:id="777" w:name="_Toc297123552"/>
      <w:r>
        <w:rPr>
          <w:rFonts w:hint="eastAsia" w:ascii="宋体" w:hAnsi="宋体" w:eastAsia="宋体" w:cs="宋体"/>
          <w:color w:val="auto"/>
          <w:sz w:val="21"/>
          <w:szCs w:val="21"/>
          <w:highlight w:val="none"/>
        </w:rPr>
        <w:t xml:space="preserve">12. </w:t>
      </w:r>
      <w:bookmarkEnd w:id="757"/>
      <w:bookmarkEnd w:id="758"/>
      <w:bookmarkEnd w:id="759"/>
      <w:bookmarkEnd w:id="760"/>
      <w:bookmarkEnd w:id="761"/>
      <w:bookmarkEnd w:id="762"/>
      <w:bookmarkEnd w:id="763"/>
      <w:bookmarkEnd w:id="764"/>
      <w:bookmarkEnd w:id="765"/>
      <w:bookmarkEnd w:id="766"/>
      <w:r>
        <w:rPr>
          <w:rFonts w:hint="eastAsia" w:ascii="宋体" w:hAnsi="宋体" w:eastAsia="宋体" w:cs="宋体"/>
          <w:color w:val="auto"/>
          <w:sz w:val="21"/>
          <w:szCs w:val="21"/>
          <w:highlight w:val="none"/>
        </w:rPr>
        <w:t>合同价格、计量与支付</w:t>
      </w:r>
      <w:bookmarkEnd w:id="767"/>
      <w:bookmarkEnd w:id="768"/>
      <w:bookmarkEnd w:id="769"/>
      <w:bookmarkEnd w:id="770"/>
      <w:bookmarkEnd w:id="771"/>
    </w:p>
    <w:bookmarkEnd w:id="772"/>
    <w:bookmarkEnd w:id="773"/>
    <w:bookmarkEnd w:id="774"/>
    <w:bookmarkEnd w:id="775"/>
    <w:bookmarkEnd w:id="776"/>
    <w:bookmarkEnd w:id="777"/>
    <w:p w14:paraId="746057B2">
      <w:pPr>
        <w:pStyle w:val="4"/>
        <w:rPr>
          <w:rFonts w:hint="eastAsia" w:ascii="宋体" w:hAnsi="宋体" w:cs="宋体"/>
          <w:color w:val="auto"/>
          <w:sz w:val="21"/>
          <w:szCs w:val="21"/>
          <w:highlight w:val="none"/>
        </w:rPr>
      </w:pPr>
      <w:bookmarkStart w:id="778" w:name="_Toc292559411"/>
      <w:bookmarkStart w:id="779" w:name="_Toc292559916"/>
      <w:bookmarkStart w:id="780" w:name="_Toc267251461"/>
      <w:bookmarkStart w:id="781" w:name="_Toc296944545"/>
      <w:bookmarkStart w:id="782" w:name="_Toc296891246"/>
      <w:bookmarkStart w:id="783" w:name="_Toc296891034"/>
      <w:bookmarkStart w:id="784" w:name="_Toc297120506"/>
      <w:bookmarkStart w:id="785" w:name="_Toc296347205"/>
      <w:bookmarkStart w:id="786" w:name="_Toc296346707"/>
      <w:bookmarkStart w:id="787" w:name="_Toc297048392"/>
      <w:bookmarkStart w:id="788" w:name="_Toc296503206"/>
      <w:bookmarkStart w:id="789" w:name="_Toc389065314"/>
      <w:bookmarkStart w:id="790" w:name="_Toc373227749"/>
      <w:bookmarkStart w:id="791" w:name="_Toc407135252"/>
      <w:bookmarkStart w:id="792" w:name="_Toc373478396"/>
      <w:bookmarkStart w:id="793" w:name="_Toc9850580"/>
      <w:bookmarkStart w:id="794" w:name="_Toc297216212"/>
      <w:bookmarkStart w:id="795" w:name="_Toc297123553"/>
      <w:bookmarkStart w:id="796" w:name="_Toc304295580"/>
      <w:bookmarkStart w:id="797" w:name="_Toc303539160"/>
      <w:bookmarkStart w:id="798" w:name="_Toc312678041"/>
      <w:bookmarkStart w:id="799" w:name="_Toc300935003"/>
      <w:r>
        <w:rPr>
          <w:rFonts w:hint="eastAsia" w:ascii="宋体" w:hAnsi="宋体" w:cs="宋体"/>
          <w:color w:val="auto"/>
          <w:sz w:val="21"/>
          <w:szCs w:val="21"/>
          <w:highlight w:val="none"/>
        </w:rPr>
        <w:t>12.1 合</w:t>
      </w:r>
      <w:bookmarkEnd w:id="778"/>
      <w:bookmarkEnd w:id="779"/>
      <w:bookmarkEnd w:id="780"/>
      <w:r>
        <w:rPr>
          <w:rFonts w:hint="eastAsia" w:ascii="宋体" w:hAnsi="宋体" w:cs="宋体"/>
          <w:color w:val="auto"/>
          <w:sz w:val="21"/>
          <w:szCs w:val="21"/>
          <w:highlight w:val="none"/>
        </w:rPr>
        <w:t>同价</w:t>
      </w:r>
      <w:bookmarkEnd w:id="781"/>
      <w:bookmarkEnd w:id="782"/>
      <w:bookmarkEnd w:id="783"/>
      <w:bookmarkEnd w:id="784"/>
      <w:bookmarkEnd w:id="785"/>
      <w:bookmarkEnd w:id="786"/>
      <w:bookmarkEnd w:id="787"/>
      <w:bookmarkEnd w:id="788"/>
      <w:r>
        <w:rPr>
          <w:rFonts w:hint="eastAsia" w:ascii="宋体" w:hAnsi="宋体" w:cs="宋体"/>
          <w:color w:val="auto"/>
          <w:sz w:val="21"/>
          <w:szCs w:val="21"/>
          <w:highlight w:val="none"/>
        </w:rPr>
        <w:t>格形式</w:t>
      </w:r>
      <w:bookmarkEnd w:id="789"/>
      <w:bookmarkEnd w:id="790"/>
      <w:bookmarkEnd w:id="791"/>
      <w:bookmarkEnd w:id="792"/>
      <w:bookmarkEnd w:id="793"/>
    </w:p>
    <w:bookmarkEnd w:id="794"/>
    <w:bookmarkEnd w:id="795"/>
    <w:bookmarkEnd w:id="796"/>
    <w:bookmarkEnd w:id="797"/>
    <w:bookmarkEnd w:id="798"/>
    <w:bookmarkEnd w:id="799"/>
    <w:p w14:paraId="7C2E0E89">
      <w:pPr>
        <w:spacing w:line="360" w:lineRule="auto"/>
        <w:ind w:firstLine="420" w:firstLineChars="200"/>
        <w:jc w:val="left"/>
        <w:rPr>
          <w:rFonts w:hint="eastAsia" w:ascii="宋体" w:hAnsi="宋体" w:cs="宋体"/>
          <w:color w:val="auto"/>
          <w:szCs w:val="21"/>
          <w:highlight w:val="none"/>
        </w:rPr>
      </w:pPr>
      <w:bookmarkStart w:id="800" w:name="_Toc373227750"/>
      <w:bookmarkStart w:id="801" w:name="_Toc373478397"/>
      <w:bookmarkStart w:id="802" w:name="_Toc389065315"/>
      <w:bookmarkStart w:id="803" w:name="_Toc312678042"/>
      <w:bookmarkStart w:id="804" w:name="_Toc304295581"/>
      <w:bookmarkStart w:id="805" w:name="_Toc303539161"/>
      <w:bookmarkStart w:id="806" w:name="_Toc300935004"/>
      <w:bookmarkStart w:id="807" w:name="_Toc297123554"/>
      <w:bookmarkStart w:id="808" w:name="_Toc297216213"/>
      <w:bookmarkStart w:id="809" w:name="_Toc292559412"/>
      <w:bookmarkStart w:id="810" w:name="_Toc296944546"/>
      <w:bookmarkStart w:id="811" w:name="_Toc296503207"/>
      <w:bookmarkStart w:id="812" w:name="_Toc292559917"/>
      <w:bookmarkStart w:id="813" w:name="_Toc297048393"/>
      <w:bookmarkStart w:id="814" w:name="_Toc296346708"/>
      <w:bookmarkStart w:id="815" w:name="_Toc297120507"/>
      <w:bookmarkStart w:id="816" w:name="_Toc296891247"/>
      <w:bookmarkStart w:id="817" w:name="_Toc296347206"/>
      <w:bookmarkStart w:id="818" w:name="_Toc296891035"/>
      <w:r>
        <w:rPr>
          <w:rFonts w:hint="eastAsia" w:ascii="宋体" w:hAnsi="宋体" w:cs="宋体"/>
          <w:color w:val="auto"/>
          <w:szCs w:val="21"/>
          <w:highlight w:val="none"/>
        </w:rPr>
        <w:t>本工程采用</w:t>
      </w:r>
      <w:r>
        <w:rPr>
          <w:rFonts w:hint="eastAsia" w:ascii="宋体" w:hAnsi="宋体" w:cs="宋体"/>
          <w:color w:val="auto"/>
          <w:szCs w:val="21"/>
          <w:highlight w:val="none"/>
          <w:u w:val="single"/>
        </w:rPr>
        <w:t xml:space="preserve"> 单价  </w:t>
      </w:r>
      <w:r>
        <w:rPr>
          <w:rFonts w:hint="eastAsia" w:ascii="宋体" w:hAnsi="宋体" w:cs="宋体"/>
          <w:color w:val="auto"/>
          <w:szCs w:val="21"/>
          <w:highlight w:val="none"/>
        </w:rPr>
        <w:t>合同价格形式，合同价格包含增值税，本工程计价时采用的增值税计税方法为：☑一般计税法   □简易计税法。</w:t>
      </w:r>
    </w:p>
    <w:p w14:paraId="02741DC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w:t>
      </w:r>
    </w:p>
    <w:p w14:paraId="5C539AC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采用综合单价合同方式时，工程量按建设单位、监理单位、施工单位三方确认的竣工图结算。</w:t>
      </w:r>
    </w:p>
    <w:p w14:paraId="249053A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592BF66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p>
    <w:p w14:paraId="2DD47CE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①工程变更、项目特征不符、工程量清单缺项：按10.4.1变更估价原则的约定调整。</w:t>
      </w:r>
    </w:p>
    <w:p w14:paraId="06FB1EB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②工程量偏差：按1.13工程量清单错误修正的约定调整。</w:t>
      </w:r>
    </w:p>
    <w:p w14:paraId="5DFD589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③政策性调整：按自治区住房城乡建设厅或工程所在地住房城乡建设主管部门颁布的文件执行。</w:t>
      </w:r>
    </w:p>
    <w:p w14:paraId="6E13A93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④材料价格风险：按11.1的约定调整。</w:t>
      </w:r>
    </w:p>
    <w:p w14:paraId="007F26C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⑤其它：</w:t>
      </w:r>
      <w:r>
        <w:rPr>
          <w:rFonts w:hint="eastAsia" w:ascii="宋体" w:hAnsi="宋体" w:cs="宋体"/>
          <w:color w:val="auto"/>
          <w:szCs w:val="21"/>
          <w:highlight w:val="none"/>
          <w:u w:val="single"/>
        </w:rPr>
        <w:t xml:space="preserve"> (1)因实际施工、设计变更引起工程项目和工程量变化的，工程量清单中有相同细目的按承包人的中标综合单价进行结算；工程量清单中有类似细目新增项目的单价有定额的套定额计算，并乘以下浮系数（中标价/公布的预算控制价）结算，其中材料价格有信息价的按信息价，无信息价的由发包人、承包人到市场询价确定；新增项目无定额可套的，由发包人、承包人根据市场价格协商确定。的按类似细目中标综合单价结算；(2)国家和本自治区政策性调整有关费用标准的，按文件规定执行 </w:t>
      </w:r>
      <w:r>
        <w:rPr>
          <w:rFonts w:hint="eastAsia" w:ascii="宋体" w:hAnsi="宋体" w:cs="宋体"/>
          <w:color w:val="auto"/>
          <w:szCs w:val="21"/>
          <w:highlight w:val="none"/>
        </w:rPr>
        <w:t>。</w:t>
      </w:r>
    </w:p>
    <w:p w14:paraId="7CD18B0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w:t>
      </w:r>
    </w:p>
    <w:p w14:paraId="36E6F2F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总价包含的风险范围：包含除工程变更、政策性调整、</w:t>
      </w:r>
      <w:r>
        <w:rPr>
          <w:rFonts w:hint="eastAsia" w:ascii="宋体" w:hAnsi="宋体" w:cs="宋体"/>
          <w:color w:val="auto"/>
          <w:szCs w:val="21"/>
          <w:highlight w:val="none"/>
          <w:u w:val="single"/>
        </w:rPr>
        <w:t xml:space="preserve">本工程《承包人提供主要材料和设备一览表》中约定的材料和设备价格变动风险以外的其他风险。除工程变更外，结算时不再对招标施工图对应的工程量重新计量    </w:t>
      </w:r>
      <w:r>
        <w:rPr>
          <w:rFonts w:hint="eastAsia" w:ascii="宋体" w:hAnsi="宋体" w:cs="宋体"/>
          <w:color w:val="auto"/>
          <w:szCs w:val="21"/>
          <w:highlight w:val="none"/>
        </w:rPr>
        <w:t>。</w:t>
      </w:r>
    </w:p>
    <w:p w14:paraId="272CB67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p>
    <w:p w14:paraId="7FF8D54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①工程变更：按10.4.1变更估价原则的约定调整。</w:t>
      </w:r>
    </w:p>
    <w:p w14:paraId="7F50844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②政策性调整：按自治区住房城乡建设厅或工程所在地住房城乡建设主管部门颁布的文件执行。</w:t>
      </w:r>
    </w:p>
    <w:p w14:paraId="208E384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③材料价格风险：按11.1的约定调整。</w:t>
      </w:r>
    </w:p>
    <w:p w14:paraId="1F0CF28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4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17BCF4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D2A2997">
      <w:pPr>
        <w:pStyle w:val="4"/>
        <w:rPr>
          <w:rFonts w:hint="eastAsia" w:ascii="宋体" w:hAnsi="宋体" w:cs="宋体"/>
          <w:color w:val="auto"/>
          <w:sz w:val="21"/>
          <w:szCs w:val="21"/>
          <w:highlight w:val="none"/>
        </w:rPr>
      </w:pPr>
      <w:bookmarkStart w:id="819" w:name="_Toc9850581"/>
      <w:bookmarkStart w:id="820" w:name="_Toc407135253"/>
      <w:r>
        <w:rPr>
          <w:rFonts w:hint="eastAsia" w:ascii="宋体" w:hAnsi="宋体" w:cs="宋体"/>
          <w:color w:val="auto"/>
          <w:sz w:val="21"/>
          <w:szCs w:val="21"/>
          <w:highlight w:val="none"/>
        </w:rPr>
        <w:t>12.2 预付款</w:t>
      </w:r>
      <w:bookmarkEnd w:id="800"/>
      <w:bookmarkEnd w:id="801"/>
      <w:bookmarkEnd w:id="802"/>
      <w:bookmarkEnd w:id="819"/>
      <w:bookmarkEnd w:id="820"/>
    </w:p>
    <w:bookmarkEnd w:id="803"/>
    <w:bookmarkEnd w:id="804"/>
    <w:bookmarkEnd w:id="805"/>
    <w:bookmarkEnd w:id="806"/>
    <w:bookmarkEnd w:id="807"/>
    <w:bookmarkEnd w:id="808"/>
    <w:p w14:paraId="2E5C6C2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12.2.1 预付款的支付</w:t>
      </w:r>
    </w:p>
    <w:p w14:paraId="24AD986E">
      <w:pPr>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预付款支付比例或金额：合同总额（扣除暂列金额）的30%</w:t>
      </w:r>
      <w:r>
        <w:rPr>
          <w:rFonts w:hint="eastAsia" w:ascii="宋体" w:hAnsi="宋体" w:cs="宋体"/>
          <w:color w:val="auto"/>
          <w:szCs w:val="21"/>
          <w:highlight w:val="none"/>
          <w:lang w:eastAsia="zh-CN"/>
        </w:rPr>
        <w:t>。</w:t>
      </w:r>
    </w:p>
    <w:p w14:paraId="411DE142">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预付款支付期限</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签订合同之日起15个工作日内支付。</w:t>
      </w:r>
    </w:p>
    <w:p w14:paraId="2AC703C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color w:val="auto"/>
          <w:szCs w:val="21"/>
          <w:highlight w:val="none"/>
          <w:lang w:val="en-US" w:eastAsia="zh-CN"/>
        </w:rPr>
        <w:t>预付款在前两次进度款中扣除（前两次申请的进度款金额必须满足扣除预付款的需要）</w:t>
      </w:r>
      <w:r>
        <w:rPr>
          <w:rFonts w:hint="eastAsia" w:ascii="宋体" w:hAnsi="宋体" w:cs="宋体"/>
          <w:color w:val="auto"/>
          <w:szCs w:val="21"/>
          <w:highlight w:val="none"/>
        </w:rPr>
        <w:t>。</w:t>
      </w:r>
    </w:p>
    <w:p w14:paraId="683D51E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12.2.2 预付款担保</w:t>
      </w:r>
    </w:p>
    <w:p w14:paraId="5C077F6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89AA07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090AC2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预付款担保格式见合同附件8。预付款支付申请（核准）表见合同附件10</w:t>
      </w:r>
    </w:p>
    <w:bookmarkEnd w:id="809"/>
    <w:bookmarkEnd w:id="810"/>
    <w:bookmarkEnd w:id="811"/>
    <w:bookmarkEnd w:id="812"/>
    <w:bookmarkEnd w:id="813"/>
    <w:bookmarkEnd w:id="814"/>
    <w:bookmarkEnd w:id="815"/>
    <w:bookmarkEnd w:id="816"/>
    <w:bookmarkEnd w:id="817"/>
    <w:bookmarkEnd w:id="818"/>
    <w:p w14:paraId="61ABDFFB">
      <w:pPr>
        <w:pStyle w:val="4"/>
        <w:rPr>
          <w:rFonts w:hint="eastAsia" w:ascii="宋体" w:hAnsi="宋体" w:cs="宋体"/>
          <w:color w:val="auto"/>
          <w:sz w:val="21"/>
          <w:szCs w:val="21"/>
          <w:highlight w:val="none"/>
        </w:rPr>
      </w:pPr>
      <w:bookmarkStart w:id="821" w:name="_Toc373478398"/>
      <w:bookmarkStart w:id="822" w:name="_Toc373227751"/>
      <w:bookmarkStart w:id="823" w:name="_Toc389065316"/>
      <w:bookmarkStart w:id="824" w:name="_Toc9850582"/>
      <w:bookmarkStart w:id="825" w:name="_Toc407135254"/>
      <w:r>
        <w:rPr>
          <w:rFonts w:hint="eastAsia" w:ascii="宋体" w:hAnsi="宋体" w:cs="宋体"/>
          <w:color w:val="auto"/>
          <w:sz w:val="21"/>
          <w:szCs w:val="21"/>
          <w:highlight w:val="none"/>
        </w:rPr>
        <w:t>12.3 计量</w:t>
      </w:r>
      <w:bookmarkEnd w:id="821"/>
      <w:bookmarkEnd w:id="822"/>
      <w:bookmarkEnd w:id="823"/>
      <w:bookmarkEnd w:id="824"/>
      <w:bookmarkEnd w:id="825"/>
    </w:p>
    <w:p w14:paraId="4FE3436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328F72E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0E19D97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12.3.2 计量周期</w:t>
      </w:r>
    </w:p>
    <w:p w14:paraId="6BB657F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每月25日前</w:t>
      </w:r>
      <w:r>
        <w:rPr>
          <w:rFonts w:hint="eastAsia" w:ascii="宋体" w:hAnsi="宋体" w:cs="宋体"/>
          <w:color w:val="auto"/>
          <w:szCs w:val="21"/>
          <w:highlight w:val="none"/>
        </w:rPr>
        <w:t>。</w:t>
      </w:r>
    </w:p>
    <w:p w14:paraId="1539DF59">
      <w:pPr>
        <w:spacing w:line="360" w:lineRule="auto"/>
        <w:ind w:firstLine="420" w:firstLineChars="200"/>
        <w:jc w:val="left"/>
        <w:outlineLvl w:val="0"/>
        <w:rPr>
          <w:rFonts w:hint="eastAsia" w:ascii="宋体" w:hAnsi="宋体" w:cs="宋体"/>
          <w:color w:val="auto"/>
          <w:szCs w:val="21"/>
          <w:highlight w:val="none"/>
        </w:rPr>
      </w:pPr>
      <w:bookmarkStart w:id="826" w:name="_Toc25842"/>
      <w:r>
        <w:rPr>
          <w:rFonts w:hint="eastAsia" w:ascii="宋体" w:hAnsi="宋体" w:cs="宋体"/>
          <w:color w:val="auto"/>
          <w:szCs w:val="21"/>
          <w:highlight w:val="none"/>
        </w:rPr>
        <w:t>12.3.3 单价合同的计量</w:t>
      </w:r>
      <w:bookmarkEnd w:id="826"/>
    </w:p>
    <w:p w14:paraId="7DB9A10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关于单价合同计量的约定：</w:t>
      </w:r>
    </w:p>
    <w:p w14:paraId="41BFF2D3">
      <w:pPr>
        <w:spacing w:line="360" w:lineRule="auto"/>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0CEDD186">
      <w:pPr>
        <w:spacing w:line="360" w:lineRule="auto"/>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27D7E98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12.3.4 总价合同的计量</w:t>
      </w:r>
    </w:p>
    <w:p w14:paraId="676AAA0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（1）总价合同计量约定：进度款按支付分解表支付</w:t>
      </w:r>
      <w:r>
        <w:rPr>
          <w:rFonts w:hint="eastAsia" w:ascii="宋体" w:hAnsi="宋体" w:cs="宋体"/>
          <w:color w:val="auto"/>
          <w:kern w:val="0"/>
          <w:szCs w:val="21"/>
          <w:highlight w:val="none"/>
        </w:rPr>
        <w:t>，</w:t>
      </w:r>
      <w:r>
        <w:rPr>
          <w:rFonts w:hint="eastAsia" w:ascii="宋体" w:hAnsi="宋体" w:cs="宋体"/>
          <w:color w:val="auto"/>
          <w:szCs w:val="21"/>
          <w:highlight w:val="none"/>
        </w:rPr>
        <w:t>支付分解表在招标完成后签合同之前制定，具体详见本专用合同条款12.4.6。</w:t>
      </w:r>
    </w:p>
    <w:p w14:paraId="252F9E7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12.3.6 其他价格形式合同的计量</w:t>
      </w:r>
    </w:p>
    <w:p w14:paraId="25C75BCE">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B7CA8D4">
      <w:pPr>
        <w:pStyle w:val="4"/>
        <w:rPr>
          <w:rFonts w:hint="eastAsia" w:ascii="宋体" w:hAnsi="宋体" w:cs="宋体"/>
          <w:color w:val="auto"/>
          <w:sz w:val="21"/>
          <w:szCs w:val="21"/>
          <w:highlight w:val="none"/>
        </w:rPr>
      </w:pPr>
      <w:bookmarkStart w:id="827" w:name="_Toc9850583"/>
      <w:bookmarkStart w:id="828" w:name="_Toc373227752"/>
      <w:bookmarkStart w:id="829" w:name="_Toc407135255"/>
      <w:bookmarkStart w:id="830" w:name="_Toc373478399"/>
      <w:bookmarkStart w:id="831" w:name="_Toc389065317"/>
      <w:r>
        <w:rPr>
          <w:rFonts w:hint="eastAsia" w:ascii="宋体" w:hAnsi="宋体" w:cs="宋体"/>
          <w:color w:val="auto"/>
          <w:sz w:val="21"/>
          <w:szCs w:val="21"/>
          <w:highlight w:val="none"/>
        </w:rPr>
        <w:t>12.4 工程进度款支付</w:t>
      </w:r>
      <w:bookmarkEnd w:id="827"/>
      <w:bookmarkEnd w:id="828"/>
      <w:bookmarkEnd w:id="829"/>
      <w:bookmarkEnd w:id="830"/>
      <w:bookmarkEnd w:id="831"/>
    </w:p>
    <w:p w14:paraId="0821DBB7">
      <w:pPr>
        <w:spacing w:line="360" w:lineRule="auto"/>
        <w:ind w:firstLine="420" w:firstLineChars="200"/>
        <w:jc w:val="left"/>
        <w:rPr>
          <w:rFonts w:hint="eastAsia" w:ascii="宋体" w:hAnsi="宋体" w:cs="宋体"/>
          <w:color w:val="auto"/>
          <w:szCs w:val="21"/>
          <w:highlight w:val="none"/>
        </w:rPr>
      </w:pPr>
      <w:bookmarkStart w:id="832" w:name="_Toc297048397"/>
      <w:bookmarkStart w:id="833" w:name="_Toc300935006"/>
      <w:bookmarkStart w:id="834" w:name="_Toc303539163"/>
      <w:bookmarkStart w:id="835" w:name="_Toc297120511"/>
      <w:bookmarkStart w:id="836" w:name="_Toc292559921"/>
      <w:bookmarkStart w:id="837" w:name="_Toc292559416"/>
      <w:bookmarkStart w:id="838" w:name="_Toc296346712"/>
      <w:bookmarkStart w:id="839" w:name="_Toc296347210"/>
      <w:bookmarkStart w:id="840" w:name="_Toc296891251"/>
      <w:bookmarkStart w:id="841" w:name="_Toc297216215"/>
      <w:bookmarkStart w:id="842" w:name="_Toc296891039"/>
      <w:bookmarkStart w:id="843" w:name="_Toc297123556"/>
      <w:bookmarkStart w:id="844" w:name="_Toc296944550"/>
      <w:bookmarkStart w:id="845" w:name="_Toc296503211"/>
      <w:r>
        <w:rPr>
          <w:rFonts w:hint="eastAsia" w:ascii="宋体" w:hAnsi="宋体" w:cs="宋体"/>
          <w:color w:val="auto"/>
          <w:szCs w:val="21"/>
          <w:highlight w:val="none"/>
        </w:rPr>
        <w:t>12.4.1 付款周期</w:t>
      </w:r>
    </w:p>
    <w:p w14:paraId="17D0567F">
      <w:pPr>
        <w:pStyle w:val="205"/>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u w:val="single"/>
        </w:rPr>
        <w:t>合同内随工程进度按月支付进度款，进度款支付限额为经业主及监理工程师审定的已经完成工程量价款×85%（合同外按工程计量周期完成工程量的 70%支付。）</w:t>
      </w:r>
    </w:p>
    <w:p w14:paraId="7C6EFC14">
      <w:pPr>
        <w:pStyle w:val="205"/>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fldChar w:fldCharType="begin"/>
      </w:r>
      <w:r>
        <w:rPr>
          <w:rFonts w:hint="eastAsia" w:ascii="宋体" w:hAnsi="宋体" w:cs="宋体"/>
          <w:color w:val="auto"/>
          <w:szCs w:val="21"/>
          <w:highlight w:val="none"/>
          <w:u w:val="single"/>
        </w:rPr>
        <w:instrText xml:space="preserve"> = 2 \* GB3 </w:instrText>
      </w:r>
      <w:r>
        <w:rPr>
          <w:rFonts w:hint="eastAsia" w:ascii="宋体" w:hAnsi="宋体" w:cs="宋体"/>
          <w:color w:val="auto"/>
          <w:szCs w:val="21"/>
          <w:highlight w:val="none"/>
          <w:u w:val="single"/>
        </w:rPr>
        <w:fldChar w:fldCharType="separate"/>
      </w:r>
      <w:r>
        <w:rPr>
          <w:rFonts w:hint="eastAsia" w:ascii="宋体" w:hAnsi="宋体" w:cs="宋体"/>
          <w:color w:val="auto"/>
          <w:szCs w:val="21"/>
          <w:highlight w:val="none"/>
          <w:u w:val="single"/>
        </w:rPr>
        <w:t>②</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rPr>
        <w:t>工程完工验收达到质量要求，结算经业主及合同约定的财政或审计部门（如有）审定后，工程款支付至结算总价的97%（不得低于97%）。发包人按工程价款结算总额的3%（最高不超过3%）预留工程质量保证金。</w:t>
      </w:r>
    </w:p>
    <w:p w14:paraId="1430A54B">
      <w:pPr>
        <w:pStyle w:val="205"/>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③发包人每次付款前，承包人应向发包人开具同等金额的增值税专用发票，否则，发包人有权顺延付款。</w:t>
      </w:r>
    </w:p>
    <w:p w14:paraId="0738A05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④合同约定的工程质量缺陷责任期（最长不超过2年）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r>
        <w:rPr>
          <w:rFonts w:hint="eastAsia" w:ascii="宋体" w:hAnsi="宋体" w:cs="宋体"/>
          <w:color w:val="auto"/>
          <w:szCs w:val="21"/>
          <w:highlight w:val="none"/>
        </w:rPr>
        <w:t>。</w:t>
      </w:r>
    </w:p>
    <w:p w14:paraId="2B0389F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12.4.2 进度付款申请单的编制</w:t>
      </w:r>
    </w:p>
    <w:p w14:paraId="13F5ADC4">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color w:val="auto"/>
          <w:szCs w:val="21"/>
          <w:highlight w:val="none"/>
          <w:u w:val="single"/>
        </w:rPr>
        <w:t xml:space="preserve"> 按监理人、发包人要求格式、内容。一式四份 </w:t>
      </w:r>
      <w:r>
        <w:rPr>
          <w:rFonts w:hint="eastAsia" w:ascii="宋体" w:hAnsi="宋体" w:cs="宋体"/>
          <w:color w:val="auto"/>
          <w:szCs w:val="21"/>
          <w:highlight w:val="none"/>
        </w:rPr>
        <w:t>。</w:t>
      </w:r>
    </w:p>
    <w:p w14:paraId="5B1C641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Pr>
          <w:rFonts w:hint="eastAsia" w:ascii="宋体" w:hAnsi="宋体" w:cs="宋体"/>
          <w:color w:val="auto"/>
          <w:szCs w:val="21"/>
          <w:highlight w:val="none"/>
        </w:rPr>
        <w:t>2.4.3 进度付款申请单的提交</w:t>
      </w:r>
    </w:p>
    <w:p w14:paraId="1A85F81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（1）单价合同进度付款申请单提交的约定：</w:t>
      </w:r>
      <w:r>
        <w:rPr>
          <w:rFonts w:hint="eastAsia" w:ascii="宋体" w:hAnsi="宋体" w:cs="宋体"/>
          <w:color w:val="auto"/>
          <w:szCs w:val="21"/>
          <w:highlight w:val="none"/>
          <w:u w:val="single"/>
        </w:rPr>
        <w:t xml:space="preserve">每月25日，承包人按进度向监理工程师提交当月已完工程量报告 </w:t>
      </w:r>
      <w:r>
        <w:rPr>
          <w:rFonts w:hint="eastAsia" w:ascii="宋体" w:hAnsi="宋体" w:cs="宋体"/>
          <w:color w:val="auto"/>
          <w:szCs w:val="21"/>
          <w:highlight w:val="none"/>
        </w:rPr>
        <w:t>。</w:t>
      </w:r>
    </w:p>
    <w:p w14:paraId="405F948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A6B4ED6">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7B4B38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12.4.4 进度款审核和支付</w:t>
      </w:r>
    </w:p>
    <w:p w14:paraId="240E7947">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 xml:space="preserve"> 收到承包人提交的已完工程量报告之日起7日内进行计量并向发包人报审确认 </w:t>
      </w:r>
      <w:r>
        <w:rPr>
          <w:rFonts w:hint="eastAsia" w:ascii="宋体" w:hAnsi="宋体" w:cs="宋体"/>
          <w:color w:val="auto"/>
          <w:szCs w:val="21"/>
          <w:highlight w:val="none"/>
        </w:rPr>
        <w:t>。</w:t>
      </w:r>
    </w:p>
    <w:p w14:paraId="50A947BF">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 xml:space="preserve"> 收到监理人提交的工程款支付证书之日起14日内 </w:t>
      </w:r>
      <w:r>
        <w:rPr>
          <w:rFonts w:hint="eastAsia" w:ascii="宋体" w:hAnsi="宋体" w:cs="宋体"/>
          <w:color w:val="auto"/>
          <w:szCs w:val="21"/>
          <w:highlight w:val="none"/>
        </w:rPr>
        <w:t>。</w:t>
      </w:r>
    </w:p>
    <w:p w14:paraId="1DF0434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 每月15日前 </w:t>
      </w:r>
      <w:r>
        <w:rPr>
          <w:rFonts w:hint="eastAsia" w:ascii="宋体" w:hAnsi="宋体" w:cs="宋体"/>
          <w:color w:val="auto"/>
          <w:szCs w:val="21"/>
          <w:highlight w:val="none"/>
        </w:rPr>
        <w:t>。</w:t>
      </w:r>
    </w:p>
    <w:p w14:paraId="4178E00F">
      <w:pPr>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1C8F517">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。进度款支付申请（核准）表见合同附件11。</w:t>
      </w:r>
    </w:p>
    <w:p w14:paraId="26B8A1B2">
      <w:pPr>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 农民工工资支付</w:t>
      </w:r>
    </w:p>
    <w:p w14:paraId="36A08701">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农民工工资应与其它工程进度款分帐管理。农民工工资必须按时足额支付，农民工费用拨付周期不得超过1个月，最少每月支付一次，无工程款申请的月份，承包人单独上报农民工工资申请；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2EED22DB">
      <w:pPr>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2）发包人依据工程进度，按与承包人约定的农民工支付比例，将工程人工费分账支付到承包人的农民工工资专户，工程完工时发包人向承包人农民工工资专户支付的完工工程量的人工费支付比例不低于80%，其余工程进度款项由发包人支付到承包人的单位基本户。</w:t>
      </w:r>
    </w:p>
    <w:p w14:paraId="5852A4E5">
      <w:pPr>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90%。其余分包工程进度款项由承包人支付到分包人的单位基本户。</w:t>
      </w:r>
    </w:p>
    <w:p w14:paraId="29A7CB7E">
      <w:pPr>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4）凡未向付款单位提供农民工工资专户的，或者请款单位在申请工程进度款时未将人工费单列的，付款单位有权拒绝支付工程进度款。</w:t>
      </w:r>
    </w:p>
    <w:p w14:paraId="338A7541">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5）农民工工资使用要求：专款专用，除发放工人工资外，不得用于其他用途。</w:t>
      </w:r>
    </w:p>
    <w:p w14:paraId="11C63744">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6）承包人将农民工工资支付情况定期报告发包人和监理单位，并提供相应的材料接受建设行政主管部门和劳动保障行政主管部门对此事项监管。</w:t>
      </w:r>
    </w:p>
    <w:p w14:paraId="1AFA2FBF">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（4）农民工工资支付专用账户：××××公司农民工工资支付专用账户 。账号：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（5）</w:t>
      </w:r>
      <w:r>
        <w:rPr>
          <w:rFonts w:hint="eastAsia" w:ascii="宋体" w:hAnsi="宋体" w:cs="宋体"/>
          <w:color w:val="auto"/>
          <w:szCs w:val="21"/>
          <w:highlight w:val="none"/>
        </w:rPr>
        <w:t>外地企业在申请工程款（含预付款）项时，必须提供增值税预缴凭证。</w:t>
      </w:r>
    </w:p>
    <w:p w14:paraId="17AF402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12.4.6 支付分解表的编制</w:t>
      </w:r>
    </w:p>
    <w:p w14:paraId="3D5EC738">
      <w:pPr>
        <w:spacing w:line="360" w:lineRule="auto"/>
        <w:ind w:firstLine="525" w:firstLineChars="250"/>
        <w:jc w:val="left"/>
        <w:rPr>
          <w:rFonts w:hint="eastAsia" w:ascii="宋体" w:hAnsi="宋体" w:cs="宋体"/>
          <w:color w:val="auto"/>
          <w:szCs w:val="21"/>
          <w:highlight w:val="none"/>
          <w:u w:val="single"/>
        </w:rPr>
      </w:pPr>
      <w:r>
        <w:rPr>
          <w:rFonts w:hint="eastAsia" w:ascii="宋体" w:hAnsi="宋体" w:cs="宋体"/>
          <w:color w:val="auto"/>
          <w:szCs w:val="21"/>
          <w:highlight w:val="none"/>
        </w:rPr>
        <w:t>（1） 总价合同支付分解表的编制与审批：</w:t>
      </w:r>
      <w:r>
        <w:rPr>
          <w:rFonts w:hint="eastAsia" w:ascii="宋体" w:hAnsi="宋体" w:cs="宋体"/>
          <w:color w:val="auto"/>
          <w:szCs w:val="21"/>
          <w:highlight w:val="none"/>
          <w:u w:val="single"/>
        </w:rPr>
        <w:t xml:space="preserve">  总价合同支付分分解表在招标完成后由发包人和承包人共同编制，发包人审批，并作为本合同内容，具体详见合同附件14。</w:t>
      </w:r>
    </w:p>
    <w:p w14:paraId="5BB9A4FF">
      <w:pPr>
        <w:spacing w:line="360" w:lineRule="auto"/>
        <w:ind w:firstLine="525" w:firstLineChars="250"/>
        <w:jc w:val="left"/>
        <w:rPr>
          <w:rFonts w:hint="eastAsia" w:ascii="宋体" w:hAnsi="宋体" w:cs="宋体"/>
          <w:color w:val="auto"/>
          <w:szCs w:val="21"/>
          <w:highlight w:val="none"/>
          <w:u w:val="single"/>
        </w:rPr>
      </w:pPr>
      <w:r>
        <w:rPr>
          <w:rFonts w:hint="eastAsia" w:ascii="宋体" w:hAnsi="宋体" w:cs="宋体"/>
          <w:color w:val="auto"/>
          <w:szCs w:val="21"/>
          <w:highlight w:val="none"/>
        </w:rPr>
        <w:t>（2）单价合同的总价项目支付分解表的编制与审批：总价项目不采用支付分解表的方式计算，而按《建设工程工程量清单计价规范（GB50500-2013）广西壮族自治区实施细则》的规定执行。</w:t>
      </w:r>
    </w:p>
    <w:bookmarkEnd w:id="609"/>
    <w:p w14:paraId="3F93C9F3">
      <w:pPr>
        <w:pStyle w:val="3"/>
        <w:spacing w:line="400" w:lineRule="exact"/>
        <w:rPr>
          <w:rFonts w:hint="eastAsia" w:ascii="宋体" w:hAnsi="宋体" w:eastAsia="宋体" w:cs="宋体"/>
          <w:color w:val="auto"/>
          <w:sz w:val="21"/>
          <w:szCs w:val="21"/>
          <w:highlight w:val="none"/>
        </w:rPr>
      </w:pPr>
      <w:bookmarkStart w:id="846" w:name="_Toc9850584"/>
      <w:bookmarkStart w:id="847" w:name="_Toc407135256"/>
      <w:bookmarkStart w:id="848" w:name="_Toc373478400"/>
      <w:bookmarkStart w:id="849" w:name="_Toc389065318"/>
      <w:bookmarkStart w:id="850" w:name="_Toc373227753"/>
      <w:bookmarkStart w:id="851" w:name="_Toc351203645"/>
      <w:bookmarkStart w:id="852" w:name="_Toc303539172"/>
      <w:bookmarkStart w:id="853" w:name="_Toc297120519"/>
      <w:bookmarkStart w:id="854" w:name="_Toc296503219"/>
      <w:bookmarkStart w:id="855" w:name="_Toc292559929"/>
      <w:bookmarkStart w:id="856" w:name="_Toc300935015"/>
      <w:bookmarkStart w:id="857" w:name="_Toc296347218"/>
      <w:bookmarkStart w:id="858" w:name="_Toc312678053"/>
      <w:bookmarkStart w:id="859" w:name="_Toc297123564"/>
      <w:bookmarkStart w:id="860" w:name="_Toc292559424"/>
      <w:bookmarkStart w:id="861" w:name="_Toc297048405"/>
      <w:bookmarkStart w:id="862" w:name="_Toc304295593"/>
      <w:bookmarkStart w:id="863" w:name="_Toc296944558"/>
      <w:bookmarkStart w:id="864" w:name="_Toc296891047"/>
      <w:bookmarkStart w:id="865" w:name="_Toc297216223"/>
      <w:bookmarkStart w:id="866" w:name="_Toc296346720"/>
      <w:bookmarkStart w:id="867" w:name="_Toc296891259"/>
      <w:r>
        <w:rPr>
          <w:rFonts w:hint="eastAsia" w:ascii="宋体" w:hAnsi="宋体" w:eastAsia="宋体" w:cs="宋体"/>
          <w:color w:val="auto"/>
          <w:sz w:val="21"/>
          <w:szCs w:val="21"/>
          <w:highlight w:val="none"/>
        </w:rPr>
        <w:t>13. 验收和工程试车</w:t>
      </w:r>
      <w:bookmarkEnd w:id="846"/>
      <w:bookmarkEnd w:id="847"/>
      <w:bookmarkEnd w:id="848"/>
      <w:bookmarkEnd w:id="849"/>
      <w:bookmarkEnd w:id="850"/>
      <w:bookmarkEnd w:id="851"/>
    </w:p>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14:paraId="73E00D71">
      <w:pPr>
        <w:pStyle w:val="4"/>
        <w:spacing w:line="400" w:lineRule="exact"/>
        <w:rPr>
          <w:rFonts w:hint="eastAsia" w:ascii="宋体" w:hAnsi="宋体" w:cs="宋体"/>
          <w:color w:val="auto"/>
          <w:sz w:val="21"/>
          <w:szCs w:val="21"/>
          <w:highlight w:val="none"/>
        </w:rPr>
      </w:pPr>
      <w:bookmarkStart w:id="868" w:name="_Toc407135257"/>
      <w:bookmarkStart w:id="869" w:name="_Toc373227754"/>
      <w:bookmarkStart w:id="870" w:name="_Toc9850585"/>
      <w:bookmarkStart w:id="871" w:name="_Toc389065319"/>
      <w:bookmarkStart w:id="872" w:name="_Toc373478401"/>
      <w:r>
        <w:rPr>
          <w:rFonts w:hint="eastAsia" w:ascii="宋体" w:hAnsi="宋体" w:cs="宋体"/>
          <w:color w:val="auto"/>
          <w:sz w:val="21"/>
          <w:szCs w:val="21"/>
          <w:highlight w:val="none"/>
        </w:rPr>
        <w:t>13.1 分部分项工程验收</w:t>
      </w:r>
      <w:bookmarkEnd w:id="868"/>
      <w:bookmarkEnd w:id="869"/>
      <w:bookmarkEnd w:id="870"/>
      <w:bookmarkEnd w:id="871"/>
      <w:bookmarkEnd w:id="872"/>
    </w:p>
    <w:p w14:paraId="70933E7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58C29121">
      <w:pPr>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555912D5">
      <w:pPr>
        <w:pStyle w:val="4"/>
        <w:spacing w:line="400" w:lineRule="exact"/>
        <w:rPr>
          <w:rFonts w:hint="eastAsia" w:ascii="宋体" w:hAnsi="宋体" w:cs="宋体"/>
          <w:color w:val="auto"/>
          <w:sz w:val="21"/>
          <w:szCs w:val="21"/>
          <w:highlight w:val="none"/>
        </w:rPr>
      </w:pPr>
      <w:bookmarkStart w:id="873" w:name="_Toc407135258"/>
      <w:bookmarkStart w:id="874" w:name="_Toc9850586"/>
      <w:bookmarkStart w:id="875" w:name="_Toc373227755"/>
      <w:bookmarkStart w:id="876" w:name="_Toc373478402"/>
      <w:bookmarkStart w:id="877" w:name="_Toc389065320"/>
      <w:bookmarkStart w:id="878" w:name="_Toc300935016"/>
      <w:bookmarkStart w:id="879" w:name="_Toc297216224"/>
      <w:bookmarkStart w:id="880" w:name="_Toc296346724"/>
      <w:bookmarkStart w:id="881" w:name="_Toc296891051"/>
      <w:bookmarkStart w:id="882" w:name="_Toc296347222"/>
      <w:bookmarkStart w:id="883" w:name="_Toc303539173"/>
      <w:bookmarkStart w:id="884" w:name="_Toc296891263"/>
      <w:bookmarkStart w:id="885" w:name="_Toc292559933"/>
      <w:bookmarkStart w:id="886" w:name="_Toc304295596"/>
      <w:bookmarkStart w:id="887" w:name="_Toc297048409"/>
      <w:bookmarkStart w:id="888" w:name="_Toc297120523"/>
      <w:bookmarkStart w:id="889" w:name="_Toc296944562"/>
      <w:bookmarkStart w:id="890" w:name="_Toc312678056"/>
      <w:bookmarkStart w:id="891" w:name="_Toc296503223"/>
      <w:bookmarkStart w:id="892" w:name="_Toc297123565"/>
      <w:bookmarkStart w:id="893" w:name="_Toc292559428"/>
      <w:bookmarkStart w:id="894" w:name="_Toc267251471"/>
      <w:bookmarkStart w:id="895" w:name="_Toc267251472"/>
      <w:bookmarkStart w:id="896" w:name="_Toc267251473"/>
      <w:bookmarkStart w:id="897" w:name="_Toc267251475"/>
      <w:bookmarkStart w:id="898" w:name="_Toc267251476"/>
      <w:bookmarkStart w:id="899" w:name="_Toc267251474"/>
      <w:bookmarkStart w:id="900" w:name="_Toc267251470"/>
      <w:r>
        <w:rPr>
          <w:rFonts w:hint="eastAsia" w:ascii="宋体" w:hAnsi="宋体" w:cs="宋体"/>
          <w:color w:val="auto"/>
          <w:sz w:val="21"/>
          <w:szCs w:val="21"/>
          <w:highlight w:val="none"/>
        </w:rPr>
        <w:t>13.2 竣工验收</w:t>
      </w:r>
      <w:bookmarkEnd w:id="873"/>
      <w:bookmarkEnd w:id="874"/>
      <w:bookmarkEnd w:id="875"/>
      <w:bookmarkEnd w:id="876"/>
      <w:bookmarkEnd w:id="877"/>
    </w:p>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14:paraId="4DA35E8D">
      <w:pPr>
        <w:spacing w:line="400" w:lineRule="exact"/>
        <w:ind w:firstLine="420" w:firstLineChars="200"/>
        <w:jc w:val="left"/>
        <w:rPr>
          <w:rFonts w:hint="eastAsia" w:ascii="宋体" w:hAnsi="宋体" w:cs="宋体"/>
          <w:color w:val="auto"/>
          <w:szCs w:val="21"/>
          <w:highlight w:val="none"/>
        </w:rPr>
      </w:pPr>
      <w:bookmarkStart w:id="901" w:name="_Toc280868704"/>
      <w:bookmarkStart w:id="902" w:name="_Toc280868705"/>
      <w:bookmarkStart w:id="903" w:name="_Toc280868706"/>
      <w:bookmarkStart w:id="904" w:name="_Toc280868707"/>
      <w:bookmarkStart w:id="905" w:name="_Toc280868708"/>
      <w:bookmarkStart w:id="906" w:name="_Toc280868709"/>
      <w:r>
        <w:rPr>
          <w:rFonts w:hint="eastAsia" w:ascii="宋体" w:hAnsi="宋体" w:cs="宋体"/>
          <w:color w:val="auto"/>
          <w:szCs w:val="21"/>
          <w:highlight w:val="none"/>
        </w:rPr>
        <w:t>13.2.1竣工验收条件</w:t>
      </w:r>
    </w:p>
    <w:p w14:paraId="28052A5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符合要求的完整施工资料 </w:t>
      </w:r>
      <w:r>
        <w:rPr>
          <w:rFonts w:hint="eastAsia" w:ascii="宋体" w:hAnsi="宋体" w:cs="宋体"/>
          <w:color w:val="auto"/>
          <w:szCs w:val="21"/>
          <w:highlight w:val="none"/>
        </w:rPr>
        <w:t>。</w:t>
      </w:r>
    </w:p>
    <w:p w14:paraId="2FDADC6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 xml:space="preserve"> 一式六份 </w:t>
      </w:r>
      <w:r>
        <w:rPr>
          <w:rFonts w:hint="eastAsia" w:ascii="宋体" w:hAnsi="宋体" w:cs="宋体"/>
          <w:color w:val="auto"/>
          <w:szCs w:val="21"/>
          <w:highlight w:val="none"/>
        </w:rPr>
        <w:t>。</w:t>
      </w:r>
    </w:p>
    <w:p w14:paraId="1749A4A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承包人提供竣工图的约定：</w:t>
      </w:r>
      <w:r>
        <w:rPr>
          <w:rFonts w:hint="eastAsia" w:ascii="宋体" w:hAnsi="宋体" w:cs="宋体"/>
          <w:color w:val="auto"/>
          <w:szCs w:val="21"/>
          <w:highlight w:val="none"/>
          <w:u w:val="single"/>
        </w:rPr>
        <w:t>竣工验收正式通过后5天（工程造价在500万元以下含500万元）、10天（工程造价在500万元至1000万元之间含1000万元）、15天（工程造价在1000万元以上），提供竣工图的数量分别为2套、4套、6套。</w:t>
      </w:r>
    </w:p>
    <w:p w14:paraId="19C6F4AA">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13.2.2竣工验收程序</w:t>
      </w:r>
    </w:p>
    <w:bookmarkEnd w:id="901"/>
    <w:p w14:paraId="24568339">
      <w:pPr>
        <w:pStyle w:val="28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szCs w:val="21"/>
          <w:highlight w:val="none"/>
          <w:u w:val="single"/>
        </w:rPr>
        <w:t>1）承包人介绍本工程施工过程的情况；</w:t>
      </w:r>
    </w:p>
    <w:p w14:paraId="0E554C87">
      <w:pPr>
        <w:pStyle w:val="28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2）验收组检查承包人的竣工资料及竣工图；</w:t>
      </w:r>
    </w:p>
    <w:p w14:paraId="42742C10">
      <w:pPr>
        <w:pStyle w:val="28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3）验收组现场实测实量及对工程观感质量进行检查评定；</w:t>
      </w:r>
    </w:p>
    <w:p w14:paraId="66BA582B">
      <w:pPr>
        <w:pStyle w:val="28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4）开会总结：各参与验收人员汇报验收情况及整改意见；</w:t>
      </w:r>
    </w:p>
    <w:p w14:paraId="7B44C96A">
      <w:pPr>
        <w:pStyle w:val="28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5）工程质量监督站监督员检查监督本次竣工验收程序是否符合要求及提出整改意见；</w:t>
      </w:r>
    </w:p>
    <w:p w14:paraId="359CD1B5">
      <w:pPr>
        <w:pStyle w:val="28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6）验收组组长宣布是否通过竣工验收；</w:t>
      </w:r>
    </w:p>
    <w:p w14:paraId="21A0D4D0">
      <w:pPr>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w:t>
      </w:r>
      <w:r>
        <w:rPr>
          <w:rFonts w:hint="eastAsia" w:ascii="宋体" w:hAnsi="宋体" w:cs="宋体"/>
          <w:color w:val="auto"/>
          <w:szCs w:val="21"/>
          <w:highlight w:val="none"/>
          <w:u w:val="single"/>
        </w:rPr>
        <w:t xml:space="preserve">）验收结束 </w:t>
      </w:r>
      <w:r>
        <w:rPr>
          <w:rFonts w:hint="eastAsia" w:ascii="宋体" w:hAnsi="宋体" w:cs="宋体"/>
          <w:color w:val="auto"/>
          <w:szCs w:val="21"/>
          <w:highlight w:val="none"/>
        </w:rPr>
        <w:t>。</w:t>
      </w:r>
    </w:p>
    <w:p w14:paraId="546F0246">
      <w:pPr>
        <w:spacing w:line="40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902"/>
    <w:p w14:paraId="4DBA8645">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903"/>
    <w:p w14:paraId="5F304AA7">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7天 </w:t>
      </w:r>
      <w:r>
        <w:rPr>
          <w:rFonts w:hint="eastAsia" w:ascii="宋体" w:hAnsi="宋体" w:cs="宋体"/>
          <w:color w:val="auto"/>
          <w:szCs w:val="21"/>
          <w:highlight w:val="none"/>
        </w:rPr>
        <w:t>。</w:t>
      </w:r>
    </w:p>
    <w:p w14:paraId="537C2AE2">
      <w:pPr>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每超一天向承包人支付合同价款万分之四的误期赔偿费，限额为合同价的2% </w:t>
      </w:r>
      <w:r>
        <w:rPr>
          <w:rFonts w:hint="eastAsia" w:ascii="宋体" w:hAnsi="宋体" w:cs="宋体"/>
          <w:color w:val="auto"/>
          <w:szCs w:val="21"/>
          <w:highlight w:val="none"/>
        </w:rPr>
        <w:t>。</w:t>
      </w:r>
    </w:p>
    <w:bookmarkEnd w:id="904"/>
    <w:p w14:paraId="6675A202">
      <w:pPr>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每超一天向发包人支付合同价款万分之四的误期赔偿费，限额为合同价的2%  </w:t>
      </w:r>
      <w:r>
        <w:rPr>
          <w:rFonts w:hint="eastAsia" w:ascii="宋体" w:hAnsi="宋体" w:cs="宋体"/>
          <w:color w:val="auto"/>
          <w:szCs w:val="21"/>
          <w:highlight w:val="none"/>
        </w:rPr>
        <w:t>。</w:t>
      </w:r>
    </w:p>
    <w:p w14:paraId="4CA53F9D">
      <w:pPr>
        <w:pStyle w:val="4"/>
        <w:spacing w:line="400" w:lineRule="exact"/>
        <w:rPr>
          <w:rFonts w:hint="eastAsia" w:ascii="宋体" w:hAnsi="宋体" w:cs="宋体"/>
          <w:color w:val="auto"/>
          <w:sz w:val="21"/>
          <w:szCs w:val="21"/>
          <w:highlight w:val="none"/>
        </w:rPr>
      </w:pPr>
      <w:bookmarkStart w:id="907" w:name="_Toc373478403"/>
      <w:bookmarkStart w:id="908" w:name="_Toc407135259"/>
      <w:bookmarkStart w:id="909" w:name="_Toc389065321"/>
      <w:bookmarkStart w:id="910" w:name="_Toc373227756"/>
      <w:bookmarkStart w:id="911" w:name="_Toc9850587"/>
      <w:r>
        <w:rPr>
          <w:rFonts w:hint="eastAsia" w:ascii="宋体" w:hAnsi="宋体" w:cs="宋体"/>
          <w:color w:val="auto"/>
          <w:sz w:val="21"/>
          <w:szCs w:val="21"/>
          <w:highlight w:val="none"/>
        </w:rPr>
        <w:t>13.3 工程试车</w:t>
      </w:r>
      <w:bookmarkEnd w:id="907"/>
      <w:bookmarkEnd w:id="908"/>
      <w:bookmarkEnd w:id="909"/>
      <w:bookmarkEnd w:id="910"/>
      <w:bookmarkEnd w:id="911"/>
    </w:p>
    <w:bookmarkEnd w:id="905"/>
    <w:p w14:paraId="2E178023">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3755F6FB">
      <w:pPr>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试车内容应与承包人承包范围一致 </w:t>
      </w:r>
      <w:r>
        <w:rPr>
          <w:rFonts w:hint="eastAsia" w:ascii="宋体" w:hAnsi="宋体" w:cs="宋体"/>
          <w:color w:val="auto"/>
          <w:szCs w:val="21"/>
          <w:highlight w:val="none"/>
        </w:rPr>
        <w:t>。</w:t>
      </w:r>
    </w:p>
    <w:p w14:paraId="1092A48B">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 </w:t>
      </w:r>
      <w:r>
        <w:rPr>
          <w:rFonts w:hint="eastAsia" w:ascii="宋体" w:hAnsi="宋体" w:cs="宋体"/>
          <w:color w:val="auto"/>
          <w:kern w:val="0"/>
          <w:szCs w:val="21"/>
          <w:highlight w:val="none"/>
        </w:rPr>
        <w:t>承担；</w:t>
      </w:r>
    </w:p>
    <w:p w14:paraId="5DBF2F79">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 </w:t>
      </w:r>
      <w:r>
        <w:rPr>
          <w:rFonts w:hint="eastAsia" w:ascii="宋体" w:hAnsi="宋体" w:cs="宋体"/>
          <w:color w:val="auto"/>
          <w:kern w:val="0"/>
          <w:szCs w:val="21"/>
          <w:highlight w:val="none"/>
        </w:rPr>
        <w:t>承担。</w:t>
      </w:r>
    </w:p>
    <w:p w14:paraId="3CFCD7E2">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1E6481A9">
      <w:pPr>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承包人应配合发包人在工程竣工验收后组织投料试车 </w:t>
      </w:r>
      <w:r>
        <w:rPr>
          <w:rFonts w:hint="eastAsia" w:ascii="宋体" w:hAnsi="宋体" w:cs="宋体"/>
          <w:color w:val="auto"/>
          <w:szCs w:val="21"/>
          <w:highlight w:val="none"/>
        </w:rPr>
        <w:t>。</w:t>
      </w:r>
    </w:p>
    <w:p w14:paraId="20A376C6">
      <w:pPr>
        <w:pStyle w:val="4"/>
        <w:spacing w:line="400" w:lineRule="exact"/>
        <w:rPr>
          <w:rFonts w:hint="eastAsia" w:ascii="宋体" w:hAnsi="宋体" w:cs="宋体"/>
          <w:color w:val="auto"/>
          <w:sz w:val="21"/>
          <w:szCs w:val="21"/>
          <w:highlight w:val="none"/>
        </w:rPr>
      </w:pPr>
      <w:bookmarkStart w:id="912" w:name="_Toc407135260"/>
      <w:bookmarkStart w:id="913" w:name="_Toc373227757"/>
      <w:bookmarkStart w:id="914" w:name="_Toc9850588"/>
      <w:bookmarkStart w:id="915" w:name="_Toc389065322"/>
      <w:bookmarkStart w:id="916" w:name="_Toc373478404"/>
      <w:r>
        <w:rPr>
          <w:rFonts w:hint="eastAsia" w:ascii="宋体" w:hAnsi="宋体" w:cs="宋体"/>
          <w:color w:val="auto"/>
          <w:sz w:val="21"/>
          <w:szCs w:val="21"/>
          <w:highlight w:val="none"/>
        </w:rPr>
        <w:t>13.6 竣工退场</w:t>
      </w:r>
      <w:bookmarkEnd w:id="912"/>
      <w:bookmarkEnd w:id="913"/>
      <w:bookmarkEnd w:id="914"/>
      <w:bookmarkEnd w:id="915"/>
      <w:bookmarkEnd w:id="916"/>
    </w:p>
    <w:p w14:paraId="46A0E1F4">
      <w:pPr>
        <w:spacing w:line="400" w:lineRule="exact"/>
        <w:ind w:firstLine="420" w:firstLineChars="200"/>
        <w:jc w:val="left"/>
        <w:outlineLvl w:val="0"/>
        <w:rPr>
          <w:rFonts w:hint="eastAsia" w:ascii="宋体" w:hAnsi="宋体" w:cs="宋体"/>
          <w:color w:val="auto"/>
          <w:kern w:val="0"/>
          <w:szCs w:val="21"/>
          <w:highlight w:val="none"/>
        </w:rPr>
      </w:pPr>
      <w:bookmarkStart w:id="917" w:name="_Toc21884"/>
      <w:r>
        <w:rPr>
          <w:rFonts w:hint="eastAsia" w:ascii="宋体" w:hAnsi="宋体" w:cs="宋体"/>
          <w:color w:val="auto"/>
          <w:kern w:val="0"/>
          <w:szCs w:val="21"/>
          <w:highlight w:val="none"/>
        </w:rPr>
        <w:t>13.6.1 竣工退场</w:t>
      </w:r>
      <w:bookmarkEnd w:id="917"/>
    </w:p>
    <w:p w14:paraId="7B99E664">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 xml:space="preserve"> 工程接收证书签发日14天内 </w:t>
      </w:r>
      <w:r>
        <w:rPr>
          <w:rFonts w:hint="eastAsia" w:ascii="宋体" w:hAnsi="宋体" w:cs="宋体"/>
          <w:color w:val="auto"/>
          <w:kern w:val="0"/>
          <w:szCs w:val="21"/>
          <w:highlight w:val="none"/>
        </w:rPr>
        <w:t>。</w:t>
      </w:r>
    </w:p>
    <w:p w14:paraId="0545466D">
      <w:pPr>
        <w:pStyle w:val="3"/>
        <w:spacing w:line="400" w:lineRule="exact"/>
        <w:rPr>
          <w:rFonts w:hint="eastAsia" w:ascii="宋体" w:hAnsi="宋体" w:eastAsia="宋体" w:cs="宋体"/>
          <w:color w:val="auto"/>
          <w:sz w:val="21"/>
          <w:szCs w:val="21"/>
          <w:highlight w:val="none"/>
        </w:rPr>
      </w:pPr>
      <w:bookmarkStart w:id="918" w:name="_Toc373478405"/>
      <w:bookmarkStart w:id="919" w:name="_Toc351203646"/>
      <w:bookmarkStart w:id="920" w:name="_Toc389065323"/>
      <w:bookmarkStart w:id="921" w:name="_Toc407135261"/>
      <w:bookmarkStart w:id="922" w:name="_Toc373227758"/>
      <w:bookmarkStart w:id="923" w:name="_Toc9850589"/>
      <w:r>
        <w:rPr>
          <w:rFonts w:hint="eastAsia" w:ascii="宋体" w:hAnsi="宋体" w:eastAsia="宋体" w:cs="宋体"/>
          <w:color w:val="auto"/>
          <w:sz w:val="21"/>
          <w:szCs w:val="21"/>
          <w:highlight w:val="none"/>
        </w:rPr>
        <w:t>14. 竣工结算</w:t>
      </w:r>
      <w:bookmarkEnd w:id="918"/>
      <w:bookmarkEnd w:id="919"/>
      <w:bookmarkEnd w:id="920"/>
      <w:bookmarkEnd w:id="921"/>
      <w:bookmarkEnd w:id="922"/>
      <w:bookmarkEnd w:id="923"/>
    </w:p>
    <w:p w14:paraId="7895DB80">
      <w:pPr>
        <w:pStyle w:val="4"/>
        <w:spacing w:line="400" w:lineRule="exact"/>
        <w:rPr>
          <w:rFonts w:hint="eastAsia" w:ascii="宋体" w:hAnsi="宋体" w:cs="宋体"/>
          <w:color w:val="auto"/>
          <w:sz w:val="21"/>
          <w:szCs w:val="21"/>
          <w:highlight w:val="none"/>
        </w:rPr>
      </w:pPr>
      <w:bookmarkStart w:id="924" w:name="_Toc373478406"/>
      <w:bookmarkStart w:id="925" w:name="_Toc389065324"/>
      <w:bookmarkStart w:id="926" w:name="_Toc373227759"/>
      <w:bookmarkStart w:id="927" w:name="_Toc9850590"/>
      <w:bookmarkStart w:id="928" w:name="_Toc407135262"/>
      <w:r>
        <w:rPr>
          <w:rFonts w:hint="eastAsia" w:ascii="宋体" w:hAnsi="宋体" w:cs="宋体"/>
          <w:color w:val="auto"/>
          <w:sz w:val="21"/>
          <w:szCs w:val="21"/>
          <w:highlight w:val="none"/>
        </w:rPr>
        <w:t>14.1 竣工付款申请</w:t>
      </w:r>
      <w:bookmarkEnd w:id="924"/>
      <w:bookmarkEnd w:id="925"/>
      <w:bookmarkEnd w:id="926"/>
      <w:bookmarkEnd w:id="927"/>
      <w:bookmarkEnd w:id="928"/>
    </w:p>
    <w:p w14:paraId="01FD4E9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承包人提交竣工付款申请单的期限：</w:t>
      </w:r>
      <w:r>
        <w:rPr>
          <w:rFonts w:hint="eastAsia" w:ascii="宋体" w:hAnsi="宋体" w:cs="宋体"/>
          <w:color w:val="auto"/>
          <w:szCs w:val="21"/>
          <w:highlight w:val="none"/>
          <w:u w:val="single"/>
        </w:rPr>
        <w:t xml:space="preserve">工程竣工验收合格后28天内 </w:t>
      </w:r>
      <w:r>
        <w:rPr>
          <w:rFonts w:hint="eastAsia" w:ascii="宋体" w:hAnsi="宋体" w:cs="宋体"/>
          <w:color w:val="auto"/>
          <w:szCs w:val="21"/>
          <w:highlight w:val="none"/>
        </w:rPr>
        <w:t>。</w:t>
      </w:r>
    </w:p>
    <w:p w14:paraId="0193AF9D">
      <w:pPr>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竣工付款申请单应包括的内容：</w:t>
      </w:r>
      <w:r>
        <w:rPr>
          <w:rFonts w:hint="eastAsia" w:ascii="宋体" w:hAnsi="宋体" w:cs="宋体"/>
          <w:color w:val="auto"/>
          <w:szCs w:val="21"/>
          <w:highlight w:val="none"/>
          <w:u w:val="single"/>
        </w:rPr>
        <w:t xml:space="preserve">承包人竣工结算总造价、累计已支付工程款、尚未支付工程款等 </w:t>
      </w:r>
      <w:r>
        <w:rPr>
          <w:rFonts w:hint="eastAsia" w:ascii="宋体" w:hAnsi="宋体" w:cs="宋体"/>
          <w:color w:val="auto"/>
          <w:szCs w:val="21"/>
          <w:highlight w:val="none"/>
        </w:rPr>
        <w:t>。竣工结算款支付申请（核准）表见合同附件12。</w:t>
      </w:r>
    </w:p>
    <w:p w14:paraId="30A48624">
      <w:pPr>
        <w:pStyle w:val="4"/>
        <w:rPr>
          <w:rFonts w:hint="eastAsia" w:ascii="宋体" w:hAnsi="宋体" w:cs="宋体"/>
          <w:color w:val="auto"/>
          <w:sz w:val="21"/>
          <w:szCs w:val="21"/>
          <w:highlight w:val="none"/>
        </w:rPr>
      </w:pPr>
      <w:bookmarkStart w:id="929" w:name="_Toc373227760"/>
      <w:bookmarkStart w:id="930" w:name="_Toc373478407"/>
      <w:bookmarkStart w:id="931" w:name="_Toc9850591"/>
      <w:bookmarkStart w:id="932" w:name="_Toc389065325"/>
      <w:bookmarkStart w:id="933" w:name="_Toc407135263"/>
      <w:r>
        <w:rPr>
          <w:rFonts w:hint="eastAsia" w:ascii="宋体" w:hAnsi="宋体" w:cs="宋体"/>
          <w:color w:val="auto"/>
          <w:sz w:val="21"/>
          <w:szCs w:val="21"/>
          <w:highlight w:val="none"/>
        </w:rPr>
        <w:t>14.2 竣工结算审核</w:t>
      </w:r>
      <w:bookmarkEnd w:id="929"/>
      <w:bookmarkEnd w:id="930"/>
      <w:bookmarkEnd w:id="931"/>
      <w:bookmarkEnd w:id="932"/>
      <w:bookmarkEnd w:id="933"/>
    </w:p>
    <w:p w14:paraId="348DD79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发包人审批竣工付款申请单的期限：</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5E13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19B5410">
            <w:pPr>
              <w:spacing w:line="360" w:lineRule="auto"/>
              <w:rPr>
                <w:rFonts w:hint="eastAsia" w:ascii="宋体" w:hAnsi="宋体" w:cs="宋体"/>
                <w:color w:val="auto"/>
                <w:szCs w:val="21"/>
                <w:highlight w:val="none"/>
              </w:rPr>
            </w:pPr>
          </w:p>
        </w:tc>
        <w:tc>
          <w:tcPr>
            <w:tcW w:w="2466" w:type="dxa"/>
            <w:noWrap w:val="0"/>
            <w:vAlign w:val="center"/>
          </w:tcPr>
          <w:p w14:paraId="41ABB9A7">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工程竣工结算报告金额</w:t>
            </w:r>
          </w:p>
        </w:tc>
        <w:tc>
          <w:tcPr>
            <w:tcW w:w="5967" w:type="dxa"/>
            <w:noWrap w:val="0"/>
            <w:vAlign w:val="center"/>
          </w:tcPr>
          <w:p w14:paraId="185B44B8">
            <w:pPr>
              <w:spacing w:line="360" w:lineRule="auto"/>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发包人审查时间</w:t>
            </w:r>
          </w:p>
        </w:tc>
      </w:tr>
      <w:tr w14:paraId="79FF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49776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66" w:type="dxa"/>
            <w:noWrap w:val="0"/>
            <w:vAlign w:val="center"/>
          </w:tcPr>
          <w:p w14:paraId="36263E49">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500万元以下</w:t>
            </w:r>
          </w:p>
        </w:tc>
        <w:tc>
          <w:tcPr>
            <w:tcW w:w="5967" w:type="dxa"/>
            <w:noWrap w:val="0"/>
            <w:vAlign w:val="center"/>
          </w:tcPr>
          <w:p w14:paraId="09286B5D">
            <w:pPr>
              <w:spacing w:line="360" w:lineRule="auto"/>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从接到竣工结算报告和完整的竣工结算资料之日起20天</w:t>
            </w:r>
          </w:p>
        </w:tc>
      </w:tr>
      <w:tr w14:paraId="4445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5DA094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66" w:type="dxa"/>
            <w:noWrap w:val="0"/>
            <w:vAlign w:val="center"/>
          </w:tcPr>
          <w:p w14:paraId="25D88B0F">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500万元-2000万元</w:t>
            </w:r>
          </w:p>
        </w:tc>
        <w:tc>
          <w:tcPr>
            <w:tcW w:w="5967" w:type="dxa"/>
            <w:noWrap w:val="0"/>
            <w:vAlign w:val="center"/>
          </w:tcPr>
          <w:p w14:paraId="29B88CD1">
            <w:pPr>
              <w:spacing w:line="360" w:lineRule="auto"/>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从接到竣工结算报告和完整的竣工结算资料之日起30天</w:t>
            </w:r>
          </w:p>
        </w:tc>
      </w:tr>
      <w:tr w14:paraId="4074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F6891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66" w:type="dxa"/>
            <w:noWrap w:val="0"/>
            <w:vAlign w:val="center"/>
          </w:tcPr>
          <w:p w14:paraId="4688E15D">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2000万元-5000万元</w:t>
            </w:r>
          </w:p>
        </w:tc>
        <w:tc>
          <w:tcPr>
            <w:tcW w:w="5967" w:type="dxa"/>
            <w:noWrap w:val="0"/>
            <w:vAlign w:val="center"/>
          </w:tcPr>
          <w:p w14:paraId="385E7F9F">
            <w:pPr>
              <w:spacing w:line="360" w:lineRule="auto"/>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从接到竣工结算报告和完整的竣工结算资料之日起45天</w:t>
            </w:r>
          </w:p>
        </w:tc>
      </w:tr>
      <w:tr w14:paraId="47A2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50DDFF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66" w:type="dxa"/>
            <w:noWrap w:val="0"/>
            <w:vAlign w:val="center"/>
          </w:tcPr>
          <w:p w14:paraId="461754F6">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5000万元以上</w:t>
            </w:r>
          </w:p>
        </w:tc>
        <w:tc>
          <w:tcPr>
            <w:tcW w:w="5967" w:type="dxa"/>
            <w:noWrap w:val="0"/>
            <w:vAlign w:val="center"/>
          </w:tcPr>
          <w:p w14:paraId="0A37F0FB">
            <w:pPr>
              <w:spacing w:line="360" w:lineRule="auto"/>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从接到竣工结算报告和完整的竣工结算资料之日起60天</w:t>
            </w:r>
          </w:p>
        </w:tc>
      </w:tr>
      <w:tr w14:paraId="7CFD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B4764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66" w:type="dxa"/>
            <w:noWrap w:val="0"/>
            <w:vAlign w:val="center"/>
          </w:tcPr>
          <w:p w14:paraId="12808DCA">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5000万以上每增加0.5亿(不足0.5亿不增加)</w:t>
            </w:r>
          </w:p>
        </w:tc>
        <w:tc>
          <w:tcPr>
            <w:tcW w:w="5967" w:type="dxa"/>
            <w:noWrap w:val="0"/>
            <w:vAlign w:val="center"/>
          </w:tcPr>
          <w:p w14:paraId="3901266D">
            <w:pPr>
              <w:spacing w:line="360" w:lineRule="auto"/>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增加10天</w:t>
            </w:r>
          </w:p>
        </w:tc>
      </w:tr>
    </w:tbl>
    <w:p w14:paraId="1BA779A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因承包人提供的结算资料不完整而需要补充或承包人不按时对账耽误时间时，审查时间应相应顺延。</w:t>
      </w:r>
    </w:p>
    <w:p w14:paraId="540D6BB7">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竣工结算审核约定：</w:t>
      </w:r>
    </w:p>
    <w:p w14:paraId="3C179BCB">
      <w:pPr>
        <w:spacing w:line="360" w:lineRule="auto"/>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u w:val="single"/>
        </w:rPr>
        <w:t>1、工程竣工验收报告经发包人认可后28天内，承包人向发包人递交竣工验收合格资料及完整的结算资料和报告，双方按照本工程合同约定的价格形式及价款调整办法进行工程竣工结算。2、发包人收到承包人递交的竣工结算报告及结算资料之日起28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28日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56天内，发包人按审定后的竣工结算价款，通知经办银行向承包人支付结算价款。</w:t>
      </w:r>
    </w:p>
    <w:p w14:paraId="7C29F8FA">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备注：对于国有投资项目结算审核约定，双方可结合各地政府或有关部门出台的管理规定进行局部调整。</w:t>
      </w:r>
    </w:p>
    <w:p w14:paraId="590421E7">
      <w:pPr>
        <w:pStyle w:val="4"/>
        <w:rPr>
          <w:rFonts w:hint="eastAsia" w:ascii="宋体" w:hAnsi="宋体" w:cs="宋体"/>
          <w:color w:val="auto"/>
          <w:sz w:val="21"/>
          <w:szCs w:val="21"/>
          <w:highlight w:val="none"/>
        </w:rPr>
      </w:pPr>
      <w:bookmarkStart w:id="934" w:name="_Toc373478408"/>
      <w:bookmarkStart w:id="935" w:name="_Toc373227761"/>
      <w:bookmarkStart w:id="936" w:name="_Toc407135264"/>
      <w:bookmarkStart w:id="937" w:name="_Toc9850592"/>
      <w:bookmarkStart w:id="938" w:name="_Toc389065326"/>
      <w:r>
        <w:rPr>
          <w:rFonts w:hint="eastAsia" w:ascii="宋体" w:hAnsi="宋体" w:cs="宋体"/>
          <w:color w:val="auto"/>
          <w:sz w:val="21"/>
          <w:szCs w:val="21"/>
          <w:highlight w:val="none"/>
        </w:rPr>
        <w:t>14.4 最终结清</w:t>
      </w:r>
      <w:bookmarkEnd w:id="934"/>
      <w:bookmarkEnd w:id="935"/>
      <w:bookmarkEnd w:id="936"/>
      <w:bookmarkEnd w:id="937"/>
      <w:bookmarkEnd w:id="938"/>
    </w:p>
    <w:p w14:paraId="5BF8894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14:paraId="797A976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rPr>
        <w:t xml:space="preserve"> 伍份 </w:t>
      </w:r>
      <w:r>
        <w:rPr>
          <w:rFonts w:hint="eastAsia" w:ascii="宋体" w:hAnsi="宋体" w:cs="宋体"/>
          <w:color w:val="auto"/>
          <w:szCs w:val="21"/>
          <w:highlight w:val="none"/>
        </w:rPr>
        <w:t>。</w:t>
      </w:r>
    </w:p>
    <w:p w14:paraId="1B768CE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szCs w:val="21"/>
          <w:highlight w:val="none"/>
          <w:u w:val="single"/>
        </w:rPr>
        <w:t xml:space="preserve">由承包人提供的竣工验收备案资料装订成册送达发包人后14天内 </w:t>
      </w:r>
      <w:r>
        <w:rPr>
          <w:rFonts w:hint="eastAsia" w:ascii="宋体" w:hAnsi="宋体" w:cs="宋体"/>
          <w:color w:val="auto"/>
          <w:szCs w:val="21"/>
          <w:highlight w:val="none"/>
        </w:rPr>
        <w:t xml:space="preserve">。 </w:t>
      </w:r>
    </w:p>
    <w:p w14:paraId="3499B64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最终结算款支付申请（核准）表见合同附件13。</w:t>
      </w:r>
    </w:p>
    <w:p w14:paraId="068E68B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14.4.2 最终结清证书和支付</w:t>
      </w:r>
    </w:p>
    <w:p w14:paraId="39F36A8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szCs w:val="21"/>
          <w:highlight w:val="none"/>
          <w:u w:val="single"/>
        </w:rPr>
        <w:t xml:space="preserve">自收到承包人提交提交最终结清申请单之日起14天内 </w:t>
      </w:r>
      <w:r>
        <w:rPr>
          <w:rFonts w:hint="eastAsia" w:ascii="宋体" w:hAnsi="宋体" w:cs="宋体"/>
          <w:color w:val="auto"/>
          <w:szCs w:val="21"/>
          <w:highlight w:val="none"/>
        </w:rPr>
        <w:t>。</w:t>
      </w:r>
    </w:p>
    <w:p w14:paraId="0EDA849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rPr>
        <w:t xml:space="preserve"> 自颁发最终结清证书收到承包人付款申请自发包人完成审批并签发竣工付款支付证书之日起14天内（相关行政主管部门按工程款支付程序走流程的审批时间不计算在约定办理期限内） </w:t>
      </w:r>
      <w:r>
        <w:rPr>
          <w:rFonts w:hint="eastAsia" w:ascii="宋体" w:hAnsi="宋体" w:cs="宋体"/>
          <w:color w:val="auto"/>
          <w:szCs w:val="21"/>
          <w:highlight w:val="none"/>
        </w:rPr>
        <w:t>。</w:t>
      </w:r>
    </w:p>
    <w:bookmarkEnd w:id="894"/>
    <w:bookmarkEnd w:id="895"/>
    <w:bookmarkEnd w:id="896"/>
    <w:bookmarkEnd w:id="897"/>
    <w:bookmarkEnd w:id="898"/>
    <w:bookmarkEnd w:id="899"/>
    <w:bookmarkEnd w:id="900"/>
    <w:bookmarkEnd w:id="906"/>
    <w:p w14:paraId="01FDA458">
      <w:pPr>
        <w:pStyle w:val="3"/>
        <w:rPr>
          <w:rFonts w:hint="eastAsia" w:ascii="宋体" w:hAnsi="宋体" w:eastAsia="宋体" w:cs="宋体"/>
          <w:color w:val="auto"/>
          <w:sz w:val="21"/>
          <w:szCs w:val="21"/>
          <w:highlight w:val="none"/>
        </w:rPr>
      </w:pPr>
      <w:bookmarkStart w:id="939" w:name="_Toc389065327"/>
      <w:bookmarkStart w:id="940" w:name="_Toc373227762"/>
      <w:bookmarkStart w:id="941" w:name="_Toc351203647"/>
      <w:bookmarkStart w:id="942" w:name="_Toc9850593"/>
      <w:bookmarkStart w:id="943" w:name="_Toc373478409"/>
      <w:bookmarkStart w:id="944" w:name="_Toc407135265"/>
      <w:bookmarkStart w:id="945" w:name="_Toc267251483"/>
      <w:bookmarkStart w:id="946" w:name="_Toc267251484"/>
      <w:bookmarkStart w:id="947" w:name="_Toc267251482"/>
      <w:bookmarkStart w:id="948" w:name="_Toc267251485"/>
      <w:bookmarkStart w:id="949" w:name="_Toc267251490"/>
      <w:bookmarkStart w:id="950" w:name="_Toc267251486"/>
      <w:bookmarkStart w:id="951" w:name="_Toc267251488"/>
      <w:bookmarkStart w:id="952" w:name="_Toc267251489"/>
      <w:bookmarkStart w:id="953" w:name="_Toc267251501"/>
      <w:bookmarkStart w:id="954" w:name="_Toc267251503"/>
      <w:bookmarkStart w:id="955" w:name="_Toc267251497"/>
      <w:bookmarkStart w:id="956" w:name="_Toc267251499"/>
      <w:bookmarkStart w:id="957" w:name="_Toc267251496"/>
      <w:bookmarkStart w:id="958" w:name="_Toc267251492"/>
      <w:bookmarkStart w:id="959" w:name="_Toc267251494"/>
      <w:bookmarkStart w:id="960" w:name="_Toc267251491"/>
      <w:bookmarkStart w:id="961" w:name="_Toc267251493"/>
      <w:bookmarkStart w:id="962" w:name="_Toc267251498"/>
      <w:bookmarkStart w:id="963" w:name="_Toc267251495"/>
      <w:bookmarkStart w:id="964" w:name="_Toc267251502"/>
      <w:bookmarkStart w:id="965" w:name="_Toc267251504"/>
      <w:bookmarkStart w:id="966" w:name="_Toc267251506"/>
      <w:bookmarkStart w:id="967" w:name="_Toc267251507"/>
      <w:bookmarkStart w:id="968" w:name="_Toc267251508"/>
      <w:bookmarkStart w:id="969" w:name="_Toc267251515"/>
      <w:bookmarkStart w:id="970" w:name="_Toc267251514"/>
      <w:bookmarkStart w:id="971" w:name="_Toc267251510"/>
      <w:bookmarkStart w:id="972" w:name="_Toc267251509"/>
      <w:bookmarkStart w:id="973" w:name="_Toc267251511"/>
      <w:bookmarkStart w:id="974" w:name="_Toc267251513"/>
      <w:r>
        <w:rPr>
          <w:rFonts w:hint="eastAsia" w:ascii="宋体" w:hAnsi="宋体" w:eastAsia="宋体" w:cs="宋体"/>
          <w:color w:val="auto"/>
          <w:sz w:val="21"/>
          <w:szCs w:val="21"/>
          <w:highlight w:val="none"/>
        </w:rPr>
        <w:t>15. 缺陷责任期与保修</w:t>
      </w:r>
      <w:bookmarkEnd w:id="939"/>
      <w:bookmarkEnd w:id="940"/>
      <w:bookmarkEnd w:id="941"/>
      <w:bookmarkEnd w:id="942"/>
      <w:bookmarkEnd w:id="943"/>
      <w:bookmarkEnd w:id="944"/>
    </w:p>
    <w:p w14:paraId="2FF189BD">
      <w:pPr>
        <w:pStyle w:val="4"/>
        <w:rPr>
          <w:rFonts w:hint="eastAsia" w:ascii="宋体" w:hAnsi="宋体" w:cs="宋体"/>
          <w:color w:val="auto"/>
          <w:sz w:val="21"/>
          <w:szCs w:val="21"/>
          <w:highlight w:val="none"/>
        </w:rPr>
      </w:pPr>
      <w:bookmarkStart w:id="975" w:name="_Toc407135266"/>
      <w:bookmarkStart w:id="976" w:name="_Toc373227763"/>
      <w:bookmarkStart w:id="977" w:name="_Toc373478410"/>
      <w:bookmarkStart w:id="978" w:name="_Toc389065328"/>
      <w:bookmarkStart w:id="979" w:name="_Toc9850594"/>
      <w:r>
        <w:rPr>
          <w:rFonts w:hint="eastAsia" w:ascii="宋体" w:hAnsi="宋体" w:cs="宋体"/>
          <w:color w:val="auto"/>
          <w:sz w:val="21"/>
          <w:szCs w:val="21"/>
          <w:highlight w:val="none"/>
        </w:rPr>
        <w:t>15.2 缺陷责任期</w:t>
      </w:r>
      <w:bookmarkEnd w:id="945"/>
      <w:bookmarkEnd w:id="975"/>
      <w:bookmarkEnd w:id="976"/>
      <w:bookmarkEnd w:id="977"/>
      <w:bookmarkEnd w:id="978"/>
      <w:bookmarkEnd w:id="979"/>
    </w:p>
    <w:p w14:paraId="65F27A19">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rPr>
        <w:t xml:space="preserve">自工程竣工验收合格之日计起24个月 </w:t>
      </w:r>
      <w:r>
        <w:rPr>
          <w:rFonts w:hint="eastAsia" w:ascii="宋体" w:hAnsi="宋体" w:cs="宋体"/>
          <w:color w:val="auto"/>
          <w:szCs w:val="21"/>
          <w:highlight w:val="none"/>
        </w:rPr>
        <w:t>。</w:t>
      </w:r>
    </w:p>
    <w:p w14:paraId="220D85EF">
      <w:pPr>
        <w:pStyle w:val="4"/>
        <w:rPr>
          <w:rFonts w:hint="eastAsia" w:ascii="宋体" w:hAnsi="宋体" w:cs="宋体"/>
          <w:color w:val="auto"/>
          <w:sz w:val="21"/>
          <w:szCs w:val="21"/>
          <w:highlight w:val="none"/>
        </w:rPr>
      </w:pPr>
      <w:bookmarkStart w:id="980" w:name="_Toc389065329"/>
      <w:bookmarkStart w:id="981" w:name="_Toc373227764"/>
      <w:bookmarkStart w:id="982" w:name="_Toc407135267"/>
      <w:bookmarkStart w:id="983" w:name="_Toc9850595"/>
      <w:bookmarkStart w:id="984" w:name="_Toc373478411"/>
      <w:r>
        <w:rPr>
          <w:rFonts w:hint="eastAsia" w:ascii="宋体" w:hAnsi="宋体" w:cs="宋体"/>
          <w:color w:val="auto"/>
          <w:sz w:val="21"/>
          <w:szCs w:val="21"/>
          <w:highlight w:val="none"/>
        </w:rPr>
        <w:t>15.3 质量保证金</w:t>
      </w:r>
      <w:bookmarkEnd w:id="980"/>
      <w:bookmarkEnd w:id="981"/>
      <w:bookmarkEnd w:id="982"/>
      <w:bookmarkEnd w:id="983"/>
      <w:bookmarkEnd w:id="984"/>
    </w:p>
    <w:p w14:paraId="71E2880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rPr>
        <w:t xml:space="preserve"> 发包人向承包人支付至工程建安费用结算总造价的97%；按工程价款结算总额的3%预留工程质量保修金 </w:t>
      </w:r>
      <w:r>
        <w:rPr>
          <w:rFonts w:hint="eastAsia" w:ascii="宋体" w:hAnsi="宋体" w:cs="宋体"/>
          <w:color w:val="auto"/>
          <w:szCs w:val="21"/>
          <w:highlight w:val="none"/>
        </w:rPr>
        <w:t>。</w:t>
      </w:r>
    </w:p>
    <w:p w14:paraId="1D61177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在工程项目竣工前，承包人按专用合同条款第3.7条提供履约担保的，发包人不得同时预留工程质量保证金。</w:t>
      </w:r>
    </w:p>
    <w:p w14:paraId="76C93A6D">
      <w:pPr>
        <w:spacing w:line="360" w:lineRule="auto"/>
        <w:ind w:firstLine="420" w:firstLineChars="200"/>
        <w:jc w:val="left"/>
        <w:outlineLvl w:val="0"/>
        <w:rPr>
          <w:rFonts w:hint="eastAsia" w:ascii="宋体" w:hAnsi="宋体" w:cs="宋体"/>
          <w:color w:val="auto"/>
          <w:szCs w:val="21"/>
          <w:highlight w:val="none"/>
        </w:rPr>
      </w:pPr>
      <w:bookmarkStart w:id="985" w:name="_Toc12839"/>
      <w:r>
        <w:rPr>
          <w:rFonts w:hint="eastAsia" w:ascii="宋体" w:hAnsi="宋体" w:cs="宋体"/>
          <w:color w:val="auto"/>
          <w:szCs w:val="21"/>
          <w:highlight w:val="none"/>
        </w:rPr>
        <w:t>15.3.1 承包人提供质量保证金的方式</w:t>
      </w:r>
      <w:bookmarkEnd w:id="985"/>
    </w:p>
    <w:p w14:paraId="0CE4A21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（2）</w:t>
      </w:r>
      <w:r>
        <w:rPr>
          <w:rFonts w:hint="eastAsia" w:ascii="宋体" w:hAnsi="宋体" w:cs="宋体"/>
          <w:color w:val="auto"/>
          <w:szCs w:val="21"/>
          <w:highlight w:val="none"/>
        </w:rPr>
        <w:t>种方式：</w:t>
      </w:r>
    </w:p>
    <w:p w14:paraId="4286A1E9">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89274B4">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发包人按工程价款结算总额的</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%（不得超过3%）预留工程质量保证金，待缺陷责任期满后返还，是否付息及利息计算方式为：</w:t>
      </w:r>
      <w:r>
        <w:rPr>
          <w:rFonts w:hint="eastAsia" w:ascii="宋体" w:hAnsi="宋体" w:cs="宋体"/>
          <w:color w:val="auto"/>
          <w:szCs w:val="21"/>
          <w:highlight w:val="none"/>
          <w:u w:val="single"/>
        </w:rPr>
        <w:t xml:space="preserve"> 无息 </w:t>
      </w:r>
      <w:r>
        <w:rPr>
          <w:rFonts w:hint="eastAsia" w:ascii="宋体" w:hAnsi="宋体" w:cs="宋体"/>
          <w:color w:val="auto"/>
          <w:kern w:val="0"/>
          <w:szCs w:val="21"/>
          <w:highlight w:val="none"/>
        </w:rPr>
        <w:t>；</w:t>
      </w:r>
    </w:p>
    <w:p w14:paraId="5C5123B9">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495B5D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15.3.2 质量保证金的扣留</w:t>
      </w:r>
    </w:p>
    <w:p w14:paraId="4AA1010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（2）</w:t>
      </w:r>
      <w:r>
        <w:rPr>
          <w:rFonts w:hint="eastAsia" w:ascii="宋体" w:hAnsi="宋体" w:cs="宋体"/>
          <w:color w:val="auto"/>
          <w:szCs w:val="21"/>
          <w:highlight w:val="none"/>
        </w:rPr>
        <w:t>种方式：</w:t>
      </w:r>
    </w:p>
    <w:p w14:paraId="7076CF5C">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（1）在不缴纳履保证金情况下，按支付工程进度款时逐次扣留，质量保证金的计算基数不包括预付款的支付、扣回以及价格调整的金额；</w:t>
      </w:r>
    </w:p>
    <w:p w14:paraId="4DBC7D1E">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（2）工程竣工结算时，一次性扣留质量保证金，由承包人以银行保函、保证保险替代预留质量保证金，保函金额不得高于工程价款结算总额的3%；</w:t>
      </w:r>
    </w:p>
    <w:p w14:paraId="268936FD">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（3）其他扣留方式：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E69D505">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bookmarkEnd w:id="946"/>
    <w:bookmarkEnd w:id="947"/>
    <w:p w14:paraId="0438C938">
      <w:pPr>
        <w:pStyle w:val="4"/>
        <w:rPr>
          <w:rFonts w:hint="eastAsia" w:ascii="宋体" w:hAnsi="宋体" w:cs="宋体"/>
          <w:color w:val="auto"/>
          <w:sz w:val="21"/>
          <w:szCs w:val="21"/>
          <w:highlight w:val="none"/>
        </w:rPr>
      </w:pPr>
      <w:bookmarkStart w:id="986" w:name="_Toc373478412"/>
      <w:bookmarkStart w:id="987" w:name="_Toc9850596"/>
      <w:bookmarkStart w:id="988" w:name="_Toc407135268"/>
      <w:bookmarkStart w:id="989" w:name="_Toc373227765"/>
      <w:bookmarkStart w:id="990" w:name="_Toc389065330"/>
      <w:r>
        <w:rPr>
          <w:rFonts w:hint="eastAsia" w:ascii="宋体" w:hAnsi="宋体" w:cs="宋体"/>
          <w:color w:val="auto"/>
          <w:sz w:val="21"/>
          <w:szCs w:val="21"/>
          <w:highlight w:val="none"/>
        </w:rPr>
        <w:t>15.4 保修</w:t>
      </w:r>
      <w:bookmarkEnd w:id="986"/>
      <w:bookmarkEnd w:id="987"/>
      <w:bookmarkEnd w:id="988"/>
      <w:bookmarkEnd w:id="989"/>
      <w:bookmarkEnd w:id="990"/>
    </w:p>
    <w:bookmarkEnd w:id="948"/>
    <w:p w14:paraId="13C89DEB">
      <w:pPr>
        <w:spacing w:line="360" w:lineRule="auto"/>
        <w:ind w:firstLine="409" w:firstLineChars="195"/>
        <w:jc w:val="left"/>
        <w:outlineLvl w:val="0"/>
        <w:rPr>
          <w:rFonts w:hint="eastAsia" w:ascii="宋体" w:hAnsi="宋体" w:cs="宋体"/>
          <w:color w:val="auto"/>
          <w:szCs w:val="21"/>
          <w:highlight w:val="none"/>
        </w:rPr>
      </w:pPr>
      <w:bookmarkStart w:id="991" w:name="_Toc14651"/>
      <w:r>
        <w:rPr>
          <w:rFonts w:hint="eastAsia" w:ascii="宋体" w:hAnsi="宋体" w:cs="宋体"/>
          <w:color w:val="auto"/>
          <w:szCs w:val="21"/>
          <w:highlight w:val="none"/>
        </w:rPr>
        <w:t>15.4.1 保修责任</w:t>
      </w:r>
      <w:bookmarkEnd w:id="991"/>
    </w:p>
    <w:p w14:paraId="3321B5BB">
      <w:pPr>
        <w:spacing w:line="360" w:lineRule="auto"/>
        <w:ind w:firstLine="409" w:firstLineChars="195"/>
        <w:jc w:val="left"/>
        <w:rPr>
          <w:rFonts w:hint="eastAsia"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按工程质量保修书执行  </w:t>
      </w:r>
      <w:r>
        <w:rPr>
          <w:rFonts w:hint="eastAsia" w:ascii="宋体" w:hAnsi="宋体" w:cs="宋体"/>
          <w:color w:val="auto"/>
          <w:kern w:val="0"/>
          <w:szCs w:val="21"/>
          <w:highlight w:val="none"/>
        </w:rPr>
        <w:t>。</w:t>
      </w:r>
    </w:p>
    <w:p w14:paraId="7325506C">
      <w:pPr>
        <w:spacing w:line="360" w:lineRule="auto"/>
        <w:ind w:firstLine="409" w:firstLineChars="195"/>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工程保修书具体内容见合同附件2。</w:t>
      </w:r>
    </w:p>
    <w:p w14:paraId="5260ED5B">
      <w:pPr>
        <w:spacing w:line="360" w:lineRule="auto"/>
        <w:ind w:firstLine="409" w:firstLineChars="195"/>
        <w:jc w:val="left"/>
        <w:rPr>
          <w:rFonts w:hint="eastAsia" w:ascii="宋体" w:hAnsi="宋体" w:cs="宋体"/>
          <w:color w:val="auto"/>
          <w:szCs w:val="21"/>
          <w:highlight w:val="none"/>
        </w:rPr>
      </w:pPr>
      <w:r>
        <w:rPr>
          <w:rFonts w:hint="eastAsia" w:ascii="宋体" w:hAnsi="宋体" w:cs="宋体"/>
          <w:color w:val="auto"/>
          <w:szCs w:val="21"/>
          <w:highlight w:val="none"/>
        </w:rPr>
        <w:t>15.4.3 修复通知</w:t>
      </w:r>
    </w:p>
    <w:p w14:paraId="756C913C">
      <w:pPr>
        <w:spacing w:line="360" w:lineRule="auto"/>
        <w:ind w:firstLine="409" w:firstLineChars="195"/>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7天内 </w:t>
      </w:r>
      <w:r>
        <w:rPr>
          <w:rFonts w:hint="eastAsia" w:ascii="宋体" w:hAnsi="宋体" w:cs="宋体"/>
          <w:color w:val="auto"/>
          <w:kern w:val="0"/>
          <w:szCs w:val="21"/>
          <w:highlight w:val="none"/>
        </w:rPr>
        <w:t>。</w:t>
      </w:r>
    </w:p>
    <w:bookmarkEnd w:id="949"/>
    <w:bookmarkEnd w:id="950"/>
    <w:bookmarkEnd w:id="951"/>
    <w:bookmarkEnd w:id="952"/>
    <w:p w14:paraId="0CF8C34F">
      <w:pPr>
        <w:pStyle w:val="3"/>
        <w:rPr>
          <w:rFonts w:hint="eastAsia" w:ascii="宋体" w:hAnsi="宋体" w:eastAsia="宋体" w:cs="宋体"/>
          <w:color w:val="auto"/>
          <w:sz w:val="21"/>
          <w:szCs w:val="21"/>
          <w:highlight w:val="none"/>
        </w:rPr>
      </w:pPr>
      <w:bookmarkStart w:id="992" w:name="_Toc373478413"/>
      <w:bookmarkStart w:id="993" w:name="_Toc389065331"/>
      <w:bookmarkStart w:id="994" w:name="_Toc351203648"/>
      <w:bookmarkStart w:id="995" w:name="_Toc9850597"/>
      <w:bookmarkStart w:id="996" w:name="_Toc373227766"/>
      <w:bookmarkStart w:id="997" w:name="_Toc407135269"/>
      <w:bookmarkStart w:id="998" w:name="_Toc280868717"/>
      <w:bookmarkStart w:id="999" w:name="_Toc280868718"/>
      <w:r>
        <w:rPr>
          <w:rFonts w:hint="eastAsia" w:ascii="宋体" w:hAnsi="宋体" w:eastAsia="宋体" w:cs="宋体"/>
          <w:color w:val="auto"/>
          <w:sz w:val="21"/>
          <w:szCs w:val="21"/>
          <w:highlight w:val="none"/>
        </w:rPr>
        <w:t>16. 违约</w:t>
      </w:r>
      <w:bookmarkEnd w:id="992"/>
      <w:bookmarkEnd w:id="993"/>
      <w:bookmarkEnd w:id="994"/>
      <w:bookmarkEnd w:id="995"/>
      <w:bookmarkEnd w:id="996"/>
      <w:bookmarkEnd w:id="997"/>
    </w:p>
    <w:p w14:paraId="4A1EA77E">
      <w:pPr>
        <w:pStyle w:val="4"/>
        <w:rPr>
          <w:rFonts w:hint="eastAsia" w:ascii="宋体" w:hAnsi="宋体" w:cs="宋体"/>
          <w:color w:val="auto"/>
          <w:sz w:val="21"/>
          <w:szCs w:val="21"/>
          <w:highlight w:val="none"/>
        </w:rPr>
      </w:pPr>
      <w:bookmarkStart w:id="1000" w:name="_Toc373227767"/>
      <w:bookmarkStart w:id="1001" w:name="_Toc407135270"/>
      <w:bookmarkStart w:id="1002" w:name="_Toc389065332"/>
      <w:bookmarkStart w:id="1003" w:name="_Toc9850598"/>
      <w:bookmarkStart w:id="1004" w:name="_Toc373478414"/>
      <w:r>
        <w:rPr>
          <w:rFonts w:hint="eastAsia" w:ascii="宋体" w:hAnsi="宋体" w:cs="宋体"/>
          <w:color w:val="auto"/>
          <w:sz w:val="21"/>
          <w:szCs w:val="21"/>
          <w:highlight w:val="none"/>
        </w:rPr>
        <w:t>16.1 发包人违约</w:t>
      </w:r>
      <w:bookmarkEnd w:id="1000"/>
      <w:bookmarkEnd w:id="1001"/>
      <w:bookmarkEnd w:id="1002"/>
      <w:bookmarkEnd w:id="1003"/>
      <w:bookmarkEnd w:id="1004"/>
    </w:p>
    <w:p w14:paraId="24B9682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16.1.1发包人违约的情形</w:t>
      </w:r>
    </w:p>
    <w:p w14:paraId="0AF2433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AFB3B20">
      <w:pPr>
        <w:spacing w:line="360" w:lineRule="auto"/>
        <w:ind w:firstLine="420" w:firstLineChars="200"/>
        <w:jc w:val="left"/>
        <w:outlineLvl w:val="0"/>
        <w:rPr>
          <w:rFonts w:hint="eastAsia" w:ascii="宋体" w:hAnsi="宋体" w:cs="宋体"/>
          <w:color w:val="auto"/>
          <w:kern w:val="0"/>
          <w:szCs w:val="21"/>
          <w:highlight w:val="none"/>
        </w:rPr>
      </w:pPr>
      <w:bookmarkStart w:id="1005" w:name="_Toc5362"/>
      <w:r>
        <w:rPr>
          <w:rFonts w:hint="eastAsia" w:ascii="宋体" w:hAnsi="宋体" w:cs="宋体"/>
          <w:color w:val="auto"/>
          <w:kern w:val="0"/>
          <w:szCs w:val="21"/>
          <w:highlight w:val="none"/>
        </w:rPr>
        <w:t>16.1.2 发包人违约的责任</w:t>
      </w:r>
      <w:bookmarkEnd w:id="1005"/>
    </w:p>
    <w:p w14:paraId="42EA708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0DDC4D2F">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 xml:space="preserve"> 给予相应的工期顺延 </w:t>
      </w:r>
      <w:r>
        <w:rPr>
          <w:rFonts w:hint="eastAsia" w:ascii="宋体" w:hAnsi="宋体" w:cs="宋体"/>
          <w:color w:val="auto"/>
          <w:kern w:val="0"/>
          <w:szCs w:val="21"/>
          <w:highlight w:val="none"/>
        </w:rPr>
        <w:t>。</w:t>
      </w:r>
    </w:p>
    <w:p w14:paraId="1939439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承包人与发包人签订延期付款协议 </w:t>
      </w:r>
      <w:r>
        <w:rPr>
          <w:rFonts w:hint="eastAsia" w:ascii="宋体" w:hAnsi="宋体" w:cs="宋体"/>
          <w:color w:val="auto"/>
          <w:kern w:val="0"/>
          <w:szCs w:val="21"/>
          <w:highlight w:val="none"/>
        </w:rPr>
        <w:t>。</w:t>
      </w:r>
    </w:p>
    <w:p w14:paraId="5D771B1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FD09DB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E2BA025">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 xml:space="preserve"> 工期相应顺延 </w:t>
      </w:r>
      <w:r>
        <w:rPr>
          <w:rFonts w:hint="eastAsia" w:ascii="宋体" w:hAnsi="宋体" w:cs="宋体"/>
          <w:color w:val="auto"/>
          <w:kern w:val="0"/>
          <w:szCs w:val="21"/>
          <w:highlight w:val="none"/>
        </w:rPr>
        <w:t>。</w:t>
      </w:r>
    </w:p>
    <w:p w14:paraId="53EC851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工期相应顺延 </w:t>
      </w:r>
      <w:r>
        <w:rPr>
          <w:rFonts w:hint="eastAsia" w:ascii="宋体" w:hAnsi="宋体" w:cs="宋体"/>
          <w:color w:val="auto"/>
          <w:kern w:val="0"/>
          <w:szCs w:val="21"/>
          <w:highlight w:val="none"/>
        </w:rPr>
        <w:t>。</w:t>
      </w:r>
    </w:p>
    <w:p w14:paraId="367C608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36E135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16.1.3 因发包人违约解除合同</w:t>
      </w:r>
    </w:p>
    <w:p w14:paraId="1175503B">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90 </w:t>
      </w:r>
      <w:r>
        <w:rPr>
          <w:rFonts w:hint="eastAsia" w:ascii="宋体" w:hAnsi="宋体" w:cs="宋体"/>
          <w:color w:val="auto"/>
          <w:kern w:val="0"/>
          <w:szCs w:val="21"/>
          <w:highlight w:val="none"/>
        </w:rPr>
        <w:t>天后发包人仍不纠正其违约行为并致使合同目的不能实现的，承包人有权解除合同。</w:t>
      </w:r>
    </w:p>
    <w:p w14:paraId="5C54D749">
      <w:pPr>
        <w:pStyle w:val="4"/>
        <w:rPr>
          <w:rFonts w:hint="eastAsia" w:ascii="宋体" w:hAnsi="宋体" w:cs="宋体"/>
          <w:color w:val="auto"/>
          <w:sz w:val="21"/>
          <w:szCs w:val="21"/>
          <w:highlight w:val="none"/>
        </w:rPr>
      </w:pPr>
      <w:bookmarkStart w:id="1006" w:name="_Toc373227768"/>
      <w:bookmarkStart w:id="1007" w:name="_Toc9850599"/>
      <w:bookmarkStart w:id="1008" w:name="_Toc407135271"/>
      <w:bookmarkStart w:id="1009" w:name="_Toc389065333"/>
      <w:bookmarkStart w:id="1010" w:name="_Toc373478415"/>
      <w:r>
        <w:rPr>
          <w:rFonts w:hint="eastAsia" w:ascii="宋体" w:hAnsi="宋体" w:cs="宋体"/>
          <w:color w:val="auto"/>
          <w:sz w:val="21"/>
          <w:szCs w:val="21"/>
          <w:highlight w:val="none"/>
        </w:rPr>
        <w:t>16.2 承包人违约</w:t>
      </w:r>
      <w:bookmarkEnd w:id="1006"/>
      <w:bookmarkEnd w:id="1007"/>
      <w:bookmarkEnd w:id="1008"/>
      <w:bookmarkEnd w:id="1009"/>
      <w:bookmarkEnd w:id="1010"/>
    </w:p>
    <w:p w14:paraId="1F26D17C">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73051F86">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 承包人有违反项目当地市有关工程造价规定的，按规定给予处罚 </w:t>
      </w:r>
      <w:r>
        <w:rPr>
          <w:rFonts w:hint="eastAsia" w:ascii="宋体" w:hAnsi="宋体" w:cs="宋体"/>
          <w:color w:val="auto"/>
          <w:kern w:val="0"/>
          <w:szCs w:val="21"/>
          <w:highlight w:val="none"/>
        </w:rPr>
        <w:t>。</w:t>
      </w:r>
    </w:p>
    <w:p w14:paraId="3ADDD08C">
      <w:pPr>
        <w:spacing w:line="360" w:lineRule="auto"/>
        <w:ind w:firstLine="420" w:firstLineChars="200"/>
        <w:jc w:val="left"/>
        <w:outlineLvl w:val="0"/>
        <w:rPr>
          <w:rFonts w:hint="eastAsia" w:ascii="宋体" w:hAnsi="宋体" w:cs="宋体"/>
          <w:color w:val="auto"/>
          <w:kern w:val="0"/>
          <w:szCs w:val="21"/>
          <w:highlight w:val="none"/>
        </w:rPr>
      </w:pPr>
      <w:bookmarkStart w:id="1011" w:name="_Toc5732"/>
      <w:r>
        <w:rPr>
          <w:rFonts w:hint="eastAsia" w:ascii="宋体" w:hAnsi="宋体" w:cs="宋体"/>
          <w:color w:val="auto"/>
          <w:kern w:val="0"/>
          <w:szCs w:val="21"/>
          <w:highlight w:val="none"/>
        </w:rPr>
        <w:t>16.2.2承包人违约的责任</w:t>
      </w:r>
      <w:bookmarkEnd w:id="1011"/>
    </w:p>
    <w:p w14:paraId="108FC45C">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0B3968F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7385E0F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（2）承包人有本合同通用条款第16.2.1（6）条情形的，或经监理人检验认为修复质量不合格而承包人拒绝再进行修补的，发包人将扣除承包人全部质量保证金。</w:t>
      </w:r>
    </w:p>
    <w:p w14:paraId="3214170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003B783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16.2.3 因承包人违约解除合同</w:t>
      </w:r>
    </w:p>
    <w:p w14:paraId="27AF83B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7699CEE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51144474">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2FF98D6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(3)未经监理人批准，承包人私自将已按竞标文件承诺进入工地的工程设备、施工设备、临时工程或材料撤离工地的；</w:t>
      </w:r>
    </w:p>
    <w:p w14:paraId="31222F3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(4)由于承包人原因拒绝按合同进度计划及时完成合同规定的工程，而又未采取有效措施赶上进度，造成工期严重延误的；</w:t>
      </w:r>
    </w:p>
    <w:p w14:paraId="2E901E5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192A0B9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(6)合同签订</w:t>
      </w:r>
      <w:r>
        <w:rPr>
          <w:rFonts w:hint="eastAsia" w:ascii="宋体" w:hAnsi="宋体" w:cs="宋体"/>
          <w:color w:val="auto"/>
          <w:szCs w:val="21"/>
          <w:highlight w:val="none"/>
        </w:rPr>
        <w:t>且具备法定开工条件后</w:t>
      </w:r>
      <w:r>
        <w:rPr>
          <w:rFonts w:hint="eastAsia" w:ascii="宋体" w:hAnsi="宋体" w:cs="宋体"/>
          <w:color w:val="auto"/>
          <w:kern w:val="0"/>
          <w:szCs w:val="21"/>
          <w:highlight w:val="none"/>
        </w:rPr>
        <w:t>之日起十五日内，承包人无法按合同规定及竞标文件的承诺进场经监理工程师认可的该施工阶段应有的全部人员和机械的。</w:t>
      </w:r>
    </w:p>
    <w:p w14:paraId="7149C7E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使用人承担 </w:t>
      </w:r>
      <w:r>
        <w:rPr>
          <w:rFonts w:hint="eastAsia" w:ascii="宋体" w:hAnsi="宋体" w:cs="宋体"/>
          <w:color w:val="auto"/>
          <w:kern w:val="0"/>
          <w:szCs w:val="21"/>
          <w:highlight w:val="none"/>
        </w:rPr>
        <w:t>。</w:t>
      </w:r>
    </w:p>
    <w:p w14:paraId="389E4E24">
      <w:pPr>
        <w:pStyle w:val="3"/>
        <w:rPr>
          <w:rFonts w:hint="eastAsia" w:ascii="宋体" w:hAnsi="宋体" w:eastAsia="宋体" w:cs="宋体"/>
          <w:color w:val="auto"/>
          <w:sz w:val="21"/>
          <w:szCs w:val="21"/>
          <w:highlight w:val="none"/>
        </w:rPr>
      </w:pPr>
      <w:bookmarkStart w:id="1012" w:name="_Toc373478416"/>
      <w:bookmarkStart w:id="1013" w:name="_Toc389065334"/>
      <w:bookmarkStart w:id="1014" w:name="_Toc407135272"/>
      <w:bookmarkStart w:id="1015" w:name="_Toc373227769"/>
      <w:bookmarkStart w:id="1016" w:name="_Toc351203649"/>
      <w:bookmarkStart w:id="1017" w:name="_Toc9850600"/>
      <w:r>
        <w:rPr>
          <w:rFonts w:hint="eastAsia" w:ascii="宋体" w:hAnsi="宋体" w:eastAsia="宋体" w:cs="宋体"/>
          <w:color w:val="auto"/>
          <w:sz w:val="21"/>
          <w:szCs w:val="21"/>
          <w:highlight w:val="none"/>
        </w:rPr>
        <w:t>17. 不可抗力</w:t>
      </w:r>
      <w:bookmarkEnd w:id="1012"/>
      <w:bookmarkEnd w:id="1013"/>
      <w:bookmarkEnd w:id="1014"/>
      <w:bookmarkEnd w:id="1015"/>
      <w:bookmarkEnd w:id="1016"/>
      <w:bookmarkEnd w:id="1017"/>
      <w:r>
        <w:rPr>
          <w:rFonts w:hint="eastAsia" w:ascii="宋体" w:hAnsi="宋体" w:eastAsia="宋体" w:cs="宋体"/>
          <w:color w:val="auto"/>
          <w:sz w:val="21"/>
          <w:szCs w:val="21"/>
          <w:highlight w:val="none"/>
        </w:rPr>
        <w:t xml:space="preserve"> </w:t>
      </w:r>
      <w:bookmarkEnd w:id="998"/>
    </w:p>
    <w:p w14:paraId="54FF7DAD">
      <w:pPr>
        <w:pStyle w:val="4"/>
        <w:rPr>
          <w:rFonts w:hint="eastAsia" w:ascii="宋体" w:hAnsi="宋体" w:cs="宋体"/>
          <w:color w:val="auto"/>
          <w:sz w:val="21"/>
          <w:szCs w:val="21"/>
          <w:highlight w:val="none"/>
        </w:rPr>
      </w:pPr>
      <w:bookmarkStart w:id="1018" w:name="_Toc407135273"/>
      <w:bookmarkStart w:id="1019" w:name="_Toc389065335"/>
      <w:bookmarkStart w:id="1020" w:name="_Toc373478417"/>
      <w:bookmarkStart w:id="1021" w:name="_Toc373227770"/>
      <w:bookmarkStart w:id="1022" w:name="_Toc9850601"/>
      <w:r>
        <w:rPr>
          <w:rFonts w:hint="eastAsia" w:ascii="宋体" w:hAnsi="宋体" w:cs="宋体"/>
          <w:color w:val="auto"/>
          <w:sz w:val="21"/>
          <w:szCs w:val="21"/>
          <w:highlight w:val="none"/>
        </w:rPr>
        <w:t>17.1 不可抗力的确认</w:t>
      </w:r>
      <w:bookmarkEnd w:id="1018"/>
      <w:bookmarkEnd w:id="1019"/>
      <w:bookmarkEnd w:id="1020"/>
      <w:bookmarkEnd w:id="1021"/>
      <w:bookmarkEnd w:id="1022"/>
    </w:p>
    <w:p w14:paraId="1374B966">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除通用合同条款约定的不可抗力事件之外，视为不可抗力的其他情形：</w:t>
      </w:r>
      <w:r>
        <w:rPr>
          <w:rFonts w:hint="eastAsia" w:ascii="宋体" w:hAnsi="宋体" w:cs="宋体"/>
          <w:color w:val="auto"/>
          <w:kern w:val="0"/>
          <w:szCs w:val="21"/>
          <w:highlight w:val="none"/>
          <w:u w:val="single"/>
        </w:rPr>
        <w:t xml:space="preserve"> 以有关部门发布的文告或文件为准 </w:t>
      </w:r>
      <w:r>
        <w:rPr>
          <w:rFonts w:hint="eastAsia" w:ascii="宋体" w:hAnsi="宋体" w:cs="宋体"/>
          <w:color w:val="auto"/>
          <w:kern w:val="0"/>
          <w:szCs w:val="21"/>
          <w:highlight w:val="none"/>
        </w:rPr>
        <w:t>。</w:t>
      </w:r>
    </w:p>
    <w:p w14:paraId="58C0AB7E">
      <w:pPr>
        <w:pStyle w:val="4"/>
        <w:rPr>
          <w:rFonts w:hint="eastAsia" w:ascii="宋体" w:hAnsi="宋体" w:cs="宋体"/>
          <w:color w:val="auto"/>
          <w:sz w:val="21"/>
          <w:szCs w:val="21"/>
          <w:highlight w:val="none"/>
        </w:rPr>
      </w:pPr>
      <w:bookmarkStart w:id="1023" w:name="_Toc389065336"/>
      <w:bookmarkStart w:id="1024" w:name="_Toc407135274"/>
      <w:bookmarkStart w:id="1025" w:name="_Toc373478418"/>
      <w:bookmarkStart w:id="1026" w:name="_Toc373227771"/>
      <w:bookmarkStart w:id="1027" w:name="_Toc9850602"/>
      <w:r>
        <w:rPr>
          <w:rFonts w:hint="eastAsia" w:ascii="宋体" w:hAnsi="宋体" w:cs="宋体"/>
          <w:color w:val="auto"/>
          <w:sz w:val="21"/>
          <w:szCs w:val="21"/>
          <w:highlight w:val="none"/>
        </w:rPr>
        <w:t>17.4 因不可抗力解除合同</w:t>
      </w:r>
      <w:bookmarkEnd w:id="1023"/>
      <w:bookmarkEnd w:id="1024"/>
      <w:bookmarkEnd w:id="1025"/>
      <w:bookmarkEnd w:id="1026"/>
      <w:bookmarkEnd w:id="1027"/>
    </w:p>
    <w:p w14:paraId="5D7B0A3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28 </w:t>
      </w:r>
      <w:r>
        <w:rPr>
          <w:rFonts w:hint="eastAsia" w:ascii="宋体" w:hAnsi="宋体" w:cs="宋体"/>
          <w:color w:val="auto"/>
          <w:szCs w:val="21"/>
          <w:highlight w:val="none"/>
        </w:rPr>
        <w:t>天内完成款项的支付。</w:t>
      </w:r>
    </w:p>
    <w:p w14:paraId="51F947CD">
      <w:pPr>
        <w:pStyle w:val="3"/>
        <w:rPr>
          <w:rFonts w:hint="eastAsia" w:ascii="宋体" w:hAnsi="宋体" w:eastAsia="宋体" w:cs="宋体"/>
          <w:color w:val="auto"/>
          <w:sz w:val="21"/>
          <w:szCs w:val="21"/>
          <w:highlight w:val="none"/>
        </w:rPr>
      </w:pPr>
      <w:bookmarkStart w:id="1028" w:name="_Toc351203650"/>
      <w:bookmarkStart w:id="1029" w:name="_Toc373227772"/>
      <w:bookmarkStart w:id="1030" w:name="_Toc407135275"/>
      <w:bookmarkStart w:id="1031" w:name="_Toc9850603"/>
      <w:bookmarkStart w:id="1032" w:name="_Toc373478419"/>
      <w:bookmarkStart w:id="1033" w:name="_Toc389065337"/>
      <w:r>
        <w:rPr>
          <w:rFonts w:hint="eastAsia" w:ascii="宋体" w:hAnsi="宋体" w:eastAsia="宋体" w:cs="宋体"/>
          <w:color w:val="auto"/>
          <w:sz w:val="21"/>
          <w:szCs w:val="21"/>
          <w:highlight w:val="none"/>
        </w:rPr>
        <w:t>18. 保险</w:t>
      </w:r>
      <w:bookmarkEnd w:id="1028"/>
      <w:bookmarkEnd w:id="1029"/>
      <w:bookmarkEnd w:id="1030"/>
      <w:bookmarkEnd w:id="1031"/>
      <w:bookmarkEnd w:id="1032"/>
      <w:bookmarkEnd w:id="1033"/>
    </w:p>
    <w:bookmarkEnd w:id="999"/>
    <w:p w14:paraId="381C0CF9">
      <w:pPr>
        <w:pStyle w:val="4"/>
        <w:rPr>
          <w:rFonts w:hint="eastAsia" w:ascii="宋体" w:hAnsi="宋体" w:cs="宋体"/>
          <w:color w:val="auto"/>
          <w:sz w:val="21"/>
          <w:szCs w:val="21"/>
          <w:highlight w:val="none"/>
        </w:rPr>
      </w:pPr>
      <w:bookmarkStart w:id="1034" w:name="_Toc373227773"/>
      <w:bookmarkStart w:id="1035" w:name="_Toc9850604"/>
      <w:bookmarkStart w:id="1036" w:name="_Toc389065338"/>
      <w:bookmarkStart w:id="1037" w:name="_Toc373478420"/>
      <w:bookmarkStart w:id="1038" w:name="_Toc407135276"/>
      <w:r>
        <w:rPr>
          <w:rFonts w:hint="eastAsia" w:ascii="宋体" w:hAnsi="宋体" w:cs="宋体"/>
          <w:color w:val="auto"/>
          <w:sz w:val="21"/>
          <w:szCs w:val="21"/>
          <w:highlight w:val="none"/>
        </w:rPr>
        <w:t>18.1 工程保险</w:t>
      </w:r>
      <w:bookmarkEnd w:id="1034"/>
      <w:bookmarkEnd w:id="1035"/>
      <w:bookmarkEnd w:id="1036"/>
      <w:bookmarkEnd w:id="1037"/>
      <w:bookmarkEnd w:id="1038"/>
    </w:p>
    <w:p w14:paraId="0BCD788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kern w:val="0"/>
          <w:szCs w:val="21"/>
          <w:highlight w:val="none"/>
          <w:u w:val="single"/>
        </w:rPr>
        <w:t xml:space="preserve"> 本工程投保工程保险。投保工程保险时，险种为：意外伤害保险、财产险、第三者责任险等等并符合以下约定 </w:t>
      </w:r>
      <w:r>
        <w:rPr>
          <w:rFonts w:hint="eastAsia" w:ascii="宋体" w:hAnsi="宋体" w:cs="宋体"/>
          <w:color w:val="auto"/>
          <w:kern w:val="0"/>
          <w:szCs w:val="21"/>
          <w:highlight w:val="none"/>
        </w:rPr>
        <w:t>。</w:t>
      </w:r>
    </w:p>
    <w:p w14:paraId="50F35C47">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(1)投保人：承包人</w:t>
      </w:r>
    </w:p>
    <w:p w14:paraId="5BC1CE69">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保内容：承包人必须依据相关规定为在施工现场的承包人施工作业人员和工程管理人员以及由于施工现场施工直接给其带来意外伤害的其他人员（包括发包人的人员）办理意外伤害保险，并应根据国家及工程所在地市的法律法规及规范文件的要求为上述人员的生命财产和相关设施、施工机械设备办理保险并保证一旦这类设施设备等遭受损坏，能足够用于清运和现场重置，保险费用已包含在合同价款中。承包人应保证保险范围，配额，类别等能够满足本工程的需要。监理人随时可以要求承包人呈交保险单和收据以供查阅。保险期若因承包人的过失而需延长，因此而增加的保险费由承包人负担。在承保人的赔偿未发放前，所有有关本工程的抢险费用先由承包人垫付。如发生有任何因与本工程的或与本工程施工有关的人身伤害或财产损失，承包人须立即通知发包人，并以书面形式详述情形经过。承包人须对其任何职员、雇员的意外或伤亡负全责。承包人应保障发包人免负任何有关承包人职员、雇员的意外或伤亡的索赔、要求、诉讼、成本、费用和支出的责任。若发包人因此承担了责任，承包人应予以全额赔偿。</w:t>
      </w:r>
    </w:p>
    <w:p w14:paraId="533423E9">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(3)保险费率：由投保人与合同双方同意的保险人商定。</w:t>
      </w:r>
    </w:p>
    <w:p w14:paraId="3BE3217D">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(4)保险金额：承包人应保证保险范围，配额，类别等能够满足本工程的需要。</w:t>
      </w:r>
    </w:p>
    <w:p w14:paraId="56ECCF49">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(5)保险期限：工程开工之日止工程质量缺陷期满为止。</w:t>
      </w:r>
    </w:p>
    <w:p w14:paraId="533B9B2A">
      <w:pPr>
        <w:pStyle w:val="4"/>
        <w:rPr>
          <w:rFonts w:hint="eastAsia" w:ascii="宋体" w:hAnsi="宋体" w:cs="宋体"/>
          <w:color w:val="auto"/>
          <w:sz w:val="21"/>
          <w:szCs w:val="21"/>
          <w:highlight w:val="none"/>
        </w:rPr>
      </w:pPr>
      <w:bookmarkStart w:id="1039" w:name="_Toc373227774"/>
      <w:bookmarkStart w:id="1040" w:name="_Toc373478421"/>
      <w:bookmarkStart w:id="1041" w:name="_Toc407135277"/>
      <w:bookmarkStart w:id="1042" w:name="_Toc9850605"/>
      <w:bookmarkStart w:id="1043" w:name="_Toc389065339"/>
      <w:r>
        <w:rPr>
          <w:rFonts w:hint="eastAsia" w:ascii="宋体" w:hAnsi="宋体" w:cs="宋体"/>
          <w:color w:val="auto"/>
          <w:sz w:val="21"/>
          <w:szCs w:val="21"/>
          <w:highlight w:val="none"/>
        </w:rPr>
        <w:t>18.3 其他保险</w:t>
      </w:r>
      <w:bookmarkEnd w:id="1039"/>
      <w:bookmarkEnd w:id="1040"/>
      <w:bookmarkEnd w:id="1041"/>
      <w:bookmarkEnd w:id="1042"/>
      <w:bookmarkEnd w:id="1043"/>
    </w:p>
    <w:p w14:paraId="0D94507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szCs w:val="21"/>
          <w:highlight w:val="none"/>
          <w:u w:val="single"/>
        </w:rPr>
        <w:t xml:space="preserve"> 承包人施工现场从事施工的所有作业人员和管理人员均应为承包人员工，并已购买工伤保险 </w:t>
      </w:r>
      <w:r>
        <w:rPr>
          <w:rFonts w:hint="eastAsia" w:ascii="宋体" w:hAnsi="宋体" w:cs="宋体"/>
          <w:color w:val="auto"/>
          <w:szCs w:val="21"/>
          <w:highlight w:val="none"/>
        </w:rPr>
        <w:t>。</w:t>
      </w:r>
    </w:p>
    <w:p w14:paraId="2C0BB5FE">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 xml:space="preserve"> 按本合同《通用条款》18.3执行 </w:t>
      </w:r>
      <w:r>
        <w:rPr>
          <w:rFonts w:hint="eastAsia" w:ascii="宋体" w:hAnsi="宋体" w:cs="宋体"/>
          <w:color w:val="auto"/>
          <w:szCs w:val="21"/>
          <w:highlight w:val="none"/>
        </w:rPr>
        <w:t>。</w:t>
      </w:r>
    </w:p>
    <w:p w14:paraId="679416A9">
      <w:pPr>
        <w:pStyle w:val="4"/>
        <w:rPr>
          <w:rFonts w:hint="eastAsia" w:ascii="宋体" w:hAnsi="宋体" w:cs="宋体"/>
          <w:color w:val="auto"/>
          <w:sz w:val="21"/>
          <w:szCs w:val="21"/>
          <w:highlight w:val="none"/>
        </w:rPr>
      </w:pPr>
      <w:bookmarkStart w:id="1044" w:name="_Toc373478422"/>
      <w:bookmarkStart w:id="1045" w:name="_Toc373227775"/>
      <w:bookmarkStart w:id="1046" w:name="_Toc389065340"/>
      <w:bookmarkStart w:id="1047" w:name="_Toc9850606"/>
      <w:bookmarkStart w:id="1048" w:name="_Toc407135278"/>
      <w:r>
        <w:rPr>
          <w:rFonts w:hint="eastAsia" w:ascii="宋体" w:hAnsi="宋体" w:cs="宋体"/>
          <w:color w:val="auto"/>
          <w:sz w:val="21"/>
          <w:szCs w:val="21"/>
          <w:highlight w:val="none"/>
        </w:rPr>
        <w:t>18.7 通知义务</w:t>
      </w:r>
      <w:bookmarkEnd w:id="1044"/>
      <w:bookmarkEnd w:id="1045"/>
      <w:bookmarkEnd w:id="1046"/>
      <w:bookmarkEnd w:id="1047"/>
      <w:bookmarkEnd w:id="1048"/>
    </w:p>
    <w:p w14:paraId="6C813C6C">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szCs w:val="21"/>
          <w:highlight w:val="none"/>
          <w:u w:val="single"/>
        </w:rPr>
        <w:t xml:space="preserve"> 按本合同《通用条款》18.7执行 </w:t>
      </w:r>
      <w:r>
        <w:rPr>
          <w:rFonts w:hint="eastAsia" w:ascii="宋体" w:hAnsi="宋体" w:cs="宋体"/>
          <w:color w:val="auto"/>
          <w:szCs w:val="21"/>
          <w:highlight w:val="none"/>
        </w:rPr>
        <w:t>。</w:t>
      </w:r>
    </w:p>
    <w:bookmarkEnd w:id="953"/>
    <w:bookmarkEnd w:id="954"/>
    <w:bookmarkEnd w:id="955"/>
    <w:bookmarkEnd w:id="956"/>
    <w:bookmarkEnd w:id="957"/>
    <w:bookmarkEnd w:id="958"/>
    <w:bookmarkEnd w:id="959"/>
    <w:bookmarkEnd w:id="960"/>
    <w:bookmarkEnd w:id="961"/>
    <w:bookmarkEnd w:id="962"/>
    <w:bookmarkEnd w:id="963"/>
    <w:bookmarkEnd w:id="964"/>
    <w:p w14:paraId="2AEE4061">
      <w:pPr>
        <w:pStyle w:val="3"/>
        <w:rPr>
          <w:rFonts w:hint="eastAsia" w:ascii="宋体" w:hAnsi="宋体" w:eastAsia="宋体" w:cs="宋体"/>
          <w:color w:val="auto"/>
          <w:sz w:val="21"/>
          <w:szCs w:val="21"/>
          <w:highlight w:val="none"/>
        </w:rPr>
      </w:pPr>
      <w:bookmarkStart w:id="1049" w:name="_Toc389065341"/>
      <w:bookmarkStart w:id="1050" w:name="_Toc407135279"/>
      <w:bookmarkStart w:id="1051" w:name="_Toc373227776"/>
      <w:bookmarkStart w:id="1052" w:name="_Toc373478423"/>
      <w:bookmarkStart w:id="1053" w:name="_Toc351203651"/>
      <w:bookmarkStart w:id="1054" w:name="_Toc9850607"/>
      <w:r>
        <w:rPr>
          <w:rFonts w:hint="eastAsia" w:ascii="宋体" w:hAnsi="宋体" w:eastAsia="宋体" w:cs="宋体"/>
          <w:color w:val="auto"/>
          <w:sz w:val="21"/>
          <w:szCs w:val="21"/>
          <w:highlight w:val="none"/>
        </w:rPr>
        <w:t>20. 争议解决</w:t>
      </w:r>
      <w:bookmarkEnd w:id="1049"/>
      <w:bookmarkEnd w:id="1050"/>
      <w:bookmarkEnd w:id="1051"/>
      <w:bookmarkEnd w:id="1052"/>
      <w:bookmarkEnd w:id="1053"/>
      <w:bookmarkEnd w:id="1054"/>
    </w:p>
    <w:bookmarkEnd w:id="965"/>
    <w:bookmarkEnd w:id="966"/>
    <w:p w14:paraId="0E9F1432">
      <w:pPr>
        <w:pStyle w:val="4"/>
        <w:rPr>
          <w:rFonts w:hint="eastAsia" w:ascii="宋体" w:hAnsi="宋体" w:cs="宋体"/>
          <w:color w:val="auto"/>
          <w:sz w:val="21"/>
          <w:szCs w:val="21"/>
          <w:highlight w:val="none"/>
        </w:rPr>
      </w:pPr>
      <w:bookmarkStart w:id="1055" w:name="_Toc9850608"/>
      <w:bookmarkStart w:id="1056" w:name="_Toc389065342"/>
      <w:bookmarkStart w:id="1057" w:name="_Toc373227777"/>
      <w:bookmarkStart w:id="1058" w:name="_Toc373478424"/>
      <w:bookmarkStart w:id="1059" w:name="_Toc407135280"/>
      <w:r>
        <w:rPr>
          <w:rFonts w:hint="eastAsia" w:ascii="宋体" w:hAnsi="宋体" w:cs="宋体"/>
          <w:color w:val="auto"/>
          <w:sz w:val="21"/>
          <w:szCs w:val="21"/>
          <w:highlight w:val="none"/>
        </w:rPr>
        <w:t>20.3 争</w:t>
      </w:r>
      <w:bookmarkEnd w:id="967"/>
      <w:r>
        <w:rPr>
          <w:rFonts w:hint="eastAsia" w:ascii="宋体" w:hAnsi="宋体" w:cs="宋体"/>
          <w:color w:val="auto"/>
          <w:sz w:val="21"/>
          <w:szCs w:val="21"/>
          <w:highlight w:val="none"/>
        </w:rPr>
        <w:t>议评审</w:t>
      </w:r>
      <w:bookmarkEnd w:id="1055"/>
      <w:bookmarkEnd w:id="1056"/>
      <w:bookmarkEnd w:id="1057"/>
      <w:bookmarkEnd w:id="1058"/>
      <w:bookmarkEnd w:id="1059"/>
    </w:p>
    <w:p w14:paraId="5C8CBF66">
      <w:pPr>
        <w:spacing w:line="360" w:lineRule="auto"/>
        <w:ind w:left="149" w:leftChars="71" w:firstLine="315" w:firstLineChars="150"/>
        <w:jc w:val="left"/>
        <w:rPr>
          <w:rFonts w:hint="eastAsia"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6C11BD7">
      <w:pPr>
        <w:spacing w:line="360" w:lineRule="auto"/>
        <w:ind w:firstLine="420" w:firstLineChars="200"/>
        <w:jc w:val="left"/>
        <w:outlineLvl w:val="0"/>
        <w:rPr>
          <w:rFonts w:hint="eastAsia" w:ascii="宋体" w:hAnsi="宋体" w:cs="宋体"/>
          <w:color w:val="auto"/>
          <w:szCs w:val="21"/>
          <w:highlight w:val="none"/>
        </w:rPr>
      </w:pPr>
      <w:bookmarkStart w:id="1060" w:name="_Toc24059"/>
      <w:r>
        <w:rPr>
          <w:rFonts w:hint="eastAsia" w:ascii="宋体" w:hAnsi="宋体" w:cs="宋体"/>
          <w:color w:val="auto"/>
          <w:szCs w:val="21"/>
          <w:highlight w:val="none"/>
        </w:rPr>
        <w:t>20.3.1 争议评审小组的确定</w:t>
      </w:r>
      <w:bookmarkEnd w:id="1060"/>
    </w:p>
    <w:p w14:paraId="6DBA37D5">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2DB54F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9C5157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318129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D8F1068">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11D50F0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259C38E">
      <w:pPr>
        <w:pStyle w:val="4"/>
        <w:rPr>
          <w:rFonts w:hint="eastAsia" w:ascii="宋体" w:hAnsi="宋体" w:cs="宋体"/>
          <w:color w:val="auto"/>
          <w:sz w:val="21"/>
          <w:szCs w:val="21"/>
          <w:highlight w:val="none"/>
        </w:rPr>
      </w:pPr>
      <w:bookmarkStart w:id="1061" w:name="_Toc407135281"/>
      <w:bookmarkStart w:id="1062" w:name="_Toc389065343"/>
      <w:bookmarkStart w:id="1063" w:name="_Toc9850609"/>
      <w:bookmarkStart w:id="1064" w:name="_Toc373478425"/>
      <w:bookmarkStart w:id="1065" w:name="_Toc373227778"/>
      <w:r>
        <w:rPr>
          <w:rFonts w:hint="eastAsia" w:ascii="宋体" w:hAnsi="宋体" w:cs="宋体"/>
          <w:color w:val="auto"/>
          <w:sz w:val="21"/>
          <w:szCs w:val="21"/>
          <w:highlight w:val="none"/>
        </w:rPr>
        <w:t>20.4 仲裁或诉讼</w:t>
      </w:r>
      <w:bookmarkEnd w:id="968"/>
      <w:bookmarkEnd w:id="1061"/>
      <w:bookmarkEnd w:id="1062"/>
      <w:bookmarkEnd w:id="1063"/>
      <w:bookmarkEnd w:id="1064"/>
      <w:bookmarkEnd w:id="1065"/>
    </w:p>
    <w:p w14:paraId="1538A2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种方式解决：</w:t>
      </w:r>
    </w:p>
    <w:p w14:paraId="5E4DC71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钦州市 </w:t>
      </w:r>
      <w:r>
        <w:rPr>
          <w:rFonts w:hint="eastAsia" w:ascii="宋体" w:hAnsi="宋体" w:cs="宋体"/>
          <w:color w:val="auto"/>
          <w:szCs w:val="21"/>
          <w:highlight w:val="none"/>
        </w:rPr>
        <w:t>仲裁委员会按照该会仲裁规则进行仲裁，仲裁裁决是终局的，对合同双方均有约束力。</w:t>
      </w:r>
    </w:p>
    <w:p w14:paraId="0BC1208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灵山县 </w:t>
      </w:r>
      <w:r>
        <w:rPr>
          <w:rFonts w:hint="eastAsia" w:ascii="宋体" w:hAnsi="宋体" w:cs="宋体"/>
          <w:color w:val="auto"/>
          <w:szCs w:val="21"/>
          <w:highlight w:val="none"/>
        </w:rPr>
        <w:t>人民法院起诉。</w:t>
      </w:r>
      <w:bookmarkEnd w:id="969"/>
      <w:bookmarkEnd w:id="970"/>
      <w:bookmarkEnd w:id="971"/>
      <w:bookmarkEnd w:id="972"/>
      <w:bookmarkEnd w:id="973"/>
      <w:bookmarkEnd w:id="974"/>
    </w:p>
    <w:p w14:paraId="4A861821">
      <w:pPr>
        <w:pStyle w:val="292"/>
        <w:spacing w:line="460" w:lineRule="exact"/>
        <w:rPr>
          <w:rFonts w:hint="eastAsia" w:hAnsi="宋体"/>
          <w:color w:val="auto"/>
          <w:sz w:val="21"/>
          <w:highlight w:val="none"/>
          <w:lang w:eastAsia="zh-CN"/>
        </w:rPr>
      </w:pPr>
    </w:p>
    <w:p w14:paraId="10D45B25">
      <w:pPr>
        <w:pStyle w:val="205"/>
        <w:spacing w:line="360" w:lineRule="auto"/>
        <w:jc w:val="left"/>
        <w:rPr>
          <w:rFonts w:hint="eastAsia" w:ascii="宋体" w:hAnsi="宋体" w:cs="宋体"/>
          <w:b/>
          <w:bCs/>
          <w:color w:val="auto"/>
          <w:szCs w:val="21"/>
          <w:highlight w:val="none"/>
        </w:rPr>
      </w:pPr>
      <w:bookmarkStart w:id="1066" w:name="_Toc351203652"/>
      <w:r>
        <w:rPr>
          <w:rFonts w:hint="eastAsia" w:ascii="宋体" w:hAnsi="宋体" w:cs="宋体"/>
          <w:b/>
          <w:bCs/>
          <w:color w:val="auto"/>
          <w:szCs w:val="21"/>
          <w:highlight w:val="none"/>
        </w:rPr>
        <w:t>附件</w:t>
      </w:r>
      <w:bookmarkEnd w:id="1066"/>
    </w:p>
    <w:p w14:paraId="1016313E">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附件1：承包人承揽工程项目一览表</w:t>
      </w:r>
    </w:p>
    <w:p w14:paraId="3DD6AB4B">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附件2：工程质量保修书</w:t>
      </w:r>
    </w:p>
    <w:p w14:paraId="3266DAB9">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附件3：主要建设工程文件目录</w:t>
      </w:r>
    </w:p>
    <w:p w14:paraId="2D844701">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附件4：承包人用于本工程施工的机械设备表</w:t>
      </w:r>
    </w:p>
    <w:p w14:paraId="6D5DBA68">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附件5：承包人主要施工管理人员表</w:t>
      </w:r>
    </w:p>
    <w:p w14:paraId="14999AA2">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附件6：分包人主要施工管理人员表</w:t>
      </w:r>
    </w:p>
    <w:p w14:paraId="19965D61">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附件7：履约担保格式</w:t>
      </w:r>
    </w:p>
    <w:p w14:paraId="00A75DE2">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附件8：预付款担保格式</w:t>
      </w:r>
    </w:p>
    <w:p w14:paraId="0DA26AD6">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附件9：支付担保格式</w:t>
      </w:r>
    </w:p>
    <w:p w14:paraId="33910B2F">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附件10：预付款支付申请（核准）表</w:t>
      </w:r>
    </w:p>
    <w:p w14:paraId="71AE13A1">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附件11：进度款支付申请（核准）表</w:t>
      </w:r>
    </w:p>
    <w:p w14:paraId="461A028B">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附件12：竣工结算款支付申请（核准）表</w:t>
      </w:r>
    </w:p>
    <w:p w14:paraId="16E6AEFA">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附件13：最终结算款支付申请（核准）表</w:t>
      </w:r>
    </w:p>
    <w:p w14:paraId="766B2E5B">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附件14：总价合同进度款支付分解表</w:t>
      </w:r>
    </w:p>
    <w:p w14:paraId="331A3762">
      <w:pPr>
        <w:pStyle w:val="293"/>
        <w:spacing w:before="156" w:beforeLines="50" w:after="156" w:afterLines="50" w:line="440" w:lineRule="exact"/>
        <w:jc w:val="left"/>
        <w:rPr>
          <w:rFonts w:hint="eastAsia" w:ascii="宋体" w:hAnsi="宋体" w:cs="宋体"/>
          <w:color w:val="auto"/>
          <w:szCs w:val="21"/>
          <w:highlight w:val="none"/>
        </w:rPr>
      </w:pPr>
    </w:p>
    <w:p w14:paraId="11830621">
      <w:pPr>
        <w:pStyle w:val="293"/>
        <w:spacing w:before="156" w:beforeLines="50" w:after="156" w:afterLines="50" w:line="440" w:lineRule="exact"/>
        <w:jc w:val="left"/>
        <w:rPr>
          <w:rFonts w:hint="eastAsia" w:ascii="宋体" w:hAnsi="宋体" w:cs="宋体"/>
          <w:color w:val="auto"/>
          <w:szCs w:val="21"/>
          <w:highlight w:val="none"/>
        </w:rPr>
      </w:pPr>
    </w:p>
    <w:p w14:paraId="55873AFD">
      <w:pPr>
        <w:pStyle w:val="293"/>
        <w:spacing w:before="156" w:beforeLines="50" w:after="156" w:afterLines="50" w:line="440" w:lineRule="exact"/>
        <w:jc w:val="left"/>
        <w:rPr>
          <w:rFonts w:hint="eastAsia" w:ascii="宋体" w:hAnsi="宋体" w:cs="宋体"/>
          <w:color w:val="auto"/>
          <w:szCs w:val="21"/>
          <w:highlight w:val="none"/>
        </w:rPr>
      </w:pPr>
    </w:p>
    <w:p w14:paraId="74873DB0">
      <w:pPr>
        <w:pStyle w:val="293"/>
        <w:spacing w:before="156" w:beforeLines="50" w:after="156" w:afterLines="50" w:line="440" w:lineRule="exact"/>
        <w:jc w:val="left"/>
        <w:rPr>
          <w:rFonts w:hint="eastAsia" w:ascii="宋体" w:hAnsi="宋体" w:cs="宋体"/>
          <w:color w:val="auto"/>
          <w:szCs w:val="21"/>
          <w:highlight w:val="none"/>
        </w:rPr>
      </w:pPr>
    </w:p>
    <w:p w14:paraId="6F33F11E">
      <w:pPr>
        <w:pStyle w:val="293"/>
        <w:spacing w:before="156" w:beforeLines="50" w:after="156" w:afterLines="50" w:line="440" w:lineRule="exact"/>
        <w:jc w:val="left"/>
        <w:rPr>
          <w:rFonts w:hint="eastAsia" w:ascii="宋体" w:hAnsi="宋体" w:cs="宋体"/>
          <w:color w:val="auto"/>
          <w:szCs w:val="21"/>
          <w:highlight w:val="none"/>
        </w:rPr>
      </w:pPr>
    </w:p>
    <w:p w14:paraId="7CE00735">
      <w:pPr>
        <w:pStyle w:val="293"/>
        <w:spacing w:before="156" w:beforeLines="50" w:after="156" w:afterLines="50" w:line="440" w:lineRule="exact"/>
        <w:jc w:val="left"/>
        <w:rPr>
          <w:rFonts w:hint="eastAsia" w:ascii="宋体" w:hAnsi="宋体" w:cs="宋体"/>
          <w:color w:val="auto"/>
          <w:szCs w:val="21"/>
          <w:highlight w:val="none"/>
        </w:rPr>
      </w:pPr>
    </w:p>
    <w:p w14:paraId="32EA2F98">
      <w:pPr>
        <w:pStyle w:val="293"/>
        <w:spacing w:before="156" w:beforeLines="50" w:after="156" w:afterLines="50" w:line="440" w:lineRule="exact"/>
        <w:jc w:val="left"/>
        <w:rPr>
          <w:rFonts w:hint="eastAsia" w:ascii="宋体" w:hAnsi="宋体" w:cs="宋体"/>
          <w:color w:val="auto"/>
          <w:szCs w:val="21"/>
          <w:highlight w:val="none"/>
        </w:rPr>
      </w:pPr>
    </w:p>
    <w:p w14:paraId="1F72D29E">
      <w:pPr>
        <w:pStyle w:val="293"/>
        <w:spacing w:before="156" w:beforeLines="50" w:after="156" w:afterLines="50" w:line="440" w:lineRule="exact"/>
        <w:jc w:val="left"/>
        <w:rPr>
          <w:rFonts w:hint="eastAsia" w:ascii="宋体" w:hAnsi="宋体" w:cs="宋体"/>
          <w:color w:val="auto"/>
          <w:szCs w:val="21"/>
          <w:highlight w:val="none"/>
        </w:rPr>
      </w:pPr>
    </w:p>
    <w:p w14:paraId="77B14082">
      <w:pPr>
        <w:pStyle w:val="293"/>
        <w:spacing w:before="156" w:beforeLines="50" w:after="156" w:afterLines="50" w:line="440" w:lineRule="exact"/>
        <w:jc w:val="left"/>
        <w:rPr>
          <w:rFonts w:hint="eastAsia" w:ascii="宋体" w:hAnsi="宋体" w:cs="宋体"/>
          <w:color w:val="auto"/>
          <w:szCs w:val="21"/>
          <w:highlight w:val="none"/>
        </w:rPr>
      </w:pPr>
    </w:p>
    <w:p w14:paraId="4E5C2E8C">
      <w:pPr>
        <w:pStyle w:val="293"/>
        <w:spacing w:before="156" w:beforeLines="50" w:after="156" w:afterLines="50" w:line="440" w:lineRule="exact"/>
        <w:jc w:val="left"/>
        <w:rPr>
          <w:rFonts w:hint="eastAsia" w:ascii="宋体" w:hAnsi="宋体" w:cs="宋体"/>
          <w:color w:val="auto"/>
          <w:szCs w:val="21"/>
          <w:highlight w:val="none"/>
        </w:rPr>
      </w:pPr>
    </w:p>
    <w:p w14:paraId="174DE98A">
      <w:pPr>
        <w:pStyle w:val="293"/>
        <w:spacing w:before="156" w:beforeLines="50" w:after="156" w:afterLines="50"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附件1：</w:t>
      </w:r>
    </w:p>
    <w:p w14:paraId="2669A40A">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承包人承揽工程项目一览表</w:t>
      </w:r>
    </w:p>
    <w:p w14:paraId="759D872F">
      <w:pPr>
        <w:pStyle w:val="293"/>
        <w:spacing w:line="460" w:lineRule="exact"/>
        <w:ind w:firstLine="420" w:firstLineChars="200"/>
        <w:rPr>
          <w:rFonts w:hint="eastAsia" w:ascii="宋体" w:hAnsi="宋体" w:cs="宋体"/>
          <w:color w:val="auto"/>
          <w:szCs w:val="21"/>
          <w:highlight w:val="none"/>
        </w:rPr>
      </w:pPr>
    </w:p>
    <w:p w14:paraId="07A8820D">
      <w:pPr>
        <w:pStyle w:val="293"/>
        <w:spacing w:line="460" w:lineRule="exact"/>
        <w:ind w:firstLine="420" w:firstLineChars="200"/>
        <w:rPr>
          <w:rFonts w:hint="eastAsia" w:ascii="宋体" w:hAnsi="宋体" w:cs="宋体"/>
          <w:color w:val="auto"/>
          <w:szCs w:val="21"/>
          <w:highlight w:val="none"/>
        </w:rPr>
      </w:pPr>
    </w:p>
    <w:tbl>
      <w:tblPr>
        <w:tblStyle w:val="52"/>
        <w:tblpPr w:leftFromText="180" w:rightFromText="180" w:vertAnchor="text" w:horzAnchor="page" w:tblpX="552" w:tblpY="1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5"/>
        <w:gridCol w:w="799"/>
        <w:gridCol w:w="1178"/>
        <w:gridCol w:w="1948"/>
        <w:gridCol w:w="883"/>
        <w:gridCol w:w="1346"/>
        <w:gridCol w:w="1301"/>
        <w:gridCol w:w="938"/>
        <w:gridCol w:w="1018"/>
        <w:gridCol w:w="741"/>
      </w:tblGrid>
      <w:tr w14:paraId="122F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3" w:hRule="atLeast"/>
        </w:trPr>
        <w:tc>
          <w:tcPr>
            <w:tcW w:w="835" w:type="dxa"/>
            <w:noWrap w:val="0"/>
            <w:vAlign w:val="center"/>
          </w:tcPr>
          <w:p w14:paraId="0BA2355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单位工程名称</w:t>
            </w:r>
          </w:p>
        </w:tc>
        <w:tc>
          <w:tcPr>
            <w:tcW w:w="799" w:type="dxa"/>
            <w:noWrap w:val="0"/>
            <w:vAlign w:val="center"/>
          </w:tcPr>
          <w:p w14:paraId="160E28C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1178" w:type="dxa"/>
            <w:noWrap w:val="0"/>
            <w:vAlign w:val="center"/>
          </w:tcPr>
          <w:p w14:paraId="337F7BE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建筑面积(平方米)</w:t>
            </w:r>
          </w:p>
        </w:tc>
        <w:tc>
          <w:tcPr>
            <w:tcW w:w="1948" w:type="dxa"/>
            <w:noWrap w:val="0"/>
            <w:vAlign w:val="center"/>
          </w:tcPr>
          <w:p w14:paraId="532BE03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结构形式</w:t>
            </w:r>
          </w:p>
        </w:tc>
        <w:tc>
          <w:tcPr>
            <w:tcW w:w="883" w:type="dxa"/>
            <w:noWrap w:val="0"/>
            <w:vAlign w:val="center"/>
          </w:tcPr>
          <w:p w14:paraId="687182F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层数</w:t>
            </w:r>
          </w:p>
        </w:tc>
        <w:tc>
          <w:tcPr>
            <w:tcW w:w="1346" w:type="dxa"/>
            <w:noWrap w:val="0"/>
            <w:vAlign w:val="center"/>
          </w:tcPr>
          <w:p w14:paraId="4829E0C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1301" w:type="dxa"/>
            <w:noWrap w:val="0"/>
            <w:vAlign w:val="center"/>
          </w:tcPr>
          <w:p w14:paraId="0465614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设备安装内容</w:t>
            </w:r>
          </w:p>
        </w:tc>
        <w:tc>
          <w:tcPr>
            <w:tcW w:w="938" w:type="dxa"/>
            <w:noWrap w:val="0"/>
            <w:vAlign w:val="center"/>
          </w:tcPr>
          <w:p w14:paraId="0C6B468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018" w:type="dxa"/>
            <w:noWrap w:val="0"/>
            <w:vAlign w:val="center"/>
          </w:tcPr>
          <w:p w14:paraId="319AB63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741" w:type="dxa"/>
            <w:noWrap w:val="0"/>
            <w:vAlign w:val="center"/>
          </w:tcPr>
          <w:p w14:paraId="0DE8703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竣工日期</w:t>
            </w:r>
          </w:p>
        </w:tc>
      </w:tr>
      <w:tr w14:paraId="6DDB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3839FC8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6AD8741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65AFA80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7183317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169FD50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2919974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07932EC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111929A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1D7C07C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502A623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667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4230D19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0BFE79B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7F9EC32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6608FD2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72ED7A0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3BA5C26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4F5CD75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48B76EA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3DB82A8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22F9A66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6BC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00B6F20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5665554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48DF30D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75345F6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0206187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6FFD6C4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1B0C725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49D83EE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1BEAF01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7A6617E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08E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0F776E3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7A59834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1E0FD41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58106C6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651BE76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4A8ED9C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650B23F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53B2408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0B88D73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2A158A0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F5B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40F1174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46FAAB8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6EB62EB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3B2A718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035DB2A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636A415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2F23A9A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41544A6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2977A9D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3D0E7CB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123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566AEFD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765B378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4F3DAC5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7EEC9C1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0578FF9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7FCAC8D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60BF503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3F9B6CD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3CE81C5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70389E9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CD2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6B72342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3E44FBC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76EB8FA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5E964E5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4EE421D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47CB879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524B1F4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019C5F2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342B911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355C072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B84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68E4786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2C92E93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4EA79A0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4D2A16C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342CEBF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042ED33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484BB37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18F8CE0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75BD572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76E2B2B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598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29BB76C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346BE74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30C97C1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25E41CA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36DF1DB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47BE44C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06880BC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0ECD591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1A1DF63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46A5A19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5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trPr>
        <w:tc>
          <w:tcPr>
            <w:tcW w:w="835" w:type="dxa"/>
            <w:noWrap w:val="0"/>
            <w:vAlign w:val="center"/>
          </w:tcPr>
          <w:p w14:paraId="10277D0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7AF5FCF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1A37AF7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26769B6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4699BDF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1F14907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0D4DA88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555D67B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6E7CE16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25C4B1C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bl>
    <w:p w14:paraId="1646C9CB">
      <w:pPr>
        <w:pStyle w:val="293"/>
        <w:spacing w:line="460" w:lineRule="exact"/>
        <w:ind w:firstLine="420" w:firstLineChars="200"/>
        <w:rPr>
          <w:rFonts w:hint="eastAsia" w:ascii="宋体" w:hAnsi="宋体" w:cs="宋体"/>
          <w:color w:val="auto"/>
          <w:szCs w:val="21"/>
          <w:highlight w:val="none"/>
        </w:rPr>
      </w:pPr>
    </w:p>
    <w:p w14:paraId="07A21134">
      <w:pPr>
        <w:pStyle w:val="293"/>
        <w:spacing w:line="460" w:lineRule="exact"/>
        <w:ind w:firstLine="420" w:firstLineChars="200"/>
        <w:rPr>
          <w:rFonts w:hint="eastAsia" w:ascii="宋体" w:hAnsi="宋体" w:cs="宋体"/>
          <w:color w:val="auto"/>
          <w:szCs w:val="21"/>
          <w:highlight w:val="none"/>
        </w:rPr>
      </w:pPr>
    </w:p>
    <w:p w14:paraId="4DC3F71C">
      <w:pPr>
        <w:pStyle w:val="293"/>
        <w:spacing w:line="460" w:lineRule="exact"/>
        <w:ind w:firstLine="420" w:firstLineChars="200"/>
        <w:rPr>
          <w:rFonts w:hint="eastAsia" w:ascii="宋体" w:hAnsi="宋体" w:cs="宋体"/>
          <w:color w:val="auto"/>
          <w:szCs w:val="21"/>
          <w:highlight w:val="none"/>
        </w:rPr>
      </w:pPr>
    </w:p>
    <w:p w14:paraId="494DE114">
      <w:pPr>
        <w:pStyle w:val="293"/>
        <w:spacing w:line="460" w:lineRule="exact"/>
        <w:ind w:firstLine="420" w:firstLineChars="200"/>
        <w:rPr>
          <w:rFonts w:hint="eastAsia" w:ascii="宋体" w:hAnsi="宋体" w:cs="宋体"/>
          <w:color w:val="auto"/>
          <w:szCs w:val="21"/>
          <w:highlight w:val="none"/>
        </w:rPr>
      </w:pPr>
    </w:p>
    <w:p w14:paraId="73B6C82E">
      <w:pPr>
        <w:pStyle w:val="293"/>
        <w:spacing w:line="460" w:lineRule="exact"/>
        <w:ind w:firstLine="420" w:firstLineChars="200"/>
        <w:rPr>
          <w:rFonts w:hint="eastAsia" w:ascii="宋体" w:hAnsi="宋体" w:cs="宋体"/>
          <w:color w:val="auto"/>
          <w:szCs w:val="21"/>
          <w:highlight w:val="none"/>
        </w:rPr>
      </w:pPr>
    </w:p>
    <w:p w14:paraId="2EBD8DD2">
      <w:pPr>
        <w:pStyle w:val="293"/>
        <w:spacing w:line="460" w:lineRule="exact"/>
        <w:ind w:firstLine="420" w:firstLineChars="200"/>
        <w:rPr>
          <w:rFonts w:hint="eastAsia" w:ascii="宋体" w:hAnsi="宋体" w:cs="宋体"/>
          <w:color w:val="auto"/>
          <w:szCs w:val="21"/>
          <w:highlight w:val="none"/>
        </w:rPr>
      </w:pPr>
    </w:p>
    <w:p w14:paraId="51EE1301">
      <w:pPr>
        <w:pStyle w:val="293"/>
        <w:spacing w:line="460" w:lineRule="exact"/>
        <w:ind w:firstLine="420" w:firstLineChars="200"/>
        <w:rPr>
          <w:rFonts w:hint="eastAsia" w:ascii="宋体" w:hAnsi="宋体" w:cs="宋体"/>
          <w:color w:val="auto"/>
          <w:szCs w:val="21"/>
          <w:highlight w:val="none"/>
        </w:rPr>
      </w:pPr>
    </w:p>
    <w:p w14:paraId="0AA96EB0">
      <w:pPr>
        <w:pStyle w:val="293"/>
        <w:spacing w:line="460" w:lineRule="exact"/>
        <w:ind w:firstLine="420" w:firstLineChars="200"/>
        <w:rPr>
          <w:rFonts w:hint="eastAsia" w:ascii="宋体" w:hAnsi="宋体" w:cs="宋体"/>
          <w:color w:val="auto"/>
          <w:szCs w:val="21"/>
          <w:highlight w:val="none"/>
        </w:rPr>
      </w:pPr>
    </w:p>
    <w:p w14:paraId="644C65B9">
      <w:pPr>
        <w:pStyle w:val="293"/>
        <w:spacing w:line="460" w:lineRule="exact"/>
        <w:ind w:firstLine="420" w:firstLineChars="200"/>
        <w:rPr>
          <w:rFonts w:hint="eastAsia" w:ascii="宋体" w:hAnsi="宋体" w:cs="宋体"/>
          <w:color w:val="auto"/>
          <w:szCs w:val="21"/>
          <w:highlight w:val="none"/>
        </w:rPr>
      </w:pPr>
    </w:p>
    <w:p w14:paraId="0C0C4C60">
      <w:pPr>
        <w:pStyle w:val="293"/>
        <w:spacing w:line="460" w:lineRule="exact"/>
        <w:rPr>
          <w:rFonts w:hint="eastAsia" w:ascii="宋体" w:hAnsi="宋体" w:cs="宋体"/>
          <w:color w:val="auto"/>
          <w:szCs w:val="21"/>
          <w:highlight w:val="none"/>
        </w:rPr>
      </w:pPr>
    </w:p>
    <w:p w14:paraId="1C2BE073">
      <w:pPr>
        <w:pStyle w:val="293"/>
        <w:spacing w:line="440" w:lineRule="exact"/>
        <w:rPr>
          <w:rFonts w:hint="eastAsia" w:ascii="宋体" w:hAnsi="宋体" w:cs="宋体"/>
          <w:color w:val="auto"/>
          <w:szCs w:val="21"/>
          <w:highlight w:val="none"/>
        </w:rPr>
      </w:pPr>
    </w:p>
    <w:p w14:paraId="08344AD1">
      <w:pPr>
        <w:pStyle w:val="293"/>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附件2：</w:t>
      </w:r>
    </w:p>
    <w:p w14:paraId="2B6C91BB">
      <w:pPr>
        <w:pStyle w:val="205"/>
        <w:spacing w:before="120" w:beforeLines="50" w:after="120" w:afterLines="50" w:line="440" w:lineRule="exact"/>
        <w:jc w:val="center"/>
        <w:rPr>
          <w:rFonts w:ascii="黑体" w:hAnsi="Times New Roman" w:eastAsia="黑体"/>
          <w:sz w:val="32"/>
          <w:szCs w:val="32"/>
        </w:rPr>
      </w:pPr>
      <w:r>
        <w:rPr>
          <w:rFonts w:hint="eastAsia" w:ascii="黑体" w:hAnsi="宋体" w:eastAsia="黑体" w:cs="黑体"/>
          <w:sz w:val="32"/>
          <w:szCs w:val="32"/>
        </w:rPr>
        <w:t>工程质量保修书（市政公用工程）</w:t>
      </w:r>
    </w:p>
    <w:p w14:paraId="5D7116C8">
      <w:pPr>
        <w:pStyle w:val="205"/>
        <w:spacing w:line="360" w:lineRule="auto"/>
        <w:ind w:firstLine="420" w:firstLineChars="200"/>
        <w:rPr>
          <w:rFonts w:ascii="宋体" w:hAnsi="Times New Roman"/>
          <w:szCs w:val="21"/>
        </w:rPr>
      </w:pPr>
      <w:r>
        <w:rPr>
          <w:rFonts w:hint="eastAsia" w:ascii="宋体" w:hAnsi="宋体" w:cs="宋体"/>
          <w:szCs w:val="21"/>
        </w:rPr>
        <w:t>发包人（全称）：</w:t>
      </w:r>
      <w:r>
        <w:rPr>
          <w:rFonts w:ascii="宋体" w:hAnsi="宋体" w:cs="宋体"/>
          <w:szCs w:val="21"/>
          <w:u w:val="single"/>
        </w:rPr>
        <w:t xml:space="preserve">                                </w:t>
      </w:r>
      <w:r>
        <w:rPr>
          <w:rFonts w:ascii="宋体" w:hAnsi="宋体" w:cs="宋体"/>
          <w:szCs w:val="21"/>
        </w:rPr>
        <w:t xml:space="preserve"> </w:t>
      </w:r>
    </w:p>
    <w:p w14:paraId="70D99E1D">
      <w:pPr>
        <w:pStyle w:val="205"/>
        <w:spacing w:line="360" w:lineRule="auto"/>
        <w:ind w:firstLine="420" w:firstLineChars="200"/>
        <w:rPr>
          <w:rFonts w:ascii="宋体" w:hAnsi="Times New Roman"/>
          <w:szCs w:val="21"/>
        </w:rPr>
      </w:pPr>
      <w:r>
        <w:rPr>
          <w:rFonts w:hint="eastAsia" w:ascii="宋体" w:hAnsi="宋体" w:cs="宋体"/>
          <w:szCs w:val="21"/>
        </w:rPr>
        <w:t>承包人（全称）：</w:t>
      </w:r>
      <w:r>
        <w:rPr>
          <w:rFonts w:ascii="宋体" w:hAnsi="宋体" w:cs="宋体"/>
          <w:szCs w:val="21"/>
          <w:u w:val="single"/>
        </w:rPr>
        <w:t xml:space="preserve">                                </w:t>
      </w:r>
      <w:r>
        <w:rPr>
          <w:rFonts w:ascii="宋体" w:hAnsi="宋体" w:cs="宋体"/>
          <w:szCs w:val="21"/>
        </w:rPr>
        <w:t xml:space="preserve"> </w:t>
      </w:r>
    </w:p>
    <w:p w14:paraId="4E663069">
      <w:pPr>
        <w:pStyle w:val="205"/>
        <w:spacing w:line="360" w:lineRule="auto"/>
        <w:rPr>
          <w:rFonts w:ascii="宋体" w:hAnsi="Times New Roman"/>
          <w:szCs w:val="21"/>
        </w:rPr>
      </w:pPr>
    </w:p>
    <w:p w14:paraId="768B7682">
      <w:pPr>
        <w:pStyle w:val="205"/>
        <w:spacing w:line="360" w:lineRule="auto"/>
        <w:ind w:firstLine="420"/>
        <w:rPr>
          <w:rFonts w:ascii="宋体" w:hAnsi="Times New Roman"/>
          <w:szCs w:val="21"/>
        </w:rPr>
      </w:pPr>
      <w:r>
        <w:rPr>
          <w:rFonts w:hint="eastAsia" w:ascii="宋体" w:hAnsi="宋体" w:cs="宋体"/>
          <w:szCs w:val="21"/>
        </w:rPr>
        <w:t>发包人和承包人根据《中华人民共和国建筑法》和《建设工程质量管理条例》，经协商一致就</w:t>
      </w:r>
      <w:r>
        <w:rPr>
          <w:rFonts w:ascii="宋体" w:hAnsi="宋体" w:cs="宋体"/>
          <w:szCs w:val="21"/>
          <w:u w:val="single"/>
        </w:rPr>
        <w:t xml:space="preserve">                                     </w:t>
      </w:r>
      <w:r>
        <w:rPr>
          <w:rFonts w:hint="eastAsia" w:ascii="宋体" w:hAnsi="宋体" w:cs="宋体"/>
          <w:szCs w:val="21"/>
        </w:rPr>
        <w:t>（工程全称）签订工程质量保修书。</w:t>
      </w:r>
    </w:p>
    <w:p w14:paraId="59882E85">
      <w:pPr>
        <w:pStyle w:val="205"/>
        <w:spacing w:line="360" w:lineRule="auto"/>
        <w:ind w:firstLine="420" w:firstLineChars="200"/>
        <w:rPr>
          <w:rFonts w:ascii="黑体" w:hAnsi="宋体" w:eastAsia="黑体"/>
          <w:szCs w:val="21"/>
        </w:rPr>
      </w:pPr>
      <w:r>
        <w:rPr>
          <w:rFonts w:hint="eastAsia" w:ascii="黑体" w:hAnsi="宋体" w:eastAsia="黑体" w:cs="黑体"/>
          <w:szCs w:val="21"/>
        </w:rPr>
        <w:t>一、工程质量保修范围和内容</w:t>
      </w:r>
    </w:p>
    <w:p w14:paraId="5BB09982">
      <w:pPr>
        <w:pStyle w:val="205"/>
        <w:spacing w:line="360" w:lineRule="auto"/>
        <w:ind w:firstLine="420" w:firstLineChars="200"/>
        <w:rPr>
          <w:rFonts w:ascii="宋体" w:hAnsi="Times New Roman"/>
          <w:szCs w:val="21"/>
        </w:rPr>
      </w:pPr>
      <w:r>
        <w:rPr>
          <w:rFonts w:hint="eastAsia" w:ascii="宋体" w:hAnsi="宋体" w:cs="宋体"/>
          <w:szCs w:val="21"/>
        </w:rPr>
        <w:t>承包人在质量保修期内，按照有关法律规定和合同约定，承担工程质量保修责任。</w:t>
      </w:r>
    </w:p>
    <w:p w14:paraId="080DE6B2">
      <w:pPr>
        <w:pStyle w:val="205"/>
        <w:spacing w:line="360" w:lineRule="auto"/>
        <w:ind w:firstLine="420" w:firstLineChars="200"/>
        <w:rPr>
          <w:rFonts w:ascii="宋体" w:hAnsi="Times New Roman"/>
          <w:szCs w:val="21"/>
        </w:rPr>
      </w:pPr>
      <w:r>
        <w:rPr>
          <w:rFonts w:hint="eastAsia" w:ascii="宋体" w:hAnsi="宋体" w:cs="宋体"/>
          <w:szCs w:val="21"/>
        </w:rPr>
        <w:t>质量保修范围包括</w:t>
      </w:r>
      <w:r>
        <w:rPr>
          <w:rFonts w:ascii="宋体" w:hAnsi="宋体" w:cs="宋体"/>
          <w:szCs w:val="21"/>
          <w:u w:val="single"/>
        </w:rPr>
        <w:t xml:space="preserve">                                </w:t>
      </w:r>
      <w:r>
        <w:rPr>
          <w:rFonts w:hint="eastAsia" w:ascii="宋体" w:hAnsi="宋体" w:cs="宋体"/>
          <w:szCs w:val="21"/>
        </w:rPr>
        <w:t>，以及双方约定的其他项目。具体保修的内容，双方约定如下：</w:t>
      </w:r>
    </w:p>
    <w:p w14:paraId="144E32E6">
      <w:pPr>
        <w:pStyle w:val="205"/>
        <w:spacing w:line="360" w:lineRule="auto"/>
        <w:ind w:firstLine="420" w:firstLineChars="200"/>
        <w:rPr>
          <w:rFonts w:ascii="宋体" w:hAnsi="Times New Roman"/>
          <w:szCs w:val="21"/>
        </w:rPr>
      </w:pPr>
      <w:r>
        <w:rPr>
          <w:rFonts w:ascii="宋体" w:hAnsi="宋体" w:cs="宋体"/>
          <w:szCs w:val="21"/>
          <w:u w:val="single"/>
        </w:rPr>
        <w:t xml:space="preserve">                                                                                                                                                              </w:t>
      </w:r>
      <w:r>
        <w:rPr>
          <w:rFonts w:hint="eastAsia" w:ascii="宋体" w:hAnsi="宋体" w:cs="宋体"/>
          <w:szCs w:val="21"/>
        </w:rPr>
        <w:t>。</w:t>
      </w:r>
    </w:p>
    <w:p w14:paraId="4A904EDB">
      <w:pPr>
        <w:pStyle w:val="205"/>
        <w:spacing w:line="360" w:lineRule="auto"/>
        <w:ind w:firstLine="420" w:firstLineChars="200"/>
        <w:rPr>
          <w:rFonts w:ascii="黑体" w:hAnsi="宋体" w:eastAsia="黑体"/>
          <w:szCs w:val="21"/>
        </w:rPr>
      </w:pPr>
      <w:r>
        <w:rPr>
          <w:rFonts w:hint="eastAsia" w:ascii="黑体" w:hAnsi="宋体" w:eastAsia="黑体" w:cs="黑体"/>
          <w:szCs w:val="21"/>
        </w:rPr>
        <w:t>二、质量保修期</w:t>
      </w:r>
    </w:p>
    <w:p w14:paraId="0B5F0AAB">
      <w:pPr>
        <w:pStyle w:val="205"/>
        <w:spacing w:line="360" w:lineRule="auto"/>
        <w:ind w:firstLine="420" w:firstLineChars="200"/>
        <w:rPr>
          <w:rFonts w:ascii="宋体" w:hAnsi="Times New Roman"/>
          <w:szCs w:val="21"/>
        </w:rPr>
      </w:pPr>
      <w:r>
        <w:rPr>
          <w:rFonts w:hint="eastAsia" w:ascii="宋体" w:hAnsi="宋体" w:cs="宋体"/>
          <w:szCs w:val="21"/>
        </w:rPr>
        <w:t>根据《建设工程质量管理条例》及有关规定，工程的质量保修期如下：</w:t>
      </w:r>
    </w:p>
    <w:p w14:paraId="5C56D11F">
      <w:pPr>
        <w:pStyle w:val="205"/>
        <w:spacing w:line="360" w:lineRule="auto"/>
        <w:ind w:firstLine="426"/>
        <w:rPr>
          <w:rFonts w:ascii="Times New Roman" w:hAnsi="Times New Roman"/>
          <w:szCs w:val="21"/>
        </w:rPr>
      </w:pPr>
      <w:r>
        <w:rPr>
          <w:rFonts w:ascii="宋体" w:hAnsi="宋体" w:cs="宋体"/>
          <w:szCs w:val="21"/>
        </w:rPr>
        <w:t>1</w:t>
      </w:r>
      <w:r>
        <w:rPr>
          <w:rFonts w:hint="eastAsia" w:ascii="宋体" w:hAnsi="宋体" w:cs="宋体"/>
          <w:szCs w:val="21"/>
        </w:rPr>
        <w:t>．</w:t>
      </w:r>
      <w:r>
        <w:rPr>
          <w:rFonts w:hint="eastAsia" w:ascii="Times New Roman" w:hAnsi="Times New Roman" w:cs="宋体"/>
          <w:szCs w:val="21"/>
        </w:rPr>
        <w:t>桥梁工程为</w:t>
      </w:r>
      <w:r>
        <w:rPr>
          <w:rFonts w:ascii="Times New Roman" w:hAnsi="Times New Roman"/>
          <w:szCs w:val="21"/>
          <w:u w:val="single"/>
        </w:rPr>
        <w:t xml:space="preserve">     </w:t>
      </w:r>
      <w:r>
        <w:rPr>
          <w:rFonts w:hint="eastAsia" w:ascii="Times New Roman" w:hAnsi="Times New Roman" w:cs="宋体"/>
          <w:szCs w:val="21"/>
        </w:rPr>
        <w:t>年（建议桥梁隧道主体结构工程为设计文件规定的合理使用年限）；</w:t>
      </w:r>
    </w:p>
    <w:p w14:paraId="42C04DCA">
      <w:pPr>
        <w:pStyle w:val="205"/>
        <w:spacing w:line="360" w:lineRule="auto"/>
        <w:ind w:firstLine="426"/>
        <w:rPr>
          <w:rFonts w:ascii="Times New Roman" w:hAnsi="Times New Roman"/>
          <w:szCs w:val="21"/>
        </w:rPr>
      </w:pPr>
      <w:r>
        <w:rPr>
          <w:rFonts w:ascii="Times New Roman" w:hAnsi="Times New Roman"/>
          <w:szCs w:val="21"/>
        </w:rPr>
        <w:t>2</w:t>
      </w:r>
      <w:r>
        <w:rPr>
          <w:rFonts w:hint="eastAsia" w:ascii="宋体" w:hAnsi="宋体" w:cs="宋体"/>
          <w:szCs w:val="21"/>
        </w:rPr>
        <w:t>．</w:t>
      </w:r>
      <w:r>
        <w:rPr>
          <w:rFonts w:hint="eastAsia" w:ascii="Times New Roman" w:hAnsi="Times New Roman" w:cs="宋体"/>
          <w:szCs w:val="21"/>
        </w:rPr>
        <w:t>道路工程为</w:t>
      </w:r>
      <w:r>
        <w:rPr>
          <w:rFonts w:ascii="Times New Roman" w:hAnsi="Times New Roman"/>
          <w:szCs w:val="21"/>
          <w:u w:val="single"/>
        </w:rPr>
        <w:t xml:space="preserve">     </w:t>
      </w:r>
      <w:r>
        <w:rPr>
          <w:rFonts w:hint="eastAsia" w:ascii="Times New Roman" w:hAnsi="Times New Roman" w:cs="宋体"/>
          <w:szCs w:val="21"/>
        </w:rPr>
        <w:t>年（建议路基、路面、桥面为</w:t>
      </w:r>
      <w:r>
        <w:rPr>
          <w:rFonts w:ascii="Times New Roman" w:hAnsi="Times New Roman"/>
          <w:szCs w:val="21"/>
        </w:rPr>
        <w:t>2</w:t>
      </w:r>
      <w:r>
        <w:rPr>
          <w:rFonts w:hint="eastAsia" w:ascii="Times New Roman" w:hAnsi="Times New Roman" w:cs="宋体"/>
          <w:szCs w:val="21"/>
        </w:rPr>
        <w:t>年）；</w:t>
      </w:r>
    </w:p>
    <w:p w14:paraId="5AAF06FC">
      <w:pPr>
        <w:pStyle w:val="205"/>
        <w:spacing w:line="360" w:lineRule="auto"/>
        <w:ind w:firstLine="426"/>
        <w:rPr>
          <w:rFonts w:ascii="Times New Roman" w:hAnsi="Times New Roman"/>
          <w:szCs w:val="21"/>
        </w:rPr>
      </w:pPr>
      <w:r>
        <w:rPr>
          <w:rFonts w:ascii="Times New Roman" w:hAnsi="Times New Roman"/>
          <w:szCs w:val="21"/>
        </w:rPr>
        <w:t>3</w:t>
      </w:r>
      <w:r>
        <w:rPr>
          <w:rFonts w:hint="eastAsia" w:ascii="宋体" w:hAnsi="宋体" w:cs="宋体"/>
          <w:szCs w:val="21"/>
        </w:rPr>
        <w:t>．</w:t>
      </w:r>
      <w:r>
        <w:rPr>
          <w:rFonts w:hint="eastAsia" w:ascii="Times New Roman" w:hAnsi="Times New Roman" w:cs="宋体"/>
          <w:szCs w:val="21"/>
        </w:rPr>
        <w:t>排水（雨水）工程为</w:t>
      </w:r>
      <w:r>
        <w:rPr>
          <w:rFonts w:ascii="Times New Roman" w:hAnsi="Times New Roman"/>
          <w:szCs w:val="21"/>
          <w:u w:val="single"/>
        </w:rPr>
        <w:t xml:space="preserve">     </w:t>
      </w:r>
      <w:r>
        <w:rPr>
          <w:rFonts w:hint="eastAsia" w:ascii="Times New Roman" w:hAnsi="Times New Roman" w:cs="宋体"/>
          <w:szCs w:val="21"/>
        </w:rPr>
        <w:t>年（建议道路工程中的排水工程为</w:t>
      </w:r>
      <w:r>
        <w:rPr>
          <w:rFonts w:ascii="Times New Roman" w:hAnsi="Times New Roman"/>
          <w:szCs w:val="21"/>
        </w:rPr>
        <w:t>3</w:t>
      </w:r>
      <w:r>
        <w:rPr>
          <w:rFonts w:hint="eastAsia" w:ascii="Times New Roman" w:hAnsi="Times New Roman" w:cs="宋体"/>
          <w:szCs w:val="21"/>
        </w:rPr>
        <w:t>年）；</w:t>
      </w:r>
    </w:p>
    <w:p w14:paraId="1AC9D4FB">
      <w:pPr>
        <w:pStyle w:val="205"/>
        <w:spacing w:line="360" w:lineRule="auto"/>
        <w:ind w:firstLine="426"/>
        <w:rPr>
          <w:rFonts w:ascii="Times New Roman" w:hAnsi="Times New Roman"/>
          <w:szCs w:val="21"/>
        </w:rPr>
      </w:pPr>
      <w:r>
        <w:rPr>
          <w:rFonts w:ascii="Times New Roman" w:hAnsi="Times New Roman"/>
          <w:szCs w:val="21"/>
        </w:rPr>
        <w:t>4</w:t>
      </w:r>
      <w:r>
        <w:rPr>
          <w:rFonts w:hint="eastAsia" w:ascii="宋体" w:hAnsi="宋体" w:cs="宋体"/>
          <w:szCs w:val="21"/>
        </w:rPr>
        <w:t>．</w:t>
      </w:r>
      <w:r>
        <w:rPr>
          <w:rFonts w:hint="eastAsia" w:ascii="Times New Roman" w:hAnsi="Times New Roman" w:cs="宋体"/>
          <w:szCs w:val="21"/>
        </w:rPr>
        <w:t>绿化工程为</w:t>
      </w:r>
      <w:r>
        <w:rPr>
          <w:rFonts w:ascii="Times New Roman" w:hAnsi="Times New Roman"/>
          <w:szCs w:val="21"/>
        </w:rPr>
        <w:t xml:space="preserve"> </w:t>
      </w:r>
      <w:r>
        <w:rPr>
          <w:rFonts w:hint="eastAsia" w:ascii="Times New Roman" w:hAnsi="Times New Roman" w:cs="宋体"/>
          <w:szCs w:val="21"/>
          <w:u w:val="single"/>
        </w:rPr>
        <w:t>单位工程竣工验收合格后</w:t>
      </w:r>
      <w:r>
        <w:rPr>
          <w:rFonts w:ascii="Times New Roman" w:hAnsi="Times New Roman"/>
          <w:szCs w:val="21"/>
          <w:u w:val="single"/>
        </w:rPr>
        <w:t xml:space="preserve">    </w:t>
      </w:r>
      <w:r>
        <w:rPr>
          <w:rFonts w:hint="eastAsia" w:ascii="Times New Roman" w:hAnsi="Times New Roman" w:cs="宋体"/>
          <w:szCs w:val="21"/>
          <w:u w:val="single"/>
        </w:rPr>
        <w:t>年</w:t>
      </w:r>
      <w:r>
        <w:rPr>
          <w:rFonts w:hint="eastAsia" w:ascii="Times New Roman" w:hAnsi="Times New Roman" w:cs="宋体"/>
          <w:szCs w:val="21"/>
        </w:rPr>
        <w:t>；</w:t>
      </w:r>
    </w:p>
    <w:p w14:paraId="6BE6C1CE">
      <w:pPr>
        <w:pStyle w:val="205"/>
        <w:spacing w:line="360" w:lineRule="auto"/>
        <w:ind w:firstLine="426"/>
        <w:rPr>
          <w:rFonts w:ascii="Times New Roman" w:hAnsi="Times New Roman"/>
          <w:szCs w:val="21"/>
        </w:rPr>
      </w:pPr>
      <w:r>
        <w:rPr>
          <w:rFonts w:ascii="Times New Roman" w:hAnsi="Times New Roman"/>
          <w:szCs w:val="21"/>
        </w:rPr>
        <w:t xml:space="preserve">5.  </w:t>
      </w:r>
      <w:r>
        <w:rPr>
          <w:rFonts w:hint="eastAsia" w:ascii="Times New Roman" w:hAnsi="Times New Roman" w:cs="宋体"/>
          <w:szCs w:val="21"/>
        </w:rPr>
        <w:t>地下防水工程为</w:t>
      </w:r>
      <w:r>
        <w:rPr>
          <w:rFonts w:ascii="Times New Roman" w:hAnsi="Times New Roman"/>
          <w:szCs w:val="21"/>
          <w:u w:val="single"/>
        </w:rPr>
        <w:t xml:space="preserve">     </w:t>
      </w:r>
      <w:r>
        <w:rPr>
          <w:rFonts w:hint="eastAsia" w:ascii="Times New Roman" w:hAnsi="Times New Roman" w:cs="宋体"/>
          <w:szCs w:val="21"/>
        </w:rPr>
        <w:t>年（建议为</w:t>
      </w:r>
      <w:r>
        <w:rPr>
          <w:rFonts w:ascii="Times New Roman" w:hAnsi="Times New Roman"/>
          <w:szCs w:val="21"/>
        </w:rPr>
        <w:t>5</w:t>
      </w:r>
      <w:r>
        <w:rPr>
          <w:rFonts w:hint="eastAsia" w:ascii="Times New Roman" w:hAnsi="Times New Roman" w:cs="宋体"/>
          <w:szCs w:val="21"/>
        </w:rPr>
        <w:t>年）；</w:t>
      </w:r>
    </w:p>
    <w:p w14:paraId="54CC2E95">
      <w:pPr>
        <w:pStyle w:val="205"/>
        <w:spacing w:line="360" w:lineRule="auto"/>
        <w:ind w:firstLine="426"/>
        <w:rPr>
          <w:rFonts w:ascii="Times New Roman" w:hAnsi="Times New Roman"/>
          <w:szCs w:val="21"/>
        </w:rPr>
      </w:pPr>
      <w:r>
        <w:rPr>
          <w:rFonts w:ascii="Times New Roman" w:hAnsi="Times New Roman"/>
          <w:szCs w:val="21"/>
        </w:rPr>
        <w:t>6</w:t>
      </w:r>
      <w:r>
        <w:rPr>
          <w:rFonts w:hint="eastAsia" w:ascii="宋体" w:hAnsi="宋体" w:cs="宋体"/>
          <w:szCs w:val="21"/>
        </w:rPr>
        <w:t>．</w:t>
      </w:r>
      <w:r>
        <w:rPr>
          <w:rFonts w:hint="eastAsia" w:ascii="Times New Roman" w:hAnsi="Times New Roman" w:cs="宋体"/>
          <w:szCs w:val="21"/>
        </w:rPr>
        <w:t>其他附属工程为</w:t>
      </w:r>
      <w:r>
        <w:rPr>
          <w:rFonts w:ascii="Times New Roman" w:hAnsi="Times New Roman"/>
          <w:szCs w:val="21"/>
          <w:u w:val="single"/>
        </w:rPr>
        <w:t xml:space="preserve">      </w:t>
      </w:r>
      <w:r>
        <w:rPr>
          <w:rFonts w:hint="eastAsia" w:ascii="Times New Roman" w:hAnsi="Times New Roman" w:cs="宋体"/>
          <w:szCs w:val="21"/>
        </w:rPr>
        <w:t>年；</w:t>
      </w:r>
    </w:p>
    <w:p w14:paraId="419AFD87">
      <w:pPr>
        <w:pStyle w:val="205"/>
        <w:spacing w:line="360" w:lineRule="auto"/>
        <w:ind w:firstLine="420" w:firstLineChars="200"/>
        <w:rPr>
          <w:rFonts w:ascii="宋体" w:hAnsi="Times New Roman"/>
          <w:szCs w:val="21"/>
        </w:rPr>
      </w:pPr>
      <w:r>
        <w:rPr>
          <w:rFonts w:ascii="宋体" w:hAnsi="宋体" w:cs="宋体"/>
          <w:szCs w:val="21"/>
        </w:rPr>
        <w:t>7</w:t>
      </w:r>
      <w:r>
        <w:rPr>
          <w:rFonts w:hint="eastAsia" w:ascii="宋体" w:hAnsi="宋体" w:cs="宋体"/>
          <w:szCs w:val="21"/>
        </w:rPr>
        <w:t>．其他项目保修期限约定如下：</w:t>
      </w:r>
    </w:p>
    <w:p w14:paraId="4A126664">
      <w:pPr>
        <w:pStyle w:val="205"/>
        <w:spacing w:line="360" w:lineRule="auto"/>
        <w:ind w:firstLine="420" w:firstLineChars="200"/>
        <w:rPr>
          <w:rFonts w:ascii="宋体" w:hAnsi="Times New Roman"/>
          <w:szCs w:val="21"/>
        </w:rPr>
      </w:pPr>
      <w:r>
        <w:rPr>
          <w:rFonts w:ascii="宋体" w:hAnsi="宋体" w:cs="宋体"/>
          <w:szCs w:val="21"/>
          <w:u w:val="single"/>
        </w:rPr>
        <w:t xml:space="preserve">                                                                                                                                                              </w:t>
      </w:r>
      <w:r>
        <w:rPr>
          <w:rFonts w:hint="eastAsia" w:ascii="宋体" w:hAnsi="宋体" w:cs="宋体"/>
          <w:szCs w:val="21"/>
        </w:rPr>
        <w:t>。</w:t>
      </w:r>
    </w:p>
    <w:p w14:paraId="54A3DBAB">
      <w:pPr>
        <w:pStyle w:val="205"/>
        <w:spacing w:line="360" w:lineRule="auto"/>
        <w:ind w:firstLine="420" w:firstLineChars="200"/>
        <w:rPr>
          <w:rFonts w:ascii="宋体" w:hAnsi="Times New Roman"/>
          <w:szCs w:val="21"/>
        </w:rPr>
      </w:pPr>
      <w:r>
        <w:rPr>
          <w:rFonts w:hint="eastAsia" w:ascii="宋体" w:hAnsi="宋体" w:cs="宋体"/>
          <w:szCs w:val="21"/>
        </w:rPr>
        <w:t>质量保修期自工程竣工验收合格之日起计算。</w:t>
      </w:r>
    </w:p>
    <w:p w14:paraId="537713EF">
      <w:pPr>
        <w:pStyle w:val="205"/>
        <w:spacing w:line="360" w:lineRule="auto"/>
        <w:ind w:firstLine="420" w:firstLineChars="200"/>
        <w:rPr>
          <w:rFonts w:ascii="黑体" w:hAnsi="宋体" w:eastAsia="黑体"/>
          <w:szCs w:val="21"/>
        </w:rPr>
      </w:pPr>
      <w:r>
        <w:rPr>
          <w:rFonts w:hint="eastAsia" w:ascii="黑体" w:hAnsi="宋体" w:eastAsia="黑体" w:cs="黑体"/>
          <w:szCs w:val="21"/>
        </w:rPr>
        <w:t>三、缺陷责任期</w:t>
      </w:r>
    </w:p>
    <w:p w14:paraId="1EA51EC4">
      <w:pPr>
        <w:pStyle w:val="205"/>
        <w:spacing w:line="360" w:lineRule="auto"/>
        <w:ind w:firstLine="420" w:firstLineChars="200"/>
        <w:rPr>
          <w:rFonts w:ascii="宋体" w:hAnsi="Times New Roman"/>
          <w:szCs w:val="21"/>
        </w:rPr>
      </w:pPr>
      <w:r>
        <w:rPr>
          <w:rFonts w:hint="eastAsia" w:ascii="宋体" w:hAnsi="宋体" w:cs="宋体"/>
          <w:szCs w:val="21"/>
        </w:rPr>
        <w:t>工程缺陷责任期为</w:t>
      </w:r>
      <w:r>
        <w:rPr>
          <w:rFonts w:ascii="宋体" w:hAnsi="宋体" w:cs="宋体"/>
          <w:szCs w:val="21"/>
          <w:u w:val="single"/>
        </w:rPr>
        <w:t xml:space="preserve">         </w:t>
      </w:r>
      <w:r>
        <w:rPr>
          <w:rFonts w:hint="eastAsia" w:ascii="宋体" w:hAnsi="宋体" w:cs="宋体"/>
          <w:szCs w:val="21"/>
        </w:rPr>
        <w:t>个月</w:t>
      </w:r>
      <w:r>
        <w:rPr>
          <w:rFonts w:hint="eastAsia" w:ascii="Times New Roman" w:hAnsi="宋体" w:cs="宋体"/>
          <w:szCs w:val="21"/>
        </w:rPr>
        <w:t>（最长不超过</w:t>
      </w:r>
      <w:r>
        <w:rPr>
          <w:rFonts w:ascii="Times New Roman" w:hAnsi="宋体"/>
          <w:szCs w:val="21"/>
        </w:rPr>
        <w:t>24</w:t>
      </w:r>
      <w:r>
        <w:rPr>
          <w:rFonts w:hint="eastAsia" w:ascii="Times New Roman" w:hAnsi="宋体" w:cs="宋体"/>
          <w:szCs w:val="21"/>
        </w:rPr>
        <w:t>个月）</w:t>
      </w:r>
      <w:r>
        <w:rPr>
          <w:rFonts w:hint="eastAsia" w:ascii="宋体" w:hAnsi="宋体" w:cs="宋体"/>
          <w:szCs w:val="21"/>
        </w:rPr>
        <w:t>，缺陷责任期自工程竣工验收合格之日起计算。单位工程先于全部工程进行验收，单位工程缺陷责任期自单位工程验收合格之日起算。</w:t>
      </w:r>
    </w:p>
    <w:p w14:paraId="1D89301B">
      <w:pPr>
        <w:pStyle w:val="205"/>
        <w:spacing w:line="360" w:lineRule="auto"/>
        <w:ind w:firstLine="420" w:firstLineChars="200"/>
        <w:rPr>
          <w:rFonts w:ascii="宋体" w:hAnsi="Times New Roman"/>
          <w:szCs w:val="21"/>
        </w:rPr>
      </w:pPr>
      <w:r>
        <w:rPr>
          <w:rFonts w:hint="eastAsia" w:ascii="宋体" w:hAnsi="宋体" w:cs="宋体"/>
          <w:szCs w:val="21"/>
        </w:rPr>
        <w:t>缺陷责任期</w:t>
      </w:r>
      <w:r>
        <w:rPr>
          <w:rFonts w:hint="eastAsia" w:ascii="Times New Roman" w:hAnsi="宋体" w:cs="宋体"/>
          <w:szCs w:val="21"/>
          <w:u w:val="single"/>
        </w:rPr>
        <w:t>满</w:t>
      </w:r>
      <w:r>
        <w:rPr>
          <w:rFonts w:hint="eastAsia" w:ascii="仿宋_GB2312" w:hAnsi="宋体"/>
          <w:szCs w:val="21"/>
        </w:rPr>
        <w:t>之日起</w:t>
      </w:r>
      <w:r>
        <w:rPr>
          <w:rFonts w:hint="eastAsia" w:ascii="仿宋_GB2312" w:hAnsi="宋体"/>
          <w:szCs w:val="21"/>
          <w:u w:val="single"/>
        </w:rPr>
        <w:t xml:space="preserve"> </w:t>
      </w:r>
      <w:r>
        <w:rPr>
          <w:rFonts w:ascii="仿宋_GB2312" w:hAnsi="宋体"/>
          <w:szCs w:val="21"/>
          <w:u w:val="single"/>
        </w:rPr>
        <w:t xml:space="preserve">  </w:t>
      </w:r>
      <w:r>
        <w:rPr>
          <w:rFonts w:hint="eastAsia" w:ascii="仿宋_GB2312" w:hAnsi="宋体"/>
          <w:szCs w:val="21"/>
          <w:u w:val="single"/>
        </w:rPr>
        <w:t xml:space="preserve"> </w:t>
      </w:r>
      <w:r>
        <w:rPr>
          <w:rFonts w:hint="eastAsia" w:ascii="仿宋_GB2312" w:hAnsi="宋体"/>
          <w:szCs w:val="21"/>
        </w:rPr>
        <w:t>天</w:t>
      </w:r>
      <w:r>
        <w:rPr>
          <w:rFonts w:hint="eastAsia" w:ascii="Times New Roman" w:hAnsi="宋体" w:cs="宋体"/>
          <w:szCs w:val="21"/>
          <w:u w:val="single"/>
        </w:rPr>
        <w:t>（按</w:t>
      </w:r>
      <w:r>
        <w:rPr>
          <w:rFonts w:ascii="Times New Roman" w:hAnsi="宋体" w:cs="宋体"/>
          <w:szCs w:val="21"/>
          <w:u w:val="single"/>
        </w:rPr>
        <w:t>合同约定期限）</w:t>
      </w:r>
      <w:r>
        <w:rPr>
          <w:rFonts w:hint="eastAsia" w:ascii="Times New Roman" w:hAnsi="宋体" w:cs="宋体"/>
          <w:szCs w:val="21"/>
          <w:u w:val="single"/>
        </w:rPr>
        <w:t>，</w:t>
      </w:r>
      <w:r>
        <w:rPr>
          <w:rFonts w:hint="eastAsia" w:ascii="宋体" w:hAnsi="宋体" w:cs="宋体"/>
          <w:szCs w:val="21"/>
        </w:rPr>
        <w:t>发包人应退还剩余的质量保证金。</w:t>
      </w:r>
    </w:p>
    <w:p w14:paraId="075DFE98">
      <w:pPr>
        <w:pStyle w:val="205"/>
        <w:spacing w:line="360" w:lineRule="auto"/>
        <w:ind w:firstLine="420" w:firstLineChars="200"/>
        <w:rPr>
          <w:rFonts w:ascii="黑体" w:hAnsi="宋体" w:eastAsia="黑体"/>
          <w:szCs w:val="21"/>
        </w:rPr>
      </w:pPr>
      <w:r>
        <w:rPr>
          <w:rFonts w:hint="eastAsia" w:ascii="黑体" w:hAnsi="宋体" w:eastAsia="黑体" w:cs="黑体"/>
          <w:szCs w:val="21"/>
        </w:rPr>
        <w:t>四、质量保修责任</w:t>
      </w:r>
    </w:p>
    <w:p w14:paraId="7C5827C6">
      <w:pPr>
        <w:pStyle w:val="205"/>
        <w:spacing w:line="360" w:lineRule="auto"/>
        <w:ind w:firstLine="420" w:firstLineChars="200"/>
        <w:rPr>
          <w:rFonts w:ascii="宋体" w:hAnsi="Times New Roman"/>
          <w:szCs w:val="21"/>
        </w:rPr>
      </w:pPr>
      <w:r>
        <w:rPr>
          <w:rFonts w:ascii="宋体" w:hAnsi="宋体" w:cs="宋体"/>
          <w:szCs w:val="21"/>
        </w:rPr>
        <w:t>1</w:t>
      </w:r>
      <w:r>
        <w:rPr>
          <w:rFonts w:hint="eastAsia" w:ascii="宋体" w:hAnsi="宋体" w:cs="宋体"/>
          <w:szCs w:val="21"/>
        </w:rPr>
        <w:t>．属于保修范围、内容的项目，承包人应当在接到保修通知之日起</w:t>
      </w:r>
      <w:r>
        <w:rPr>
          <w:rFonts w:ascii="宋体" w:hAnsi="宋体" w:cs="宋体"/>
          <w:szCs w:val="21"/>
          <w:u w:val="single"/>
        </w:rPr>
        <w:t xml:space="preserve">      </w:t>
      </w:r>
      <w:r>
        <w:rPr>
          <w:rFonts w:hint="eastAsia" w:ascii="宋体" w:hAnsi="宋体" w:cs="宋体"/>
          <w:szCs w:val="21"/>
        </w:rPr>
        <w:t>天内派人保修。承包人不在约定期限内派人保修的，发包人可以委托他人修理</w:t>
      </w:r>
      <w:r>
        <w:rPr>
          <w:rFonts w:hint="eastAsia" w:ascii="Times New Roman" w:hAnsi="宋体" w:cs="宋体"/>
          <w:szCs w:val="21"/>
        </w:rPr>
        <w:t>，修理费用从质量保证金内扣除。</w:t>
      </w:r>
    </w:p>
    <w:p w14:paraId="62680250">
      <w:pPr>
        <w:pStyle w:val="205"/>
        <w:spacing w:line="360" w:lineRule="auto"/>
        <w:ind w:firstLine="420" w:firstLineChars="200"/>
        <w:rPr>
          <w:rFonts w:ascii="宋体" w:hAnsi="Times New Roman"/>
          <w:szCs w:val="21"/>
        </w:rPr>
      </w:pPr>
      <w:r>
        <w:rPr>
          <w:rFonts w:ascii="宋体" w:hAnsi="宋体" w:cs="宋体"/>
          <w:szCs w:val="21"/>
        </w:rPr>
        <w:t>2</w:t>
      </w:r>
      <w:r>
        <w:rPr>
          <w:rFonts w:hint="eastAsia" w:ascii="宋体" w:hAnsi="宋体" w:cs="宋体"/>
          <w:szCs w:val="21"/>
        </w:rPr>
        <w:t>．发生紧急事故需抢修的，承包人在接到事故通知后，应当立即到达事故现场抢修。</w:t>
      </w:r>
    </w:p>
    <w:p w14:paraId="00DF1DC2">
      <w:pPr>
        <w:pStyle w:val="205"/>
        <w:spacing w:line="360" w:lineRule="auto"/>
        <w:ind w:firstLine="420" w:firstLineChars="200"/>
        <w:rPr>
          <w:rFonts w:ascii="宋体" w:hAnsi="Times New Roman"/>
          <w:szCs w:val="21"/>
        </w:rPr>
      </w:pPr>
      <w:r>
        <w:rPr>
          <w:rFonts w:ascii="宋体" w:hAnsi="宋体" w:cs="宋体"/>
          <w:szCs w:val="21"/>
        </w:rPr>
        <w:t>3</w:t>
      </w:r>
      <w:r>
        <w:rPr>
          <w:rFonts w:hint="eastAsia" w:ascii="宋体" w:hAnsi="宋体" w:cs="宋体"/>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801572">
      <w:pPr>
        <w:pStyle w:val="205"/>
        <w:spacing w:line="360" w:lineRule="auto"/>
        <w:ind w:firstLine="420" w:firstLineChars="200"/>
        <w:rPr>
          <w:rFonts w:ascii="宋体" w:hAnsi="Times New Roman"/>
          <w:szCs w:val="21"/>
        </w:rPr>
      </w:pPr>
      <w:r>
        <w:rPr>
          <w:rFonts w:ascii="宋体" w:hAnsi="宋体" w:cs="宋体"/>
          <w:szCs w:val="21"/>
        </w:rPr>
        <w:t>4</w:t>
      </w:r>
      <w:r>
        <w:rPr>
          <w:rFonts w:hint="eastAsia" w:ascii="宋体" w:hAnsi="宋体" w:cs="宋体"/>
          <w:szCs w:val="21"/>
        </w:rPr>
        <w:t>．质量保修完成后，由发包人组织验收。</w:t>
      </w:r>
    </w:p>
    <w:p w14:paraId="6857337B">
      <w:pPr>
        <w:pStyle w:val="205"/>
        <w:spacing w:line="360" w:lineRule="auto"/>
        <w:ind w:firstLine="420" w:firstLineChars="200"/>
        <w:rPr>
          <w:rFonts w:ascii="黑体" w:hAnsi="宋体" w:eastAsia="黑体"/>
          <w:szCs w:val="21"/>
        </w:rPr>
      </w:pPr>
      <w:r>
        <w:rPr>
          <w:rFonts w:hint="eastAsia" w:ascii="黑体" w:hAnsi="宋体" w:eastAsia="黑体" w:cs="黑体"/>
          <w:szCs w:val="21"/>
        </w:rPr>
        <w:t>五、保修费用</w:t>
      </w:r>
    </w:p>
    <w:p w14:paraId="587FBBB6">
      <w:pPr>
        <w:pStyle w:val="205"/>
        <w:spacing w:line="360" w:lineRule="auto"/>
        <w:ind w:firstLine="420" w:firstLineChars="200"/>
        <w:rPr>
          <w:rFonts w:ascii="宋体" w:hAnsi="Times New Roman"/>
          <w:szCs w:val="21"/>
        </w:rPr>
      </w:pPr>
      <w:r>
        <w:rPr>
          <w:rFonts w:hint="eastAsia" w:ascii="宋体" w:hAnsi="宋体" w:cs="宋体"/>
          <w:szCs w:val="21"/>
        </w:rPr>
        <w:t>保修费用由造成质量缺陷的责任方承担。</w:t>
      </w:r>
    </w:p>
    <w:p w14:paraId="63DBB0C3">
      <w:pPr>
        <w:pStyle w:val="205"/>
        <w:spacing w:line="360" w:lineRule="auto"/>
        <w:ind w:firstLine="420" w:firstLineChars="200"/>
        <w:rPr>
          <w:rFonts w:ascii="黑体" w:hAnsi="宋体" w:eastAsia="黑体" w:cs="黑体"/>
          <w:szCs w:val="21"/>
          <w:u w:val="single"/>
        </w:rPr>
      </w:pPr>
      <w:r>
        <w:rPr>
          <w:rFonts w:hint="eastAsia" w:ascii="黑体" w:hAnsi="宋体" w:eastAsia="黑体" w:cs="黑体"/>
          <w:szCs w:val="21"/>
        </w:rPr>
        <w:t>六、双方约定的其他工程质量保修事项：</w:t>
      </w:r>
      <w:r>
        <w:rPr>
          <w:rFonts w:ascii="黑体" w:hAnsi="宋体" w:eastAsia="黑体" w:cs="黑体"/>
          <w:szCs w:val="21"/>
          <w:u w:val="single"/>
        </w:rPr>
        <w:t xml:space="preserve">                                          </w:t>
      </w:r>
    </w:p>
    <w:p w14:paraId="3367C23A">
      <w:pPr>
        <w:pStyle w:val="205"/>
        <w:spacing w:line="360" w:lineRule="auto"/>
        <w:jc w:val="left"/>
        <w:rPr>
          <w:rFonts w:ascii="宋体" w:hAnsi="Times New Roman"/>
          <w:szCs w:val="21"/>
        </w:rPr>
      </w:pPr>
      <w:r>
        <w:rPr>
          <w:rFonts w:ascii="宋体" w:hAnsi="宋体" w:cs="宋体"/>
          <w:szCs w:val="21"/>
          <w:u w:val="single"/>
        </w:rPr>
        <w:t xml:space="preserve">                                                                               </w:t>
      </w:r>
      <w:r>
        <w:rPr>
          <w:rFonts w:hint="eastAsia" w:ascii="宋体" w:hAnsi="宋体" w:cs="宋体"/>
          <w:szCs w:val="21"/>
        </w:rPr>
        <w:t>。</w:t>
      </w:r>
    </w:p>
    <w:p w14:paraId="7346A792">
      <w:pPr>
        <w:pStyle w:val="205"/>
        <w:spacing w:line="360" w:lineRule="auto"/>
        <w:ind w:firstLine="399" w:firstLineChars="190"/>
        <w:rPr>
          <w:rFonts w:ascii="宋体" w:hAnsi="Times New Roman"/>
          <w:szCs w:val="21"/>
        </w:rPr>
      </w:pPr>
      <w:r>
        <w:rPr>
          <w:rFonts w:hint="eastAsia" w:ascii="宋体" w:hAnsi="宋体" w:cs="宋体"/>
          <w:szCs w:val="21"/>
        </w:rPr>
        <w:t>工程质量保修书由发包人、承包人在工程竣工验收前共同签署，作为施工合同附件，其有效期限至保修期满。</w:t>
      </w:r>
    </w:p>
    <w:p w14:paraId="04FE95B2">
      <w:pPr>
        <w:pStyle w:val="293"/>
        <w:spacing w:line="360" w:lineRule="auto"/>
        <w:ind w:firstLine="420"/>
        <w:rPr>
          <w:rFonts w:hint="eastAsia" w:ascii="宋体" w:hAnsi="宋体" w:cs="宋体"/>
          <w:color w:val="auto"/>
          <w:szCs w:val="21"/>
          <w:highlight w:val="none"/>
        </w:rPr>
      </w:pPr>
    </w:p>
    <w:p w14:paraId="08F8CEA1">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w:t>
      </w:r>
    </w:p>
    <w:p w14:paraId="741AB2B4">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09A66E5B">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298CCE7D">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1B3DCB23">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3B71004">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w:t>
      </w:r>
    </w:p>
    <w:p w14:paraId="6286DD58">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08D6A279">
      <w:pPr>
        <w:pStyle w:val="293"/>
        <w:tabs>
          <w:tab w:val="left" w:pos="2880"/>
          <w:tab w:val="left" w:pos="3060"/>
          <w:tab w:val="left" w:pos="450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7C31CBB8">
      <w:pPr>
        <w:pStyle w:val="293"/>
        <w:tabs>
          <w:tab w:val="left" w:pos="7200"/>
          <w:tab w:val="left" w:pos="7380"/>
          <w:tab w:val="left" w:pos="756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450A1701">
      <w:pPr>
        <w:pStyle w:val="293"/>
        <w:spacing w:line="440" w:lineRule="exact"/>
        <w:rPr>
          <w:rFonts w:hint="eastAsia" w:ascii="宋体" w:hAnsi="宋体" w:cs="宋体"/>
          <w:color w:val="auto"/>
          <w:szCs w:val="21"/>
          <w:highlight w:val="none"/>
        </w:rPr>
      </w:pPr>
    </w:p>
    <w:p w14:paraId="776A5EC7">
      <w:pPr>
        <w:pStyle w:val="293"/>
        <w:spacing w:line="440" w:lineRule="exact"/>
        <w:rPr>
          <w:rFonts w:hint="eastAsia" w:ascii="宋体" w:hAnsi="宋体" w:cs="宋体"/>
          <w:color w:val="auto"/>
          <w:szCs w:val="21"/>
          <w:highlight w:val="none"/>
        </w:rPr>
      </w:pPr>
    </w:p>
    <w:p w14:paraId="2A3ACE8A">
      <w:pPr>
        <w:pStyle w:val="293"/>
        <w:spacing w:line="440" w:lineRule="exact"/>
        <w:rPr>
          <w:rFonts w:hint="eastAsia" w:ascii="宋体" w:hAnsi="宋体" w:cs="宋体"/>
          <w:color w:val="auto"/>
          <w:szCs w:val="21"/>
          <w:highlight w:val="none"/>
        </w:rPr>
      </w:pPr>
    </w:p>
    <w:p w14:paraId="16E7B4AA">
      <w:pPr>
        <w:pStyle w:val="293"/>
        <w:spacing w:line="440" w:lineRule="exact"/>
        <w:rPr>
          <w:rFonts w:hint="eastAsia" w:ascii="宋体" w:hAnsi="宋体" w:cs="宋体"/>
          <w:color w:val="auto"/>
          <w:szCs w:val="21"/>
          <w:highlight w:val="none"/>
        </w:rPr>
      </w:pPr>
    </w:p>
    <w:p w14:paraId="10465378">
      <w:pPr>
        <w:pStyle w:val="293"/>
        <w:spacing w:line="440" w:lineRule="exact"/>
        <w:rPr>
          <w:rFonts w:hint="eastAsia" w:ascii="宋体" w:hAnsi="宋体" w:cs="宋体"/>
          <w:color w:val="auto"/>
          <w:szCs w:val="21"/>
          <w:highlight w:val="none"/>
        </w:rPr>
      </w:pPr>
    </w:p>
    <w:p w14:paraId="717FC7FC">
      <w:pPr>
        <w:pStyle w:val="293"/>
        <w:spacing w:line="440" w:lineRule="exact"/>
        <w:rPr>
          <w:rFonts w:hint="eastAsia" w:ascii="宋体" w:hAnsi="宋体" w:cs="宋体"/>
          <w:color w:val="auto"/>
          <w:szCs w:val="21"/>
          <w:highlight w:val="none"/>
        </w:rPr>
      </w:pPr>
    </w:p>
    <w:p w14:paraId="223D4762">
      <w:pPr>
        <w:pStyle w:val="293"/>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附件3：</w:t>
      </w:r>
    </w:p>
    <w:p w14:paraId="0C2A6846">
      <w:pPr>
        <w:pStyle w:val="293"/>
        <w:spacing w:before="156" w:beforeLines="50" w:after="156" w:afterLines="50" w:line="440" w:lineRule="exact"/>
        <w:rPr>
          <w:rFonts w:hint="eastAsia" w:ascii="宋体" w:hAnsi="宋体" w:cs="宋体"/>
          <w:color w:val="auto"/>
          <w:szCs w:val="21"/>
          <w:highlight w:val="none"/>
        </w:rPr>
      </w:pPr>
    </w:p>
    <w:p w14:paraId="5F04507D">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5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1ABF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7DC93D3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6E03575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6B68DB7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11A0F16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49C66C46">
            <w:pPr>
              <w:pStyle w:val="293"/>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29FF3E7F">
            <w:pPr>
              <w:pStyle w:val="293"/>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3ADCF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1B21640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tcBorders>
              <w:top w:val="double" w:color="auto" w:sz="6" w:space="0"/>
              <w:bottom w:val="single" w:color="auto" w:sz="6" w:space="0"/>
            </w:tcBorders>
            <w:noWrap w:val="0"/>
            <w:vAlign w:val="center"/>
          </w:tcPr>
          <w:p w14:paraId="74C8AB0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tcBorders>
              <w:top w:val="double" w:color="auto" w:sz="6" w:space="0"/>
              <w:bottom w:val="single" w:color="auto" w:sz="6" w:space="0"/>
            </w:tcBorders>
            <w:noWrap w:val="0"/>
            <w:vAlign w:val="center"/>
          </w:tcPr>
          <w:p w14:paraId="799BA11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tcBorders>
              <w:top w:val="double" w:color="auto" w:sz="6" w:space="0"/>
              <w:bottom w:val="single" w:color="auto" w:sz="6" w:space="0"/>
            </w:tcBorders>
            <w:noWrap w:val="0"/>
            <w:vAlign w:val="center"/>
          </w:tcPr>
          <w:p w14:paraId="66B65D6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tcBorders>
              <w:top w:val="double" w:color="auto" w:sz="6" w:space="0"/>
              <w:bottom w:val="single" w:color="auto" w:sz="6" w:space="0"/>
            </w:tcBorders>
            <w:noWrap w:val="0"/>
            <w:vAlign w:val="center"/>
          </w:tcPr>
          <w:p w14:paraId="37435DF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tcBorders>
              <w:top w:val="double" w:color="auto" w:sz="6" w:space="0"/>
              <w:bottom w:val="single" w:color="auto" w:sz="6" w:space="0"/>
            </w:tcBorders>
            <w:noWrap w:val="0"/>
            <w:vAlign w:val="center"/>
          </w:tcPr>
          <w:p w14:paraId="3527910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1641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2E7417B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tcBorders>
              <w:top w:val="nil"/>
            </w:tcBorders>
            <w:noWrap w:val="0"/>
            <w:vAlign w:val="center"/>
          </w:tcPr>
          <w:p w14:paraId="3CA83CE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tcBorders>
              <w:top w:val="nil"/>
            </w:tcBorders>
            <w:noWrap w:val="0"/>
            <w:vAlign w:val="center"/>
          </w:tcPr>
          <w:p w14:paraId="70EAD1C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tcBorders>
              <w:top w:val="nil"/>
            </w:tcBorders>
            <w:noWrap w:val="0"/>
            <w:vAlign w:val="center"/>
          </w:tcPr>
          <w:p w14:paraId="541CAE1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tcBorders>
              <w:top w:val="nil"/>
            </w:tcBorders>
            <w:noWrap w:val="0"/>
            <w:vAlign w:val="center"/>
          </w:tcPr>
          <w:p w14:paraId="5C340E7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tcBorders>
              <w:top w:val="nil"/>
            </w:tcBorders>
            <w:noWrap w:val="0"/>
            <w:vAlign w:val="center"/>
          </w:tcPr>
          <w:p w14:paraId="5A43673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CFA9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290701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760F63D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5832D52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170FE0C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185CE0C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3D54E8F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537E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7B69E5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3F0A36E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72E8294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5E10625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215EB25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139A6D1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E367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7C313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01DA4AE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0A929FE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3DD5300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24B9D63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696749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7BC7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5F6FE1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6E6FF61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0456B3C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1A6BC3E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70AEF22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7B9421B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39B4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DA5CB5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2D7A445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6CB36A2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2848445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60C3A09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7278F2A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4815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54EDFC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002061E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35977D3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7F5CB0B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511C83E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51E4924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9D58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D543933">
            <w:pPr>
              <w:pStyle w:val="293"/>
              <w:rPr>
                <w:rFonts w:hint="eastAsia" w:ascii="宋体" w:hAnsi="宋体" w:cs="宋体"/>
                <w:color w:val="auto"/>
                <w:szCs w:val="21"/>
                <w:highlight w:val="none"/>
              </w:rPr>
            </w:pPr>
          </w:p>
        </w:tc>
        <w:tc>
          <w:tcPr>
            <w:tcW w:w="1276" w:type="dxa"/>
            <w:noWrap w:val="0"/>
            <w:vAlign w:val="top"/>
          </w:tcPr>
          <w:p w14:paraId="126A70F5">
            <w:pPr>
              <w:pStyle w:val="293"/>
              <w:rPr>
                <w:rFonts w:hint="eastAsia" w:ascii="宋体" w:hAnsi="宋体" w:cs="宋体"/>
                <w:color w:val="auto"/>
                <w:szCs w:val="21"/>
                <w:highlight w:val="none"/>
              </w:rPr>
            </w:pPr>
          </w:p>
        </w:tc>
        <w:tc>
          <w:tcPr>
            <w:tcW w:w="1450" w:type="dxa"/>
            <w:noWrap w:val="0"/>
            <w:vAlign w:val="top"/>
          </w:tcPr>
          <w:p w14:paraId="74809E83">
            <w:pPr>
              <w:pStyle w:val="293"/>
              <w:rPr>
                <w:rFonts w:hint="eastAsia" w:ascii="宋体" w:hAnsi="宋体" w:cs="宋体"/>
                <w:color w:val="auto"/>
                <w:szCs w:val="21"/>
                <w:highlight w:val="none"/>
              </w:rPr>
            </w:pPr>
          </w:p>
        </w:tc>
        <w:tc>
          <w:tcPr>
            <w:tcW w:w="1243" w:type="dxa"/>
            <w:noWrap w:val="0"/>
            <w:vAlign w:val="top"/>
          </w:tcPr>
          <w:p w14:paraId="469875DD">
            <w:pPr>
              <w:pStyle w:val="293"/>
              <w:rPr>
                <w:rFonts w:hint="eastAsia" w:ascii="宋体" w:hAnsi="宋体" w:cs="宋体"/>
                <w:color w:val="auto"/>
                <w:szCs w:val="21"/>
                <w:highlight w:val="none"/>
              </w:rPr>
            </w:pPr>
          </w:p>
        </w:tc>
        <w:tc>
          <w:tcPr>
            <w:tcW w:w="1450" w:type="dxa"/>
            <w:noWrap w:val="0"/>
            <w:vAlign w:val="top"/>
          </w:tcPr>
          <w:p w14:paraId="4BC867E6">
            <w:pPr>
              <w:pStyle w:val="293"/>
              <w:rPr>
                <w:rFonts w:hint="eastAsia" w:ascii="宋体" w:hAnsi="宋体" w:cs="宋体"/>
                <w:color w:val="auto"/>
                <w:szCs w:val="21"/>
                <w:highlight w:val="none"/>
              </w:rPr>
            </w:pPr>
          </w:p>
        </w:tc>
        <w:tc>
          <w:tcPr>
            <w:tcW w:w="1667" w:type="dxa"/>
            <w:noWrap w:val="0"/>
            <w:vAlign w:val="top"/>
          </w:tcPr>
          <w:p w14:paraId="15C0C8DE">
            <w:pPr>
              <w:pStyle w:val="293"/>
              <w:rPr>
                <w:rFonts w:hint="eastAsia" w:ascii="宋体" w:hAnsi="宋体" w:cs="宋体"/>
                <w:color w:val="auto"/>
                <w:szCs w:val="21"/>
                <w:highlight w:val="none"/>
              </w:rPr>
            </w:pPr>
          </w:p>
        </w:tc>
      </w:tr>
      <w:tr w14:paraId="4D79B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center"/>
          </w:tcPr>
          <w:p w14:paraId="6105D62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31AE416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7238F2F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590A24A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414CBAC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59178E8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EB2F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C819FE4">
            <w:pPr>
              <w:pStyle w:val="293"/>
              <w:rPr>
                <w:rFonts w:hint="eastAsia" w:ascii="宋体" w:hAnsi="宋体" w:cs="宋体"/>
                <w:color w:val="auto"/>
                <w:szCs w:val="21"/>
                <w:highlight w:val="none"/>
              </w:rPr>
            </w:pPr>
          </w:p>
        </w:tc>
        <w:tc>
          <w:tcPr>
            <w:tcW w:w="1276" w:type="dxa"/>
            <w:noWrap w:val="0"/>
            <w:vAlign w:val="top"/>
          </w:tcPr>
          <w:p w14:paraId="3163BC07">
            <w:pPr>
              <w:pStyle w:val="293"/>
              <w:rPr>
                <w:rFonts w:hint="eastAsia" w:ascii="宋体" w:hAnsi="宋体" w:cs="宋体"/>
                <w:color w:val="auto"/>
                <w:szCs w:val="21"/>
                <w:highlight w:val="none"/>
              </w:rPr>
            </w:pPr>
          </w:p>
        </w:tc>
        <w:tc>
          <w:tcPr>
            <w:tcW w:w="1450" w:type="dxa"/>
            <w:noWrap w:val="0"/>
            <w:vAlign w:val="top"/>
          </w:tcPr>
          <w:p w14:paraId="3CD707D3">
            <w:pPr>
              <w:pStyle w:val="293"/>
              <w:rPr>
                <w:rFonts w:hint="eastAsia" w:ascii="宋体" w:hAnsi="宋体" w:cs="宋体"/>
                <w:color w:val="auto"/>
                <w:szCs w:val="21"/>
                <w:highlight w:val="none"/>
              </w:rPr>
            </w:pPr>
          </w:p>
        </w:tc>
        <w:tc>
          <w:tcPr>
            <w:tcW w:w="1243" w:type="dxa"/>
            <w:noWrap w:val="0"/>
            <w:vAlign w:val="top"/>
          </w:tcPr>
          <w:p w14:paraId="636C0FD7">
            <w:pPr>
              <w:pStyle w:val="293"/>
              <w:rPr>
                <w:rFonts w:hint="eastAsia" w:ascii="宋体" w:hAnsi="宋体" w:cs="宋体"/>
                <w:color w:val="auto"/>
                <w:szCs w:val="21"/>
                <w:highlight w:val="none"/>
              </w:rPr>
            </w:pPr>
          </w:p>
        </w:tc>
        <w:tc>
          <w:tcPr>
            <w:tcW w:w="1450" w:type="dxa"/>
            <w:noWrap w:val="0"/>
            <w:vAlign w:val="top"/>
          </w:tcPr>
          <w:p w14:paraId="54EB3BE9">
            <w:pPr>
              <w:pStyle w:val="293"/>
              <w:rPr>
                <w:rFonts w:hint="eastAsia" w:ascii="宋体" w:hAnsi="宋体" w:cs="宋体"/>
                <w:color w:val="auto"/>
                <w:szCs w:val="21"/>
                <w:highlight w:val="none"/>
              </w:rPr>
            </w:pPr>
          </w:p>
        </w:tc>
        <w:tc>
          <w:tcPr>
            <w:tcW w:w="1667" w:type="dxa"/>
            <w:noWrap w:val="0"/>
            <w:vAlign w:val="top"/>
          </w:tcPr>
          <w:p w14:paraId="3CCA5551">
            <w:pPr>
              <w:pStyle w:val="293"/>
              <w:rPr>
                <w:rFonts w:hint="eastAsia" w:ascii="宋体" w:hAnsi="宋体" w:cs="宋体"/>
                <w:color w:val="auto"/>
                <w:szCs w:val="21"/>
                <w:highlight w:val="none"/>
              </w:rPr>
            </w:pPr>
          </w:p>
        </w:tc>
      </w:tr>
      <w:tr w14:paraId="5359A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42630E8">
            <w:pPr>
              <w:pStyle w:val="293"/>
              <w:rPr>
                <w:rFonts w:hint="eastAsia" w:ascii="宋体" w:hAnsi="宋体" w:cs="宋体"/>
                <w:color w:val="auto"/>
                <w:szCs w:val="21"/>
                <w:highlight w:val="none"/>
              </w:rPr>
            </w:pPr>
          </w:p>
        </w:tc>
        <w:tc>
          <w:tcPr>
            <w:tcW w:w="1276" w:type="dxa"/>
            <w:noWrap w:val="0"/>
            <w:vAlign w:val="top"/>
          </w:tcPr>
          <w:p w14:paraId="757E2619">
            <w:pPr>
              <w:pStyle w:val="293"/>
              <w:rPr>
                <w:rFonts w:hint="eastAsia" w:ascii="宋体" w:hAnsi="宋体" w:cs="宋体"/>
                <w:color w:val="auto"/>
                <w:szCs w:val="21"/>
                <w:highlight w:val="none"/>
              </w:rPr>
            </w:pPr>
          </w:p>
        </w:tc>
        <w:tc>
          <w:tcPr>
            <w:tcW w:w="1450" w:type="dxa"/>
            <w:noWrap w:val="0"/>
            <w:vAlign w:val="top"/>
          </w:tcPr>
          <w:p w14:paraId="6B580D3D">
            <w:pPr>
              <w:pStyle w:val="293"/>
              <w:rPr>
                <w:rFonts w:hint="eastAsia" w:ascii="宋体" w:hAnsi="宋体" w:cs="宋体"/>
                <w:color w:val="auto"/>
                <w:szCs w:val="21"/>
                <w:highlight w:val="none"/>
              </w:rPr>
            </w:pPr>
          </w:p>
        </w:tc>
        <w:tc>
          <w:tcPr>
            <w:tcW w:w="1243" w:type="dxa"/>
            <w:noWrap w:val="0"/>
            <w:vAlign w:val="top"/>
          </w:tcPr>
          <w:p w14:paraId="2604C8C5">
            <w:pPr>
              <w:pStyle w:val="293"/>
              <w:rPr>
                <w:rFonts w:hint="eastAsia" w:ascii="宋体" w:hAnsi="宋体" w:cs="宋体"/>
                <w:color w:val="auto"/>
                <w:szCs w:val="21"/>
                <w:highlight w:val="none"/>
              </w:rPr>
            </w:pPr>
          </w:p>
        </w:tc>
        <w:tc>
          <w:tcPr>
            <w:tcW w:w="1450" w:type="dxa"/>
            <w:noWrap w:val="0"/>
            <w:vAlign w:val="top"/>
          </w:tcPr>
          <w:p w14:paraId="3E793750">
            <w:pPr>
              <w:pStyle w:val="293"/>
              <w:rPr>
                <w:rFonts w:hint="eastAsia" w:ascii="宋体" w:hAnsi="宋体" w:cs="宋体"/>
                <w:color w:val="auto"/>
                <w:szCs w:val="21"/>
                <w:highlight w:val="none"/>
              </w:rPr>
            </w:pPr>
          </w:p>
        </w:tc>
        <w:tc>
          <w:tcPr>
            <w:tcW w:w="1667" w:type="dxa"/>
            <w:noWrap w:val="0"/>
            <w:vAlign w:val="top"/>
          </w:tcPr>
          <w:p w14:paraId="53EC049F">
            <w:pPr>
              <w:pStyle w:val="293"/>
              <w:rPr>
                <w:rFonts w:hint="eastAsia" w:ascii="宋体" w:hAnsi="宋体" w:cs="宋体"/>
                <w:color w:val="auto"/>
                <w:szCs w:val="21"/>
                <w:highlight w:val="none"/>
              </w:rPr>
            </w:pPr>
          </w:p>
        </w:tc>
      </w:tr>
      <w:tr w14:paraId="7CB5F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7848205">
            <w:pPr>
              <w:pStyle w:val="293"/>
              <w:rPr>
                <w:rFonts w:hint="eastAsia" w:ascii="宋体" w:hAnsi="宋体" w:cs="宋体"/>
                <w:color w:val="auto"/>
                <w:szCs w:val="21"/>
                <w:highlight w:val="none"/>
              </w:rPr>
            </w:pPr>
          </w:p>
        </w:tc>
        <w:tc>
          <w:tcPr>
            <w:tcW w:w="1276" w:type="dxa"/>
            <w:noWrap w:val="0"/>
            <w:vAlign w:val="top"/>
          </w:tcPr>
          <w:p w14:paraId="10B4D1E9">
            <w:pPr>
              <w:pStyle w:val="293"/>
              <w:rPr>
                <w:rFonts w:hint="eastAsia" w:ascii="宋体" w:hAnsi="宋体" w:cs="宋体"/>
                <w:color w:val="auto"/>
                <w:szCs w:val="21"/>
                <w:highlight w:val="none"/>
              </w:rPr>
            </w:pPr>
          </w:p>
        </w:tc>
        <w:tc>
          <w:tcPr>
            <w:tcW w:w="1450" w:type="dxa"/>
            <w:noWrap w:val="0"/>
            <w:vAlign w:val="top"/>
          </w:tcPr>
          <w:p w14:paraId="6DC3A0B9">
            <w:pPr>
              <w:pStyle w:val="293"/>
              <w:rPr>
                <w:rFonts w:hint="eastAsia" w:ascii="宋体" w:hAnsi="宋体" w:cs="宋体"/>
                <w:color w:val="auto"/>
                <w:szCs w:val="21"/>
                <w:highlight w:val="none"/>
              </w:rPr>
            </w:pPr>
          </w:p>
        </w:tc>
        <w:tc>
          <w:tcPr>
            <w:tcW w:w="1243" w:type="dxa"/>
            <w:noWrap w:val="0"/>
            <w:vAlign w:val="top"/>
          </w:tcPr>
          <w:p w14:paraId="21024885">
            <w:pPr>
              <w:pStyle w:val="293"/>
              <w:rPr>
                <w:rFonts w:hint="eastAsia" w:ascii="宋体" w:hAnsi="宋体" w:cs="宋体"/>
                <w:color w:val="auto"/>
                <w:szCs w:val="21"/>
                <w:highlight w:val="none"/>
              </w:rPr>
            </w:pPr>
          </w:p>
        </w:tc>
        <w:tc>
          <w:tcPr>
            <w:tcW w:w="1450" w:type="dxa"/>
            <w:noWrap w:val="0"/>
            <w:vAlign w:val="top"/>
          </w:tcPr>
          <w:p w14:paraId="736DA43C">
            <w:pPr>
              <w:pStyle w:val="293"/>
              <w:rPr>
                <w:rFonts w:hint="eastAsia" w:ascii="宋体" w:hAnsi="宋体" w:cs="宋体"/>
                <w:color w:val="auto"/>
                <w:szCs w:val="21"/>
                <w:highlight w:val="none"/>
              </w:rPr>
            </w:pPr>
          </w:p>
        </w:tc>
        <w:tc>
          <w:tcPr>
            <w:tcW w:w="1667" w:type="dxa"/>
            <w:noWrap w:val="0"/>
            <w:vAlign w:val="top"/>
          </w:tcPr>
          <w:p w14:paraId="226DD15D">
            <w:pPr>
              <w:pStyle w:val="293"/>
              <w:rPr>
                <w:rFonts w:hint="eastAsia" w:ascii="宋体" w:hAnsi="宋体" w:cs="宋体"/>
                <w:color w:val="auto"/>
                <w:szCs w:val="21"/>
                <w:highlight w:val="none"/>
              </w:rPr>
            </w:pPr>
          </w:p>
        </w:tc>
      </w:tr>
    </w:tbl>
    <w:p w14:paraId="2F95B04C">
      <w:pPr>
        <w:pStyle w:val="293"/>
        <w:spacing w:line="440" w:lineRule="exact"/>
        <w:rPr>
          <w:rFonts w:hint="eastAsia" w:ascii="宋体" w:hAnsi="宋体" w:cs="宋体"/>
          <w:color w:val="auto"/>
          <w:szCs w:val="21"/>
          <w:highlight w:val="none"/>
        </w:rPr>
      </w:pPr>
    </w:p>
    <w:p w14:paraId="34BFED4F">
      <w:pPr>
        <w:pStyle w:val="293"/>
        <w:spacing w:line="440" w:lineRule="exac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附件4：</w:t>
      </w:r>
    </w:p>
    <w:p w14:paraId="59B2B66C">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626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5464E63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noWrap w:val="0"/>
            <w:vAlign w:val="center"/>
          </w:tcPr>
          <w:p w14:paraId="536A21C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noWrap w:val="0"/>
            <w:vAlign w:val="center"/>
          </w:tcPr>
          <w:p w14:paraId="2A59DC2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058" w:type="dxa"/>
            <w:noWrap w:val="0"/>
            <w:vAlign w:val="center"/>
          </w:tcPr>
          <w:p w14:paraId="4649551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80" w:type="dxa"/>
            <w:noWrap w:val="0"/>
            <w:vAlign w:val="center"/>
          </w:tcPr>
          <w:p w14:paraId="19D210A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1020" w:type="dxa"/>
            <w:noWrap w:val="0"/>
            <w:vAlign w:val="center"/>
          </w:tcPr>
          <w:p w14:paraId="4402FED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noWrap w:val="0"/>
            <w:vAlign w:val="center"/>
          </w:tcPr>
          <w:p w14:paraId="1A15892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noWrap w:val="0"/>
            <w:vAlign w:val="center"/>
          </w:tcPr>
          <w:p w14:paraId="4609787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21" w:type="dxa"/>
            <w:noWrap w:val="0"/>
            <w:vAlign w:val="center"/>
          </w:tcPr>
          <w:p w14:paraId="78928D9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3A0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066445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2FBEBC7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684D240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0F73FEE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171800C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3BAE2C7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09593AA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3136CF2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786AD12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FF6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19AC0F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170ABD8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74BB431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51AF33B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67C3778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7480961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02C0EDA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056195D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273496B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62D0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6B6A91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4B6343B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17E938B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6251E20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52F44D9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66EE639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7C0E134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3DA09A9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277A195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4F3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89A0E1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361BCE2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3B4D220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5D943E6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3235CE8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53BAA71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7D64BA0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36FCA2A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50F9C88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48C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D8EC4E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3E1A33D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03B59EB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79F700C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3DBCD69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5BD3EE0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31421FF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0CB4D7A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0FF915F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4F5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240F89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0000CE8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7537729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5225711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4A55294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2A3D1CD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4752796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095B0BF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1DE7E73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A4C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CF6BA9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6C24A6B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113A25E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30F5AB7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474C401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1519E3A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40550CA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79117E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5FC438A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553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F41285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3FEF070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77ECE0C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04E57DE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52BAA19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513C56A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69D2D14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111C485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2C5CA3F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DDA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0CCD82E">
            <w:pPr>
              <w:pStyle w:val="293"/>
              <w:rPr>
                <w:rFonts w:hint="eastAsia" w:ascii="宋体" w:hAnsi="宋体" w:cs="宋体"/>
                <w:color w:val="auto"/>
                <w:szCs w:val="21"/>
                <w:highlight w:val="none"/>
              </w:rPr>
            </w:pPr>
          </w:p>
        </w:tc>
        <w:tc>
          <w:tcPr>
            <w:tcW w:w="1418" w:type="dxa"/>
            <w:noWrap w:val="0"/>
            <w:vAlign w:val="top"/>
          </w:tcPr>
          <w:p w14:paraId="0ED549A9">
            <w:pPr>
              <w:pStyle w:val="293"/>
              <w:rPr>
                <w:rFonts w:hint="eastAsia" w:ascii="宋体" w:hAnsi="宋体" w:cs="宋体"/>
                <w:color w:val="auto"/>
                <w:szCs w:val="21"/>
                <w:highlight w:val="none"/>
              </w:rPr>
            </w:pPr>
          </w:p>
        </w:tc>
        <w:tc>
          <w:tcPr>
            <w:tcW w:w="850" w:type="dxa"/>
            <w:noWrap w:val="0"/>
            <w:vAlign w:val="top"/>
          </w:tcPr>
          <w:p w14:paraId="6C33E112">
            <w:pPr>
              <w:pStyle w:val="293"/>
              <w:rPr>
                <w:rFonts w:hint="eastAsia" w:ascii="宋体" w:hAnsi="宋体" w:cs="宋体"/>
                <w:color w:val="auto"/>
                <w:szCs w:val="21"/>
                <w:highlight w:val="none"/>
              </w:rPr>
            </w:pPr>
          </w:p>
        </w:tc>
        <w:tc>
          <w:tcPr>
            <w:tcW w:w="1058" w:type="dxa"/>
            <w:noWrap w:val="0"/>
            <w:vAlign w:val="top"/>
          </w:tcPr>
          <w:p w14:paraId="26A630AF">
            <w:pPr>
              <w:pStyle w:val="293"/>
              <w:rPr>
                <w:rFonts w:hint="eastAsia" w:ascii="宋体" w:hAnsi="宋体" w:cs="宋体"/>
                <w:color w:val="auto"/>
                <w:szCs w:val="21"/>
                <w:highlight w:val="none"/>
              </w:rPr>
            </w:pPr>
          </w:p>
        </w:tc>
        <w:tc>
          <w:tcPr>
            <w:tcW w:w="880" w:type="dxa"/>
            <w:noWrap w:val="0"/>
            <w:vAlign w:val="top"/>
          </w:tcPr>
          <w:p w14:paraId="3AE717DA">
            <w:pPr>
              <w:pStyle w:val="293"/>
              <w:rPr>
                <w:rFonts w:hint="eastAsia" w:ascii="宋体" w:hAnsi="宋体" w:cs="宋体"/>
                <w:color w:val="auto"/>
                <w:szCs w:val="21"/>
                <w:highlight w:val="none"/>
              </w:rPr>
            </w:pPr>
          </w:p>
        </w:tc>
        <w:tc>
          <w:tcPr>
            <w:tcW w:w="1020" w:type="dxa"/>
            <w:noWrap w:val="0"/>
            <w:vAlign w:val="top"/>
          </w:tcPr>
          <w:p w14:paraId="63C89034">
            <w:pPr>
              <w:pStyle w:val="293"/>
              <w:rPr>
                <w:rFonts w:hint="eastAsia" w:ascii="宋体" w:hAnsi="宋体" w:cs="宋体"/>
                <w:color w:val="auto"/>
                <w:szCs w:val="21"/>
                <w:highlight w:val="none"/>
              </w:rPr>
            </w:pPr>
          </w:p>
        </w:tc>
        <w:tc>
          <w:tcPr>
            <w:tcW w:w="1480" w:type="dxa"/>
            <w:noWrap w:val="0"/>
            <w:vAlign w:val="top"/>
          </w:tcPr>
          <w:p w14:paraId="7C2AECDF">
            <w:pPr>
              <w:pStyle w:val="293"/>
              <w:rPr>
                <w:rFonts w:hint="eastAsia" w:ascii="宋体" w:hAnsi="宋体" w:cs="宋体"/>
                <w:color w:val="auto"/>
                <w:szCs w:val="21"/>
                <w:highlight w:val="none"/>
              </w:rPr>
            </w:pPr>
          </w:p>
        </w:tc>
        <w:tc>
          <w:tcPr>
            <w:tcW w:w="1020" w:type="dxa"/>
            <w:noWrap w:val="0"/>
            <w:vAlign w:val="top"/>
          </w:tcPr>
          <w:p w14:paraId="3BB54880">
            <w:pPr>
              <w:pStyle w:val="293"/>
              <w:rPr>
                <w:rFonts w:hint="eastAsia" w:ascii="宋体" w:hAnsi="宋体" w:cs="宋体"/>
                <w:color w:val="auto"/>
                <w:szCs w:val="21"/>
                <w:highlight w:val="none"/>
              </w:rPr>
            </w:pPr>
          </w:p>
        </w:tc>
        <w:tc>
          <w:tcPr>
            <w:tcW w:w="921" w:type="dxa"/>
            <w:noWrap w:val="0"/>
            <w:vAlign w:val="top"/>
          </w:tcPr>
          <w:p w14:paraId="29AD5964">
            <w:pPr>
              <w:pStyle w:val="293"/>
              <w:rPr>
                <w:rFonts w:hint="eastAsia" w:ascii="宋体" w:hAnsi="宋体" w:cs="宋体"/>
                <w:color w:val="auto"/>
                <w:szCs w:val="21"/>
                <w:highlight w:val="none"/>
              </w:rPr>
            </w:pPr>
          </w:p>
        </w:tc>
      </w:tr>
      <w:tr w14:paraId="0BCE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0B393F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0048959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0388AFF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2294C50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32D799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26CA905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087291F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04D655B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1F01041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BFE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34D9AD3">
            <w:pPr>
              <w:pStyle w:val="293"/>
              <w:rPr>
                <w:rFonts w:hint="eastAsia" w:ascii="宋体" w:hAnsi="宋体" w:cs="宋体"/>
                <w:color w:val="auto"/>
                <w:szCs w:val="21"/>
                <w:highlight w:val="none"/>
              </w:rPr>
            </w:pPr>
          </w:p>
        </w:tc>
        <w:tc>
          <w:tcPr>
            <w:tcW w:w="1418" w:type="dxa"/>
            <w:noWrap w:val="0"/>
            <w:vAlign w:val="top"/>
          </w:tcPr>
          <w:p w14:paraId="2E7AA4E8">
            <w:pPr>
              <w:pStyle w:val="293"/>
              <w:rPr>
                <w:rFonts w:hint="eastAsia" w:ascii="宋体" w:hAnsi="宋体" w:cs="宋体"/>
                <w:color w:val="auto"/>
                <w:szCs w:val="21"/>
                <w:highlight w:val="none"/>
              </w:rPr>
            </w:pPr>
          </w:p>
        </w:tc>
        <w:tc>
          <w:tcPr>
            <w:tcW w:w="850" w:type="dxa"/>
            <w:noWrap w:val="0"/>
            <w:vAlign w:val="top"/>
          </w:tcPr>
          <w:p w14:paraId="0C9E4104">
            <w:pPr>
              <w:pStyle w:val="293"/>
              <w:rPr>
                <w:rFonts w:hint="eastAsia" w:ascii="宋体" w:hAnsi="宋体" w:cs="宋体"/>
                <w:color w:val="auto"/>
                <w:szCs w:val="21"/>
                <w:highlight w:val="none"/>
              </w:rPr>
            </w:pPr>
          </w:p>
        </w:tc>
        <w:tc>
          <w:tcPr>
            <w:tcW w:w="1058" w:type="dxa"/>
            <w:noWrap w:val="0"/>
            <w:vAlign w:val="top"/>
          </w:tcPr>
          <w:p w14:paraId="55B97E3B">
            <w:pPr>
              <w:pStyle w:val="293"/>
              <w:rPr>
                <w:rFonts w:hint="eastAsia" w:ascii="宋体" w:hAnsi="宋体" w:cs="宋体"/>
                <w:color w:val="auto"/>
                <w:szCs w:val="21"/>
                <w:highlight w:val="none"/>
              </w:rPr>
            </w:pPr>
          </w:p>
        </w:tc>
        <w:tc>
          <w:tcPr>
            <w:tcW w:w="880" w:type="dxa"/>
            <w:noWrap w:val="0"/>
            <w:vAlign w:val="top"/>
          </w:tcPr>
          <w:p w14:paraId="650661BE">
            <w:pPr>
              <w:pStyle w:val="293"/>
              <w:rPr>
                <w:rFonts w:hint="eastAsia" w:ascii="宋体" w:hAnsi="宋体" w:cs="宋体"/>
                <w:color w:val="auto"/>
                <w:szCs w:val="21"/>
                <w:highlight w:val="none"/>
              </w:rPr>
            </w:pPr>
          </w:p>
        </w:tc>
        <w:tc>
          <w:tcPr>
            <w:tcW w:w="1020" w:type="dxa"/>
            <w:noWrap w:val="0"/>
            <w:vAlign w:val="top"/>
          </w:tcPr>
          <w:p w14:paraId="497494C7">
            <w:pPr>
              <w:pStyle w:val="293"/>
              <w:rPr>
                <w:rFonts w:hint="eastAsia" w:ascii="宋体" w:hAnsi="宋体" w:cs="宋体"/>
                <w:color w:val="auto"/>
                <w:szCs w:val="21"/>
                <w:highlight w:val="none"/>
              </w:rPr>
            </w:pPr>
          </w:p>
        </w:tc>
        <w:tc>
          <w:tcPr>
            <w:tcW w:w="1480" w:type="dxa"/>
            <w:noWrap w:val="0"/>
            <w:vAlign w:val="top"/>
          </w:tcPr>
          <w:p w14:paraId="43CEC5E6">
            <w:pPr>
              <w:pStyle w:val="293"/>
              <w:rPr>
                <w:rFonts w:hint="eastAsia" w:ascii="宋体" w:hAnsi="宋体" w:cs="宋体"/>
                <w:color w:val="auto"/>
                <w:szCs w:val="21"/>
                <w:highlight w:val="none"/>
              </w:rPr>
            </w:pPr>
          </w:p>
        </w:tc>
        <w:tc>
          <w:tcPr>
            <w:tcW w:w="1020" w:type="dxa"/>
            <w:noWrap w:val="0"/>
            <w:vAlign w:val="top"/>
          </w:tcPr>
          <w:p w14:paraId="42ACBB56">
            <w:pPr>
              <w:pStyle w:val="293"/>
              <w:rPr>
                <w:rFonts w:hint="eastAsia" w:ascii="宋体" w:hAnsi="宋体" w:cs="宋体"/>
                <w:color w:val="auto"/>
                <w:szCs w:val="21"/>
                <w:highlight w:val="none"/>
              </w:rPr>
            </w:pPr>
          </w:p>
        </w:tc>
        <w:tc>
          <w:tcPr>
            <w:tcW w:w="921" w:type="dxa"/>
            <w:noWrap w:val="0"/>
            <w:vAlign w:val="top"/>
          </w:tcPr>
          <w:p w14:paraId="63D0A7AE">
            <w:pPr>
              <w:pStyle w:val="293"/>
              <w:rPr>
                <w:rFonts w:hint="eastAsia" w:ascii="宋体" w:hAnsi="宋体" w:cs="宋体"/>
                <w:color w:val="auto"/>
                <w:szCs w:val="21"/>
                <w:highlight w:val="none"/>
              </w:rPr>
            </w:pPr>
          </w:p>
        </w:tc>
      </w:tr>
      <w:tr w14:paraId="11A9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0B6564C">
            <w:pPr>
              <w:pStyle w:val="293"/>
              <w:rPr>
                <w:rFonts w:hint="eastAsia" w:ascii="宋体" w:hAnsi="宋体" w:cs="宋体"/>
                <w:color w:val="auto"/>
                <w:szCs w:val="21"/>
                <w:highlight w:val="none"/>
              </w:rPr>
            </w:pPr>
          </w:p>
        </w:tc>
        <w:tc>
          <w:tcPr>
            <w:tcW w:w="1418" w:type="dxa"/>
            <w:noWrap w:val="0"/>
            <w:vAlign w:val="top"/>
          </w:tcPr>
          <w:p w14:paraId="05459F13">
            <w:pPr>
              <w:pStyle w:val="293"/>
              <w:rPr>
                <w:rFonts w:hint="eastAsia" w:ascii="宋体" w:hAnsi="宋体" w:cs="宋体"/>
                <w:color w:val="auto"/>
                <w:szCs w:val="21"/>
                <w:highlight w:val="none"/>
              </w:rPr>
            </w:pPr>
          </w:p>
        </w:tc>
        <w:tc>
          <w:tcPr>
            <w:tcW w:w="850" w:type="dxa"/>
            <w:noWrap w:val="0"/>
            <w:vAlign w:val="top"/>
          </w:tcPr>
          <w:p w14:paraId="7BC56E6D">
            <w:pPr>
              <w:pStyle w:val="293"/>
              <w:rPr>
                <w:rFonts w:hint="eastAsia" w:ascii="宋体" w:hAnsi="宋体" w:cs="宋体"/>
                <w:color w:val="auto"/>
                <w:szCs w:val="21"/>
                <w:highlight w:val="none"/>
              </w:rPr>
            </w:pPr>
          </w:p>
        </w:tc>
        <w:tc>
          <w:tcPr>
            <w:tcW w:w="1058" w:type="dxa"/>
            <w:noWrap w:val="0"/>
            <w:vAlign w:val="top"/>
          </w:tcPr>
          <w:p w14:paraId="733F4D97">
            <w:pPr>
              <w:pStyle w:val="293"/>
              <w:rPr>
                <w:rFonts w:hint="eastAsia" w:ascii="宋体" w:hAnsi="宋体" w:cs="宋体"/>
                <w:color w:val="auto"/>
                <w:szCs w:val="21"/>
                <w:highlight w:val="none"/>
              </w:rPr>
            </w:pPr>
          </w:p>
        </w:tc>
        <w:tc>
          <w:tcPr>
            <w:tcW w:w="880" w:type="dxa"/>
            <w:noWrap w:val="0"/>
            <w:vAlign w:val="top"/>
          </w:tcPr>
          <w:p w14:paraId="3C8A41B1">
            <w:pPr>
              <w:pStyle w:val="293"/>
              <w:rPr>
                <w:rFonts w:hint="eastAsia" w:ascii="宋体" w:hAnsi="宋体" w:cs="宋体"/>
                <w:color w:val="auto"/>
                <w:szCs w:val="21"/>
                <w:highlight w:val="none"/>
              </w:rPr>
            </w:pPr>
          </w:p>
        </w:tc>
        <w:tc>
          <w:tcPr>
            <w:tcW w:w="1020" w:type="dxa"/>
            <w:noWrap w:val="0"/>
            <w:vAlign w:val="top"/>
          </w:tcPr>
          <w:p w14:paraId="31F11C70">
            <w:pPr>
              <w:pStyle w:val="293"/>
              <w:rPr>
                <w:rFonts w:hint="eastAsia" w:ascii="宋体" w:hAnsi="宋体" w:cs="宋体"/>
                <w:color w:val="auto"/>
                <w:szCs w:val="21"/>
                <w:highlight w:val="none"/>
              </w:rPr>
            </w:pPr>
          </w:p>
        </w:tc>
        <w:tc>
          <w:tcPr>
            <w:tcW w:w="1480" w:type="dxa"/>
            <w:noWrap w:val="0"/>
            <w:vAlign w:val="top"/>
          </w:tcPr>
          <w:p w14:paraId="440B655B">
            <w:pPr>
              <w:pStyle w:val="293"/>
              <w:rPr>
                <w:rFonts w:hint="eastAsia" w:ascii="宋体" w:hAnsi="宋体" w:cs="宋体"/>
                <w:color w:val="auto"/>
                <w:szCs w:val="21"/>
                <w:highlight w:val="none"/>
              </w:rPr>
            </w:pPr>
          </w:p>
        </w:tc>
        <w:tc>
          <w:tcPr>
            <w:tcW w:w="1020" w:type="dxa"/>
            <w:noWrap w:val="0"/>
            <w:vAlign w:val="top"/>
          </w:tcPr>
          <w:p w14:paraId="5C59F219">
            <w:pPr>
              <w:pStyle w:val="293"/>
              <w:rPr>
                <w:rFonts w:hint="eastAsia" w:ascii="宋体" w:hAnsi="宋体" w:cs="宋体"/>
                <w:color w:val="auto"/>
                <w:szCs w:val="21"/>
                <w:highlight w:val="none"/>
              </w:rPr>
            </w:pPr>
          </w:p>
        </w:tc>
        <w:tc>
          <w:tcPr>
            <w:tcW w:w="921" w:type="dxa"/>
            <w:noWrap w:val="0"/>
            <w:vAlign w:val="top"/>
          </w:tcPr>
          <w:p w14:paraId="4FB74017">
            <w:pPr>
              <w:pStyle w:val="293"/>
              <w:rPr>
                <w:rFonts w:hint="eastAsia" w:ascii="宋体" w:hAnsi="宋体" w:cs="宋体"/>
                <w:color w:val="auto"/>
                <w:szCs w:val="21"/>
                <w:highlight w:val="none"/>
              </w:rPr>
            </w:pPr>
          </w:p>
        </w:tc>
      </w:tr>
      <w:tr w14:paraId="57AF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ECD0DC0">
            <w:pPr>
              <w:pStyle w:val="293"/>
              <w:rPr>
                <w:rFonts w:hint="eastAsia" w:ascii="宋体" w:hAnsi="宋体" w:cs="宋体"/>
                <w:color w:val="auto"/>
                <w:szCs w:val="21"/>
                <w:highlight w:val="none"/>
              </w:rPr>
            </w:pPr>
          </w:p>
        </w:tc>
        <w:tc>
          <w:tcPr>
            <w:tcW w:w="1418" w:type="dxa"/>
            <w:noWrap w:val="0"/>
            <w:vAlign w:val="top"/>
          </w:tcPr>
          <w:p w14:paraId="64F648BF">
            <w:pPr>
              <w:pStyle w:val="293"/>
              <w:rPr>
                <w:rFonts w:hint="eastAsia" w:ascii="宋体" w:hAnsi="宋体" w:cs="宋体"/>
                <w:color w:val="auto"/>
                <w:szCs w:val="21"/>
                <w:highlight w:val="none"/>
              </w:rPr>
            </w:pPr>
          </w:p>
        </w:tc>
        <w:tc>
          <w:tcPr>
            <w:tcW w:w="850" w:type="dxa"/>
            <w:noWrap w:val="0"/>
            <w:vAlign w:val="top"/>
          </w:tcPr>
          <w:p w14:paraId="0C714A19">
            <w:pPr>
              <w:pStyle w:val="293"/>
              <w:rPr>
                <w:rFonts w:hint="eastAsia" w:ascii="宋体" w:hAnsi="宋体" w:cs="宋体"/>
                <w:color w:val="auto"/>
                <w:szCs w:val="21"/>
                <w:highlight w:val="none"/>
              </w:rPr>
            </w:pPr>
          </w:p>
        </w:tc>
        <w:tc>
          <w:tcPr>
            <w:tcW w:w="1058" w:type="dxa"/>
            <w:noWrap w:val="0"/>
            <w:vAlign w:val="top"/>
          </w:tcPr>
          <w:p w14:paraId="072D1578">
            <w:pPr>
              <w:pStyle w:val="293"/>
              <w:rPr>
                <w:rFonts w:hint="eastAsia" w:ascii="宋体" w:hAnsi="宋体" w:cs="宋体"/>
                <w:color w:val="auto"/>
                <w:szCs w:val="21"/>
                <w:highlight w:val="none"/>
              </w:rPr>
            </w:pPr>
          </w:p>
        </w:tc>
        <w:tc>
          <w:tcPr>
            <w:tcW w:w="880" w:type="dxa"/>
            <w:noWrap w:val="0"/>
            <w:vAlign w:val="top"/>
          </w:tcPr>
          <w:p w14:paraId="787F1576">
            <w:pPr>
              <w:pStyle w:val="293"/>
              <w:rPr>
                <w:rFonts w:hint="eastAsia" w:ascii="宋体" w:hAnsi="宋体" w:cs="宋体"/>
                <w:color w:val="auto"/>
                <w:szCs w:val="21"/>
                <w:highlight w:val="none"/>
              </w:rPr>
            </w:pPr>
          </w:p>
        </w:tc>
        <w:tc>
          <w:tcPr>
            <w:tcW w:w="1020" w:type="dxa"/>
            <w:noWrap w:val="0"/>
            <w:vAlign w:val="top"/>
          </w:tcPr>
          <w:p w14:paraId="63BF38D1">
            <w:pPr>
              <w:pStyle w:val="293"/>
              <w:rPr>
                <w:rFonts w:hint="eastAsia" w:ascii="宋体" w:hAnsi="宋体" w:cs="宋体"/>
                <w:color w:val="auto"/>
                <w:szCs w:val="21"/>
                <w:highlight w:val="none"/>
              </w:rPr>
            </w:pPr>
          </w:p>
        </w:tc>
        <w:tc>
          <w:tcPr>
            <w:tcW w:w="1480" w:type="dxa"/>
            <w:noWrap w:val="0"/>
            <w:vAlign w:val="top"/>
          </w:tcPr>
          <w:p w14:paraId="79599093">
            <w:pPr>
              <w:pStyle w:val="293"/>
              <w:rPr>
                <w:rFonts w:hint="eastAsia" w:ascii="宋体" w:hAnsi="宋体" w:cs="宋体"/>
                <w:color w:val="auto"/>
                <w:szCs w:val="21"/>
                <w:highlight w:val="none"/>
              </w:rPr>
            </w:pPr>
          </w:p>
        </w:tc>
        <w:tc>
          <w:tcPr>
            <w:tcW w:w="1020" w:type="dxa"/>
            <w:noWrap w:val="0"/>
            <w:vAlign w:val="top"/>
          </w:tcPr>
          <w:p w14:paraId="4D5D78D4">
            <w:pPr>
              <w:pStyle w:val="293"/>
              <w:rPr>
                <w:rFonts w:hint="eastAsia" w:ascii="宋体" w:hAnsi="宋体" w:cs="宋体"/>
                <w:color w:val="auto"/>
                <w:szCs w:val="21"/>
                <w:highlight w:val="none"/>
              </w:rPr>
            </w:pPr>
          </w:p>
        </w:tc>
        <w:tc>
          <w:tcPr>
            <w:tcW w:w="921" w:type="dxa"/>
            <w:noWrap w:val="0"/>
            <w:vAlign w:val="top"/>
          </w:tcPr>
          <w:p w14:paraId="24B9FBF7">
            <w:pPr>
              <w:pStyle w:val="293"/>
              <w:rPr>
                <w:rFonts w:hint="eastAsia" w:ascii="宋体" w:hAnsi="宋体" w:cs="宋体"/>
                <w:color w:val="auto"/>
                <w:szCs w:val="21"/>
                <w:highlight w:val="none"/>
              </w:rPr>
            </w:pPr>
          </w:p>
        </w:tc>
      </w:tr>
    </w:tbl>
    <w:p w14:paraId="589B48EB">
      <w:pPr>
        <w:pStyle w:val="293"/>
        <w:spacing w:line="440" w:lineRule="exact"/>
        <w:jc w:val="left"/>
        <w:rPr>
          <w:rFonts w:hint="eastAsia" w:ascii="宋体" w:hAnsi="宋体" w:cs="宋体"/>
          <w:color w:val="auto"/>
          <w:szCs w:val="21"/>
          <w:highlight w:val="none"/>
        </w:rPr>
      </w:pPr>
    </w:p>
    <w:p w14:paraId="25C5BDCD">
      <w:pPr>
        <w:pStyle w:val="293"/>
        <w:spacing w:line="440" w:lineRule="exact"/>
        <w:jc w:val="left"/>
        <w:rPr>
          <w:rFonts w:hint="eastAsia" w:ascii="宋体" w:hAnsi="宋体" w:cs="宋体"/>
          <w:color w:val="auto"/>
          <w:szCs w:val="21"/>
          <w:highlight w:val="none"/>
        </w:rPr>
      </w:pPr>
    </w:p>
    <w:p w14:paraId="67E930A0">
      <w:pPr>
        <w:pStyle w:val="293"/>
        <w:spacing w:line="440" w:lineRule="exact"/>
        <w:jc w:val="left"/>
        <w:rPr>
          <w:rFonts w:hint="eastAsia" w:ascii="宋体" w:hAnsi="宋体" w:cs="宋体"/>
          <w:color w:val="auto"/>
          <w:szCs w:val="21"/>
          <w:highlight w:val="none"/>
        </w:rPr>
      </w:pPr>
    </w:p>
    <w:p w14:paraId="6125C04C">
      <w:pPr>
        <w:pStyle w:val="293"/>
        <w:spacing w:line="440" w:lineRule="exact"/>
        <w:jc w:val="left"/>
        <w:rPr>
          <w:rFonts w:hint="eastAsia" w:ascii="宋体" w:hAnsi="宋体" w:cs="宋体"/>
          <w:color w:val="auto"/>
          <w:szCs w:val="21"/>
          <w:highlight w:val="none"/>
        </w:rPr>
      </w:pPr>
    </w:p>
    <w:p w14:paraId="037D9738">
      <w:pPr>
        <w:pStyle w:val="293"/>
        <w:spacing w:line="440" w:lineRule="exact"/>
        <w:jc w:val="left"/>
        <w:rPr>
          <w:rFonts w:hint="eastAsia" w:ascii="宋体" w:hAnsi="宋体" w:cs="宋体"/>
          <w:color w:val="auto"/>
          <w:szCs w:val="21"/>
          <w:highlight w:val="none"/>
        </w:rPr>
      </w:pPr>
    </w:p>
    <w:p w14:paraId="64329083">
      <w:pPr>
        <w:pStyle w:val="293"/>
        <w:spacing w:line="440" w:lineRule="exact"/>
        <w:jc w:val="left"/>
        <w:rPr>
          <w:rFonts w:hint="eastAsia" w:ascii="宋体" w:hAnsi="宋体" w:cs="宋体"/>
          <w:color w:val="auto"/>
          <w:szCs w:val="21"/>
          <w:highlight w:val="none"/>
        </w:rPr>
      </w:pPr>
    </w:p>
    <w:p w14:paraId="1448C20E">
      <w:pPr>
        <w:pStyle w:val="293"/>
        <w:spacing w:line="440" w:lineRule="exact"/>
        <w:jc w:val="left"/>
        <w:rPr>
          <w:rFonts w:hint="eastAsia" w:ascii="宋体" w:hAnsi="宋体" w:cs="宋体"/>
          <w:color w:val="auto"/>
          <w:szCs w:val="21"/>
          <w:highlight w:val="none"/>
        </w:rPr>
      </w:pPr>
    </w:p>
    <w:p w14:paraId="367959BF">
      <w:pPr>
        <w:pStyle w:val="293"/>
        <w:spacing w:line="440" w:lineRule="exact"/>
        <w:jc w:val="left"/>
        <w:rPr>
          <w:rFonts w:hint="eastAsia" w:ascii="宋体" w:hAnsi="宋体" w:cs="宋体"/>
          <w:color w:val="auto"/>
          <w:szCs w:val="21"/>
          <w:highlight w:val="none"/>
        </w:rPr>
      </w:pPr>
    </w:p>
    <w:p w14:paraId="49E0F24B">
      <w:pPr>
        <w:pStyle w:val="293"/>
        <w:spacing w:line="440" w:lineRule="exact"/>
        <w:jc w:val="left"/>
        <w:rPr>
          <w:rFonts w:hint="eastAsia" w:ascii="宋体" w:hAnsi="宋体" w:cs="宋体"/>
          <w:color w:val="auto"/>
          <w:szCs w:val="21"/>
          <w:highlight w:val="none"/>
        </w:rPr>
      </w:pPr>
    </w:p>
    <w:p w14:paraId="5237A1EF">
      <w:pPr>
        <w:pStyle w:val="293"/>
        <w:spacing w:line="440" w:lineRule="exact"/>
        <w:jc w:val="left"/>
        <w:rPr>
          <w:rFonts w:hint="eastAsia" w:ascii="宋体" w:hAnsi="宋体" w:cs="宋体"/>
          <w:color w:val="auto"/>
          <w:szCs w:val="21"/>
          <w:highlight w:val="none"/>
        </w:rPr>
      </w:pPr>
    </w:p>
    <w:p w14:paraId="2466864C">
      <w:pPr>
        <w:pStyle w:val="293"/>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附</w:t>
      </w:r>
      <w:bookmarkStart w:id="1067" w:name="_Toc296346729"/>
      <w:bookmarkStart w:id="1068" w:name="_Toc296944567"/>
      <w:bookmarkStart w:id="1069" w:name="_Toc296891056"/>
      <w:bookmarkStart w:id="1070" w:name="_Toc267261699"/>
      <w:bookmarkStart w:id="1071" w:name="_Toc296503228"/>
      <w:bookmarkStart w:id="1072" w:name="_Toc296891268"/>
      <w:bookmarkStart w:id="1073" w:name="_Toc296347227"/>
      <w:r>
        <w:rPr>
          <w:rFonts w:hint="eastAsia" w:ascii="宋体" w:hAnsi="宋体" w:cs="宋体"/>
          <w:color w:val="auto"/>
          <w:szCs w:val="21"/>
          <w:highlight w:val="none"/>
        </w:rPr>
        <w:t>件5：</w:t>
      </w:r>
    </w:p>
    <w:bookmarkEnd w:id="1067"/>
    <w:bookmarkEnd w:id="1068"/>
    <w:bookmarkEnd w:id="1069"/>
    <w:bookmarkEnd w:id="1070"/>
    <w:bookmarkEnd w:id="1071"/>
    <w:bookmarkEnd w:id="1072"/>
    <w:bookmarkEnd w:id="1073"/>
    <w:p w14:paraId="2B3F495E">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承包人主要施工管理人员表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AD7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8F540D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1418" w:type="dxa"/>
            <w:noWrap w:val="0"/>
            <w:vAlign w:val="center"/>
          </w:tcPr>
          <w:p w14:paraId="120201D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34" w:type="dxa"/>
            <w:noWrap w:val="0"/>
            <w:vAlign w:val="center"/>
          </w:tcPr>
          <w:p w14:paraId="045DF11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134" w:type="dxa"/>
            <w:noWrap w:val="0"/>
            <w:vAlign w:val="center"/>
          </w:tcPr>
          <w:p w14:paraId="0A171E2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4252" w:type="dxa"/>
            <w:noWrap w:val="0"/>
            <w:vAlign w:val="center"/>
          </w:tcPr>
          <w:p w14:paraId="4866F126">
            <w:pPr>
              <w:pStyle w:val="293"/>
              <w:keepNext/>
              <w:adjustRightInd w:val="0"/>
              <w:spacing w:line="440" w:lineRule="exact"/>
              <w:ind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计划进场时间</w:t>
            </w:r>
          </w:p>
        </w:tc>
      </w:tr>
      <w:tr w14:paraId="7DBE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19ABE9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一、总部人员</w:t>
            </w:r>
          </w:p>
        </w:tc>
      </w:tr>
      <w:tr w14:paraId="7556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20DD8A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1418" w:type="dxa"/>
            <w:noWrap w:val="0"/>
            <w:vAlign w:val="center"/>
          </w:tcPr>
          <w:p w14:paraId="753CF0C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AE0279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97586C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4F1A188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CDA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10D65FC">
            <w:pPr>
              <w:pStyle w:val="293"/>
              <w:keepNext/>
              <w:adjustRightInd w:val="0"/>
              <w:spacing w:after="60"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1418" w:type="dxa"/>
            <w:noWrap w:val="0"/>
            <w:vAlign w:val="center"/>
          </w:tcPr>
          <w:p w14:paraId="0EF11E6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C4B6B1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5ACAFBC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445F602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EE5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10FD76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737D131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F48511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4BC2D7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781A586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6425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2C4948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7A3CE83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9169E1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48A06A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B635E5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62C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11908B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二、现场人员</w:t>
            </w:r>
          </w:p>
        </w:tc>
      </w:tr>
      <w:tr w14:paraId="27BB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327F60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418" w:type="dxa"/>
            <w:noWrap w:val="0"/>
            <w:vAlign w:val="center"/>
          </w:tcPr>
          <w:p w14:paraId="3781237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E5F5EE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8ACF62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1992876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315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77A24A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1418" w:type="dxa"/>
            <w:noWrap w:val="0"/>
            <w:vAlign w:val="center"/>
          </w:tcPr>
          <w:p w14:paraId="44AE9F6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7A5ACB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ED7925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8809A2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6D51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B81D2A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1418" w:type="dxa"/>
            <w:noWrap w:val="0"/>
            <w:vAlign w:val="center"/>
          </w:tcPr>
          <w:p w14:paraId="5B912CD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D36554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BD23A3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467751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69E1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DBFC6D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造价管理</w:t>
            </w:r>
          </w:p>
        </w:tc>
        <w:tc>
          <w:tcPr>
            <w:tcW w:w="1418" w:type="dxa"/>
            <w:noWrap w:val="0"/>
            <w:vAlign w:val="center"/>
          </w:tcPr>
          <w:p w14:paraId="074E989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5FCDD9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A3FE6A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7B4782B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B6C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F3E62A5">
            <w:pPr>
              <w:pStyle w:val="293"/>
              <w:keepNext/>
              <w:adjustRightInd w:val="0"/>
              <w:spacing w:after="60"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质量管理</w:t>
            </w:r>
          </w:p>
        </w:tc>
        <w:tc>
          <w:tcPr>
            <w:tcW w:w="1418" w:type="dxa"/>
            <w:noWrap w:val="0"/>
            <w:vAlign w:val="center"/>
          </w:tcPr>
          <w:p w14:paraId="534DA61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15E7D3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32C8A1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94415F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2A9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C9E6AA4">
            <w:pPr>
              <w:pStyle w:val="293"/>
              <w:keepNext/>
              <w:adjustRightInd w:val="0"/>
              <w:spacing w:after="60"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38F2F10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D871B2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5E7BC45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7B8973C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AF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E8F616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6659951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E9E7DD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DE512E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6379A55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7BC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2FB07D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材料管理</w:t>
            </w:r>
          </w:p>
        </w:tc>
        <w:tc>
          <w:tcPr>
            <w:tcW w:w="1418" w:type="dxa"/>
            <w:noWrap w:val="0"/>
            <w:vAlign w:val="center"/>
          </w:tcPr>
          <w:p w14:paraId="27626D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90D359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5A5ED3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4ADFE20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4A4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546FA5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计划管理</w:t>
            </w:r>
          </w:p>
        </w:tc>
        <w:tc>
          <w:tcPr>
            <w:tcW w:w="1418" w:type="dxa"/>
            <w:noWrap w:val="0"/>
            <w:vAlign w:val="center"/>
          </w:tcPr>
          <w:p w14:paraId="15CAF06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1B8EBD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57FAE3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7425537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F29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A3E84D7">
            <w:pPr>
              <w:pStyle w:val="293"/>
              <w:keepNext/>
              <w:adjustRightInd w:val="0"/>
              <w:spacing w:after="60"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安全管理</w:t>
            </w:r>
          </w:p>
        </w:tc>
        <w:tc>
          <w:tcPr>
            <w:tcW w:w="1418" w:type="dxa"/>
            <w:noWrap w:val="0"/>
            <w:vAlign w:val="center"/>
          </w:tcPr>
          <w:p w14:paraId="09CE973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428A37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0E79F7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FF16F7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29E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6FF394A">
            <w:pPr>
              <w:pStyle w:val="293"/>
              <w:keepNext/>
              <w:adjustRightInd w:val="0"/>
              <w:spacing w:after="60"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59E336C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FEF3B5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A81467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B1E5B7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5C4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369368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1E09A1F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F62D07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167DD0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48CEFD0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D2E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E6A6B7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1418" w:type="dxa"/>
            <w:noWrap w:val="0"/>
            <w:vAlign w:val="center"/>
          </w:tcPr>
          <w:p w14:paraId="18A8BD3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496EBD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BA7885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0AB2813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5B4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D35DD9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45D453F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505E38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B8AB94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A42F34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D95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A4CACD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1D21610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64006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CB93D3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6287C2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AB1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5210B8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4D1AA15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A6B724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4ABD16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63E2193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CB5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EEA38B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1FC1E72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C1FB12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4D7814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1C6B7B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C51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B11D14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43AC59C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CE4A41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F52243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04891C4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bl>
    <w:p w14:paraId="20B01A3A">
      <w:pPr>
        <w:pStyle w:val="293"/>
        <w:spacing w:line="440" w:lineRule="exac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w:t>
      </w:r>
      <w:bookmarkStart w:id="1074" w:name="_Toc296347228"/>
      <w:bookmarkStart w:id="1075" w:name="_Toc296503229"/>
      <w:bookmarkStart w:id="1076" w:name="_Toc296891057"/>
      <w:bookmarkStart w:id="1077" w:name="_Toc296944568"/>
      <w:bookmarkStart w:id="1078" w:name="_Toc296346730"/>
      <w:bookmarkStart w:id="1079" w:name="_Toc296891269"/>
      <w:r>
        <w:rPr>
          <w:rFonts w:hint="eastAsia" w:ascii="宋体" w:hAnsi="宋体" w:cs="宋体"/>
          <w:color w:val="auto"/>
          <w:szCs w:val="21"/>
          <w:highlight w:val="none"/>
        </w:rPr>
        <w:t>件6：</w:t>
      </w:r>
    </w:p>
    <w:bookmarkEnd w:id="1074"/>
    <w:bookmarkEnd w:id="1075"/>
    <w:bookmarkEnd w:id="1076"/>
    <w:bookmarkEnd w:id="1077"/>
    <w:bookmarkEnd w:id="1078"/>
    <w:bookmarkEnd w:id="1079"/>
    <w:p w14:paraId="4E9FCF30">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分包人主要施工管理人员表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1B5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7A0603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1418" w:type="dxa"/>
            <w:noWrap w:val="0"/>
            <w:vAlign w:val="center"/>
          </w:tcPr>
          <w:p w14:paraId="629A038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34" w:type="dxa"/>
            <w:noWrap w:val="0"/>
            <w:vAlign w:val="center"/>
          </w:tcPr>
          <w:p w14:paraId="39AB7EC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134" w:type="dxa"/>
            <w:noWrap w:val="0"/>
            <w:vAlign w:val="center"/>
          </w:tcPr>
          <w:p w14:paraId="7BE0C13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4252" w:type="dxa"/>
            <w:noWrap w:val="0"/>
            <w:vAlign w:val="center"/>
          </w:tcPr>
          <w:p w14:paraId="73A1EC6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r>
      <w:tr w14:paraId="6017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BE8F75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一、总部人员</w:t>
            </w:r>
          </w:p>
        </w:tc>
      </w:tr>
      <w:tr w14:paraId="11DD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F6562A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1418" w:type="dxa"/>
            <w:noWrap w:val="0"/>
            <w:vAlign w:val="center"/>
          </w:tcPr>
          <w:p w14:paraId="02E9617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BEE9C0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FDB30A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15F224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9AD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4A547CE">
            <w:pPr>
              <w:pStyle w:val="293"/>
              <w:keepNext/>
              <w:adjustRightInd w:val="0"/>
              <w:spacing w:after="60"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1418" w:type="dxa"/>
            <w:noWrap w:val="0"/>
            <w:vAlign w:val="center"/>
          </w:tcPr>
          <w:p w14:paraId="51D99FB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343E49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51092D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402AA18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6FD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6AFC1E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064572D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C06653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FFFF30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302112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B95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F24E8D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1214FAA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64B5C9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B9A89E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19A43DC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8DA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45E2E0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二、现场人员</w:t>
            </w:r>
          </w:p>
        </w:tc>
      </w:tr>
      <w:tr w14:paraId="204D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C4AEB6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418" w:type="dxa"/>
            <w:noWrap w:val="0"/>
            <w:vAlign w:val="center"/>
          </w:tcPr>
          <w:p w14:paraId="1E4C27B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9416E1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57565A8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1032E5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40A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5FDFB3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1418" w:type="dxa"/>
            <w:noWrap w:val="0"/>
            <w:vAlign w:val="center"/>
          </w:tcPr>
          <w:p w14:paraId="4446F28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5F45F5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0892FD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5D8442A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FDB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61D4A1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1418" w:type="dxa"/>
            <w:noWrap w:val="0"/>
            <w:vAlign w:val="center"/>
          </w:tcPr>
          <w:p w14:paraId="76F9CDB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0C0733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E663F6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F4B5CE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AA6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AF5499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造价管理</w:t>
            </w:r>
          </w:p>
        </w:tc>
        <w:tc>
          <w:tcPr>
            <w:tcW w:w="1418" w:type="dxa"/>
            <w:noWrap w:val="0"/>
            <w:vAlign w:val="center"/>
          </w:tcPr>
          <w:p w14:paraId="380C95B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9530FC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96AFAC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6B265D3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3B1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756C24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质量管理</w:t>
            </w:r>
          </w:p>
        </w:tc>
        <w:tc>
          <w:tcPr>
            <w:tcW w:w="1418" w:type="dxa"/>
            <w:noWrap w:val="0"/>
            <w:vAlign w:val="center"/>
          </w:tcPr>
          <w:p w14:paraId="432CE31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F1B882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B0AFD2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FD23FA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D31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2C63D0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材料管理</w:t>
            </w:r>
          </w:p>
        </w:tc>
        <w:tc>
          <w:tcPr>
            <w:tcW w:w="1418" w:type="dxa"/>
            <w:noWrap w:val="0"/>
            <w:vAlign w:val="center"/>
          </w:tcPr>
          <w:p w14:paraId="371BCE9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F759AB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73A069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F617E5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2FB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C2FF18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计划管理</w:t>
            </w:r>
          </w:p>
        </w:tc>
        <w:tc>
          <w:tcPr>
            <w:tcW w:w="1418" w:type="dxa"/>
            <w:noWrap w:val="0"/>
            <w:vAlign w:val="center"/>
          </w:tcPr>
          <w:p w14:paraId="3007D12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0A44AB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6C6E0D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75B22E8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6856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F6D86C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安全管理</w:t>
            </w:r>
          </w:p>
        </w:tc>
        <w:tc>
          <w:tcPr>
            <w:tcW w:w="1418" w:type="dxa"/>
            <w:noWrap w:val="0"/>
            <w:vAlign w:val="center"/>
          </w:tcPr>
          <w:p w14:paraId="0513D7C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B5605E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8FFA4B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7089A22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2F7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8490A5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1418" w:type="dxa"/>
            <w:noWrap w:val="0"/>
            <w:vAlign w:val="center"/>
          </w:tcPr>
          <w:p w14:paraId="00B9D69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0C04EB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21C913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18291C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CAA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7C0833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46B705D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37767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D8541A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2D9CEF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484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A65392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37777CF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8C4429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C84273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83F3B2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3FB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D9B0D7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4E01319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A250E7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FE4AB6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E9C453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002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9683DF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7808933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1BEA3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F3CCA1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1A56AE7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6478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78FCFD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32E8EAF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784CE8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588D487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5E841E4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bl>
    <w:p w14:paraId="0CC3B2D4">
      <w:pPr>
        <w:pStyle w:val="293"/>
        <w:spacing w:line="440" w:lineRule="exact"/>
        <w:rPr>
          <w:rFonts w:hint="eastAsia" w:ascii="宋体" w:hAnsi="宋体" w:cs="宋体"/>
          <w:color w:val="auto"/>
          <w:szCs w:val="21"/>
          <w:highlight w:val="none"/>
        </w:rPr>
      </w:pPr>
      <w:r>
        <w:rPr>
          <w:rFonts w:hint="eastAsia" w:ascii="宋体" w:hAnsi="宋体" w:cs="宋体"/>
          <w:color w:val="auto"/>
          <w:szCs w:val="21"/>
          <w:highlight w:val="none"/>
        </w:rPr>
        <w:br w:type="page"/>
      </w:r>
      <w:bookmarkStart w:id="1080" w:name="_Toc267261701"/>
      <w:r>
        <w:rPr>
          <w:rFonts w:hint="eastAsia" w:ascii="宋体" w:hAnsi="宋体" w:cs="宋体"/>
          <w:color w:val="auto"/>
          <w:szCs w:val="21"/>
          <w:highlight w:val="none"/>
        </w:rPr>
        <w:t>附</w:t>
      </w:r>
      <w:bookmarkStart w:id="1081" w:name="_Toc296503231"/>
      <w:bookmarkStart w:id="1082" w:name="_Toc296891059"/>
      <w:bookmarkStart w:id="1083" w:name="_Toc296346732"/>
      <w:bookmarkStart w:id="1084" w:name="_Toc296944570"/>
      <w:bookmarkStart w:id="1085" w:name="_Toc296891271"/>
      <w:bookmarkStart w:id="1086" w:name="_Toc296347230"/>
      <w:r>
        <w:rPr>
          <w:rFonts w:hint="eastAsia" w:ascii="宋体" w:hAnsi="宋体" w:cs="宋体"/>
          <w:color w:val="auto"/>
          <w:szCs w:val="21"/>
          <w:highlight w:val="none"/>
        </w:rPr>
        <w:t>件7：</w:t>
      </w:r>
    </w:p>
    <w:bookmarkEnd w:id="1080"/>
    <w:bookmarkEnd w:id="1081"/>
    <w:bookmarkEnd w:id="1082"/>
    <w:bookmarkEnd w:id="1083"/>
    <w:bookmarkEnd w:id="1084"/>
    <w:bookmarkEnd w:id="1085"/>
    <w:bookmarkEnd w:id="1086"/>
    <w:p w14:paraId="1C3B1242">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p w14:paraId="6A8027CF">
      <w:pPr>
        <w:pStyle w:val="293"/>
        <w:spacing w:line="360" w:lineRule="auto"/>
        <w:rPr>
          <w:rFonts w:hint="eastAsia" w:ascii="宋体" w:hAnsi="宋体" w:cs="宋体"/>
          <w:color w:val="auto"/>
          <w:szCs w:val="21"/>
          <w:highlight w:val="none"/>
          <w:u w:val="single"/>
        </w:rPr>
      </w:pPr>
    </w:p>
    <w:p w14:paraId="1DB6FF7A">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w:t>
      </w:r>
    </w:p>
    <w:p w14:paraId="1DC1D03E">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 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日发放中标通知书，明确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（工程名称）的中标人。我方愿意无条件地、不可撤销地就承包人履行与你方签订的合同，向你方提供连带责任担保。 </w:t>
      </w:r>
    </w:p>
    <w:p w14:paraId="55E9EB2F">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1E6B5E3">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担保有效期自你方与承包人签订的合同生效之日起至你方签发或应签发工程接收证书之日止。</w:t>
      </w:r>
    </w:p>
    <w:p w14:paraId="4E2F13FD">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1EFB65B1">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你方和承包人按合同约定变更合同时，我方承担本担保规定的义务不变。</w:t>
      </w:r>
    </w:p>
    <w:p w14:paraId="15EB2BA7">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仲裁委员会仲裁。</w:t>
      </w:r>
    </w:p>
    <w:p w14:paraId="3EEB5CFD">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04C66AD0">
      <w:pPr>
        <w:pStyle w:val="293"/>
        <w:spacing w:line="360" w:lineRule="auto"/>
        <w:rPr>
          <w:rFonts w:hint="eastAsia" w:ascii="宋体" w:hAnsi="宋体" w:cs="宋体"/>
          <w:color w:val="auto"/>
          <w:szCs w:val="21"/>
          <w:highlight w:val="none"/>
        </w:rPr>
      </w:pPr>
    </w:p>
    <w:p w14:paraId="60F86FBD">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1D3547F2">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71632FE">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A3787AE">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46C5AD1D">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51A6E5E9">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623A5B58">
      <w:pPr>
        <w:pStyle w:val="293"/>
        <w:spacing w:line="360" w:lineRule="auto"/>
        <w:jc w:val="left"/>
        <w:rPr>
          <w:rFonts w:hint="eastAsia" w:ascii="宋体" w:hAnsi="宋体" w:cs="宋体"/>
          <w:color w:val="auto"/>
          <w:szCs w:val="21"/>
          <w:highlight w:val="none"/>
          <w:u w:val="single"/>
        </w:rPr>
      </w:pPr>
    </w:p>
    <w:p w14:paraId="2471CF12">
      <w:pPr>
        <w:pStyle w:val="293"/>
        <w:spacing w:line="360" w:lineRule="auto"/>
        <w:ind w:left="1329" w:hanging="1329" w:hangingChars="633"/>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799E7F8">
      <w:pPr>
        <w:pStyle w:val="293"/>
        <w:spacing w:line="360" w:lineRule="auto"/>
        <w:ind w:right="1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（备注：银行、保险公司和担保公司出具的保函格式和文本可以自拟，但是必须包含以上条款所列全部内容）</w:t>
      </w:r>
    </w:p>
    <w:p w14:paraId="479D205F">
      <w:pPr>
        <w:pStyle w:val="293"/>
        <w:spacing w:line="360" w:lineRule="auto"/>
        <w:rPr>
          <w:rFonts w:hint="eastAsia" w:ascii="宋体" w:hAnsi="宋体" w:cs="宋体"/>
          <w:color w:val="auto"/>
          <w:szCs w:val="21"/>
          <w:highlight w:val="none"/>
        </w:rPr>
      </w:pPr>
    </w:p>
    <w:p w14:paraId="715765B0">
      <w:pPr>
        <w:pStyle w:val="293"/>
        <w:spacing w:line="360" w:lineRule="auto"/>
        <w:rPr>
          <w:rFonts w:hint="eastAsia" w:ascii="宋体" w:hAnsi="宋体" w:cs="宋体"/>
          <w:color w:val="auto"/>
          <w:szCs w:val="21"/>
          <w:highlight w:val="none"/>
        </w:rPr>
      </w:pPr>
    </w:p>
    <w:p w14:paraId="4C18EB4D">
      <w:pPr>
        <w:pStyle w:val="293"/>
        <w:spacing w:line="360" w:lineRule="auto"/>
        <w:rPr>
          <w:rFonts w:hint="eastAsia" w:ascii="宋体" w:hAnsi="宋体" w:cs="宋体"/>
          <w:color w:val="auto"/>
          <w:szCs w:val="21"/>
          <w:highlight w:val="none"/>
        </w:rPr>
      </w:pPr>
    </w:p>
    <w:p w14:paraId="0A134A83">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附件8：</w:t>
      </w:r>
    </w:p>
    <w:p w14:paraId="5CDF4208">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预付款担保</w:t>
      </w:r>
    </w:p>
    <w:p w14:paraId="1C8B3D24">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（发包人名称）：</w:t>
      </w:r>
    </w:p>
    <w:p w14:paraId="7E5150AB">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315BA3B">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A54C6BE">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担保有效期自预付款支付给承包人起生效，至你方签发的进度款支付证书说明已完全扣清止。</w:t>
      </w:r>
    </w:p>
    <w:p w14:paraId="61D71E26">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FBED3A7">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你方和承包人按合同约定变更合同时，我方承担本保函规定的义务不变。</w:t>
      </w:r>
    </w:p>
    <w:p w14:paraId="01CA20F4">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仲裁委员会仲裁。</w:t>
      </w:r>
    </w:p>
    <w:p w14:paraId="00D9A210">
      <w:pPr>
        <w:pStyle w:val="293"/>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4CBF7667">
      <w:pPr>
        <w:pStyle w:val="293"/>
        <w:spacing w:line="360" w:lineRule="auto"/>
        <w:rPr>
          <w:rFonts w:hint="eastAsia" w:ascii="宋体" w:hAnsi="宋体" w:cs="宋体"/>
          <w:color w:val="auto"/>
          <w:szCs w:val="21"/>
          <w:highlight w:val="none"/>
        </w:rPr>
      </w:pPr>
    </w:p>
    <w:p w14:paraId="68A19BB5">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担保人：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1D9B5FB9">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51AD2148">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D432BD9">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7DD088AE">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783B9740">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713335C6">
      <w:pPr>
        <w:pStyle w:val="293"/>
        <w:spacing w:line="360" w:lineRule="auto"/>
        <w:rPr>
          <w:rFonts w:hint="eastAsia" w:ascii="宋体" w:hAnsi="宋体" w:cs="宋体"/>
          <w:color w:val="auto"/>
          <w:szCs w:val="21"/>
          <w:highlight w:val="none"/>
          <w:u w:val="single"/>
        </w:rPr>
      </w:pPr>
    </w:p>
    <w:p w14:paraId="0AAD5FE0">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3564C76">
      <w:pPr>
        <w:pStyle w:val="293"/>
        <w:spacing w:line="360" w:lineRule="auto"/>
        <w:ind w:right="1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（备注：银行、保险公司和担保公司出具的保函格式和文本可以自拟，但是必须包含以上条款所列全部内容）</w:t>
      </w:r>
    </w:p>
    <w:p w14:paraId="6BE042A4">
      <w:pPr>
        <w:pStyle w:val="293"/>
        <w:spacing w:line="440" w:lineRule="exact"/>
        <w:jc w:val="left"/>
        <w:rPr>
          <w:rFonts w:hint="eastAsia" w:ascii="宋体" w:hAnsi="宋体" w:cs="宋体"/>
          <w:color w:val="auto"/>
          <w:szCs w:val="21"/>
          <w:highlight w:val="none"/>
        </w:rPr>
      </w:pPr>
    </w:p>
    <w:p w14:paraId="56E72F9A">
      <w:pPr>
        <w:pStyle w:val="293"/>
        <w:spacing w:line="440" w:lineRule="exact"/>
        <w:jc w:val="left"/>
        <w:rPr>
          <w:rFonts w:hint="eastAsia" w:ascii="宋体" w:hAnsi="宋体" w:cs="宋体"/>
          <w:color w:val="auto"/>
          <w:szCs w:val="21"/>
          <w:highlight w:val="none"/>
        </w:rPr>
      </w:pPr>
    </w:p>
    <w:p w14:paraId="2EAE4DDF">
      <w:pPr>
        <w:pStyle w:val="293"/>
        <w:spacing w:line="440" w:lineRule="exact"/>
        <w:jc w:val="left"/>
        <w:rPr>
          <w:rFonts w:hint="eastAsia" w:ascii="宋体" w:hAnsi="宋体" w:cs="宋体"/>
          <w:color w:val="auto"/>
          <w:szCs w:val="21"/>
          <w:highlight w:val="none"/>
        </w:rPr>
      </w:pPr>
    </w:p>
    <w:p w14:paraId="4E186ABA">
      <w:pPr>
        <w:pStyle w:val="293"/>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附件9：</w:t>
      </w:r>
    </w:p>
    <w:p w14:paraId="0FA2887F">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支付担保</w:t>
      </w:r>
    </w:p>
    <w:p w14:paraId="12C41D26">
      <w:pPr>
        <w:pStyle w:val="293"/>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w:t>
      </w:r>
    </w:p>
    <w:p w14:paraId="53E2ECC3">
      <w:pPr>
        <w:pStyle w:val="293"/>
        <w:spacing w:line="360" w:lineRule="auto"/>
        <w:jc w:val="left"/>
        <w:rPr>
          <w:rFonts w:hint="eastAsia" w:ascii="宋体" w:hAnsi="宋体" w:cs="宋体"/>
          <w:color w:val="auto"/>
          <w:szCs w:val="21"/>
          <w:highlight w:val="none"/>
        </w:rPr>
      </w:pPr>
    </w:p>
    <w:p w14:paraId="24FAF2BE">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鉴于你方作为承包人已经与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（发包人名称）（以下称“发包人”）于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（工程名称）《建设工程施工合同》（以下称“主合同”），应发包人的申请，我方愿就发包人履行主合同约定的工程款支付义务以保证的方式向你方提供如下担保：</w:t>
      </w:r>
    </w:p>
    <w:p w14:paraId="1B748074">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一、保证的范围及保证金额</w:t>
      </w:r>
    </w:p>
    <w:p w14:paraId="4FE188DD">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我方的保证范围是主合同约定的工程款。</w:t>
      </w:r>
    </w:p>
    <w:p w14:paraId="22FC86DA">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本保函所称主合同约定的工程款是指主合同约定的除工程质量保证金以外的合同价款。</w:t>
      </w:r>
    </w:p>
    <w:p w14:paraId="729309AD">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我方保证的金额是主合同约定的工程款的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%，数额最高不超过人民币元（大写：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80DC96">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二、保证的方式及保证期间</w:t>
      </w:r>
    </w:p>
    <w:p w14:paraId="381F737E">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我方保证的方式为：连带责任保证。</w:t>
      </w:r>
    </w:p>
    <w:p w14:paraId="6CAE62E0">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我方保证的期间为：自本合同生效之日起至主合同约定的工程款支付完毕之日后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w:t>
      </w:r>
    </w:p>
    <w:p w14:paraId="7B5EDFAC">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你方与发包人协议变更工程款支付日期的，经我方书面同意后，保证期间按照变更后的支付日期做相应调整。</w:t>
      </w:r>
    </w:p>
    <w:p w14:paraId="46CEA434">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三、承担保证责任的形式</w:t>
      </w:r>
    </w:p>
    <w:p w14:paraId="63C236CB">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我方承担保证责任的形式是代为支付。发包人未按主合同约定向你方支付工程款的，由我方在保证金额内代为支付。</w:t>
      </w:r>
    </w:p>
    <w:p w14:paraId="5847E071">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四、代偿的安排</w:t>
      </w:r>
    </w:p>
    <w:p w14:paraId="029FB6FC">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71478CA9">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681520F">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我方收到你方的书面索赔通知及相应的证明材料后７天内无条件支付。</w:t>
      </w:r>
    </w:p>
    <w:p w14:paraId="4EC39346">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五、保证责任的解除</w:t>
      </w:r>
    </w:p>
    <w:p w14:paraId="4FBD3504">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在本保函承诺的保证期间内，你方未书面向我方主张保证责任的，自保证期间届满次日起，我方保证责任解除。</w:t>
      </w:r>
    </w:p>
    <w:p w14:paraId="43B1A37F">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发包人按主合同约定履行了工程款的全部支付义务的，自本保函承诺的保证期间届满次日起，我方保证责任解除。</w:t>
      </w:r>
    </w:p>
    <w:p w14:paraId="2D114203">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我方按照本保函向你方履行保证责任所支付金额达到本保函保证金额时，自我方向你方支付（支付款项从我方账户划出）之日起，保证责任即解除。</w:t>
      </w:r>
    </w:p>
    <w:p w14:paraId="25A5AFF3">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 按照法律法规的规定或出现应解除我方保证责任的其他情形的，我方在本保函项下的保证责任亦解除。</w:t>
      </w:r>
    </w:p>
    <w:p w14:paraId="23D9AC9D">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 我方解除保证责任后，你方应自我方保证责任解除之日起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个工作日内，将本保函原件返还我方。</w:t>
      </w:r>
    </w:p>
    <w:p w14:paraId="603CDFAB">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六、免责条款</w:t>
      </w:r>
    </w:p>
    <w:p w14:paraId="56B7D89F">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因你方违约致使发包人不能履行义务的，我方不承担保证责任。</w:t>
      </w:r>
    </w:p>
    <w:p w14:paraId="12C7305A">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依照法律法规的规定或你方与发包人的另行约定，免除发包人部分或全部义务的，我方亦免除其相应的保证责任。</w:t>
      </w:r>
    </w:p>
    <w:p w14:paraId="23F12767">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60F95E42">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 因不可抗力造成发包人不能履行义务的，我方不承担保证责任。</w:t>
      </w:r>
    </w:p>
    <w:p w14:paraId="18B1E0A0">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七、争议解决</w:t>
      </w:r>
    </w:p>
    <w:p w14:paraId="3551A9E4">
      <w:pPr>
        <w:pStyle w:val="293"/>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因本保函或本保函相关事项发生的纠纷，可由双方协商解决，协商不成的，按下列第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65867E81">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钦州市 </w:t>
      </w:r>
      <w:r>
        <w:rPr>
          <w:rFonts w:hint="eastAsia" w:ascii="宋体" w:hAnsi="宋体" w:cs="宋体"/>
          <w:color w:val="auto"/>
          <w:szCs w:val="21"/>
          <w:highlight w:val="none"/>
        </w:rPr>
        <w:t>仲裁委员会申请仲裁；</w:t>
      </w:r>
    </w:p>
    <w:p w14:paraId="4DB4DD8E">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灵山县 </w:t>
      </w:r>
      <w:r>
        <w:rPr>
          <w:rFonts w:hint="eastAsia" w:ascii="宋体" w:hAnsi="宋体" w:cs="宋体"/>
          <w:color w:val="auto"/>
          <w:szCs w:val="21"/>
          <w:highlight w:val="none"/>
        </w:rPr>
        <w:t>人民法院起诉。</w:t>
      </w:r>
    </w:p>
    <w:p w14:paraId="162386B8">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八、保函的生效</w:t>
      </w:r>
    </w:p>
    <w:p w14:paraId="2DB5F9B0">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本保函自我方法定代表人（或其授权代理人）签字并加盖公章之日起生效。</w:t>
      </w:r>
    </w:p>
    <w:p w14:paraId="399A91CA">
      <w:pPr>
        <w:pStyle w:val="293"/>
        <w:spacing w:line="360" w:lineRule="auto"/>
        <w:jc w:val="left"/>
        <w:rPr>
          <w:rFonts w:hint="eastAsia" w:ascii="宋体" w:hAnsi="宋体" w:cs="宋体"/>
          <w:color w:val="auto"/>
          <w:szCs w:val="21"/>
          <w:highlight w:val="none"/>
        </w:rPr>
      </w:pPr>
    </w:p>
    <w:p w14:paraId="7981515D">
      <w:pPr>
        <w:pStyle w:val="293"/>
        <w:spacing w:line="360" w:lineRule="auto"/>
        <w:ind w:right="600"/>
        <w:jc w:val="left"/>
        <w:rPr>
          <w:rFonts w:hint="eastAsia" w:ascii="宋体" w:hAnsi="宋体" w:cs="宋体"/>
          <w:color w:val="auto"/>
          <w:szCs w:val="21"/>
          <w:highlight w:val="none"/>
        </w:rPr>
      </w:pPr>
    </w:p>
    <w:p w14:paraId="2EB8B879">
      <w:pPr>
        <w:pStyle w:val="293"/>
        <w:spacing w:line="360" w:lineRule="auto"/>
        <w:ind w:right="600"/>
        <w:jc w:val="left"/>
        <w:rPr>
          <w:rFonts w:hint="eastAsia" w:ascii="宋体" w:hAnsi="宋体" w:cs="宋体"/>
          <w:color w:val="auto"/>
          <w:szCs w:val="21"/>
          <w:highlight w:val="none"/>
        </w:rPr>
      </w:pPr>
      <w:r>
        <w:rPr>
          <w:rFonts w:hint="eastAsia" w:ascii="宋体" w:hAnsi="宋体" w:cs="宋体"/>
          <w:color w:val="auto"/>
          <w:szCs w:val="21"/>
          <w:highlight w:val="none"/>
        </w:rPr>
        <w:t>担保人：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56B9194E">
      <w:pPr>
        <w:pStyle w:val="293"/>
        <w:spacing w:line="360" w:lineRule="auto"/>
        <w:ind w:right="1200"/>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096659DB">
      <w:pPr>
        <w:pStyle w:val="293"/>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45E01129">
      <w:pPr>
        <w:pStyle w:val="293"/>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2AECBE63">
      <w:pPr>
        <w:pStyle w:val="293"/>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F9E2485">
      <w:pPr>
        <w:pStyle w:val="293"/>
        <w:spacing w:line="360" w:lineRule="auto"/>
        <w:ind w:right="150" w:firstLine="420" w:firstLineChars="200"/>
        <w:jc w:val="left"/>
        <w:rPr>
          <w:rFonts w:hint="eastAsia" w:ascii="宋体" w:hAnsi="宋体" w:cs="宋体"/>
          <w:color w:val="auto"/>
          <w:szCs w:val="21"/>
          <w:highlight w:val="none"/>
          <w:u w:val="single"/>
        </w:rPr>
      </w:pPr>
    </w:p>
    <w:p w14:paraId="52C1E252">
      <w:pPr>
        <w:pStyle w:val="293"/>
        <w:spacing w:line="360" w:lineRule="auto"/>
        <w:ind w:right="1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59D7D65">
      <w:pPr>
        <w:pStyle w:val="293"/>
        <w:spacing w:line="360" w:lineRule="auto"/>
        <w:ind w:right="1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（备注：银行、保险公司和担保公司出具的保函格式和文本可以自拟，但是必须包含以上条款所列全部内容）</w:t>
      </w:r>
    </w:p>
    <w:p w14:paraId="2A5896A3">
      <w:pPr>
        <w:pStyle w:val="293"/>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 xml:space="preserve"> 附件10：</w:t>
      </w:r>
    </w:p>
    <w:p w14:paraId="6477D547">
      <w:pPr>
        <w:pStyle w:val="293"/>
        <w:jc w:val="center"/>
        <w:rPr>
          <w:rFonts w:hint="eastAsia" w:ascii="宋体" w:hAnsi="宋体" w:cs="宋体"/>
          <w:b/>
          <w:color w:val="auto"/>
          <w:szCs w:val="21"/>
          <w:highlight w:val="none"/>
        </w:rPr>
      </w:pPr>
      <w:r>
        <w:rPr>
          <w:rFonts w:hint="eastAsia" w:ascii="宋体" w:hAnsi="宋体" w:cs="宋体"/>
          <w:b/>
          <w:color w:val="auto"/>
          <w:szCs w:val="21"/>
          <w:highlight w:val="none"/>
        </w:rPr>
        <w:t>预付款支付申请（核准）表</w:t>
      </w:r>
    </w:p>
    <w:p w14:paraId="3B895708">
      <w:pPr>
        <w:pStyle w:val="293"/>
        <w:rPr>
          <w:rFonts w:hint="eastAsia" w:ascii="宋体" w:hAnsi="宋体" w:cs="宋体"/>
          <w:color w:val="auto"/>
          <w:szCs w:val="21"/>
          <w:highlight w:val="none"/>
        </w:rPr>
      </w:pPr>
      <w:r>
        <w:rPr>
          <w:rFonts w:hint="eastAsia" w:ascii="宋体" w:hAnsi="宋体" w:cs="宋体"/>
          <w:color w:val="auto"/>
          <w:szCs w:val="21"/>
          <w:highlight w:val="none"/>
        </w:rPr>
        <w:t>工程名称：                                             编号：</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4958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449F4D4B">
            <w:pPr>
              <w:pStyle w:val="293"/>
              <w:spacing w:line="480" w:lineRule="exact"/>
              <w:ind w:left="524" w:leftChars="149" w:hanging="212" w:hangingChars="101"/>
              <w:rPr>
                <w:rFonts w:hint="eastAsia"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（发包人全称）</w:t>
            </w:r>
          </w:p>
          <w:p w14:paraId="6694979D">
            <w:pPr>
              <w:pStyle w:val="293"/>
              <w:spacing w:line="400" w:lineRule="exact"/>
              <w:ind w:left="-4" w:leftChars="-2" w:firstLine="315" w:firstLineChars="150"/>
              <w:rPr>
                <w:rFonts w:hint="eastAsia" w:ascii="宋体" w:hAnsi="宋体" w:cs="宋体"/>
                <w:color w:val="auto"/>
                <w:szCs w:val="21"/>
                <w:highlight w:val="none"/>
              </w:rPr>
            </w:pPr>
            <w:r>
              <w:rPr>
                <w:rFonts w:hint="eastAsia" w:ascii="宋体" w:hAnsi="宋体" w:cs="宋体"/>
                <w:color w:val="auto"/>
                <w:szCs w:val="21"/>
                <w:highlight w:val="none"/>
              </w:rPr>
              <w:t>我方根据施工合同的约定，现申请支付工程预付款额为(大写)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p>
          <w:p w14:paraId="187A9488">
            <w:pPr>
              <w:pStyle w:val="293"/>
              <w:spacing w:line="40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元，请予核准。</w:t>
            </w:r>
          </w:p>
          <w:tbl>
            <w:tblPr>
              <w:tblStyle w:val="5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0E15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418C976E">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340" w:type="dxa"/>
                  <w:noWrap w:val="0"/>
                  <w:vAlign w:val="center"/>
                </w:tcPr>
                <w:p w14:paraId="442FDCC1">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1764" w:type="dxa"/>
                  <w:noWrap w:val="0"/>
                  <w:vAlign w:val="center"/>
                </w:tcPr>
                <w:p w14:paraId="5BAE5F27">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申请金额（元）</w:t>
                  </w:r>
                </w:p>
              </w:tc>
              <w:tc>
                <w:tcPr>
                  <w:tcW w:w="2240" w:type="dxa"/>
                  <w:noWrap w:val="0"/>
                  <w:vAlign w:val="center"/>
                </w:tcPr>
                <w:p w14:paraId="19ADC584">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复核金额（元）</w:t>
                  </w:r>
                </w:p>
              </w:tc>
              <w:tc>
                <w:tcPr>
                  <w:tcW w:w="1080" w:type="dxa"/>
                  <w:noWrap w:val="0"/>
                  <w:vAlign w:val="center"/>
                </w:tcPr>
                <w:p w14:paraId="7BF7F6F3">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EC5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E37D2F4">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340" w:type="dxa"/>
                  <w:noWrap w:val="0"/>
                  <w:vAlign w:val="top"/>
                </w:tcPr>
                <w:p w14:paraId="0DC421A8">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已签约合同价款金额</w:t>
                  </w:r>
                </w:p>
              </w:tc>
              <w:tc>
                <w:tcPr>
                  <w:tcW w:w="1764" w:type="dxa"/>
                  <w:noWrap w:val="0"/>
                  <w:vAlign w:val="top"/>
                </w:tcPr>
                <w:p w14:paraId="6D5FD5AE">
                  <w:pPr>
                    <w:pStyle w:val="293"/>
                    <w:spacing w:line="280" w:lineRule="exact"/>
                    <w:rPr>
                      <w:rFonts w:hint="eastAsia" w:ascii="宋体" w:hAnsi="宋体" w:cs="宋体"/>
                      <w:color w:val="auto"/>
                      <w:szCs w:val="21"/>
                      <w:highlight w:val="none"/>
                    </w:rPr>
                  </w:pPr>
                </w:p>
              </w:tc>
              <w:tc>
                <w:tcPr>
                  <w:tcW w:w="2240" w:type="dxa"/>
                  <w:noWrap w:val="0"/>
                  <w:vAlign w:val="top"/>
                </w:tcPr>
                <w:p w14:paraId="100FCC7B">
                  <w:pPr>
                    <w:pStyle w:val="293"/>
                    <w:spacing w:line="280" w:lineRule="exact"/>
                    <w:rPr>
                      <w:rFonts w:hint="eastAsia" w:ascii="宋体" w:hAnsi="宋体" w:cs="宋体"/>
                      <w:color w:val="auto"/>
                      <w:szCs w:val="21"/>
                      <w:highlight w:val="none"/>
                    </w:rPr>
                  </w:pPr>
                </w:p>
              </w:tc>
              <w:tc>
                <w:tcPr>
                  <w:tcW w:w="1080" w:type="dxa"/>
                  <w:noWrap w:val="0"/>
                  <w:vAlign w:val="top"/>
                </w:tcPr>
                <w:p w14:paraId="2CF020F4">
                  <w:pPr>
                    <w:pStyle w:val="293"/>
                    <w:spacing w:line="280" w:lineRule="exact"/>
                    <w:rPr>
                      <w:rFonts w:hint="eastAsia" w:ascii="宋体" w:hAnsi="宋体" w:cs="宋体"/>
                      <w:color w:val="auto"/>
                      <w:szCs w:val="21"/>
                      <w:highlight w:val="none"/>
                    </w:rPr>
                  </w:pPr>
                </w:p>
              </w:tc>
            </w:tr>
            <w:tr w14:paraId="3C19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DE28225">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340" w:type="dxa"/>
                  <w:noWrap w:val="0"/>
                  <w:vAlign w:val="top"/>
                </w:tcPr>
                <w:p w14:paraId="75386260">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其中：安全文明施工费</w:t>
                  </w:r>
                </w:p>
              </w:tc>
              <w:tc>
                <w:tcPr>
                  <w:tcW w:w="1764" w:type="dxa"/>
                  <w:noWrap w:val="0"/>
                  <w:vAlign w:val="top"/>
                </w:tcPr>
                <w:p w14:paraId="4CC5694B">
                  <w:pPr>
                    <w:pStyle w:val="293"/>
                    <w:spacing w:line="280" w:lineRule="exact"/>
                    <w:rPr>
                      <w:rFonts w:hint="eastAsia" w:ascii="宋体" w:hAnsi="宋体" w:cs="宋体"/>
                      <w:color w:val="auto"/>
                      <w:szCs w:val="21"/>
                      <w:highlight w:val="none"/>
                    </w:rPr>
                  </w:pPr>
                </w:p>
              </w:tc>
              <w:tc>
                <w:tcPr>
                  <w:tcW w:w="2240" w:type="dxa"/>
                  <w:noWrap w:val="0"/>
                  <w:vAlign w:val="top"/>
                </w:tcPr>
                <w:p w14:paraId="79505BA2">
                  <w:pPr>
                    <w:pStyle w:val="293"/>
                    <w:spacing w:line="280" w:lineRule="exact"/>
                    <w:rPr>
                      <w:rFonts w:hint="eastAsia" w:ascii="宋体" w:hAnsi="宋体" w:cs="宋体"/>
                      <w:color w:val="auto"/>
                      <w:szCs w:val="21"/>
                      <w:highlight w:val="none"/>
                    </w:rPr>
                  </w:pPr>
                </w:p>
              </w:tc>
              <w:tc>
                <w:tcPr>
                  <w:tcW w:w="1080" w:type="dxa"/>
                  <w:noWrap w:val="0"/>
                  <w:vAlign w:val="top"/>
                </w:tcPr>
                <w:p w14:paraId="35B727B3">
                  <w:pPr>
                    <w:pStyle w:val="293"/>
                    <w:spacing w:line="280" w:lineRule="exact"/>
                    <w:rPr>
                      <w:rFonts w:hint="eastAsia" w:ascii="宋体" w:hAnsi="宋体" w:cs="宋体"/>
                      <w:color w:val="auto"/>
                      <w:szCs w:val="21"/>
                      <w:highlight w:val="none"/>
                    </w:rPr>
                  </w:pPr>
                </w:p>
              </w:tc>
            </w:tr>
            <w:tr w14:paraId="4863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407D007">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340" w:type="dxa"/>
                  <w:noWrap w:val="0"/>
                  <w:vAlign w:val="top"/>
                </w:tcPr>
                <w:p w14:paraId="1CAC0A0F">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应支付的预付款</w:t>
                  </w:r>
                </w:p>
              </w:tc>
              <w:tc>
                <w:tcPr>
                  <w:tcW w:w="1764" w:type="dxa"/>
                  <w:noWrap w:val="0"/>
                  <w:vAlign w:val="top"/>
                </w:tcPr>
                <w:p w14:paraId="232A7A3B">
                  <w:pPr>
                    <w:pStyle w:val="293"/>
                    <w:spacing w:line="280" w:lineRule="exact"/>
                    <w:rPr>
                      <w:rFonts w:hint="eastAsia" w:ascii="宋体" w:hAnsi="宋体" w:cs="宋体"/>
                      <w:color w:val="auto"/>
                      <w:szCs w:val="21"/>
                      <w:highlight w:val="none"/>
                    </w:rPr>
                  </w:pPr>
                </w:p>
              </w:tc>
              <w:tc>
                <w:tcPr>
                  <w:tcW w:w="2240" w:type="dxa"/>
                  <w:noWrap w:val="0"/>
                  <w:vAlign w:val="top"/>
                </w:tcPr>
                <w:p w14:paraId="31E5DE45">
                  <w:pPr>
                    <w:pStyle w:val="293"/>
                    <w:spacing w:line="280" w:lineRule="exact"/>
                    <w:rPr>
                      <w:rFonts w:hint="eastAsia" w:ascii="宋体" w:hAnsi="宋体" w:cs="宋体"/>
                      <w:color w:val="auto"/>
                      <w:szCs w:val="21"/>
                      <w:highlight w:val="none"/>
                    </w:rPr>
                  </w:pPr>
                </w:p>
              </w:tc>
              <w:tc>
                <w:tcPr>
                  <w:tcW w:w="1080" w:type="dxa"/>
                  <w:noWrap w:val="0"/>
                  <w:vAlign w:val="top"/>
                </w:tcPr>
                <w:p w14:paraId="6596F370">
                  <w:pPr>
                    <w:pStyle w:val="293"/>
                    <w:spacing w:line="280" w:lineRule="exact"/>
                    <w:rPr>
                      <w:rFonts w:hint="eastAsia" w:ascii="宋体" w:hAnsi="宋体" w:cs="宋体"/>
                      <w:color w:val="auto"/>
                      <w:szCs w:val="21"/>
                      <w:highlight w:val="none"/>
                    </w:rPr>
                  </w:pPr>
                </w:p>
              </w:tc>
            </w:tr>
            <w:tr w14:paraId="14E4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51536C5">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340" w:type="dxa"/>
                  <w:noWrap w:val="0"/>
                  <w:vAlign w:val="top"/>
                </w:tcPr>
                <w:p w14:paraId="0CD3CDC9">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应支付的安全文明施工费预付款</w:t>
                  </w:r>
                </w:p>
              </w:tc>
              <w:tc>
                <w:tcPr>
                  <w:tcW w:w="1764" w:type="dxa"/>
                  <w:noWrap w:val="0"/>
                  <w:vAlign w:val="top"/>
                </w:tcPr>
                <w:p w14:paraId="46866231">
                  <w:pPr>
                    <w:pStyle w:val="293"/>
                    <w:spacing w:line="280" w:lineRule="exact"/>
                    <w:rPr>
                      <w:rFonts w:hint="eastAsia" w:ascii="宋体" w:hAnsi="宋体" w:cs="宋体"/>
                      <w:color w:val="auto"/>
                      <w:szCs w:val="21"/>
                      <w:highlight w:val="none"/>
                    </w:rPr>
                  </w:pPr>
                </w:p>
              </w:tc>
              <w:tc>
                <w:tcPr>
                  <w:tcW w:w="2240" w:type="dxa"/>
                  <w:noWrap w:val="0"/>
                  <w:vAlign w:val="top"/>
                </w:tcPr>
                <w:p w14:paraId="5E2F7206">
                  <w:pPr>
                    <w:pStyle w:val="293"/>
                    <w:spacing w:line="280" w:lineRule="exact"/>
                    <w:rPr>
                      <w:rFonts w:hint="eastAsia" w:ascii="宋体" w:hAnsi="宋体" w:cs="宋体"/>
                      <w:color w:val="auto"/>
                      <w:szCs w:val="21"/>
                      <w:highlight w:val="none"/>
                    </w:rPr>
                  </w:pPr>
                </w:p>
              </w:tc>
              <w:tc>
                <w:tcPr>
                  <w:tcW w:w="1080" w:type="dxa"/>
                  <w:noWrap w:val="0"/>
                  <w:vAlign w:val="top"/>
                </w:tcPr>
                <w:p w14:paraId="12F82828">
                  <w:pPr>
                    <w:pStyle w:val="293"/>
                    <w:spacing w:line="280" w:lineRule="exact"/>
                    <w:rPr>
                      <w:rFonts w:hint="eastAsia" w:ascii="宋体" w:hAnsi="宋体" w:cs="宋体"/>
                      <w:color w:val="auto"/>
                      <w:szCs w:val="21"/>
                      <w:highlight w:val="none"/>
                    </w:rPr>
                  </w:pPr>
                </w:p>
              </w:tc>
            </w:tr>
            <w:tr w14:paraId="5571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6754D50">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340" w:type="dxa"/>
                  <w:noWrap w:val="0"/>
                  <w:vAlign w:val="top"/>
                </w:tcPr>
                <w:p w14:paraId="611A0284">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合计应支付的预付款</w:t>
                  </w:r>
                </w:p>
              </w:tc>
              <w:tc>
                <w:tcPr>
                  <w:tcW w:w="1764" w:type="dxa"/>
                  <w:noWrap w:val="0"/>
                  <w:vAlign w:val="top"/>
                </w:tcPr>
                <w:p w14:paraId="7B574AE5">
                  <w:pPr>
                    <w:pStyle w:val="293"/>
                    <w:spacing w:line="280" w:lineRule="exact"/>
                    <w:rPr>
                      <w:rFonts w:hint="eastAsia" w:ascii="宋体" w:hAnsi="宋体" w:cs="宋体"/>
                      <w:color w:val="auto"/>
                      <w:szCs w:val="21"/>
                      <w:highlight w:val="none"/>
                    </w:rPr>
                  </w:pPr>
                </w:p>
              </w:tc>
              <w:tc>
                <w:tcPr>
                  <w:tcW w:w="2240" w:type="dxa"/>
                  <w:noWrap w:val="0"/>
                  <w:vAlign w:val="top"/>
                </w:tcPr>
                <w:p w14:paraId="5CE2C32D">
                  <w:pPr>
                    <w:pStyle w:val="293"/>
                    <w:spacing w:line="280" w:lineRule="exact"/>
                    <w:rPr>
                      <w:rFonts w:hint="eastAsia" w:ascii="宋体" w:hAnsi="宋体" w:cs="宋体"/>
                      <w:color w:val="auto"/>
                      <w:szCs w:val="21"/>
                      <w:highlight w:val="none"/>
                    </w:rPr>
                  </w:pPr>
                </w:p>
              </w:tc>
              <w:tc>
                <w:tcPr>
                  <w:tcW w:w="1080" w:type="dxa"/>
                  <w:noWrap w:val="0"/>
                  <w:vAlign w:val="top"/>
                </w:tcPr>
                <w:p w14:paraId="2ED390FB">
                  <w:pPr>
                    <w:pStyle w:val="293"/>
                    <w:spacing w:line="280" w:lineRule="exact"/>
                    <w:rPr>
                      <w:rFonts w:hint="eastAsia" w:ascii="宋体" w:hAnsi="宋体" w:cs="宋体"/>
                      <w:color w:val="auto"/>
                      <w:szCs w:val="21"/>
                      <w:highlight w:val="none"/>
                    </w:rPr>
                  </w:pPr>
                </w:p>
              </w:tc>
            </w:tr>
            <w:tr w14:paraId="6498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7CB57A8">
                  <w:pPr>
                    <w:pStyle w:val="293"/>
                    <w:spacing w:line="280" w:lineRule="exact"/>
                    <w:jc w:val="center"/>
                    <w:rPr>
                      <w:rFonts w:hint="eastAsia" w:ascii="宋体" w:hAnsi="宋体" w:cs="宋体"/>
                      <w:color w:val="auto"/>
                      <w:szCs w:val="21"/>
                      <w:highlight w:val="none"/>
                    </w:rPr>
                  </w:pPr>
                </w:p>
              </w:tc>
              <w:tc>
                <w:tcPr>
                  <w:tcW w:w="3340" w:type="dxa"/>
                  <w:noWrap w:val="0"/>
                  <w:vAlign w:val="top"/>
                </w:tcPr>
                <w:p w14:paraId="21FE1B19">
                  <w:pPr>
                    <w:pStyle w:val="293"/>
                    <w:spacing w:line="280" w:lineRule="exact"/>
                    <w:rPr>
                      <w:rFonts w:hint="eastAsia" w:ascii="宋体" w:hAnsi="宋体" w:cs="宋体"/>
                      <w:color w:val="auto"/>
                      <w:szCs w:val="21"/>
                      <w:highlight w:val="none"/>
                    </w:rPr>
                  </w:pPr>
                </w:p>
              </w:tc>
              <w:tc>
                <w:tcPr>
                  <w:tcW w:w="1764" w:type="dxa"/>
                  <w:noWrap w:val="0"/>
                  <w:vAlign w:val="top"/>
                </w:tcPr>
                <w:p w14:paraId="5A8D40BE">
                  <w:pPr>
                    <w:pStyle w:val="293"/>
                    <w:spacing w:line="280" w:lineRule="exact"/>
                    <w:rPr>
                      <w:rFonts w:hint="eastAsia" w:ascii="宋体" w:hAnsi="宋体" w:cs="宋体"/>
                      <w:color w:val="auto"/>
                      <w:szCs w:val="21"/>
                      <w:highlight w:val="none"/>
                    </w:rPr>
                  </w:pPr>
                </w:p>
              </w:tc>
              <w:tc>
                <w:tcPr>
                  <w:tcW w:w="2240" w:type="dxa"/>
                  <w:noWrap w:val="0"/>
                  <w:vAlign w:val="top"/>
                </w:tcPr>
                <w:p w14:paraId="27757A7C">
                  <w:pPr>
                    <w:pStyle w:val="293"/>
                    <w:spacing w:line="280" w:lineRule="exact"/>
                    <w:rPr>
                      <w:rFonts w:hint="eastAsia" w:ascii="宋体" w:hAnsi="宋体" w:cs="宋体"/>
                      <w:color w:val="auto"/>
                      <w:szCs w:val="21"/>
                      <w:highlight w:val="none"/>
                    </w:rPr>
                  </w:pPr>
                </w:p>
              </w:tc>
              <w:tc>
                <w:tcPr>
                  <w:tcW w:w="1080" w:type="dxa"/>
                  <w:noWrap w:val="0"/>
                  <w:vAlign w:val="top"/>
                </w:tcPr>
                <w:p w14:paraId="7F5E375B">
                  <w:pPr>
                    <w:pStyle w:val="293"/>
                    <w:spacing w:line="280" w:lineRule="exact"/>
                    <w:rPr>
                      <w:rFonts w:hint="eastAsia" w:ascii="宋体" w:hAnsi="宋体" w:cs="宋体"/>
                      <w:color w:val="auto"/>
                      <w:szCs w:val="21"/>
                      <w:highlight w:val="none"/>
                    </w:rPr>
                  </w:pPr>
                </w:p>
              </w:tc>
            </w:tr>
          </w:tbl>
          <w:p w14:paraId="2FF6F59D">
            <w:pPr>
              <w:pStyle w:val="293"/>
              <w:wordWrap w:val="0"/>
              <w:spacing w:line="400" w:lineRule="exact"/>
              <w:ind w:right="420"/>
              <w:rPr>
                <w:rFonts w:hint="eastAsia" w:ascii="宋体" w:hAnsi="宋体" w:cs="宋体"/>
                <w:color w:val="auto"/>
                <w:szCs w:val="21"/>
                <w:highlight w:val="none"/>
              </w:rPr>
            </w:pPr>
          </w:p>
          <w:p w14:paraId="454B61BE">
            <w:pPr>
              <w:pStyle w:val="293"/>
              <w:wordWrap w:val="0"/>
              <w:spacing w:line="400" w:lineRule="exact"/>
              <w:ind w:right="420"/>
              <w:rPr>
                <w:rFonts w:hint="eastAsia" w:ascii="宋体" w:hAnsi="宋体" w:cs="宋体"/>
                <w:color w:val="auto"/>
                <w:szCs w:val="21"/>
                <w:highlight w:val="none"/>
              </w:rPr>
            </w:pPr>
            <w:r>
              <w:rPr>
                <w:rFonts w:hint="eastAsia" w:ascii="宋体" w:hAnsi="宋体" w:cs="宋体"/>
                <w:color w:val="auto"/>
                <w:szCs w:val="21"/>
                <w:highlight w:val="none"/>
              </w:rPr>
              <w:t xml:space="preserve">                                            承包人（章）             </w:t>
            </w:r>
          </w:p>
          <w:p w14:paraId="083BEDFE">
            <w:pPr>
              <w:pStyle w:val="293"/>
              <w:spacing w:line="400" w:lineRule="exact"/>
              <w:ind w:right="420" w:firstLine="435"/>
              <w:rPr>
                <w:rFonts w:hint="eastAsia" w:ascii="宋体" w:hAnsi="宋体" w:cs="宋体"/>
                <w:color w:val="auto"/>
                <w:szCs w:val="21"/>
                <w:highlight w:val="none"/>
              </w:rPr>
            </w:pPr>
            <w:r>
              <w:rPr>
                <w:rFonts w:hint="eastAsia" w:ascii="宋体" w:hAnsi="宋体" w:cs="宋体"/>
                <w:color w:val="auto"/>
                <w:szCs w:val="21"/>
                <w:highlight w:val="none"/>
              </w:rPr>
              <w:t>造价人员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r w14:paraId="0252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703FC49A">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7EB73B0E">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□与合同约定不相符，修改意见见附件。</w:t>
            </w:r>
          </w:p>
          <w:p w14:paraId="22934619">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□与合同约定相符，具体金额由造价工程师复核。</w:t>
            </w:r>
          </w:p>
          <w:p w14:paraId="04021AFC">
            <w:pPr>
              <w:pStyle w:val="293"/>
              <w:spacing w:line="360" w:lineRule="exact"/>
              <w:ind w:firstLine="435"/>
              <w:jc w:val="right"/>
              <w:rPr>
                <w:rFonts w:hint="eastAsia" w:ascii="宋体" w:hAnsi="宋体" w:cs="宋体"/>
                <w:color w:val="auto"/>
                <w:szCs w:val="21"/>
                <w:highlight w:val="none"/>
              </w:rPr>
            </w:pPr>
          </w:p>
          <w:p w14:paraId="4B564C2A">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监理工程师</w:t>
            </w:r>
            <w:r>
              <w:rPr>
                <w:rFonts w:hint="eastAsia" w:ascii="宋体" w:hAnsi="宋体" w:cs="宋体"/>
                <w:color w:val="auto"/>
                <w:szCs w:val="21"/>
                <w:highlight w:val="none"/>
                <w:u w:val="single"/>
              </w:rPr>
              <w:t xml:space="preserve">           </w:t>
            </w:r>
          </w:p>
          <w:p w14:paraId="5A983322">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c>
          <w:tcPr>
            <w:tcW w:w="4697" w:type="dxa"/>
            <w:noWrap w:val="0"/>
            <w:vAlign w:val="top"/>
          </w:tcPr>
          <w:p w14:paraId="27F91C2A">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1480E3CC">
            <w:pPr>
              <w:pStyle w:val="293"/>
              <w:spacing w:line="36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你方提出的支付申请经复核，应支付预付款金额为(大写)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p>
          <w:p w14:paraId="4B72CB78">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元。</w:t>
            </w:r>
          </w:p>
          <w:p w14:paraId="00BCDAD1">
            <w:pPr>
              <w:pStyle w:val="293"/>
              <w:spacing w:line="360" w:lineRule="exact"/>
              <w:rPr>
                <w:rFonts w:hint="eastAsia" w:ascii="宋体" w:hAnsi="宋体" w:cs="宋体"/>
                <w:color w:val="auto"/>
                <w:szCs w:val="21"/>
                <w:highlight w:val="none"/>
                <w:u w:val="single"/>
              </w:rPr>
            </w:pPr>
          </w:p>
          <w:p w14:paraId="47285792">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造价工程师</w:t>
            </w:r>
            <w:r>
              <w:rPr>
                <w:rFonts w:hint="eastAsia" w:ascii="宋体" w:hAnsi="宋体" w:cs="宋体"/>
                <w:color w:val="auto"/>
                <w:szCs w:val="21"/>
                <w:highlight w:val="none"/>
                <w:u w:val="single"/>
              </w:rPr>
              <w:t xml:space="preserve">           </w:t>
            </w:r>
          </w:p>
          <w:p w14:paraId="748765D6">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r>
      <w:tr w14:paraId="1322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37482146">
            <w:pPr>
              <w:pStyle w:val="293"/>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审核意见：</w:t>
            </w:r>
          </w:p>
          <w:p w14:paraId="405E8E36">
            <w:pPr>
              <w:pStyle w:val="293"/>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□不同意。</w:t>
            </w:r>
          </w:p>
          <w:p w14:paraId="1F8BBE6E">
            <w:pPr>
              <w:pStyle w:val="293"/>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□同意，支付时间为本表签发后的15天内。</w:t>
            </w:r>
          </w:p>
          <w:p w14:paraId="125DFCE5">
            <w:pPr>
              <w:pStyle w:val="293"/>
              <w:wordWrap w:val="0"/>
              <w:spacing w:line="40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发包人（章）           </w:t>
            </w:r>
          </w:p>
          <w:p w14:paraId="721D81C2">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发包人代表</w:t>
            </w:r>
            <w:r>
              <w:rPr>
                <w:rFonts w:hint="eastAsia" w:ascii="宋体" w:hAnsi="宋体" w:cs="宋体"/>
                <w:color w:val="auto"/>
                <w:szCs w:val="21"/>
                <w:highlight w:val="none"/>
                <w:u w:val="single"/>
              </w:rPr>
              <w:t xml:space="preserve">             </w:t>
            </w:r>
          </w:p>
          <w:p w14:paraId="00D52ADA">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bl>
    <w:p w14:paraId="3AFA3AFD">
      <w:pPr>
        <w:pStyle w:val="293"/>
        <w:spacing w:before="156" w:beforeLines="5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注：1.在选择栏中的“□”内作标识“√”。 </w:t>
      </w:r>
    </w:p>
    <w:p w14:paraId="770E9B2E">
      <w:pPr>
        <w:pStyle w:val="293"/>
        <w:spacing w:before="156" w:beforeLines="50"/>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 xml:space="preserve">        2.本表一式四份，由承包人填报，发包人、监理人、造价咨询人、承包人各存一份。</w:t>
      </w:r>
    </w:p>
    <w:p w14:paraId="67688A59">
      <w:pPr>
        <w:pStyle w:val="293"/>
        <w:spacing w:before="156" w:beforeLines="50"/>
        <w:ind w:left="840" w:hanging="840" w:hangingChars="400"/>
        <w:rPr>
          <w:rFonts w:hint="eastAsia" w:ascii="宋体" w:hAnsi="宋体" w:cs="宋体"/>
          <w:color w:val="auto"/>
          <w:szCs w:val="21"/>
          <w:highlight w:val="none"/>
        </w:rPr>
      </w:pPr>
    </w:p>
    <w:p w14:paraId="46B2C85D">
      <w:pPr>
        <w:pStyle w:val="293"/>
        <w:spacing w:before="156" w:beforeLines="50"/>
        <w:ind w:left="840" w:hanging="840" w:hangingChars="400"/>
        <w:rPr>
          <w:rFonts w:hint="eastAsia" w:ascii="宋体" w:hAnsi="宋体" w:cs="宋体"/>
          <w:color w:val="auto"/>
          <w:szCs w:val="21"/>
          <w:highlight w:val="none"/>
        </w:rPr>
      </w:pPr>
    </w:p>
    <w:p w14:paraId="4AD3BA89">
      <w:pPr>
        <w:pStyle w:val="293"/>
        <w:spacing w:before="156" w:beforeLines="50"/>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附件11：</w:t>
      </w:r>
    </w:p>
    <w:p w14:paraId="242EBBDA">
      <w:pPr>
        <w:pStyle w:val="293"/>
        <w:jc w:val="center"/>
        <w:rPr>
          <w:rFonts w:hint="eastAsia" w:ascii="宋体" w:hAnsi="宋体" w:cs="宋体"/>
          <w:b/>
          <w:color w:val="auto"/>
          <w:szCs w:val="21"/>
          <w:highlight w:val="none"/>
        </w:rPr>
      </w:pPr>
      <w:r>
        <w:rPr>
          <w:rFonts w:hint="eastAsia" w:ascii="宋体" w:hAnsi="宋体" w:cs="宋体"/>
          <w:b/>
          <w:color w:val="auto"/>
          <w:szCs w:val="21"/>
          <w:highlight w:val="none"/>
        </w:rPr>
        <w:t>进度款支付申请（核准）表</w:t>
      </w:r>
    </w:p>
    <w:p w14:paraId="63C47578">
      <w:pPr>
        <w:pStyle w:val="293"/>
        <w:rPr>
          <w:rFonts w:hint="eastAsia" w:ascii="宋体" w:hAnsi="宋体" w:cs="宋体"/>
          <w:color w:val="auto"/>
          <w:szCs w:val="21"/>
          <w:highlight w:val="none"/>
        </w:rPr>
      </w:pPr>
      <w:r>
        <w:rPr>
          <w:rFonts w:hint="eastAsia" w:ascii="宋体" w:hAnsi="宋体" w:cs="宋体"/>
          <w:color w:val="auto"/>
          <w:szCs w:val="21"/>
          <w:highlight w:val="none"/>
        </w:rPr>
        <w:t>工程名称：                                             编号：</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7B0D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12FC5CF5">
            <w:pPr>
              <w:pStyle w:val="293"/>
              <w:spacing w:line="480" w:lineRule="exact"/>
              <w:ind w:left="524" w:leftChars="149" w:hanging="212" w:hangingChars="101"/>
              <w:rPr>
                <w:rFonts w:hint="eastAsia"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（发包人全称）</w:t>
            </w:r>
          </w:p>
          <w:p w14:paraId="5515784A">
            <w:pPr>
              <w:pStyle w:val="293"/>
              <w:spacing w:line="400" w:lineRule="exact"/>
              <w:ind w:left="-4" w:leftChars="-2" w:firstLine="315" w:firstLineChars="150"/>
              <w:rPr>
                <w:rFonts w:hint="eastAsia" w:ascii="宋体" w:hAnsi="宋体" w:cs="宋体"/>
                <w:color w:val="auto"/>
                <w:szCs w:val="21"/>
                <w:highlight w:val="none"/>
              </w:rPr>
            </w:pPr>
            <w:r>
              <w:rPr>
                <w:rFonts w:hint="eastAsia" w:ascii="宋体" w:hAnsi="宋体" w:cs="宋体"/>
                <w:color w:val="auto"/>
                <w:szCs w:val="21"/>
                <w:highlight w:val="none"/>
              </w:rPr>
              <w:t>我方于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期间已完成了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工作，根据施工合同的约定，现申请支付本期的合同款额为(大写)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元，请予核准。</w:t>
            </w:r>
          </w:p>
          <w:tbl>
            <w:tblPr>
              <w:tblStyle w:val="52"/>
              <w:tblpPr w:leftFromText="180" w:rightFromText="180" w:vertAnchor="page" w:horzAnchor="margin" w:tblpX="-112"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276"/>
              <w:gridCol w:w="1328"/>
              <w:gridCol w:w="1426"/>
              <w:gridCol w:w="1250"/>
              <w:gridCol w:w="919"/>
            </w:tblGrid>
            <w:tr w14:paraId="1ECD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47" w:type="dxa"/>
                  <w:noWrap w:val="0"/>
                  <w:vAlign w:val="center"/>
                </w:tcPr>
                <w:p w14:paraId="6F4A6EBB">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276" w:type="dxa"/>
                  <w:noWrap w:val="0"/>
                  <w:vAlign w:val="center"/>
                </w:tcPr>
                <w:p w14:paraId="535EB1FE">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1328" w:type="dxa"/>
                  <w:noWrap w:val="0"/>
                  <w:vAlign w:val="center"/>
                </w:tcPr>
                <w:p w14:paraId="5E9487A2">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实际金额（元）</w:t>
                  </w:r>
                </w:p>
              </w:tc>
              <w:tc>
                <w:tcPr>
                  <w:tcW w:w="1426" w:type="dxa"/>
                  <w:noWrap w:val="0"/>
                  <w:vAlign w:val="center"/>
                </w:tcPr>
                <w:p w14:paraId="68CAF960">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申请金额（元）</w:t>
                  </w:r>
                </w:p>
              </w:tc>
              <w:tc>
                <w:tcPr>
                  <w:tcW w:w="1250" w:type="dxa"/>
                  <w:noWrap w:val="0"/>
                  <w:vAlign w:val="center"/>
                </w:tcPr>
                <w:p w14:paraId="41ED9111">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复核金额（元）</w:t>
                  </w:r>
                </w:p>
              </w:tc>
              <w:tc>
                <w:tcPr>
                  <w:tcW w:w="919" w:type="dxa"/>
                  <w:noWrap w:val="0"/>
                  <w:vAlign w:val="center"/>
                </w:tcPr>
                <w:p w14:paraId="23196D27">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B85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C916545">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276" w:type="dxa"/>
                  <w:noWrap w:val="0"/>
                  <w:vAlign w:val="top"/>
                </w:tcPr>
                <w:p w14:paraId="7A200E5B">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累计已完成的工程价款</w:t>
                  </w:r>
                </w:p>
              </w:tc>
              <w:tc>
                <w:tcPr>
                  <w:tcW w:w="1328" w:type="dxa"/>
                  <w:noWrap w:val="0"/>
                  <w:vAlign w:val="top"/>
                </w:tcPr>
                <w:p w14:paraId="12D9EEEB">
                  <w:pPr>
                    <w:pStyle w:val="293"/>
                    <w:spacing w:line="280" w:lineRule="exact"/>
                    <w:rPr>
                      <w:rFonts w:hint="eastAsia" w:ascii="宋体" w:hAnsi="宋体" w:cs="宋体"/>
                      <w:color w:val="auto"/>
                      <w:szCs w:val="21"/>
                      <w:highlight w:val="none"/>
                    </w:rPr>
                  </w:pPr>
                </w:p>
              </w:tc>
              <w:tc>
                <w:tcPr>
                  <w:tcW w:w="1426" w:type="dxa"/>
                  <w:noWrap w:val="0"/>
                  <w:vAlign w:val="top"/>
                </w:tcPr>
                <w:p w14:paraId="6423D936">
                  <w:pPr>
                    <w:pStyle w:val="293"/>
                    <w:spacing w:line="280" w:lineRule="exact"/>
                    <w:rPr>
                      <w:rFonts w:hint="eastAsia" w:ascii="宋体" w:hAnsi="宋体" w:cs="宋体"/>
                      <w:color w:val="auto"/>
                      <w:szCs w:val="21"/>
                      <w:highlight w:val="none"/>
                    </w:rPr>
                  </w:pPr>
                </w:p>
              </w:tc>
              <w:tc>
                <w:tcPr>
                  <w:tcW w:w="1250" w:type="dxa"/>
                  <w:noWrap w:val="0"/>
                  <w:vAlign w:val="top"/>
                </w:tcPr>
                <w:p w14:paraId="6D5C6BE1">
                  <w:pPr>
                    <w:pStyle w:val="293"/>
                    <w:spacing w:line="280" w:lineRule="exact"/>
                    <w:rPr>
                      <w:rFonts w:hint="eastAsia" w:ascii="宋体" w:hAnsi="宋体" w:cs="宋体"/>
                      <w:color w:val="auto"/>
                      <w:szCs w:val="21"/>
                      <w:highlight w:val="none"/>
                    </w:rPr>
                  </w:pPr>
                </w:p>
              </w:tc>
              <w:tc>
                <w:tcPr>
                  <w:tcW w:w="919" w:type="dxa"/>
                  <w:noWrap w:val="0"/>
                  <w:vAlign w:val="top"/>
                </w:tcPr>
                <w:p w14:paraId="12BAFFA5">
                  <w:pPr>
                    <w:pStyle w:val="293"/>
                    <w:spacing w:line="280" w:lineRule="exact"/>
                    <w:rPr>
                      <w:rFonts w:hint="eastAsia" w:ascii="宋体" w:hAnsi="宋体" w:cs="宋体"/>
                      <w:color w:val="auto"/>
                      <w:szCs w:val="21"/>
                      <w:highlight w:val="none"/>
                    </w:rPr>
                  </w:pPr>
                </w:p>
              </w:tc>
            </w:tr>
            <w:tr w14:paraId="065E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819BB33">
                  <w:pPr>
                    <w:pStyle w:val="293"/>
                    <w:spacing w:line="280" w:lineRule="exact"/>
                    <w:jc w:val="center"/>
                    <w:rPr>
                      <w:rFonts w:hint="eastAsia" w:ascii="宋体" w:hAnsi="宋体" w:cs="宋体"/>
                      <w:color w:val="auto"/>
                      <w:szCs w:val="21"/>
                      <w:highlight w:val="none"/>
                    </w:rPr>
                  </w:pPr>
                </w:p>
              </w:tc>
              <w:tc>
                <w:tcPr>
                  <w:tcW w:w="3276" w:type="dxa"/>
                  <w:noWrap w:val="0"/>
                  <w:vAlign w:val="top"/>
                </w:tcPr>
                <w:p w14:paraId="5211997F">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其中：人工费</w:t>
                  </w:r>
                </w:p>
              </w:tc>
              <w:tc>
                <w:tcPr>
                  <w:tcW w:w="1328" w:type="dxa"/>
                  <w:noWrap w:val="0"/>
                  <w:vAlign w:val="top"/>
                </w:tcPr>
                <w:p w14:paraId="3AC7292C">
                  <w:pPr>
                    <w:pStyle w:val="293"/>
                    <w:spacing w:line="280" w:lineRule="exact"/>
                    <w:rPr>
                      <w:rFonts w:hint="eastAsia" w:ascii="宋体" w:hAnsi="宋体" w:cs="宋体"/>
                      <w:color w:val="auto"/>
                      <w:szCs w:val="21"/>
                      <w:highlight w:val="none"/>
                    </w:rPr>
                  </w:pPr>
                </w:p>
              </w:tc>
              <w:tc>
                <w:tcPr>
                  <w:tcW w:w="1426" w:type="dxa"/>
                  <w:noWrap w:val="0"/>
                  <w:vAlign w:val="top"/>
                </w:tcPr>
                <w:p w14:paraId="770DECDF">
                  <w:pPr>
                    <w:pStyle w:val="293"/>
                    <w:spacing w:line="280" w:lineRule="exact"/>
                    <w:rPr>
                      <w:rFonts w:hint="eastAsia" w:ascii="宋体" w:hAnsi="宋体" w:cs="宋体"/>
                      <w:color w:val="auto"/>
                      <w:szCs w:val="21"/>
                      <w:highlight w:val="none"/>
                    </w:rPr>
                  </w:pPr>
                </w:p>
              </w:tc>
              <w:tc>
                <w:tcPr>
                  <w:tcW w:w="1250" w:type="dxa"/>
                  <w:noWrap w:val="0"/>
                  <w:vAlign w:val="top"/>
                </w:tcPr>
                <w:p w14:paraId="4CAA16C1">
                  <w:pPr>
                    <w:pStyle w:val="293"/>
                    <w:spacing w:line="280" w:lineRule="exact"/>
                    <w:rPr>
                      <w:rFonts w:hint="eastAsia" w:ascii="宋体" w:hAnsi="宋体" w:cs="宋体"/>
                      <w:color w:val="auto"/>
                      <w:szCs w:val="21"/>
                      <w:highlight w:val="none"/>
                    </w:rPr>
                  </w:pPr>
                </w:p>
              </w:tc>
              <w:tc>
                <w:tcPr>
                  <w:tcW w:w="919" w:type="dxa"/>
                  <w:noWrap w:val="0"/>
                  <w:vAlign w:val="top"/>
                </w:tcPr>
                <w:p w14:paraId="2D317BC7">
                  <w:pPr>
                    <w:pStyle w:val="293"/>
                    <w:spacing w:line="280" w:lineRule="exact"/>
                    <w:rPr>
                      <w:rFonts w:hint="eastAsia" w:ascii="宋体" w:hAnsi="宋体" w:cs="宋体"/>
                      <w:color w:val="auto"/>
                      <w:szCs w:val="21"/>
                      <w:highlight w:val="none"/>
                    </w:rPr>
                  </w:pPr>
                </w:p>
              </w:tc>
            </w:tr>
            <w:tr w14:paraId="7EEA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DE4C60D">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276" w:type="dxa"/>
                  <w:noWrap w:val="0"/>
                  <w:vAlign w:val="top"/>
                </w:tcPr>
                <w:p w14:paraId="1D07BA5C">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累计已实际支付的工程价款</w:t>
                  </w:r>
                </w:p>
              </w:tc>
              <w:tc>
                <w:tcPr>
                  <w:tcW w:w="1328" w:type="dxa"/>
                  <w:noWrap w:val="0"/>
                  <w:vAlign w:val="top"/>
                </w:tcPr>
                <w:p w14:paraId="210920B4">
                  <w:pPr>
                    <w:pStyle w:val="293"/>
                    <w:spacing w:line="280" w:lineRule="exact"/>
                    <w:rPr>
                      <w:rFonts w:hint="eastAsia" w:ascii="宋体" w:hAnsi="宋体" w:cs="宋体"/>
                      <w:color w:val="auto"/>
                      <w:szCs w:val="21"/>
                      <w:highlight w:val="none"/>
                    </w:rPr>
                  </w:pPr>
                </w:p>
              </w:tc>
              <w:tc>
                <w:tcPr>
                  <w:tcW w:w="1426" w:type="dxa"/>
                  <w:noWrap w:val="0"/>
                  <w:vAlign w:val="top"/>
                </w:tcPr>
                <w:p w14:paraId="096F2092">
                  <w:pPr>
                    <w:pStyle w:val="293"/>
                    <w:spacing w:line="280" w:lineRule="exact"/>
                    <w:rPr>
                      <w:rFonts w:hint="eastAsia" w:ascii="宋体" w:hAnsi="宋体" w:cs="宋体"/>
                      <w:color w:val="auto"/>
                      <w:szCs w:val="21"/>
                      <w:highlight w:val="none"/>
                    </w:rPr>
                  </w:pPr>
                </w:p>
              </w:tc>
              <w:tc>
                <w:tcPr>
                  <w:tcW w:w="1250" w:type="dxa"/>
                  <w:noWrap w:val="0"/>
                  <w:vAlign w:val="top"/>
                </w:tcPr>
                <w:p w14:paraId="275E706E">
                  <w:pPr>
                    <w:pStyle w:val="293"/>
                    <w:spacing w:line="280" w:lineRule="exact"/>
                    <w:rPr>
                      <w:rFonts w:hint="eastAsia" w:ascii="宋体" w:hAnsi="宋体" w:cs="宋体"/>
                      <w:color w:val="auto"/>
                      <w:szCs w:val="21"/>
                      <w:highlight w:val="none"/>
                    </w:rPr>
                  </w:pPr>
                </w:p>
              </w:tc>
              <w:tc>
                <w:tcPr>
                  <w:tcW w:w="919" w:type="dxa"/>
                  <w:noWrap w:val="0"/>
                  <w:vAlign w:val="top"/>
                </w:tcPr>
                <w:p w14:paraId="1778EB88">
                  <w:pPr>
                    <w:pStyle w:val="293"/>
                    <w:spacing w:line="280" w:lineRule="exact"/>
                    <w:rPr>
                      <w:rFonts w:hint="eastAsia" w:ascii="宋体" w:hAnsi="宋体" w:cs="宋体"/>
                      <w:color w:val="auto"/>
                      <w:szCs w:val="21"/>
                      <w:highlight w:val="none"/>
                    </w:rPr>
                  </w:pPr>
                </w:p>
              </w:tc>
            </w:tr>
            <w:tr w14:paraId="4222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EF49550">
                  <w:pPr>
                    <w:pStyle w:val="293"/>
                    <w:spacing w:line="280" w:lineRule="exact"/>
                    <w:jc w:val="center"/>
                    <w:rPr>
                      <w:rFonts w:hint="eastAsia" w:ascii="宋体" w:hAnsi="宋体" w:cs="宋体"/>
                      <w:color w:val="auto"/>
                      <w:szCs w:val="21"/>
                      <w:highlight w:val="none"/>
                    </w:rPr>
                  </w:pPr>
                </w:p>
              </w:tc>
              <w:tc>
                <w:tcPr>
                  <w:tcW w:w="3276" w:type="dxa"/>
                  <w:noWrap w:val="0"/>
                  <w:vAlign w:val="top"/>
                </w:tcPr>
                <w:p w14:paraId="1D71CEEE">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其中：人工费</w:t>
                  </w:r>
                </w:p>
              </w:tc>
              <w:tc>
                <w:tcPr>
                  <w:tcW w:w="1328" w:type="dxa"/>
                  <w:noWrap w:val="0"/>
                  <w:vAlign w:val="top"/>
                </w:tcPr>
                <w:p w14:paraId="0E1AA8D5">
                  <w:pPr>
                    <w:pStyle w:val="293"/>
                    <w:spacing w:line="280" w:lineRule="exact"/>
                    <w:rPr>
                      <w:rFonts w:hint="eastAsia" w:ascii="宋体" w:hAnsi="宋体" w:cs="宋体"/>
                      <w:color w:val="auto"/>
                      <w:szCs w:val="21"/>
                      <w:highlight w:val="none"/>
                    </w:rPr>
                  </w:pPr>
                </w:p>
              </w:tc>
              <w:tc>
                <w:tcPr>
                  <w:tcW w:w="1426" w:type="dxa"/>
                  <w:noWrap w:val="0"/>
                  <w:vAlign w:val="top"/>
                </w:tcPr>
                <w:p w14:paraId="79ED81F9">
                  <w:pPr>
                    <w:pStyle w:val="293"/>
                    <w:spacing w:line="280" w:lineRule="exact"/>
                    <w:rPr>
                      <w:rFonts w:hint="eastAsia" w:ascii="宋体" w:hAnsi="宋体" w:cs="宋体"/>
                      <w:color w:val="auto"/>
                      <w:szCs w:val="21"/>
                      <w:highlight w:val="none"/>
                    </w:rPr>
                  </w:pPr>
                </w:p>
              </w:tc>
              <w:tc>
                <w:tcPr>
                  <w:tcW w:w="1250" w:type="dxa"/>
                  <w:noWrap w:val="0"/>
                  <w:vAlign w:val="top"/>
                </w:tcPr>
                <w:p w14:paraId="62D0D10F">
                  <w:pPr>
                    <w:pStyle w:val="293"/>
                    <w:spacing w:line="280" w:lineRule="exact"/>
                    <w:rPr>
                      <w:rFonts w:hint="eastAsia" w:ascii="宋体" w:hAnsi="宋体" w:cs="宋体"/>
                      <w:color w:val="auto"/>
                      <w:szCs w:val="21"/>
                      <w:highlight w:val="none"/>
                    </w:rPr>
                  </w:pPr>
                </w:p>
              </w:tc>
              <w:tc>
                <w:tcPr>
                  <w:tcW w:w="919" w:type="dxa"/>
                  <w:noWrap w:val="0"/>
                  <w:vAlign w:val="top"/>
                </w:tcPr>
                <w:p w14:paraId="749AEE55">
                  <w:pPr>
                    <w:pStyle w:val="293"/>
                    <w:spacing w:line="280" w:lineRule="exact"/>
                    <w:rPr>
                      <w:rFonts w:hint="eastAsia" w:ascii="宋体" w:hAnsi="宋体" w:cs="宋体"/>
                      <w:color w:val="auto"/>
                      <w:szCs w:val="21"/>
                      <w:highlight w:val="none"/>
                    </w:rPr>
                  </w:pPr>
                </w:p>
              </w:tc>
            </w:tr>
            <w:tr w14:paraId="148A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6CB04ED">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276" w:type="dxa"/>
                  <w:noWrap w:val="0"/>
                  <w:vAlign w:val="top"/>
                </w:tcPr>
                <w:p w14:paraId="712CD51A">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本周期已完成的工程价款</w:t>
                  </w:r>
                </w:p>
              </w:tc>
              <w:tc>
                <w:tcPr>
                  <w:tcW w:w="1328" w:type="dxa"/>
                  <w:noWrap w:val="0"/>
                  <w:vAlign w:val="top"/>
                </w:tcPr>
                <w:p w14:paraId="5F1B42FC">
                  <w:pPr>
                    <w:pStyle w:val="293"/>
                    <w:spacing w:line="280" w:lineRule="exact"/>
                    <w:rPr>
                      <w:rFonts w:hint="eastAsia" w:ascii="宋体" w:hAnsi="宋体" w:cs="宋体"/>
                      <w:color w:val="auto"/>
                      <w:szCs w:val="21"/>
                      <w:highlight w:val="none"/>
                    </w:rPr>
                  </w:pPr>
                </w:p>
              </w:tc>
              <w:tc>
                <w:tcPr>
                  <w:tcW w:w="1426" w:type="dxa"/>
                  <w:noWrap w:val="0"/>
                  <w:vAlign w:val="top"/>
                </w:tcPr>
                <w:p w14:paraId="2ABD728C">
                  <w:pPr>
                    <w:pStyle w:val="293"/>
                    <w:spacing w:line="280" w:lineRule="exact"/>
                    <w:rPr>
                      <w:rFonts w:hint="eastAsia" w:ascii="宋体" w:hAnsi="宋体" w:cs="宋体"/>
                      <w:color w:val="auto"/>
                      <w:szCs w:val="21"/>
                      <w:highlight w:val="none"/>
                    </w:rPr>
                  </w:pPr>
                </w:p>
              </w:tc>
              <w:tc>
                <w:tcPr>
                  <w:tcW w:w="1250" w:type="dxa"/>
                  <w:noWrap w:val="0"/>
                  <w:vAlign w:val="top"/>
                </w:tcPr>
                <w:p w14:paraId="27EB4BEE">
                  <w:pPr>
                    <w:pStyle w:val="293"/>
                    <w:spacing w:line="280" w:lineRule="exact"/>
                    <w:rPr>
                      <w:rFonts w:hint="eastAsia" w:ascii="宋体" w:hAnsi="宋体" w:cs="宋体"/>
                      <w:color w:val="auto"/>
                      <w:szCs w:val="21"/>
                      <w:highlight w:val="none"/>
                    </w:rPr>
                  </w:pPr>
                </w:p>
              </w:tc>
              <w:tc>
                <w:tcPr>
                  <w:tcW w:w="919" w:type="dxa"/>
                  <w:noWrap w:val="0"/>
                  <w:vAlign w:val="top"/>
                </w:tcPr>
                <w:p w14:paraId="1C21B395">
                  <w:pPr>
                    <w:pStyle w:val="293"/>
                    <w:spacing w:line="280" w:lineRule="exact"/>
                    <w:rPr>
                      <w:rFonts w:hint="eastAsia" w:ascii="宋体" w:hAnsi="宋体" w:cs="宋体"/>
                      <w:color w:val="auto"/>
                      <w:szCs w:val="21"/>
                      <w:highlight w:val="none"/>
                    </w:rPr>
                  </w:pPr>
                </w:p>
              </w:tc>
            </w:tr>
            <w:tr w14:paraId="451B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49335E7">
                  <w:pPr>
                    <w:pStyle w:val="293"/>
                    <w:spacing w:line="280" w:lineRule="exact"/>
                    <w:jc w:val="center"/>
                    <w:rPr>
                      <w:rFonts w:hint="eastAsia" w:ascii="宋体" w:hAnsi="宋体" w:cs="宋体"/>
                      <w:color w:val="auto"/>
                      <w:szCs w:val="21"/>
                      <w:highlight w:val="none"/>
                    </w:rPr>
                  </w:pPr>
                </w:p>
              </w:tc>
              <w:tc>
                <w:tcPr>
                  <w:tcW w:w="3276" w:type="dxa"/>
                  <w:noWrap w:val="0"/>
                  <w:vAlign w:val="top"/>
                </w:tcPr>
                <w:p w14:paraId="1F6AEF1C">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其中：人工费</w:t>
                  </w:r>
                </w:p>
              </w:tc>
              <w:tc>
                <w:tcPr>
                  <w:tcW w:w="1328" w:type="dxa"/>
                  <w:noWrap w:val="0"/>
                  <w:vAlign w:val="top"/>
                </w:tcPr>
                <w:p w14:paraId="07900BCA">
                  <w:pPr>
                    <w:pStyle w:val="293"/>
                    <w:spacing w:line="280" w:lineRule="exact"/>
                    <w:rPr>
                      <w:rFonts w:hint="eastAsia" w:ascii="宋体" w:hAnsi="宋体" w:cs="宋体"/>
                      <w:color w:val="auto"/>
                      <w:szCs w:val="21"/>
                      <w:highlight w:val="none"/>
                    </w:rPr>
                  </w:pPr>
                </w:p>
              </w:tc>
              <w:tc>
                <w:tcPr>
                  <w:tcW w:w="1426" w:type="dxa"/>
                  <w:noWrap w:val="0"/>
                  <w:vAlign w:val="top"/>
                </w:tcPr>
                <w:p w14:paraId="495C18E6">
                  <w:pPr>
                    <w:pStyle w:val="293"/>
                    <w:spacing w:line="280" w:lineRule="exact"/>
                    <w:rPr>
                      <w:rFonts w:hint="eastAsia" w:ascii="宋体" w:hAnsi="宋体" w:cs="宋体"/>
                      <w:color w:val="auto"/>
                      <w:szCs w:val="21"/>
                      <w:highlight w:val="none"/>
                    </w:rPr>
                  </w:pPr>
                </w:p>
              </w:tc>
              <w:tc>
                <w:tcPr>
                  <w:tcW w:w="1250" w:type="dxa"/>
                  <w:noWrap w:val="0"/>
                  <w:vAlign w:val="top"/>
                </w:tcPr>
                <w:p w14:paraId="434FE3A0">
                  <w:pPr>
                    <w:pStyle w:val="293"/>
                    <w:spacing w:line="280" w:lineRule="exact"/>
                    <w:rPr>
                      <w:rFonts w:hint="eastAsia" w:ascii="宋体" w:hAnsi="宋体" w:cs="宋体"/>
                      <w:color w:val="auto"/>
                      <w:szCs w:val="21"/>
                      <w:highlight w:val="none"/>
                    </w:rPr>
                  </w:pPr>
                </w:p>
              </w:tc>
              <w:tc>
                <w:tcPr>
                  <w:tcW w:w="919" w:type="dxa"/>
                  <w:noWrap w:val="0"/>
                  <w:vAlign w:val="top"/>
                </w:tcPr>
                <w:p w14:paraId="69DB7072">
                  <w:pPr>
                    <w:pStyle w:val="293"/>
                    <w:spacing w:line="280" w:lineRule="exact"/>
                    <w:rPr>
                      <w:rFonts w:hint="eastAsia" w:ascii="宋体" w:hAnsi="宋体" w:cs="宋体"/>
                      <w:color w:val="auto"/>
                      <w:szCs w:val="21"/>
                      <w:highlight w:val="none"/>
                    </w:rPr>
                  </w:pPr>
                </w:p>
              </w:tc>
            </w:tr>
            <w:tr w14:paraId="7790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189C8AE">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276" w:type="dxa"/>
                  <w:noWrap w:val="0"/>
                  <w:vAlign w:val="top"/>
                </w:tcPr>
                <w:p w14:paraId="2D9D68FA">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本周期应扣减的金额</w:t>
                  </w:r>
                </w:p>
              </w:tc>
              <w:tc>
                <w:tcPr>
                  <w:tcW w:w="1328" w:type="dxa"/>
                  <w:noWrap w:val="0"/>
                  <w:vAlign w:val="top"/>
                </w:tcPr>
                <w:p w14:paraId="3DDEC077">
                  <w:pPr>
                    <w:pStyle w:val="293"/>
                    <w:spacing w:line="280" w:lineRule="exact"/>
                    <w:rPr>
                      <w:rFonts w:hint="eastAsia" w:ascii="宋体" w:hAnsi="宋体" w:cs="宋体"/>
                      <w:color w:val="auto"/>
                      <w:szCs w:val="21"/>
                      <w:highlight w:val="none"/>
                    </w:rPr>
                  </w:pPr>
                </w:p>
              </w:tc>
              <w:tc>
                <w:tcPr>
                  <w:tcW w:w="1426" w:type="dxa"/>
                  <w:noWrap w:val="0"/>
                  <w:vAlign w:val="top"/>
                </w:tcPr>
                <w:p w14:paraId="6EF3EEAA">
                  <w:pPr>
                    <w:pStyle w:val="293"/>
                    <w:spacing w:line="280" w:lineRule="exact"/>
                    <w:rPr>
                      <w:rFonts w:hint="eastAsia" w:ascii="宋体" w:hAnsi="宋体" w:cs="宋体"/>
                      <w:color w:val="auto"/>
                      <w:szCs w:val="21"/>
                      <w:highlight w:val="none"/>
                    </w:rPr>
                  </w:pPr>
                </w:p>
              </w:tc>
              <w:tc>
                <w:tcPr>
                  <w:tcW w:w="1250" w:type="dxa"/>
                  <w:noWrap w:val="0"/>
                  <w:vAlign w:val="top"/>
                </w:tcPr>
                <w:p w14:paraId="0CACF8C1">
                  <w:pPr>
                    <w:pStyle w:val="293"/>
                    <w:spacing w:line="280" w:lineRule="exact"/>
                    <w:rPr>
                      <w:rFonts w:hint="eastAsia" w:ascii="宋体" w:hAnsi="宋体" w:cs="宋体"/>
                      <w:color w:val="auto"/>
                      <w:szCs w:val="21"/>
                      <w:highlight w:val="none"/>
                    </w:rPr>
                  </w:pPr>
                </w:p>
              </w:tc>
              <w:tc>
                <w:tcPr>
                  <w:tcW w:w="919" w:type="dxa"/>
                  <w:noWrap w:val="0"/>
                  <w:vAlign w:val="top"/>
                </w:tcPr>
                <w:p w14:paraId="0097C819">
                  <w:pPr>
                    <w:pStyle w:val="293"/>
                    <w:spacing w:line="280" w:lineRule="exact"/>
                    <w:rPr>
                      <w:rFonts w:hint="eastAsia" w:ascii="宋体" w:hAnsi="宋体" w:cs="宋体"/>
                      <w:color w:val="auto"/>
                      <w:szCs w:val="21"/>
                      <w:highlight w:val="none"/>
                    </w:rPr>
                  </w:pPr>
                </w:p>
              </w:tc>
            </w:tr>
            <w:tr w14:paraId="20CC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2EFEF73">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3276" w:type="dxa"/>
                  <w:noWrap w:val="0"/>
                  <w:vAlign w:val="top"/>
                </w:tcPr>
                <w:p w14:paraId="2BD828DC">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本周期实际应抵扣的预付款</w:t>
                  </w:r>
                </w:p>
              </w:tc>
              <w:tc>
                <w:tcPr>
                  <w:tcW w:w="1328" w:type="dxa"/>
                  <w:noWrap w:val="0"/>
                  <w:vAlign w:val="top"/>
                </w:tcPr>
                <w:p w14:paraId="78C0F158">
                  <w:pPr>
                    <w:pStyle w:val="293"/>
                    <w:spacing w:line="280" w:lineRule="exact"/>
                    <w:rPr>
                      <w:rFonts w:hint="eastAsia" w:ascii="宋体" w:hAnsi="宋体" w:cs="宋体"/>
                      <w:color w:val="auto"/>
                      <w:szCs w:val="21"/>
                      <w:highlight w:val="none"/>
                    </w:rPr>
                  </w:pPr>
                </w:p>
              </w:tc>
              <w:tc>
                <w:tcPr>
                  <w:tcW w:w="1426" w:type="dxa"/>
                  <w:noWrap w:val="0"/>
                  <w:vAlign w:val="top"/>
                </w:tcPr>
                <w:p w14:paraId="57C50BB7">
                  <w:pPr>
                    <w:pStyle w:val="293"/>
                    <w:spacing w:line="280" w:lineRule="exact"/>
                    <w:rPr>
                      <w:rFonts w:hint="eastAsia" w:ascii="宋体" w:hAnsi="宋体" w:cs="宋体"/>
                      <w:color w:val="auto"/>
                      <w:szCs w:val="21"/>
                      <w:highlight w:val="none"/>
                    </w:rPr>
                  </w:pPr>
                </w:p>
              </w:tc>
              <w:tc>
                <w:tcPr>
                  <w:tcW w:w="1250" w:type="dxa"/>
                  <w:noWrap w:val="0"/>
                  <w:vAlign w:val="top"/>
                </w:tcPr>
                <w:p w14:paraId="1A47987C">
                  <w:pPr>
                    <w:pStyle w:val="293"/>
                    <w:spacing w:line="280" w:lineRule="exact"/>
                    <w:rPr>
                      <w:rFonts w:hint="eastAsia" w:ascii="宋体" w:hAnsi="宋体" w:cs="宋体"/>
                      <w:color w:val="auto"/>
                      <w:szCs w:val="21"/>
                      <w:highlight w:val="none"/>
                    </w:rPr>
                  </w:pPr>
                </w:p>
              </w:tc>
              <w:tc>
                <w:tcPr>
                  <w:tcW w:w="919" w:type="dxa"/>
                  <w:noWrap w:val="0"/>
                  <w:vAlign w:val="top"/>
                </w:tcPr>
                <w:p w14:paraId="43DAA01C">
                  <w:pPr>
                    <w:pStyle w:val="293"/>
                    <w:spacing w:line="280" w:lineRule="exact"/>
                    <w:rPr>
                      <w:rFonts w:hint="eastAsia" w:ascii="宋体" w:hAnsi="宋体" w:cs="宋体"/>
                      <w:color w:val="auto"/>
                      <w:szCs w:val="21"/>
                      <w:highlight w:val="none"/>
                    </w:rPr>
                  </w:pPr>
                </w:p>
              </w:tc>
            </w:tr>
            <w:tr w14:paraId="62A0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605DA051">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3276" w:type="dxa"/>
                  <w:noWrap w:val="0"/>
                  <w:vAlign w:val="top"/>
                </w:tcPr>
                <w:p w14:paraId="6DE4BEFF">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本周期应扣减的金额</w:t>
                  </w:r>
                </w:p>
              </w:tc>
              <w:tc>
                <w:tcPr>
                  <w:tcW w:w="1328" w:type="dxa"/>
                  <w:noWrap w:val="0"/>
                  <w:vAlign w:val="top"/>
                </w:tcPr>
                <w:p w14:paraId="0AE895AD">
                  <w:pPr>
                    <w:pStyle w:val="293"/>
                    <w:spacing w:line="280" w:lineRule="exact"/>
                    <w:rPr>
                      <w:rFonts w:hint="eastAsia" w:ascii="宋体" w:hAnsi="宋体" w:cs="宋体"/>
                      <w:color w:val="auto"/>
                      <w:szCs w:val="21"/>
                      <w:highlight w:val="none"/>
                    </w:rPr>
                  </w:pPr>
                </w:p>
              </w:tc>
              <w:tc>
                <w:tcPr>
                  <w:tcW w:w="1426" w:type="dxa"/>
                  <w:noWrap w:val="0"/>
                  <w:vAlign w:val="top"/>
                </w:tcPr>
                <w:p w14:paraId="2BF7F947">
                  <w:pPr>
                    <w:pStyle w:val="293"/>
                    <w:spacing w:line="280" w:lineRule="exact"/>
                    <w:rPr>
                      <w:rFonts w:hint="eastAsia" w:ascii="宋体" w:hAnsi="宋体" w:cs="宋体"/>
                      <w:color w:val="auto"/>
                      <w:szCs w:val="21"/>
                      <w:highlight w:val="none"/>
                    </w:rPr>
                  </w:pPr>
                </w:p>
              </w:tc>
              <w:tc>
                <w:tcPr>
                  <w:tcW w:w="1250" w:type="dxa"/>
                  <w:noWrap w:val="0"/>
                  <w:vAlign w:val="top"/>
                </w:tcPr>
                <w:p w14:paraId="45151518">
                  <w:pPr>
                    <w:pStyle w:val="293"/>
                    <w:spacing w:line="280" w:lineRule="exact"/>
                    <w:rPr>
                      <w:rFonts w:hint="eastAsia" w:ascii="宋体" w:hAnsi="宋体" w:cs="宋体"/>
                      <w:color w:val="auto"/>
                      <w:szCs w:val="21"/>
                      <w:highlight w:val="none"/>
                    </w:rPr>
                  </w:pPr>
                </w:p>
              </w:tc>
              <w:tc>
                <w:tcPr>
                  <w:tcW w:w="919" w:type="dxa"/>
                  <w:noWrap w:val="0"/>
                  <w:vAlign w:val="top"/>
                </w:tcPr>
                <w:p w14:paraId="19200676">
                  <w:pPr>
                    <w:pStyle w:val="293"/>
                    <w:spacing w:line="280" w:lineRule="exact"/>
                    <w:rPr>
                      <w:rFonts w:hint="eastAsia" w:ascii="宋体" w:hAnsi="宋体" w:cs="宋体"/>
                      <w:color w:val="auto"/>
                      <w:szCs w:val="21"/>
                      <w:highlight w:val="none"/>
                    </w:rPr>
                  </w:pPr>
                </w:p>
              </w:tc>
            </w:tr>
            <w:tr w14:paraId="3287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7EB747C">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276" w:type="dxa"/>
                  <w:noWrap w:val="0"/>
                  <w:vAlign w:val="top"/>
                </w:tcPr>
                <w:p w14:paraId="0D8E0A5B">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本周期应支付的合同价款</w:t>
                  </w:r>
                </w:p>
              </w:tc>
              <w:tc>
                <w:tcPr>
                  <w:tcW w:w="1328" w:type="dxa"/>
                  <w:noWrap w:val="0"/>
                  <w:vAlign w:val="top"/>
                </w:tcPr>
                <w:p w14:paraId="561DD5D4">
                  <w:pPr>
                    <w:pStyle w:val="293"/>
                    <w:spacing w:line="280" w:lineRule="exact"/>
                    <w:rPr>
                      <w:rFonts w:hint="eastAsia" w:ascii="宋体" w:hAnsi="宋体" w:cs="宋体"/>
                      <w:color w:val="auto"/>
                      <w:szCs w:val="21"/>
                      <w:highlight w:val="none"/>
                    </w:rPr>
                  </w:pPr>
                </w:p>
              </w:tc>
              <w:tc>
                <w:tcPr>
                  <w:tcW w:w="1426" w:type="dxa"/>
                  <w:noWrap w:val="0"/>
                  <w:vAlign w:val="top"/>
                </w:tcPr>
                <w:p w14:paraId="7E0DAB15">
                  <w:pPr>
                    <w:pStyle w:val="293"/>
                    <w:spacing w:line="280" w:lineRule="exact"/>
                    <w:rPr>
                      <w:rFonts w:hint="eastAsia" w:ascii="宋体" w:hAnsi="宋体" w:cs="宋体"/>
                      <w:color w:val="auto"/>
                      <w:szCs w:val="21"/>
                      <w:highlight w:val="none"/>
                    </w:rPr>
                  </w:pPr>
                </w:p>
              </w:tc>
              <w:tc>
                <w:tcPr>
                  <w:tcW w:w="1250" w:type="dxa"/>
                  <w:noWrap w:val="0"/>
                  <w:vAlign w:val="top"/>
                </w:tcPr>
                <w:p w14:paraId="498E0D5D">
                  <w:pPr>
                    <w:pStyle w:val="293"/>
                    <w:spacing w:line="280" w:lineRule="exact"/>
                    <w:rPr>
                      <w:rFonts w:hint="eastAsia" w:ascii="宋体" w:hAnsi="宋体" w:cs="宋体"/>
                      <w:color w:val="auto"/>
                      <w:szCs w:val="21"/>
                      <w:highlight w:val="none"/>
                    </w:rPr>
                  </w:pPr>
                </w:p>
              </w:tc>
              <w:tc>
                <w:tcPr>
                  <w:tcW w:w="919" w:type="dxa"/>
                  <w:noWrap w:val="0"/>
                  <w:vAlign w:val="top"/>
                </w:tcPr>
                <w:p w14:paraId="549574D0">
                  <w:pPr>
                    <w:pStyle w:val="293"/>
                    <w:spacing w:line="280" w:lineRule="exact"/>
                    <w:rPr>
                      <w:rFonts w:hint="eastAsia" w:ascii="宋体" w:hAnsi="宋体" w:cs="宋体"/>
                      <w:color w:val="auto"/>
                      <w:szCs w:val="21"/>
                      <w:highlight w:val="none"/>
                    </w:rPr>
                  </w:pPr>
                </w:p>
              </w:tc>
            </w:tr>
            <w:tr w14:paraId="6506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AA9AE03">
                  <w:pPr>
                    <w:pStyle w:val="293"/>
                    <w:spacing w:line="280" w:lineRule="exact"/>
                    <w:jc w:val="center"/>
                    <w:rPr>
                      <w:rFonts w:hint="eastAsia" w:ascii="宋体" w:hAnsi="宋体" w:cs="宋体"/>
                      <w:color w:val="auto"/>
                      <w:szCs w:val="21"/>
                      <w:highlight w:val="none"/>
                    </w:rPr>
                  </w:pPr>
                </w:p>
              </w:tc>
              <w:tc>
                <w:tcPr>
                  <w:tcW w:w="3276" w:type="dxa"/>
                  <w:noWrap w:val="0"/>
                  <w:vAlign w:val="top"/>
                </w:tcPr>
                <w:p w14:paraId="6146D063">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其中：人工费</w:t>
                  </w:r>
                </w:p>
              </w:tc>
              <w:tc>
                <w:tcPr>
                  <w:tcW w:w="1328" w:type="dxa"/>
                  <w:noWrap w:val="0"/>
                  <w:vAlign w:val="top"/>
                </w:tcPr>
                <w:p w14:paraId="2970D90A">
                  <w:pPr>
                    <w:pStyle w:val="293"/>
                    <w:spacing w:line="280" w:lineRule="exact"/>
                    <w:rPr>
                      <w:rFonts w:hint="eastAsia" w:ascii="宋体" w:hAnsi="宋体" w:cs="宋体"/>
                      <w:color w:val="auto"/>
                      <w:szCs w:val="21"/>
                      <w:highlight w:val="none"/>
                    </w:rPr>
                  </w:pPr>
                </w:p>
              </w:tc>
              <w:tc>
                <w:tcPr>
                  <w:tcW w:w="1426" w:type="dxa"/>
                  <w:noWrap w:val="0"/>
                  <w:vAlign w:val="top"/>
                </w:tcPr>
                <w:p w14:paraId="1CE13D01">
                  <w:pPr>
                    <w:pStyle w:val="293"/>
                    <w:spacing w:line="280" w:lineRule="exact"/>
                    <w:rPr>
                      <w:rFonts w:hint="eastAsia" w:ascii="宋体" w:hAnsi="宋体" w:cs="宋体"/>
                      <w:color w:val="auto"/>
                      <w:szCs w:val="21"/>
                      <w:highlight w:val="none"/>
                    </w:rPr>
                  </w:pPr>
                </w:p>
              </w:tc>
              <w:tc>
                <w:tcPr>
                  <w:tcW w:w="1250" w:type="dxa"/>
                  <w:noWrap w:val="0"/>
                  <w:vAlign w:val="top"/>
                </w:tcPr>
                <w:p w14:paraId="5016C0C0">
                  <w:pPr>
                    <w:pStyle w:val="293"/>
                    <w:spacing w:line="280" w:lineRule="exact"/>
                    <w:rPr>
                      <w:rFonts w:hint="eastAsia" w:ascii="宋体" w:hAnsi="宋体" w:cs="宋体"/>
                      <w:color w:val="auto"/>
                      <w:szCs w:val="21"/>
                      <w:highlight w:val="none"/>
                    </w:rPr>
                  </w:pPr>
                </w:p>
              </w:tc>
              <w:tc>
                <w:tcPr>
                  <w:tcW w:w="919" w:type="dxa"/>
                  <w:noWrap w:val="0"/>
                  <w:vAlign w:val="top"/>
                </w:tcPr>
                <w:p w14:paraId="3471315A">
                  <w:pPr>
                    <w:pStyle w:val="293"/>
                    <w:spacing w:line="280" w:lineRule="exact"/>
                    <w:rPr>
                      <w:rFonts w:hint="eastAsia" w:ascii="宋体" w:hAnsi="宋体" w:cs="宋体"/>
                      <w:color w:val="auto"/>
                      <w:szCs w:val="21"/>
                      <w:highlight w:val="none"/>
                    </w:rPr>
                  </w:pPr>
                </w:p>
              </w:tc>
            </w:tr>
          </w:tbl>
          <w:p w14:paraId="4001F20A">
            <w:pPr>
              <w:pStyle w:val="293"/>
              <w:wordWrap w:val="0"/>
              <w:spacing w:line="400" w:lineRule="exact"/>
              <w:ind w:right="420"/>
              <w:rPr>
                <w:rFonts w:hint="eastAsia" w:ascii="宋体" w:hAnsi="宋体" w:cs="宋体"/>
                <w:color w:val="auto"/>
                <w:szCs w:val="21"/>
                <w:highlight w:val="none"/>
              </w:rPr>
            </w:pPr>
            <w:r>
              <w:rPr>
                <w:rFonts w:hint="eastAsia" w:ascii="宋体" w:hAnsi="宋体" w:cs="宋体"/>
                <w:color w:val="auto"/>
                <w:szCs w:val="21"/>
                <w:highlight w:val="none"/>
              </w:rPr>
              <w:t>附：上述3、4详见附件清单。</w:t>
            </w:r>
          </w:p>
          <w:p w14:paraId="4883FFD7">
            <w:pPr>
              <w:pStyle w:val="293"/>
              <w:wordWrap w:val="0"/>
              <w:spacing w:line="400" w:lineRule="exact"/>
              <w:ind w:right="420"/>
              <w:rPr>
                <w:rFonts w:hint="eastAsia" w:ascii="宋体" w:hAnsi="宋体" w:cs="宋体"/>
                <w:color w:val="auto"/>
                <w:szCs w:val="21"/>
                <w:highlight w:val="none"/>
              </w:rPr>
            </w:pPr>
            <w:r>
              <w:rPr>
                <w:rFonts w:hint="eastAsia" w:ascii="宋体" w:hAnsi="宋体" w:cs="宋体"/>
                <w:color w:val="auto"/>
                <w:szCs w:val="21"/>
                <w:highlight w:val="none"/>
              </w:rPr>
              <w:t xml:space="preserve">                                            承包人（章）             </w:t>
            </w:r>
          </w:p>
          <w:p w14:paraId="6CDEA942">
            <w:pPr>
              <w:pStyle w:val="293"/>
              <w:spacing w:line="400" w:lineRule="exact"/>
              <w:ind w:right="420" w:firstLine="435"/>
              <w:rPr>
                <w:rFonts w:hint="eastAsia" w:ascii="宋体" w:hAnsi="宋体" w:cs="宋体"/>
                <w:color w:val="auto"/>
                <w:szCs w:val="21"/>
                <w:highlight w:val="none"/>
              </w:rPr>
            </w:pPr>
            <w:r>
              <w:rPr>
                <w:rFonts w:hint="eastAsia" w:ascii="宋体" w:hAnsi="宋体" w:cs="宋体"/>
                <w:color w:val="auto"/>
                <w:szCs w:val="21"/>
                <w:highlight w:val="none"/>
              </w:rPr>
              <w:t>造价人员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r w14:paraId="1C6E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01FDC580">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2D5FF2CB">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□与实际施工情况不相符，修改意见见附件。</w:t>
            </w:r>
          </w:p>
          <w:p w14:paraId="6B512248">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□与实际施工情况相符，具体金额由造价工程师复核。</w:t>
            </w:r>
          </w:p>
          <w:p w14:paraId="10B7D1B9">
            <w:pPr>
              <w:pStyle w:val="293"/>
              <w:spacing w:line="360" w:lineRule="exact"/>
              <w:ind w:firstLine="435"/>
              <w:jc w:val="right"/>
              <w:rPr>
                <w:rFonts w:hint="eastAsia" w:ascii="宋体" w:hAnsi="宋体" w:cs="宋体"/>
                <w:color w:val="auto"/>
                <w:szCs w:val="21"/>
                <w:highlight w:val="none"/>
              </w:rPr>
            </w:pPr>
          </w:p>
          <w:p w14:paraId="6D6F98C7">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监理工程师</w:t>
            </w:r>
            <w:r>
              <w:rPr>
                <w:rFonts w:hint="eastAsia" w:ascii="宋体" w:hAnsi="宋体" w:cs="宋体"/>
                <w:color w:val="auto"/>
                <w:szCs w:val="21"/>
                <w:highlight w:val="none"/>
                <w:u w:val="single"/>
              </w:rPr>
              <w:t xml:space="preserve">           </w:t>
            </w:r>
          </w:p>
          <w:p w14:paraId="6E73264B">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c>
          <w:tcPr>
            <w:tcW w:w="4552" w:type="dxa"/>
            <w:noWrap w:val="0"/>
            <w:vAlign w:val="top"/>
          </w:tcPr>
          <w:p w14:paraId="29A249C9">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2620255A">
            <w:pPr>
              <w:pStyle w:val="293"/>
              <w:spacing w:line="36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你方提出的支付申请经复核，本周期已完成工程价款为(大写)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p>
          <w:p w14:paraId="48B80434">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元，本期间应支付金额为（大写）</w:t>
            </w:r>
          </w:p>
          <w:p w14:paraId="454C8BB0">
            <w:pPr>
              <w:pStyle w:val="293"/>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320D1B39">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造价工程师</w:t>
            </w:r>
            <w:r>
              <w:rPr>
                <w:rFonts w:hint="eastAsia" w:ascii="宋体" w:hAnsi="宋体" w:cs="宋体"/>
                <w:color w:val="auto"/>
                <w:szCs w:val="21"/>
                <w:highlight w:val="none"/>
                <w:u w:val="single"/>
              </w:rPr>
              <w:t xml:space="preserve">           </w:t>
            </w:r>
          </w:p>
          <w:p w14:paraId="679E35B1">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r>
      <w:tr w14:paraId="4C6A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22B6F50D">
            <w:pPr>
              <w:pStyle w:val="293"/>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审核意见：</w:t>
            </w:r>
          </w:p>
          <w:p w14:paraId="23A1CC74">
            <w:pPr>
              <w:pStyle w:val="293"/>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□不同意。</w:t>
            </w:r>
          </w:p>
          <w:p w14:paraId="347720F0">
            <w:pPr>
              <w:pStyle w:val="293"/>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□同意，支付时间为本表签发后的15天内。</w:t>
            </w:r>
          </w:p>
          <w:p w14:paraId="4C19C680">
            <w:pPr>
              <w:pStyle w:val="293"/>
              <w:wordWrap w:val="0"/>
              <w:spacing w:line="40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发包人（章）           </w:t>
            </w:r>
          </w:p>
          <w:p w14:paraId="4DB08023">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发包人代表</w:t>
            </w:r>
            <w:r>
              <w:rPr>
                <w:rFonts w:hint="eastAsia" w:ascii="宋体" w:hAnsi="宋体" w:cs="宋体"/>
                <w:color w:val="auto"/>
                <w:szCs w:val="21"/>
                <w:highlight w:val="none"/>
                <w:u w:val="single"/>
              </w:rPr>
              <w:t xml:space="preserve">             </w:t>
            </w:r>
          </w:p>
          <w:p w14:paraId="1BFCB4BC">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bl>
    <w:p w14:paraId="4147E728">
      <w:pPr>
        <w:pStyle w:val="293"/>
        <w:spacing w:before="156" w:beforeLines="5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注：1.在选择栏中的“□”内作标识“√”。 </w:t>
      </w:r>
    </w:p>
    <w:p w14:paraId="6628347E">
      <w:pPr>
        <w:pStyle w:val="293"/>
        <w:spacing w:before="156" w:beforeLines="50"/>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 xml:space="preserve">        2.本表一式四份，由承包人填报，发包人、监理人、造价咨询人、承包人各存一份。</w:t>
      </w:r>
    </w:p>
    <w:p w14:paraId="4672B242">
      <w:pPr>
        <w:pStyle w:val="293"/>
        <w:jc w:val="left"/>
        <w:rPr>
          <w:rFonts w:hint="eastAsia" w:ascii="宋体" w:hAnsi="宋体" w:cs="宋体"/>
          <w:color w:val="auto"/>
          <w:szCs w:val="21"/>
          <w:highlight w:val="none"/>
        </w:rPr>
      </w:pPr>
    </w:p>
    <w:p w14:paraId="7991A4D6">
      <w:pPr>
        <w:pStyle w:val="293"/>
        <w:jc w:val="left"/>
        <w:rPr>
          <w:rFonts w:hint="eastAsia" w:ascii="宋体" w:hAnsi="宋体" w:cs="宋体"/>
          <w:color w:val="auto"/>
          <w:szCs w:val="21"/>
          <w:highlight w:val="none"/>
        </w:rPr>
      </w:pPr>
    </w:p>
    <w:p w14:paraId="7D923450">
      <w:pPr>
        <w:pStyle w:val="293"/>
        <w:jc w:val="left"/>
        <w:rPr>
          <w:rFonts w:hint="eastAsia" w:ascii="宋体" w:hAnsi="宋体" w:cs="宋体"/>
          <w:color w:val="auto"/>
          <w:szCs w:val="21"/>
          <w:highlight w:val="none"/>
        </w:rPr>
      </w:pPr>
    </w:p>
    <w:p w14:paraId="742F1A77">
      <w:pPr>
        <w:pStyle w:val="293"/>
        <w:jc w:val="left"/>
        <w:rPr>
          <w:rFonts w:hint="eastAsia" w:ascii="宋体" w:hAnsi="宋体" w:cs="宋体"/>
          <w:color w:val="auto"/>
          <w:szCs w:val="21"/>
          <w:highlight w:val="none"/>
        </w:rPr>
      </w:pPr>
      <w:r>
        <w:rPr>
          <w:rFonts w:hint="eastAsia" w:ascii="宋体" w:hAnsi="宋体" w:cs="宋体"/>
          <w:color w:val="auto"/>
          <w:szCs w:val="21"/>
          <w:highlight w:val="none"/>
        </w:rPr>
        <w:t>附件12</w:t>
      </w:r>
    </w:p>
    <w:p w14:paraId="56766347">
      <w:pPr>
        <w:pStyle w:val="293"/>
        <w:jc w:val="left"/>
        <w:rPr>
          <w:rFonts w:hint="eastAsia" w:ascii="宋体" w:hAnsi="宋体" w:cs="宋体"/>
          <w:color w:val="auto"/>
          <w:szCs w:val="21"/>
          <w:highlight w:val="none"/>
        </w:rPr>
      </w:pPr>
    </w:p>
    <w:p w14:paraId="6902C78B">
      <w:pPr>
        <w:pStyle w:val="293"/>
        <w:jc w:val="center"/>
        <w:rPr>
          <w:rFonts w:hint="eastAsia" w:ascii="宋体" w:hAnsi="宋体" w:cs="宋体"/>
          <w:b/>
          <w:color w:val="auto"/>
          <w:szCs w:val="21"/>
          <w:highlight w:val="none"/>
        </w:rPr>
      </w:pPr>
      <w:r>
        <w:rPr>
          <w:rFonts w:hint="eastAsia" w:ascii="宋体" w:hAnsi="宋体" w:cs="宋体"/>
          <w:b/>
          <w:color w:val="auto"/>
          <w:szCs w:val="21"/>
          <w:highlight w:val="none"/>
        </w:rPr>
        <w:t>竣工结算款支付申请（核准）表</w:t>
      </w:r>
    </w:p>
    <w:p w14:paraId="36D7851C">
      <w:pPr>
        <w:pStyle w:val="293"/>
        <w:rPr>
          <w:rFonts w:hint="eastAsia" w:ascii="宋体" w:hAnsi="宋体" w:cs="宋体"/>
          <w:color w:val="auto"/>
          <w:szCs w:val="21"/>
          <w:highlight w:val="none"/>
        </w:rPr>
      </w:pPr>
      <w:r>
        <w:rPr>
          <w:rFonts w:hint="eastAsia" w:ascii="宋体" w:hAnsi="宋体" w:cs="宋体"/>
          <w:color w:val="auto"/>
          <w:szCs w:val="21"/>
          <w:highlight w:val="none"/>
        </w:rPr>
        <w:t>工程名称：                                              编号：</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27A4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115ED7E0">
            <w:pPr>
              <w:pStyle w:val="293"/>
              <w:spacing w:line="480" w:lineRule="exact"/>
              <w:ind w:left="524" w:leftChars="149" w:hanging="212" w:hangingChars="101"/>
              <w:rPr>
                <w:rFonts w:hint="eastAsia"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（发包人全称）</w:t>
            </w:r>
          </w:p>
          <w:p w14:paraId="0EB289DF">
            <w:pPr>
              <w:pStyle w:val="293"/>
              <w:spacing w:line="400" w:lineRule="exact"/>
              <w:ind w:left="-4" w:leftChars="-2" w:firstLine="315" w:firstLineChars="150"/>
              <w:rPr>
                <w:rFonts w:hint="eastAsia" w:ascii="宋体" w:hAnsi="宋体" w:cs="宋体"/>
                <w:color w:val="auto"/>
                <w:szCs w:val="21"/>
                <w:highlight w:val="none"/>
              </w:rPr>
            </w:pPr>
            <w:r>
              <w:rPr>
                <w:rFonts w:hint="eastAsia" w:ascii="宋体" w:hAnsi="宋体" w:cs="宋体"/>
                <w:color w:val="auto"/>
                <w:szCs w:val="21"/>
                <w:highlight w:val="none"/>
              </w:rPr>
              <w:t>我方于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期间已完成了合同约定的工作，根据施工合同的约定，现申请支付竣工结算的工程款额为(大写)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元，请予核准。</w:t>
            </w:r>
          </w:p>
          <w:tbl>
            <w:tblPr>
              <w:tblStyle w:val="5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3362"/>
              <w:gridCol w:w="1605"/>
              <w:gridCol w:w="1605"/>
              <w:gridCol w:w="1628"/>
            </w:tblGrid>
            <w:tr w14:paraId="5D19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3" w:type="dxa"/>
                  <w:noWrap w:val="0"/>
                  <w:vAlign w:val="center"/>
                </w:tcPr>
                <w:p w14:paraId="292993C9">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362" w:type="dxa"/>
                  <w:noWrap w:val="0"/>
                  <w:vAlign w:val="center"/>
                </w:tcPr>
                <w:p w14:paraId="208F2E1C">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1605" w:type="dxa"/>
                  <w:noWrap w:val="0"/>
                  <w:vAlign w:val="center"/>
                </w:tcPr>
                <w:p w14:paraId="672A596B">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申请金额（元）</w:t>
                  </w:r>
                </w:p>
              </w:tc>
              <w:tc>
                <w:tcPr>
                  <w:tcW w:w="1605" w:type="dxa"/>
                  <w:noWrap w:val="0"/>
                  <w:vAlign w:val="center"/>
                </w:tcPr>
                <w:p w14:paraId="24575CB2">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复核金额（元）</w:t>
                  </w:r>
                </w:p>
              </w:tc>
              <w:tc>
                <w:tcPr>
                  <w:tcW w:w="1628" w:type="dxa"/>
                  <w:noWrap w:val="0"/>
                  <w:vAlign w:val="center"/>
                </w:tcPr>
                <w:p w14:paraId="4F787030">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D2D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7EC42A68">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362" w:type="dxa"/>
                  <w:noWrap w:val="0"/>
                  <w:vAlign w:val="top"/>
                </w:tcPr>
                <w:p w14:paraId="4C2A2B8D">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竣工结算合同价款总额</w:t>
                  </w:r>
                </w:p>
              </w:tc>
              <w:tc>
                <w:tcPr>
                  <w:tcW w:w="1605" w:type="dxa"/>
                  <w:noWrap w:val="0"/>
                  <w:vAlign w:val="top"/>
                </w:tcPr>
                <w:p w14:paraId="4DCAF8B2">
                  <w:pPr>
                    <w:pStyle w:val="293"/>
                    <w:spacing w:line="280" w:lineRule="exact"/>
                    <w:rPr>
                      <w:rFonts w:hint="eastAsia" w:ascii="宋体" w:hAnsi="宋体" w:cs="宋体"/>
                      <w:color w:val="auto"/>
                      <w:szCs w:val="21"/>
                      <w:highlight w:val="none"/>
                    </w:rPr>
                  </w:pPr>
                </w:p>
              </w:tc>
              <w:tc>
                <w:tcPr>
                  <w:tcW w:w="1605" w:type="dxa"/>
                  <w:noWrap w:val="0"/>
                  <w:vAlign w:val="top"/>
                </w:tcPr>
                <w:p w14:paraId="0A622740">
                  <w:pPr>
                    <w:pStyle w:val="293"/>
                    <w:spacing w:line="280" w:lineRule="exact"/>
                    <w:rPr>
                      <w:rFonts w:hint="eastAsia" w:ascii="宋体" w:hAnsi="宋体" w:cs="宋体"/>
                      <w:color w:val="auto"/>
                      <w:szCs w:val="21"/>
                      <w:highlight w:val="none"/>
                    </w:rPr>
                  </w:pPr>
                </w:p>
              </w:tc>
              <w:tc>
                <w:tcPr>
                  <w:tcW w:w="1628" w:type="dxa"/>
                  <w:noWrap w:val="0"/>
                  <w:vAlign w:val="top"/>
                </w:tcPr>
                <w:p w14:paraId="184D9CE3">
                  <w:pPr>
                    <w:pStyle w:val="293"/>
                    <w:spacing w:line="280" w:lineRule="exact"/>
                    <w:rPr>
                      <w:rFonts w:hint="eastAsia" w:ascii="宋体" w:hAnsi="宋体" w:cs="宋体"/>
                      <w:color w:val="auto"/>
                      <w:szCs w:val="21"/>
                      <w:highlight w:val="none"/>
                    </w:rPr>
                  </w:pPr>
                </w:p>
              </w:tc>
            </w:tr>
            <w:tr w14:paraId="5A83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26AEE376">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362" w:type="dxa"/>
                  <w:noWrap w:val="0"/>
                  <w:vAlign w:val="top"/>
                </w:tcPr>
                <w:p w14:paraId="0076B98D">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累计已实际支付的合同价款</w:t>
                  </w:r>
                </w:p>
              </w:tc>
              <w:tc>
                <w:tcPr>
                  <w:tcW w:w="1605" w:type="dxa"/>
                  <w:noWrap w:val="0"/>
                  <w:vAlign w:val="top"/>
                </w:tcPr>
                <w:p w14:paraId="6FEA9B61">
                  <w:pPr>
                    <w:pStyle w:val="293"/>
                    <w:spacing w:line="280" w:lineRule="exact"/>
                    <w:rPr>
                      <w:rFonts w:hint="eastAsia" w:ascii="宋体" w:hAnsi="宋体" w:cs="宋体"/>
                      <w:color w:val="auto"/>
                      <w:szCs w:val="21"/>
                      <w:highlight w:val="none"/>
                    </w:rPr>
                  </w:pPr>
                </w:p>
              </w:tc>
              <w:tc>
                <w:tcPr>
                  <w:tcW w:w="1605" w:type="dxa"/>
                  <w:noWrap w:val="0"/>
                  <w:vAlign w:val="top"/>
                </w:tcPr>
                <w:p w14:paraId="1C8BEAEA">
                  <w:pPr>
                    <w:pStyle w:val="293"/>
                    <w:spacing w:line="280" w:lineRule="exact"/>
                    <w:rPr>
                      <w:rFonts w:hint="eastAsia" w:ascii="宋体" w:hAnsi="宋体" w:cs="宋体"/>
                      <w:color w:val="auto"/>
                      <w:szCs w:val="21"/>
                      <w:highlight w:val="none"/>
                    </w:rPr>
                  </w:pPr>
                </w:p>
              </w:tc>
              <w:tc>
                <w:tcPr>
                  <w:tcW w:w="1628" w:type="dxa"/>
                  <w:noWrap w:val="0"/>
                  <w:vAlign w:val="top"/>
                </w:tcPr>
                <w:p w14:paraId="76A45206">
                  <w:pPr>
                    <w:pStyle w:val="293"/>
                    <w:spacing w:line="280" w:lineRule="exact"/>
                    <w:rPr>
                      <w:rFonts w:hint="eastAsia" w:ascii="宋体" w:hAnsi="宋体" w:cs="宋体"/>
                      <w:color w:val="auto"/>
                      <w:szCs w:val="21"/>
                      <w:highlight w:val="none"/>
                    </w:rPr>
                  </w:pPr>
                </w:p>
              </w:tc>
            </w:tr>
            <w:tr w14:paraId="37FA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2D020E67">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362" w:type="dxa"/>
                  <w:noWrap w:val="0"/>
                  <w:vAlign w:val="top"/>
                </w:tcPr>
                <w:p w14:paraId="6470F92D">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应预留的质量保证金</w:t>
                  </w:r>
                </w:p>
              </w:tc>
              <w:tc>
                <w:tcPr>
                  <w:tcW w:w="1605" w:type="dxa"/>
                  <w:noWrap w:val="0"/>
                  <w:vAlign w:val="top"/>
                </w:tcPr>
                <w:p w14:paraId="43DF7489">
                  <w:pPr>
                    <w:pStyle w:val="293"/>
                    <w:spacing w:line="280" w:lineRule="exact"/>
                    <w:rPr>
                      <w:rFonts w:hint="eastAsia" w:ascii="宋体" w:hAnsi="宋体" w:cs="宋体"/>
                      <w:color w:val="auto"/>
                      <w:szCs w:val="21"/>
                      <w:highlight w:val="none"/>
                    </w:rPr>
                  </w:pPr>
                </w:p>
              </w:tc>
              <w:tc>
                <w:tcPr>
                  <w:tcW w:w="1605" w:type="dxa"/>
                  <w:noWrap w:val="0"/>
                  <w:vAlign w:val="top"/>
                </w:tcPr>
                <w:p w14:paraId="10DB883C">
                  <w:pPr>
                    <w:pStyle w:val="293"/>
                    <w:spacing w:line="280" w:lineRule="exact"/>
                    <w:rPr>
                      <w:rFonts w:hint="eastAsia" w:ascii="宋体" w:hAnsi="宋体" w:cs="宋体"/>
                      <w:color w:val="auto"/>
                      <w:szCs w:val="21"/>
                      <w:highlight w:val="none"/>
                    </w:rPr>
                  </w:pPr>
                </w:p>
              </w:tc>
              <w:tc>
                <w:tcPr>
                  <w:tcW w:w="1628" w:type="dxa"/>
                  <w:noWrap w:val="0"/>
                  <w:vAlign w:val="top"/>
                </w:tcPr>
                <w:p w14:paraId="3B8F78F4">
                  <w:pPr>
                    <w:pStyle w:val="293"/>
                    <w:spacing w:line="280" w:lineRule="exact"/>
                    <w:rPr>
                      <w:rFonts w:hint="eastAsia" w:ascii="宋体" w:hAnsi="宋体" w:cs="宋体"/>
                      <w:color w:val="auto"/>
                      <w:szCs w:val="21"/>
                      <w:highlight w:val="none"/>
                    </w:rPr>
                  </w:pPr>
                </w:p>
              </w:tc>
            </w:tr>
            <w:tr w14:paraId="7AF4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7554FDDE">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362" w:type="dxa"/>
                  <w:noWrap w:val="0"/>
                  <w:vAlign w:val="top"/>
                </w:tcPr>
                <w:p w14:paraId="044192C8">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应支付的竣工结算款金额</w:t>
                  </w:r>
                </w:p>
              </w:tc>
              <w:tc>
                <w:tcPr>
                  <w:tcW w:w="1605" w:type="dxa"/>
                  <w:noWrap w:val="0"/>
                  <w:vAlign w:val="top"/>
                </w:tcPr>
                <w:p w14:paraId="001F9A34">
                  <w:pPr>
                    <w:pStyle w:val="293"/>
                    <w:spacing w:line="280" w:lineRule="exact"/>
                    <w:rPr>
                      <w:rFonts w:hint="eastAsia" w:ascii="宋体" w:hAnsi="宋体" w:cs="宋体"/>
                      <w:color w:val="auto"/>
                      <w:szCs w:val="21"/>
                      <w:highlight w:val="none"/>
                    </w:rPr>
                  </w:pPr>
                </w:p>
              </w:tc>
              <w:tc>
                <w:tcPr>
                  <w:tcW w:w="1605" w:type="dxa"/>
                  <w:noWrap w:val="0"/>
                  <w:vAlign w:val="top"/>
                </w:tcPr>
                <w:p w14:paraId="4C780E37">
                  <w:pPr>
                    <w:pStyle w:val="293"/>
                    <w:spacing w:line="280" w:lineRule="exact"/>
                    <w:rPr>
                      <w:rFonts w:hint="eastAsia" w:ascii="宋体" w:hAnsi="宋体" w:cs="宋体"/>
                      <w:color w:val="auto"/>
                      <w:szCs w:val="21"/>
                      <w:highlight w:val="none"/>
                    </w:rPr>
                  </w:pPr>
                </w:p>
              </w:tc>
              <w:tc>
                <w:tcPr>
                  <w:tcW w:w="1628" w:type="dxa"/>
                  <w:noWrap w:val="0"/>
                  <w:vAlign w:val="top"/>
                </w:tcPr>
                <w:p w14:paraId="7B0F6E79">
                  <w:pPr>
                    <w:pStyle w:val="293"/>
                    <w:spacing w:line="280" w:lineRule="exact"/>
                    <w:rPr>
                      <w:rFonts w:hint="eastAsia" w:ascii="宋体" w:hAnsi="宋体" w:cs="宋体"/>
                      <w:color w:val="auto"/>
                      <w:szCs w:val="21"/>
                      <w:highlight w:val="none"/>
                    </w:rPr>
                  </w:pPr>
                </w:p>
              </w:tc>
            </w:tr>
            <w:tr w14:paraId="029E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5A444638">
                  <w:pPr>
                    <w:pStyle w:val="293"/>
                    <w:spacing w:line="280" w:lineRule="exact"/>
                    <w:jc w:val="center"/>
                    <w:rPr>
                      <w:rFonts w:hint="eastAsia" w:ascii="宋体" w:hAnsi="宋体" w:cs="宋体"/>
                      <w:color w:val="auto"/>
                      <w:szCs w:val="21"/>
                      <w:highlight w:val="none"/>
                    </w:rPr>
                  </w:pPr>
                </w:p>
              </w:tc>
              <w:tc>
                <w:tcPr>
                  <w:tcW w:w="3362" w:type="dxa"/>
                  <w:noWrap w:val="0"/>
                  <w:vAlign w:val="top"/>
                </w:tcPr>
                <w:p w14:paraId="36819731">
                  <w:pPr>
                    <w:pStyle w:val="293"/>
                    <w:spacing w:line="280" w:lineRule="exact"/>
                    <w:rPr>
                      <w:rFonts w:hint="eastAsia" w:ascii="宋体" w:hAnsi="宋体" w:cs="宋体"/>
                      <w:color w:val="auto"/>
                      <w:szCs w:val="21"/>
                      <w:highlight w:val="none"/>
                    </w:rPr>
                  </w:pPr>
                </w:p>
              </w:tc>
              <w:tc>
                <w:tcPr>
                  <w:tcW w:w="1605" w:type="dxa"/>
                  <w:noWrap w:val="0"/>
                  <w:vAlign w:val="top"/>
                </w:tcPr>
                <w:p w14:paraId="54B63030">
                  <w:pPr>
                    <w:pStyle w:val="293"/>
                    <w:spacing w:line="280" w:lineRule="exact"/>
                    <w:rPr>
                      <w:rFonts w:hint="eastAsia" w:ascii="宋体" w:hAnsi="宋体" w:cs="宋体"/>
                      <w:color w:val="auto"/>
                      <w:szCs w:val="21"/>
                      <w:highlight w:val="none"/>
                    </w:rPr>
                  </w:pPr>
                </w:p>
              </w:tc>
              <w:tc>
                <w:tcPr>
                  <w:tcW w:w="1605" w:type="dxa"/>
                  <w:noWrap w:val="0"/>
                  <w:vAlign w:val="top"/>
                </w:tcPr>
                <w:p w14:paraId="507A8BE9">
                  <w:pPr>
                    <w:pStyle w:val="293"/>
                    <w:spacing w:line="280" w:lineRule="exact"/>
                    <w:rPr>
                      <w:rFonts w:hint="eastAsia" w:ascii="宋体" w:hAnsi="宋体" w:cs="宋体"/>
                      <w:color w:val="auto"/>
                      <w:szCs w:val="21"/>
                      <w:highlight w:val="none"/>
                    </w:rPr>
                  </w:pPr>
                </w:p>
              </w:tc>
              <w:tc>
                <w:tcPr>
                  <w:tcW w:w="1628" w:type="dxa"/>
                  <w:noWrap w:val="0"/>
                  <w:vAlign w:val="top"/>
                </w:tcPr>
                <w:p w14:paraId="52F94778">
                  <w:pPr>
                    <w:pStyle w:val="293"/>
                    <w:spacing w:line="280" w:lineRule="exact"/>
                    <w:rPr>
                      <w:rFonts w:hint="eastAsia" w:ascii="宋体" w:hAnsi="宋体" w:cs="宋体"/>
                      <w:color w:val="auto"/>
                      <w:szCs w:val="21"/>
                      <w:highlight w:val="none"/>
                    </w:rPr>
                  </w:pPr>
                </w:p>
              </w:tc>
            </w:tr>
            <w:tr w14:paraId="176E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7885971A">
                  <w:pPr>
                    <w:pStyle w:val="293"/>
                    <w:spacing w:line="280" w:lineRule="exact"/>
                    <w:jc w:val="center"/>
                    <w:rPr>
                      <w:rFonts w:hint="eastAsia" w:ascii="宋体" w:hAnsi="宋体" w:cs="宋体"/>
                      <w:color w:val="auto"/>
                      <w:szCs w:val="21"/>
                      <w:highlight w:val="none"/>
                    </w:rPr>
                  </w:pPr>
                </w:p>
              </w:tc>
              <w:tc>
                <w:tcPr>
                  <w:tcW w:w="3362" w:type="dxa"/>
                  <w:noWrap w:val="0"/>
                  <w:vAlign w:val="top"/>
                </w:tcPr>
                <w:p w14:paraId="0269CDCC">
                  <w:pPr>
                    <w:pStyle w:val="293"/>
                    <w:spacing w:line="280" w:lineRule="exact"/>
                    <w:rPr>
                      <w:rFonts w:hint="eastAsia" w:ascii="宋体" w:hAnsi="宋体" w:cs="宋体"/>
                      <w:color w:val="auto"/>
                      <w:szCs w:val="21"/>
                      <w:highlight w:val="none"/>
                    </w:rPr>
                  </w:pPr>
                </w:p>
              </w:tc>
              <w:tc>
                <w:tcPr>
                  <w:tcW w:w="1605" w:type="dxa"/>
                  <w:noWrap w:val="0"/>
                  <w:vAlign w:val="top"/>
                </w:tcPr>
                <w:p w14:paraId="3C26846F">
                  <w:pPr>
                    <w:pStyle w:val="293"/>
                    <w:spacing w:line="280" w:lineRule="exact"/>
                    <w:rPr>
                      <w:rFonts w:hint="eastAsia" w:ascii="宋体" w:hAnsi="宋体" w:cs="宋体"/>
                      <w:color w:val="auto"/>
                      <w:szCs w:val="21"/>
                      <w:highlight w:val="none"/>
                    </w:rPr>
                  </w:pPr>
                </w:p>
              </w:tc>
              <w:tc>
                <w:tcPr>
                  <w:tcW w:w="1605" w:type="dxa"/>
                  <w:noWrap w:val="0"/>
                  <w:vAlign w:val="top"/>
                </w:tcPr>
                <w:p w14:paraId="5930182E">
                  <w:pPr>
                    <w:pStyle w:val="293"/>
                    <w:spacing w:line="280" w:lineRule="exact"/>
                    <w:rPr>
                      <w:rFonts w:hint="eastAsia" w:ascii="宋体" w:hAnsi="宋体" w:cs="宋体"/>
                      <w:color w:val="auto"/>
                      <w:szCs w:val="21"/>
                      <w:highlight w:val="none"/>
                    </w:rPr>
                  </w:pPr>
                </w:p>
              </w:tc>
              <w:tc>
                <w:tcPr>
                  <w:tcW w:w="1628" w:type="dxa"/>
                  <w:noWrap w:val="0"/>
                  <w:vAlign w:val="top"/>
                </w:tcPr>
                <w:p w14:paraId="6554D2A1">
                  <w:pPr>
                    <w:pStyle w:val="293"/>
                    <w:spacing w:line="280" w:lineRule="exact"/>
                    <w:rPr>
                      <w:rFonts w:hint="eastAsia" w:ascii="宋体" w:hAnsi="宋体" w:cs="宋体"/>
                      <w:color w:val="auto"/>
                      <w:szCs w:val="21"/>
                      <w:highlight w:val="none"/>
                    </w:rPr>
                  </w:pPr>
                </w:p>
              </w:tc>
            </w:tr>
            <w:tr w14:paraId="5E12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3D21BF77">
                  <w:pPr>
                    <w:pStyle w:val="293"/>
                    <w:spacing w:line="280" w:lineRule="exact"/>
                    <w:jc w:val="center"/>
                    <w:rPr>
                      <w:rFonts w:hint="eastAsia" w:ascii="宋体" w:hAnsi="宋体" w:cs="宋体"/>
                      <w:color w:val="auto"/>
                      <w:szCs w:val="21"/>
                      <w:highlight w:val="none"/>
                    </w:rPr>
                  </w:pPr>
                </w:p>
              </w:tc>
              <w:tc>
                <w:tcPr>
                  <w:tcW w:w="3362" w:type="dxa"/>
                  <w:noWrap w:val="0"/>
                  <w:vAlign w:val="top"/>
                </w:tcPr>
                <w:p w14:paraId="4247BBFE">
                  <w:pPr>
                    <w:pStyle w:val="293"/>
                    <w:spacing w:line="280" w:lineRule="exact"/>
                    <w:rPr>
                      <w:rFonts w:hint="eastAsia" w:ascii="宋体" w:hAnsi="宋体" w:cs="宋体"/>
                      <w:color w:val="auto"/>
                      <w:szCs w:val="21"/>
                      <w:highlight w:val="none"/>
                    </w:rPr>
                  </w:pPr>
                </w:p>
              </w:tc>
              <w:tc>
                <w:tcPr>
                  <w:tcW w:w="1605" w:type="dxa"/>
                  <w:noWrap w:val="0"/>
                  <w:vAlign w:val="top"/>
                </w:tcPr>
                <w:p w14:paraId="2CC97287">
                  <w:pPr>
                    <w:pStyle w:val="293"/>
                    <w:spacing w:line="280" w:lineRule="exact"/>
                    <w:rPr>
                      <w:rFonts w:hint="eastAsia" w:ascii="宋体" w:hAnsi="宋体" w:cs="宋体"/>
                      <w:color w:val="auto"/>
                      <w:szCs w:val="21"/>
                      <w:highlight w:val="none"/>
                    </w:rPr>
                  </w:pPr>
                </w:p>
              </w:tc>
              <w:tc>
                <w:tcPr>
                  <w:tcW w:w="1605" w:type="dxa"/>
                  <w:noWrap w:val="0"/>
                  <w:vAlign w:val="top"/>
                </w:tcPr>
                <w:p w14:paraId="6E51B90E">
                  <w:pPr>
                    <w:pStyle w:val="293"/>
                    <w:spacing w:line="280" w:lineRule="exact"/>
                    <w:rPr>
                      <w:rFonts w:hint="eastAsia" w:ascii="宋体" w:hAnsi="宋体" w:cs="宋体"/>
                      <w:color w:val="auto"/>
                      <w:szCs w:val="21"/>
                      <w:highlight w:val="none"/>
                    </w:rPr>
                  </w:pPr>
                </w:p>
              </w:tc>
              <w:tc>
                <w:tcPr>
                  <w:tcW w:w="1628" w:type="dxa"/>
                  <w:noWrap w:val="0"/>
                  <w:vAlign w:val="top"/>
                </w:tcPr>
                <w:p w14:paraId="5D5B24D6">
                  <w:pPr>
                    <w:pStyle w:val="293"/>
                    <w:spacing w:line="280" w:lineRule="exact"/>
                    <w:rPr>
                      <w:rFonts w:hint="eastAsia" w:ascii="宋体" w:hAnsi="宋体" w:cs="宋体"/>
                      <w:color w:val="auto"/>
                      <w:szCs w:val="21"/>
                      <w:highlight w:val="none"/>
                    </w:rPr>
                  </w:pPr>
                </w:p>
              </w:tc>
            </w:tr>
            <w:tr w14:paraId="6488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1AD84B99">
                  <w:pPr>
                    <w:pStyle w:val="293"/>
                    <w:spacing w:line="280" w:lineRule="exact"/>
                    <w:jc w:val="center"/>
                    <w:rPr>
                      <w:rFonts w:hint="eastAsia" w:ascii="宋体" w:hAnsi="宋体" w:cs="宋体"/>
                      <w:color w:val="auto"/>
                      <w:szCs w:val="21"/>
                      <w:highlight w:val="none"/>
                    </w:rPr>
                  </w:pPr>
                </w:p>
              </w:tc>
              <w:tc>
                <w:tcPr>
                  <w:tcW w:w="3362" w:type="dxa"/>
                  <w:noWrap w:val="0"/>
                  <w:vAlign w:val="top"/>
                </w:tcPr>
                <w:p w14:paraId="5AE21998">
                  <w:pPr>
                    <w:pStyle w:val="293"/>
                    <w:spacing w:line="280" w:lineRule="exact"/>
                    <w:rPr>
                      <w:rFonts w:hint="eastAsia" w:ascii="宋体" w:hAnsi="宋体" w:cs="宋体"/>
                      <w:color w:val="auto"/>
                      <w:szCs w:val="21"/>
                      <w:highlight w:val="none"/>
                    </w:rPr>
                  </w:pPr>
                </w:p>
              </w:tc>
              <w:tc>
                <w:tcPr>
                  <w:tcW w:w="1605" w:type="dxa"/>
                  <w:noWrap w:val="0"/>
                  <w:vAlign w:val="top"/>
                </w:tcPr>
                <w:p w14:paraId="00768E90">
                  <w:pPr>
                    <w:pStyle w:val="293"/>
                    <w:spacing w:line="280" w:lineRule="exact"/>
                    <w:rPr>
                      <w:rFonts w:hint="eastAsia" w:ascii="宋体" w:hAnsi="宋体" w:cs="宋体"/>
                      <w:color w:val="auto"/>
                      <w:szCs w:val="21"/>
                      <w:highlight w:val="none"/>
                    </w:rPr>
                  </w:pPr>
                </w:p>
              </w:tc>
              <w:tc>
                <w:tcPr>
                  <w:tcW w:w="1605" w:type="dxa"/>
                  <w:noWrap w:val="0"/>
                  <w:vAlign w:val="top"/>
                </w:tcPr>
                <w:p w14:paraId="05147E9E">
                  <w:pPr>
                    <w:pStyle w:val="293"/>
                    <w:spacing w:line="280" w:lineRule="exact"/>
                    <w:rPr>
                      <w:rFonts w:hint="eastAsia" w:ascii="宋体" w:hAnsi="宋体" w:cs="宋体"/>
                      <w:color w:val="auto"/>
                      <w:szCs w:val="21"/>
                      <w:highlight w:val="none"/>
                    </w:rPr>
                  </w:pPr>
                </w:p>
              </w:tc>
              <w:tc>
                <w:tcPr>
                  <w:tcW w:w="1628" w:type="dxa"/>
                  <w:noWrap w:val="0"/>
                  <w:vAlign w:val="top"/>
                </w:tcPr>
                <w:p w14:paraId="432B4A71">
                  <w:pPr>
                    <w:pStyle w:val="293"/>
                    <w:spacing w:line="280" w:lineRule="exact"/>
                    <w:rPr>
                      <w:rFonts w:hint="eastAsia" w:ascii="宋体" w:hAnsi="宋体" w:cs="宋体"/>
                      <w:color w:val="auto"/>
                      <w:szCs w:val="21"/>
                      <w:highlight w:val="none"/>
                    </w:rPr>
                  </w:pPr>
                </w:p>
              </w:tc>
            </w:tr>
            <w:tr w14:paraId="7E62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1B9B145A">
                  <w:pPr>
                    <w:pStyle w:val="293"/>
                    <w:spacing w:line="280" w:lineRule="exact"/>
                    <w:jc w:val="center"/>
                    <w:rPr>
                      <w:rFonts w:hint="eastAsia" w:ascii="宋体" w:hAnsi="宋体" w:cs="宋体"/>
                      <w:color w:val="auto"/>
                      <w:szCs w:val="21"/>
                      <w:highlight w:val="none"/>
                    </w:rPr>
                  </w:pPr>
                </w:p>
              </w:tc>
              <w:tc>
                <w:tcPr>
                  <w:tcW w:w="3362" w:type="dxa"/>
                  <w:noWrap w:val="0"/>
                  <w:vAlign w:val="top"/>
                </w:tcPr>
                <w:p w14:paraId="0AC77EAE">
                  <w:pPr>
                    <w:pStyle w:val="293"/>
                    <w:spacing w:line="280" w:lineRule="exact"/>
                    <w:rPr>
                      <w:rFonts w:hint="eastAsia" w:ascii="宋体" w:hAnsi="宋体" w:cs="宋体"/>
                      <w:color w:val="auto"/>
                      <w:szCs w:val="21"/>
                      <w:highlight w:val="none"/>
                    </w:rPr>
                  </w:pPr>
                </w:p>
              </w:tc>
              <w:tc>
                <w:tcPr>
                  <w:tcW w:w="1605" w:type="dxa"/>
                  <w:noWrap w:val="0"/>
                  <w:vAlign w:val="top"/>
                </w:tcPr>
                <w:p w14:paraId="17D7D976">
                  <w:pPr>
                    <w:pStyle w:val="293"/>
                    <w:spacing w:line="280" w:lineRule="exact"/>
                    <w:rPr>
                      <w:rFonts w:hint="eastAsia" w:ascii="宋体" w:hAnsi="宋体" w:cs="宋体"/>
                      <w:color w:val="auto"/>
                      <w:szCs w:val="21"/>
                      <w:highlight w:val="none"/>
                    </w:rPr>
                  </w:pPr>
                </w:p>
              </w:tc>
              <w:tc>
                <w:tcPr>
                  <w:tcW w:w="1605" w:type="dxa"/>
                  <w:noWrap w:val="0"/>
                  <w:vAlign w:val="top"/>
                </w:tcPr>
                <w:p w14:paraId="325C3DF7">
                  <w:pPr>
                    <w:pStyle w:val="293"/>
                    <w:spacing w:line="280" w:lineRule="exact"/>
                    <w:rPr>
                      <w:rFonts w:hint="eastAsia" w:ascii="宋体" w:hAnsi="宋体" w:cs="宋体"/>
                      <w:color w:val="auto"/>
                      <w:szCs w:val="21"/>
                      <w:highlight w:val="none"/>
                    </w:rPr>
                  </w:pPr>
                </w:p>
              </w:tc>
              <w:tc>
                <w:tcPr>
                  <w:tcW w:w="1628" w:type="dxa"/>
                  <w:noWrap w:val="0"/>
                  <w:vAlign w:val="top"/>
                </w:tcPr>
                <w:p w14:paraId="508FBC0B">
                  <w:pPr>
                    <w:pStyle w:val="293"/>
                    <w:spacing w:line="280" w:lineRule="exact"/>
                    <w:rPr>
                      <w:rFonts w:hint="eastAsia" w:ascii="宋体" w:hAnsi="宋体" w:cs="宋体"/>
                      <w:color w:val="auto"/>
                      <w:szCs w:val="21"/>
                      <w:highlight w:val="none"/>
                    </w:rPr>
                  </w:pPr>
                </w:p>
              </w:tc>
            </w:tr>
          </w:tbl>
          <w:p w14:paraId="4AA4A15D">
            <w:pPr>
              <w:pStyle w:val="293"/>
              <w:spacing w:line="400" w:lineRule="exact"/>
              <w:ind w:right="420" w:firstLine="435"/>
              <w:jc w:val="center"/>
              <w:rPr>
                <w:rFonts w:hint="eastAsia" w:ascii="宋体" w:hAnsi="宋体" w:cs="宋体"/>
                <w:color w:val="auto"/>
                <w:szCs w:val="21"/>
                <w:highlight w:val="none"/>
              </w:rPr>
            </w:pPr>
          </w:p>
          <w:p w14:paraId="214CB652">
            <w:pPr>
              <w:pStyle w:val="293"/>
              <w:spacing w:line="400" w:lineRule="exact"/>
              <w:ind w:right="420" w:firstLine="435"/>
              <w:jc w:val="center"/>
              <w:rPr>
                <w:rFonts w:hint="eastAsia" w:ascii="宋体" w:hAnsi="宋体" w:cs="宋体"/>
                <w:color w:val="auto"/>
                <w:szCs w:val="21"/>
                <w:highlight w:val="none"/>
              </w:rPr>
            </w:pPr>
            <w:r>
              <w:rPr>
                <w:rFonts w:hint="eastAsia" w:ascii="宋体" w:hAnsi="宋体" w:cs="宋体"/>
                <w:color w:val="auto"/>
                <w:szCs w:val="21"/>
                <w:highlight w:val="none"/>
              </w:rPr>
              <w:t xml:space="preserve">                                            承包人（章）             </w:t>
            </w:r>
          </w:p>
          <w:p w14:paraId="4DEC8EEC">
            <w:pPr>
              <w:pStyle w:val="293"/>
              <w:spacing w:line="400" w:lineRule="exact"/>
              <w:ind w:right="420" w:firstLine="435"/>
              <w:rPr>
                <w:rFonts w:hint="eastAsia" w:ascii="宋体" w:hAnsi="宋体" w:cs="宋体"/>
                <w:color w:val="auto"/>
                <w:szCs w:val="21"/>
                <w:highlight w:val="none"/>
              </w:rPr>
            </w:pPr>
            <w:r>
              <w:rPr>
                <w:rFonts w:hint="eastAsia" w:ascii="宋体" w:hAnsi="宋体" w:cs="宋体"/>
                <w:color w:val="auto"/>
                <w:szCs w:val="21"/>
                <w:highlight w:val="none"/>
              </w:rPr>
              <w:t>造价人员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r w14:paraId="1FDB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545BB905">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22FEEBD6">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□与实际施工情况不相符，修改意见见附件。</w:t>
            </w:r>
          </w:p>
          <w:p w14:paraId="01B9011F">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□与实际施工情况相符，具体金额由造价工程师复核。</w:t>
            </w:r>
          </w:p>
          <w:p w14:paraId="673CF9C8">
            <w:pPr>
              <w:pStyle w:val="293"/>
              <w:spacing w:line="360" w:lineRule="exact"/>
              <w:ind w:firstLine="435"/>
              <w:jc w:val="right"/>
              <w:rPr>
                <w:rFonts w:hint="eastAsia" w:ascii="宋体" w:hAnsi="宋体" w:cs="宋体"/>
                <w:color w:val="auto"/>
                <w:szCs w:val="21"/>
                <w:highlight w:val="none"/>
              </w:rPr>
            </w:pPr>
          </w:p>
          <w:p w14:paraId="745E03C4">
            <w:pPr>
              <w:pStyle w:val="293"/>
              <w:spacing w:line="360" w:lineRule="exact"/>
              <w:ind w:firstLine="435"/>
              <w:jc w:val="right"/>
              <w:rPr>
                <w:rFonts w:hint="eastAsia" w:ascii="宋体" w:hAnsi="宋体" w:cs="宋体"/>
                <w:color w:val="auto"/>
                <w:szCs w:val="21"/>
                <w:highlight w:val="none"/>
              </w:rPr>
            </w:pPr>
          </w:p>
          <w:p w14:paraId="383C1BA9">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3A275F2">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监理工程师</w:t>
            </w:r>
            <w:r>
              <w:rPr>
                <w:rFonts w:hint="eastAsia" w:ascii="宋体" w:hAnsi="宋体" w:cs="宋体"/>
                <w:color w:val="auto"/>
                <w:szCs w:val="21"/>
                <w:highlight w:val="none"/>
                <w:u w:val="single"/>
              </w:rPr>
              <w:t xml:space="preserve">           </w:t>
            </w:r>
          </w:p>
          <w:p w14:paraId="4BDCDE49">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c>
          <w:tcPr>
            <w:tcW w:w="4533" w:type="dxa"/>
            <w:noWrap w:val="0"/>
            <w:vAlign w:val="top"/>
          </w:tcPr>
          <w:p w14:paraId="1C268F99">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207CFA29">
            <w:pPr>
              <w:pStyle w:val="293"/>
              <w:spacing w:line="360" w:lineRule="exact"/>
              <w:ind w:firstLine="435"/>
              <w:rPr>
                <w:rFonts w:hint="eastAsia" w:ascii="宋体" w:hAnsi="宋体" w:cs="宋体"/>
                <w:color w:val="auto"/>
                <w:szCs w:val="21"/>
                <w:highlight w:val="none"/>
                <w:u w:val="single"/>
              </w:rPr>
            </w:pPr>
            <w:r>
              <w:rPr>
                <w:rFonts w:hint="eastAsia" w:ascii="宋体" w:hAnsi="宋体" w:cs="宋体"/>
                <w:color w:val="auto"/>
                <w:szCs w:val="21"/>
                <w:highlight w:val="none"/>
              </w:rPr>
              <w:t>你方提出的竣工结算支付申请经复核，竣工结算款总额为(大写)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元，扣除前期支付以及质量保证金后应支付金额为（大写）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3881FBC6">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D234CE5">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造价工程师</w:t>
            </w:r>
            <w:r>
              <w:rPr>
                <w:rFonts w:hint="eastAsia" w:ascii="宋体" w:hAnsi="宋体" w:cs="宋体"/>
                <w:color w:val="auto"/>
                <w:szCs w:val="21"/>
                <w:highlight w:val="none"/>
                <w:u w:val="single"/>
              </w:rPr>
              <w:t xml:space="preserve">           </w:t>
            </w:r>
          </w:p>
          <w:p w14:paraId="562BCCAE">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r>
      <w:tr w14:paraId="5383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7FC099B7">
            <w:pPr>
              <w:pStyle w:val="293"/>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审核意见：</w:t>
            </w:r>
          </w:p>
          <w:p w14:paraId="34BA4FDB">
            <w:pPr>
              <w:pStyle w:val="293"/>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□不同意。</w:t>
            </w:r>
          </w:p>
          <w:p w14:paraId="1EC34A62">
            <w:pPr>
              <w:pStyle w:val="293"/>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□同意，支付时间为本表签发后的15天内。</w:t>
            </w:r>
          </w:p>
          <w:p w14:paraId="33D87086">
            <w:pPr>
              <w:pStyle w:val="293"/>
              <w:wordWrap w:val="0"/>
              <w:spacing w:line="40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发包人（章）           </w:t>
            </w:r>
          </w:p>
          <w:p w14:paraId="126C0DB4">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发包人代表</w:t>
            </w:r>
            <w:r>
              <w:rPr>
                <w:rFonts w:hint="eastAsia" w:ascii="宋体" w:hAnsi="宋体" w:cs="宋体"/>
                <w:color w:val="auto"/>
                <w:szCs w:val="21"/>
                <w:highlight w:val="none"/>
                <w:u w:val="single"/>
              </w:rPr>
              <w:t xml:space="preserve">             </w:t>
            </w:r>
          </w:p>
          <w:p w14:paraId="6B8529E9">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bl>
    <w:p w14:paraId="0A343606">
      <w:pPr>
        <w:pStyle w:val="293"/>
        <w:spacing w:before="156" w:beforeLines="5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注：1.在选择栏中的“□”内作标识“√”。 </w:t>
      </w:r>
    </w:p>
    <w:p w14:paraId="444F091B">
      <w:pPr>
        <w:pStyle w:val="293"/>
        <w:spacing w:before="156" w:beforeLines="50"/>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 xml:space="preserve">        2.本表一式四份，由承包人填报，发包人、监理人、造价咨询人、承包人各存一份。</w:t>
      </w:r>
    </w:p>
    <w:p w14:paraId="3F338E7F">
      <w:pPr>
        <w:pStyle w:val="293"/>
        <w:jc w:val="left"/>
        <w:rPr>
          <w:rFonts w:hint="eastAsia" w:ascii="宋体" w:hAnsi="宋体" w:cs="宋体"/>
          <w:color w:val="auto"/>
          <w:szCs w:val="21"/>
          <w:highlight w:val="none"/>
        </w:rPr>
      </w:pPr>
    </w:p>
    <w:p w14:paraId="2F764CB4">
      <w:pPr>
        <w:pStyle w:val="293"/>
        <w:jc w:val="left"/>
        <w:rPr>
          <w:rFonts w:hint="eastAsia" w:ascii="宋体" w:hAnsi="宋体" w:cs="宋体"/>
          <w:b/>
          <w:color w:val="auto"/>
          <w:szCs w:val="21"/>
          <w:highlight w:val="none"/>
        </w:rPr>
      </w:pPr>
      <w:r>
        <w:rPr>
          <w:rFonts w:hint="eastAsia" w:ascii="宋体" w:hAnsi="宋体" w:cs="宋体"/>
          <w:color w:val="auto"/>
          <w:szCs w:val="21"/>
          <w:highlight w:val="none"/>
        </w:rPr>
        <w:t>附件13：</w:t>
      </w:r>
    </w:p>
    <w:p w14:paraId="1F376EF1">
      <w:pPr>
        <w:pStyle w:val="293"/>
        <w:jc w:val="center"/>
        <w:rPr>
          <w:rFonts w:hint="eastAsia" w:ascii="宋体" w:hAnsi="宋体" w:cs="宋体"/>
          <w:b/>
          <w:color w:val="auto"/>
          <w:szCs w:val="21"/>
          <w:highlight w:val="none"/>
        </w:rPr>
      </w:pPr>
      <w:r>
        <w:rPr>
          <w:rFonts w:hint="eastAsia" w:ascii="宋体" w:hAnsi="宋体" w:cs="宋体"/>
          <w:b/>
          <w:color w:val="auto"/>
          <w:szCs w:val="21"/>
          <w:highlight w:val="none"/>
        </w:rPr>
        <w:t>最终结算款支付申请（核准）表</w:t>
      </w:r>
    </w:p>
    <w:p w14:paraId="0E97DF0D">
      <w:pPr>
        <w:pStyle w:val="293"/>
        <w:rPr>
          <w:rFonts w:hint="eastAsia" w:ascii="宋体" w:hAnsi="宋体" w:cs="宋体"/>
          <w:color w:val="auto"/>
          <w:szCs w:val="21"/>
          <w:highlight w:val="none"/>
        </w:rPr>
      </w:pPr>
      <w:r>
        <w:rPr>
          <w:rFonts w:hint="eastAsia" w:ascii="宋体" w:hAnsi="宋体" w:cs="宋体"/>
          <w:color w:val="auto"/>
          <w:szCs w:val="21"/>
          <w:highlight w:val="none"/>
        </w:rPr>
        <w:t>工程名称：                                             编号：</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gridCol w:w="4532"/>
      </w:tblGrid>
      <w:tr w14:paraId="502F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554BF3DC">
            <w:pPr>
              <w:pStyle w:val="293"/>
              <w:spacing w:line="480" w:lineRule="exact"/>
              <w:ind w:left="524" w:leftChars="149" w:hanging="212" w:hangingChars="101"/>
              <w:rPr>
                <w:rFonts w:hint="eastAsia"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（发包人全称）</w:t>
            </w:r>
          </w:p>
          <w:p w14:paraId="3A45A04C">
            <w:pPr>
              <w:pStyle w:val="293"/>
              <w:spacing w:line="400" w:lineRule="exact"/>
              <w:ind w:left="-4" w:leftChars="-2" w:firstLine="315" w:firstLineChars="150"/>
              <w:rPr>
                <w:rFonts w:hint="eastAsia" w:ascii="宋体" w:hAnsi="宋体" w:cs="宋体"/>
                <w:color w:val="auto"/>
                <w:szCs w:val="21"/>
                <w:highlight w:val="none"/>
              </w:rPr>
            </w:pPr>
            <w:r>
              <w:rPr>
                <w:rFonts w:hint="eastAsia" w:ascii="宋体" w:hAnsi="宋体" w:cs="宋体"/>
                <w:color w:val="auto"/>
                <w:szCs w:val="21"/>
                <w:highlight w:val="none"/>
              </w:rPr>
              <w:t>我方于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期间已完成了缺陷修复工作，根据施工合同的约定，现申请支付最终结清合同款额为(大写)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元，请予核准。</w:t>
            </w:r>
          </w:p>
          <w:tbl>
            <w:tblPr>
              <w:tblStyle w:val="5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3364"/>
              <w:gridCol w:w="1605"/>
              <w:gridCol w:w="1605"/>
              <w:gridCol w:w="1627"/>
            </w:tblGrid>
            <w:tr w14:paraId="2BA8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2" w:type="dxa"/>
                  <w:noWrap w:val="0"/>
                  <w:vAlign w:val="center"/>
                </w:tcPr>
                <w:p w14:paraId="1F0BB8E3">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364" w:type="dxa"/>
                  <w:noWrap w:val="0"/>
                  <w:vAlign w:val="center"/>
                </w:tcPr>
                <w:p w14:paraId="29D6040D">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1605" w:type="dxa"/>
                  <w:noWrap w:val="0"/>
                  <w:vAlign w:val="center"/>
                </w:tcPr>
                <w:p w14:paraId="502B65FF">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申请金额（元）</w:t>
                  </w:r>
                </w:p>
              </w:tc>
              <w:tc>
                <w:tcPr>
                  <w:tcW w:w="1605" w:type="dxa"/>
                  <w:noWrap w:val="0"/>
                  <w:vAlign w:val="center"/>
                </w:tcPr>
                <w:p w14:paraId="229E6475">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复核金额（元）</w:t>
                  </w:r>
                </w:p>
              </w:tc>
              <w:tc>
                <w:tcPr>
                  <w:tcW w:w="1627" w:type="dxa"/>
                  <w:noWrap w:val="0"/>
                  <w:vAlign w:val="center"/>
                </w:tcPr>
                <w:p w14:paraId="7D995162">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2D2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33A0BEB8">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364" w:type="dxa"/>
                  <w:noWrap w:val="0"/>
                  <w:vAlign w:val="top"/>
                </w:tcPr>
                <w:p w14:paraId="4BC10B8A">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已预留的质量保证金</w:t>
                  </w:r>
                </w:p>
              </w:tc>
              <w:tc>
                <w:tcPr>
                  <w:tcW w:w="1605" w:type="dxa"/>
                  <w:noWrap w:val="0"/>
                  <w:vAlign w:val="top"/>
                </w:tcPr>
                <w:p w14:paraId="339412AC">
                  <w:pPr>
                    <w:pStyle w:val="293"/>
                    <w:spacing w:line="280" w:lineRule="exact"/>
                    <w:rPr>
                      <w:rFonts w:hint="eastAsia" w:ascii="宋体" w:hAnsi="宋体" w:cs="宋体"/>
                      <w:color w:val="auto"/>
                      <w:szCs w:val="21"/>
                      <w:highlight w:val="none"/>
                    </w:rPr>
                  </w:pPr>
                </w:p>
              </w:tc>
              <w:tc>
                <w:tcPr>
                  <w:tcW w:w="1605" w:type="dxa"/>
                  <w:noWrap w:val="0"/>
                  <w:vAlign w:val="top"/>
                </w:tcPr>
                <w:p w14:paraId="4A452918">
                  <w:pPr>
                    <w:pStyle w:val="293"/>
                    <w:spacing w:line="280" w:lineRule="exact"/>
                    <w:rPr>
                      <w:rFonts w:hint="eastAsia" w:ascii="宋体" w:hAnsi="宋体" w:cs="宋体"/>
                      <w:color w:val="auto"/>
                      <w:szCs w:val="21"/>
                      <w:highlight w:val="none"/>
                    </w:rPr>
                  </w:pPr>
                </w:p>
              </w:tc>
              <w:tc>
                <w:tcPr>
                  <w:tcW w:w="1627" w:type="dxa"/>
                  <w:noWrap w:val="0"/>
                  <w:vAlign w:val="top"/>
                </w:tcPr>
                <w:p w14:paraId="436DDFD9">
                  <w:pPr>
                    <w:pStyle w:val="293"/>
                    <w:spacing w:line="280" w:lineRule="exact"/>
                    <w:rPr>
                      <w:rFonts w:hint="eastAsia" w:ascii="宋体" w:hAnsi="宋体" w:cs="宋体"/>
                      <w:color w:val="auto"/>
                      <w:szCs w:val="21"/>
                      <w:highlight w:val="none"/>
                    </w:rPr>
                  </w:pPr>
                </w:p>
              </w:tc>
            </w:tr>
            <w:tr w14:paraId="0A91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47FDCA5D">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364" w:type="dxa"/>
                  <w:noWrap w:val="0"/>
                  <w:vAlign w:val="top"/>
                </w:tcPr>
                <w:p w14:paraId="2E4A175B">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应增加因发包人原因造成缺陷的修复金额</w:t>
                  </w:r>
                </w:p>
              </w:tc>
              <w:tc>
                <w:tcPr>
                  <w:tcW w:w="1605" w:type="dxa"/>
                  <w:noWrap w:val="0"/>
                  <w:vAlign w:val="top"/>
                </w:tcPr>
                <w:p w14:paraId="68AF88C0">
                  <w:pPr>
                    <w:pStyle w:val="293"/>
                    <w:spacing w:line="280" w:lineRule="exact"/>
                    <w:rPr>
                      <w:rFonts w:hint="eastAsia" w:ascii="宋体" w:hAnsi="宋体" w:cs="宋体"/>
                      <w:color w:val="auto"/>
                      <w:szCs w:val="21"/>
                      <w:highlight w:val="none"/>
                    </w:rPr>
                  </w:pPr>
                </w:p>
              </w:tc>
              <w:tc>
                <w:tcPr>
                  <w:tcW w:w="1605" w:type="dxa"/>
                  <w:noWrap w:val="0"/>
                  <w:vAlign w:val="top"/>
                </w:tcPr>
                <w:p w14:paraId="58F58A62">
                  <w:pPr>
                    <w:pStyle w:val="293"/>
                    <w:spacing w:line="280" w:lineRule="exact"/>
                    <w:rPr>
                      <w:rFonts w:hint="eastAsia" w:ascii="宋体" w:hAnsi="宋体" w:cs="宋体"/>
                      <w:color w:val="auto"/>
                      <w:szCs w:val="21"/>
                      <w:highlight w:val="none"/>
                    </w:rPr>
                  </w:pPr>
                </w:p>
              </w:tc>
              <w:tc>
                <w:tcPr>
                  <w:tcW w:w="1627" w:type="dxa"/>
                  <w:noWrap w:val="0"/>
                  <w:vAlign w:val="top"/>
                </w:tcPr>
                <w:p w14:paraId="270978D8">
                  <w:pPr>
                    <w:pStyle w:val="293"/>
                    <w:spacing w:line="280" w:lineRule="exact"/>
                    <w:rPr>
                      <w:rFonts w:hint="eastAsia" w:ascii="宋体" w:hAnsi="宋体" w:cs="宋体"/>
                      <w:color w:val="auto"/>
                      <w:szCs w:val="21"/>
                      <w:highlight w:val="none"/>
                    </w:rPr>
                  </w:pPr>
                </w:p>
              </w:tc>
            </w:tr>
            <w:tr w14:paraId="6E9D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5CFBD57D">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364" w:type="dxa"/>
                  <w:noWrap w:val="0"/>
                  <w:vAlign w:val="top"/>
                </w:tcPr>
                <w:p w14:paraId="54FA6789">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应扣减承包人不修复缺陷、发包人组织修复的金额</w:t>
                  </w:r>
                </w:p>
              </w:tc>
              <w:tc>
                <w:tcPr>
                  <w:tcW w:w="1605" w:type="dxa"/>
                  <w:noWrap w:val="0"/>
                  <w:vAlign w:val="top"/>
                </w:tcPr>
                <w:p w14:paraId="39EAEEF1">
                  <w:pPr>
                    <w:pStyle w:val="293"/>
                    <w:spacing w:line="280" w:lineRule="exact"/>
                    <w:rPr>
                      <w:rFonts w:hint="eastAsia" w:ascii="宋体" w:hAnsi="宋体" w:cs="宋体"/>
                      <w:color w:val="auto"/>
                      <w:szCs w:val="21"/>
                      <w:highlight w:val="none"/>
                    </w:rPr>
                  </w:pPr>
                </w:p>
              </w:tc>
              <w:tc>
                <w:tcPr>
                  <w:tcW w:w="1605" w:type="dxa"/>
                  <w:noWrap w:val="0"/>
                  <w:vAlign w:val="top"/>
                </w:tcPr>
                <w:p w14:paraId="7ABE489E">
                  <w:pPr>
                    <w:pStyle w:val="293"/>
                    <w:spacing w:line="280" w:lineRule="exact"/>
                    <w:rPr>
                      <w:rFonts w:hint="eastAsia" w:ascii="宋体" w:hAnsi="宋体" w:cs="宋体"/>
                      <w:color w:val="auto"/>
                      <w:szCs w:val="21"/>
                      <w:highlight w:val="none"/>
                    </w:rPr>
                  </w:pPr>
                </w:p>
              </w:tc>
              <w:tc>
                <w:tcPr>
                  <w:tcW w:w="1627" w:type="dxa"/>
                  <w:noWrap w:val="0"/>
                  <w:vAlign w:val="top"/>
                </w:tcPr>
                <w:p w14:paraId="31B965EB">
                  <w:pPr>
                    <w:pStyle w:val="293"/>
                    <w:spacing w:line="280" w:lineRule="exact"/>
                    <w:rPr>
                      <w:rFonts w:hint="eastAsia" w:ascii="宋体" w:hAnsi="宋体" w:cs="宋体"/>
                      <w:color w:val="auto"/>
                      <w:szCs w:val="21"/>
                      <w:highlight w:val="none"/>
                    </w:rPr>
                  </w:pPr>
                </w:p>
              </w:tc>
            </w:tr>
            <w:tr w14:paraId="32AC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655B8385">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364" w:type="dxa"/>
                  <w:noWrap w:val="0"/>
                  <w:vAlign w:val="top"/>
                </w:tcPr>
                <w:p w14:paraId="2130C510">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最终应支付的合同价款</w:t>
                  </w:r>
                </w:p>
              </w:tc>
              <w:tc>
                <w:tcPr>
                  <w:tcW w:w="1605" w:type="dxa"/>
                  <w:noWrap w:val="0"/>
                  <w:vAlign w:val="top"/>
                </w:tcPr>
                <w:p w14:paraId="7D499F15">
                  <w:pPr>
                    <w:pStyle w:val="293"/>
                    <w:spacing w:line="280" w:lineRule="exact"/>
                    <w:rPr>
                      <w:rFonts w:hint="eastAsia" w:ascii="宋体" w:hAnsi="宋体" w:cs="宋体"/>
                      <w:color w:val="auto"/>
                      <w:szCs w:val="21"/>
                      <w:highlight w:val="none"/>
                    </w:rPr>
                  </w:pPr>
                </w:p>
              </w:tc>
              <w:tc>
                <w:tcPr>
                  <w:tcW w:w="1605" w:type="dxa"/>
                  <w:noWrap w:val="0"/>
                  <w:vAlign w:val="top"/>
                </w:tcPr>
                <w:p w14:paraId="3FA25E3B">
                  <w:pPr>
                    <w:pStyle w:val="293"/>
                    <w:spacing w:line="280" w:lineRule="exact"/>
                    <w:rPr>
                      <w:rFonts w:hint="eastAsia" w:ascii="宋体" w:hAnsi="宋体" w:cs="宋体"/>
                      <w:color w:val="auto"/>
                      <w:szCs w:val="21"/>
                      <w:highlight w:val="none"/>
                    </w:rPr>
                  </w:pPr>
                </w:p>
              </w:tc>
              <w:tc>
                <w:tcPr>
                  <w:tcW w:w="1627" w:type="dxa"/>
                  <w:noWrap w:val="0"/>
                  <w:vAlign w:val="top"/>
                </w:tcPr>
                <w:p w14:paraId="169F19A8">
                  <w:pPr>
                    <w:pStyle w:val="293"/>
                    <w:spacing w:line="280" w:lineRule="exact"/>
                    <w:rPr>
                      <w:rFonts w:hint="eastAsia" w:ascii="宋体" w:hAnsi="宋体" w:cs="宋体"/>
                      <w:color w:val="auto"/>
                      <w:szCs w:val="21"/>
                      <w:highlight w:val="none"/>
                    </w:rPr>
                  </w:pPr>
                </w:p>
              </w:tc>
            </w:tr>
            <w:tr w14:paraId="5D0F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2F1FD535">
                  <w:pPr>
                    <w:pStyle w:val="293"/>
                    <w:spacing w:line="280" w:lineRule="exact"/>
                    <w:jc w:val="center"/>
                    <w:rPr>
                      <w:rFonts w:hint="eastAsia" w:ascii="宋体" w:hAnsi="宋体" w:cs="宋体"/>
                      <w:color w:val="auto"/>
                      <w:szCs w:val="21"/>
                      <w:highlight w:val="none"/>
                    </w:rPr>
                  </w:pPr>
                </w:p>
              </w:tc>
              <w:tc>
                <w:tcPr>
                  <w:tcW w:w="3364" w:type="dxa"/>
                  <w:noWrap w:val="0"/>
                  <w:vAlign w:val="top"/>
                </w:tcPr>
                <w:p w14:paraId="0D84CE3D">
                  <w:pPr>
                    <w:pStyle w:val="293"/>
                    <w:spacing w:line="280" w:lineRule="exact"/>
                    <w:rPr>
                      <w:rFonts w:hint="eastAsia" w:ascii="宋体" w:hAnsi="宋体" w:cs="宋体"/>
                      <w:color w:val="auto"/>
                      <w:szCs w:val="21"/>
                      <w:highlight w:val="none"/>
                    </w:rPr>
                  </w:pPr>
                </w:p>
              </w:tc>
              <w:tc>
                <w:tcPr>
                  <w:tcW w:w="1605" w:type="dxa"/>
                  <w:noWrap w:val="0"/>
                  <w:vAlign w:val="top"/>
                </w:tcPr>
                <w:p w14:paraId="7E922E8E">
                  <w:pPr>
                    <w:pStyle w:val="293"/>
                    <w:spacing w:line="280" w:lineRule="exact"/>
                    <w:rPr>
                      <w:rFonts w:hint="eastAsia" w:ascii="宋体" w:hAnsi="宋体" w:cs="宋体"/>
                      <w:color w:val="auto"/>
                      <w:szCs w:val="21"/>
                      <w:highlight w:val="none"/>
                    </w:rPr>
                  </w:pPr>
                </w:p>
              </w:tc>
              <w:tc>
                <w:tcPr>
                  <w:tcW w:w="1605" w:type="dxa"/>
                  <w:noWrap w:val="0"/>
                  <w:vAlign w:val="top"/>
                </w:tcPr>
                <w:p w14:paraId="64684EB2">
                  <w:pPr>
                    <w:pStyle w:val="293"/>
                    <w:spacing w:line="280" w:lineRule="exact"/>
                    <w:rPr>
                      <w:rFonts w:hint="eastAsia" w:ascii="宋体" w:hAnsi="宋体" w:cs="宋体"/>
                      <w:color w:val="auto"/>
                      <w:szCs w:val="21"/>
                      <w:highlight w:val="none"/>
                    </w:rPr>
                  </w:pPr>
                </w:p>
              </w:tc>
              <w:tc>
                <w:tcPr>
                  <w:tcW w:w="1627" w:type="dxa"/>
                  <w:noWrap w:val="0"/>
                  <w:vAlign w:val="top"/>
                </w:tcPr>
                <w:p w14:paraId="2727DB07">
                  <w:pPr>
                    <w:pStyle w:val="293"/>
                    <w:spacing w:line="280" w:lineRule="exact"/>
                    <w:rPr>
                      <w:rFonts w:hint="eastAsia" w:ascii="宋体" w:hAnsi="宋体" w:cs="宋体"/>
                      <w:color w:val="auto"/>
                      <w:szCs w:val="21"/>
                      <w:highlight w:val="none"/>
                    </w:rPr>
                  </w:pPr>
                </w:p>
              </w:tc>
            </w:tr>
            <w:tr w14:paraId="5392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0A31B3DF">
                  <w:pPr>
                    <w:pStyle w:val="293"/>
                    <w:spacing w:line="280" w:lineRule="exact"/>
                    <w:jc w:val="center"/>
                    <w:rPr>
                      <w:rFonts w:hint="eastAsia" w:ascii="宋体" w:hAnsi="宋体" w:cs="宋体"/>
                      <w:color w:val="auto"/>
                      <w:szCs w:val="21"/>
                      <w:highlight w:val="none"/>
                    </w:rPr>
                  </w:pPr>
                </w:p>
              </w:tc>
              <w:tc>
                <w:tcPr>
                  <w:tcW w:w="3364" w:type="dxa"/>
                  <w:noWrap w:val="0"/>
                  <w:vAlign w:val="top"/>
                </w:tcPr>
                <w:p w14:paraId="4AE64783">
                  <w:pPr>
                    <w:pStyle w:val="293"/>
                    <w:spacing w:line="280" w:lineRule="exact"/>
                    <w:rPr>
                      <w:rFonts w:hint="eastAsia" w:ascii="宋体" w:hAnsi="宋体" w:cs="宋体"/>
                      <w:color w:val="auto"/>
                      <w:szCs w:val="21"/>
                      <w:highlight w:val="none"/>
                    </w:rPr>
                  </w:pPr>
                </w:p>
              </w:tc>
              <w:tc>
                <w:tcPr>
                  <w:tcW w:w="1605" w:type="dxa"/>
                  <w:noWrap w:val="0"/>
                  <w:vAlign w:val="top"/>
                </w:tcPr>
                <w:p w14:paraId="19C33A85">
                  <w:pPr>
                    <w:pStyle w:val="293"/>
                    <w:spacing w:line="280" w:lineRule="exact"/>
                    <w:rPr>
                      <w:rFonts w:hint="eastAsia" w:ascii="宋体" w:hAnsi="宋体" w:cs="宋体"/>
                      <w:color w:val="auto"/>
                      <w:szCs w:val="21"/>
                      <w:highlight w:val="none"/>
                    </w:rPr>
                  </w:pPr>
                </w:p>
              </w:tc>
              <w:tc>
                <w:tcPr>
                  <w:tcW w:w="1605" w:type="dxa"/>
                  <w:noWrap w:val="0"/>
                  <w:vAlign w:val="top"/>
                </w:tcPr>
                <w:p w14:paraId="491B1FAB">
                  <w:pPr>
                    <w:pStyle w:val="293"/>
                    <w:spacing w:line="280" w:lineRule="exact"/>
                    <w:rPr>
                      <w:rFonts w:hint="eastAsia" w:ascii="宋体" w:hAnsi="宋体" w:cs="宋体"/>
                      <w:color w:val="auto"/>
                      <w:szCs w:val="21"/>
                      <w:highlight w:val="none"/>
                    </w:rPr>
                  </w:pPr>
                </w:p>
              </w:tc>
              <w:tc>
                <w:tcPr>
                  <w:tcW w:w="1627" w:type="dxa"/>
                  <w:noWrap w:val="0"/>
                  <w:vAlign w:val="top"/>
                </w:tcPr>
                <w:p w14:paraId="5AA2F527">
                  <w:pPr>
                    <w:pStyle w:val="293"/>
                    <w:spacing w:line="280" w:lineRule="exact"/>
                    <w:rPr>
                      <w:rFonts w:hint="eastAsia" w:ascii="宋体" w:hAnsi="宋体" w:cs="宋体"/>
                      <w:color w:val="auto"/>
                      <w:szCs w:val="21"/>
                      <w:highlight w:val="none"/>
                    </w:rPr>
                  </w:pPr>
                </w:p>
              </w:tc>
            </w:tr>
            <w:tr w14:paraId="4C7C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2B919419">
                  <w:pPr>
                    <w:pStyle w:val="293"/>
                    <w:spacing w:line="280" w:lineRule="exact"/>
                    <w:jc w:val="center"/>
                    <w:rPr>
                      <w:rFonts w:hint="eastAsia" w:ascii="宋体" w:hAnsi="宋体" w:cs="宋体"/>
                      <w:color w:val="auto"/>
                      <w:szCs w:val="21"/>
                      <w:highlight w:val="none"/>
                    </w:rPr>
                  </w:pPr>
                </w:p>
              </w:tc>
              <w:tc>
                <w:tcPr>
                  <w:tcW w:w="3364" w:type="dxa"/>
                  <w:noWrap w:val="0"/>
                  <w:vAlign w:val="top"/>
                </w:tcPr>
                <w:p w14:paraId="3727D617">
                  <w:pPr>
                    <w:pStyle w:val="293"/>
                    <w:spacing w:line="280" w:lineRule="exact"/>
                    <w:rPr>
                      <w:rFonts w:hint="eastAsia" w:ascii="宋体" w:hAnsi="宋体" w:cs="宋体"/>
                      <w:color w:val="auto"/>
                      <w:szCs w:val="21"/>
                      <w:highlight w:val="none"/>
                    </w:rPr>
                  </w:pPr>
                </w:p>
              </w:tc>
              <w:tc>
                <w:tcPr>
                  <w:tcW w:w="1605" w:type="dxa"/>
                  <w:noWrap w:val="0"/>
                  <w:vAlign w:val="top"/>
                </w:tcPr>
                <w:p w14:paraId="641C9715">
                  <w:pPr>
                    <w:pStyle w:val="293"/>
                    <w:spacing w:line="280" w:lineRule="exact"/>
                    <w:rPr>
                      <w:rFonts w:hint="eastAsia" w:ascii="宋体" w:hAnsi="宋体" w:cs="宋体"/>
                      <w:color w:val="auto"/>
                      <w:szCs w:val="21"/>
                      <w:highlight w:val="none"/>
                    </w:rPr>
                  </w:pPr>
                </w:p>
              </w:tc>
              <w:tc>
                <w:tcPr>
                  <w:tcW w:w="1605" w:type="dxa"/>
                  <w:noWrap w:val="0"/>
                  <w:vAlign w:val="top"/>
                </w:tcPr>
                <w:p w14:paraId="0BC6B29C">
                  <w:pPr>
                    <w:pStyle w:val="293"/>
                    <w:spacing w:line="280" w:lineRule="exact"/>
                    <w:rPr>
                      <w:rFonts w:hint="eastAsia" w:ascii="宋体" w:hAnsi="宋体" w:cs="宋体"/>
                      <w:color w:val="auto"/>
                      <w:szCs w:val="21"/>
                      <w:highlight w:val="none"/>
                    </w:rPr>
                  </w:pPr>
                </w:p>
              </w:tc>
              <w:tc>
                <w:tcPr>
                  <w:tcW w:w="1627" w:type="dxa"/>
                  <w:noWrap w:val="0"/>
                  <w:vAlign w:val="top"/>
                </w:tcPr>
                <w:p w14:paraId="3A61A020">
                  <w:pPr>
                    <w:pStyle w:val="293"/>
                    <w:spacing w:line="280" w:lineRule="exact"/>
                    <w:rPr>
                      <w:rFonts w:hint="eastAsia" w:ascii="宋体" w:hAnsi="宋体" w:cs="宋体"/>
                      <w:color w:val="auto"/>
                      <w:szCs w:val="21"/>
                      <w:highlight w:val="none"/>
                    </w:rPr>
                  </w:pPr>
                </w:p>
              </w:tc>
            </w:tr>
            <w:tr w14:paraId="11AD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4FC72F76">
                  <w:pPr>
                    <w:pStyle w:val="293"/>
                    <w:spacing w:line="280" w:lineRule="exact"/>
                    <w:jc w:val="center"/>
                    <w:rPr>
                      <w:rFonts w:hint="eastAsia" w:ascii="宋体" w:hAnsi="宋体" w:cs="宋体"/>
                      <w:color w:val="auto"/>
                      <w:szCs w:val="21"/>
                      <w:highlight w:val="none"/>
                    </w:rPr>
                  </w:pPr>
                </w:p>
              </w:tc>
              <w:tc>
                <w:tcPr>
                  <w:tcW w:w="3364" w:type="dxa"/>
                  <w:noWrap w:val="0"/>
                  <w:vAlign w:val="top"/>
                </w:tcPr>
                <w:p w14:paraId="0651BEBD">
                  <w:pPr>
                    <w:pStyle w:val="293"/>
                    <w:spacing w:line="280" w:lineRule="exact"/>
                    <w:rPr>
                      <w:rFonts w:hint="eastAsia" w:ascii="宋体" w:hAnsi="宋体" w:cs="宋体"/>
                      <w:color w:val="auto"/>
                      <w:szCs w:val="21"/>
                      <w:highlight w:val="none"/>
                    </w:rPr>
                  </w:pPr>
                </w:p>
              </w:tc>
              <w:tc>
                <w:tcPr>
                  <w:tcW w:w="1605" w:type="dxa"/>
                  <w:noWrap w:val="0"/>
                  <w:vAlign w:val="top"/>
                </w:tcPr>
                <w:p w14:paraId="1C0496CE">
                  <w:pPr>
                    <w:pStyle w:val="293"/>
                    <w:spacing w:line="280" w:lineRule="exact"/>
                    <w:rPr>
                      <w:rFonts w:hint="eastAsia" w:ascii="宋体" w:hAnsi="宋体" w:cs="宋体"/>
                      <w:color w:val="auto"/>
                      <w:szCs w:val="21"/>
                      <w:highlight w:val="none"/>
                    </w:rPr>
                  </w:pPr>
                </w:p>
              </w:tc>
              <w:tc>
                <w:tcPr>
                  <w:tcW w:w="1605" w:type="dxa"/>
                  <w:noWrap w:val="0"/>
                  <w:vAlign w:val="top"/>
                </w:tcPr>
                <w:p w14:paraId="1572DE3D">
                  <w:pPr>
                    <w:pStyle w:val="293"/>
                    <w:spacing w:line="280" w:lineRule="exact"/>
                    <w:rPr>
                      <w:rFonts w:hint="eastAsia" w:ascii="宋体" w:hAnsi="宋体" w:cs="宋体"/>
                      <w:color w:val="auto"/>
                      <w:szCs w:val="21"/>
                      <w:highlight w:val="none"/>
                    </w:rPr>
                  </w:pPr>
                </w:p>
              </w:tc>
              <w:tc>
                <w:tcPr>
                  <w:tcW w:w="1627" w:type="dxa"/>
                  <w:noWrap w:val="0"/>
                  <w:vAlign w:val="top"/>
                </w:tcPr>
                <w:p w14:paraId="7B3309A4">
                  <w:pPr>
                    <w:pStyle w:val="293"/>
                    <w:spacing w:line="280" w:lineRule="exact"/>
                    <w:rPr>
                      <w:rFonts w:hint="eastAsia" w:ascii="宋体" w:hAnsi="宋体" w:cs="宋体"/>
                      <w:color w:val="auto"/>
                      <w:szCs w:val="21"/>
                      <w:highlight w:val="none"/>
                    </w:rPr>
                  </w:pPr>
                </w:p>
              </w:tc>
            </w:tr>
          </w:tbl>
          <w:p w14:paraId="666F06CD">
            <w:pPr>
              <w:pStyle w:val="293"/>
              <w:spacing w:line="400" w:lineRule="exact"/>
              <w:ind w:right="420" w:firstLine="435"/>
              <w:jc w:val="center"/>
              <w:rPr>
                <w:rFonts w:hint="eastAsia" w:ascii="宋体" w:hAnsi="宋体" w:cs="宋体"/>
                <w:color w:val="auto"/>
                <w:szCs w:val="21"/>
                <w:highlight w:val="none"/>
              </w:rPr>
            </w:pPr>
            <w:r>
              <w:rPr>
                <w:rFonts w:hint="eastAsia" w:ascii="宋体" w:hAnsi="宋体" w:cs="宋体"/>
                <w:color w:val="auto"/>
                <w:szCs w:val="21"/>
                <w:highlight w:val="none"/>
              </w:rPr>
              <w:t xml:space="preserve">                                            承包人（章）             </w:t>
            </w:r>
          </w:p>
          <w:p w14:paraId="792173E4">
            <w:pPr>
              <w:pStyle w:val="293"/>
              <w:spacing w:line="400" w:lineRule="exact"/>
              <w:ind w:right="420" w:firstLine="435"/>
              <w:rPr>
                <w:rFonts w:hint="eastAsia" w:ascii="宋体" w:hAnsi="宋体" w:cs="宋体"/>
                <w:color w:val="auto"/>
                <w:szCs w:val="21"/>
                <w:highlight w:val="none"/>
              </w:rPr>
            </w:pPr>
            <w:r>
              <w:rPr>
                <w:rFonts w:hint="eastAsia" w:ascii="宋体" w:hAnsi="宋体" w:cs="宋体"/>
                <w:color w:val="auto"/>
                <w:szCs w:val="21"/>
                <w:highlight w:val="none"/>
              </w:rPr>
              <w:t>造价人员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r w14:paraId="51B9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40" w:type="dxa"/>
            <w:noWrap w:val="0"/>
            <w:vAlign w:val="top"/>
          </w:tcPr>
          <w:p w14:paraId="119646C2">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0607F7B0">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□与实际施工情况不相符，修改意见见附件。</w:t>
            </w:r>
          </w:p>
          <w:p w14:paraId="0A8B9F7E">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□与实际施工情况相符，具体金额由造价工程师复核。</w:t>
            </w:r>
          </w:p>
          <w:p w14:paraId="2CF83D3E">
            <w:pPr>
              <w:pStyle w:val="293"/>
              <w:spacing w:line="360" w:lineRule="exact"/>
              <w:rPr>
                <w:rFonts w:hint="eastAsia" w:ascii="宋体" w:hAnsi="宋体" w:cs="宋体"/>
                <w:color w:val="auto"/>
                <w:szCs w:val="21"/>
                <w:highlight w:val="none"/>
              </w:rPr>
            </w:pPr>
          </w:p>
          <w:p w14:paraId="088E1D5F">
            <w:pPr>
              <w:pStyle w:val="293"/>
              <w:spacing w:line="360" w:lineRule="exact"/>
              <w:ind w:firstLine="435"/>
              <w:jc w:val="center"/>
              <w:rPr>
                <w:rFonts w:hint="eastAsia" w:ascii="宋体" w:hAnsi="宋体" w:cs="宋体"/>
                <w:color w:val="auto"/>
                <w:szCs w:val="21"/>
                <w:highlight w:val="none"/>
              </w:rPr>
            </w:pPr>
          </w:p>
          <w:p w14:paraId="5BB842CD">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6C2D7FF">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监理工程师</w:t>
            </w:r>
            <w:r>
              <w:rPr>
                <w:rFonts w:hint="eastAsia" w:ascii="宋体" w:hAnsi="宋体" w:cs="宋体"/>
                <w:color w:val="auto"/>
                <w:szCs w:val="21"/>
                <w:highlight w:val="none"/>
                <w:u w:val="single"/>
              </w:rPr>
              <w:t xml:space="preserve">           </w:t>
            </w:r>
          </w:p>
          <w:p w14:paraId="25C69750">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c>
          <w:tcPr>
            <w:tcW w:w="4532" w:type="dxa"/>
            <w:noWrap w:val="0"/>
            <w:vAlign w:val="top"/>
          </w:tcPr>
          <w:p w14:paraId="57EBBAC8">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3FDCBB3F">
            <w:pPr>
              <w:pStyle w:val="293"/>
              <w:spacing w:line="360" w:lineRule="exact"/>
              <w:ind w:firstLine="435"/>
              <w:rPr>
                <w:rFonts w:hint="eastAsia" w:ascii="宋体" w:hAnsi="宋体" w:cs="宋体"/>
                <w:color w:val="auto"/>
                <w:szCs w:val="21"/>
                <w:highlight w:val="none"/>
                <w:u w:val="single"/>
              </w:rPr>
            </w:pPr>
            <w:r>
              <w:rPr>
                <w:rFonts w:hint="eastAsia" w:ascii="宋体" w:hAnsi="宋体" w:cs="宋体"/>
                <w:color w:val="auto"/>
                <w:szCs w:val="21"/>
                <w:highlight w:val="none"/>
              </w:rPr>
              <w:t>你方提出的支付申请经复核，最终应支付金额为（大写）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元，（小写）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27D0FEE4">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72B32EC">
            <w:pPr>
              <w:pStyle w:val="293"/>
              <w:spacing w:line="360" w:lineRule="exact"/>
              <w:ind w:firstLine="435"/>
              <w:jc w:val="center"/>
              <w:rPr>
                <w:rFonts w:hint="eastAsia" w:ascii="宋体" w:hAnsi="宋体" w:cs="宋体"/>
                <w:color w:val="auto"/>
                <w:szCs w:val="21"/>
                <w:highlight w:val="none"/>
              </w:rPr>
            </w:pPr>
          </w:p>
          <w:p w14:paraId="0292EC7A">
            <w:pPr>
              <w:pStyle w:val="293"/>
              <w:spacing w:line="360" w:lineRule="exact"/>
              <w:ind w:firstLine="435"/>
              <w:jc w:val="center"/>
              <w:rPr>
                <w:rFonts w:hint="eastAsia" w:ascii="宋体" w:hAnsi="宋体" w:cs="宋体"/>
                <w:color w:val="auto"/>
                <w:szCs w:val="21"/>
                <w:highlight w:val="none"/>
              </w:rPr>
            </w:pPr>
          </w:p>
          <w:p w14:paraId="0C5B045C">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造价工程师</w:t>
            </w:r>
            <w:r>
              <w:rPr>
                <w:rFonts w:hint="eastAsia" w:ascii="宋体" w:hAnsi="宋体" w:cs="宋体"/>
                <w:color w:val="auto"/>
                <w:szCs w:val="21"/>
                <w:highlight w:val="none"/>
                <w:u w:val="single"/>
              </w:rPr>
              <w:t xml:space="preserve">           </w:t>
            </w:r>
          </w:p>
          <w:p w14:paraId="0E4F3164">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r>
      <w:tr w14:paraId="1547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78F8DF1F">
            <w:pPr>
              <w:pStyle w:val="293"/>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审核意见：</w:t>
            </w:r>
          </w:p>
          <w:p w14:paraId="7EA47A15">
            <w:pPr>
              <w:pStyle w:val="293"/>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□不同意。</w:t>
            </w:r>
          </w:p>
          <w:p w14:paraId="693F9467">
            <w:pPr>
              <w:pStyle w:val="293"/>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□同意，支付时间为本表签发后的15天内。</w:t>
            </w:r>
          </w:p>
          <w:p w14:paraId="22AB0498">
            <w:pPr>
              <w:pStyle w:val="293"/>
              <w:wordWrap w:val="0"/>
              <w:spacing w:line="40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发包人（章）           </w:t>
            </w:r>
          </w:p>
          <w:p w14:paraId="204BF7AE">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发包人代表</w:t>
            </w:r>
            <w:r>
              <w:rPr>
                <w:rFonts w:hint="eastAsia" w:ascii="宋体" w:hAnsi="宋体" w:cs="宋体"/>
                <w:color w:val="auto"/>
                <w:szCs w:val="21"/>
                <w:highlight w:val="none"/>
                <w:u w:val="single"/>
              </w:rPr>
              <w:t xml:space="preserve">             </w:t>
            </w:r>
          </w:p>
          <w:p w14:paraId="1CC91E51">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bl>
    <w:p w14:paraId="06DA1F2A">
      <w:pPr>
        <w:pStyle w:val="293"/>
        <w:spacing w:before="156" w:beforeLines="5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注：1.在选择栏中的“□”内作标识“√”。 如监理人已退场，监理工程师栏可空缺。</w:t>
      </w:r>
    </w:p>
    <w:p w14:paraId="0E430FF1">
      <w:pPr>
        <w:pStyle w:val="293"/>
        <w:spacing w:before="156" w:beforeLines="50"/>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 xml:space="preserve">        2.本表一式四份，由承包人填报，发包人、监理人、造价咨询人、承包人各存一份。</w:t>
      </w:r>
    </w:p>
    <w:p w14:paraId="48BB70A9">
      <w:pPr>
        <w:pStyle w:val="293"/>
        <w:spacing w:line="360" w:lineRule="auto"/>
        <w:jc w:val="left"/>
        <w:rPr>
          <w:rFonts w:hint="eastAsia" w:ascii="宋体" w:hAnsi="宋体" w:cs="宋体"/>
          <w:color w:val="auto"/>
          <w:szCs w:val="21"/>
          <w:highlight w:val="none"/>
        </w:rPr>
      </w:pPr>
    </w:p>
    <w:p w14:paraId="1937E7BD">
      <w:pPr>
        <w:pStyle w:val="293"/>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附件14：</w:t>
      </w:r>
    </w:p>
    <w:p w14:paraId="78BB1CB6">
      <w:pPr>
        <w:pStyle w:val="293"/>
        <w:spacing w:line="360" w:lineRule="auto"/>
        <w:ind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总价合同进度款支付分解表</w:t>
      </w:r>
    </w:p>
    <w:p w14:paraId="75B8A47D">
      <w:pPr>
        <w:pStyle w:val="293"/>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6506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14E43AC6">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进度款期次</w:t>
            </w:r>
          </w:p>
        </w:tc>
        <w:tc>
          <w:tcPr>
            <w:tcW w:w="3794" w:type="dxa"/>
            <w:gridSpan w:val="2"/>
            <w:noWrap w:val="0"/>
            <w:vAlign w:val="top"/>
          </w:tcPr>
          <w:p w14:paraId="513C04E2">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形象进度</w:t>
            </w:r>
          </w:p>
        </w:tc>
        <w:tc>
          <w:tcPr>
            <w:tcW w:w="2268" w:type="dxa"/>
            <w:noWrap w:val="0"/>
            <w:vAlign w:val="top"/>
          </w:tcPr>
          <w:p w14:paraId="108E35FA">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进度款付款金额（元）</w:t>
            </w:r>
          </w:p>
        </w:tc>
        <w:tc>
          <w:tcPr>
            <w:tcW w:w="1276" w:type="dxa"/>
            <w:noWrap w:val="0"/>
            <w:vAlign w:val="top"/>
          </w:tcPr>
          <w:p w14:paraId="0C0A0B7E">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34E0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27AEB3F">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第一期</w:t>
            </w:r>
          </w:p>
        </w:tc>
        <w:tc>
          <w:tcPr>
            <w:tcW w:w="3794" w:type="dxa"/>
            <w:gridSpan w:val="2"/>
            <w:noWrap w:val="0"/>
            <w:vAlign w:val="top"/>
          </w:tcPr>
          <w:p w14:paraId="7A1606FC">
            <w:pPr>
              <w:pStyle w:val="293"/>
              <w:spacing w:line="360" w:lineRule="auto"/>
              <w:jc w:val="center"/>
              <w:rPr>
                <w:rFonts w:hint="eastAsia" w:ascii="宋体" w:hAnsi="宋体" w:cs="宋体"/>
                <w:color w:val="auto"/>
                <w:kern w:val="0"/>
                <w:szCs w:val="21"/>
                <w:highlight w:val="none"/>
              </w:rPr>
            </w:pPr>
          </w:p>
        </w:tc>
        <w:tc>
          <w:tcPr>
            <w:tcW w:w="2268" w:type="dxa"/>
            <w:noWrap w:val="0"/>
            <w:vAlign w:val="top"/>
          </w:tcPr>
          <w:p w14:paraId="272FA1A1">
            <w:pPr>
              <w:pStyle w:val="293"/>
              <w:spacing w:line="360" w:lineRule="auto"/>
              <w:jc w:val="center"/>
              <w:rPr>
                <w:rFonts w:hint="eastAsia" w:ascii="宋体" w:hAnsi="宋体" w:cs="宋体"/>
                <w:color w:val="auto"/>
                <w:kern w:val="0"/>
                <w:szCs w:val="21"/>
                <w:highlight w:val="none"/>
              </w:rPr>
            </w:pPr>
          </w:p>
        </w:tc>
        <w:tc>
          <w:tcPr>
            <w:tcW w:w="1276" w:type="dxa"/>
            <w:noWrap w:val="0"/>
            <w:vAlign w:val="top"/>
          </w:tcPr>
          <w:p w14:paraId="7E4DDD05">
            <w:pPr>
              <w:pStyle w:val="293"/>
              <w:spacing w:line="360" w:lineRule="auto"/>
              <w:jc w:val="center"/>
              <w:rPr>
                <w:rFonts w:hint="eastAsia" w:ascii="宋体" w:hAnsi="宋体" w:cs="宋体"/>
                <w:color w:val="auto"/>
                <w:kern w:val="0"/>
                <w:szCs w:val="21"/>
                <w:highlight w:val="none"/>
              </w:rPr>
            </w:pPr>
          </w:p>
        </w:tc>
      </w:tr>
      <w:tr w14:paraId="1739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83859BF">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第二期</w:t>
            </w:r>
          </w:p>
        </w:tc>
        <w:tc>
          <w:tcPr>
            <w:tcW w:w="3794" w:type="dxa"/>
            <w:gridSpan w:val="2"/>
            <w:noWrap w:val="0"/>
            <w:vAlign w:val="top"/>
          </w:tcPr>
          <w:p w14:paraId="056AD041">
            <w:pPr>
              <w:pStyle w:val="293"/>
              <w:spacing w:line="360" w:lineRule="auto"/>
              <w:jc w:val="center"/>
              <w:rPr>
                <w:rFonts w:hint="eastAsia" w:ascii="宋体" w:hAnsi="宋体" w:cs="宋体"/>
                <w:color w:val="auto"/>
                <w:kern w:val="0"/>
                <w:szCs w:val="21"/>
                <w:highlight w:val="none"/>
              </w:rPr>
            </w:pPr>
          </w:p>
        </w:tc>
        <w:tc>
          <w:tcPr>
            <w:tcW w:w="2268" w:type="dxa"/>
            <w:noWrap w:val="0"/>
            <w:vAlign w:val="top"/>
          </w:tcPr>
          <w:p w14:paraId="38033AD0">
            <w:pPr>
              <w:pStyle w:val="293"/>
              <w:spacing w:line="360" w:lineRule="auto"/>
              <w:jc w:val="center"/>
              <w:rPr>
                <w:rFonts w:hint="eastAsia" w:ascii="宋体" w:hAnsi="宋体" w:cs="宋体"/>
                <w:color w:val="auto"/>
                <w:kern w:val="0"/>
                <w:szCs w:val="21"/>
                <w:highlight w:val="none"/>
              </w:rPr>
            </w:pPr>
          </w:p>
        </w:tc>
        <w:tc>
          <w:tcPr>
            <w:tcW w:w="1276" w:type="dxa"/>
            <w:noWrap w:val="0"/>
            <w:vAlign w:val="top"/>
          </w:tcPr>
          <w:p w14:paraId="1E4B9B0B">
            <w:pPr>
              <w:pStyle w:val="293"/>
              <w:spacing w:line="360" w:lineRule="auto"/>
              <w:jc w:val="center"/>
              <w:rPr>
                <w:rFonts w:hint="eastAsia" w:ascii="宋体" w:hAnsi="宋体" w:cs="宋体"/>
                <w:color w:val="auto"/>
                <w:kern w:val="0"/>
                <w:szCs w:val="21"/>
                <w:highlight w:val="none"/>
              </w:rPr>
            </w:pPr>
          </w:p>
        </w:tc>
      </w:tr>
      <w:tr w14:paraId="668C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462CC92">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第三期</w:t>
            </w:r>
          </w:p>
        </w:tc>
        <w:tc>
          <w:tcPr>
            <w:tcW w:w="3794" w:type="dxa"/>
            <w:gridSpan w:val="2"/>
            <w:noWrap w:val="0"/>
            <w:vAlign w:val="top"/>
          </w:tcPr>
          <w:p w14:paraId="1F662E6A">
            <w:pPr>
              <w:pStyle w:val="293"/>
              <w:spacing w:line="360" w:lineRule="auto"/>
              <w:jc w:val="center"/>
              <w:rPr>
                <w:rFonts w:hint="eastAsia" w:ascii="宋体" w:hAnsi="宋体" w:cs="宋体"/>
                <w:color w:val="auto"/>
                <w:kern w:val="0"/>
                <w:szCs w:val="21"/>
                <w:highlight w:val="none"/>
              </w:rPr>
            </w:pPr>
          </w:p>
        </w:tc>
        <w:tc>
          <w:tcPr>
            <w:tcW w:w="2268" w:type="dxa"/>
            <w:noWrap w:val="0"/>
            <w:vAlign w:val="top"/>
          </w:tcPr>
          <w:p w14:paraId="5109441D">
            <w:pPr>
              <w:pStyle w:val="293"/>
              <w:spacing w:line="360" w:lineRule="auto"/>
              <w:jc w:val="center"/>
              <w:rPr>
                <w:rFonts w:hint="eastAsia" w:ascii="宋体" w:hAnsi="宋体" w:cs="宋体"/>
                <w:color w:val="auto"/>
                <w:kern w:val="0"/>
                <w:szCs w:val="21"/>
                <w:highlight w:val="none"/>
              </w:rPr>
            </w:pPr>
          </w:p>
        </w:tc>
        <w:tc>
          <w:tcPr>
            <w:tcW w:w="1276" w:type="dxa"/>
            <w:noWrap w:val="0"/>
            <w:vAlign w:val="top"/>
          </w:tcPr>
          <w:p w14:paraId="56584193">
            <w:pPr>
              <w:pStyle w:val="293"/>
              <w:spacing w:line="360" w:lineRule="auto"/>
              <w:jc w:val="center"/>
              <w:rPr>
                <w:rFonts w:hint="eastAsia" w:ascii="宋体" w:hAnsi="宋体" w:cs="宋体"/>
                <w:color w:val="auto"/>
                <w:kern w:val="0"/>
                <w:szCs w:val="21"/>
                <w:highlight w:val="none"/>
              </w:rPr>
            </w:pPr>
          </w:p>
        </w:tc>
      </w:tr>
      <w:tr w14:paraId="5257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1699C2B">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3794" w:type="dxa"/>
            <w:gridSpan w:val="2"/>
            <w:noWrap w:val="0"/>
            <w:vAlign w:val="top"/>
          </w:tcPr>
          <w:p w14:paraId="1839FE8D">
            <w:pPr>
              <w:pStyle w:val="293"/>
              <w:spacing w:line="360" w:lineRule="auto"/>
              <w:jc w:val="center"/>
              <w:rPr>
                <w:rFonts w:hint="eastAsia" w:ascii="宋体" w:hAnsi="宋体" w:cs="宋体"/>
                <w:color w:val="auto"/>
                <w:kern w:val="0"/>
                <w:szCs w:val="21"/>
                <w:highlight w:val="none"/>
              </w:rPr>
            </w:pPr>
          </w:p>
        </w:tc>
        <w:tc>
          <w:tcPr>
            <w:tcW w:w="2268" w:type="dxa"/>
            <w:noWrap w:val="0"/>
            <w:vAlign w:val="top"/>
          </w:tcPr>
          <w:p w14:paraId="64024F89">
            <w:pPr>
              <w:pStyle w:val="293"/>
              <w:spacing w:line="360" w:lineRule="auto"/>
              <w:jc w:val="center"/>
              <w:rPr>
                <w:rFonts w:hint="eastAsia" w:ascii="宋体" w:hAnsi="宋体" w:cs="宋体"/>
                <w:color w:val="auto"/>
                <w:kern w:val="0"/>
                <w:szCs w:val="21"/>
                <w:highlight w:val="none"/>
              </w:rPr>
            </w:pPr>
          </w:p>
        </w:tc>
        <w:tc>
          <w:tcPr>
            <w:tcW w:w="1276" w:type="dxa"/>
            <w:noWrap w:val="0"/>
            <w:vAlign w:val="top"/>
          </w:tcPr>
          <w:p w14:paraId="22264243">
            <w:pPr>
              <w:pStyle w:val="293"/>
              <w:spacing w:line="360" w:lineRule="auto"/>
              <w:jc w:val="center"/>
              <w:rPr>
                <w:rFonts w:hint="eastAsia" w:ascii="宋体" w:hAnsi="宋体" w:cs="宋体"/>
                <w:color w:val="auto"/>
                <w:kern w:val="0"/>
                <w:szCs w:val="21"/>
                <w:highlight w:val="none"/>
              </w:rPr>
            </w:pPr>
          </w:p>
        </w:tc>
      </w:tr>
      <w:tr w14:paraId="1E73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noWrap w:val="0"/>
            <w:vAlign w:val="top"/>
          </w:tcPr>
          <w:p w14:paraId="40E42D2F">
            <w:pPr>
              <w:pStyle w:val="293"/>
              <w:spacing w:line="360" w:lineRule="exact"/>
              <w:ind w:firstLine="435"/>
              <w:jc w:val="right"/>
              <w:rPr>
                <w:rFonts w:hint="eastAsia" w:ascii="宋体" w:hAnsi="宋体" w:cs="宋体"/>
                <w:color w:val="auto"/>
                <w:szCs w:val="21"/>
                <w:highlight w:val="none"/>
              </w:rPr>
            </w:pPr>
          </w:p>
          <w:p w14:paraId="1576E4CF">
            <w:pPr>
              <w:pStyle w:val="293"/>
              <w:spacing w:line="360" w:lineRule="exact"/>
              <w:ind w:firstLine="435"/>
              <w:jc w:val="center"/>
              <w:rPr>
                <w:rFonts w:hint="eastAsia" w:ascii="宋体" w:hAnsi="宋体" w:cs="宋体"/>
                <w:color w:val="auto"/>
                <w:szCs w:val="21"/>
                <w:highlight w:val="none"/>
              </w:rPr>
            </w:pPr>
          </w:p>
          <w:p w14:paraId="10699982">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发包人代表签字：</w:t>
            </w:r>
          </w:p>
          <w:p w14:paraId="090E3DC3">
            <w:pPr>
              <w:pStyle w:val="293"/>
              <w:spacing w:line="360" w:lineRule="exact"/>
              <w:ind w:firstLine="435"/>
              <w:jc w:val="center"/>
              <w:rPr>
                <w:rFonts w:hint="eastAsia" w:ascii="宋体" w:hAnsi="宋体" w:cs="宋体"/>
                <w:color w:val="auto"/>
                <w:szCs w:val="21"/>
                <w:highlight w:val="none"/>
              </w:rPr>
            </w:pPr>
          </w:p>
          <w:p w14:paraId="1836004E">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发包人（盖公章）</w:t>
            </w:r>
          </w:p>
          <w:p w14:paraId="50D952B5">
            <w:pPr>
              <w:pStyle w:val="293"/>
              <w:spacing w:line="360" w:lineRule="exact"/>
              <w:ind w:firstLine="435"/>
              <w:jc w:val="center"/>
              <w:rPr>
                <w:rFonts w:hint="eastAsia" w:ascii="宋体" w:hAnsi="宋体" w:cs="宋体"/>
                <w:color w:val="auto"/>
                <w:szCs w:val="21"/>
                <w:highlight w:val="none"/>
              </w:rPr>
            </w:pPr>
          </w:p>
          <w:p w14:paraId="1386FF5A">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tc>
        <w:tc>
          <w:tcPr>
            <w:tcW w:w="4219" w:type="dxa"/>
            <w:gridSpan w:val="3"/>
            <w:noWrap w:val="0"/>
            <w:vAlign w:val="top"/>
          </w:tcPr>
          <w:p w14:paraId="0F908C5E">
            <w:pPr>
              <w:pStyle w:val="293"/>
              <w:spacing w:line="360" w:lineRule="exact"/>
              <w:ind w:firstLine="435"/>
              <w:jc w:val="center"/>
              <w:rPr>
                <w:rFonts w:hint="eastAsia" w:ascii="宋体" w:hAnsi="宋体" w:cs="宋体"/>
                <w:color w:val="auto"/>
                <w:szCs w:val="21"/>
                <w:highlight w:val="none"/>
              </w:rPr>
            </w:pPr>
          </w:p>
          <w:p w14:paraId="25A5B298">
            <w:pPr>
              <w:pStyle w:val="293"/>
              <w:spacing w:line="360" w:lineRule="exact"/>
              <w:ind w:firstLine="435"/>
              <w:jc w:val="center"/>
              <w:rPr>
                <w:rFonts w:hint="eastAsia" w:ascii="宋体" w:hAnsi="宋体" w:cs="宋体"/>
                <w:color w:val="auto"/>
                <w:szCs w:val="21"/>
                <w:highlight w:val="none"/>
                <w:u w:val="single"/>
              </w:rPr>
            </w:pPr>
          </w:p>
          <w:p w14:paraId="5229564B">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承包人代表签字：</w:t>
            </w:r>
          </w:p>
          <w:p w14:paraId="07AC84A1">
            <w:pPr>
              <w:pStyle w:val="293"/>
              <w:spacing w:line="360" w:lineRule="exact"/>
              <w:ind w:firstLine="435"/>
              <w:jc w:val="center"/>
              <w:rPr>
                <w:rFonts w:hint="eastAsia" w:ascii="宋体" w:hAnsi="宋体" w:cs="宋体"/>
                <w:color w:val="auto"/>
                <w:szCs w:val="21"/>
                <w:highlight w:val="none"/>
              </w:rPr>
            </w:pPr>
          </w:p>
          <w:p w14:paraId="262F318D">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承包人（盖公章）</w:t>
            </w:r>
          </w:p>
          <w:p w14:paraId="73527BD1">
            <w:pPr>
              <w:pStyle w:val="293"/>
              <w:spacing w:line="360" w:lineRule="exact"/>
              <w:ind w:firstLine="435"/>
              <w:jc w:val="center"/>
              <w:rPr>
                <w:rFonts w:hint="eastAsia" w:ascii="宋体" w:hAnsi="宋体" w:cs="宋体"/>
                <w:color w:val="auto"/>
                <w:szCs w:val="21"/>
                <w:highlight w:val="none"/>
              </w:rPr>
            </w:pPr>
          </w:p>
          <w:p w14:paraId="6C52BAFB">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r>
    </w:tbl>
    <w:p w14:paraId="2BC47ADD">
      <w:pPr>
        <w:rPr>
          <w:color w:val="auto"/>
          <w:highlight w:val="none"/>
        </w:rPr>
      </w:pPr>
    </w:p>
    <w:p w14:paraId="5D047099">
      <w:pPr>
        <w:rPr>
          <w:color w:val="auto"/>
          <w:highlight w:val="none"/>
        </w:rPr>
      </w:pPr>
    </w:p>
    <w:p w14:paraId="1934549C">
      <w:pPr>
        <w:spacing w:line="400" w:lineRule="exact"/>
        <w:rPr>
          <w:rFonts w:ascii="宋体" w:hAnsi="宋体"/>
          <w:color w:val="auto"/>
          <w:szCs w:val="21"/>
        </w:rPr>
      </w:pPr>
    </w:p>
    <w:p w14:paraId="1260975B">
      <w:pPr>
        <w:spacing w:line="400" w:lineRule="exact"/>
        <w:rPr>
          <w:rFonts w:ascii="宋体" w:hAnsi="宋体"/>
          <w:color w:val="auto"/>
          <w:szCs w:val="21"/>
        </w:rPr>
      </w:pPr>
    </w:p>
    <w:p w14:paraId="18B00B97">
      <w:pPr>
        <w:widowControl/>
        <w:jc w:val="left"/>
        <w:rPr>
          <w:rFonts w:ascii="宋体" w:cs="宋体"/>
          <w:color w:val="auto"/>
          <w:kern w:val="0"/>
          <w:sz w:val="24"/>
        </w:rPr>
      </w:pPr>
    </w:p>
    <w:p w14:paraId="73DC0C6F">
      <w:pPr>
        <w:pStyle w:val="3"/>
        <w:rPr>
          <w:rFonts w:ascii="宋体" w:cs="宋体"/>
          <w:color w:val="auto"/>
          <w:kern w:val="0"/>
          <w:sz w:val="24"/>
        </w:rPr>
      </w:pPr>
    </w:p>
    <w:p w14:paraId="28CAE40B">
      <w:pPr>
        <w:rPr>
          <w:rFonts w:ascii="宋体" w:cs="宋体"/>
          <w:color w:val="auto"/>
          <w:kern w:val="0"/>
          <w:sz w:val="24"/>
        </w:rPr>
      </w:pPr>
    </w:p>
    <w:p w14:paraId="55F90329">
      <w:pPr>
        <w:rPr>
          <w:color w:val="auto"/>
        </w:rPr>
      </w:pPr>
    </w:p>
    <w:p w14:paraId="6140812E">
      <w:pPr>
        <w:pStyle w:val="32"/>
        <w:rPr>
          <w:color w:val="auto"/>
        </w:rPr>
      </w:pPr>
    </w:p>
    <w:p w14:paraId="32C4DE89">
      <w:pPr>
        <w:rPr>
          <w:color w:val="auto"/>
        </w:rPr>
      </w:pPr>
    </w:p>
    <w:p w14:paraId="1BB5A2D3">
      <w:pPr>
        <w:pStyle w:val="32"/>
        <w:rPr>
          <w:color w:val="auto"/>
        </w:rPr>
      </w:pPr>
    </w:p>
    <w:p w14:paraId="0115A4D9">
      <w:pPr>
        <w:rPr>
          <w:color w:val="auto"/>
        </w:rPr>
      </w:pPr>
    </w:p>
    <w:p w14:paraId="58790793">
      <w:pPr>
        <w:rPr>
          <w:color w:val="auto"/>
        </w:rPr>
      </w:pPr>
    </w:p>
    <w:p w14:paraId="6C465FDC">
      <w:pPr>
        <w:rPr>
          <w:color w:val="auto"/>
        </w:rPr>
      </w:pPr>
    </w:p>
    <w:p w14:paraId="75CF1A64">
      <w:pPr>
        <w:rPr>
          <w:color w:val="auto"/>
        </w:rPr>
      </w:pPr>
    </w:p>
    <w:p w14:paraId="10C64512">
      <w:pPr>
        <w:rPr>
          <w:color w:val="auto"/>
        </w:rPr>
      </w:pPr>
    </w:p>
    <w:p w14:paraId="61DF3D8D">
      <w:pPr>
        <w:rPr>
          <w:color w:val="auto"/>
        </w:rPr>
      </w:pPr>
    </w:p>
    <w:p w14:paraId="1A0260A7">
      <w:pPr>
        <w:rPr>
          <w:color w:val="auto"/>
        </w:rPr>
      </w:pPr>
    </w:p>
    <w:p w14:paraId="3F748FC2">
      <w:pPr>
        <w:rPr>
          <w:color w:val="auto"/>
        </w:rPr>
      </w:pPr>
    </w:p>
    <w:p w14:paraId="1988CFFC">
      <w:pPr>
        <w:rPr>
          <w:color w:val="auto"/>
        </w:rPr>
      </w:pPr>
    </w:p>
    <w:p w14:paraId="001A17CF">
      <w:pPr>
        <w:rPr>
          <w:color w:val="auto"/>
        </w:rPr>
      </w:pPr>
    </w:p>
    <w:p w14:paraId="773C2787">
      <w:pPr>
        <w:pStyle w:val="32"/>
        <w:rPr>
          <w:color w:val="auto"/>
        </w:rPr>
      </w:pPr>
    </w:p>
    <w:p w14:paraId="50194401">
      <w:pPr>
        <w:pStyle w:val="70"/>
        <w:rPr>
          <w:color w:val="auto"/>
        </w:rPr>
      </w:pPr>
    </w:p>
    <w:p w14:paraId="6017856B">
      <w:pPr>
        <w:spacing w:line="390" w:lineRule="exact"/>
        <w:jc w:val="center"/>
        <w:outlineLvl w:val="0"/>
        <w:rPr>
          <w:rFonts w:hint="eastAsia" w:ascii="宋体" w:hAnsi="宋体"/>
          <w:b/>
          <w:color w:val="auto"/>
          <w:sz w:val="40"/>
          <w:szCs w:val="40"/>
        </w:rPr>
      </w:pPr>
      <w:r>
        <w:rPr>
          <w:rFonts w:hint="eastAsia" w:ascii="宋体" w:hAnsi="宋体"/>
          <w:b/>
          <w:color w:val="auto"/>
          <w:sz w:val="40"/>
          <w:szCs w:val="40"/>
        </w:rPr>
        <w:t xml:space="preserve"> </w:t>
      </w:r>
    </w:p>
    <w:p w14:paraId="1EC60F0F">
      <w:pPr>
        <w:spacing w:line="390" w:lineRule="exact"/>
        <w:jc w:val="center"/>
        <w:outlineLvl w:val="0"/>
        <w:rPr>
          <w:rFonts w:ascii="宋体" w:hAnsi="宋体"/>
          <w:b/>
          <w:color w:val="auto"/>
          <w:sz w:val="36"/>
          <w:szCs w:val="36"/>
        </w:rPr>
      </w:pPr>
      <w:r>
        <w:rPr>
          <w:rFonts w:hint="eastAsia" w:ascii="宋体" w:hAnsi="宋体"/>
          <w:b/>
          <w:color w:val="auto"/>
          <w:sz w:val="40"/>
          <w:szCs w:val="40"/>
        </w:rPr>
        <w:t xml:space="preserve"> </w:t>
      </w:r>
      <w:bookmarkStart w:id="1087" w:name="_Toc26645"/>
      <w:r>
        <w:rPr>
          <w:rFonts w:hint="eastAsia" w:hAnsi="宋体"/>
          <w:b/>
          <w:color w:val="auto"/>
          <w:sz w:val="36"/>
          <w:szCs w:val="36"/>
        </w:rPr>
        <w:t>第四章</w:t>
      </w:r>
      <w:r>
        <w:rPr>
          <w:rFonts w:hint="eastAsia" w:ascii="宋体" w:hAnsi="宋体"/>
          <w:b/>
          <w:color w:val="auto"/>
          <w:sz w:val="40"/>
          <w:szCs w:val="40"/>
        </w:rPr>
        <w:t xml:space="preserve"> </w:t>
      </w:r>
      <w:r>
        <w:rPr>
          <w:rFonts w:hint="eastAsia" w:hAnsi="宋体"/>
          <w:b/>
          <w:color w:val="auto"/>
          <w:sz w:val="36"/>
          <w:szCs w:val="36"/>
        </w:rPr>
        <w:t>工程量清单</w:t>
      </w:r>
      <w:bookmarkEnd w:id="1087"/>
    </w:p>
    <w:p w14:paraId="443FF1F3">
      <w:pPr>
        <w:spacing w:line="400" w:lineRule="exact"/>
        <w:jc w:val="center"/>
        <w:rPr>
          <w:rFonts w:ascii="黑体" w:eastAsia="黑体"/>
          <w:b/>
          <w:color w:val="auto"/>
          <w:sz w:val="32"/>
          <w:szCs w:val="32"/>
        </w:rPr>
      </w:pPr>
    </w:p>
    <w:p w14:paraId="1511E556">
      <w:pPr>
        <w:spacing w:line="400" w:lineRule="exact"/>
        <w:jc w:val="center"/>
        <w:rPr>
          <w:rFonts w:ascii="黑体" w:eastAsia="黑体"/>
          <w:b/>
          <w:color w:val="auto"/>
          <w:sz w:val="32"/>
          <w:szCs w:val="32"/>
        </w:rPr>
      </w:pPr>
      <w:r>
        <w:rPr>
          <w:rFonts w:hint="eastAsia" w:ascii="黑体" w:eastAsia="黑体"/>
          <w:b/>
          <w:color w:val="auto"/>
          <w:sz w:val="32"/>
          <w:szCs w:val="32"/>
        </w:rPr>
        <w:t>工程量清单</w:t>
      </w:r>
    </w:p>
    <w:p w14:paraId="617DEE87">
      <w:pPr>
        <w:spacing w:line="400" w:lineRule="exact"/>
        <w:jc w:val="center"/>
        <w:rPr>
          <w:rFonts w:ascii="黑体" w:eastAsia="黑体"/>
          <w:b/>
          <w:color w:val="auto"/>
          <w:sz w:val="32"/>
          <w:szCs w:val="32"/>
        </w:rPr>
      </w:pPr>
      <w:r>
        <w:rPr>
          <w:rFonts w:hint="eastAsia" w:ascii="黑体" w:eastAsia="黑体"/>
          <w:b/>
          <w:color w:val="auto"/>
          <w:sz w:val="32"/>
          <w:szCs w:val="32"/>
        </w:rPr>
        <w:t>（另附）</w:t>
      </w:r>
    </w:p>
    <w:p w14:paraId="5CC843C9">
      <w:pPr>
        <w:pStyle w:val="70"/>
        <w:rPr>
          <w:color w:val="auto"/>
          <w:sz w:val="21"/>
          <w:szCs w:val="21"/>
        </w:rPr>
      </w:pPr>
    </w:p>
    <w:p w14:paraId="54B07CB5">
      <w:pPr>
        <w:tabs>
          <w:tab w:val="left" w:pos="0"/>
        </w:tabs>
        <w:autoSpaceDE w:val="0"/>
        <w:autoSpaceDN w:val="0"/>
        <w:adjustRightInd w:val="0"/>
        <w:spacing w:line="400" w:lineRule="exact"/>
        <w:ind w:right="84" w:firstLine="420" w:firstLineChars="200"/>
        <w:rPr>
          <w:rFonts w:ascii="宋体" w:hAnsi="宋体" w:cs="宋体"/>
          <w:color w:val="auto"/>
          <w:szCs w:val="21"/>
        </w:rPr>
      </w:pPr>
    </w:p>
    <w:p w14:paraId="3BF4266E">
      <w:pPr>
        <w:tabs>
          <w:tab w:val="left" w:pos="0"/>
        </w:tabs>
        <w:autoSpaceDE w:val="0"/>
        <w:autoSpaceDN w:val="0"/>
        <w:adjustRightInd w:val="0"/>
        <w:spacing w:line="400" w:lineRule="exact"/>
        <w:ind w:right="84"/>
        <w:rPr>
          <w:rFonts w:ascii="宋体" w:hAnsi="宋体" w:cs="宋体"/>
          <w:color w:val="auto"/>
          <w:szCs w:val="21"/>
        </w:rPr>
      </w:pPr>
    </w:p>
    <w:p w14:paraId="099801ED">
      <w:pPr>
        <w:tabs>
          <w:tab w:val="left" w:pos="0"/>
        </w:tabs>
        <w:autoSpaceDE w:val="0"/>
        <w:autoSpaceDN w:val="0"/>
        <w:adjustRightInd w:val="0"/>
        <w:spacing w:line="400" w:lineRule="exact"/>
        <w:ind w:right="84" w:firstLine="420" w:firstLineChars="200"/>
        <w:rPr>
          <w:rFonts w:ascii="宋体" w:hAnsi="宋体" w:cs="宋体"/>
          <w:color w:val="auto"/>
          <w:szCs w:val="21"/>
        </w:rPr>
      </w:pPr>
    </w:p>
    <w:p w14:paraId="4026290D">
      <w:pPr>
        <w:pStyle w:val="70"/>
        <w:ind w:firstLine="480" w:firstLineChars="200"/>
        <w:rPr>
          <w:rFonts w:hAnsi="宋体"/>
          <w:color w:val="auto"/>
          <w:szCs w:val="21"/>
        </w:rPr>
      </w:pPr>
    </w:p>
    <w:p w14:paraId="18DC15F1">
      <w:pPr>
        <w:spacing w:line="400" w:lineRule="exact"/>
        <w:rPr>
          <w:rFonts w:ascii="宋体" w:hAnsi="宋体"/>
          <w:bCs/>
          <w:color w:val="auto"/>
        </w:rPr>
      </w:pPr>
    </w:p>
    <w:p w14:paraId="09E99611">
      <w:pPr>
        <w:spacing w:line="400" w:lineRule="exact"/>
        <w:rPr>
          <w:color w:val="auto"/>
        </w:rPr>
      </w:pPr>
    </w:p>
    <w:p w14:paraId="10140363">
      <w:pPr>
        <w:spacing w:line="400" w:lineRule="exact"/>
        <w:rPr>
          <w:color w:val="auto"/>
        </w:rPr>
      </w:pPr>
    </w:p>
    <w:p w14:paraId="6E3E3688">
      <w:pPr>
        <w:spacing w:line="400" w:lineRule="exact"/>
        <w:ind w:left="-4" w:leftChars="-2" w:right="-153" w:rightChars="-73" w:firstLine="2" w:firstLineChars="1"/>
        <w:rPr>
          <w:rFonts w:ascii="宋体" w:hAnsi="宋体"/>
          <w:b/>
          <w:color w:val="auto"/>
          <w:szCs w:val="21"/>
        </w:rPr>
      </w:pPr>
    </w:p>
    <w:p w14:paraId="0B83BB74">
      <w:pPr>
        <w:spacing w:beforeLines="50" w:afterLines="50" w:line="440" w:lineRule="exact"/>
        <w:rPr>
          <w:rFonts w:ascii="宋体" w:hAnsi="宋体"/>
          <w:color w:val="auto"/>
          <w:sz w:val="32"/>
          <w:szCs w:val="32"/>
        </w:rPr>
      </w:pPr>
    </w:p>
    <w:p w14:paraId="49D0FAB5">
      <w:pPr>
        <w:spacing w:beforeLines="50" w:afterLines="50" w:line="440" w:lineRule="exact"/>
        <w:jc w:val="center"/>
        <w:rPr>
          <w:rFonts w:ascii="宋体" w:hAnsi="宋体"/>
          <w:color w:val="auto"/>
          <w:sz w:val="32"/>
          <w:szCs w:val="32"/>
        </w:rPr>
      </w:pPr>
    </w:p>
    <w:p w14:paraId="205CEF9C">
      <w:pPr>
        <w:pStyle w:val="32"/>
        <w:rPr>
          <w:rFonts w:ascii="宋体" w:hAnsi="宋体"/>
          <w:color w:val="auto"/>
          <w:sz w:val="32"/>
          <w:szCs w:val="32"/>
        </w:rPr>
      </w:pPr>
    </w:p>
    <w:p w14:paraId="0994941A">
      <w:pPr>
        <w:pStyle w:val="32"/>
        <w:rPr>
          <w:rFonts w:ascii="宋体" w:hAnsi="宋体"/>
          <w:color w:val="auto"/>
          <w:sz w:val="32"/>
          <w:szCs w:val="32"/>
        </w:rPr>
      </w:pPr>
    </w:p>
    <w:bookmarkEnd w:id="76"/>
    <w:bookmarkEnd w:id="77"/>
    <w:p w14:paraId="78660AAE">
      <w:pPr>
        <w:rPr>
          <w:rFonts w:ascii="宋体" w:hAnsi="宋体"/>
          <w:b/>
          <w:color w:val="auto"/>
          <w:sz w:val="32"/>
          <w:szCs w:val="32"/>
        </w:rPr>
      </w:pPr>
      <w:r>
        <w:rPr>
          <w:rFonts w:hint="eastAsia" w:ascii="宋体" w:hAnsi="宋体"/>
          <w:b/>
          <w:color w:val="auto"/>
          <w:sz w:val="32"/>
          <w:szCs w:val="32"/>
        </w:rPr>
        <w:br w:type="page"/>
      </w:r>
    </w:p>
    <w:p w14:paraId="37E1D6CA">
      <w:pPr>
        <w:spacing w:line="390" w:lineRule="exact"/>
        <w:jc w:val="center"/>
        <w:rPr>
          <w:rFonts w:hAnsi="宋体"/>
          <w:b/>
          <w:color w:val="auto"/>
          <w:sz w:val="36"/>
          <w:szCs w:val="36"/>
        </w:rPr>
      </w:pPr>
    </w:p>
    <w:p w14:paraId="3256F3ED">
      <w:pPr>
        <w:spacing w:line="390" w:lineRule="exact"/>
        <w:jc w:val="center"/>
        <w:rPr>
          <w:rFonts w:hAnsi="宋体"/>
          <w:b/>
          <w:color w:val="auto"/>
          <w:sz w:val="36"/>
          <w:szCs w:val="36"/>
        </w:rPr>
      </w:pPr>
    </w:p>
    <w:p w14:paraId="56611DC7">
      <w:pPr>
        <w:spacing w:line="390" w:lineRule="exact"/>
        <w:jc w:val="center"/>
        <w:rPr>
          <w:rFonts w:hAnsi="宋体"/>
          <w:b/>
          <w:color w:val="auto"/>
          <w:sz w:val="36"/>
          <w:szCs w:val="36"/>
        </w:rPr>
      </w:pPr>
    </w:p>
    <w:p w14:paraId="5CE2194B">
      <w:pPr>
        <w:spacing w:line="390" w:lineRule="exact"/>
        <w:jc w:val="center"/>
        <w:outlineLvl w:val="0"/>
        <w:rPr>
          <w:rFonts w:hAnsi="宋体"/>
          <w:b/>
          <w:color w:val="auto"/>
          <w:sz w:val="36"/>
          <w:szCs w:val="36"/>
        </w:rPr>
      </w:pPr>
      <w:bookmarkStart w:id="1088" w:name="_Toc8893"/>
      <w:r>
        <w:rPr>
          <w:rFonts w:hint="eastAsia" w:hAnsi="宋体"/>
          <w:b/>
          <w:color w:val="auto"/>
          <w:sz w:val="36"/>
          <w:szCs w:val="36"/>
        </w:rPr>
        <w:t>第五章  图纸</w:t>
      </w:r>
      <w:bookmarkEnd w:id="1088"/>
    </w:p>
    <w:p w14:paraId="3D8ACA77">
      <w:pPr>
        <w:spacing w:line="400" w:lineRule="exact"/>
        <w:rPr>
          <w:rFonts w:ascii="黑体" w:eastAsia="黑体"/>
          <w:b/>
          <w:color w:val="auto"/>
          <w:sz w:val="32"/>
          <w:szCs w:val="32"/>
        </w:rPr>
      </w:pPr>
    </w:p>
    <w:p w14:paraId="68546A17">
      <w:pPr>
        <w:spacing w:line="400" w:lineRule="exact"/>
        <w:jc w:val="center"/>
        <w:rPr>
          <w:rFonts w:ascii="黑体" w:eastAsia="黑体"/>
          <w:b/>
          <w:color w:val="auto"/>
          <w:sz w:val="32"/>
          <w:szCs w:val="32"/>
        </w:rPr>
      </w:pPr>
      <w:r>
        <w:rPr>
          <w:rFonts w:hint="eastAsia" w:ascii="黑体" w:eastAsia="黑体"/>
          <w:b/>
          <w:color w:val="auto"/>
          <w:sz w:val="32"/>
          <w:szCs w:val="32"/>
        </w:rPr>
        <w:t>（另附）</w:t>
      </w:r>
    </w:p>
    <w:p w14:paraId="2B458693">
      <w:pPr>
        <w:spacing w:line="390" w:lineRule="exact"/>
        <w:jc w:val="center"/>
        <w:outlineLvl w:val="0"/>
        <w:rPr>
          <w:rFonts w:ascii="黑体" w:hAnsi="宋体" w:eastAsia="黑体"/>
          <w:b/>
          <w:color w:val="auto"/>
          <w:sz w:val="32"/>
          <w:szCs w:val="32"/>
        </w:rPr>
      </w:pPr>
      <w:r>
        <w:rPr>
          <w:rFonts w:ascii="宋体" w:hAnsi="宋体"/>
          <w:color w:val="auto"/>
          <w:szCs w:val="21"/>
        </w:rPr>
        <w:br w:type="page"/>
      </w:r>
      <w:bookmarkStart w:id="1089" w:name="_Toc2801"/>
      <w:bookmarkStart w:id="1090" w:name="_Toc440877587"/>
      <w:bookmarkStart w:id="1091" w:name="_Toc430095345"/>
      <w:r>
        <w:rPr>
          <w:rFonts w:hint="eastAsia" w:hAnsi="宋体"/>
          <w:b/>
          <w:color w:val="auto"/>
          <w:sz w:val="36"/>
          <w:szCs w:val="36"/>
        </w:rPr>
        <w:t>第六章  技术标准和要求</w:t>
      </w:r>
      <w:bookmarkEnd w:id="1089"/>
    </w:p>
    <w:p w14:paraId="70F18BD5">
      <w:pPr>
        <w:pStyle w:val="26"/>
        <w:spacing w:line="400" w:lineRule="exact"/>
        <w:rPr>
          <w:rFonts w:hAnsi="宋体"/>
          <w:b/>
          <w:color w:val="auto"/>
          <w:szCs w:val="21"/>
        </w:rPr>
      </w:pPr>
    </w:p>
    <w:p w14:paraId="32DE0E46">
      <w:pPr>
        <w:pStyle w:val="26"/>
        <w:spacing w:line="400" w:lineRule="exact"/>
        <w:rPr>
          <w:rFonts w:hAnsi="宋体"/>
          <w:b/>
          <w:color w:val="auto"/>
          <w:szCs w:val="21"/>
        </w:rPr>
      </w:pPr>
      <w:r>
        <w:rPr>
          <w:rFonts w:hint="eastAsia" w:hAnsi="宋体"/>
          <w:b/>
          <w:color w:val="auto"/>
          <w:szCs w:val="21"/>
        </w:rPr>
        <w:t>一．工程建设地点的现场条件</w:t>
      </w:r>
    </w:p>
    <w:p w14:paraId="58BA05D1">
      <w:pPr>
        <w:pStyle w:val="26"/>
        <w:spacing w:line="400" w:lineRule="exact"/>
        <w:rPr>
          <w:rFonts w:hAnsi="宋体"/>
          <w:color w:val="auto"/>
          <w:szCs w:val="21"/>
        </w:rPr>
      </w:pPr>
      <w:r>
        <w:rPr>
          <w:rFonts w:hint="eastAsia" w:hAnsi="宋体"/>
          <w:color w:val="auto"/>
          <w:szCs w:val="21"/>
        </w:rPr>
        <w:t>（一）现场自然条件</w:t>
      </w:r>
    </w:p>
    <w:p w14:paraId="00BB7F77">
      <w:pPr>
        <w:pStyle w:val="26"/>
        <w:spacing w:line="400" w:lineRule="exact"/>
        <w:rPr>
          <w:rFonts w:hAnsi="宋体"/>
          <w:color w:val="auto"/>
          <w:szCs w:val="21"/>
        </w:rPr>
      </w:pPr>
      <w:r>
        <w:rPr>
          <w:rFonts w:hint="eastAsia" w:hAnsi="宋体"/>
          <w:color w:val="auto"/>
          <w:szCs w:val="21"/>
        </w:rPr>
        <w:t>满足施工要求。</w:t>
      </w:r>
    </w:p>
    <w:p w14:paraId="5C6910F9">
      <w:pPr>
        <w:pStyle w:val="26"/>
        <w:spacing w:line="400" w:lineRule="exact"/>
        <w:rPr>
          <w:rFonts w:hAnsi="宋体"/>
          <w:color w:val="auto"/>
          <w:szCs w:val="21"/>
        </w:rPr>
      </w:pPr>
      <w:r>
        <w:rPr>
          <w:rFonts w:hint="eastAsia" w:hAnsi="宋体"/>
          <w:color w:val="auto"/>
          <w:szCs w:val="21"/>
        </w:rPr>
        <w:t>（二）现场施工条件</w:t>
      </w:r>
    </w:p>
    <w:p w14:paraId="4FEDB890">
      <w:pPr>
        <w:pStyle w:val="26"/>
        <w:spacing w:line="400" w:lineRule="exact"/>
        <w:rPr>
          <w:rFonts w:hAnsi="宋体"/>
          <w:color w:val="auto"/>
          <w:szCs w:val="21"/>
        </w:rPr>
      </w:pPr>
      <w:r>
        <w:rPr>
          <w:rFonts w:hint="eastAsia" w:hAnsi="宋体"/>
          <w:color w:val="auto"/>
          <w:szCs w:val="21"/>
        </w:rPr>
        <w:t>符合施工要求。</w:t>
      </w:r>
    </w:p>
    <w:p w14:paraId="19A1314D">
      <w:pPr>
        <w:pStyle w:val="26"/>
        <w:spacing w:line="400" w:lineRule="exact"/>
        <w:rPr>
          <w:rFonts w:hAnsi="宋体"/>
          <w:b/>
          <w:color w:val="auto"/>
          <w:szCs w:val="21"/>
        </w:rPr>
      </w:pPr>
    </w:p>
    <w:p w14:paraId="46215004">
      <w:pPr>
        <w:pStyle w:val="26"/>
        <w:spacing w:line="400" w:lineRule="exact"/>
        <w:rPr>
          <w:rFonts w:hAnsi="宋体"/>
          <w:b/>
          <w:color w:val="auto"/>
          <w:szCs w:val="21"/>
        </w:rPr>
      </w:pPr>
      <w:r>
        <w:rPr>
          <w:rFonts w:hint="eastAsia" w:hAnsi="宋体"/>
          <w:b/>
          <w:color w:val="auto"/>
          <w:szCs w:val="21"/>
        </w:rPr>
        <w:t>二．技术规范</w:t>
      </w:r>
    </w:p>
    <w:p w14:paraId="0626A347">
      <w:pPr>
        <w:spacing w:line="360" w:lineRule="auto"/>
        <w:ind w:firstLine="420" w:firstLineChars="200"/>
        <w:rPr>
          <w:rFonts w:ascii="宋体" w:hAnsi="宋体"/>
          <w:b/>
          <w:color w:val="auto"/>
          <w:sz w:val="32"/>
          <w:szCs w:val="32"/>
        </w:rPr>
      </w:pPr>
      <w:r>
        <w:rPr>
          <w:rFonts w:hint="eastAsia" w:ascii="宋体" w:hAnsi="宋体" w:cs="宋体"/>
          <w:color w:val="auto"/>
          <w:kern w:val="0"/>
          <w:szCs w:val="21"/>
        </w:rPr>
        <w:t>本工程执行国家现行的</w:t>
      </w:r>
      <w:r>
        <w:rPr>
          <w:rFonts w:hint="eastAsia" w:ascii="宋体" w:hAnsi="宋体" w:cs="宋体"/>
          <w:color w:val="auto"/>
          <w:szCs w:val="21"/>
        </w:rPr>
        <w:t>有关的工程建设标准、技术规范及强制性标准条文、以及施工图纸载明的其他有关规范标</w:t>
      </w:r>
      <w:r>
        <w:rPr>
          <w:rFonts w:hint="eastAsia" w:ascii="宋体" w:hAnsi="宋体" w:cs="宋体"/>
          <w:color w:val="auto"/>
          <w:kern w:val="0"/>
          <w:szCs w:val="21"/>
        </w:rPr>
        <w:t>准。</w:t>
      </w:r>
    </w:p>
    <w:p w14:paraId="734BCDE1">
      <w:pPr>
        <w:spacing w:line="390" w:lineRule="exact"/>
        <w:jc w:val="center"/>
        <w:outlineLvl w:val="0"/>
        <w:rPr>
          <w:rFonts w:ascii="宋体" w:hAnsi="宋体"/>
          <w:b/>
          <w:color w:val="auto"/>
          <w:kern w:val="44"/>
          <w:sz w:val="36"/>
          <w:szCs w:val="36"/>
        </w:rPr>
      </w:pPr>
      <w:r>
        <w:rPr>
          <w:rFonts w:hint="eastAsia" w:ascii="宋体" w:hAnsi="宋体"/>
          <w:b/>
          <w:color w:val="auto"/>
          <w:sz w:val="32"/>
          <w:szCs w:val="32"/>
        </w:rPr>
        <w:br w:type="page"/>
      </w:r>
      <w:bookmarkStart w:id="1092" w:name="_Toc86935944"/>
      <w:bookmarkStart w:id="1093" w:name="_Toc8127"/>
      <w:r>
        <w:rPr>
          <w:rFonts w:hint="eastAsia" w:hAnsi="宋体"/>
          <w:b/>
          <w:color w:val="auto"/>
          <w:sz w:val="36"/>
          <w:szCs w:val="36"/>
        </w:rPr>
        <w:t>第七章  《响应文件》（格式）</w:t>
      </w:r>
      <w:bookmarkEnd w:id="1090"/>
      <w:bookmarkEnd w:id="1091"/>
      <w:bookmarkEnd w:id="1092"/>
      <w:bookmarkEnd w:id="1093"/>
    </w:p>
    <w:p w14:paraId="34D4D118">
      <w:pPr>
        <w:jc w:val="center"/>
        <w:rPr>
          <w:rFonts w:ascii="宋体" w:hAnsi="宋体"/>
          <w:b/>
          <w:color w:val="auto"/>
          <w:kern w:val="44"/>
          <w:sz w:val="28"/>
          <w:szCs w:val="28"/>
        </w:rPr>
      </w:pPr>
    </w:p>
    <w:p w14:paraId="3565DE7E">
      <w:pPr>
        <w:jc w:val="center"/>
        <w:rPr>
          <w:rFonts w:ascii="宋体" w:hAnsi="宋体"/>
          <w:b/>
          <w:color w:val="auto"/>
          <w:kern w:val="44"/>
          <w:sz w:val="28"/>
          <w:szCs w:val="28"/>
        </w:rPr>
      </w:pPr>
      <w:r>
        <w:rPr>
          <w:rFonts w:hint="eastAsia" w:ascii="宋体" w:hAnsi="宋体"/>
          <w:b/>
          <w:color w:val="auto"/>
          <w:kern w:val="44"/>
          <w:sz w:val="28"/>
          <w:szCs w:val="28"/>
        </w:rPr>
        <w:t>第一节  资格证明文件格式</w:t>
      </w:r>
    </w:p>
    <w:p w14:paraId="28BD7205">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B559F1D">
      <w:pPr>
        <w:pStyle w:val="70"/>
        <w:rPr>
          <w:color w:val="auto"/>
        </w:rPr>
      </w:pPr>
    </w:p>
    <w:p w14:paraId="3748054A">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117F3F73">
      <w:pPr>
        <w:rPr>
          <w:color w:val="auto"/>
          <w:sz w:val="28"/>
          <w:szCs w:val="28"/>
          <w:u w:val="single"/>
        </w:rPr>
      </w:pPr>
    </w:p>
    <w:p w14:paraId="1F2A4978">
      <w:pPr>
        <w:jc w:val="center"/>
        <w:rPr>
          <w:b/>
          <w:bCs/>
          <w:color w:val="auto"/>
          <w:sz w:val="28"/>
          <w:szCs w:val="28"/>
        </w:rPr>
      </w:pPr>
      <w:r>
        <w:rPr>
          <w:rFonts w:hint="eastAsia"/>
          <w:b/>
          <w:bCs/>
          <w:color w:val="auto"/>
          <w:sz w:val="28"/>
          <w:szCs w:val="28"/>
        </w:rPr>
        <w:t>资  格  证  明  文  件（封面）</w:t>
      </w:r>
    </w:p>
    <w:p w14:paraId="0F8EACB2">
      <w:pPr>
        <w:jc w:val="center"/>
        <w:rPr>
          <w:b/>
          <w:bCs/>
          <w:color w:val="auto"/>
          <w:sz w:val="28"/>
          <w:szCs w:val="28"/>
        </w:rPr>
      </w:pPr>
    </w:p>
    <w:p w14:paraId="08440D2F">
      <w:pPr>
        <w:jc w:val="center"/>
        <w:rPr>
          <w:b/>
          <w:bCs/>
          <w:color w:val="auto"/>
          <w:sz w:val="28"/>
          <w:szCs w:val="28"/>
        </w:rPr>
      </w:pPr>
    </w:p>
    <w:p w14:paraId="00D8A11E">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rPr>
        <w:t xml:space="preserve"> </w:t>
      </w:r>
      <w:r>
        <w:rPr>
          <w:b/>
          <w:bCs/>
          <w:color w:val="auto"/>
          <w:sz w:val="52"/>
          <w:szCs w:val="52"/>
        </w:rPr>
        <w:t>件</w:t>
      </w:r>
    </w:p>
    <w:p w14:paraId="4D765591">
      <w:pPr>
        <w:spacing w:line="360" w:lineRule="auto"/>
        <w:ind w:firstLine="2380" w:firstLineChars="850"/>
        <w:rPr>
          <w:b/>
          <w:bCs/>
          <w:color w:val="auto"/>
          <w:sz w:val="28"/>
          <w:szCs w:val="28"/>
        </w:rPr>
      </w:pPr>
      <w:r>
        <w:rPr>
          <w:rFonts w:hint="eastAsia"/>
          <w:b/>
          <w:bCs/>
          <w:color w:val="auto"/>
          <w:sz w:val="28"/>
          <w:szCs w:val="28"/>
        </w:rPr>
        <w:t>项目名称：</w:t>
      </w:r>
    </w:p>
    <w:p w14:paraId="5BF4EC62">
      <w:pPr>
        <w:spacing w:line="360" w:lineRule="auto"/>
        <w:ind w:firstLine="2380" w:firstLineChars="850"/>
        <w:rPr>
          <w:b/>
          <w:bCs/>
          <w:color w:val="auto"/>
          <w:sz w:val="28"/>
          <w:szCs w:val="28"/>
        </w:rPr>
      </w:pPr>
      <w:r>
        <w:rPr>
          <w:b/>
          <w:bCs/>
          <w:color w:val="auto"/>
          <w:sz w:val="28"/>
          <w:szCs w:val="28"/>
        </w:rPr>
        <w:t>项目编号：</w:t>
      </w:r>
    </w:p>
    <w:p w14:paraId="0C4CE92D">
      <w:pPr>
        <w:pStyle w:val="70"/>
        <w:rPr>
          <w:color w:val="auto"/>
        </w:rPr>
      </w:pPr>
    </w:p>
    <w:p w14:paraId="5A4D5BD6">
      <w:pPr>
        <w:jc w:val="center"/>
        <w:rPr>
          <w:b/>
          <w:bCs/>
          <w:color w:val="auto"/>
          <w:sz w:val="28"/>
          <w:szCs w:val="28"/>
        </w:rPr>
      </w:pPr>
    </w:p>
    <w:p w14:paraId="3CEBB477">
      <w:pPr>
        <w:rPr>
          <w:b/>
          <w:bCs/>
          <w:color w:val="auto"/>
          <w:sz w:val="28"/>
          <w:szCs w:val="28"/>
        </w:rPr>
      </w:pPr>
    </w:p>
    <w:p w14:paraId="6F8EFAA3">
      <w:pPr>
        <w:rPr>
          <w:b/>
          <w:bCs/>
          <w:color w:val="auto"/>
          <w:sz w:val="28"/>
          <w:szCs w:val="28"/>
        </w:rPr>
      </w:pPr>
    </w:p>
    <w:p w14:paraId="4773DE37">
      <w:pPr>
        <w:jc w:val="center"/>
        <w:rPr>
          <w:b/>
          <w:bCs/>
          <w:color w:val="auto"/>
          <w:sz w:val="28"/>
          <w:szCs w:val="28"/>
        </w:rPr>
      </w:pPr>
    </w:p>
    <w:p w14:paraId="51C1FE91">
      <w:pPr>
        <w:jc w:val="center"/>
        <w:rPr>
          <w:b/>
          <w:bCs/>
          <w:color w:val="auto"/>
          <w:sz w:val="28"/>
          <w:szCs w:val="28"/>
        </w:rPr>
      </w:pPr>
    </w:p>
    <w:p w14:paraId="167617FB">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67C53C27">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4A81B117">
      <w:pPr>
        <w:jc w:val="center"/>
        <w:rPr>
          <w:b/>
          <w:bCs/>
          <w:color w:val="auto"/>
          <w:sz w:val="28"/>
          <w:szCs w:val="28"/>
        </w:rPr>
      </w:pPr>
      <w:r>
        <w:rPr>
          <w:b/>
          <w:bCs/>
          <w:color w:val="auto"/>
          <w:sz w:val="28"/>
          <w:szCs w:val="28"/>
        </w:rPr>
        <w:t xml:space="preserve">  年  月  日</w:t>
      </w:r>
    </w:p>
    <w:p w14:paraId="1499E811">
      <w:pPr>
        <w:spacing w:line="336" w:lineRule="auto"/>
        <w:ind w:right="-153" w:rightChars="-73"/>
        <w:jc w:val="center"/>
        <w:rPr>
          <w:rFonts w:ascii="宋体" w:hAnsi="宋体"/>
          <w:b/>
          <w:color w:val="auto"/>
          <w:szCs w:val="21"/>
        </w:rPr>
      </w:pPr>
      <w:r>
        <w:rPr>
          <w:rFonts w:ascii="宋体" w:hAnsi="宋体"/>
          <w:b/>
          <w:color w:val="auto"/>
          <w:szCs w:val="21"/>
        </w:rPr>
        <w:br w:type="page"/>
      </w:r>
    </w:p>
    <w:p w14:paraId="1253BCAC">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5D353192">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1B276E64">
      <w:pPr>
        <w:spacing w:line="336" w:lineRule="auto"/>
        <w:ind w:right="-153" w:rightChars="-73"/>
        <w:rPr>
          <w:rFonts w:ascii="宋体" w:hAnsi="宋体"/>
          <w:b/>
          <w:color w:val="auto"/>
          <w:szCs w:val="21"/>
        </w:rPr>
      </w:pPr>
    </w:p>
    <w:p w14:paraId="68CC7993">
      <w:pPr>
        <w:pStyle w:val="26"/>
        <w:spacing w:line="390" w:lineRule="exact"/>
        <w:rPr>
          <w:rFonts w:hAnsi="宋体" w:cs="宋体"/>
          <w:bCs/>
          <w:color w:val="auto"/>
          <w:szCs w:val="21"/>
        </w:rPr>
      </w:pPr>
      <w:r>
        <w:rPr>
          <w:rFonts w:hint="eastAsia" w:hAnsi="宋体" w:cs="宋体"/>
          <w:bCs/>
          <w:color w:val="auto"/>
          <w:szCs w:val="21"/>
        </w:rPr>
        <w:t>（1）有效的法人营业执照副本扫描件；</w:t>
      </w:r>
    </w:p>
    <w:p w14:paraId="1AB01131">
      <w:pPr>
        <w:pStyle w:val="26"/>
        <w:spacing w:line="390" w:lineRule="exact"/>
        <w:rPr>
          <w:rFonts w:hAnsi="宋体" w:cs="宋体"/>
          <w:bCs/>
          <w:color w:val="auto"/>
          <w:szCs w:val="21"/>
        </w:rPr>
      </w:pPr>
      <w:r>
        <w:rPr>
          <w:rFonts w:hint="eastAsia" w:hAnsi="宋体" w:cs="宋体"/>
          <w:bCs/>
          <w:color w:val="auto"/>
          <w:szCs w:val="21"/>
        </w:rPr>
        <w:t>（2）有效的资质证书副本扫描件；</w:t>
      </w:r>
    </w:p>
    <w:p w14:paraId="6314225E">
      <w:pPr>
        <w:pStyle w:val="26"/>
        <w:spacing w:line="390" w:lineRule="exact"/>
        <w:rPr>
          <w:rFonts w:hAnsi="宋体" w:cs="宋体"/>
          <w:bCs/>
          <w:color w:val="auto"/>
          <w:szCs w:val="21"/>
        </w:rPr>
      </w:pPr>
      <w:r>
        <w:rPr>
          <w:rFonts w:hint="eastAsia" w:hAnsi="宋体" w:cs="宋体"/>
          <w:bCs/>
          <w:color w:val="auto"/>
          <w:szCs w:val="21"/>
        </w:rPr>
        <w:t>（3）有效的安全生产许可证副本扫描件；</w:t>
      </w:r>
    </w:p>
    <w:p w14:paraId="5FEB6598">
      <w:pPr>
        <w:pStyle w:val="26"/>
        <w:spacing w:line="390" w:lineRule="exact"/>
        <w:rPr>
          <w:rFonts w:hAnsi="宋体" w:cs="宋体"/>
          <w:bCs/>
          <w:color w:val="auto"/>
          <w:szCs w:val="21"/>
        </w:rPr>
      </w:pPr>
      <w:r>
        <w:rPr>
          <w:rFonts w:hint="eastAsia" w:hAnsi="宋体" w:cs="宋体"/>
          <w:bCs/>
          <w:color w:val="auto"/>
          <w:szCs w:val="21"/>
        </w:rPr>
        <w:t>（4）“诚信要求”信用查询；</w:t>
      </w:r>
    </w:p>
    <w:p w14:paraId="6FB4C26D">
      <w:pPr>
        <w:pStyle w:val="26"/>
        <w:spacing w:line="390" w:lineRule="exact"/>
        <w:rPr>
          <w:rFonts w:hAnsi="宋体" w:cs="宋体"/>
          <w:bCs/>
          <w:color w:val="auto"/>
          <w:szCs w:val="21"/>
        </w:rPr>
      </w:pPr>
      <w:r>
        <w:rPr>
          <w:rFonts w:hint="eastAsia" w:hAnsi="宋体" w:cs="宋体"/>
          <w:bCs/>
          <w:color w:val="auto"/>
          <w:szCs w:val="21"/>
        </w:rPr>
        <w:t>（5）法定代表人身份证明书；</w:t>
      </w:r>
    </w:p>
    <w:p w14:paraId="01221288">
      <w:pPr>
        <w:pStyle w:val="26"/>
        <w:spacing w:line="390" w:lineRule="exact"/>
        <w:rPr>
          <w:rFonts w:hint="eastAsia" w:eastAsia="宋体"/>
          <w:color w:val="auto"/>
          <w:lang w:eastAsia="zh-CN"/>
        </w:rPr>
      </w:pPr>
      <w:r>
        <w:rPr>
          <w:rFonts w:hint="eastAsia" w:hAnsi="宋体" w:cs="宋体"/>
          <w:bCs/>
          <w:color w:val="auto"/>
          <w:szCs w:val="21"/>
        </w:rPr>
        <w:t>（6）授权委托书（委托时必须提供）；</w:t>
      </w:r>
    </w:p>
    <w:p w14:paraId="16240E61">
      <w:pPr>
        <w:pStyle w:val="26"/>
        <w:spacing w:line="390" w:lineRule="exact"/>
        <w:rPr>
          <w:rFonts w:hAnsi="宋体" w:cs="宋体"/>
          <w:bCs/>
          <w:color w:val="auto"/>
          <w:szCs w:val="21"/>
        </w:rPr>
      </w:pPr>
      <w:r>
        <w:rPr>
          <w:rFonts w:hint="eastAsia" w:hAnsi="宋体" w:cs="宋体"/>
          <w:bCs/>
          <w:color w:val="auto"/>
          <w:szCs w:val="21"/>
        </w:rPr>
        <w:t>（</w:t>
      </w:r>
      <w:r>
        <w:rPr>
          <w:rFonts w:hint="eastAsia" w:hAnsi="宋体" w:cs="宋体"/>
          <w:bCs/>
          <w:color w:val="auto"/>
          <w:szCs w:val="21"/>
          <w:lang w:val="en-US" w:eastAsia="zh-CN"/>
        </w:rPr>
        <w:t>7</w:t>
      </w:r>
      <w:r>
        <w:rPr>
          <w:rFonts w:hint="eastAsia" w:hAnsi="宋体" w:cs="宋体"/>
          <w:bCs/>
          <w:color w:val="auto"/>
          <w:szCs w:val="21"/>
        </w:rPr>
        <w:t>）磋商截止之日前半年内连续三个月供应商依法纳税证明；无纳税记录的，应提供由竞标人所在地的税务部门出具的《依法纳税或依法免税证明》（格式自拟，扫描件）；</w:t>
      </w:r>
    </w:p>
    <w:p w14:paraId="69EB1EAA">
      <w:pPr>
        <w:pStyle w:val="26"/>
        <w:spacing w:line="390" w:lineRule="exact"/>
        <w:rPr>
          <w:rFonts w:hAnsi="宋体" w:cs="宋体"/>
          <w:bCs/>
          <w:color w:val="auto"/>
          <w:szCs w:val="21"/>
        </w:rPr>
      </w:pPr>
      <w:r>
        <w:rPr>
          <w:rFonts w:hint="eastAsia" w:hAnsi="宋体" w:cs="宋体"/>
          <w:bCs/>
          <w:color w:val="auto"/>
          <w:szCs w:val="21"/>
        </w:rPr>
        <w:t>（</w:t>
      </w:r>
      <w:r>
        <w:rPr>
          <w:rFonts w:hint="eastAsia" w:hAnsi="宋体" w:cs="宋体"/>
          <w:bCs/>
          <w:color w:val="auto"/>
          <w:szCs w:val="21"/>
          <w:lang w:val="en-US" w:eastAsia="zh-CN"/>
        </w:rPr>
        <w:t>8</w:t>
      </w:r>
      <w:r>
        <w:rPr>
          <w:rFonts w:hint="eastAsia" w:hAnsi="宋体" w:cs="宋体"/>
          <w:bCs/>
          <w:color w:val="auto"/>
          <w:szCs w:val="21"/>
        </w:rPr>
        <w:t>）磋商截止之日前半年内连续三个月供应商依法缴纳社保证明；无纳税记录的，应提供由投标人所在地社保部门出具的《依法缴纳或依法免缴社保费证明》（格式自拟，扫描件）；</w:t>
      </w:r>
    </w:p>
    <w:p w14:paraId="59016E4B">
      <w:pPr>
        <w:pStyle w:val="26"/>
        <w:spacing w:line="390" w:lineRule="exact"/>
        <w:rPr>
          <w:rFonts w:hAnsi="宋体" w:cs="宋体"/>
          <w:bCs/>
          <w:color w:val="auto"/>
          <w:szCs w:val="21"/>
        </w:rPr>
      </w:pPr>
      <w:r>
        <w:rPr>
          <w:rFonts w:hint="eastAsia" w:hAnsi="宋体" w:cs="宋体"/>
          <w:bCs/>
          <w:color w:val="auto"/>
          <w:szCs w:val="21"/>
        </w:rPr>
        <w:t>（</w:t>
      </w:r>
      <w:r>
        <w:rPr>
          <w:rFonts w:hint="eastAsia" w:hAnsi="宋体" w:cs="宋体"/>
          <w:bCs/>
          <w:color w:val="auto"/>
          <w:szCs w:val="21"/>
          <w:lang w:val="en-US" w:eastAsia="zh-CN"/>
        </w:rPr>
        <w:t>9</w:t>
      </w:r>
      <w:r>
        <w:rPr>
          <w:rFonts w:hint="eastAsia" w:hAnsi="宋体" w:cs="宋体"/>
          <w:bCs/>
          <w:color w:val="auto"/>
          <w:szCs w:val="21"/>
        </w:rPr>
        <w:t>）拟派项目经理</w:t>
      </w:r>
      <w:r>
        <w:rPr>
          <w:rFonts w:hint="eastAsia" w:hAnsi="宋体" w:cs="宋体"/>
          <w:bCs/>
          <w:color w:val="auto"/>
          <w:szCs w:val="21"/>
          <w:lang w:eastAsia="zh-CN"/>
        </w:rPr>
        <w:t>具备市政公用工程</w:t>
      </w:r>
      <w:r>
        <w:rPr>
          <w:rFonts w:hint="eastAsia" w:hAnsi="宋体" w:cs="宋体"/>
          <w:bCs/>
          <w:color w:val="auto"/>
          <w:szCs w:val="21"/>
        </w:rPr>
        <w:t>二级及以上注册建造师证书及有效的省级或省级以上建设行政主管部门颁发的安全生产考核合格证书的扫描件；</w:t>
      </w:r>
    </w:p>
    <w:p w14:paraId="62E3E876">
      <w:pPr>
        <w:pStyle w:val="26"/>
        <w:spacing w:line="390" w:lineRule="exact"/>
        <w:rPr>
          <w:rFonts w:hAnsi="宋体" w:cs="宋体"/>
          <w:bCs/>
          <w:color w:val="auto"/>
          <w:szCs w:val="21"/>
        </w:rPr>
      </w:pPr>
      <w:r>
        <w:rPr>
          <w:rFonts w:hint="eastAsia" w:hAnsi="宋体" w:cs="宋体"/>
          <w:bCs/>
          <w:color w:val="auto"/>
          <w:szCs w:val="21"/>
        </w:rPr>
        <w:t>（1</w:t>
      </w:r>
      <w:r>
        <w:rPr>
          <w:rFonts w:hint="eastAsia" w:hAnsi="宋体" w:cs="宋体"/>
          <w:bCs/>
          <w:color w:val="auto"/>
          <w:szCs w:val="21"/>
          <w:lang w:val="en-US" w:eastAsia="zh-CN"/>
        </w:rPr>
        <w:t>0</w:t>
      </w:r>
      <w:r>
        <w:rPr>
          <w:rFonts w:hint="eastAsia" w:hAnsi="宋体" w:cs="宋体"/>
          <w:bCs/>
          <w:color w:val="auto"/>
          <w:szCs w:val="21"/>
        </w:rPr>
        <w:t>）拟派往本项目专职安全员岗位证书扫描件及有效的省级或省级以上建设行政主管部门颁发的安全生产考核合格证书的扫描件；</w:t>
      </w:r>
    </w:p>
    <w:p w14:paraId="09317A1A">
      <w:pPr>
        <w:pStyle w:val="26"/>
        <w:spacing w:line="390" w:lineRule="exact"/>
        <w:rPr>
          <w:rFonts w:hAnsi="宋体" w:cs="宋体"/>
          <w:bCs/>
          <w:color w:val="auto"/>
          <w:szCs w:val="21"/>
        </w:rPr>
      </w:pPr>
      <w:r>
        <w:rPr>
          <w:rFonts w:hint="eastAsia" w:hAnsi="宋体" w:cs="宋体"/>
          <w:bCs/>
          <w:color w:val="auto"/>
          <w:szCs w:val="21"/>
        </w:rPr>
        <w:t>（1</w:t>
      </w:r>
      <w:r>
        <w:rPr>
          <w:rFonts w:hint="eastAsia" w:hAnsi="宋体" w:cs="宋体"/>
          <w:bCs/>
          <w:color w:val="auto"/>
          <w:szCs w:val="21"/>
          <w:lang w:val="en-US" w:eastAsia="zh-CN"/>
        </w:rPr>
        <w:t>1</w:t>
      </w:r>
      <w:r>
        <w:rPr>
          <w:rFonts w:hint="eastAsia" w:hAnsi="宋体" w:cs="宋体"/>
          <w:bCs/>
          <w:color w:val="auto"/>
          <w:szCs w:val="21"/>
        </w:rPr>
        <w:t>）202</w:t>
      </w:r>
      <w:r>
        <w:rPr>
          <w:rFonts w:hint="eastAsia" w:hAnsi="宋体" w:cs="宋体"/>
          <w:bCs/>
          <w:color w:val="auto"/>
          <w:szCs w:val="21"/>
          <w:lang w:val="en-US" w:eastAsia="zh-CN"/>
        </w:rPr>
        <w:t>4</w:t>
      </w:r>
      <w:r>
        <w:rPr>
          <w:rFonts w:hint="eastAsia" w:hAnsi="宋体" w:cs="宋体"/>
          <w:bCs/>
          <w:color w:val="auto"/>
          <w:szCs w:val="21"/>
        </w:rPr>
        <w:t>年经审计的财务报告，或竞争性磋商公告日期后银行出具的有效资信证明，或竞争性磋商公告日期后政府采购专业担保机构出具的有效投标担保函（格式自拟，扫描件）；</w:t>
      </w:r>
    </w:p>
    <w:p w14:paraId="55DE8210">
      <w:pPr>
        <w:pStyle w:val="26"/>
        <w:spacing w:line="390" w:lineRule="exact"/>
        <w:rPr>
          <w:rFonts w:hAnsi="宋体" w:cs="宋体"/>
          <w:bCs/>
          <w:color w:val="auto"/>
          <w:szCs w:val="21"/>
        </w:rPr>
      </w:pPr>
      <w:r>
        <w:rPr>
          <w:rFonts w:hint="eastAsia" w:hAnsi="宋体" w:cs="宋体"/>
          <w:bCs/>
          <w:color w:val="auto"/>
          <w:szCs w:val="21"/>
        </w:rPr>
        <w:t>（1</w:t>
      </w:r>
      <w:r>
        <w:rPr>
          <w:rFonts w:hint="eastAsia" w:hAnsi="宋体" w:cs="宋体"/>
          <w:bCs/>
          <w:color w:val="auto"/>
          <w:szCs w:val="21"/>
          <w:lang w:val="en-US" w:eastAsia="zh-CN"/>
        </w:rPr>
        <w:t>2</w:t>
      </w:r>
      <w:r>
        <w:rPr>
          <w:rFonts w:hint="eastAsia" w:hAnsi="宋体" w:cs="宋体"/>
          <w:bCs/>
          <w:color w:val="auto"/>
          <w:szCs w:val="21"/>
        </w:rPr>
        <w:t>）磋商供应商认为必要提供的声明及文件资料。</w:t>
      </w:r>
    </w:p>
    <w:p w14:paraId="13C9DFB8">
      <w:pPr>
        <w:rPr>
          <w:rFonts w:ascii="宋体" w:hAnsi="宋体"/>
          <w:b/>
          <w:bCs/>
          <w:color w:val="auto"/>
          <w:sz w:val="24"/>
        </w:rPr>
      </w:pPr>
    </w:p>
    <w:p w14:paraId="04119942">
      <w:pPr>
        <w:rPr>
          <w:rFonts w:ascii="宋体" w:hAnsi="宋体"/>
          <w:b/>
          <w:color w:val="auto"/>
          <w:sz w:val="28"/>
          <w:szCs w:val="28"/>
        </w:rPr>
      </w:pPr>
    </w:p>
    <w:p w14:paraId="05064AA9">
      <w:pPr>
        <w:pStyle w:val="71"/>
        <w:jc w:val="center"/>
        <w:rPr>
          <w:color w:val="auto"/>
        </w:rPr>
      </w:pPr>
      <w:r>
        <w:rPr>
          <w:rFonts w:hint="eastAsia" w:hAnsi="宋体"/>
          <w:color w:val="auto"/>
          <w:sz w:val="24"/>
        </w:rPr>
        <w:t>正文格式自拟</w:t>
      </w:r>
    </w:p>
    <w:p w14:paraId="7033C572">
      <w:pPr>
        <w:spacing w:line="480" w:lineRule="auto"/>
        <w:rPr>
          <w:rFonts w:ascii="宋体" w:hAnsi="宋体"/>
          <w:b/>
          <w:color w:val="auto"/>
          <w:sz w:val="24"/>
        </w:rPr>
      </w:pPr>
      <w:r>
        <w:rPr>
          <w:rFonts w:hint="eastAsia" w:ascii="宋体" w:hAnsi="宋体"/>
          <w:b/>
          <w:bCs/>
          <w:color w:val="auto"/>
          <w:sz w:val="24"/>
        </w:rPr>
        <w:t>注：1.</w:t>
      </w:r>
      <w:r>
        <w:rPr>
          <w:rFonts w:hint="eastAsia" w:ascii="宋体" w:hAnsi="宋体"/>
          <w:b/>
          <w:color w:val="auto"/>
          <w:sz w:val="24"/>
          <w:u w:val="single"/>
        </w:rPr>
        <w:t>上述材料缺少任何一项或任何一项无效均会被视为资格审查不合格，作无效磋商处理</w:t>
      </w:r>
      <w:r>
        <w:rPr>
          <w:rFonts w:hint="eastAsia" w:ascii="宋体" w:hAnsi="宋体"/>
          <w:b/>
          <w:color w:val="auto"/>
          <w:sz w:val="24"/>
        </w:rPr>
        <w:t>。</w:t>
      </w:r>
    </w:p>
    <w:p w14:paraId="429BD9BF">
      <w:pPr>
        <w:numPr>
          <w:ilvl w:val="0"/>
          <w:numId w:val="10"/>
        </w:numPr>
        <w:spacing w:line="480" w:lineRule="auto"/>
        <w:ind w:firstLine="480" w:firstLineChars="200"/>
        <w:rPr>
          <w:rFonts w:ascii="宋体" w:hAnsi="宋体"/>
          <w:b/>
          <w:color w:val="auto"/>
          <w:sz w:val="24"/>
          <w:u w:val="single"/>
        </w:rPr>
      </w:pPr>
      <w:r>
        <w:rPr>
          <w:rFonts w:hint="eastAsia" w:ascii="宋体" w:hAnsi="宋体"/>
          <w:b/>
          <w:color w:val="auto"/>
          <w:sz w:val="24"/>
          <w:u w:val="single"/>
        </w:rPr>
        <w:t>以上材料属于复印件的扫描件的，必须加盖供应商电子公章，否则响应文件按无效响应处理。</w:t>
      </w:r>
    </w:p>
    <w:p w14:paraId="4B95897E">
      <w:pPr>
        <w:pStyle w:val="70"/>
        <w:rPr>
          <w:color w:val="auto"/>
        </w:rPr>
      </w:pPr>
    </w:p>
    <w:p w14:paraId="552B4B77">
      <w:pPr>
        <w:pStyle w:val="71"/>
        <w:rPr>
          <w:color w:val="auto"/>
        </w:rPr>
      </w:pPr>
    </w:p>
    <w:p w14:paraId="61CDF62C">
      <w:pPr>
        <w:widowControl/>
        <w:jc w:val="left"/>
        <w:rPr>
          <w:rFonts w:ascii="宋体" w:hAnsi="宋体"/>
          <w:b/>
          <w:color w:val="auto"/>
          <w:sz w:val="28"/>
          <w:szCs w:val="28"/>
        </w:rPr>
      </w:pPr>
      <w:r>
        <w:rPr>
          <w:rFonts w:ascii="宋体" w:hAnsi="宋体"/>
          <w:b/>
          <w:color w:val="auto"/>
          <w:sz w:val="28"/>
          <w:szCs w:val="28"/>
        </w:rPr>
        <w:br w:type="page"/>
      </w:r>
    </w:p>
    <w:p w14:paraId="3C442EB8">
      <w:pPr>
        <w:jc w:val="center"/>
        <w:rPr>
          <w:rFonts w:ascii="宋体" w:hAnsi="宋体"/>
          <w:b/>
          <w:color w:val="auto"/>
          <w:szCs w:val="21"/>
        </w:rPr>
      </w:pPr>
      <w:r>
        <w:rPr>
          <w:rFonts w:hint="eastAsia" w:ascii="宋体" w:hAnsi="宋体"/>
          <w:b/>
          <w:color w:val="auto"/>
          <w:sz w:val="28"/>
          <w:szCs w:val="28"/>
        </w:rPr>
        <w:t>附1、</w:t>
      </w:r>
      <w:r>
        <w:rPr>
          <w:rFonts w:hint="eastAsia" w:ascii="宋体" w:hAnsi="宋体" w:cs="黑体"/>
          <w:b/>
          <w:color w:val="auto"/>
          <w:kern w:val="0"/>
          <w:sz w:val="28"/>
          <w:szCs w:val="28"/>
        </w:rPr>
        <w:t>法定代表人身份证明书</w:t>
      </w:r>
      <w:r>
        <w:rPr>
          <w:rFonts w:hint="eastAsia" w:ascii="宋体" w:hAnsi="宋体"/>
          <w:b/>
          <w:color w:val="auto"/>
          <w:sz w:val="28"/>
          <w:szCs w:val="28"/>
        </w:rPr>
        <w:t>（格式）</w:t>
      </w:r>
    </w:p>
    <w:p w14:paraId="75954A59">
      <w:pPr>
        <w:autoSpaceDE w:val="0"/>
        <w:autoSpaceDN w:val="0"/>
        <w:adjustRightInd w:val="0"/>
        <w:rPr>
          <w:rFonts w:ascii="宋体" w:hAnsi="宋体" w:cs="黑体"/>
          <w:b/>
          <w:color w:val="auto"/>
          <w:kern w:val="0"/>
          <w:szCs w:val="21"/>
        </w:rPr>
      </w:pPr>
    </w:p>
    <w:p w14:paraId="4E25F796">
      <w:pPr>
        <w:autoSpaceDE w:val="0"/>
        <w:autoSpaceDN w:val="0"/>
        <w:adjustRightInd w:val="0"/>
        <w:spacing w:line="360" w:lineRule="auto"/>
        <w:ind w:firstLine="315" w:firstLineChars="150"/>
        <w:jc w:val="left"/>
        <w:rPr>
          <w:rFonts w:ascii="宋体" w:hAnsi="宋体" w:cs="仿宋_GB2312"/>
          <w:color w:val="auto"/>
          <w:kern w:val="0"/>
          <w:szCs w:val="21"/>
        </w:rPr>
      </w:pPr>
    </w:p>
    <w:p w14:paraId="4810E9B2">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磋商供应商名称：</w:t>
      </w:r>
    </w:p>
    <w:p w14:paraId="0F5F65E0">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单位性质：</w:t>
      </w:r>
    </w:p>
    <w:p w14:paraId="77DB3966">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地址：</w:t>
      </w:r>
    </w:p>
    <w:p w14:paraId="032D9A9C">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成立时间：   年  月  日</w:t>
      </w:r>
    </w:p>
    <w:p w14:paraId="5EEDEA93">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经营期限：</w:t>
      </w:r>
    </w:p>
    <w:p w14:paraId="609BA87A">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姓名： 性别： 年龄： 职务：</w:t>
      </w:r>
    </w:p>
    <w:p w14:paraId="3FE46288">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身份证号：</w:t>
      </w:r>
    </w:p>
    <w:p w14:paraId="5E266745">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系 （磋商供应商名称）的法定代表人。</w:t>
      </w:r>
    </w:p>
    <w:p w14:paraId="7F342998">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特此证明。</w:t>
      </w:r>
    </w:p>
    <w:p w14:paraId="46DB800D">
      <w:pPr>
        <w:autoSpaceDE w:val="0"/>
        <w:autoSpaceDN w:val="0"/>
        <w:adjustRightInd w:val="0"/>
        <w:spacing w:line="360" w:lineRule="auto"/>
        <w:ind w:firstLine="3150" w:firstLineChars="1500"/>
        <w:jc w:val="left"/>
        <w:rPr>
          <w:rFonts w:ascii="宋体" w:hAnsi="宋体" w:cs="仿宋_GB2312"/>
          <w:color w:val="auto"/>
          <w:kern w:val="0"/>
          <w:szCs w:val="21"/>
        </w:rPr>
      </w:pPr>
    </w:p>
    <w:p w14:paraId="68744EE3">
      <w:pPr>
        <w:autoSpaceDE w:val="0"/>
        <w:autoSpaceDN w:val="0"/>
        <w:adjustRightInd w:val="0"/>
        <w:spacing w:line="360" w:lineRule="auto"/>
        <w:ind w:firstLine="3150" w:firstLineChars="1500"/>
        <w:jc w:val="left"/>
        <w:rPr>
          <w:rFonts w:ascii="宋体" w:hAnsi="宋体" w:cs="仿宋_GB2312"/>
          <w:color w:val="auto"/>
          <w:kern w:val="0"/>
          <w:szCs w:val="21"/>
        </w:rPr>
      </w:pPr>
    </w:p>
    <w:p w14:paraId="61712366">
      <w:pPr>
        <w:autoSpaceDE w:val="0"/>
        <w:autoSpaceDN w:val="0"/>
        <w:adjustRightInd w:val="0"/>
        <w:spacing w:line="360" w:lineRule="auto"/>
        <w:ind w:firstLine="3150" w:firstLineChars="1500"/>
        <w:jc w:val="right"/>
        <w:rPr>
          <w:rFonts w:ascii="宋体" w:hAnsi="宋体" w:cs="仿宋_GB2312"/>
          <w:color w:val="auto"/>
          <w:kern w:val="0"/>
          <w:szCs w:val="21"/>
        </w:rPr>
      </w:pPr>
      <w:r>
        <w:rPr>
          <w:rFonts w:hint="eastAsia" w:ascii="宋体" w:hAnsi="宋体" w:cs="仿宋_GB2312"/>
          <w:color w:val="auto"/>
          <w:kern w:val="0"/>
          <w:szCs w:val="21"/>
        </w:rPr>
        <w:t>磋商供应商：</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w:t>
      </w:r>
      <w:r>
        <w:rPr>
          <w:rFonts w:hint="eastAsia" w:ascii="宋体" w:cs="宋体"/>
          <w:color w:val="auto"/>
          <w:kern w:val="0"/>
          <w:szCs w:val="21"/>
        </w:rPr>
        <w:t>公章或电子签章</w:t>
      </w:r>
      <w:r>
        <w:rPr>
          <w:rFonts w:hint="eastAsia" w:ascii="宋体" w:hAnsi="宋体" w:cs="仿宋_GB2312"/>
          <w:color w:val="auto"/>
          <w:kern w:val="0"/>
          <w:szCs w:val="21"/>
        </w:rPr>
        <w:t>）</w:t>
      </w:r>
    </w:p>
    <w:p w14:paraId="028A4499">
      <w:pPr>
        <w:autoSpaceDE w:val="0"/>
        <w:autoSpaceDN w:val="0"/>
        <w:adjustRightInd w:val="0"/>
        <w:spacing w:line="360" w:lineRule="auto"/>
        <w:ind w:firstLine="3780" w:firstLineChars="1800"/>
        <w:jc w:val="center"/>
        <w:rPr>
          <w:rFonts w:ascii="宋体" w:hAnsi="宋体" w:cs="仿宋_GB2312"/>
          <w:color w:val="auto"/>
          <w:kern w:val="0"/>
          <w:szCs w:val="21"/>
        </w:rPr>
      </w:pPr>
      <w:r>
        <w:rPr>
          <w:rFonts w:hint="eastAsia" w:ascii="宋体" w:hAnsi="宋体" w:cs="仿宋_GB2312"/>
          <w:color w:val="auto"/>
          <w:kern w:val="0"/>
          <w:szCs w:val="21"/>
        </w:rPr>
        <w:t>年  月  日</w:t>
      </w:r>
    </w:p>
    <w:p w14:paraId="2149A0D0">
      <w:pPr>
        <w:autoSpaceDE w:val="0"/>
        <w:autoSpaceDN w:val="0"/>
        <w:adjustRightInd w:val="0"/>
        <w:spacing w:line="240" w:lineRule="exact"/>
        <w:ind w:firstLine="308" w:firstLineChars="147"/>
        <w:jc w:val="left"/>
        <w:rPr>
          <w:rFonts w:ascii="宋体" w:hAnsi="宋体"/>
          <w:b/>
          <w:color w:val="auto"/>
          <w:szCs w:val="21"/>
        </w:rPr>
      </w:pPr>
    </w:p>
    <w:p w14:paraId="247CB636">
      <w:pPr>
        <w:autoSpaceDE w:val="0"/>
        <w:autoSpaceDN w:val="0"/>
        <w:adjustRightInd w:val="0"/>
        <w:spacing w:line="360" w:lineRule="auto"/>
        <w:ind w:firstLine="308" w:firstLineChars="147"/>
        <w:jc w:val="left"/>
        <w:rPr>
          <w:rFonts w:ascii="宋体" w:hAnsi="宋体"/>
          <w:b/>
          <w:color w:val="auto"/>
          <w:szCs w:val="21"/>
        </w:rPr>
      </w:pPr>
    </w:p>
    <w:p w14:paraId="625175C7">
      <w:pPr>
        <w:autoSpaceDE w:val="0"/>
        <w:autoSpaceDN w:val="0"/>
        <w:adjustRightInd w:val="0"/>
        <w:spacing w:line="360" w:lineRule="auto"/>
        <w:ind w:firstLine="308" w:firstLineChars="147"/>
        <w:jc w:val="left"/>
        <w:rPr>
          <w:rFonts w:ascii="宋体" w:hAnsi="宋体"/>
          <w:b/>
          <w:color w:val="auto"/>
          <w:szCs w:val="21"/>
        </w:rPr>
      </w:pPr>
    </w:p>
    <w:p w14:paraId="0B5CAD1C">
      <w:pPr>
        <w:autoSpaceDE w:val="0"/>
        <w:autoSpaceDN w:val="0"/>
        <w:adjustRightInd w:val="0"/>
        <w:spacing w:line="360" w:lineRule="auto"/>
        <w:ind w:firstLine="308" w:firstLineChars="147"/>
        <w:jc w:val="left"/>
        <w:rPr>
          <w:rFonts w:ascii="宋体" w:hAnsi="宋体" w:cs="仿宋_GB2312"/>
          <w:color w:val="auto"/>
          <w:kern w:val="0"/>
          <w:szCs w:val="21"/>
        </w:rPr>
      </w:pPr>
      <w:r>
        <w:rPr>
          <w:rFonts w:hint="eastAsia" w:ascii="宋体" w:hAnsi="宋体"/>
          <w:b/>
          <w:color w:val="auto"/>
          <w:szCs w:val="21"/>
        </w:rPr>
        <w:t>附：法定代表人二代居民身份证正、反两面扫描件</w:t>
      </w:r>
    </w:p>
    <w:p w14:paraId="16722BD5">
      <w:pPr>
        <w:autoSpaceDE w:val="0"/>
        <w:autoSpaceDN w:val="0"/>
        <w:adjustRightInd w:val="0"/>
        <w:spacing w:line="240" w:lineRule="exact"/>
        <w:ind w:firstLine="4620" w:firstLineChars="2200"/>
        <w:jc w:val="left"/>
        <w:rPr>
          <w:rFonts w:ascii="宋体" w:hAnsi="宋体" w:cs="仿宋_GB2312"/>
          <w:color w:val="auto"/>
          <w:kern w:val="0"/>
          <w:szCs w:val="21"/>
        </w:rPr>
      </w:pPr>
    </w:p>
    <w:p w14:paraId="64BD5EB5">
      <w:pPr>
        <w:autoSpaceDE w:val="0"/>
        <w:autoSpaceDN w:val="0"/>
        <w:adjustRightInd w:val="0"/>
        <w:jc w:val="center"/>
        <w:rPr>
          <w:rFonts w:ascii="宋体" w:hAnsi="宋体"/>
          <w:b/>
          <w:color w:val="auto"/>
          <w:szCs w:val="21"/>
        </w:rPr>
      </w:pPr>
    </w:p>
    <w:p w14:paraId="2CB2171C">
      <w:pPr>
        <w:autoSpaceDE w:val="0"/>
        <w:autoSpaceDN w:val="0"/>
        <w:adjustRightInd w:val="0"/>
        <w:jc w:val="center"/>
        <w:rPr>
          <w:rFonts w:ascii="宋体" w:hAnsi="宋体" w:cs="黑体"/>
          <w:b/>
          <w:color w:val="auto"/>
          <w:kern w:val="0"/>
          <w:szCs w:val="21"/>
        </w:rPr>
      </w:pPr>
      <w:r>
        <w:rPr>
          <w:rFonts w:ascii="宋体" w:hAnsi="宋体"/>
          <w:b/>
          <w:color w:val="auto"/>
          <w:szCs w:val="21"/>
        </w:rPr>
        <w:br w:type="page"/>
      </w:r>
      <w:r>
        <w:rPr>
          <w:rFonts w:hint="eastAsia" w:ascii="宋体" w:hAnsi="宋体"/>
          <w:b/>
          <w:color w:val="auto"/>
          <w:sz w:val="28"/>
          <w:szCs w:val="28"/>
        </w:rPr>
        <w:t>附2、</w:t>
      </w:r>
      <w:r>
        <w:rPr>
          <w:rFonts w:hint="eastAsia" w:ascii="宋体" w:hAnsi="宋体" w:cs="黑体"/>
          <w:b/>
          <w:color w:val="auto"/>
          <w:kern w:val="0"/>
          <w:sz w:val="28"/>
          <w:szCs w:val="28"/>
        </w:rPr>
        <w:t>授权委托书</w:t>
      </w:r>
      <w:r>
        <w:rPr>
          <w:rFonts w:hint="eastAsia" w:ascii="宋体" w:hAnsi="宋体"/>
          <w:b/>
          <w:color w:val="auto"/>
          <w:sz w:val="28"/>
          <w:szCs w:val="28"/>
        </w:rPr>
        <w:t>（格式）</w:t>
      </w:r>
    </w:p>
    <w:p w14:paraId="40BEE4CA">
      <w:pPr>
        <w:autoSpaceDE w:val="0"/>
        <w:autoSpaceDN w:val="0"/>
        <w:adjustRightInd w:val="0"/>
        <w:ind w:firstLine="3045" w:firstLineChars="1450"/>
        <w:rPr>
          <w:rFonts w:ascii="宋体" w:hAnsi="宋体" w:cs="黑体"/>
          <w:b/>
          <w:color w:val="auto"/>
          <w:kern w:val="0"/>
          <w:szCs w:val="21"/>
        </w:rPr>
      </w:pPr>
    </w:p>
    <w:p w14:paraId="1812F7CA">
      <w:pPr>
        <w:autoSpaceDE w:val="0"/>
        <w:autoSpaceDN w:val="0"/>
        <w:adjustRightInd w:val="0"/>
        <w:spacing w:line="360" w:lineRule="auto"/>
        <w:ind w:firstLine="525" w:firstLineChars="250"/>
        <w:jc w:val="left"/>
        <w:rPr>
          <w:rFonts w:ascii="宋体" w:hAnsi="宋体" w:cs="仿宋_GB2312"/>
          <w:color w:val="auto"/>
          <w:kern w:val="0"/>
          <w:szCs w:val="21"/>
        </w:rPr>
      </w:pPr>
    </w:p>
    <w:p w14:paraId="717DFA55">
      <w:pPr>
        <w:spacing w:line="360" w:lineRule="auto"/>
        <w:ind w:firstLine="411" w:firstLineChars="196"/>
        <w:jc w:val="left"/>
        <w:rPr>
          <w:rFonts w:ascii="宋体" w:hAnsi="宋体"/>
          <w:color w:val="auto"/>
          <w:szCs w:val="21"/>
        </w:rPr>
      </w:pPr>
      <w:r>
        <w:rPr>
          <w:rFonts w:ascii="宋体" w:hAnsi="宋体"/>
          <w:color w:val="auto"/>
          <w:szCs w:val="21"/>
        </w:rPr>
        <w:t>本授权委托书声明：我</w:t>
      </w:r>
      <w:r>
        <w:rPr>
          <w:rFonts w:ascii="宋体" w:hAnsi="宋体"/>
          <w:color w:val="auto"/>
          <w:szCs w:val="21"/>
          <w:u w:val="single"/>
        </w:rPr>
        <w:t xml:space="preserve">       （姓名）</w:t>
      </w:r>
      <w:r>
        <w:rPr>
          <w:rFonts w:ascii="宋体" w:hAnsi="宋体"/>
          <w:color w:val="auto"/>
          <w:szCs w:val="21"/>
        </w:rPr>
        <w:t>系</w:t>
      </w:r>
      <w:r>
        <w:rPr>
          <w:rFonts w:ascii="宋体" w:hAnsi="宋体"/>
          <w:color w:val="auto"/>
          <w:szCs w:val="21"/>
          <w:u w:val="single"/>
        </w:rPr>
        <w:t xml:space="preserve">        （</w:t>
      </w:r>
      <w:r>
        <w:rPr>
          <w:rFonts w:hint="eastAsia" w:ascii="宋体" w:hAnsi="宋体"/>
          <w:color w:val="auto"/>
          <w:szCs w:val="21"/>
          <w:u w:val="single"/>
        </w:rPr>
        <w:t>磋商供应商</w:t>
      </w:r>
      <w:r>
        <w:rPr>
          <w:rFonts w:ascii="宋体" w:hAnsi="宋体"/>
          <w:color w:val="auto"/>
          <w:szCs w:val="21"/>
          <w:u w:val="single"/>
        </w:rPr>
        <w:t>名称）</w:t>
      </w:r>
      <w:r>
        <w:rPr>
          <w:rFonts w:ascii="宋体" w:hAnsi="宋体"/>
          <w:color w:val="auto"/>
          <w:szCs w:val="21"/>
        </w:rPr>
        <w:t>的法定代表人，现授权委托</w:t>
      </w:r>
      <w:r>
        <w:rPr>
          <w:rFonts w:ascii="宋体" w:hAnsi="宋体"/>
          <w:color w:val="auto"/>
          <w:szCs w:val="21"/>
          <w:u w:val="single"/>
        </w:rPr>
        <w:t xml:space="preserve">      （单位名称）     </w:t>
      </w:r>
      <w:r>
        <w:rPr>
          <w:rFonts w:ascii="宋体" w:hAnsi="宋体"/>
          <w:color w:val="auto"/>
          <w:szCs w:val="21"/>
        </w:rPr>
        <w:t>的</w:t>
      </w:r>
      <w:r>
        <w:rPr>
          <w:rFonts w:ascii="宋体" w:hAnsi="宋体"/>
          <w:color w:val="auto"/>
          <w:szCs w:val="21"/>
          <w:u w:val="single"/>
        </w:rPr>
        <w:t xml:space="preserve">    （姓名）</w:t>
      </w:r>
      <w:r>
        <w:rPr>
          <w:rFonts w:ascii="宋体" w:hAnsi="宋体"/>
          <w:color w:val="auto"/>
          <w:szCs w:val="21"/>
        </w:rPr>
        <w:t>为我公司签署</w:t>
      </w:r>
      <w:r>
        <w:rPr>
          <w:rFonts w:hint="eastAsia" w:ascii="宋体" w:hAnsi="宋体"/>
          <w:color w:val="auto"/>
          <w:szCs w:val="21"/>
          <w:u w:val="single"/>
        </w:rPr>
        <w:t xml:space="preserve">                    （项目名称及项目编号）</w:t>
      </w:r>
      <w:r>
        <w:rPr>
          <w:rFonts w:ascii="宋体" w:hAnsi="宋体"/>
          <w:color w:val="auto"/>
          <w:szCs w:val="21"/>
        </w:rPr>
        <w:t>的</w:t>
      </w:r>
      <w:r>
        <w:rPr>
          <w:rFonts w:hint="eastAsia" w:ascii="宋体" w:hAnsi="宋体"/>
          <w:color w:val="auto"/>
          <w:szCs w:val="21"/>
        </w:rPr>
        <w:t>《响应文件》</w:t>
      </w:r>
      <w:r>
        <w:rPr>
          <w:rFonts w:ascii="宋体" w:hAnsi="宋体"/>
          <w:color w:val="auto"/>
          <w:szCs w:val="21"/>
        </w:rPr>
        <w:t>的法定代表人授权委托代理人，我承认代理人全权代表我所签署的本工程的</w:t>
      </w:r>
      <w:r>
        <w:rPr>
          <w:rFonts w:hint="eastAsia" w:ascii="宋体" w:hAnsi="宋体"/>
          <w:color w:val="auto"/>
          <w:szCs w:val="21"/>
        </w:rPr>
        <w:t>《响应文件》</w:t>
      </w:r>
      <w:r>
        <w:rPr>
          <w:rFonts w:ascii="宋体" w:hAnsi="宋体"/>
          <w:color w:val="auto"/>
          <w:szCs w:val="21"/>
        </w:rPr>
        <w:t>的内容。</w:t>
      </w:r>
    </w:p>
    <w:p w14:paraId="6CE9AC1D">
      <w:pPr>
        <w:spacing w:line="400" w:lineRule="exact"/>
        <w:ind w:firstLine="420" w:firstLineChars="200"/>
        <w:rPr>
          <w:rFonts w:ascii="宋体" w:hAnsi="宋体"/>
          <w:color w:val="auto"/>
          <w:szCs w:val="21"/>
        </w:rPr>
      </w:pPr>
      <w:r>
        <w:rPr>
          <w:rFonts w:ascii="宋体" w:hAnsi="宋体"/>
          <w:color w:val="auto"/>
          <w:szCs w:val="21"/>
        </w:rPr>
        <w:t>代理人无转委托权，特此委托。</w:t>
      </w:r>
    </w:p>
    <w:p w14:paraId="37215C18">
      <w:pPr>
        <w:spacing w:line="400" w:lineRule="exact"/>
        <w:rPr>
          <w:rFonts w:ascii="宋体" w:hAnsi="宋体"/>
          <w:color w:val="auto"/>
          <w:szCs w:val="21"/>
        </w:rPr>
      </w:pPr>
    </w:p>
    <w:p w14:paraId="72B41555">
      <w:pPr>
        <w:spacing w:line="400" w:lineRule="exact"/>
        <w:rPr>
          <w:rFonts w:ascii="宋体" w:hAnsi="宋体"/>
          <w:color w:val="auto"/>
          <w:szCs w:val="21"/>
        </w:rPr>
      </w:pPr>
    </w:p>
    <w:p w14:paraId="5148EFC0">
      <w:pPr>
        <w:spacing w:line="400" w:lineRule="exact"/>
        <w:rPr>
          <w:rFonts w:ascii="宋体" w:hAnsi="宋体"/>
          <w:color w:val="auto"/>
          <w:szCs w:val="21"/>
        </w:rPr>
      </w:pPr>
    </w:p>
    <w:p w14:paraId="7980DF4B">
      <w:pPr>
        <w:spacing w:line="400" w:lineRule="exact"/>
        <w:rPr>
          <w:rFonts w:ascii="宋体" w:hAnsi="宋体"/>
          <w:color w:val="auto"/>
          <w:szCs w:val="21"/>
        </w:rPr>
      </w:pPr>
    </w:p>
    <w:p w14:paraId="1C464366">
      <w:pPr>
        <w:wordWrap w:val="0"/>
        <w:spacing w:line="360" w:lineRule="auto"/>
        <w:ind w:left="2699"/>
        <w:jc w:val="center"/>
        <w:rPr>
          <w:rFonts w:ascii="宋体" w:hAnsi="宋体"/>
          <w:color w:val="auto"/>
          <w:szCs w:val="21"/>
          <w:u w:val="single"/>
        </w:rPr>
      </w:pPr>
      <w:r>
        <w:rPr>
          <w:rFonts w:ascii="宋体" w:hAnsi="宋体"/>
          <w:color w:val="auto"/>
          <w:szCs w:val="21"/>
        </w:rPr>
        <w:t>代理人：</w:t>
      </w:r>
      <w:r>
        <w:rPr>
          <w:rFonts w:hint="eastAsia" w:ascii="宋体" w:hAnsi="宋体"/>
          <w:color w:val="auto"/>
          <w:szCs w:val="21"/>
          <w:u w:val="single"/>
        </w:rPr>
        <w:t xml:space="preserve">         </w:t>
      </w:r>
      <w:r>
        <w:rPr>
          <w:rFonts w:ascii="宋体" w:hAnsi="宋体"/>
          <w:color w:val="auto"/>
          <w:szCs w:val="21"/>
        </w:rPr>
        <w:t>性别：</w:t>
      </w:r>
      <w:r>
        <w:rPr>
          <w:rFonts w:hint="eastAsia" w:ascii="宋体" w:hAnsi="宋体"/>
          <w:color w:val="auto"/>
          <w:szCs w:val="21"/>
          <w:u w:val="single"/>
        </w:rPr>
        <w:t xml:space="preserve">       </w:t>
      </w:r>
      <w:r>
        <w:rPr>
          <w:rFonts w:ascii="宋体" w:hAnsi="宋体"/>
          <w:color w:val="auto"/>
          <w:szCs w:val="21"/>
        </w:rPr>
        <w:t>年龄：</w:t>
      </w:r>
      <w:r>
        <w:rPr>
          <w:rFonts w:hint="eastAsia" w:ascii="宋体" w:hAnsi="宋体"/>
          <w:color w:val="auto"/>
          <w:szCs w:val="21"/>
          <w:u w:val="single"/>
        </w:rPr>
        <w:t xml:space="preserve">       </w:t>
      </w:r>
    </w:p>
    <w:p w14:paraId="00BFFE41">
      <w:pPr>
        <w:spacing w:line="360" w:lineRule="auto"/>
        <w:ind w:right="124" w:firstLine="3990" w:firstLineChars="1900"/>
        <w:rPr>
          <w:rFonts w:ascii="宋体" w:hAnsi="宋体"/>
          <w:color w:val="auto"/>
          <w:szCs w:val="21"/>
          <w:u w:val="single"/>
        </w:rPr>
      </w:pPr>
      <w:r>
        <w:rPr>
          <w:rFonts w:ascii="宋体" w:hAnsi="宋体"/>
          <w:color w:val="auto"/>
          <w:szCs w:val="21"/>
        </w:rPr>
        <w:t>身份证号码：</w:t>
      </w:r>
      <w:r>
        <w:rPr>
          <w:rFonts w:hint="eastAsia" w:ascii="宋体" w:hAnsi="宋体"/>
          <w:color w:val="auto"/>
          <w:szCs w:val="21"/>
          <w:u w:val="single"/>
        </w:rPr>
        <w:t xml:space="preserve">                 </w:t>
      </w:r>
      <w:r>
        <w:rPr>
          <w:rFonts w:ascii="宋体" w:hAnsi="宋体"/>
          <w:color w:val="auto"/>
          <w:szCs w:val="21"/>
        </w:rPr>
        <w:t>职务：</w:t>
      </w:r>
      <w:r>
        <w:rPr>
          <w:rFonts w:hint="eastAsia" w:ascii="宋体" w:hAnsi="宋体"/>
          <w:color w:val="auto"/>
          <w:szCs w:val="21"/>
          <w:u w:val="single"/>
        </w:rPr>
        <w:t xml:space="preserve">            </w:t>
      </w:r>
    </w:p>
    <w:p w14:paraId="4A3108F5">
      <w:pPr>
        <w:spacing w:line="360" w:lineRule="auto"/>
        <w:ind w:left="2699"/>
        <w:jc w:val="right"/>
        <w:rPr>
          <w:rFonts w:ascii="宋体" w:hAnsi="宋体"/>
          <w:color w:val="auto"/>
          <w:szCs w:val="21"/>
        </w:rPr>
      </w:pPr>
      <w:r>
        <w:rPr>
          <w:rFonts w:hint="eastAsia" w:ascii="宋体" w:hAnsi="宋体"/>
          <w:color w:val="auto"/>
          <w:szCs w:val="21"/>
        </w:rPr>
        <w:t>磋商供应商</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公章或电子签章</w:t>
      </w:r>
      <w:r>
        <w:rPr>
          <w:rFonts w:ascii="宋体" w:hAnsi="宋体"/>
          <w:color w:val="auto"/>
          <w:szCs w:val="21"/>
          <w:u w:val="single"/>
        </w:rPr>
        <w:t>）</w:t>
      </w:r>
    </w:p>
    <w:p w14:paraId="7F7D235B">
      <w:pPr>
        <w:spacing w:line="360" w:lineRule="auto"/>
        <w:ind w:left="2699"/>
        <w:jc w:val="right"/>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u w:val="single"/>
        </w:rPr>
        <w:t>手写签名或电子签名</w:t>
      </w:r>
      <w:r>
        <w:rPr>
          <w:rFonts w:ascii="宋体" w:hAnsi="宋体"/>
          <w:color w:val="auto"/>
          <w:szCs w:val="21"/>
          <w:u w:val="single"/>
        </w:rPr>
        <w:t>）</w:t>
      </w:r>
    </w:p>
    <w:p w14:paraId="03D22C15">
      <w:pPr>
        <w:spacing w:line="360" w:lineRule="auto"/>
        <w:ind w:left="2699" w:firstLine="1260" w:firstLineChars="600"/>
        <w:rPr>
          <w:rFonts w:ascii="宋体" w:hAnsi="宋体"/>
          <w:color w:val="auto"/>
          <w:szCs w:val="21"/>
        </w:rPr>
      </w:pPr>
      <w:r>
        <w:rPr>
          <w:rFonts w:ascii="宋体" w:hAnsi="宋体"/>
          <w:color w:val="auto"/>
          <w:szCs w:val="21"/>
        </w:rPr>
        <w:t xml:space="preserve">授权委托日期：  年  月  日 </w:t>
      </w:r>
    </w:p>
    <w:p w14:paraId="3D0BAB92">
      <w:pPr>
        <w:spacing w:line="400" w:lineRule="exact"/>
        <w:rPr>
          <w:color w:val="auto"/>
        </w:rPr>
      </w:pPr>
    </w:p>
    <w:p w14:paraId="60E2D8EC">
      <w:pPr>
        <w:spacing w:line="400" w:lineRule="exact"/>
        <w:rPr>
          <w:color w:val="auto"/>
        </w:rPr>
      </w:pPr>
    </w:p>
    <w:p w14:paraId="1D6790EC">
      <w:pPr>
        <w:spacing w:line="400" w:lineRule="exact"/>
        <w:rPr>
          <w:color w:val="auto"/>
        </w:rPr>
      </w:pPr>
    </w:p>
    <w:p w14:paraId="1F29DFEA">
      <w:pPr>
        <w:spacing w:line="400" w:lineRule="exact"/>
        <w:rPr>
          <w:color w:val="auto"/>
        </w:rPr>
      </w:pPr>
    </w:p>
    <w:p w14:paraId="232B7B2E">
      <w:pPr>
        <w:spacing w:line="400" w:lineRule="exact"/>
        <w:rPr>
          <w:color w:val="auto"/>
        </w:rPr>
      </w:pPr>
    </w:p>
    <w:p w14:paraId="1BE29E05">
      <w:pPr>
        <w:spacing w:line="400" w:lineRule="exact"/>
        <w:rPr>
          <w:color w:val="auto"/>
        </w:rPr>
      </w:pPr>
    </w:p>
    <w:p w14:paraId="1EBEC664">
      <w:pPr>
        <w:spacing w:line="400" w:lineRule="exact"/>
        <w:rPr>
          <w:b/>
          <w:bCs/>
          <w:color w:val="auto"/>
        </w:rPr>
      </w:pPr>
      <w:r>
        <w:rPr>
          <w:b/>
          <w:bCs/>
          <w:color w:val="auto"/>
        </w:rPr>
        <w:t>附</w:t>
      </w:r>
      <w:r>
        <w:rPr>
          <w:rFonts w:hint="eastAsia"/>
          <w:b/>
          <w:bCs/>
          <w:color w:val="auto"/>
        </w:rPr>
        <w:t>：委托代理人</w:t>
      </w:r>
      <w:r>
        <w:rPr>
          <w:rFonts w:hint="eastAsia" w:ascii="宋体" w:hAnsi="宋体"/>
          <w:b/>
          <w:bCs/>
          <w:color w:val="auto"/>
          <w:szCs w:val="21"/>
        </w:rPr>
        <w:t>二代居民身份证</w:t>
      </w:r>
      <w:r>
        <w:rPr>
          <w:rFonts w:hint="eastAsia" w:ascii="宋体" w:hAnsi="宋体"/>
          <w:b/>
          <w:color w:val="auto"/>
          <w:szCs w:val="21"/>
        </w:rPr>
        <w:t>正、反两面</w:t>
      </w:r>
      <w:r>
        <w:rPr>
          <w:rFonts w:hint="eastAsia" w:ascii="宋体" w:hAnsi="宋体"/>
          <w:b/>
          <w:bCs/>
          <w:color w:val="auto"/>
          <w:szCs w:val="21"/>
        </w:rPr>
        <w:t>扫描件。</w:t>
      </w:r>
    </w:p>
    <w:p w14:paraId="111F9983">
      <w:pPr>
        <w:ind w:firstLine="420" w:firstLineChars="200"/>
        <w:rPr>
          <w:rFonts w:ascii="宋体" w:hAnsi="宋体"/>
          <w:color w:val="auto"/>
          <w:szCs w:val="21"/>
        </w:rPr>
      </w:pPr>
    </w:p>
    <w:p w14:paraId="350AE429">
      <w:pPr>
        <w:rPr>
          <w:rFonts w:ascii="宋体" w:hAnsi="宋体"/>
          <w:b/>
          <w:color w:val="auto"/>
          <w:szCs w:val="21"/>
        </w:rPr>
      </w:pPr>
    </w:p>
    <w:p w14:paraId="07A72053">
      <w:pPr>
        <w:rPr>
          <w:rFonts w:ascii="宋体" w:hAnsi="宋体"/>
          <w:b/>
          <w:bCs/>
          <w:color w:val="auto"/>
          <w:sz w:val="24"/>
        </w:rPr>
      </w:pPr>
    </w:p>
    <w:p w14:paraId="1AB2C0C8">
      <w:pPr>
        <w:pStyle w:val="70"/>
        <w:rPr>
          <w:rFonts w:hAnsi="宋体" w:cs="Times New Roman"/>
          <w:b/>
          <w:bCs/>
          <w:color w:val="auto"/>
        </w:rPr>
      </w:pPr>
    </w:p>
    <w:p w14:paraId="56B2CF2C">
      <w:pPr>
        <w:ind w:firstLine="315" w:firstLineChars="150"/>
        <w:rPr>
          <w:rFonts w:ascii="宋体" w:hAnsi="宋体"/>
          <w:bCs/>
          <w:color w:val="auto"/>
          <w:szCs w:val="21"/>
        </w:rPr>
      </w:pPr>
    </w:p>
    <w:p w14:paraId="2F01F20E">
      <w:pPr>
        <w:rPr>
          <w:rFonts w:ascii="宋体" w:hAnsi="宋体"/>
          <w:bCs/>
          <w:color w:val="auto"/>
          <w:szCs w:val="21"/>
        </w:rPr>
      </w:pPr>
    </w:p>
    <w:p w14:paraId="7FA0F450">
      <w:pPr>
        <w:rPr>
          <w:rFonts w:hAnsi="宋体" w:cs="宋体"/>
          <w:bCs/>
          <w:color w:val="auto"/>
          <w:szCs w:val="21"/>
        </w:rPr>
      </w:pPr>
      <w:r>
        <w:rPr>
          <w:rFonts w:ascii="宋体" w:hAnsi="宋体"/>
          <w:color w:val="auto"/>
          <w:szCs w:val="21"/>
        </w:rPr>
        <w:br w:type="page"/>
      </w:r>
    </w:p>
    <w:p w14:paraId="507482D9">
      <w:pPr>
        <w:spacing w:line="336" w:lineRule="auto"/>
        <w:ind w:right="-153" w:rightChars="-73"/>
        <w:jc w:val="center"/>
        <w:rPr>
          <w:rFonts w:ascii="宋体" w:hAnsi="宋体"/>
          <w:b/>
          <w:color w:val="auto"/>
          <w:szCs w:val="21"/>
        </w:rPr>
      </w:pPr>
    </w:p>
    <w:p w14:paraId="6399CD85">
      <w:pPr>
        <w:spacing w:line="336" w:lineRule="auto"/>
        <w:ind w:right="-153" w:rightChars="-73"/>
        <w:jc w:val="center"/>
        <w:rPr>
          <w:rFonts w:ascii="宋体" w:hAnsi="宋体"/>
          <w:b/>
          <w:color w:val="auto"/>
          <w:szCs w:val="21"/>
        </w:rPr>
      </w:pPr>
    </w:p>
    <w:p w14:paraId="16563917">
      <w:pPr>
        <w:jc w:val="center"/>
        <w:rPr>
          <w:rFonts w:ascii="宋体" w:hAnsi="宋体"/>
          <w:b/>
          <w:color w:val="auto"/>
          <w:kern w:val="44"/>
          <w:sz w:val="28"/>
          <w:szCs w:val="28"/>
        </w:rPr>
      </w:pPr>
      <w:r>
        <w:rPr>
          <w:rFonts w:hint="eastAsia" w:ascii="宋体" w:hAnsi="宋体"/>
          <w:b/>
          <w:color w:val="auto"/>
          <w:kern w:val="44"/>
          <w:sz w:val="28"/>
          <w:szCs w:val="28"/>
        </w:rPr>
        <w:t>第二节  报价文件格式</w:t>
      </w:r>
    </w:p>
    <w:p w14:paraId="2C185F3C">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3B7CA49">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779E349C">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189997F0">
      <w:pPr>
        <w:pStyle w:val="70"/>
        <w:rPr>
          <w:color w:val="auto"/>
        </w:rPr>
      </w:pPr>
    </w:p>
    <w:p w14:paraId="387E8B7B">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53C75F6">
      <w:pPr>
        <w:rPr>
          <w:color w:val="auto"/>
          <w:sz w:val="28"/>
          <w:szCs w:val="28"/>
          <w:u w:val="single"/>
        </w:rPr>
      </w:pPr>
    </w:p>
    <w:p w14:paraId="153E037B">
      <w:pPr>
        <w:jc w:val="center"/>
        <w:rPr>
          <w:b/>
          <w:bCs/>
          <w:color w:val="auto"/>
          <w:sz w:val="28"/>
          <w:szCs w:val="28"/>
        </w:rPr>
      </w:pPr>
      <w:r>
        <w:rPr>
          <w:rFonts w:hint="eastAsia"/>
          <w:b/>
          <w:bCs/>
          <w:color w:val="auto"/>
          <w:sz w:val="28"/>
          <w:szCs w:val="28"/>
        </w:rPr>
        <w:t>报  价  文  件（封面）</w:t>
      </w:r>
    </w:p>
    <w:p w14:paraId="227D789D">
      <w:pPr>
        <w:jc w:val="center"/>
        <w:rPr>
          <w:b/>
          <w:bCs/>
          <w:color w:val="auto"/>
          <w:sz w:val="28"/>
          <w:szCs w:val="28"/>
        </w:rPr>
      </w:pPr>
    </w:p>
    <w:p w14:paraId="13DA57F4">
      <w:pPr>
        <w:jc w:val="center"/>
        <w:rPr>
          <w:b/>
          <w:bCs/>
          <w:color w:val="auto"/>
          <w:sz w:val="28"/>
          <w:szCs w:val="28"/>
        </w:rPr>
      </w:pPr>
    </w:p>
    <w:p w14:paraId="40764CCE">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文件</w:t>
      </w:r>
    </w:p>
    <w:p w14:paraId="7C986755">
      <w:pPr>
        <w:spacing w:line="360" w:lineRule="auto"/>
        <w:ind w:firstLine="2380" w:firstLineChars="850"/>
        <w:rPr>
          <w:b/>
          <w:bCs/>
          <w:color w:val="auto"/>
          <w:sz w:val="28"/>
          <w:szCs w:val="28"/>
        </w:rPr>
      </w:pPr>
      <w:r>
        <w:rPr>
          <w:rFonts w:hint="eastAsia"/>
          <w:b/>
          <w:bCs/>
          <w:color w:val="auto"/>
          <w:sz w:val="28"/>
          <w:szCs w:val="28"/>
        </w:rPr>
        <w:t>项目名称：</w:t>
      </w:r>
    </w:p>
    <w:p w14:paraId="3E821CB0">
      <w:pPr>
        <w:spacing w:line="360" w:lineRule="auto"/>
        <w:ind w:firstLine="2380" w:firstLineChars="850"/>
        <w:rPr>
          <w:b/>
          <w:bCs/>
          <w:color w:val="auto"/>
          <w:sz w:val="28"/>
          <w:szCs w:val="28"/>
        </w:rPr>
      </w:pPr>
      <w:r>
        <w:rPr>
          <w:b/>
          <w:bCs/>
          <w:color w:val="auto"/>
          <w:sz w:val="28"/>
          <w:szCs w:val="28"/>
        </w:rPr>
        <w:t>项目编号：</w:t>
      </w:r>
    </w:p>
    <w:p w14:paraId="70B1F2BE">
      <w:pPr>
        <w:pStyle w:val="70"/>
        <w:rPr>
          <w:color w:val="auto"/>
        </w:rPr>
      </w:pPr>
    </w:p>
    <w:p w14:paraId="180A307E">
      <w:pPr>
        <w:jc w:val="center"/>
        <w:rPr>
          <w:b/>
          <w:bCs/>
          <w:color w:val="auto"/>
          <w:sz w:val="28"/>
          <w:szCs w:val="28"/>
        </w:rPr>
      </w:pPr>
    </w:p>
    <w:p w14:paraId="1E176BCC">
      <w:pPr>
        <w:rPr>
          <w:b/>
          <w:bCs/>
          <w:color w:val="auto"/>
          <w:sz w:val="28"/>
          <w:szCs w:val="28"/>
        </w:rPr>
      </w:pPr>
    </w:p>
    <w:p w14:paraId="54BF5224">
      <w:pPr>
        <w:rPr>
          <w:b/>
          <w:bCs/>
          <w:color w:val="auto"/>
          <w:sz w:val="28"/>
          <w:szCs w:val="28"/>
        </w:rPr>
      </w:pPr>
    </w:p>
    <w:p w14:paraId="5747D048">
      <w:pPr>
        <w:jc w:val="center"/>
        <w:rPr>
          <w:b/>
          <w:bCs/>
          <w:color w:val="auto"/>
          <w:sz w:val="28"/>
          <w:szCs w:val="28"/>
        </w:rPr>
      </w:pPr>
    </w:p>
    <w:p w14:paraId="5846F751">
      <w:pPr>
        <w:jc w:val="center"/>
        <w:rPr>
          <w:b/>
          <w:bCs/>
          <w:color w:val="auto"/>
          <w:sz w:val="28"/>
          <w:szCs w:val="28"/>
        </w:rPr>
      </w:pPr>
    </w:p>
    <w:p w14:paraId="277286F8">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rPr>
        <w:t>公章或电子签章</w:t>
      </w:r>
      <w:r>
        <w:rPr>
          <w:b/>
          <w:bCs/>
          <w:color w:val="auto"/>
          <w:sz w:val="28"/>
          <w:szCs w:val="28"/>
        </w:rPr>
        <w:t>）</w:t>
      </w:r>
    </w:p>
    <w:p w14:paraId="1F983CC8">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rPr>
        <w:t>手写签名或电子签名</w:t>
      </w:r>
      <w:r>
        <w:rPr>
          <w:b/>
          <w:bCs/>
          <w:color w:val="auto"/>
          <w:sz w:val="28"/>
          <w:szCs w:val="28"/>
        </w:rPr>
        <w:t>）</w:t>
      </w:r>
    </w:p>
    <w:p w14:paraId="0269CA73">
      <w:pPr>
        <w:jc w:val="center"/>
        <w:rPr>
          <w:b/>
          <w:bCs/>
          <w:color w:val="auto"/>
          <w:sz w:val="28"/>
          <w:szCs w:val="28"/>
        </w:rPr>
      </w:pPr>
      <w:r>
        <w:rPr>
          <w:b/>
          <w:bCs/>
          <w:color w:val="auto"/>
          <w:sz w:val="28"/>
          <w:szCs w:val="28"/>
        </w:rPr>
        <w:t xml:space="preserve">  年  月  日</w:t>
      </w:r>
    </w:p>
    <w:p w14:paraId="220603D2">
      <w:pPr>
        <w:spacing w:line="336" w:lineRule="auto"/>
        <w:ind w:right="-153" w:rightChars="-73"/>
        <w:jc w:val="center"/>
        <w:rPr>
          <w:rFonts w:ascii="宋体" w:hAnsi="宋体"/>
          <w:b/>
          <w:color w:val="auto"/>
          <w:szCs w:val="21"/>
        </w:rPr>
      </w:pPr>
    </w:p>
    <w:p w14:paraId="765A58F4">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25188211">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50FB3FEA">
      <w:pPr>
        <w:pStyle w:val="26"/>
        <w:spacing w:line="390" w:lineRule="exact"/>
        <w:rPr>
          <w:rFonts w:hAnsi="宋体" w:cs="宋体"/>
          <w:bCs/>
          <w:color w:val="auto"/>
          <w:szCs w:val="21"/>
        </w:rPr>
      </w:pPr>
      <w:r>
        <w:rPr>
          <w:rFonts w:hint="eastAsia" w:hAnsi="宋体" w:cs="宋体"/>
          <w:bCs/>
          <w:color w:val="auto"/>
          <w:szCs w:val="21"/>
        </w:rPr>
        <w:t>（1）磋商函及磋商函附录</w:t>
      </w:r>
    </w:p>
    <w:p w14:paraId="665EE5E9">
      <w:pPr>
        <w:pStyle w:val="26"/>
        <w:spacing w:line="390" w:lineRule="exact"/>
        <w:rPr>
          <w:rFonts w:hAnsi="宋体" w:cs="宋体"/>
          <w:bCs/>
          <w:color w:val="auto"/>
          <w:szCs w:val="21"/>
        </w:rPr>
      </w:pPr>
      <w:r>
        <w:rPr>
          <w:rFonts w:hint="eastAsia" w:hAnsi="宋体" w:cs="宋体"/>
          <w:bCs/>
          <w:color w:val="auto"/>
          <w:szCs w:val="21"/>
        </w:rPr>
        <w:t>（2）竞标人基本情况表</w:t>
      </w:r>
    </w:p>
    <w:p w14:paraId="519EAA3D">
      <w:pPr>
        <w:pStyle w:val="26"/>
        <w:spacing w:line="390" w:lineRule="exact"/>
        <w:rPr>
          <w:rFonts w:hAnsi="宋体" w:cs="宋体"/>
          <w:bCs/>
          <w:color w:val="auto"/>
          <w:szCs w:val="21"/>
        </w:rPr>
      </w:pPr>
      <w:r>
        <w:rPr>
          <w:rFonts w:hint="eastAsia" w:hAnsi="宋体" w:cs="宋体"/>
          <w:bCs/>
          <w:color w:val="auto"/>
          <w:szCs w:val="21"/>
        </w:rPr>
        <w:t>（3）已标价工程量清单</w:t>
      </w:r>
    </w:p>
    <w:p w14:paraId="7CE4DF36">
      <w:pPr>
        <w:spacing w:line="336" w:lineRule="auto"/>
        <w:ind w:right="-153" w:rightChars="-73"/>
        <w:jc w:val="center"/>
        <w:rPr>
          <w:rFonts w:ascii="宋体" w:hAnsi="宋体"/>
          <w:b/>
          <w:color w:val="auto"/>
          <w:szCs w:val="21"/>
        </w:rPr>
      </w:pPr>
    </w:p>
    <w:p w14:paraId="33D0F7C3">
      <w:pPr>
        <w:spacing w:line="336" w:lineRule="auto"/>
        <w:ind w:right="-153" w:rightChars="-73"/>
        <w:jc w:val="center"/>
        <w:rPr>
          <w:rFonts w:ascii="宋体" w:hAnsi="宋体"/>
          <w:b/>
          <w:color w:val="auto"/>
          <w:szCs w:val="21"/>
        </w:rPr>
      </w:pPr>
    </w:p>
    <w:p w14:paraId="71C6E2A4">
      <w:pPr>
        <w:spacing w:line="336" w:lineRule="auto"/>
        <w:ind w:right="-153" w:rightChars="-73"/>
        <w:jc w:val="center"/>
        <w:rPr>
          <w:rFonts w:ascii="宋体" w:hAnsi="宋体"/>
          <w:b/>
          <w:color w:val="auto"/>
          <w:szCs w:val="21"/>
        </w:rPr>
      </w:pPr>
    </w:p>
    <w:p w14:paraId="7AD2517A">
      <w:pPr>
        <w:rPr>
          <w:rFonts w:ascii="宋体" w:hAnsi="宋体"/>
          <w:b/>
          <w:color w:val="auto"/>
          <w:sz w:val="28"/>
          <w:szCs w:val="28"/>
        </w:rPr>
      </w:pPr>
      <w:r>
        <w:rPr>
          <w:rFonts w:hint="eastAsia" w:ascii="宋体" w:hAnsi="宋体"/>
          <w:b/>
          <w:color w:val="auto"/>
          <w:sz w:val="28"/>
          <w:szCs w:val="28"/>
        </w:rPr>
        <w:br w:type="page"/>
      </w:r>
    </w:p>
    <w:p w14:paraId="3EC409AF">
      <w:pPr>
        <w:spacing w:line="336" w:lineRule="auto"/>
        <w:ind w:right="-153" w:rightChars="-73"/>
        <w:jc w:val="center"/>
        <w:rPr>
          <w:rFonts w:ascii="宋体" w:hAnsi="宋体"/>
          <w:b/>
          <w:color w:val="auto"/>
          <w:sz w:val="24"/>
        </w:rPr>
      </w:pPr>
      <w:r>
        <w:rPr>
          <w:rFonts w:hint="eastAsia" w:ascii="宋体" w:hAnsi="宋体"/>
          <w:b/>
          <w:color w:val="auto"/>
          <w:sz w:val="28"/>
          <w:szCs w:val="28"/>
        </w:rPr>
        <w:t>一、磋商函及磋商函附录</w:t>
      </w:r>
    </w:p>
    <w:p w14:paraId="3D6D7268">
      <w:pPr>
        <w:ind w:firstLine="2040" w:firstLineChars="850"/>
        <w:jc w:val="center"/>
        <w:rPr>
          <w:rFonts w:ascii="宋体" w:hAnsi="宋体"/>
          <w:b/>
          <w:color w:val="auto"/>
          <w:sz w:val="24"/>
        </w:rPr>
      </w:pPr>
    </w:p>
    <w:p w14:paraId="52A92243">
      <w:pPr>
        <w:jc w:val="center"/>
        <w:rPr>
          <w:rFonts w:ascii="宋体" w:hAnsi="宋体"/>
          <w:b/>
          <w:color w:val="auto"/>
          <w:sz w:val="24"/>
        </w:rPr>
      </w:pPr>
      <w:r>
        <w:rPr>
          <w:rFonts w:hint="eastAsia" w:ascii="宋体" w:hAnsi="宋体"/>
          <w:b/>
          <w:color w:val="auto"/>
          <w:sz w:val="24"/>
        </w:rPr>
        <w:t>（一）磋商函</w:t>
      </w:r>
    </w:p>
    <w:p w14:paraId="7B94D863">
      <w:pPr>
        <w:ind w:left="5250"/>
        <w:jc w:val="center"/>
        <w:rPr>
          <w:rFonts w:ascii="宋体" w:hAnsi="宋体"/>
          <w:b/>
          <w:bCs/>
          <w:color w:val="auto"/>
          <w:szCs w:val="21"/>
        </w:rPr>
      </w:pPr>
    </w:p>
    <w:p w14:paraId="558445B6">
      <w:pPr>
        <w:spacing w:line="40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（采购人名称）：</w:t>
      </w:r>
    </w:p>
    <w:p w14:paraId="53329ACB">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1、我方已仔细研究了</w:t>
      </w:r>
      <w:r>
        <w:rPr>
          <w:rFonts w:hint="eastAsia" w:ascii="宋体" w:hAnsi="宋体" w:cs="宋体"/>
          <w:color w:val="auto"/>
          <w:szCs w:val="21"/>
          <w:u w:val="single"/>
        </w:rPr>
        <w:t xml:space="preserve">            </w:t>
      </w:r>
      <w:r>
        <w:rPr>
          <w:rFonts w:hint="eastAsia" w:ascii="宋体" w:hAnsi="宋体" w:cs="宋体"/>
          <w:color w:val="auto"/>
          <w:szCs w:val="21"/>
        </w:rPr>
        <w:t>（项目名称及项目编号）《竞争性磋商文件》的全部内容，愿意以人民币（大写）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）的磋商总报价，工期</w:t>
      </w:r>
      <w:r>
        <w:rPr>
          <w:rFonts w:hint="eastAsia" w:ascii="宋体" w:hAnsi="宋体" w:cs="宋体"/>
          <w:color w:val="auto"/>
          <w:szCs w:val="21"/>
          <w:u w:val="single"/>
        </w:rPr>
        <w:t xml:space="preserve">      </w:t>
      </w:r>
      <w:r>
        <w:rPr>
          <w:rFonts w:hint="eastAsia" w:ascii="宋体" w:hAnsi="宋体" w:cs="宋体"/>
          <w:color w:val="auto"/>
          <w:szCs w:val="21"/>
        </w:rPr>
        <w:t>日历天，按合同约定实施和完成承包工程，修补工程中的任何缺陷，工程质量等级达到</w:t>
      </w:r>
      <w:r>
        <w:rPr>
          <w:rFonts w:hint="eastAsia" w:ascii="宋体" w:hAnsi="宋体" w:cs="宋体"/>
          <w:color w:val="auto"/>
          <w:szCs w:val="21"/>
          <w:u w:val="single"/>
        </w:rPr>
        <w:t xml:space="preserve">            。</w:t>
      </w:r>
    </w:p>
    <w:p w14:paraId="2800A4F9">
      <w:pPr>
        <w:spacing w:line="400" w:lineRule="exact"/>
        <w:ind w:firstLine="420" w:firstLineChars="200"/>
        <w:rPr>
          <w:rFonts w:ascii="宋体" w:hAnsi="宋体" w:cs="宋体"/>
          <w:color w:val="auto"/>
          <w:szCs w:val="21"/>
        </w:rPr>
      </w:pPr>
      <w:r>
        <w:rPr>
          <w:rFonts w:hint="eastAsia" w:ascii="宋体" w:hAnsi="宋体" w:cs="宋体"/>
          <w:color w:val="auto"/>
          <w:szCs w:val="21"/>
        </w:rPr>
        <w:t>2、我方同意所递交的《响应文件》在“磋商供应商须知前附表”第8条规定的磋商有效期内有效，在此期间内我方的磋商有可能成交，我方将受此约束。　</w:t>
      </w:r>
    </w:p>
    <w:p w14:paraId="0337A757">
      <w:pPr>
        <w:spacing w:line="400" w:lineRule="exact"/>
        <w:ind w:firstLine="420" w:firstLineChars="200"/>
        <w:rPr>
          <w:rFonts w:ascii="宋体" w:hAnsi="宋体" w:cs="宋体"/>
          <w:color w:val="auto"/>
          <w:szCs w:val="21"/>
        </w:rPr>
      </w:pPr>
      <w:r>
        <w:rPr>
          <w:rFonts w:hint="eastAsia" w:ascii="宋体" w:hAnsi="宋体" w:cs="宋体"/>
          <w:color w:val="auto"/>
          <w:szCs w:val="21"/>
        </w:rPr>
        <w:t>3、我方承诺已经具备《中华人民共和国政府采购法》第二十二条中规定的参加政府采购活动的供应商应当具备的条件。</w:t>
      </w:r>
    </w:p>
    <w:p w14:paraId="01DE8063">
      <w:pPr>
        <w:spacing w:line="400" w:lineRule="exact"/>
        <w:ind w:firstLine="420" w:firstLineChars="200"/>
        <w:rPr>
          <w:rFonts w:ascii="宋体" w:hAnsi="宋体" w:cs="宋体"/>
          <w:color w:val="auto"/>
          <w:szCs w:val="21"/>
        </w:rPr>
      </w:pPr>
      <w:r>
        <w:rPr>
          <w:rFonts w:hint="eastAsia" w:ascii="宋体" w:hAnsi="宋体" w:cs="宋体"/>
          <w:color w:val="auto"/>
          <w:szCs w:val="21"/>
        </w:rPr>
        <w:t>4、我方根据《竞争性磋商文件》的规定，承担完成合同的责任和义务。</w:t>
      </w:r>
    </w:p>
    <w:p w14:paraId="515FE0AE">
      <w:pPr>
        <w:pStyle w:val="26"/>
        <w:spacing w:line="400" w:lineRule="exact"/>
        <w:ind w:firstLine="420" w:firstLineChars="200"/>
        <w:rPr>
          <w:rFonts w:hAnsi="宋体" w:cs="宋体"/>
          <w:color w:val="auto"/>
          <w:szCs w:val="21"/>
        </w:rPr>
      </w:pPr>
      <w:r>
        <w:rPr>
          <w:rFonts w:hint="eastAsia" w:hAnsi="宋体" w:cs="宋体"/>
          <w:color w:val="auto"/>
          <w:szCs w:val="21"/>
        </w:rPr>
        <w:t>5、我方已详细审核《竞争性磋商文件》，我方知道必须放弃提出含糊不清或误解问题的权利。</w:t>
      </w:r>
    </w:p>
    <w:p w14:paraId="33C4DC2E">
      <w:pPr>
        <w:pStyle w:val="26"/>
        <w:spacing w:line="400" w:lineRule="exact"/>
        <w:ind w:firstLine="420" w:firstLineChars="200"/>
        <w:rPr>
          <w:rFonts w:hAnsi="宋体" w:cs="宋体"/>
          <w:color w:val="auto"/>
          <w:szCs w:val="21"/>
        </w:rPr>
      </w:pPr>
      <w:r>
        <w:rPr>
          <w:rFonts w:hint="eastAsia" w:hAnsi="宋体" w:cs="宋体"/>
          <w:color w:val="auto"/>
          <w:szCs w:val="21"/>
        </w:rPr>
        <w:t>6、如果在磋商截止时间后的磋商有效期内撤回磋商或者有其他违约行为，贵方可不退还我方的磋商保证金。</w:t>
      </w:r>
    </w:p>
    <w:p w14:paraId="32D27B82">
      <w:pPr>
        <w:spacing w:line="400" w:lineRule="exact"/>
        <w:ind w:firstLine="420" w:firstLineChars="200"/>
        <w:rPr>
          <w:rFonts w:ascii="宋体" w:hAnsi="宋体" w:cs="宋体"/>
          <w:color w:val="auto"/>
          <w:szCs w:val="21"/>
        </w:rPr>
      </w:pPr>
      <w:r>
        <w:rPr>
          <w:rFonts w:hint="eastAsia" w:ascii="宋体" w:hAnsi="宋体" w:cs="宋体"/>
          <w:color w:val="auto"/>
          <w:szCs w:val="21"/>
        </w:rPr>
        <w:t>7、同意向贵方提供贵方可能要求的与本磋商有关的任何数据或资料。</w:t>
      </w:r>
    </w:p>
    <w:p w14:paraId="43559D9E">
      <w:pPr>
        <w:spacing w:line="400" w:lineRule="exact"/>
        <w:ind w:firstLine="420" w:firstLineChars="200"/>
        <w:rPr>
          <w:rFonts w:ascii="宋体" w:hAnsi="宋体" w:cs="宋体"/>
          <w:color w:val="auto"/>
          <w:szCs w:val="21"/>
        </w:rPr>
      </w:pPr>
      <w:r>
        <w:rPr>
          <w:rFonts w:hint="eastAsia" w:ascii="宋体" w:hAnsi="宋体" w:cs="宋体"/>
          <w:color w:val="auto"/>
          <w:szCs w:val="21"/>
        </w:rPr>
        <w:t>8、我方完全理解贵方不一定要接受最低报价的磋商供应商为成交供应商。</w:t>
      </w:r>
    </w:p>
    <w:p w14:paraId="2B99AAF5">
      <w:pPr>
        <w:pStyle w:val="26"/>
        <w:spacing w:line="400" w:lineRule="exact"/>
        <w:ind w:firstLine="420" w:firstLineChars="200"/>
        <w:rPr>
          <w:rFonts w:hAnsi="宋体" w:cs="宋体"/>
          <w:color w:val="auto"/>
          <w:szCs w:val="21"/>
        </w:rPr>
      </w:pPr>
      <w:r>
        <w:rPr>
          <w:rFonts w:hint="eastAsia" w:hAnsi="宋体" w:cs="宋体"/>
          <w:color w:val="auto"/>
          <w:szCs w:val="21"/>
        </w:rPr>
        <w:t>9.若贵方需要，我方愿意提供我方作出的一切承诺的证明材料。</w:t>
      </w:r>
    </w:p>
    <w:p w14:paraId="089FDD10">
      <w:pPr>
        <w:pStyle w:val="26"/>
        <w:spacing w:line="400" w:lineRule="exact"/>
        <w:ind w:firstLine="420" w:firstLineChars="200"/>
        <w:rPr>
          <w:rFonts w:hAnsi="宋体" w:cs="宋体"/>
          <w:color w:val="auto"/>
          <w:szCs w:val="21"/>
        </w:rPr>
      </w:pPr>
      <w:r>
        <w:rPr>
          <w:rFonts w:hint="eastAsia" w:hAnsi="宋体" w:cs="宋体"/>
          <w:color w:val="auto"/>
          <w:szCs w:val="21"/>
        </w:rPr>
        <w:t>10.</w:t>
      </w:r>
      <w:r>
        <w:rPr>
          <w:rFonts w:hint="eastAsia" w:hAnsi="宋体" w:cs="宋体"/>
          <w:color w:val="auto"/>
          <w:spacing w:val="-2"/>
          <w:szCs w:val="21"/>
        </w:rPr>
        <w:t>我方将严格遵守《中华人民共和国政府采购法》的规定，知悉作为政府采购供应商应负的法律责任。</w:t>
      </w:r>
    </w:p>
    <w:p w14:paraId="14B18F27">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11、</w:t>
      </w:r>
      <w:r>
        <w:rPr>
          <w:rFonts w:hint="eastAsia" w:ascii="宋体" w:hAnsi="宋体" w:cs="宋体"/>
          <w:color w:val="auto"/>
          <w:szCs w:val="21"/>
          <w:u w:val="single"/>
        </w:rPr>
        <w:t xml:space="preserve">       （其他）        </w:t>
      </w:r>
      <w:r>
        <w:rPr>
          <w:rFonts w:hint="eastAsia" w:ascii="宋体" w:hAnsi="宋体" w:cs="宋体"/>
          <w:color w:val="auto"/>
          <w:szCs w:val="21"/>
        </w:rPr>
        <w:t>。</w:t>
      </w:r>
    </w:p>
    <w:p w14:paraId="50F0DDE3">
      <w:pPr>
        <w:spacing w:line="360" w:lineRule="auto"/>
        <w:rPr>
          <w:rFonts w:ascii="宋体" w:hAnsi="宋体" w:cs="宋体"/>
          <w:color w:val="auto"/>
          <w:szCs w:val="21"/>
        </w:rPr>
      </w:pPr>
    </w:p>
    <w:p w14:paraId="7217954E">
      <w:pPr>
        <w:pStyle w:val="26"/>
        <w:spacing w:line="400" w:lineRule="exact"/>
        <w:ind w:firstLine="420"/>
        <w:rPr>
          <w:rFonts w:hAnsi="宋体" w:cs="宋体"/>
          <w:color w:val="auto"/>
          <w:szCs w:val="21"/>
        </w:rPr>
      </w:pPr>
      <w:r>
        <w:rPr>
          <w:rFonts w:hint="eastAsia" w:hAnsi="宋体" w:cs="宋体"/>
          <w:color w:val="auto"/>
          <w:szCs w:val="21"/>
        </w:rPr>
        <w:t>与本项目磋商有关的正式通讯地址为：</w:t>
      </w:r>
    </w:p>
    <w:p w14:paraId="6192326D">
      <w:pPr>
        <w:pStyle w:val="26"/>
        <w:spacing w:line="400" w:lineRule="exact"/>
        <w:ind w:firstLine="420"/>
        <w:rPr>
          <w:rFonts w:hAnsi="宋体" w:cs="宋体"/>
          <w:color w:val="auto"/>
          <w:szCs w:val="21"/>
        </w:rPr>
      </w:pPr>
      <w:r>
        <w:rPr>
          <w:rFonts w:hint="eastAsia" w:hAnsi="宋体" w:cs="宋体"/>
          <w:color w:val="auto"/>
          <w:szCs w:val="21"/>
        </w:rPr>
        <w:t>磋商供应商名称：</w:t>
      </w:r>
    </w:p>
    <w:p w14:paraId="69C57990">
      <w:pPr>
        <w:pStyle w:val="26"/>
        <w:spacing w:line="400" w:lineRule="exact"/>
        <w:ind w:firstLine="420"/>
        <w:rPr>
          <w:rFonts w:hAnsi="宋体" w:cs="宋体"/>
          <w:color w:val="auto"/>
          <w:szCs w:val="21"/>
        </w:rPr>
      </w:pPr>
      <w:r>
        <w:rPr>
          <w:rFonts w:hint="eastAsia" w:hAnsi="宋体" w:cs="宋体"/>
          <w:color w:val="auto"/>
          <w:szCs w:val="21"/>
        </w:rPr>
        <w:t xml:space="preserve">地址：              </w:t>
      </w:r>
    </w:p>
    <w:p w14:paraId="13263187">
      <w:pPr>
        <w:pStyle w:val="26"/>
        <w:spacing w:line="400" w:lineRule="exact"/>
        <w:ind w:firstLine="420"/>
        <w:rPr>
          <w:rFonts w:hAnsi="宋体" w:cs="宋体"/>
          <w:color w:val="auto"/>
          <w:szCs w:val="21"/>
        </w:rPr>
      </w:pPr>
      <w:r>
        <w:rPr>
          <w:rFonts w:hint="eastAsia" w:hAnsi="宋体" w:cs="宋体"/>
          <w:color w:val="auto"/>
          <w:szCs w:val="21"/>
        </w:rPr>
        <w:t>邮政编码：</w:t>
      </w:r>
    </w:p>
    <w:p w14:paraId="7E0F5B77">
      <w:pPr>
        <w:pStyle w:val="26"/>
        <w:spacing w:line="400" w:lineRule="exact"/>
        <w:ind w:firstLine="420"/>
        <w:rPr>
          <w:rFonts w:hAnsi="宋体" w:cs="宋体"/>
          <w:color w:val="auto"/>
          <w:szCs w:val="21"/>
          <w:u w:val="single"/>
        </w:rPr>
      </w:pPr>
      <w:r>
        <w:rPr>
          <w:rFonts w:hint="eastAsia" w:hAnsi="宋体" w:cs="宋体"/>
          <w:color w:val="auto"/>
          <w:szCs w:val="21"/>
        </w:rPr>
        <w:t>电话、电报、传真或电传：</w:t>
      </w:r>
    </w:p>
    <w:p w14:paraId="64891867">
      <w:pPr>
        <w:pStyle w:val="26"/>
        <w:spacing w:line="400" w:lineRule="exact"/>
        <w:ind w:firstLine="420"/>
        <w:rPr>
          <w:rFonts w:hAnsi="宋体" w:cs="宋体"/>
          <w:color w:val="auto"/>
          <w:szCs w:val="21"/>
        </w:rPr>
      </w:pPr>
      <w:r>
        <w:rPr>
          <w:rFonts w:hint="eastAsia" w:hAnsi="宋体" w:cs="宋体"/>
          <w:color w:val="auto"/>
          <w:szCs w:val="21"/>
        </w:rPr>
        <w:t>开户名称：</w:t>
      </w:r>
    </w:p>
    <w:p w14:paraId="75EFEAFB">
      <w:pPr>
        <w:pStyle w:val="26"/>
        <w:spacing w:line="400" w:lineRule="exact"/>
        <w:ind w:firstLine="420"/>
        <w:rPr>
          <w:rFonts w:hAnsi="宋体" w:cs="宋体"/>
          <w:color w:val="auto"/>
          <w:szCs w:val="21"/>
        </w:rPr>
      </w:pPr>
      <w:r>
        <w:rPr>
          <w:rFonts w:hint="eastAsia" w:hAnsi="宋体" w:cs="宋体"/>
          <w:color w:val="auto"/>
          <w:szCs w:val="21"/>
        </w:rPr>
        <w:t>开户银行：</w:t>
      </w:r>
    </w:p>
    <w:p w14:paraId="27011731">
      <w:pPr>
        <w:pStyle w:val="26"/>
        <w:spacing w:line="400" w:lineRule="exact"/>
        <w:ind w:firstLine="420"/>
        <w:rPr>
          <w:rFonts w:hAnsi="宋体" w:cs="宋体"/>
          <w:color w:val="auto"/>
          <w:szCs w:val="21"/>
        </w:rPr>
      </w:pPr>
      <w:r>
        <w:rPr>
          <w:rFonts w:hint="eastAsia" w:hAnsi="宋体" w:cs="宋体"/>
          <w:color w:val="auto"/>
          <w:szCs w:val="21"/>
        </w:rPr>
        <w:t>银行帐号：</w:t>
      </w:r>
    </w:p>
    <w:p w14:paraId="3A2E7448">
      <w:pPr>
        <w:pStyle w:val="26"/>
        <w:spacing w:line="400" w:lineRule="exact"/>
        <w:ind w:firstLine="420"/>
        <w:rPr>
          <w:rFonts w:hAnsi="宋体" w:cs="宋体"/>
          <w:color w:val="auto"/>
          <w:szCs w:val="21"/>
        </w:rPr>
      </w:pPr>
      <w:r>
        <w:rPr>
          <w:rFonts w:hint="eastAsia" w:hAnsi="宋体" w:cs="宋体"/>
          <w:color w:val="auto"/>
          <w:szCs w:val="21"/>
        </w:rPr>
        <w:t>法定代表人或委托代理人</w:t>
      </w:r>
      <w:r>
        <w:rPr>
          <w:rFonts w:hint="eastAsia" w:cs="宋体"/>
          <w:color w:val="auto"/>
          <w:kern w:val="0"/>
          <w:szCs w:val="21"/>
        </w:rPr>
        <w:t>手写签名或电子签名</w:t>
      </w:r>
      <w:r>
        <w:rPr>
          <w:rFonts w:hint="eastAsia" w:hAnsi="宋体" w:cs="宋体"/>
          <w:color w:val="auto"/>
          <w:szCs w:val="21"/>
        </w:rPr>
        <w:t>：</w:t>
      </w:r>
    </w:p>
    <w:p w14:paraId="170AA921">
      <w:pPr>
        <w:pStyle w:val="26"/>
        <w:spacing w:line="400" w:lineRule="exact"/>
        <w:ind w:firstLine="420"/>
        <w:rPr>
          <w:rFonts w:hAnsi="宋体" w:cs="宋体"/>
          <w:color w:val="auto"/>
          <w:szCs w:val="21"/>
        </w:rPr>
      </w:pPr>
      <w:r>
        <w:rPr>
          <w:rFonts w:hint="eastAsia" w:hAnsi="宋体" w:cs="宋体"/>
          <w:color w:val="auto"/>
          <w:szCs w:val="21"/>
        </w:rPr>
        <w:t>磋商供应商盖公章或电子签章：</w:t>
      </w:r>
    </w:p>
    <w:p w14:paraId="18430496">
      <w:pPr>
        <w:pStyle w:val="26"/>
        <w:spacing w:line="400" w:lineRule="exact"/>
        <w:ind w:firstLine="420" w:firstLineChars="200"/>
        <w:rPr>
          <w:rFonts w:hAnsi="宋体" w:cs="宋体"/>
          <w:color w:val="auto"/>
          <w:szCs w:val="21"/>
          <w:u w:val="single"/>
        </w:rPr>
      </w:pPr>
      <w:r>
        <w:rPr>
          <w:rFonts w:hint="eastAsia" w:hAnsi="宋体" w:cs="宋体"/>
          <w:color w:val="auto"/>
          <w:szCs w:val="21"/>
        </w:rPr>
        <w:t>磋商日期：</w:t>
      </w:r>
    </w:p>
    <w:p w14:paraId="71D2E127">
      <w:pPr>
        <w:spacing w:line="480" w:lineRule="auto"/>
        <w:jc w:val="center"/>
        <w:rPr>
          <w:rFonts w:ascii="宋体" w:hAnsi="宋体"/>
          <w:b/>
          <w:color w:val="auto"/>
          <w:szCs w:val="21"/>
        </w:rPr>
      </w:pPr>
      <w:r>
        <w:rPr>
          <w:rFonts w:ascii="宋体" w:hAnsi="宋体"/>
          <w:b/>
          <w:color w:val="auto"/>
          <w:szCs w:val="21"/>
        </w:rPr>
        <w:br w:type="page"/>
      </w:r>
      <w:r>
        <w:rPr>
          <w:rFonts w:hint="eastAsia" w:ascii="宋体" w:hAnsi="宋体"/>
          <w:b/>
          <w:color w:val="auto"/>
          <w:sz w:val="24"/>
        </w:rPr>
        <w:t>（二） 磋商函附录</w:t>
      </w:r>
    </w:p>
    <w:p w14:paraId="47B34D65">
      <w:pPr>
        <w:spacing w:line="336" w:lineRule="auto"/>
        <w:ind w:left="-4" w:leftChars="-2" w:right="-153" w:rightChars="-73" w:firstLine="2627" w:firstLineChars="1251"/>
        <w:rPr>
          <w:rFonts w:ascii="宋体" w:hAnsi="宋体"/>
          <w:b/>
          <w:color w:val="auto"/>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660"/>
        <w:gridCol w:w="1982"/>
        <w:gridCol w:w="1950"/>
        <w:gridCol w:w="2071"/>
      </w:tblGrid>
      <w:tr w14:paraId="269D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3C92D636">
            <w:pPr>
              <w:spacing w:line="300" w:lineRule="exact"/>
              <w:jc w:val="center"/>
              <w:rPr>
                <w:rFonts w:ascii="宋体" w:hAnsi="宋体" w:cs="宋体"/>
                <w:color w:val="auto"/>
                <w:szCs w:val="21"/>
              </w:rPr>
            </w:pPr>
            <w:r>
              <w:rPr>
                <w:rFonts w:hint="eastAsia" w:ascii="宋体" w:hAnsi="宋体" w:cs="宋体"/>
                <w:color w:val="auto"/>
                <w:szCs w:val="21"/>
              </w:rPr>
              <w:t>序 号</w:t>
            </w:r>
          </w:p>
        </w:tc>
        <w:tc>
          <w:tcPr>
            <w:tcW w:w="2660" w:type="dxa"/>
            <w:noWrap/>
            <w:vAlign w:val="center"/>
          </w:tcPr>
          <w:p w14:paraId="50AFE731">
            <w:pPr>
              <w:spacing w:line="300" w:lineRule="exact"/>
              <w:jc w:val="center"/>
              <w:rPr>
                <w:rFonts w:ascii="宋体" w:hAnsi="宋体" w:cs="宋体"/>
                <w:color w:val="auto"/>
                <w:szCs w:val="21"/>
              </w:rPr>
            </w:pPr>
            <w:r>
              <w:rPr>
                <w:rFonts w:hint="eastAsia" w:ascii="宋体" w:hAnsi="宋体" w:cs="宋体"/>
                <w:color w:val="auto"/>
                <w:szCs w:val="21"/>
              </w:rPr>
              <w:t>条款内容</w:t>
            </w:r>
          </w:p>
        </w:tc>
        <w:tc>
          <w:tcPr>
            <w:tcW w:w="1982" w:type="dxa"/>
            <w:noWrap/>
            <w:vAlign w:val="center"/>
          </w:tcPr>
          <w:p w14:paraId="4BA62781">
            <w:pPr>
              <w:spacing w:line="300" w:lineRule="exact"/>
              <w:jc w:val="center"/>
              <w:rPr>
                <w:rFonts w:ascii="宋体" w:hAnsi="宋体" w:cs="宋体"/>
                <w:color w:val="auto"/>
                <w:szCs w:val="21"/>
              </w:rPr>
            </w:pPr>
            <w:r>
              <w:rPr>
                <w:rFonts w:hint="eastAsia" w:ascii="宋体" w:hAnsi="宋体" w:cs="宋体"/>
                <w:color w:val="auto"/>
                <w:szCs w:val="21"/>
              </w:rPr>
              <w:t>合同条款号</w:t>
            </w:r>
          </w:p>
        </w:tc>
        <w:tc>
          <w:tcPr>
            <w:tcW w:w="1950" w:type="dxa"/>
            <w:noWrap/>
            <w:vAlign w:val="center"/>
          </w:tcPr>
          <w:p w14:paraId="49453C44">
            <w:pPr>
              <w:spacing w:line="300" w:lineRule="exact"/>
              <w:jc w:val="center"/>
              <w:rPr>
                <w:rFonts w:ascii="宋体" w:hAnsi="宋体" w:cs="宋体"/>
                <w:color w:val="auto"/>
                <w:szCs w:val="21"/>
              </w:rPr>
            </w:pPr>
            <w:r>
              <w:rPr>
                <w:rFonts w:hint="eastAsia" w:ascii="宋体" w:hAnsi="宋体" w:cs="宋体"/>
                <w:color w:val="auto"/>
                <w:szCs w:val="21"/>
              </w:rPr>
              <w:t>约定内容</w:t>
            </w:r>
          </w:p>
        </w:tc>
        <w:tc>
          <w:tcPr>
            <w:tcW w:w="2071" w:type="dxa"/>
            <w:noWrap/>
            <w:vAlign w:val="center"/>
          </w:tcPr>
          <w:p w14:paraId="0F84AEFE">
            <w:pPr>
              <w:spacing w:line="300" w:lineRule="exact"/>
              <w:jc w:val="center"/>
              <w:rPr>
                <w:rFonts w:ascii="宋体" w:hAnsi="宋体" w:cs="宋体"/>
                <w:color w:val="auto"/>
                <w:szCs w:val="21"/>
              </w:rPr>
            </w:pPr>
            <w:r>
              <w:rPr>
                <w:rFonts w:hint="eastAsia" w:ascii="宋体" w:hAnsi="宋体" w:cs="宋体"/>
                <w:color w:val="auto"/>
                <w:szCs w:val="21"/>
              </w:rPr>
              <w:t>备注</w:t>
            </w:r>
          </w:p>
        </w:tc>
      </w:tr>
      <w:tr w14:paraId="28F4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53BE8F2D">
            <w:pPr>
              <w:spacing w:line="300" w:lineRule="exact"/>
              <w:jc w:val="center"/>
              <w:rPr>
                <w:rFonts w:ascii="宋体" w:hAnsi="宋体" w:cs="宋体"/>
                <w:color w:val="auto"/>
                <w:szCs w:val="21"/>
              </w:rPr>
            </w:pPr>
            <w:r>
              <w:rPr>
                <w:rFonts w:hint="eastAsia" w:ascii="宋体" w:hAnsi="宋体" w:cs="宋体"/>
                <w:color w:val="auto"/>
                <w:szCs w:val="21"/>
              </w:rPr>
              <w:t>1</w:t>
            </w:r>
          </w:p>
        </w:tc>
        <w:tc>
          <w:tcPr>
            <w:tcW w:w="2660" w:type="dxa"/>
            <w:noWrap/>
            <w:vAlign w:val="center"/>
          </w:tcPr>
          <w:p w14:paraId="5C76BCE9">
            <w:pPr>
              <w:spacing w:line="300" w:lineRule="exact"/>
              <w:rPr>
                <w:rFonts w:ascii="宋体" w:hAnsi="宋体" w:cs="宋体"/>
                <w:color w:val="auto"/>
                <w:szCs w:val="21"/>
              </w:rPr>
            </w:pPr>
            <w:r>
              <w:rPr>
                <w:rFonts w:hint="eastAsia" w:ascii="宋体" w:hAnsi="宋体" w:cs="宋体"/>
                <w:color w:val="auto"/>
                <w:szCs w:val="21"/>
              </w:rPr>
              <w:t>项目经理</w:t>
            </w:r>
          </w:p>
        </w:tc>
        <w:tc>
          <w:tcPr>
            <w:tcW w:w="1982" w:type="dxa"/>
            <w:noWrap/>
            <w:tcMar>
              <w:left w:w="170" w:type="dxa"/>
            </w:tcMar>
            <w:vAlign w:val="center"/>
          </w:tcPr>
          <w:p w14:paraId="31418EDF">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07620D5E">
            <w:pPr>
              <w:spacing w:line="300" w:lineRule="exact"/>
              <w:rPr>
                <w:rFonts w:ascii="宋体" w:hAnsi="宋体" w:cs="宋体"/>
                <w:color w:val="auto"/>
                <w:szCs w:val="21"/>
              </w:rPr>
            </w:pPr>
            <w:r>
              <w:rPr>
                <w:rFonts w:hint="eastAsia" w:ascii="宋体" w:hAnsi="宋体" w:cs="宋体"/>
                <w:color w:val="auto"/>
                <w:szCs w:val="21"/>
              </w:rPr>
              <w:t>姓名：</w:t>
            </w:r>
          </w:p>
        </w:tc>
        <w:tc>
          <w:tcPr>
            <w:tcW w:w="2071" w:type="dxa"/>
            <w:noWrap/>
            <w:vAlign w:val="center"/>
          </w:tcPr>
          <w:p w14:paraId="5A97292C">
            <w:pPr>
              <w:spacing w:line="300" w:lineRule="exact"/>
              <w:jc w:val="center"/>
              <w:rPr>
                <w:rFonts w:ascii="宋体" w:hAnsi="宋体" w:cs="宋体"/>
                <w:color w:val="auto"/>
                <w:szCs w:val="21"/>
              </w:rPr>
            </w:pPr>
          </w:p>
        </w:tc>
      </w:tr>
      <w:tr w14:paraId="48F5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44A22828">
            <w:pPr>
              <w:spacing w:line="300" w:lineRule="exact"/>
              <w:jc w:val="center"/>
              <w:rPr>
                <w:rFonts w:ascii="宋体" w:hAnsi="宋体" w:cs="宋体"/>
                <w:color w:val="auto"/>
                <w:szCs w:val="21"/>
              </w:rPr>
            </w:pPr>
            <w:r>
              <w:rPr>
                <w:rFonts w:hint="eastAsia" w:ascii="宋体" w:hAnsi="宋体" w:cs="宋体"/>
                <w:color w:val="auto"/>
                <w:szCs w:val="21"/>
              </w:rPr>
              <w:t>2</w:t>
            </w:r>
          </w:p>
        </w:tc>
        <w:tc>
          <w:tcPr>
            <w:tcW w:w="2660" w:type="dxa"/>
            <w:noWrap/>
            <w:vAlign w:val="center"/>
          </w:tcPr>
          <w:p w14:paraId="276E9C3C">
            <w:pPr>
              <w:spacing w:line="300" w:lineRule="exact"/>
              <w:rPr>
                <w:rFonts w:ascii="宋体" w:hAnsi="宋体" w:cs="宋体"/>
                <w:color w:val="auto"/>
                <w:szCs w:val="21"/>
              </w:rPr>
            </w:pPr>
            <w:r>
              <w:rPr>
                <w:rFonts w:hint="eastAsia" w:ascii="宋体" w:hAnsi="宋体" w:cs="宋体"/>
                <w:color w:val="auto"/>
                <w:szCs w:val="21"/>
              </w:rPr>
              <w:t>磋商有效期</w:t>
            </w:r>
          </w:p>
        </w:tc>
        <w:tc>
          <w:tcPr>
            <w:tcW w:w="1982" w:type="dxa"/>
            <w:noWrap/>
            <w:tcMar>
              <w:left w:w="170" w:type="dxa"/>
            </w:tcMar>
            <w:vAlign w:val="center"/>
          </w:tcPr>
          <w:p w14:paraId="02525733">
            <w:pPr>
              <w:spacing w:line="300" w:lineRule="exact"/>
              <w:rPr>
                <w:rFonts w:ascii="宋体" w:hAnsi="宋体" w:cs="宋体"/>
                <w:color w:val="auto"/>
                <w:szCs w:val="21"/>
              </w:rPr>
            </w:pPr>
          </w:p>
        </w:tc>
        <w:tc>
          <w:tcPr>
            <w:tcW w:w="1950" w:type="dxa"/>
            <w:noWrap/>
            <w:vAlign w:val="center"/>
          </w:tcPr>
          <w:p w14:paraId="01FFE682">
            <w:pPr>
              <w:spacing w:line="300" w:lineRule="exact"/>
              <w:jc w:val="center"/>
              <w:rPr>
                <w:rFonts w:ascii="宋体" w:hAnsi="宋体" w:cs="宋体"/>
                <w:color w:val="auto"/>
                <w:szCs w:val="21"/>
                <w:u w:val="single"/>
              </w:rPr>
            </w:pPr>
            <w:r>
              <w:rPr>
                <w:rFonts w:hint="eastAsia" w:ascii="宋体" w:hAnsi="宋体" w:cs="宋体"/>
                <w:color w:val="auto"/>
                <w:szCs w:val="21"/>
                <w:u w:val="single"/>
              </w:rPr>
              <w:t xml:space="preserve">     </w:t>
            </w:r>
            <w:r>
              <w:rPr>
                <w:rFonts w:hint="eastAsia" w:ascii="宋体" w:hAnsi="宋体" w:cs="宋体"/>
                <w:color w:val="auto"/>
                <w:szCs w:val="21"/>
              </w:rPr>
              <w:t>日历天</w:t>
            </w:r>
          </w:p>
        </w:tc>
        <w:tc>
          <w:tcPr>
            <w:tcW w:w="2071" w:type="dxa"/>
            <w:noWrap/>
            <w:vAlign w:val="center"/>
          </w:tcPr>
          <w:p w14:paraId="38EBDED2">
            <w:pPr>
              <w:spacing w:line="300" w:lineRule="exact"/>
              <w:jc w:val="center"/>
              <w:rPr>
                <w:rFonts w:ascii="宋体" w:hAnsi="宋体" w:cs="宋体"/>
                <w:color w:val="auto"/>
                <w:szCs w:val="21"/>
              </w:rPr>
            </w:pPr>
          </w:p>
        </w:tc>
      </w:tr>
      <w:tr w14:paraId="3620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59152A0C">
            <w:pPr>
              <w:spacing w:line="300" w:lineRule="exact"/>
              <w:jc w:val="center"/>
              <w:rPr>
                <w:rFonts w:ascii="宋体" w:hAnsi="宋体" w:cs="宋体"/>
                <w:color w:val="auto"/>
                <w:szCs w:val="21"/>
              </w:rPr>
            </w:pPr>
            <w:r>
              <w:rPr>
                <w:rFonts w:hint="eastAsia" w:ascii="宋体" w:hAnsi="宋体" w:cs="宋体"/>
                <w:color w:val="auto"/>
                <w:szCs w:val="21"/>
              </w:rPr>
              <w:t>3</w:t>
            </w:r>
          </w:p>
        </w:tc>
        <w:tc>
          <w:tcPr>
            <w:tcW w:w="2660" w:type="dxa"/>
            <w:noWrap/>
            <w:vAlign w:val="center"/>
          </w:tcPr>
          <w:p w14:paraId="30ADD31C">
            <w:pPr>
              <w:spacing w:line="300" w:lineRule="exact"/>
              <w:rPr>
                <w:rFonts w:ascii="宋体" w:hAnsi="宋体" w:cs="宋体"/>
                <w:color w:val="auto"/>
                <w:szCs w:val="21"/>
              </w:rPr>
            </w:pPr>
            <w:r>
              <w:rPr>
                <w:rFonts w:hint="eastAsia" w:ascii="宋体" w:hAnsi="宋体" w:cs="宋体"/>
                <w:color w:val="auto"/>
                <w:szCs w:val="21"/>
              </w:rPr>
              <w:t>工期</w:t>
            </w:r>
          </w:p>
        </w:tc>
        <w:tc>
          <w:tcPr>
            <w:tcW w:w="1982" w:type="dxa"/>
            <w:noWrap/>
            <w:tcMar>
              <w:left w:w="170" w:type="dxa"/>
            </w:tcMar>
            <w:vAlign w:val="center"/>
          </w:tcPr>
          <w:p w14:paraId="2B148DE2">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62A9A8A9">
            <w:pPr>
              <w:spacing w:line="300" w:lineRule="exact"/>
              <w:jc w:val="center"/>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日历天</w:t>
            </w:r>
          </w:p>
        </w:tc>
        <w:tc>
          <w:tcPr>
            <w:tcW w:w="2071" w:type="dxa"/>
            <w:noWrap/>
            <w:vAlign w:val="center"/>
          </w:tcPr>
          <w:p w14:paraId="34EFD52B">
            <w:pPr>
              <w:spacing w:line="300" w:lineRule="exact"/>
              <w:jc w:val="center"/>
              <w:rPr>
                <w:rFonts w:ascii="宋体" w:hAnsi="宋体" w:cs="宋体"/>
                <w:color w:val="auto"/>
                <w:szCs w:val="21"/>
              </w:rPr>
            </w:pPr>
          </w:p>
        </w:tc>
      </w:tr>
      <w:tr w14:paraId="24C3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140E0590">
            <w:pPr>
              <w:spacing w:line="300" w:lineRule="exact"/>
              <w:jc w:val="center"/>
              <w:rPr>
                <w:rFonts w:ascii="宋体" w:hAnsi="宋体" w:cs="宋体"/>
                <w:color w:val="auto"/>
                <w:szCs w:val="21"/>
              </w:rPr>
            </w:pPr>
            <w:r>
              <w:rPr>
                <w:rFonts w:hint="eastAsia" w:ascii="宋体" w:hAnsi="宋体" w:cs="宋体"/>
                <w:color w:val="auto"/>
                <w:szCs w:val="21"/>
              </w:rPr>
              <w:t>4</w:t>
            </w:r>
          </w:p>
        </w:tc>
        <w:tc>
          <w:tcPr>
            <w:tcW w:w="2660" w:type="dxa"/>
            <w:noWrap/>
            <w:vAlign w:val="center"/>
          </w:tcPr>
          <w:p w14:paraId="386E4837">
            <w:pPr>
              <w:spacing w:line="300" w:lineRule="exact"/>
              <w:rPr>
                <w:rFonts w:ascii="宋体" w:hAnsi="宋体" w:cs="宋体"/>
                <w:color w:val="auto"/>
                <w:szCs w:val="21"/>
              </w:rPr>
            </w:pPr>
            <w:r>
              <w:rPr>
                <w:rFonts w:hint="eastAsia" w:ascii="宋体" w:hAnsi="宋体" w:cs="宋体"/>
                <w:color w:val="auto"/>
                <w:szCs w:val="21"/>
              </w:rPr>
              <w:t>缺陷责任期</w:t>
            </w:r>
          </w:p>
        </w:tc>
        <w:tc>
          <w:tcPr>
            <w:tcW w:w="1982" w:type="dxa"/>
            <w:noWrap/>
            <w:tcMar>
              <w:left w:w="170" w:type="dxa"/>
            </w:tcMar>
            <w:vAlign w:val="center"/>
          </w:tcPr>
          <w:p w14:paraId="77C2D02D">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27DC68AC">
            <w:pPr>
              <w:spacing w:line="300" w:lineRule="exact"/>
              <w:jc w:val="center"/>
              <w:rPr>
                <w:rFonts w:ascii="宋体" w:hAnsi="宋体" w:cs="宋体"/>
                <w:color w:val="auto"/>
                <w:szCs w:val="21"/>
              </w:rPr>
            </w:pPr>
          </w:p>
        </w:tc>
        <w:tc>
          <w:tcPr>
            <w:tcW w:w="2071" w:type="dxa"/>
            <w:noWrap/>
            <w:vAlign w:val="center"/>
          </w:tcPr>
          <w:p w14:paraId="7507E668">
            <w:pPr>
              <w:spacing w:line="300" w:lineRule="exact"/>
              <w:jc w:val="center"/>
              <w:rPr>
                <w:rFonts w:ascii="宋体" w:hAnsi="宋体" w:cs="宋体"/>
                <w:color w:val="auto"/>
                <w:szCs w:val="21"/>
              </w:rPr>
            </w:pPr>
          </w:p>
        </w:tc>
      </w:tr>
      <w:tr w14:paraId="63B5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42684DD9">
            <w:pPr>
              <w:spacing w:line="300" w:lineRule="exact"/>
              <w:jc w:val="center"/>
              <w:rPr>
                <w:rFonts w:ascii="宋体" w:hAnsi="宋体" w:cs="宋体"/>
                <w:color w:val="auto"/>
                <w:szCs w:val="21"/>
              </w:rPr>
            </w:pPr>
            <w:r>
              <w:rPr>
                <w:rFonts w:hint="eastAsia" w:ascii="宋体" w:hAnsi="宋体" w:cs="宋体"/>
                <w:color w:val="auto"/>
                <w:szCs w:val="21"/>
              </w:rPr>
              <w:t>5</w:t>
            </w:r>
          </w:p>
        </w:tc>
        <w:tc>
          <w:tcPr>
            <w:tcW w:w="2660" w:type="dxa"/>
            <w:noWrap/>
            <w:vAlign w:val="center"/>
          </w:tcPr>
          <w:p w14:paraId="7C271670">
            <w:pPr>
              <w:spacing w:line="300" w:lineRule="exact"/>
              <w:rPr>
                <w:rFonts w:ascii="宋体" w:hAnsi="宋体" w:cs="宋体"/>
                <w:color w:val="auto"/>
                <w:szCs w:val="21"/>
              </w:rPr>
            </w:pPr>
            <w:r>
              <w:rPr>
                <w:rFonts w:hint="eastAsia" w:ascii="宋体" w:hAnsi="宋体" w:cs="宋体"/>
                <w:color w:val="auto"/>
                <w:szCs w:val="21"/>
              </w:rPr>
              <w:t>分包</w:t>
            </w:r>
          </w:p>
        </w:tc>
        <w:tc>
          <w:tcPr>
            <w:tcW w:w="1982" w:type="dxa"/>
            <w:noWrap/>
            <w:tcMar>
              <w:left w:w="170" w:type="dxa"/>
            </w:tcMar>
            <w:vAlign w:val="center"/>
          </w:tcPr>
          <w:p w14:paraId="1F0C48FA">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1CA46863">
            <w:pPr>
              <w:spacing w:line="300" w:lineRule="exact"/>
              <w:jc w:val="center"/>
              <w:rPr>
                <w:rFonts w:ascii="宋体" w:hAnsi="宋体" w:cs="宋体"/>
                <w:color w:val="auto"/>
                <w:szCs w:val="21"/>
              </w:rPr>
            </w:pPr>
          </w:p>
        </w:tc>
        <w:tc>
          <w:tcPr>
            <w:tcW w:w="2071" w:type="dxa"/>
            <w:noWrap/>
            <w:vAlign w:val="center"/>
          </w:tcPr>
          <w:p w14:paraId="3D37F3A6">
            <w:pPr>
              <w:spacing w:line="300" w:lineRule="exact"/>
              <w:jc w:val="center"/>
              <w:rPr>
                <w:rFonts w:ascii="宋体" w:hAnsi="宋体" w:cs="宋体"/>
                <w:color w:val="auto"/>
                <w:szCs w:val="21"/>
              </w:rPr>
            </w:pPr>
          </w:p>
        </w:tc>
      </w:tr>
      <w:tr w14:paraId="31B7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7C34EC30">
            <w:pPr>
              <w:spacing w:line="300" w:lineRule="exact"/>
              <w:jc w:val="center"/>
              <w:rPr>
                <w:rFonts w:ascii="宋体" w:hAnsi="宋体" w:cs="宋体"/>
                <w:color w:val="auto"/>
                <w:szCs w:val="21"/>
              </w:rPr>
            </w:pPr>
            <w:r>
              <w:rPr>
                <w:rFonts w:hint="eastAsia" w:ascii="宋体" w:hAnsi="宋体" w:cs="宋体"/>
                <w:color w:val="auto"/>
                <w:szCs w:val="21"/>
              </w:rPr>
              <w:t>6</w:t>
            </w:r>
          </w:p>
        </w:tc>
        <w:tc>
          <w:tcPr>
            <w:tcW w:w="2660" w:type="dxa"/>
            <w:noWrap/>
            <w:vAlign w:val="center"/>
          </w:tcPr>
          <w:p w14:paraId="2A07A54B">
            <w:pPr>
              <w:spacing w:line="300" w:lineRule="exact"/>
              <w:rPr>
                <w:rFonts w:ascii="宋体" w:hAnsi="宋体" w:cs="宋体"/>
                <w:color w:val="auto"/>
                <w:szCs w:val="21"/>
              </w:rPr>
            </w:pPr>
            <w:r>
              <w:rPr>
                <w:rFonts w:hint="eastAsia" w:ascii="宋体" w:hAnsi="宋体" w:cs="宋体"/>
                <w:color w:val="auto"/>
                <w:szCs w:val="21"/>
              </w:rPr>
              <w:t>逾期交工违约金</w:t>
            </w:r>
          </w:p>
        </w:tc>
        <w:tc>
          <w:tcPr>
            <w:tcW w:w="1982" w:type="dxa"/>
            <w:noWrap/>
            <w:tcMar>
              <w:left w:w="170" w:type="dxa"/>
            </w:tcMar>
            <w:vAlign w:val="center"/>
          </w:tcPr>
          <w:p w14:paraId="25E1DC82">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3C14FC6C">
            <w:pPr>
              <w:spacing w:line="300" w:lineRule="exact"/>
              <w:rPr>
                <w:rFonts w:ascii="宋体" w:hAnsi="宋体" w:cs="宋体"/>
                <w:color w:val="auto"/>
                <w:szCs w:val="21"/>
              </w:rPr>
            </w:pPr>
            <w:r>
              <w:rPr>
                <w:rFonts w:hint="eastAsia" w:ascii="宋体" w:hAnsi="宋体" w:cs="宋体"/>
                <w:color w:val="auto"/>
                <w:szCs w:val="21"/>
              </w:rPr>
              <w:t>合同价款/天</w:t>
            </w:r>
          </w:p>
        </w:tc>
        <w:tc>
          <w:tcPr>
            <w:tcW w:w="2071" w:type="dxa"/>
            <w:noWrap/>
            <w:vAlign w:val="center"/>
          </w:tcPr>
          <w:p w14:paraId="25BDE5F6">
            <w:pPr>
              <w:spacing w:line="300" w:lineRule="exact"/>
              <w:jc w:val="center"/>
              <w:rPr>
                <w:rFonts w:ascii="宋体" w:hAnsi="宋体" w:cs="宋体"/>
                <w:color w:val="auto"/>
                <w:szCs w:val="21"/>
              </w:rPr>
            </w:pPr>
          </w:p>
        </w:tc>
      </w:tr>
      <w:tr w14:paraId="0B6B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34F295DF">
            <w:pPr>
              <w:spacing w:line="300" w:lineRule="exact"/>
              <w:jc w:val="center"/>
              <w:rPr>
                <w:rFonts w:ascii="宋体" w:hAnsi="宋体" w:cs="宋体"/>
                <w:color w:val="auto"/>
                <w:szCs w:val="21"/>
              </w:rPr>
            </w:pPr>
            <w:r>
              <w:rPr>
                <w:rFonts w:hint="eastAsia" w:ascii="宋体" w:hAnsi="宋体" w:cs="宋体"/>
                <w:color w:val="auto"/>
                <w:szCs w:val="21"/>
              </w:rPr>
              <w:t>7</w:t>
            </w:r>
          </w:p>
        </w:tc>
        <w:tc>
          <w:tcPr>
            <w:tcW w:w="2660" w:type="dxa"/>
            <w:noWrap/>
            <w:vAlign w:val="center"/>
          </w:tcPr>
          <w:p w14:paraId="0AC405E8">
            <w:pPr>
              <w:spacing w:line="300" w:lineRule="exact"/>
              <w:rPr>
                <w:rFonts w:ascii="宋体" w:hAnsi="宋体" w:cs="宋体"/>
                <w:color w:val="auto"/>
                <w:szCs w:val="21"/>
              </w:rPr>
            </w:pPr>
            <w:r>
              <w:rPr>
                <w:rFonts w:hint="eastAsia" w:ascii="宋体" w:hAnsi="宋体" w:cs="宋体"/>
                <w:color w:val="auto"/>
                <w:szCs w:val="21"/>
              </w:rPr>
              <w:t>逾期交工违约金最高限额</w:t>
            </w:r>
          </w:p>
        </w:tc>
        <w:tc>
          <w:tcPr>
            <w:tcW w:w="1982" w:type="dxa"/>
            <w:noWrap/>
            <w:tcMar>
              <w:left w:w="170" w:type="dxa"/>
            </w:tcMar>
            <w:vAlign w:val="center"/>
          </w:tcPr>
          <w:p w14:paraId="1504154A">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36D67DF2">
            <w:pPr>
              <w:spacing w:line="300" w:lineRule="exact"/>
              <w:rPr>
                <w:rFonts w:ascii="宋体" w:hAnsi="宋体" w:cs="宋体"/>
                <w:color w:val="auto"/>
                <w:szCs w:val="21"/>
              </w:rPr>
            </w:pPr>
            <w:r>
              <w:rPr>
                <w:rFonts w:hint="eastAsia" w:ascii="宋体" w:hAnsi="宋体" w:cs="宋体"/>
                <w:color w:val="auto"/>
                <w:szCs w:val="21"/>
              </w:rPr>
              <w:t>合同价款</w:t>
            </w:r>
            <w:r>
              <w:rPr>
                <w:rFonts w:hint="eastAsia" w:ascii="宋体" w:hAnsi="宋体" w:cs="宋体"/>
                <w:color w:val="auto"/>
                <w:szCs w:val="21"/>
                <w:u w:val="single"/>
              </w:rPr>
              <w:t xml:space="preserve">    %</w:t>
            </w:r>
          </w:p>
        </w:tc>
        <w:tc>
          <w:tcPr>
            <w:tcW w:w="2071" w:type="dxa"/>
            <w:noWrap/>
            <w:vAlign w:val="center"/>
          </w:tcPr>
          <w:p w14:paraId="52DC0DB2">
            <w:pPr>
              <w:spacing w:line="300" w:lineRule="exact"/>
              <w:jc w:val="center"/>
              <w:rPr>
                <w:rFonts w:ascii="宋体" w:hAnsi="宋体" w:cs="宋体"/>
                <w:color w:val="auto"/>
                <w:szCs w:val="21"/>
              </w:rPr>
            </w:pPr>
          </w:p>
        </w:tc>
      </w:tr>
      <w:tr w14:paraId="741C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2BD67B0E">
            <w:pPr>
              <w:spacing w:line="300" w:lineRule="exact"/>
              <w:jc w:val="center"/>
              <w:rPr>
                <w:rFonts w:ascii="宋体" w:hAnsi="宋体" w:cs="宋体"/>
                <w:color w:val="auto"/>
                <w:szCs w:val="21"/>
              </w:rPr>
            </w:pPr>
            <w:r>
              <w:rPr>
                <w:rFonts w:hint="eastAsia" w:ascii="宋体" w:hAnsi="宋体" w:cs="宋体"/>
                <w:color w:val="auto"/>
                <w:szCs w:val="21"/>
              </w:rPr>
              <w:t>8</w:t>
            </w:r>
          </w:p>
        </w:tc>
        <w:tc>
          <w:tcPr>
            <w:tcW w:w="2660" w:type="dxa"/>
            <w:noWrap/>
            <w:vAlign w:val="center"/>
          </w:tcPr>
          <w:p w14:paraId="482E4C77">
            <w:pPr>
              <w:spacing w:line="300" w:lineRule="exact"/>
              <w:rPr>
                <w:rFonts w:ascii="宋体" w:hAnsi="宋体" w:cs="宋体"/>
                <w:color w:val="auto"/>
                <w:szCs w:val="21"/>
              </w:rPr>
            </w:pPr>
            <w:r>
              <w:rPr>
                <w:rFonts w:hint="eastAsia" w:ascii="宋体" w:hAnsi="宋体" w:cs="宋体"/>
                <w:color w:val="auto"/>
                <w:szCs w:val="21"/>
              </w:rPr>
              <w:t>质量标准</w:t>
            </w:r>
          </w:p>
        </w:tc>
        <w:tc>
          <w:tcPr>
            <w:tcW w:w="1982" w:type="dxa"/>
            <w:noWrap/>
            <w:tcMar>
              <w:left w:w="170" w:type="dxa"/>
            </w:tcMar>
            <w:vAlign w:val="center"/>
          </w:tcPr>
          <w:p w14:paraId="184670B6">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58CE84E1">
            <w:pPr>
              <w:spacing w:line="300" w:lineRule="exact"/>
              <w:jc w:val="center"/>
              <w:rPr>
                <w:rFonts w:ascii="宋体" w:hAnsi="宋体" w:cs="宋体"/>
                <w:color w:val="auto"/>
                <w:szCs w:val="21"/>
              </w:rPr>
            </w:pPr>
          </w:p>
        </w:tc>
        <w:tc>
          <w:tcPr>
            <w:tcW w:w="2071" w:type="dxa"/>
            <w:noWrap/>
            <w:vAlign w:val="center"/>
          </w:tcPr>
          <w:p w14:paraId="1D1DC133">
            <w:pPr>
              <w:spacing w:line="300" w:lineRule="exact"/>
              <w:jc w:val="center"/>
              <w:rPr>
                <w:rFonts w:ascii="宋体" w:hAnsi="宋体" w:cs="宋体"/>
                <w:color w:val="auto"/>
                <w:szCs w:val="21"/>
              </w:rPr>
            </w:pPr>
          </w:p>
        </w:tc>
      </w:tr>
      <w:tr w14:paraId="5660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5C605DB6">
            <w:pPr>
              <w:spacing w:line="300" w:lineRule="exact"/>
              <w:jc w:val="center"/>
              <w:rPr>
                <w:rFonts w:ascii="宋体" w:hAnsi="宋体" w:cs="宋体"/>
                <w:color w:val="auto"/>
                <w:szCs w:val="21"/>
              </w:rPr>
            </w:pPr>
            <w:r>
              <w:rPr>
                <w:rFonts w:hint="eastAsia" w:ascii="宋体" w:hAnsi="宋体" w:cs="宋体"/>
                <w:color w:val="auto"/>
                <w:szCs w:val="21"/>
              </w:rPr>
              <w:t>9</w:t>
            </w:r>
          </w:p>
        </w:tc>
        <w:tc>
          <w:tcPr>
            <w:tcW w:w="2660" w:type="dxa"/>
            <w:noWrap/>
            <w:vAlign w:val="center"/>
          </w:tcPr>
          <w:p w14:paraId="34C1557C">
            <w:pPr>
              <w:spacing w:line="300" w:lineRule="exact"/>
              <w:rPr>
                <w:rFonts w:ascii="宋体" w:hAnsi="宋体" w:cs="宋体"/>
                <w:color w:val="auto"/>
                <w:szCs w:val="21"/>
              </w:rPr>
            </w:pPr>
            <w:r>
              <w:rPr>
                <w:rFonts w:hint="eastAsia" w:ascii="宋体" w:hAnsi="宋体" w:cs="宋体"/>
                <w:color w:val="auto"/>
                <w:szCs w:val="21"/>
              </w:rPr>
              <w:t>预付款额度</w:t>
            </w:r>
          </w:p>
        </w:tc>
        <w:tc>
          <w:tcPr>
            <w:tcW w:w="1982" w:type="dxa"/>
            <w:noWrap/>
            <w:tcMar>
              <w:left w:w="170" w:type="dxa"/>
            </w:tcMar>
            <w:vAlign w:val="center"/>
          </w:tcPr>
          <w:p w14:paraId="5D065B52">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2742ED30">
            <w:pPr>
              <w:spacing w:line="300" w:lineRule="exact"/>
              <w:jc w:val="center"/>
              <w:rPr>
                <w:rFonts w:ascii="宋体" w:hAnsi="宋体" w:cs="宋体"/>
                <w:color w:val="auto"/>
                <w:szCs w:val="21"/>
              </w:rPr>
            </w:pPr>
          </w:p>
        </w:tc>
        <w:tc>
          <w:tcPr>
            <w:tcW w:w="2071" w:type="dxa"/>
            <w:noWrap/>
            <w:vAlign w:val="center"/>
          </w:tcPr>
          <w:p w14:paraId="2DB8A434">
            <w:pPr>
              <w:spacing w:line="300" w:lineRule="exact"/>
              <w:jc w:val="center"/>
              <w:rPr>
                <w:rFonts w:ascii="宋体" w:hAnsi="宋体" w:cs="宋体"/>
                <w:color w:val="auto"/>
                <w:szCs w:val="21"/>
              </w:rPr>
            </w:pPr>
          </w:p>
        </w:tc>
      </w:tr>
      <w:tr w14:paraId="127E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1AEED851">
            <w:pPr>
              <w:spacing w:line="300" w:lineRule="exact"/>
              <w:jc w:val="center"/>
              <w:rPr>
                <w:rFonts w:ascii="宋体" w:hAnsi="宋体" w:cs="宋体"/>
                <w:color w:val="auto"/>
                <w:szCs w:val="21"/>
              </w:rPr>
            </w:pPr>
            <w:r>
              <w:rPr>
                <w:rFonts w:hint="eastAsia" w:ascii="宋体" w:hAnsi="宋体" w:cs="宋体"/>
                <w:color w:val="auto"/>
                <w:szCs w:val="21"/>
              </w:rPr>
              <w:t>10</w:t>
            </w:r>
          </w:p>
        </w:tc>
        <w:tc>
          <w:tcPr>
            <w:tcW w:w="2660" w:type="dxa"/>
            <w:noWrap/>
            <w:vAlign w:val="center"/>
          </w:tcPr>
          <w:p w14:paraId="78775B15">
            <w:pPr>
              <w:spacing w:line="300" w:lineRule="exact"/>
              <w:rPr>
                <w:rFonts w:ascii="宋体" w:hAnsi="宋体" w:cs="宋体"/>
                <w:color w:val="auto"/>
                <w:szCs w:val="21"/>
              </w:rPr>
            </w:pPr>
            <w:r>
              <w:rPr>
                <w:rFonts w:hint="eastAsia" w:ascii="宋体" w:hAnsi="宋体" w:cs="宋体"/>
                <w:color w:val="auto"/>
                <w:szCs w:val="21"/>
              </w:rPr>
              <w:t>质量保证金额度</w:t>
            </w:r>
          </w:p>
        </w:tc>
        <w:tc>
          <w:tcPr>
            <w:tcW w:w="1982" w:type="dxa"/>
            <w:noWrap/>
            <w:tcMar>
              <w:left w:w="170" w:type="dxa"/>
            </w:tcMar>
            <w:vAlign w:val="center"/>
          </w:tcPr>
          <w:p w14:paraId="142442B5">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65CAFDE8">
            <w:pPr>
              <w:spacing w:line="300" w:lineRule="exact"/>
              <w:jc w:val="center"/>
              <w:rPr>
                <w:rFonts w:ascii="宋体" w:hAnsi="宋体" w:cs="宋体"/>
                <w:color w:val="auto"/>
                <w:szCs w:val="21"/>
              </w:rPr>
            </w:pPr>
            <w:r>
              <w:rPr>
                <w:rFonts w:hint="eastAsia" w:ascii="宋体" w:hAnsi="宋体" w:cs="宋体"/>
                <w:color w:val="auto"/>
                <w:szCs w:val="21"/>
                <w:u w:val="single"/>
              </w:rPr>
              <w:t xml:space="preserve">计量额的    % </w:t>
            </w:r>
          </w:p>
        </w:tc>
        <w:tc>
          <w:tcPr>
            <w:tcW w:w="2071" w:type="dxa"/>
            <w:noWrap/>
            <w:vAlign w:val="center"/>
          </w:tcPr>
          <w:p w14:paraId="26E7802E">
            <w:pPr>
              <w:spacing w:line="300" w:lineRule="exact"/>
              <w:jc w:val="center"/>
              <w:rPr>
                <w:rFonts w:ascii="宋体" w:hAnsi="宋体" w:cs="宋体"/>
                <w:color w:val="auto"/>
                <w:szCs w:val="21"/>
              </w:rPr>
            </w:pPr>
          </w:p>
        </w:tc>
      </w:tr>
      <w:tr w14:paraId="2029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75" w:type="dxa"/>
            <w:noWrap/>
            <w:vAlign w:val="center"/>
          </w:tcPr>
          <w:p w14:paraId="01D842F3">
            <w:pPr>
              <w:spacing w:line="300" w:lineRule="exact"/>
              <w:jc w:val="center"/>
              <w:rPr>
                <w:rFonts w:ascii="宋体" w:hAnsi="宋体" w:cs="宋体"/>
                <w:color w:val="auto"/>
                <w:szCs w:val="21"/>
              </w:rPr>
            </w:pPr>
            <w:r>
              <w:rPr>
                <w:rFonts w:hint="eastAsia" w:ascii="宋体" w:hAnsi="宋体" w:cs="宋体"/>
                <w:color w:val="auto"/>
                <w:szCs w:val="21"/>
              </w:rPr>
              <w:t>……</w:t>
            </w:r>
          </w:p>
        </w:tc>
        <w:tc>
          <w:tcPr>
            <w:tcW w:w="2660" w:type="dxa"/>
            <w:noWrap/>
            <w:vAlign w:val="center"/>
          </w:tcPr>
          <w:p w14:paraId="6175602E">
            <w:pPr>
              <w:spacing w:line="300" w:lineRule="exact"/>
              <w:jc w:val="center"/>
              <w:rPr>
                <w:rFonts w:ascii="宋体" w:hAnsi="宋体" w:cs="宋体"/>
                <w:color w:val="auto"/>
                <w:szCs w:val="21"/>
              </w:rPr>
            </w:pPr>
            <w:r>
              <w:rPr>
                <w:rFonts w:hint="eastAsia" w:ascii="宋体" w:hAnsi="宋体" w:cs="宋体"/>
                <w:color w:val="auto"/>
                <w:szCs w:val="21"/>
              </w:rPr>
              <w:t>……</w:t>
            </w:r>
          </w:p>
        </w:tc>
        <w:tc>
          <w:tcPr>
            <w:tcW w:w="1982" w:type="dxa"/>
            <w:noWrap/>
            <w:tcMar>
              <w:left w:w="170" w:type="dxa"/>
            </w:tcMar>
            <w:vAlign w:val="center"/>
          </w:tcPr>
          <w:p w14:paraId="0E8AEE23">
            <w:pPr>
              <w:spacing w:line="300" w:lineRule="exact"/>
              <w:rPr>
                <w:rFonts w:ascii="宋体" w:hAnsi="宋体" w:cs="宋体"/>
                <w:color w:val="auto"/>
                <w:szCs w:val="21"/>
              </w:rPr>
            </w:pPr>
          </w:p>
        </w:tc>
        <w:tc>
          <w:tcPr>
            <w:tcW w:w="1950" w:type="dxa"/>
            <w:noWrap/>
            <w:vAlign w:val="center"/>
          </w:tcPr>
          <w:p w14:paraId="10FE2572">
            <w:pPr>
              <w:spacing w:line="300" w:lineRule="exact"/>
              <w:jc w:val="center"/>
              <w:rPr>
                <w:rFonts w:ascii="宋体" w:hAnsi="宋体" w:cs="宋体"/>
                <w:color w:val="auto"/>
                <w:szCs w:val="21"/>
              </w:rPr>
            </w:pPr>
          </w:p>
        </w:tc>
        <w:tc>
          <w:tcPr>
            <w:tcW w:w="2071" w:type="dxa"/>
            <w:noWrap/>
            <w:vAlign w:val="center"/>
          </w:tcPr>
          <w:p w14:paraId="60429B3A">
            <w:pPr>
              <w:spacing w:line="300" w:lineRule="exact"/>
              <w:jc w:val="center"/>
              <w:rPr>
                <w:rFonts w:ascii="宋体" w:hAnsi="宋体" w:cs="宋体"/>
                <w:color w:val="auto"/>
                <w:szCs w:val="21"/>
              </w:rPr>
            </w:pPr>
          </w:p>
        </w:tc>
      </w:tr>
    </w:tbl>
    <w:p w14:paraId="1B2DED08">
      <w:pPr>
        <w:spacing w:line="336" w:lineRule="auto"/>
        <w:ind w:left="-4" w:leftChars="-2" w:right="-153" w:rightChars="-73" w:firstLine="363" w:firstLineChars="173"/>
        <w:jc w:val="center"/>
        <w:rPr>
          <w:rFonts w:ascii="宋体" w:hAnsi="宋体"/>
          <w:b/>
          <w:color w:val="auto"/>
          <w:szCs w:val="21"/>
        </w:rPr>
      </w:pPr>
    </w:p>
    <w:p w14:paraId="526CE262">
      <w:pPr>
        <w:spacing w:line="336" w:lineRule="auto"/>
        <w:ind w:left="-4" w:leftChars="-2" w:right="-153" w:rightChars="-73" w:firstLine="363" w:firstLineChars="173"/>
        <w:jc w:val="center"/>
        <w:rPr>
          <w:rFonts w:ascii="宋体" w:hAnsi="宋体"/>
          <w:b/>
          <w:color w:val="auto"/>
          <w:szCs w:val="21"/>
        </w:rPr>
      </w:pPr>
    </w:p>
    <w:p w14:paraId="6BE9F28B">
      <w:pPr>
        <w:spacing w:line="336" w:lineRule="auto"/>
        <w:ind w:left="-4" w:leftChars="-2" w:right="-153" w:rightChars="-73" w:firstLine="363" w:firstLineChars="173"/>
        <w:jc w:val="center"/>
        <w:rPr>
          <w:rFonts w:ascii="宋体" w:hAnsi="宋体"/>
          <w:b/>
          <w:color w:val="auto"/>
          <w:szCs w:val="21"/>
        </w:rPr>
      </w:pPr>
    </w:p>
    <w:p w14:paraId="33AF4BAA">
      <w:pPr>
        <w:spacing w:line="480" w:lineRule="auto"/>
        <w:rPr>
          <w:rFonts w:ascii="宋体" w:hAnsi="宋体"/>
          <w:color w:val="auto"/>
          <w:szCs w:val="21"/>
        </w:rPr>
      </w:pPr>
      <w:r>
        <w:rPr>
          <w:rFonts w:hint="eastAsia" w:ascii="宋体" w:hAnsi="宋体"/>
          <w:color w:val="auto"/>
          <w:szCs w:val="21"/>
        </w:rPr>
        <w:t>磋商供应商：（公章或电子签章）</w:t>
      </w:r>
    </w:p>
    <w:p w14:paraId="0ADDE821">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6B468F63">
      <w:pPr>
        <w:spacing w:line="480" w:lineRule="auto"/>
        <w:rPr>
          <w:rFonts w:ascii="宋体" w:hAnsi="宋体"/>
          <w:color w:val="auto"/>
          <w:szCs w:val="21"/>
        </w:rPr>
      </w:pPr>
      <w:r>
        <w:rPr>
          <w:rFonts w:hint="eastAsia" w:ascii="宋体" w:hAnsi="宋体"/>
          <w:color w:val="auto"/>
          <w:szCs w:val="21"/>
        </w:rPr>
        <w:t>日期：  年  月  日</w:t>
      </w:r>
    </w:p>
    <w:p w14:paraId="5AE17971">
      <w:pPr>
        <w:jc w:val="center"/>
        <w:rPr>
          <w:rFonts w:ascii="宋体" w:hAnsi="宋体"/>
          <w:b/>
          <w:color w:val="auto"/>
          <w:sz w:val="24"/>
        </w:rPr>
      </w:pPr>
      <w:r>
        <w:rPr>
          <w:rFonts w:ascii="宋体" w:hAnsi="宋体"/>
          <w:color w:val="auto"/>
          <w:szCs w:val="21"/>
        </w:rPr>
        <w:br w:type="page"/>
      </w:r>
      <w:r>
        <w:rPr>
          <w:rFonts w:hint="eastAsia" w:ascii="宋体" w:hAnsi="宋体" w:cs="黑体"/>
          <w:b/>
          <w:color w:val="auto"/>
          <w:kern w:val="0"/>
          <w:sz w:val="28"/>
          <w:szCs w:val="28"/>
        </w:rPr>
        <w:t>二、竞标人基本情况表</w:t>
      </w:r>
    </w:p>
    <w:p w14:paraId="2A510ABA">
      <w:pPr>
        <w:pStyle w:val="88"/>
        <w:ind w:firstLine="0"/>
        <w:rPr>
          <w:color w:val="auto"/>
        </w:rPr>
      </w:pPr>
    </w:p>
    <w:tbl>
      <w:tblPr>
        <w:tblStyle w:val="52"/>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038A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B7FDB1B">
            <w:pPr>
              <w:spacing w:line="300" w:lineRule="exact"/>
              <w:jc w:val="center"/>
              <w:rPr>
                <w:color w:val="auto"/>
                <w:szCs w:val="21"/>
              </w:rPr>
            </w:pPr>
            <w:r>
              <w:rPr>
                <w:rFonts w:hint="eastAsia"/>
                <w:color w:val="auto"/>
                <w:szCs w:val="21"/>
              </w:rPr>
              <w:t>竞标人</w:t>
            </w:r>
            <w:r>
              <w:rPr>
                <w:color w:val="auto"/>
                <w:szCs w:val="21"/>
              </w:rPr>
              <w:t>名称</w:t>
            </w:r>
          </w:p>
        </w:tc>
        <w:tc>
          <w:tcPr>
            <w:tcW w:w="8757" w:type="dxa"/>
            <w:gridSpan w:val="6"/>
            <w:noWrap/>
            <w:vAlign w:val="center"/>
          </w:tcPr>
          <w:p w14:paraId="115E2F6E">
            <w:pPr>
              <w:spacing w:line="300" w:lineRule="exact"/>
              <w:jc w:val="center"/>
              <w:rPr>
                <w:color w:val="auto"/>
                <w:szCs w:val="21"/>
              </w:rPr>
            </w:pPr>
          </w:p>
        </w:tc>
      </w:tr>
      <w:tr w14:paraId="135D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64023D6">
            <w:pPr>
              <w:spacing w:line="300" w:lineRule="exact"/>
              <w:jc w:val="center"/>
              <w:rPr>
                <w:color w:val="auto"/>
                <w:szCs w:val="21"/>
              </w:rPr>
            </w:pPr>
            <w:r>
              <w:rPr>
                <w:color w:val="auto"/>
                <w:szCs w:val="21"/>
              </w:rPr>
              <w:t>注册地址</w:t>
            </w:r>
          </w:p>
        </w:tc>
        <w:tc>
          <w:tcPr>
            <w:tcW w:w="3466" w:type="dxa"/>
            <w:gridSpan w:val="3"/>
            <w:noWrap/>
            <w:vAlign w:val="center"/>
          </w:tcPr>
          <w:p w14:paraId="72B59A52">
            <w:pPr>
              <w:spacing w:line="300" w:lineRule="exact"/>
              <w:jc w:val="center"/>
              <w:rPr>
                <w:color w:val="auto"/>
                <w:szCs w:val="21"/>
              </w:rPr>
            </w:pPr>
          </w:p>
        </w:tc>
        <w:tc>
          <w:tcPr>
            <w:tcW w:w="1540" w:type="dxa"/>
            <w:noWrap/>
            <w:vAlign w:val="center"/>
          </w:tcPr>
          <w:p w14:paraId="4E3E5F96">
            <w:pPr>
              <w:spacing w:line="300" w:lineRule="exact"/>
              <w:jc w:val="center"/>
              <w:rPr>
                <w:color w:val="auto"/>
                <w:szCs w:val="21"/>
              </w:rPr>
            </w:pPr>
            <w:r>
              <w:rPr>
                <w:color w:val="auto"/>
                <w:szCs w:val="21"/>
              </w:rPr>
              <w:t>邮政编码</w:t>
            </w:r>
          </w:p>
        </w:tc>
        <w:tc>
          <w:tcPr>
            <w:tcW w:w="3751" w:type="dxa"/>
            <w:gridSpan w:val="2"/>
            <w:noWrap/>
            <w:vAlign w:val="center"/>
          </w:tcPr>
          <w:p w14:paraId="083B3452">
            <w:pPr>
              <w:spacing w:line="300" w:lineRule="exact"/>
              <w:jc w:val="center"/>
              <w:rPr>
                <w:color w:val="auto"/>
                <w:szCs w:val="21"/>
              </w:rPr>
            </w:pPr>
          </w:p>
        </w:tc>
      </w:tr>
      <w:tr w14:paraId="31B1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ign w:val="center"/>
          </w:tcPr>
          <w:p w14:paraId="51473D65">
            <w:pPr>
              <w:spacing w:line="300" w:lineRule="exact"/>
              <w:jc w:val="center"/>
              <w:rPr>
                <w:color w:val="auto"/>
                <w:szCs w:val="21"/>
              </w:rPr>
            </w:pPr>
            <w:r>
              <w:rPr>
                <w:color w:val="auto"/>
                <w:szCs w:val="21"/>
              </w:rPr>
              <w:t>联系方式</w:t>
            </w:r>
          </w:p>
        </w:tc>
        <w:tc>
          <w:tcPr>
            <w:tcW w:w="917" w:type="dxa"/>
            <w:noWrap/>
            <w:vAlign w:val="center"/>
          </w:tcPr>
          <w:p w14:paraId="4A67987B">
            <w:pPr>
              <w:spacing w:line="300" w:lineRule="exact"/>
              <w:jc w:val="center"/>
              <w:rPr>
                <w:color w:val="auto"/>
                <w:szCs w:val="21"/>
              </w:rPr>
            </w:pPr>
            <w:r>
              <w:rPr>
                <w:color w:val="auto"/>
                <w:szCs w:val="21"/>
              </w:rPr>
              <w:t>联系人</w:t>
            </w:r>
          </w:p>
        </w:tc>
        <w:tc>
          <w:tcPr>
            <w:tcW w:w="2549" w:type="dxa"/>
            <w:gridSpan w:val="2"/>
            <w:noWrap/>
            <w:vAlign w:val="center"/>
          </w:tcPr>
          <w:p w14:paraId="705A4CE2">
            <w:pPr>
              <w:spacing w:line="300" w:lineRule="exact"/>
              <w:jc w:val="center"/>
              <w:rPr>
                <w:color w:val="auto"/>
                <w:szCs w:val="21"/>
              </w:rPr>
            </w:pPr>
          </w:p>
        </w:tc>
        <w:tc>
          <w:tcPr>
            <w:tcW w:w="1540" w:type="dxa"/>
            <w:noWrap/>
            <w:vAlign w:val="center"/>
          </w:tcPr>
          <w:p w14:paraId="23E12D39">
            <w:pPr>
              <w:spacing w:line="300" w:lineRule="exact"/>
              <w:jc w:val="center"/>
              <w:rPr>
                <w:color w:val="auto"/>
                <w:szCs w:val="21"/>
              </w:rPr>
            </w:pPr>
            <w:r>
              <w:rPr>
                <w:color w:val="auto"/>
                <w:szCs w:val="21"/>
              </w:rPr>
              <w:t>电话</w:t>
            </w:r>
          </w:p>
        </w:tc>
        <w:tc>
          <w:tcPr>
            <w:tcW w:w="3751" w:type="dxa"/>
            <w:gridSpan w:val="2"/>
            <w:noWrap/>
            <w:vAlign w:val="center"/>
          </w:tcPr>
          <w:p w14:paraId="0DB201AA">
            <w:pPr>
              <w:spacing w:line="300" w:lineRule="exact"/>
              <w:jc w:val="center"/>
              <w:rPr>
                <w:color w:val="auto"/>
                <w:szCs w:val="21"/>
              </w:rPr>
            </w:pPr>
          </w:p>
        </w:tc>
      </w:tr>
      <w:tr w14:paraId="550F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ign w:val="center"/>
          </w:tcPr>
          <w:p w14:paraId="513FB259">
            <w:pPr>
              <w:spacing w:line="300" w:lineRule="exact"/>
              <w:jc w:val="center"/>
              <w:rPr>
                <w:color w:val="auto"/>
                <w:szCs w:val="21"/>
              </w:rPr>
            </w:pPr>
          </w:p>
        </w:tc>
        <w:tc>
          <w:tcPr>
            <w:tcW w:w="917" w:type="dxa"/>
            <w:noWrap/>
            <w:vAlign w:val="center"/>
          </w:tcPr>
          <w:p w14:paraId="620D57F7">
            <w:pPr>
              <w:spacing w:line="300" w:lineRule="exact"/>
              <w:jc w:val="center"/>
              <w:rPr>
                <w:color w:val="auto"/>
                <w:szCs w:val="21"/>
              </w:rPr>
            </w:pPr>
            <w:r>
              <w:rPr>
                <w:color w:val="auto"/>
                <w:szCs w:val="21"/>
              </w:rPr>
              <w:t>传真</w:t>
            </w:r>
          </w:p>
        </w:tc>
        <w:tc>
          <w:tcPr>
            <w:tcW w:w="2549" w:type="dxa"/>
            <w:gridSpan w:val="2"/>
            <w:noWrap/>
            <w:vAlign w:val="center"/>
          </w:tcPr>
          <w:p w14:paraId="54ADF324">
            <w:pPr>
              <w:spacing w:line="300" w:lineRule="exact"/>
              <w:jc w:val="center"/>
              <w:rPr>
                <w:color w:val="auto"/>
                <w:szCs w:val="21"/>
              </w:rPr>
            </w:pPr>
          </w:p>
        </w:tc>
        <w:tc>
          <w:tcPr>
            <w:tcW w:w="1540" w:type="dxa"/>
            <w:noWrap/>
            <w:vAlign w:val="center"/>
          </w:tcPr>
          <w:p w14:paraId="59559DA6">
            <w:pPr>
              <w:spacing w:line="300" w:lineRule="exact"/>
              <w:jc w:val="center"/>
              <w:rPr>
                <w:color w:val="auto"/>
                <w:szCs w:val="21"/>
              </w:rPr>
            </w:pPr>
            <w:r>
              <w:rPr>
                <w:color w:val="auto"/>
                <w:szCs w:val="21"/>
              </w:rPr>
              <w:t>网址</w:t>
            </w:r>
          </w:p>
        </w:tc>
        <w:tc>
          <w:tcPr>
            <w:tcW w:w="3751" w:type="dxa"/>
            <w:gridSpan w:val="2"/>
            <w:noWrap/>
            <w:vAlign w:val="center"/>
          </w:tcPr>
          <w:p w14:paraId="3AE5D480">
            <w:pPr>
              <w:spacing w:line="300" w:lineRule="exact"/>
              <w:jc w:val="center"/>
              <w:rPr>
                <w:color w:val="auto"/>
                <w:szCs w:val="21"/>
              </w:rPr>
            </w:pPr>
          </w:p>
        </w:tc>
      </w:tr>
      <w:tr w14:paraId="4ABB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2C721A50">
            <w:pPr>
              <w:spacing w:line="300" w:lineRule="exact"/>
              <w:jc w:val="center"/>
              <w:rPr>
                <w:color w:val="auto"/>
                <w:szCs w:val="21"/>
              </w:rPr>
            </w:pPr>
            <w:r>
              <w:rPr>
                <w:color w:val="auto"/>
                <w:szCs w:val="21"/>
              </w:rPr>
              <w:t>组织</w:t>
            </w:r>
            <w:r>
              <w:rPr>
                <w:rFonts w:hint="eastAsia"/>
                <w:color w:val="auto"/>
                <w:szCs w:val="21"/>
              </w:rPr>
              <w:t>机构</w:t>
            </w:r>
          </w:p>
        </w:tc>
        <w:tc>
          <w:tcPr>
            <w:tcW w:w="8757" w:type="dxa"/>
            <w:gridSpan w:val="6"/>
            <w:noWrap/>
            <w:vAlign w:val="center"/>
          </w:tcPr>
          <w:p w14:paraId="07FBF087">
            <w:pPr>
              <w:spacing w:line="300" w:lineRule="exact"/>
              <w:jc w:val="center"/>
              <w:rPr>
                <w:color w:val="auto"/>
                <w:szCs w:val="21"/>
              </w:rPr>
            </w:pPr>
          </w:p>
        </w:tc>
      </w:tr>
      <w:tr w14:paraId="6F73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68693C1">
            <w:pPr>
              <w:spacing w:line="300" w:lineRule="exact"/>
              <w:jc w:val="center"/>
              <w:rPr>
                <w:color w:val="auto"/>
                <w:szCs w:val="21"/>
              </w:rPr>
            </w:pPr>
            <w:r>
              <w:rPr>
                <w:color w:val="auto"/>
                <w:szCs w:val="21"/>
              </w:rPr>
              <w:t>法定代表人</w:t>
            </w:r>
          </w:p>
        </w:tc>
        <w:tc>
          <w:tcPr>
            <w:tcW w:w="917" w:type="dxa"/>
            <w:noWrap/>
            <w:vAlign w:val="center"/>
          </w:tcPr>
          <w:p w14:paraId="2046A881">
            <w:pPr>
              <w:spacing w:line="300" w:lineRule="exact"/>
              <w:jc w:val="center"/>
              <w:rPr>
                <w:color w:val="auto"/>
                <w:szCs w:val="21"/>
              </w:rPr>
            </w:pPr>
            <w:r>
              <w:rPr>
                <w:color w:val="auto"/>
                <w:szCs w:val="21"/>
              </w:rPr>
              <w:t>姓名</w:t>
            </w:r>
          </w:p>
        </w:tc>
        <w:tc>
          <w:tcPr>
            <w:tcW w:w="1377" w:type="dxa"/>
            <w:noWrap/>
            <w:vAlign w:val="center"/>
          </w:tcPr>
          <w:p w14:paraId="6A51FB26">
            <w:pPr>
              <w:spacing w:line="300" w:lineRule="exact"/>
              <w:jc w:val="center"/>
              <w:rPr>
                <w:color w:val="auto"/>
                <w:szCs w:val="21"/>
              </w:rPr>
            </w:pPr>
          </w:p>
        </w:tc>
        <w:tc>
          <w:tcPr>
            <w:tcW w:w="1172" w:type="dxa"/>
            <w:noWrap/>
            <w:vAlign w:val="center"/>
          </w:tcPr>
          <w:p w14:paraId="3141C4DB">
            <w:pPr>
              <w:spacing w:line="300" w:lineRule="exact"/>
              <w:jc w:val="center"/>
              <w:rPr>
                <w:color w:val="auto"/>
                <w:szCs w:val="21"/>
              </w:rPr>
            </w:pPr>
            <w:r>
              <w:rPr>
                <w:color w:val="auto"/>
                <w:szCs w:val="21"/>
              </w:rPr>
              <w:t>技术职称</w:t>
            </w:r>
          </w:p>
        </w:tc>
        <w:tc>
          <w:tcPr>
            <w:tcW w:w="1540" w:type="dxa"/>
            <w:noWrap/>
            <w:vAlign w:val="center"/>
          </w:tcPr>
          <w:p w14:paraId="1A4D33DA">
            <w:pPr>
              <w:spacing w:line="300" w:lineRule="exact"/>
              <w:jc w:val="center"/>
              <w:rPr>
                <w:color w:val="auto"/>
                <w:szCs w:val="21"/>
              </w:rPr>
            </w:pPr>
          </w:p>
        </w:tc>
        <w:tc>
          <w:tcPr>
            <w:tcW w:w="1016" w:type="dxa"/>
            <w:noWrap/>
            <w:vAlign w:val="center"/>
          </w:tcPr>
          <w:p w14:paraId="17FD9A49">
            <w:pPr>
              <w:spacing w:line="300" w:lineRule="exact"/>
              <w:jc w:val="center"/>
              <w:rPr>
                <w:color w:val="auto"/>
                <w:szCs w:val="21"/>
              </w:rPr>
            </w:pPr>
            <w:r>
              <w:rPr>
                <w:color w:val="auto"/>
                <w:szCs w:val="21"/>
              </w:rPr>
              <w:t>电话</w:t>
            </w:r>
          </w:p>
        </w:tc>
        <w:tc>
          <w:tcPr>
            <w:tcW w:w="2735" w:type="dxa"/>
            <w:noWrap/>
            <w:vAlign w:val="center"/>
          </w:tcPr>
          <w:p w14:paraId="5C9FB561">
            <w:pPr>
              <w:spacing w:line="300" w:lineRule="exact"/>
              <w:jc w:val="center"/>
              <w:rPr>
                <w:color w:val="auto"/>
                <w:szCs w:val="21"/>
              </w:rPr>
            </w:pPr>
          </w:p>
        </w:tc>
      </w:tr>
      <w:tr w14:paraId="633C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0396391">
            <w:pPr>
              <w:spacing w:line="300" w:lineRule="exact"/>
              <w:jc w:val="center"/>
              <w:rPr>
                <w:color w:val="auto"/>
                <w:szCs w:val="21"/>
              </w:rPr>
            </w:pPr>
            <w:r>
              <w:rPr>
                <w:color w:val="auto"/>
                <w:szCs w:val="21"/>
              </w:rPr>
              <w:t>技术负责人</w:t>
            </w:r>
          </w:p>
        </w:tc>
        <w:tc>
          <w:tcPr>
            <w:tcW w:w="917" w:type="dxa"/>
            <w:noWrap/>
            <w:vAlign w:val="center"/>
          </w:tcPr>
          <w:p w14:paraId="7F895FE0">
            <w:pPr>
              <w:spacing w:line="300" w:lineRule="exact"/>
              <w:jc w:val="center"/>
              <w:rPr>
                <w:color w:val="auto"/>
                <w:szCs w:val="21"/>
              </w:rPr>
            </w:pPr>
            <w:r>
              <w:rPr>
                <w:color w:val="auto"/>
                <w:szCs w:val="21"/>
              </w:rPr>
              <w:t>姓名</w:t>
            </w:r>
          </w:p>
        </w:tc>
        <w:tc>
          <w:tcPr>
            <w:tcW w:w="1377" w:type="dxa"/>
            <w:noWrap/>
            <w:vAlign w:val="center"/>
          </w:tcPr>
          <w:p w14:paraId="007B4C0B">
            <w:pPr>
              <w:spacing w:line="300" w:lineRule="exact"/>
              <w:jc w:val="center"/>
              <w:rPr>
                <w:color w:val="auto"/>
                <w:szCs w:val="21"/>
              </w:rPr>
            </w:pPr>
          </w:p>
        </w:tc>
        <w:tc>
          <w:tcPr>
            <w:tcW w:w="1172" w:type="dxa"/>
            <w:noWrap/>
            <w:vAlign w:val="center"/>
          </w:tcPr>
          <w:p w14:paraId="737065FF">
            <w:pPr>
              <w:spacing w:line="300" w:lineRule="exact"/>
              <w:jc w:val="center"/>
              <w:rPr>
                <w:color w:val="auto"/>
                <w:szCs w:val="21"/>
              </w:rPr>
            </w:pPr>
            <w:r>
              <w:rPr>
                <w:color w:val="auto"/>
                <w:szCs w:val="21"/>
              </w:rPr>
              <w:t>技术职称</w:t>
            </w:r>
          </w:p>
        </w:tc>
        <w:tc>
          <w:tcPr>
            <w:tcW w:w="1540" w:type="dxa"/>
            <w:noWrap/>
            <w:vAlign w:val="center"/>
          </w:tcPr>
          <w:p w14:paraId="00BE19F4">
            <w:pPr>
              <w:spacing w:line="300" w:lineRule="exact"/>
              <w:jc w:val="center"/>
              <w:rPr>
                <w:color w:val="auto"/>
                <w:szCs w:val="21"/>
              </w:rPr>
            </w:pPr>
          </w:p>
        </w:tc>
        <w:tc>
          <w:tcPr>
            <w:tcW w:w="1016" w:type="dxa"/>
            <w:noWrap/>
            <w:vAlign w:val="center"/>
          </w:tcPr>
          <w:p w14:paraId="1E6BD54B">
            <w:pPr>
              <w:spacing w:line="300" w:lineRule="exact"/>
              <w:jc w:val="center"/>
              <w:rPr>
                <w:color w:val="auto"/>
                <w:szCs w:val="21"/>
              </w:rPr>
            </w:pPr>
            <w:r>
              <w:rPr>
                <w:color w:val="auto"/>
                <w:szCs w:val="21"/>
              </w:rPr>
              <w:t>电话</w:t>
            </w:r>
          </w:p>
        </w:tc>
        <w:tc>
          <w:tcPr>
            <w:tcW w:w="2735" w:type="dxa"/>
            <w:noWrap/>
            <w:vAlign w:val="center"/>
          </w:tcPr>
          <w:p w14:paraId="10C7C1B6">
            <w:pPr>
              <w:spacing w:line="300" w:lineRule="exact"/>
              <w:jc w:val="center"/>
              <w:rPr>
                <w:color w:val="auto"/>
                <w:szCs w:val="21"/>
              </w:rPr>
            </w:pPr>
          </w:p>
        </w:tc>
      </w:tr>
      <w:tr w14:paraId="563D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9248845">
            <w:pPr>
              <w:spacing w:line="300" w:lineRule="exact"/>
              <w:jc w:val="center"/>
              <w:rPr>
                <w:color w:val="auto"/>
                <w:szCs w:val="21"/>
              </w:rPr>
            </w:pPr>
            <w:r>
              <w:rPr>
                <w:color w:val="auto"/>
                <w:szCs w:val="21"/>
              </w:rPr>
              <w:t>成立时间</w:t>
            </w:r>
          </w:p>
        </w:tc>
        <w:tc>
          <w:tcPr>
            <w:tcW w:w="2294" w:type="dxa"/>
            <w:gridSpan w:val="2"/>
            <w:noWrap/>
            <w:vAlign w:val="center"/>
          </w:tcPr>
          <w:p w14:paraId="0D71091F">
            <w:pPr>
              <w:spacing w:line="300" w:lineRule="exact"/>
              <w:jc w:val="center"/>
              <w:rPr>
                <w:color w:val="auto"/>
                <w:szCs w:val="21"/>
              </w:rPr>
            </w:pPr>
          </w:p>
        </w:tc>
        <w:tc>
          <w:tcPr>
            <w:tcW w:w="6463" w:type="dxa"/>
            <w:gridSpan w:val="4"/>
            <w:noWrap/>
            <w:vAlign w:val="center"/>
          </w:tcPr>
          <w:p w14:paraId="5DA675A6">
            <w:pPr>
              <w:spacing w:line="300" w:lineRule="exact"/>
              <w:jc w:val="center"/>
              <w:rPr>
                <w:color w:val="auto"/>
                <w:szCs w:val="21"/>
              </w:rPr>
            </w:pPr>
            <w:r>
              <w:rPr>
                <w:color w:val="auto"/>
                <w:szCs w:val="21"/>
              </w:rPr>
              <w:t>员工总人数：</w:t>
            </w:r>
          </w:p>
        </w:tc>
      </w:tr>
      <w:tr w14:paraId="1041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2C934491">
            <w:pPr>
              <w:spacing w:line="300" w:lineRule="exact"/>
              <w:jc w:val="center"/>
              <w:rPr>
                <w:color w:val="auto"/>
                <w:szCs w:val="21"/>
              </w:rPr>
            </w:pPr>
            <w:r>
              <w:rPr>
                <w:color w:val="auto"/>
                <w:szCs w:val="21"/>
              </w:rPr>
              <w:t>企业资质等级</w:t>
            </w:r>
          </w:p>
        </w:tc>
        <w:tc>
          <w:tcPr>
            <w:tcW w:w="2294" w:type="dxa"/>
            <w:gridSpan w:val="2"/>
            <w:noWrap/>
            <w:vAlign w:val="center"/>
          </w:tcPr>
          <w:p w14:paraId="36587492">
            <w:pPr>
              <w:spacing w:line="300" w:lineRule="exact"/>
              <w:jc w:val="center"/>
              <w:rPr>
                <w:color w:val="auto"/>
                <w:szCs w:val="21"/>
              </w:rPr>
            </w:pPr>
          </w:p>
        </w:tc>
        <w:tc>
          <w:tcPr>
            <w:tcW w:w="1172" w:type="dxa"/>
            <w:vMerge w:val="restart"/>
            <w:noWrap/>
            <w:vAlign w:val="center"/>
          </w:tcPr>
          <w:p w14:paraId="691CACE3">
            <w:pPr>
              <w:spacing w:line="300" w:lineRule="exact"/>
              <w:jc w:val="center"/>
              <w:rPr>
                <w:color w:val="auto"/>
                <w:szCs w:val="21"/>
              </w:rPr>
            </w:pPr>
            <w:r>
              <w:rPr>
                <w:color w:val="auto"/>
                <w:szCs w:val="21"/>
              </w:rPr>
              <w:t>其中</w:t>
            </w:r>
          </w:p>
        </w:tc>
        <w:tc>
          <w:tcPr>
            <w:tcW w:w="1540" w:type="dxa"/>
            <w:noWrap/>
            <w:vAlign w:val="center"/>
          </w:tcPr>
          <w:p w14:paraId="4A9BD7AB">
            <w:pPr>
              <w:spacing w:line="300" w:lineRule="exact"/>
              <w:jc w:val="center"/>
              <w:rPr>
                <w:color w:val="auto"/>
                <w:szCs w:val="21"/>
              </w:rPr>
            </w:pPr>
            <w:r>
              <w:rPr>
                <w:color w:val="auto"/>
                <w:szCs w:val="21"/>
              </w:rPr>
              <w:t>项目经理</w:t>
            </w:r>
          </w:p>
        </w:tc>
        <w:tc>
          <w:tcPr>
            <w:tcW w:w="3751" w:type="dxa"/>
            <w:gridSpan w:val="2"/>
            <w:noWrap/>
            <w:vAlign w:val="center"/>
          </w:tcPr>
          <w:p w14:paraId="3C92380A">
            <w:pPr>
              <w:spacing w:line="300" w:lineRule="exact"/>
              <w:jc w:val="center"/>
              <w:rPr>
                <w:color w:val="auto"/>
                <w:szCs w:val="21"/>
              </w:rPr>
            </w:pPr>
          </w:p>
        </w:tc>
      </w:tr>
      <w:tr w14:paraId="5910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5499793">
            <w:pPr>
              <w:spacing w:line="300" w:lineRule="exact"/>
              <w:jc w:val="center"/>
              <w:rPr>
                <w:color w:val="auto"/>
                <w:szCs w:val="21"/>
              </w:rPr>
            </w:pPr>
            <w:r>
              <w:rPr>
                <w:color w:val="auto"/>
                <w:szCs w:val="21"/>
              </w:rPr>
              <w:t>营业执照号</w:t>
            </w:r>
          </w:p>
        </w:tc>
        <w:tc>
          <w:tcPr>
            <w:tcW w:w="2294" w:type="dxa"/>
            <w:gridSpan w:val="2"/>
            <w:noWrap/>
            <w:vAlign w:val="center"/>
          </w:tcPr>
          <w:p w14:paraId="4B3B4F74">
            <w:pPr>
              <w:spacing w:line="300" w:lineRule="exact"/>
              <w:jc w:val="center"/>
              <w:rPr>
                <w:color w:val="auto"/>
                <w:szCs w:val="21"/>
              </w:rPr>
            </w:pPr>
          </w:p>
        </w:tc>
        <w:tc>
          <w:tcPr>
            <w:tcW w:w="1172" w:type="dxa"/>
            <w:vMerge w:val="continue"/>
            <w:noWrap/>
            <w:vAlign w:val="center"/>
          </w:tcPr>
          <w:p w14:paraId="0E2846CA">
            <w:pPr>
              <w:spacing w:line="300" w:lineRule="exact"/>
              <w:jc w:val="center"/>
              <w:rPr>
                <w:color w:val="auto"/>
                <w:szCs w:val="21"/>
              </w:rPr>
            </w:pPr>
          </w:p>
        </w:tc>
        <w:tc>
          <w:tcPr>
            <w:tcW w:w="1540" w:type="dxa"/>
            <w:noWrap/>
            <w:vAlign w:val="center"/>
          </w:tcPr>
          <w:p w14:paraId="593889F3">
            <w:pPr>
              <w:spacing w:line="300" w:lineRule="exact"/>
              <w:jc w:val="center"/>
              <w:rPr>
                <w:color w:val="auto"/>
                <w:szCs w:val="21"/>
              </w:rPr>
            </w:pPr>
            <w:r>
              <w:rPr>
                <w:color w:val="auto"/>
                <w:szCs w:val="21"/>
              </w:rPr>
              <w:t>高级职称人员</w:t>
            </w:r>
          </w:p>
        </w:tc>
        <w:tc>
          <w:tcPr>
            <w:tcW w:w="3751" w:type="dxa"/>
            <w:gridSpan w:val="2"/>
            <w:noWrap/>
            <w:vAlign w:val="center"/>
          </w:tcPr>
          <w:p w14:paraId="654E6FB1">
            <w:pPr>
              <w:spacing w:line="300" w:lineRule="exact"/>
              <w:jc w:val="center"/>
              <w:rPr>
                <w:color w:val="auto"/>
                <w:szCs w:val="21"/>
              </w:rPr>
            </w:pPr>
          </w:p>
        </w:tc>
      </w:tr>
      <w:tr w14:paraId="222B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684C094">
            <w:pPr>
              <w:spacing w:line="300" w:lineRule="exact"/>
              <w:jc w:val="center"/>
              <w:rPr>
                <w:color w:val="auto"/>
                <w:szCs w:val="21"/>
              </w:rPr>
            </w:pPr>
            <w:r>
              <w:rPr>
                <w:color w:val="auto"/>
                <w:szCs w:val="21"/>
              </w:rPr>
              <w:t>注册资金</w:t>
            </w:r>
          </w:p>
        </w:tc>
        <w:tc>
          <w:tcPr>
            <w:tcW w:w="2294" w:type="dxa"/>
            <w:gridSpan w:val="2"/>
            <w:noWrap/>
            <w:vAlign w:val="center"/>
          </w:tcPr>
          <w:p w14:paraId="6855F99F">
            <w:pPr>
              <w:spacing w:line="300" w:lineRule="exact"/>
              <w:jc w:val="center"/>
              <w:rPr>
                <w:color w:val="auto"/>
                <w:szCs w:val="21"/>
              </w:rPr>
            </w:pPr>
          </w:p>
        </w:tc>
        <w:tc>
          <w:tcPr>
            <w:tcW w:w="1172" w:type="dxa"/>
            <w:vMerge w:val="continue"/>
            <w:noWrap/>
            <w:vAlign w:val="center"/>
          </w:tcPr>
          <w:p w14:paraId="1E2223E0">
            <w:pPr>
              <w:spacing w:line="300" w:lineRule="exact"/>
              <w:jc w:val="center"/>
              <w:rPr>
                <w:color w:val="auto"/>
                <w:szCs w:val="21"/>
              </w:rPr>
            </w:pPr>
          </w:p>
        </w:tc>
        <w:tc>
          <w:tcPr>
            <w:tcW w:w="1540" w:type="dxa"/>
            <w:noWrap/>
            <w:vAlign w:val="center"/>
          </w:tcPr>
          <w:p w14:paraId="43F1C334">
            <w:pPr>
              <w:spacing w:line="300" w:lineRule="exact"/>
              <w:jc w:val="center"/>
              <w:rPr>
                <w:color w:val="auto"/>
                <w:szCs w:val="21"/>
              </w:rPr>
            </w:pPr>
            <w:r>
              <w:rPr>
                <w:color w:val="auto"/>
                <w:szCs w:val="21"/>
              </w:rPr>
              <w:t>中级职称人员</w:t>
            </w:r>
          </w:p>
        </w:tc>
        <w:tc>
          <w:tcPr>
            <w:tcW w:w="3751" w:type="dxa"/>
            <w:gridSpan w:val="2"/>
            <w:noWrap/>
            <w:vAlign w:val="center"/>
          </w:tcPr>
          <w:p w14:paraId="09088BBC">
            <w:pPr>
              <w:spacing w:line="300" w:lineRule="exact"/>
              <w:jc w:val="center"/>
              <w:rPr>
                <w:color w:val="auto"/>
                <w:szCs w:val="21"/>
              </w:rPr>
            </w:pPr>
          </w:p>
        </w:tc>
      </w:tr>
      <w:tr w14:paraId="126C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20BFA79">
            <w:pPr>
              <w:spacing w:line="300" w:lineRule="exact"/>
              <w:jc w:val="center"/>
              <w:rPr>
                <w:color w:val="auto"/>
                <w:szCs w:val="21"/>
              </w:rPr>
            </w:pPr>
            <w:r>
              <w:rPr>
                <w:color w:val="auto"/>
                <w:szCs w:val="21"/>
              </w:rPr>
              <w:t>开户银行</w:t>
            </w:r>
          </w:p>
        </w:tc>
        <w:tc>
          <w:tcPr>
            <w:tcW w:w="2294" w:type="dxa"/>
            <w:gridSpan w:val="2"/>
            <w:noWrap/>
            <w:vAlign w:val="center"/>
          </w:tcPr>
          <w:p w14:paraId="5F6ADC3D">
            <w:pPr>
              <w:spacing w:line="300" w:lineRule="exact"/>
              <w:jc w:val="center"/>
              <w:rPr>
                <w:color w:val="auto"/>
                <w:szCs w:val="21"/>
              </w:rPr>
            </w:pPr>
          </w:p>
        </w:tc>
        <w:tc>
          <w:tcPr>
            <w:tcW w:w="1172" w:type="dxa"/>
            <w:vMerge w:val="continue"/>
            <w:noWrap/>
            <w:vAlign w:val="center"/>
          </w:tcPr>
          <w:p w14:paraId="4DCF7BC3">
            <w:pPr>
              <w:spacing w:line="300" w:lineRule="exact"/>
              <w:jc w:val="center"/>
              <w:rPr>
                <w:color w:val="auto"/>
                <w:szCs w:val="21"/>
              </w:rPr>
            </w:pPr>
          </w:p>
        </w:tc>
        <w:tc>
          <w:tcPr>
            <w:tcW w:w="1540" w:type="dxa"/>
            <w:noWrap/>
            <w:vAlign w:val="center"/>
          </w:tcPr>
          <w:p w14:paraId="3C490D60">
            <w:pPr>
              <w:spacing w:line="300" w:lineRule="exact"/>
              <w:jc w:val="center"/>
              <w:rPr>
                <w:color w:val="auto"/>
                <w:szCs w:val="21"/>
              </w:rPr>
            </w:pPr>
            <w:r>
              <w:rPr>
                <w:color w:val="auto"/>
                <w:szCs w:val="21"/>
              </w:rPr>
              <w:t>初级职称人员</w:t>
            </w:r>
          </w:p>
        </w:tc>
        <w:tc>
          <w:tcPr>
            <w:tcW w:w="3751" w:type="dxa"/>
            <w:gridSpan w:val="2"/>
            <w:noWrap/>
            <w:vAlign w:val="center"/>
          </w:tcPr>
          <w:p w14:paraId="5DB5E727">
            <w:pPr>
              <w:spacing w:line="300" w:lineRule="exact"/>
              <w:jc w:val="center"/>
              <w:rPr>
                <w:color w:val="auto"/>
                <w:szCs w:val="21"/>
              </w:rPr>
            </w:pPr>
          </w:p>
        </w:tc>
      </w:tr>
      <w:tr w14:paraId="7137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C7508FF">
            <w:pPr>
              <w:spacing w:line="300" w:lineRule="exact"/>
              <w:jc w:val="center"/>
              <w:rPr>
                <w:color w:val="auto"/>
                <w:szCs w:val="21"/>
              </w:rPr>
            </w:pPr>
            <w:r>
              <w:rPr>
                <w:color w:val="auto"/>
                <w:szCs w:val="21"/>
              </w:rPr>
              <w:t>账号</w:t>
            </w:r>
          </w:p>
        </w:tc>
        <w:tc>
          <w:tcPr>
            <w:tcW w:w="2294" w:type="dxa"/>
            <w:gridSpan w:val="2"/>
            <w:noWrap/>
            <w:vAlign w:val="center"/>
          </w:tcPr>
          <w:p w14:paraId="04DFF001">
            <w:pPr>
              <w:spacing w:line="300" w:lineRule="exact"/>
              <w:jc w:val="center"/>
              <w:rPr>
                <w:color w:val="auto"/>
                <w:szCs w:val="21"/>
              </w:rPr>
            </w:pPr>
          </w:p>
        </w:tc>
        <w:tc>
          <w:tcPr>
            <w:tcW w:w="1172" w:type="dxa"/>
            <w:vMerge w:val="continue"/>
            <w:noWrap/>
            <w:vAlign w:val="center"/>
          </w:tcPr>
          <w:p w14:paraId="61BD985B">
            <w:pPr>
              <w:spacing w:line="300" w:lineRule="exact"/>
              <w:jc w:val="center"/>
              <w:rPr>
                <w:color w:val="auto"/>
                <w:szCs w:val="21"/>
              </w:rPr>
            </w:pPr>
          </w:p>
        </w:tc>
        <w:tc>
          <w:tcPr>
            <w:tcW w:w="1540" w:type="dxa"/>
            <w:noWrap/>
            <w:vAlign w:val="center"/>
          </w:tcPr>
          <w:p w14:paraId="7AD81D7B">
            <w:pPr>
              <w:spacing w:line="300" w:lineRule="exact"/>
              <w:jc w:val="center"/>
              <w:rPr>
                <w:color w:val="auto"/>
                <w:szCs w:val="21"/>
              </w:rPr>
            </w:pPr>
            <w:r>
              <w:rPr>
                <w:color w:val="auto"/>
                <w:szCs w:val="21"/>
              </w:rPr>
              <w:t>技工</w:t>
            </w:r>
          </w:p>
        </w:tc>
        <w:tc>
          <w:tcPr>
            <w:tcW w:w="3751" w:type="dxa"/>
            <w:gridSpan w:val="2"/>
            <w:noWrap/>
            <w:vAlign w:val="center"/>
          </w:tcPr>
          <w:p w14:paraId="2D9D9F50">
            <w:pPr>
              <w:spacing w:line="300" w:lineRule="exact"/>
              <w:jc w:val="center"/>
              <w:rPr>
                <w:color w:val="auto"/>
                <w:szCs w:val="21"/>
              </w:rPr>
            </w:pPr>
          </w:p>
        </w:tc>
      </w:tr>
      <w:tr w14:paraId="7548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A583355">
            <w:pPr>
              <w:spacing w:line="300" w:lineRule="exact"/>
              <w:jc w:val="center"/>
              <w:rPr>
                <w:color w:val="auto"/>
                <w:szCs w:val="21"/>
              </w:rPr>
            </w:pPr>
            <w:r>
              <w:rPr>
                <w:color w:val="auto"/>
                <w:szCs w:val="21"/>
              </w:rPr>
              <w:t>经营范围</w:t>
            </w:r>
          </w:p>
        </w:tc>
        <w:tc>
          <w:tcPr>
            <w:tcW w:w="8757" w:type="dxa"/>
            <w:gridSpan w:val="6"/>
            <w:noWrap/>
            <w:vAlign w:val="center"/>
          </w:tcPr>
          <w:p w14:paraId="32697645">
            <w:pPr>
              <w:spacing w:line="300" w:lineRule="exact"/>
              <w:jc w:val="center"/>
              <w:rPr>
                <w:color w:val="auto"/>
                <w:szCs w:val="21"/>
              </w:rPr>
            </w:pPr>
          </w:p>
        </w:tc>
      </w:tr>
      <w:tr w14:paraId="4AAF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F0D4615">
            <w:pPr>
              <w:spacing w:line="300" w:lineRule="exact"/>
              <w:jc w:val="center"/>
              <w:rPr>
                <w:rFonts w:ascii="宋体" w:hAnsi="宋体"/>
                <w:color w:val="auto"/>
                <w:szCs w:val="21"/>
              </w:rPr>
            </w:pPr>
            <w:r>
              <w:rPr>
                <w:rFonts w:ascii="宋体" w:hAnsi="宋体"/>
                <w:color w:val="auto"/>
                <w:szCs w:val="21"/>
              </w:rPr>
              <w:t>备注</w:t>
            </w:r>
          </w:p>
        </w:tc>
        <w:tc>
          <w:tcPr>
            <w:tcW w:w="8757" w:type="dxa"/>
            <w:gridSpan w:val="6"/>
            <w:noWrap/>
            <w:vAlign w:val="center"/>
          </w:tcPr>
          <w:p w14:paraId="0A2E6A11">
            <w:pPr>
              <w:spacing w:line="300" w:lineRule="exact"/>
              <w:jc w:val="center"/>
              <w:rPr>
                <w:rFonts w:ascii="宋体" w:hAnsi="宋体"/>
                <w:color w:val="auto"/>
                <w:szCs w:val="21"/>
              </w:rPr>
            </w:pPr>
          </w:p>
        </w:tc>
      </w:tr>
    </w:tbl>
    <w:p w14:paraId="2C5660D5">
      <w:pPr>
        <w:jc w:val="left"/>
        <w:rPr>
          <w:rFonts w:ascii="宋体" w:hAnsi="宋体"/>
          <w:bCs/>
          <w:color w:val="auto"/>
          <w:szCs w:val="21"/>
        </w:rPr>
      </w:pPr>
    </w:p>
    <w:p w14:paraId="764BD6B3">
      <w:pPr>
        <w:jc w:val="center"/>
        <w:rPr>
          <w:rFonts w:ascii="宋体" w:hAnsi="宋体"/>
          <w:b/>
          <w:color w:val="auto"/>
          <w:sz w:val="28"/>
          <w:szCs w:val="28"/>
        </w:rPr>
      </w:pPr>
    </w:p>
    <w:p w14:paraId="24CA4EFE">
      <w:pPr>
        <w:spacing w:line="480" w:lineRule="auto"/>
        <w:rPr>
          <w:rFonts w:ascii="宋体" w:hAnsi="宋体"/>
          <w:color w:val="auto"/>
          <w:szCs w:val="21"/>
        </w:rPr>
      </w:pPr>
      <w:r>
        <w:rPr>
          <w:rFonts w:hint="eastAsia" w:ascii="宋体" w:hAnsi="宋体"/>
          <w:color w:val="auto"/>
          <w:szCs w:val="21"/>
        </w:rPr>
        <w:t>磋商供应商：（公章或电子签章）</w:t>
      </w:r>
    </w:p>
    <w:p w14:paraId="37CA9630">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0DD1FB47">
      <w:pPr>
        <w:spacing w:line="480" w:lineRule="auto"/>
        <w:rPr>
          <w:rFonts w:ascii="宋体" w:hAnsi="宋体"/>
          <w:color w:val="auto"/>
          <w:szCs w:val="21"/>
        </w:rPr>
      </w:pPr>
      <w:r>
        <w:rPr>
          <w:rFonts w:hint="eastAsia" w:ascii="宋体" w:hAnsi="宋体"/>
          <w:color w:val="auto"/>
          <w:szCs w:val="21"/>
        </w:rPr>
        <w:t>日期：  年  月  日</w:t>
      </w:r>
    </w:p>
    <w:p w14:paraId="6D06110E">
      <w:pPr>
        <w:jc w:val="center"/>
        <w:rPr>
          <w:rFonts w:ascii="宋体" w:hAnsi="宋体"/>
          <w:b/>
          <w:color w:val="auto"/>
          <w:szCs w:val="21"/>
        </w:rPr>
      </w:pPr>
      <w:r>
        <w:rPr>
          <w:rFonts w:ascii="宋体" w:hAnsi="宋体"/>
          <w:b/>
          <w:color w:val="auto"/>
          <w:szCs w:val="21"/>
        </w:rPr>
        <w:br w:type="page"/>
      </w:r>
      <w:r>
        <w:rPr>
          <w:rFonts w:hint="eastAsia" w:ascii="宋体" w:hAnsi="宋体"/>
          <w:b/>
          <w:color w:val="auto"/>
          <w:sz w:val="28"/>
          <w:szCs w:val="28"/>
        </w:rPr>
        <w:t>三、已标价工程量清单（格式自拟）</w:t>
      </w:r>
    </w:p>
    <w:p w14:paraId="09E6081A">
      <w:pPr>
        <w:jc w:val="center"/>
        <w:rPr>
          <w:rFonts w:ascii="宋体" w:hAnsi="宋体"/>
          <w:color w:val="auto"/>
          <w:szCs w:val="21"/>
        </w:rPr>
      </w:pPr>
    </w:p>
    <w:p w14:paraId="5F05F238">
      <w:pPr>
        <w:ind w:firstLine="1050" w:firstLineChars="500"/>
        <w:jc w:val="center"/>
        <w:rPr>
          <w:rFonts w:ascii="宋体" w:hAnsi="宋体"/>
          <w:color w:val="auto"/>
          <w:szCs w:val="21"/>
        </w:rPr>
      </w:pPr>
    </w:p>
    <w:p w14:paraId="148F160B">
      <w:pPr>
        <w:ind w:left="2100"/>
        <w:rPr>
          <w:rFonts w:ascii="宋体" w:hAnsi="宋体"/>
          <w:color w:val="auto"/>
          <w:szCs w:val="21"/>
        </w:rPr>
      </w:pPr>
    </w:p>
    <w:p w14:paraId="098BDEDE">
      <w:pPr>
        <w:ind w:left="2100"/>
        <w:rPr>
          <w:rFonts w:ascii="宋体" w:hAnsi="宋体"/>
          <w:color w:val="auto"/>
          <w:szCs w:val="21"/>
        </w:rPr>
      </w:pPr>
    </w:p>
    <w:p w14:paraId="0A538C8E">
      <w:pPr>
        <w:ind w:left="2100"/>
        <w:rPr>
          <w:rFonts w:ascii="宋体" w:hAnsi="宋体"/>
          <w:color w:val="auto"/>
          <w:szCs w:val="21"/>
        </w:rPr>
      </w:pPr>
    </w:p>
    <w:p w14:paraId="2BEFBF5C">
      <w:pPr>
        <w:ind w:left="2100"/>
        <w:rPr>
          <w:rFonts w:ascii="宋体" w:hAnsi="宋体"/>
          <w:color w:val="auto"/>
          <w:szCs w:val="21"/>
        </w:rPr>
      </w:pPr>
    </w:p>
    <w:p w14:paraId="05E68949">
      <w:pPr>
        <w:ind w:left="2100"/>
        <w:rPr>
          <w:rFonts w:ascii="宋体" w:hAnsi="宋体"/>
          <w:color w:val="auto"/>
          <w:szCs w:val="21"/>
        </w:rPr>
      </w:pPr>
    </w:p>
    <w:p w14:paraId="0363F14E">
      <w:pPr>
        <w:ind w:left="2100"/>
        <w:rPr>
          <w:rFonts w:ascii="宋体" w:hAnsi="宋体"/>
          <w:color w:val="auto"/>
          <w:szCs w:val="21"/>
        </w:rPr>
      </w:pPr>
    </w:p>
    <w:p w14:paraId="50FCFDDC">
      <w:pPr>
        <w:ind w:left="2100"/>
        <w:rPr>
          <w:rFonts w:ascii="宋体" w:hAnsi="宋体"/>
          <w:color w:val="auto"/>
          <w:szCs w:val="21"/>
        </w:rPr>
      </w:pPr>
    </w:p>
    <w:p w14:paraId="593686A5">
      <w:pPr>
        <w:ind w:left="2100"/>
        <w:rPr>
          <w:rFonts w:ascii="宋体" w:hAnsi="宋体"/>
          <w:color w:val="auto"/>
          <w:szCs w:val="21"/>
        </w:rPr>
      </w:pPr>
    </w:p>
    <w:p w14:paraId="43348FAE">
      <w:pPr>
        <w:ind w:left="2100"/>
        <w:rPr>
          <w:rFonts w:ascii="宋体" w:hAnsi="宋体"/>
          <w:color w:val="auto"/>
          <w:szCs w:val="21"/>
        </w:rPr>
      </w:pPr>
    </w:p>
    <w:p w14:paraId="0B43F3D0">
      <w:pPr>
        <w:ind w:left="2100"/>
        <w:rPr>
          <w:rFonts w:ascii="宋体" w:hAnsi="宋体"/>
          <w:color w:val="auto"/>
          <w:szCs w:val="21"/>
        </w:rPr>
      </w:pPr>
    </w:p>
    <w:p w14:paraId="43219095">
      <w:pPr>
        <w:ind w:left="2100"/>
        <w:rPr>
          <w:rFonts w:ascii="宋体" w:hAnsi="宋体"/>
          <w:color w:val="auto"/>
          <w:szCs w:val="21"/>
        </w:rPr>
      </w:pPr>
    </w:p>
    <w:p w14:paraId="12095CA1">
      <w:pPr>
        <w:ind w:left="2100"/>
        <w:rPr>
          <w:rFonts w:ascii="宋体" w:hAnsi="宋体"/>
          <w:color w:val="auto"/>
          <w:szCs w:val="21"/>
        </w:rPr>
      </w:pPr>
    </w:p>
    <w:p w14:paraId="39E827A6">
      <w:pPr>
        <w:ind w:left="2100"/>
        <w:rPr>
          <w:rFonts w:ascii="宋体" w:hAnsi="宋体"/>
          <w:color w:val="auto"/>
          <w:szCs w:val="21"/>
        </w:rPr>
      </w:pPr>
    </w:p>
    <w:p w14:paraId="1D338C0A">
      <w:pPr>
        <w:ind w:left="2100"/>
        <w:rPr>
          <w:rFonts w:ascii="宋体" w:hAnsi="宋体"/>
          <w:color w:val="auto"/>
          <w:szCs w:val="21"/>
        </w:rPr>
      </w:pPr>
    </w:p>
    <w:p w14:paraId="20808C0E">
      <w:pPr>
        <w:ind w:left="2100"/>
        <w:rPr>
          <w:rFonts w:ascii="宋体" w:hAnsi="宋体"/>
          <w:color w:val="auto"/>
          <w:szCs w:val="21"/>
        </w:rPr>
      </w:pPr>
    </w:p>
    <w:p w14:paraId="100CA38C">
      <w:pPr>
        <w:ind w:left="2100"/>
        <w:rPr>
          <w:rFonts w:ascii="宋体" w:hAnsi="宋体"/>
          <w:color w:val="auto"/>
          <w:szCs w:val="21"/>
        </w:rPr>
      </w:pPr>
    </w:p>
    <w:p w14:paraId="1324967F">
      <w:pPr>
        <w:rPr>
          <w:rFonts w:ascii="宋体" w:hAnsi="宋体"/>
          <w:color w:val="auto"/>
          <w:szCs w:val="21"/>
        </w:rPr>
      </w:pPr>
    </w:p>
    <w:p w14:paraId="37A41FCC">
      <w:pPr>
        <w:rPr>
          <w:rFonts w:ascii="宋体" w:hAnsi="宋体"/>
          <w:color w:val="auto"/>
          <w:szCs w:val="21"/>
        </w:rPr>
      </w:pPr>
    </w:p>
    <w:p w14:paraId="4BA73D72">
      <w:pPr>
        <w:rPr>
          <w:rFonts w:ascii="宋体" w:hAnsi="宋体"/>
          <w:color w:val="auto"/>
          <w:szCs w:val="21"/>
        </w:rPr>
      </w:pPr>
    </w:p>
    <w:p w14:paraId="1EEFD510">
      <w:pPr>
        <w:spacing w:line="336" w:lineRule="auto"/>
        <w:ind w:right="-153" w:rightChars="-73"/>
        <w:jc w:val="center"/>
        <w:rPr>
          <w:rFonts w:ascii="宋体" w:hAnsi="宋体"/>
          <w:b/>
          <w:color w:val="auto"/>
          <w:szCs w:val="21"/>
        </w:rPr>
      </w:pPr>
      <w:r>
        <w:rPr>
          <w:rFonts w:ascii="宋体" w:hAnsi="宋体"/>
          <w:color w:val="auto"/>
          <w:szCs w:val="21"/>
        </w:rPr>
        <w:br w:type="page"/>
      </w:r>
      <w:r>
        <w:rPr>
          <w:rFonts w:hint="eastAsia" w:ascii="宋体" w:hAnsi="宋体"/>
          <w:b/>
          <w:color w:val="auto"/>
          <w:kern w:val="44"/>
          <w:sz w:val="28"/>
          <w:szCs w:val="28"/>
        </w:rPr>
        <w:t>第三节  商务</w:t>
      </w:r>
      <w:r>
        <w:rPr>
          <w:rFonts w:hint="eastAsia" w:ascii="宋体" w:hAnsi="宋体"/>
          <w:b/>
          <w:color w:val="auto"/>
          <w:sz w:val="32"/>
          <w:szCs w:val="32"/>
        </w:rPr>
        <w:t>技术</w:t>
      </w:r>
      <w:r>
        <w:rPr>
          <w:rFonts w:hint="eastAsia" w:ascii="宋体" w:hAnsi="宋体"/>
          <w:b/>
          <w:color w:val="auto"/>
          <w:kern w:val="44"/>
          <w:sz w:val="28"/>
          <w:szCs w:val="28"/>
        </w:rPr>
        <w:t>文件格式</w:t>
      </w:r>
    </w:p>
    <w:p w14:paraId="2A47F768">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123988A7">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0C181F6F">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6089A245">
      <w:pPr>
        <w:pStyle w:val="70"/>
        <w:rPr>
          <w:color w:val="auto"/>
        </w:rPr>
      </w:pPr>
    </w:p>
    <w:p w14:paraId="088A234B">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379B2606">
      <w:pPr>
        <w:rPr>
          <w:color w:val="auto"/>
          <w:sz w:val="28"/>
          <w:szCs w:val="28"/>
          <w:u w:val="single"/>
        </w:rPr>
      </w:pPr>
    </w:p>
    <w:p w14:paraId="1A105B96">
      <w:pPr>
        <w:jc w:val="center"/>
        <w:rPr>
          <w:b/>
          <w:bCs/>
          <w:color w:val="auto"/>
          <w:sz w:val="28"/>
          <w:szCs w:val="28"/>
        </w:rPr>
      </w:pPr>
      <w:r>
        <w:rPr>
          <w:rFonts w:hint="eastAsia"/>
          <w:b/>
          <w:bCs/>
          <w:color w:val="auto"/>
          <w:sz w:val="28"/>
          <w:szCs w:val="28"/>
        </w:rPr>
        <w:t>商  务  技  术 文  件（封面）</w:t>
      </w:r>
    </w:p>
    <w:p w14:paraId="5BCBD507">
      <w:pPr>
        <w:jc w:val="center"/>
        <w:rPr>
          <w:b/>
          <w:bCs/>
          <w:color w:val="auto"/>
          <w:sz w:val="28"/>
          <w:szCs w:val="28"/>
        </w:rPr>
      </w:pPr>
    </w:p>
    <w:p w14:paraId="286D2306">
      <w:pPr>
        <w:jc w:val="center"/>
        <w:rPr>
          <w:b/>
          <w:bCs/>
          <w:color w:val="auto"/>
          <w:sz w:val="28"/>
          <w:szCs w:val="28"/>
        </w:rPr>
      </w:pPr>
    </w:p>
    <w:p w14:paraId="5CA86FEC">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rPr>
        <w:t xml:space="preserve"> </w:t>
      </w:r>
      <w:r>
        <w:rPr>
          <w:b/>
          <w:bCs/>
          <w:color w:val="auto"/>
          <w:sz w:val="52"/>
          <w:szCs w:val="52"/>
        </w:rPr>
        <w:t>件</w:t>
      </w:r>
    </w:p>
    <w:p w14:paraId="574BDEEC">
      <w:pPr>
        <w:spacing w:line="360" w:lineRule="auto"/>
        <w:ind w:firstLine="2380" w:firstLineChars="850"/>
        <w:rPr>
          <w:b/>
          <w:bCs/>
          <w:color w:val="auto"/>
          <w:sz w:val="28"/>
          <w:szCs w:val="28"/>
        </w:rPr>
      </w:pPr>
      <w:r>
        <w:rPr>
          <w:rFonts w:hint="eastAsia"/>
          <w:b/>
          <w:bCs/>
          <w:color w:val="auto"/>
          <w:sz w:val="28"/>
          <w:szCs w:val="28"/>
        </w:rPr>
        <w:t>项目名称：</w:t>
      </w:r>
    </w:p>
    <w:p w14:paraId="77CF6BB9">
      <w:pPr>
        <w:spacing w:line="360" w:lineRule="auto"/>
        <w:ind w:firstLine="2380" w:firstLineChars="850"/>
        <w:rPr>
          <w:b/>
          <w:bCs/>
          <w:color w:val="auto"/>
          <w:sz w:val="28"/>
          <w:szCs w:val="28"/>
        </w:rPr>
      </w:pPr>
      <w:r>
        <w:rPr>
          <w:b/>
          <w:bCs/>
          <w:color w:val="auto"/>
          <w:sz w:val="28"/>
          <w:szCs w:val="28"/>
        </w:rPr>
        <w:t>项目编号：</w:t>
      </w:r>
    </w:p>
    <w:p w14:paraId="1C9A0D6A">
      <w:pPr>
        <w:pStyle w:val="70"/>
        <w:rPr>
          <w:color w:val="auto"/>
        </w:rPr>
      </w:pPr>
    </w:p>
    <w:p w14:paraId="7037836D">
      <w:pPr>
        <w:jc w:val="center"/>
        <w:rPr>
          <w:b/>
          <w:bCs/>
          <w:color w:val="auto"/>
          <w:sz w:val="28"/>
          <w:szCs w:val="28"/>
        </w:rPr>
      </w:pPr>
    </w:p>
    <w:p w14:paraId="7E4E46DA">
      <w:pPr>
        <w:rPr>
          <w:b/>
          <w:bCs/>
          <w:color w:val="auto"/>
          <w:sz w:val="28"/>
          <w:szCs w:val="28"/>
        </w:rPr>
      </w:pPr>
    </w:p>
    <w:p w14:paraId="78B7697D">
      <w:pPr>
        <w:rPr>
          <w:b/>
          <w:bCs/>
          <w:color w:val="auto"/>
          <w:sz w:val="28"/>
          <w:szCs w:val="28"/>
        </w:rPr>
      </w:pPr>
    </w:p>
    <w:p w14:paraId="11B59882">
      <w:pPr>
        <w:jc w:val="center"/>
        <w:rPr>
          <w:b/>
          <w:bCs/>
          <w:color w:val="auto"/>
          <w:sz w:val="28"/>
          <w:szCs w:val="28"/>
        </w:rPr>
      </w:pPr>
    </w:p>
    <w:p w14:paraId="4F3ADB52">
      <w:pPr>
        <w:jc w:val="center"/>
        <w:rPr>
          <w:b/>
          <w:bCs/>
          <w:color w:val="auto"/>
          <w:sz w:val="28"/>
          <w:szCs w:val="28"/>
        </w:rPr>
      </w:pPr>
    </w:p>
    <w:p w14:paraId="18D5FB4A">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rPr>
        <w:t>公章或电子签章</w:t>
      </w:r>
      <w:r>
        <w:rPr>
          <w:b/>
          <w:bCs/>
          <w:color w:val="auto"/>
          <w:sz w:val="28"/>
          <w:szCs w:val="28"/>
        </w:rPr>
        <w:t>）</w:t>
      </w:r>
    </w:p>
    <w:p w14:paraId="6A198AC4">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rPr>
        <w:t>手写签名或电子签名</w:t>
      </w:r>
      <w:r>
        <w:rPr>
          <w:b/>
          <w:bCs/>
          <w:color w:val="auto"/>
          <w:sz w:val="28"/>
          <w:szCs w:val="28"/>
        </w:rPr>
        <w:t>）</w:t>
      </w:r>
    </w:p>
    <w:p w14:paraId="322B4CAA">
      <w:pPr>
        <w:jc w:val="center"/>
        <w:rPr>
          <w:b/>
          <w:bCs/>
          <w:color w:val="auto"/>
          <w:sz w:val="28"/>
          <w:szCs w:val="28"/>
        </w:rPr>
      </w:pPr>
      <w:r>
        <w:rPr>
          <w:b/>
          <w:bCs/>
          <w:color w:val="auto"/>
          <w:sz w:val="28"/>
          <w:szCs w:val="28"/>
        </w:rPr>
        <w:t xml:space="preserve">  年  月  日</w:t>
      </w:r>
    </w:p>
    <w:p w14:paraId="3D61E356">
      <w:pPr>
        <w:spacing w:line="336" w:lineRule="auto"/>
        <w:ind w:right="-153" w:rightChars="-73"/>
        <w:jc w:val="center"/>
        <w:rPr>
          <w:rFonts w:ascii="宋体" w:hAnsi="宋体"/>
          <w:b/>
          <w:color w:val="auto"/>
          <w:szCs w:val="21"/>
        </w:rPr>
      </w:pPr>
    </w:p>
    <w:p w14:paraId="0B72F5A4">
      <w:pPr>
        <w:spacing w:line="336" w:lineRule="auto"/>
        <w:ind w:right="-153" w:rightChars="-73"/>
        <w:jc w:val="center"/>
        <w:rPr>
          <w:rFonts w:ascii="宋体" w:hAnsi="宋体"/>
          <w:b/>
          <w:color w:val="auto"/>
          <w:szCs w:val="21"/>
        </w:rPr>
      </w:pPr>
    </w:p>
    <w:p w14:paraId="34E16466">
      <w:pPr>
        <w:spacing w:line="336" w:lineRule="auto"/>
        <w:ind w:right="-153" w:rightChars="-73"/>
        <w:rPr>
          <w:rFonts w:ascii="宋体" w:hAnsi="宋体"/>
          <w:b/>
          <w:color w:val="auto"/>
          <w:szCs w:val="21"/>
        </w:rPr>
      </w:pPr>
    </w:p>
    <w:p w14:paraId="418BC673">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EAAD856">
      <w:pPr>
        <w:spacing w:line="336" w:lineRule="auto"/>
        <w:ind w:right="-153" w:rightChars="-73"/>
        <w:jc w:val="center"/>
        <w:rPr>
          <w:rFonts w:ascii="宋体" w:hAnsi="宋体" w:cs="宋体"/>
          <w:bCs/>
          <w:color w:val="auto"/>
          <w:szCs w:val="21"/>
        </w:rPr>
      </w:pPr>
      <w:r>
        <w:rPr>
          <w:rFonts w:hint="eastAsia" w:ascii="宋体" w:hAnsi="宋体" w:cs="宋体"/>
          <w:bCs/>
          <w:color w:val="auto"/>
          <w:sz w:val="18"/>
          <w:szCs w:val="18"/>
        </w:rPr>
        <w:t>（自行编页码）</w:t>
      </w:r>
    </w:p>
    <w:p w14:paraId="5F7BDC6E">
      <w:pPr>
        <w:pStyle w:val="26"/>
        <w:spacing w:line="390" w:lineRule="exact"/>
        <w:rPr>
          <w:rFonts w:hAnsi="宋体" w:cs="宋体"/>
          <w:bCs/>
          <w:color w:val="auto"/>
          <w:szCs w:val="21"/>
        </w:rPr>
      </w:pPr>
      <w:r>
        <w:rPr>
          <w:rFonts w:hint="eastAsia" w:hAnsi="宋体" w:cs="宋体"/>
          <w:bCs/>
          <w:color w:val="auto"/>
          <w:szCs w:val="21"/>
        </w:rPr>
        <w:t>（1）</w:t>
      </w:r>
      <w:r>
        <w:rPr>
          <w:rFonts w:hAnsi="宋体" w:cs="宋体"/>
          <w:bCs/>
          <w:color w:val="auto"/>
          <w:szCs w:val="21"/>
        </w:rPr>
        <w:t>主要管理人员表</w:t>
      </w:r>
    </w:p>
    <w:p w14:paraId="3F10ABBE">
      <w:pPr>
        <w:pStyle w:val="26"/>
        <w:spacing w:line="390" w:lineRule="exact"/>
        <w:rPr>
          <w:rFonts w:hAnsi="宋体" w:cs="宋体"/>
          <w:bCs/>
          <w:color w:val="auto"/>
          <w:szCs w:val="21"/>
        </w:rPr>
      </w:pPr>
      <w:r>
        <w:rPr>
          <w:rFonts w:hint="eastAsia" w:hAnsi="宋体" w:cs="宋体"/>
          <w:bCs/>
          <w:color w:val="auto"/>
          <w:szCs w:val="21"/>
        </w:rPr>
        <w:t>（2）建设工程项目管理承诺书</w:t>
      </w:r>
    </w:p>
    <w:p w14:paraId="6949C649">
      <w:pPr>
        <w:pStyle w:val="26"/>
        <w:spacing w:line="390" w:lineRule="exact"/>
        <w:rPr>
          <w:rFonts w:hAnsi="宋体" w:cs="宋体"/>
          <w:bCs/>
          <w:color w:val="auto"/>
          <w:szCs w:val="21"/>
        </w:rPr>
      </w:pPr>
      <w:r>
        <w:rPr>
          <w:rFonts w:hint="eastAsia" w:hAnsi="宋体" w:cs="宋体"/>
          <w:bCs/>
          <w:color w:val="auto"/>
          <w:szCs w:val="21"/>
        </w:rPr>
        <w:t>（3）施工组织设计</w:t>
      </w:r>
    </w:p>
    <w:p w14:paraId="41B23B44">
      <w:pPr>
        <w:pStyle w:val="26"/>
        <w:spacing w:line="390" w:lineRule="exact"/>
        <w:rPr>
          <w:rFonts w:hAnsi="宋体" w:cs="宋体"/>
          <w:bCs/>
          <w:color w:val="auto"/>
          <w:szCs w:val="21"/>
        </w:rPr>
      </w:pPr>
      <w:r>
        <w:rPr>
          <w:rFonts w:hint="eastAsia" w:hAnsi="宋体" w:cs="宋体"/>
          <w:bCs/>
          <w:color w:val="auto"/>
          <w:szCs w:val="21"/>
        </w:rPr>
        <w:t>（4）业绩</w:t>
      </w:r>
    </w:p>
    <w:p w14:paraId="61563543">
      <w:pPr>
        <w:pStyle w:val="26"/>
        <w:spacing w:line="390" w:lineRule="exact"/>
        <w:rPr>
          <w:rFonts w:hAnsi="宋体" w:cs="宋体"/>
          <w:bCs/>
          <w:color w:val="auto"/>
          <w:szCs w:val="21"/>
        </w:rPr>
      </w:pPr>
      <w:r>
        <w:rPr>
          <w:rFonts w:hint="eastAsia" w:hAnsi="宋体" w:cs="宋体"/>
          <w:bCs/>
          <w:color w:val="auto"/>
          <w:szCs w:val="21"/>
        </w:rPr>
        <w:t>（5）其他资料</w:t>
      </w:r>
    </w:p>
    <w:p w14:paraId="3077B70D">
      <w:pPr>
        <w:spacing w:line="336" w:lineRule="auto"/>
        <w:ind w:right="-153" w:rightChars="-73"/>
        <w:jc w:val="center"/>
        <w:rPr>
          <w:rFonts w:ascii="宋体" w:hAnsi="宋体"/>
          <w:b/>
          <w:color w:val="auto"/>
          <w:szCs w:val="21"/>
        </w:rPr>
      </w:pPr>
    </w:p>
    <w:p w14:paraId="15C20515">
      <w:pPr>
        <w:spacing w:line="336" w:lineRule="auto"/>
        <w:ind w:right="-153" w:rightChars="-73"/>
        <w:jc w:val="center"/>
        <w:rPr>
          <w:rFonts w:ascii="宋体" w:hAnsi="宋体"/>
          <w:b/>
          <w:color w:val="auto"/>
          <w:szCs w:val="21"/>
        </w:rPr>
      </w:pPr>
    </w:p>
    <w:p w14:paraId="0C075924">
      <w:pPr>
        <w:spacing w:line="336" w:lineRule="auto"/>
        <w:ind w:right="-153" w:rightChars="-73"/>
        <w:jc w:val="center"/>
        <w:rPr>
          <w:rFonts w:ascii="宋体" w:hAnsi="宋体"/>
          <w:b/>
          <w:color w:val="auto"/>
          <w:szCs w:val="21"/>
        </w:rPr>
      </w:pPr>
    </w:p>
    <w:p w14:paraId="3231B1B9">
      <w:pPr>
        <w:spacing w:line="336" w:lineRule="auto"/>
        <w:ind w:right="-153" w:rightChars="-73"/>
        <w:jc w:val="center"/>
        <w:rPr>
          <w:rFonts w:ascii="宋体" w:hAnsi="宋体"/>
          <w:b/>
          <w:color w:val="auto"/>
          <w:szCs w:val="21"/>
        </w:rPr>
      </w:pPr>
    </w:p>
    <w:p w14:paraId="02CCEDB3">
      <w:pPr>
        <w:spacing w:line="336" w:lineRule="auto"/>
        <w:ind w:right="-153" w:rightChars="-73"/>
        <w:jc w:val="center"/>
        <w:rPr>
          <w:rFonts w:ascii="宋体" w:hAnsi="宋体"/>
          <w:b/>
          <w:color w:val="auto"/>
          <w:szCs w:val="21"/>
        </w:rPr>
      </w:pPr>
    </w:p>
    <w:p w14:paraId="7FAFBCBD">
      <w:pPr>
        <w:spacing w:line="336" w:lineRule="auto"/>
        <w:ind w:right="-153" w:rightChars="-73"/>
        <w:jc w:val="center"/>
        <w:rPr>
          <w:rFonts w:ascii="宋体" w:hAnsi="宋体"/>
          <w:b/>
          <w:color w:val="auto"/>
          <w:szCs w:val="21"/>
        </w:rPr>
      </w:pPr>
    </w:p>
    <w:p w14:paraId="5918189D">
      <w:pPr>
        <w:spacing w:line="336" w:lineRule="auto"/>
        <w:ind w:right="-153" w:rightChars="-73"/>
        <w:jc w:val="center"/>
        <w:rPr>
          <w:rFonts w:ascii="宋体" w:hAnsi="宋体"/>
          <w:b/>
          <w:color w:val="auto"/>
          <w:szCs w:val="21"/>
        </w:rPr>
      </w:pPr>
    </w:p>
    <w:p w14:paraId="6927504F">
      <w:pPr>
        <w:pStyle w:val="19"/>
        <w:rPr>
          <w:color w:val="auto"/>
        </w:rPr>
      </w:pPr>
    </w:p>
    <w:p w14:paraId="1E9FB03E">
      <w:pPr>
        <w:rPr>
          <w:rFonts w:hAnsi="宋体"/>
          <w:b/>
          <w:color w:val="auto"/>
          <w:sz w:val="28"/>
          <w:szCs w:val="28"/>
        </w:rPr>
      </w:pPr>
      <w:r>
        <w:rPr>
          <w:rFonts w:hint="eastAsia" w:hAnsi="宋体"/>
          <w:b/>
          <w:color w:val="auto"/>
          <w:sz w:val="28"/>
          <w:szCs w:val="28"/>
        </w:rPr>
        <w:br w:type="page"/>
      </w:r>
    </w:p>
    <w:p w14:paraId="5D050F9F">
      <w:pPr>
        <w:jc w:val="center"/>
        <w:rPr>
          <w:rFonts w:ascii="宋体" w:hAnsi="宋体"/>
          <w:color w:val="auto"/>
          <w:sz w:val="24"/>
        </w:rPr>
      </w:pPr>
      <w:r>
        <w:rPr>
          <w:rFonts w:hint="eastAsia" w:hAnsi="宋体"/>
          <w:b/>
          <w:color w:val="auto"/>
          <w:sz w:val="28"/>
          <w:szCs w:val="28"/>
        </w:rPr>
        <w:t>一、主要管理人员表</w:t>
      </w:r>
    </w:p>
    <w:p w14:paraId="4B123944">
      <w:pPr>
        <w:rPr>
          <w:rFonts w:ascii="宋体" w:hAnsi="宋体"/>
          <w:color w:val="auto"/>
          <w:szCs w:val="21"/>
        </w:rPr>
      </w:pPr>
    </w:p>
    <w:tbl>
      <w:tblPr>
        <w:tblStyle w:val="52"/>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3AD7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ign w:val="center"/>
          </w:tcPr>
          <w:p w14:paraId="0847373C">
            <w:pPr>
              <w:spacing w:line="360" w:lineRule="auto"/>
              <w:ind w:left="-2" w:right="-153" w:rightChars="-73"/>
              <w:jc w:val="center"/>
              <w:rPr>
                <w:rFonts w:ascii="宋体" w:hAnsi="宋体"/>
                <w:b/>
                <w:bCs/>
                <w:color w:val="auto"/>
                <w:szCs w:val="21"/>
              </w:rPr>
            </w:pPr>
            <w:r>
              <w:rPr>
                <w:rFonts w:hint="eastAsia" w:ascii="宋体" w:hAnsi="宋体"/>
                <w:b/>
                <w:bCs/>
                <w:color w:val="auto"/>
                <w:szCs w:val="21"/>
              </w:rPr>
              <w:t>岗位</w:t>
            </w:r>
          </w:p>
        </w:tc>
        <w:tc>
          <w:tcPr>
            <w:tcW w:w="1018" w:type="dxa"/>
            <w:vMerge w:val="restart"/>
            <w:noWrap/>
            <w:vAlign w:val="center"/>
          </w:tcPr>
          <w:p w14:paraId="59C56A46">
            <w:pPr>
              <w:spacing w:line="360" w:lineRule="auto"/>
              <w:ind w:left="-2" w:right="-153" w:rightChars="-73"/>
              <w:jc w:val="center"/>
              <w:rPr>
                <w:rFonts w:ascii="宋体" w:hAnsi="宋体"/>
                <w:b/>
                <w:bCs/>
                <w:color w:val="auto"/>
                <w:szCs w:val="21"/>
              </w:rPr>
            </w:pPr>
            <w:r>
              <w:rPr>
                <w:rFonts w:hint="eastAsia" w:ascii="宋体" w:hAnsi="宋体"/>
                <w:b/>
                <w:bCs/>
                <w:color w:val="auto"/>
                <w:szCs w:val="21"/>
              </w:rPr>
              <w:t>姓名</w:t>
            </w:r>
          </w:p>
        </w:tc>
        <w:tc>
          <w:tcPr>
            <w:tcW w:w="5086" w:type="dxa"/>
            <w:vMerge w:val="restart"/>
            <w:noWrap/>
            <w:vAlign w:val="center"/>
          </w:tcPr>
          <w:p w14:paraId="3DD0165A">
            <w:pPr>
              <w:spacing w:line="360" w:lineRule="auto"/>
              <w:ind w:left="-2" w:right="-153" w:rightChars="-73"/>
              <w:jc w:val="center"/>
              <w:rPr>
                <w:rFonts w:ascii="宋体" w:hAnsi="宋体"/>
                <w:b/>
                <w:bCs/>
                <w:color w:val="auto"/>
                <w:szCs w:val="21"/>
              </w:rPr>
            </w:pPr>
            <w:r>
              <w:rPr>
                <w:rFonts w:hint="eastAsia" w:ascii="宋体" w:hAnsi="宋体"/>
                <w:b/>
                <w:bCs/>
                <w:color w:val="auto"/>
                <w:szCs w:val="21"/>
              </w:rPr>
              <w:t>《注册执业资格</w:t>
            </w:r>
          </w:p>
          <w:p w14:paraId="30B7EDD3">
            <w:pPr>
              <w:spacing w:line="360" w:lineRule="auto"/>
              <w:ind w:left="-2" w:right="-153" w:rightChars="-73"/>
              <w:jc w:val="center"/>
              <w:rPr>
                <w:rFonts w:ascii="宋体" w:hAnsi="宋体"/>
                <w:b/>
                <w:bCs/>
                <w:color w:val="auto"/>
                <w:szCs w:val="21"/>
              </w:rPr>
            </w:pPr>
            <w:r>
              <w:rPr>
                <w:rFonts w:hint="eastAsia" w:ascii="宋体" w:hAnsi="宋体"/>
                <w:b/>
                <w:bCs/>
                <w:color w:val="auto"/>
                <w:szCs w:val="21"/>
              </w:rPr>
              <w:t>（或职业或职称或岗位或培训或学历（位）证书）》</w:t>
            </w:r>
          </w:p>
        </w:tc>
        <w:tc>
          <w:tcPr>
            <w:tcW w:w="3168" w:type="dxa"/>
            <w:gridSpan w:val="2"/>
            <w:noWrap/>
            <w:vAlign w:val="center"/>
          </w:tcPr>
          <w:p w14:paraId="64D68311">
            <w:pPr>
              <w:spacing w:line="360" w:lineRule="auto"/>
              <w:ind w:left="-2" w:right="-153" w:rightChars="-73"/>
              <w:jc w:val="center"/>
              <w:rPr>
                <w:rFonts w:ascii="宋体" w:hAnsi="宋体"/>
                <w:b/>
                <w:bCs/>
                <w:color w:val="auto"/>
                <w:szCs w:val="21"/>
              </w:rPr>
            </w:pPr>
            <w:r>
              <w:rPr>
                <w:rFonts w:hint="eastAsia" w:ascii="宋体" w:hAnsi="宋体"/>
                <w:b/>
                <w:bCs/>
                <w:color w:val="auto"/>
                <w:szCs w:val="21"/>
              </w:rPr>
              <w:t>承担完工工程情况</w:t>
            </w:r>
          </w:p>
        </w:tc>
      </w:tr>
      <w:tr w14:paraId="7E86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ign w:val="center"/>
          </w:tcPr>
          <w:p w14:paraId="46EEC36D">
            <w:pPr>
              <w:spacing w:line="360" w:lineRule="auto"/>
              <w:ind w:left="-2" w:right="-153" w:rightChars="-73"/>
              <w:jc w:val="center"/>
              <w:rPr>
                <w:rFonts w:ascii="宋体" w:hAnsi="宋体"/>
                <w:b/>
                <w:bCs/>
                <w:color w:val="auto"/>
                <w:szCs w:val="21"/>
              </w:rPr>
            </w:pPr>
          </w:p>
        </w:tc>
        <w:tc>
          <w:tcPr>
            <w:tcW w:w="1018" w:type="dxa"/>
            <w:vMerge w:val="continue"/>
            <w:noWrap/>
            <w:vAlign w:val="center"/>
          </w:tcPr>
          <w:p w14:paraId="3BD242FE">
            <w:pPr>
              <w:spacing w:line="360" w:lineRule="auto"/>
              <w:ind w:left="-2" w:right="-153" w:rightChars="-73"/>
              <w:jc w:val="center"/>
              <w:rPr>
                <w:rFonts w:ascii="宋体" w:hAnsi="宋体"/>
                <w:b/>
                <w:bCs/>
                <w:color w:val="auto"/>
                <w:szCs w:val="21"/>
              </w:rPr>
            </w:pPr>
          </w:p>
        </w:tc>
        <w:tc>
          <w:tcPr>
            <w:tcW w:w="5086" w:type="dxa"/>
            <w:vMerge w:val="continue"/>
            <w:noWrap/>
            <w:vAlign w:val="center"/>
          </w:tcPr>
          <w:p w14:paraId="3AA68574">
            <w:pPr>
              <w:spacing w:line="360" w:lineRule="auto"/>
              <w:ind w:left="-2" w:right="-153" w:rightChars="-73"/>
              <w:jc w:val="center"/>
              <w:rPr>
                <w:rFonts w:ascii="宋体" w:hAnsi="宋体"/>
                <w:b/>
                <w:bCs/>
                <w:color w:val="auto"/>
                <w:szCs w:val="21"/>
              </w:rPr>
            </w:pPr>
          </w:p>
        </w:tc>
        <w:tc>
          <w:tcPr>
            <w:tcW w:w="1268" w:type="dxa"/>
            <w:noWrap/>
            <w:vAlign w:val="center"/>
          </w:tcPr>
          <w:p w14:paraId="40C5479E">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项目数量</w:t>
            </w:r>
          </w:p>
        </w:tc>
        <w:tc>
          <w:tcPr>
            <w:tcW w:w="1900" w:type="dxa"/>
            <w:noWrap/>
            <w:vAlign w:val="center"/>
          </w:tcPr>
          <w:p w14:paraId="32F2ADF3">
            <w:pPr>
              <w:spacing w:line="360" w:lineRule="auto"/>
              <w:ind w:left="-2" w:right="-153" w:rightChars="-73"/>
              <w:jc w:val="center"/>
              <w:rPr>
                <w:rFonts w:ascii="宋体" w:hAnsi="宋体"/>
                <w:b/>
                <w:bCs/>
                <w:color w:val="auto"/>
                <w:szCs w:val="21"/>
              </w:rPr>
            </w:pPr>
            <w:r>
              <w:rPr>
                <w:rFonts w:hint="eastAsia" w:ascii="宋体" w:hAnsi="宋体"/>
                <w:b/>
                <w:bCs/>
                <w:color w:val="auto"/>
                <w:szCs w:val="21"/>
              </w:rPr>
              <w:t>主要项目名称</w:t>
            </w:r>
          </w:p>
        </w:tc>
      </w:tr>
      <w:tr w14:paraId="1B26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560CD032">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项目经理</w:t>
            </w:r>
          </w:p>
        </w:tc>
        <w:tc>
          <w:tcPr>
            <w:tcW w:w="1018" w:type="dxa"/>
            <w:noWrap/>
            <w:vAlign w:val="center"/>
          </w:tcPr>
          <w:p w14:paraId="43D25CF2">
            <w:pPr>
              <w:spacing w:line="360" w:lineRule="auto"/>
              <w:ind w:left="-2" w:right="-153" w:rightChars="-73"/>
              <w:jc w:val="center"/>
              <w:rPr>
                <w:rFonts w:ascii="宋体" w:hAnsi="宋体"/>
                <w:b/>
                <w:bCs/>
                <w:color w:val="auto"/>
                <w:szCs w:val="21"/>
              </w:rPr>
            </w:pPr>
          </w:p>
        </w:tc>
        <w:tc>
          <w:tcPr>
            <w:tcW w:w="5086" w:type="dxa"/>
            <w:vMerge w:val="restart"/>
            <w:noWrap/>
            <w:vAlign w:val="center"/>
          </w:tcPr>
          <w:p w14:paraId="0E2A5264">
            <w:pPr>
              <w:spacing w:line="360" w:lineRule="auto"/>
              <w:ind w:left="-2" w:right="-153" w:rightChars="-73"/>
              <w:jc w:val="left"/>
              <w:rPr>
                <w:rFonts w:ascii="宋体" w:hAnsi="宋体"/>
                <w:b/>
                <w:bCs/>
                <w:color w:val="auto"/>
                <w:szCs w:val="21"/>
              </w:rPr>
            </w:pPr>
            <w:r>
              <w:rPr>
                <w:rFonts w:hint="eastAsia" w:ascii="宋体" w:hAnsi="宋体"/>
                <w:b/>
                <w:bCs/>
                <w:color w:val="auto"/>
                <w:szCs w:val="21"/>
              </w:rPr>
              <w:t>◆证书名称：</w:t>
            </w:r>
          </w:p>
          <w:p w14:paraId="74097726">
            <w:pPr>
              <w:spacing w:line="360" w:lineRule="auto"/>
              <w:ind w:left="-2" w:right="-153" w:rightChars="-73"/>
              <w:jc w:val="left"/>
              <w:rPr>
                <w:rFonts w:ascii="宋体" w:hAnsi="宋体"/>
                <w:b/>
                <w:bCs/>
                <w:color w:val="auto"/>
                <w:szCs w:val="21"/>
              </w:rPr>
            </w:pPr>
            <w:r>
              <w:rPr>
                <w:rFonts w:hint="eastAsia" w:ascii="宋体" w:hAnsi="宋体"/>
                <w:b/>
                <w:bCs/>
                <w:color w:val="auto"/>
                <w:szCs w:val="21"/>
              </w:rPr>
              <w:t>◆证书证号：</w:t>
            </w:r>
          </w:p>
          <w:p w14:paraId="41188A95">
            <w:pPr>
              <w:spacing w:line="360" w:lineRule="auto"/>
              <w:ind w:left="-2" w:right="-153" w:rightChars="-73"/>
              <w:jc w:val="left"/>
              <w:rPr>
                <w:rFonts w:ascii="宋体" w:hAnsi="宋体"/>
                <w:b/>
                <w:bCs/>
                <w:color w:val="auto"/>
                <w:szCs w:val="21"/>
              </w:rPr>
            </w:pPr>
            <w:r>
              <w:rPr>
                <w:rFonts w:hint="eastAsia" w:ascii="宋体" w:hAnsi="宋体"/>
                <w:b/>
                <w:bCs/>
                <w:color w:val="auto"/>
                <w:szCs w:val="21"/>
              </w:rPr>
              <w:t>◆专业（如有）：</w:t>
            </w:r>
          </w:p>
          <w:p w14:paraId="03897048">
            <w:pPr>
              <w:spacing w:line="360" w:lineRule="auto"/>
              <w:ind w:left="-2" w:right="-153" w:rightChars="-73"/>
              <w:jc w:val="left"/>
              <w:rPr>
                <w:rFonts w:ascii="宋体" w:hAnsi="宋体"/>
                <w:b/>
                <w:bCs/>
                <w:color w:val="auto"/>
                <w:szCs w:val="21"/>
              </w:rPr>
            </w:pPr>
            <w:r>
              <w:rPr>
                <w:rFonts w:hint="eastAsia" w:ascii="宋体" w:hAnsi="宋体"/>
                <w:b/>
                <w:bCs/>
                <w:color w:val="auto"/>
                <w:szCs w:val="21"/>
              </w:rPr>
              <w:t>◆专业所属类别（如有）：</w:t>
            </w:r>
          </w:p>
          <w:p w14:paraId="29F0AD48">
            <w:pPr>
              <w:spacing w:line="360" w:lineRule="auto"/>
              <w:ind w:left="-2" w:right="-153" w:rightChars="-73"/>
              <w:jc w:val="left"/>
              <w:rPr>
                <w:rFonts w:ascii="宋体" w:hAnsi="宋体"/>
                <w:b/>
                <w:bCs/>
                <w:color w:val="auto"/>
                <w:szCs w:val="21"/>
              </w:rPr>
            </w:pPr>
            <w:r>
              <w:rPr>
                <w:rFonts w:hint="eastAsia" w:ascii="宋体" w:hAnsi="宋体"/>
                <w:b/>
                <w:bCs/>
                <w:color w:val="auto"/>
                <w:szCs w:val="21"/>
              </w:rPr>
              <w:t>◆授予（或签发或批准或发证）日期：</w:t>
            </w:r>
          </w:p>
        </w:tc>
        <w:tc>
          <w:tcPr>
            <w:tcW w:w="1268" w:type="dxa"/>
            <w:noWrap/>
            <w:vAlign w:val="center"/>
          </w:tcPr>
          <w:p w14:paraId="228B8A7E">
            <w:pPr>
              <w:spacing w:line="360" w:lineRule="auto"/>
              <w:ind w:left="-2" w:right="-153" w:rightChars="-73"/>
              <w:jc w:val="center"/>
              <w:rPr>
                <w:rFonts w:ascii="宋体" w:hAnsi="宋体"/>
                <w:b/>
                <w:bCs/>
                <w:color w:val="auto"/>
                <w:szCs w:val="21"/>
              </w:rPr>
            </w:pPr>
          </w:p>
        </w:tc>
        <w:tc>
          <w:tcPr>
            <w:tcW w:w="1900" w:type="dxa"/>
            <w:noWrap/>
            <w:vAlign w:val="center"/>
          </w:tcPr>
          <w:p w14:paraId="2BFC74B9">
            <w:pPr>
              <w:spacing w:line="360" w:lineRule="auto"/>
              <w:ind w:left="-2" w:right="-153" w:rightChars="-73"/>
              <w:jc w:val="center"/>
              <w:rPr>
                <w:rFonts w:ascii="宋体" w:hAnsi="宋体"/>
                <w:b/>
                <w:bCs/>
                <w:color w:val="auto"/>
                <w:szCs w:val="21"/>
              </w:rPr>
            </w:pPr>
          </w:p>
        </w:tc>
      </w:tr>
      <w:tr w14:paraId="20B1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04698AC2">
            <w:pPr>
              <w:spacing w:line="360" w:lineRule="auto"/>
              <w:ind w:left="-2" w:right="-153" w:rightChars="-73"/>
              <w:jc w:val="center"/>
              <w:rPr>
                <w:rFonts w:ascii="宋体" w:hAnsi="宋体"/>
                <w:b/>
                <w:bCs/>
                <w:color w:val="auto"/>
                <w:szCs w:val="21"/>
              </w:rPr>
            </w:pPr>
            <w:r>
              <w:rPr>
                <w:rFonts w:hint="eastAsia" w:ascii="宋体" w:hAnsi="宋体"/>
                <w:b/>
                <w:bCs/>
                <w:color w:val="auto"/>
                <w:szCs w:val="21"/>
              </w:rPr>
              <w:t>技术负责人</w:t>
            </w:r>
          </w:p>
        </w:tc>
        <w:tc>
          <w:tcPr>
            <w:tcW w:w="1018" w:type="dxa"/>
            <w:noWrap/>
            <w:vAlign w:val="center"/>
          </w:tcPr>
          <w:p w14:paraId="412AAEA6">
            <w:pPr>
              <w:spacing w:line="360" w:lineRule="auto"/>
              <w:ind w:left="-2" w:right="-153" w:rightChars="-73"/>
              <w:jc w:val="center"/>
              <w:rPr>
                <w:rFonts w:ascii="宋体" w:hAnsi="宋体"/>
                <w:b/>
                <w:bCs/>
                <w:color w:val="auto"/>
                <w:szCs w:val="21"/>
              </w:rPr>
            </w:pPr>
          </w:p>
        </w:tc>
        <w:tc>
          <w:tcPr>
            <w:tcW w:w="5086" w:type="dxa"/>
            <w:vMerge w:val="continue"/>
            <w:noWrap/>
            <w:vAlign w:val="center"/>
          </w:tcPr>
          <w:p w14:paraId="77BBFEF3">
            <w:pPr>
              <w:spacing w:line="360" w:lineRule="auto"/>
              <w:ind w:left="-2" w:right="-153" w:rightChars="-73"/>
              <w:jc w:val="center"/>
              <w:rPr>
                <w:rFonts w:ascii="宋体" w:hAnsi="宋体"/>
                <w:b/>
                <w:bCs/>
                <w:color w:val="auto"/>
                <w:szCs w:val="21"/>
              </w:rPr>
            </w:pPr>
          </w:p>
        </w:tc>
        <w:tc>
          <w:tcPr>
            <w:tcW w:w="1268" w:type="dxa"/>
            <w:noWrap/>
            <w:vAlign w:val="center"/>
          </w:tcPr>
          <w:p w14:paraId="21623B8A">
            <w:pPr>
              <w:spacing w:line="360" w:lineRule="auto"/>
              <w:ind w:left="-2" w:right="-153" w:rightChars="-73"/>
              <w:jc w:val="center"/>
              <w:rPr>
                <w:rFonts w:ascii="宋体" w:hAnsi="宋体"/>
                <w:b/>
                <w:bCs/>
                <w:color w:val="auto"/>
                <w:szCs w:val="21"/>
              </w:rPr>
            </w:pPr>
          </w:p>
        </w:tc>
        <w:tc>
          <w:tcPr>
            <w:tcW w:w="1900" w:type="dxa"/>
            <w:noWrap/>
            <w:vAlign w:val="center"/>
          </w:tcPr>
          <w:p w14:paraId="4C0EA3FF">
            <w:pPr>
              <w:spacing w:line="360" w:lineRule="auto"/>
              <w:ind w:left="-2" w:right="-153" w:rightChars="-73"/>
              <w:jc w:val="center"/>
              <w:rPr>
                <w:rFonts w:ascii="宋体" w:hAnsi="宋体"/>
                <w:b/>
                <w:bCs/>
                <w:color w:val="auto"/>
                <w:szCs w:val="21"/>
              </w:rPr>
            </w:pPr>
          </w:p>
        </w:tc>
      </w:tr>
      <w:tr w14:paraId="4392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63C14FB9">
            <w:pPr>
              <w:spacing w:line="360" w:lineRule="auto"/>
              <w:ind w:left="-2" w:right="-153" w:rightChars="-73"/>
              <w:jc w:val="center"/>
              <w:rPr>
                <w:rFonts w:ascii="宋体" w:hAnsi="宋体"/>
                <w:b/>
                <w:bCs/>
                <w:color w:val="auto"/>
                <w:szCs w:val="21"/>
              </w:rPr>
            </w:pPr>
            <w:r>
              <w:rPr>
                <w:rFonts w:hint="eastAsia" w:ascii="宋体" w:hAnsi="宋体"/>
                <w:b/>
                <w:bCs/>
                <w:color w:val="auto"/>
                <w:szCs w:val="21"/>
              </w:rPr>
              <w:t>施工员</w:t>
            </w:r>
          </w:p>
        </w:tc>
        <w:tc>
          <w:tcPr>
            <w:tcW w:w="1018" w:type="dxa"/>
            <w:noWrap/>
            <w:vAlign w:val="center"/>
          </w:tcPr>
          <w:p w14:paraId="2E9A5F77">
            <w:pPr>
              <w:spacing w:line="360" w:lineRule="auto"/>
              <w:ind w:left="-2" w:right="-153" w:rightChars="-73"/>
              <w:jc w:val="center"/>
              <w:rPr>
                <w:rFonts w:ascii="宋体" w:hAnsi="宋体"/>
                <w:b/>
                <w:bCs/>
                <w:color w:val="auto"/>
                <w:szCs w:val="21"/>
              </w:rPr>
            </w:pPr>
          </w:p>
        </w:tc>
        <w:tc>
          <w:tcPr>
            <w:tcW w:w="5086" w:type="dxa"/>
            <w:vMerge w:val="continue"/>
            <w:noWrap/>
            <w:vAlign w:val="center"/>
          </w:tcPr>
          <w:p w14:paraId="380FCADD">
            <w:pPr>
              <w:spacing w:line="360" w:lineRule="auto"/>
              <w:ind w:left="-2" w:right="-153" w:rightChars="-73"/>
              <w:jc w:val="center"/>
              <w:rPr>
                <w:rFonts w:ascii="宋体" w:hAnsi="宋体"/>
                <w:b/>
                <w:bCs/>
                <w:color w:val="auto"/>
                <w:szCs w:val="21"/>
              </w:rPr>
            </w:pPr>
          </w:p>
        </w:tc>
        <w:tc>
          <w:tcPr>
            <w:tcW w:w="1268" w:type="dxa"/>
            <w:noWrap/>
            <w:vAlign w:val="center"/>
          </w:tcPr>
          <w:p w14:paraId="7FC68B1E">
            <w:pPr>
              <w:spacing w:line="360" w:lineRule="auto"/>
              <w:ind w:left="-2" w:right="-153" w:rightChars="-73"/>
              <w:jc w:val="center"/>
              <w:rPr>
                <w:rFonts w:ascii="宋体" w:hAnsi="宋体"/>
                <w:b/>
                <w:bCs/>
                <w:color w:val="auto"/>
                <w:szCs w:val="21"/>
              </w:rPr>
            </w:pPr>
          </w:p>
        </w:tc>
        <w:tc>
          <w:tcPr>
            <w:tcW w:w="1900" w:type="dxa"/>
            <w:noWrap/>
            <w:vAlign w:val="center"/>
          </w:tcPr>
          <w:p w14:paraId="09A23704">
            <w:pPr>
              <w:spacing w:line="360" w:lineRule="auto"/>
              <w:ind w:left="-2" w:right="-153" w:rightChars="-73"/>
              <w:jc w:val="center"/>
              <w:rPr>
                <w:rFonts w:ascii="宋体" w:hAnsi="宋体"/>
                <w:b/>
                <w:bCs/>
                <w:color w:val="auto"/>
                <w:szCs w:val="21"/>
              </w:rPr>
            </w:pPr>
          </w:p>
        </w:tc>
      </w:tr>
      <w:tr w14:paraId="11EA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0CB4517D">
            <w:pPr>
              <w:spacing w:line="360" w:lineRule="auto"/>
              <w:ind w:left="-2" w:right="-153" w:rightChars="-73"/>
              <w:jc w:val="center"/>
              <w:rPr>
                <w:rFonts w:ascii="宋体" w:hAnsi="宋体"/>
                <w:b/>
                <w:bCs/>
                <w:color w:val="auto"/>
                <w:szCs w:val="21"/>
              </w:rPr>
            </w:pPr>
            <w:r>
              <w:rPr>
                <w:rFonts w:hint="eastAsia" w:ascii="宋体" w:hAnsi="宋体"/>
                <w:b/>
                <w:bCs/>
                <w:color w:val="auto"/>
                <w:szCs w:val="21"/>
              </w:rPr>
              <w:t>质量员</w:t>
            </w:r>
          </w:p>
        </w:tc>
        <w:tc>
          <w:tcPr>
            <w:tcW w:w="1018" w:type="dxa"/>
            <w:noWrap/>
            <w:vAlign w:val="center"/>
          </w:tcPr>
          <w:p w14:paraId="4624BDC1">
            <w:pPr>
              <w:spacing w:line="360" w:lineRule="auto"/>
              <w:ind w:left="-2" w:right="-153" w:rightChars="-73"/>
              <w:jc w:val="center"/>
              <w:rPr>
                <w:rFonts w:ascii="宋体" w:hAnsi="宋体"/>
                <w:b/>
                <w:bCs/>
                <w:color w:val="auto"/>
                <w:szCs w:val="21"/>
              </w:rPr>
            </w:pPr>
          </w:p>
        </w:tc>
        <w:tc>
          <w:tcPr>
            <w:tcW w:w="5086" w:type="dxa"/>
            <w:vMerge w:val="continue"/>
            <w:noWrap/>
            <w:vAlign w:val="center"/>
          </w:tcPr>
          <w:p w14:paraId="1B258721">
            <w:pPr>
              <w:spacing w:line="360" w:lineRule="auto"/>
              <w:ind w:left="-2" w:right="-153" w:rightChars="-73"/>
              <w:jc w:val="center"/>
              <w:rPr>
                <w:rFonts w:ascii="宋体" w:hAnsi="宋体"/>
                <w:b/>
                <w:bCs/>
                <w:color w:val="auto"/>
                <w:szCs w:val="21"/>
              </w:rPr>
            </w:pPr>
          </w:p>
        </w:tc>
        <w:tc>
          <w:tcPr>
            <w:tcW w:w="1268" w:type="dxa"/>
            <w:noWrap/>
            <w:vAlign w:val="center"/>
          </w:tcPr>
          <w:p w14:paraId="5794E903">
            <w:pPr>
              <w:spacing w:line="360" w:lineRule="auto"/>
              <w:ind w:left="-2" w:right="-153" w:rightChars="-73"/>
              <w:jc w:val="center"/>
              <w:rPr>
                <w:rFonts w:ascii="宋体" w:hAnsi="宋体"/>
                <w:b/>
                <w:bCs/>
                <w:color w:val="auto"/>
                <w:szCs w:val="21"/>
              </w:rPr>
            </w:pPr>
          </w:p>
        </w:tc>
        <w:tc>
          <w:tcPr>
            <w:tcW w:w="1900" w:type="dxa"/>
            <w:noWrap/>
            <w:vAlign w:val="center"/>
          </w:tcPr>
          <w:p w14:paraId="31620A82">
            <w:pPr>
              <w:spacing w:line="360" w:lineRule="auto"/>
              <w:ind w:left="-2" w:right="-153" w:rightChars="-73"/>
              <w:jc w:val="center"/>
              <w:rPr>
                <w:rFonts w:ascii="宋体" w:hAnsi="宋体"/>
                <w:b/>
                <w:bCs/>
                <w:color w:val="auto"/>
                <w:szCs w:val="21"/>
              </w:rPr>
            </w:pPr>
          </w:p>
        </w:tc>
      </w:tr>
      <w:tr w14:paraId="102E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14A03D52">
            <w:pPr>
              <w:spacing w:line="360" w:lineRule="auto"/>
              <w:ind w:left="-2" w:right="-153" w:rightChars="-73"/>
              <w:jc w:val="center"/>
              <w:rPr>
                <w:rFonts w:ascii="宋体" w:hAnsi="宋体"/>
                <w:b/>
                <w:bCs/>
                <w:color w:val="auto"/>
                <w:szCs w:val="21"/>
              </w:rPr>
            </w:pPr>
            <w:r>
              <w:rPr>
                <w:rFonts w:hint="eastAsia" w:ascii="宋体" w:hAnsi="宋体"/>
                <w:b/>
                <w:bCs/>
                <w:color w:val="auto"/>
                <w:szCs w:val="21"/>
              </w:rPr>
              <w:t>安全员</w:t>
            </w:r>
          </w:p>
        </w:tc>
        <w:tc>
          <w:tcPr>
            <w:tcW w:w="1018" w:type="dxa"/>
            <w:noWrap/>
            <w:vAlign w:val="center"/>
          </w:tcPr>
          <w:p w14:paraId="4648CED8">
            <w:pPr>
              <w:spacing w:line="360" w:lineRule="auto"/>
              <w:ind w:left="-2" w:right="-153" w:rightChars="-73"/>
              <w:jc w:val="center"/>
              <w:rPr>
                <w:rFonts w:ascii="宋体" w:hAnsi="宋体"/>
                <w:b/>
                <w:bCs/>
                <w:color w:val="auto"/>
                <w:szCs w:val="21"/>
              </w:rPr>
            </w:pPr>
          </w:p>
        </w:tc>
        <w:tc>
          <w:tcPr>
            <w:tcW w:w="5086" w:type="dxa"/>
            <w:vMerge w:val="continue"/>
            <w:noWrap/>
            <w:vAlign w:val="center"/>
          </w:tcPr>
          <w:p w14:paraId="76FA06F7">
            <w:pPr>
              <w:spacing w:line="360" w:lineRule="auto"/>
              <w:ind w:left="-2" w:right="-153" w:rightChars="-73"/>
              <w:jc w:val="center"/>
              <w:rPr>
                <w:rFonts w:ascii="宋体" w:hAnsi="宋体"/>
                <w:b/>
                <w:bCs/>
                <w:color w:val="auto"/>
                <w:szCs w:val="21"/>
              </w:rPr>
            </w:pPr>
          </w:p>
        </w:tc>
        <w:tc>
          <w:tcPr>
            <w:tcW w:w="1268" w:type="dxa"/>
            <w:noWrap/>
            <w:vAlign w:val="center"/>
          </w:tcPr>
          <w:p w14:paraId="0C161C95">
            <w:pPr>
              <w:spacing w:line="360" w:lineRule="auto"/>
              <w:ind w:left="-2" w:right="-153" w:rightChars="-73"/>
              <w:jc w:val="center"/>
              <w:rPr>
                <w:rFonts w:ascii="宋体" w:hAnsi="宋体"/>
                <w:b/>
                <w:bCs/>
                <w:color w:val="auto"/>
                <w:szCs w:val="21"/>
              </w:rPr>
            </w:pPr>
          </w:p>
        </w:tc>
        <w:tc>
          <w:tcPr>
            <w:tcW w:w="1900" w:type="dxa"/>
            <w:noWrap/>
            <w:vAlign w:val="center"/>
          </w:tcPr>
          <w:p w14:paraId="21E86819">
            <w:pPr>
              <w:spacing w:line="360" w:lineRule="auto"/>
              <w:ind w:left="-2" w:right="-153" w:rightChars="-73"/>
              <w:jc w:val="center"/>
              <w:rPr>
                <w:rFonts w:ascii="宋体" w:hAnsi="宋体"/>
                <w:b/>
                <w:bCs/>
                <w:color w:val="auto"/>
                <w:szCs w:val="21"/>
              </w:rPr>
            </w:pPr>
          </w:p>
        </w:tc>
      </w:tr>
      <w:tr w14:paraId="2F0F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1A12BB8B">
            <w:pPr>
              <w:spacing w:line="360" w:lineRule="auto"/>
              <w:ind w:left="-2" w:right="-153" w:rightChars="-73"/>
              <w:jc w:val="center"/>
              <w:rPr>
                <w:rFonts w:ascii="宋体" w:hAnsi="宋体"/>
                <w:b/>
                <w:bCs/>
                <w:color w:val="auto"/>
                <w:szCs w:val="21"/>
              </w:rPr>
            </w:pPr>
            <w:r>
              <w:rPr>
                <w:rFonts w:hint="eastAsia" w:ascii="宋体" w:hAnsi="宋体"/>
                <w:b/>
                <w:bCs/>
                <w:color w:val="auto"/>
                <w:szCs w:val="21"/>
              </w:rPr>
              <w:t>材料员</w:t>
            </w:r>
          </w:p>
        </w:tc>
        <w:tc>
          <w:tcPr>
            <w:tcW w:w="1018" w:type="dxa"/>
            <w:noWrap/>
            <w:vAlign w:val="center"/>
          </w:tcPr>
          <w:p w14:paraId="54E9DAF7">
            <w:pPr>
              <w:spacing w:line="360" w:lineRule="auto"/>
              <w:ind w:left="-2" w:right="-153" w:rightChars="-73"/>
              <w:jc w:val="center"/>
              <w:rPr>
                <w:rFonts w:ascii="宋体" w:hAnsi="宋体"/>
                <w:b/>
                <w:bCs/>
                <w:color w:val="auto"/>
                <w:szCs w:val="21"/>
              </w:rPr>
            </w:pPr>
          </w:p>
        </w:tc>
        <w:tc>
          <w:tcPr>
            <w:tcW w:w="5086" w:type="dxa"/>
            <w:vMerge w:val="continue"/>
            <w:noWrap/>
            <w:vAlign w:val="center"/>
          </w:tcPr>
          <w:p w14:paraId="74B78F03">
            <w:pPr>
              <w:spacing w:line="360" w:lineRule="auto"/>
              <w:ind w:left="-2" w:right="-153" w:rightChars="-73"/>
              <w:jc w:val="center"/>
              <w:rPr>
                <w:rFonts w:ascii="宋体" w:hAnsi="宋体"/>
                <w:b/>
                <w:bCs/>
                <w:color w:val="auto"/>
                <w:szCs w:val="21"/>
              </w:rPr>
            </w:pPr>
          </w:p>
        </w:tc>
        <w:tc>
          <w:tcPr>
            <w:tcW w:w="1268" w:type="dxa"/>
            <w:noWrap/>
            <w:vAlign w:val="center"/>
          </w:tcPr>
          <w:p w14:paraId="0C93CF50">
            <w:pPr>
              <w:spacing w:line="360" w:lineRule="auto"/>
              <w:ind w:left="-2" w:right="-153" w:rightChars="-73"/>
              <w:jc w:val="center"/>
              <w:rPr>
                <w:rFonts w:ascii="宋体" w:hAnsi="宋体"/>
                <w:b/>
                <w:bCs/>
                <w:color w:val="auto"/>
                <w:szCs w:val="21"/>
              </w:rPr>
            </w:pPr>
          </w:p>
        </w:tc>
        <w:tc>
          <w:tcPr>
            <w:tcW w:w="1900" w:type="dxa"/>
            <w:noWrap/>
            <w:vAlign w:val="center"/>
          </w:tcPr>
          <w:p w14:paraId="0E1DA55D">
            <w:pPr>
              <w:spacing w:line="360" w:lineRule="auto"/>
              <w:ind w:left="-2" w:right="-153" w:rightChars="-73"/>
              <w:jc w:val="center"/>
              <w:rPr>
                <w:rFonts w:ascii="宋体" w:hAnsi="宋体"/>
                <w:b/>
                <w:bCs/>
                <w:color w:val="auto"/>
                <w:szCs w:val="21"/>
              </w:rPr>
            </w:pPr>
          </w:p>
        </w:tc>
      </w:tr>
      <w:tr w14:paraId="72C8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4675DFA0">
            <w:pPr>
              <w:spacing w:line="360" w:lineRule="auto"/>
              <w:ind w:left="-2" w:right="-153" w:rightChars="-73"/>
              <w:jc w:val="center"/>
              <w:rPr>
                <w:rFonts w:ascii="宋体" w:hAnsi="宋体"/>
                <w:b/>
                <w:bCs/>
                <w:color w:val="auto"/>
                <w:szCs w:val="21"/>
              </w:rPr>
            </w:pPr>
            <w:r>
              <w:rPr>
                <w:rFonts w:hint="eastAsia" w:ascii="宋体" w:hAnsi="宋体"/>
                <w:b/>
                <w:bCs/>
                <w:color w:val="auto"/>
                <w:szCs w:val="21"/>
              </w:rPr>
              <w:t>......</w:t>
            </w:r>
          </w:p>
        </w:tc>
        <w:tc>
          <w:tcPr>
            <w:tcW w:w="1018" w:type="dxa"/>
            <w:noWrap/>
            <w:vAlign w:val="center"/>
          </w:tcPr>
          <w:p w14:paraId="35FB65F7">
            <w:pPr>
              <w:spacing w:line="360" w:lineRule="auto"/>
              <w:ind w:left="-2" w:right="-153" w:rightChars="-73"/>
              <w:jc w:val="center"/>
              <w:rPr>
                <w:rFonts w:ascii="宋体" w:hAnsi="宋体"/>
                <w:b/>
                <w:bCs/>
                <w:color w:val="auto"/>
                <w:szCs w:val="21"/>
              </w:rPr>
            </w:pPr>
          </w:p>
        </w:tc>
        <w:tc>
          <w:tcPr>
            <w:tcW w:w="5086" w:type="dxa"/>
            <w:vMerge w:val="continue"/>
            <w:noWrap/>
            <w:vAlign w:val="center"/>
          </w:tcPr>
          <w:p w14:paraId="120F4F0E">
            <w:pPr>
              <w:spacing w:line="360" w:lineRule="auto"/>
              <w:ind w:left="-2" w:right="-153" w:rightChars="-73"/>
              <w:jc w:val="center"/>
              <w:rPr>
                <w:rFonts w:ascii="宋体" w:hAnsi="宋体"/>
                <w:b/>
                <w:bCs/>
                <w:color w:val="auto"/>
                <w:szCs w:val="21"/>
              </w:rPr>
            </w:pPr>
          </w:p>
        </w:tc>
        <w:tc>
          <w:tcPr>
            <w:tcW w:w="1268" w:type="dxa"/>
            <w:noWrap/>
            <w:vAlign w:val="center"/>
          </w:tcPr>
          <w:p w14:paraId="557A7DFA">
            <w:pPr>
              <w:spacing w:line="360" w:lineRule="auto"/>
              <w:ind w:left="-2" w:right="-153" w:rightChars="-73"/>
              <w:jc w:val="center"/>
              <w:rPr>
                <w:rFonts w:ascii="宋体" w:hAnsi="宋体"/>
                <w:b/>
                <w:bCs/>
                <w:color w:val="auto"/>
                <w:szCs w:val="21"/>
              </w:rPr>
            </w:pPr>
          </w:p>
        </w:tc>
        <w:tc>
          <w:tcPr>
            <w:tcW w:w="1900" w:type="dxa"/>
            <w:noWrap/>
            <w:vAlign w:val="center"/>
          </w:tcPr>
          <w:p w14:paraId="18CBCBE0">
            <w:pPr>
              <w:spacing w:line="360" w:lineRule="auto"/>
              <w:ind w:left="-2" w:right="-153" w:rightChars="-73"/>
              <w:jc w:val="center"/>
              <w:rPr>
                <w:rFonts w:ascii="宋体" w:hAnsi="宋体"/>
                <w:b/>
                <w:bCs/>
                <w:color w:val="auto"/>
                <w:szCs w:val="21"/>
              </w:rPr>
            </w:pPr>
          </w:p>
        </w:tc>
      </w:tr>
      <w:tr w14:paraId="0919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ign w:val="center"/>
          </w:tcPr>
          <w:p w14:paraId="400F47EE">
            <w:pPr>
              <w:spacing w:line="360" w:lineRule="auto"/>
              <w:ind w:left="-2" w:right="-153" w:rightChars="-73"/>
              <w:jc w:val="left"/>
              <w:rPr>
                <w:rFonts w:ascii="宋体" w:hAnsi="宋体"/>
                <w:color w:val="auto"/>
                <w:szCs w:val="21"/>
              </w:rPr>
            </w:pPr>
            <w:r>
              <w:rPr>
                <w:rFonts w:hint="eastAsia" w:ascii="宋体" w:hAnsi="宋体"/>
                <w:color w:val="auto"/>
                <w:szCs w:val="21"/>
              </w:rPr>
              <w:t>一旦我单位成交，将实行项目经理负责制，我方保证并配备上述项目管理机构。上述填报内容真实，若不真实，</w:t>
            </w:r>
          </w:p>
          <w:p w14:paraId="320E6875">
            <w:pPr>
              <w:spacing w:line="360" w:lineRule="auto"/>
              <w:ind w:left="-2" w:right="-153" w:rightChars="-73"/>
              <w:jc w:val="left"/>
              <w:rPr>
                <w:rFonts w:ascii="宋体" w:hAnsi="宋体"/>
                <w:b/>
                <w:bCs/>
                <w:color w:val="auto"/>
                <w:szCs w:val="21"/>
              </w:rPr>
            </w:pPr>
            <w:r>
              <w:rPr>
                <w:rFonts w:hint="eastAsia" w:ascii="宋体" w:hAnsi="宋体"/>
                <w:color w:val="auto"/>
                <w:szCs w:val="21"/>
              </w:rPr>
              <w:t>愿按有关规定接受处理。</w:t>
            </w:r>
          </w:p>
        </w:tc>
      </w:tr>
    </w:tbl>
    <w:p w14:paraId="1BBF7F36">
      <w:pPr>
        <w:spacing w:line="360" w:lineRule="auto"/>
        <w:ind w:left="-2" w:right="-153" w:rightChars="-73"/>
        <w:rPr>
          <w:color w:val="auto"/>
        </w:rPr>
      </w:pPr>
      <w:r>
        <w:rPr>
          <w:rFonts w:hint="eastAsia" w:ascii="宋体" w:hAnsi="宋体"/>
          <w:b/>
          <w:bCs/>
          <w:color w:val="auto"/>
          <w:szCs w:val="21"/>
        </w:rPr>
        <w:t>附：</w:t>
      </w:r>
      <w:r>
        <w:rPr>
          <w:rFonts w:hint="eastAsia" w:ascii="宋体" w:hAnsi="宋体"/>
          <w:color w:val="auto"/>
          <w:szCs w:val="21"/>
        </w:rPr>
        <w:t>①项目经理（注册建造师）简历表（格式）；</w:t>
      </w:r>
    </w:p>
    <w:p w14:paraId="47539054">
      <w:pPr>
        <w:spacing w:line="360" w:lineRule="auto"/>
        <w:ind w:left="-2" w:right="-153" w:rightChars="-73" w:firstLine="420" w:firstLineChars="200"/>
        <w:rPr>
          <w:color w:val="auto"/>
        </w:rPr>
      </w:pPr>
      <w:r>
        <w:rPr>
          <w:rFonts w:hint="eastAsia" w:ascii="宋体" w:hAnsi="宋体" w:cs="宋体"/>
          <w:color w:val="auto"/>
          <w:szCs w:val="21"/>
        </w:rPr>
        <w:t>②项目技术负责人简历表（格式）；</w:t>
      </w:r>
    </w:p>
    <w:p w14:paraId="0AF0D6FC">
      <w:pPr>
        <w:spacing w:line="360" w:lineRule="auto"/>
        <w:ind w:left="-2" w:right="-153" w:rightChars="-73" w:firstLine="420" w:firstLineChars="200"/>
        <w:rPr>
          <w:rFonts w:ascii="宋体" w:hAnsi="宋体"/>
          <w:color w:val="auto"/>
          <w:szCs w:val="21"/>
        </w:rPr>
      </w:pPr>
      <w:r>
        <w:rPr>
          <w:rFonts w:hint="eastAsia" w:ascii="宋体" w:hAnsi="宋体" w:cs="宋体"/>
          <w:color w:val="auto"/>
          <w:szCs w:val="21"/>
        </w:rPr>
        <w:t>③其他主要人员应附岗位证书、身份证、职称证（若有）等扫描件</w:t>
      </w:r>
      <w:r>
        <w:rPr>
          <w:rFonts w:hint="eastAsia" w:ascii="宋体" w:hAnsi="宋体"/>
          <w:color w:val="auto"/>
          <w:szCs w:val="21"/>
        </w:rPr>
        <w:t>；</w:t>
      </w:r>
    </w:p>
    <w:p w14:paraId="7AB0E9BA">
      <w:pPr>
        <w:spacing w:line="360" w:lineRule="auto"/>
        <w:ind w:left="-2" w:right="-153" w:rightChars="-73" w:firstLine="420" w:firstLineChars="200"/>
        <w:rPr>
          <w:rFonts w:ascii="宋体" w:hAnsi="宋体" w:cs="宋体"/>
          <w:color w:val="auto"/>
          <w:szCs w:val="21"/>
        </w:rPr>
      </w:pPr>
      <w:r>
        <w:rPr>
          <w:rFonts w:hint="eastAsia" w:ascii="宋体" w:hAnsi="宋体"/>
          <w:color w:val="auto"/>
          <w:szCs w:val="21"/>
        </w:rPr>
        <w:t>④拟投入所有人员</w:t>
      </w:r>
      <w:r>
        <w:rPr>
          <w:rFonts w:hint="eastAsia" w:ascii="宋体" w:hAnsi="宋体" w:cs="宋体"/>
          <w:color w:val="auto"/>
          <w:szCs w:val="21"/>
        </w:rPr>
        <w:t>现任职单位为其缴纳的</w:t>
      </w:r>
      <w:r>
        <w:rPr>
          <w:rFonts w:hint="eastAsia" w:ascii="宋体" w:hAnsi="宋体" w:cs="宋体"/>
          <w:b/>
          <w:bCs/>
          <w:color w:val="auto"/>
          <w:szCs w:val="21"/>
        </w:rPr>
        <w:t>磋商截止之日前半年内连续三个月</w:t>
      </w:r>
      <w:r>
        <w:rPr>
          <w:rFonts w:hint="eastAsia" w:ascii="宋体" w:hAnsi="宋体" w:cs="宋体"/>
          <w:color w:val="auto"/>
          <w:szCs w:val="21"/>
        </w:rPr>
        <w:t>的依法缴纳社保费的缴费凭证（格式自拟，扫描件，必须提供）；无缴费记录的，应提供由投标人所在地社保部门出具的《依法缴纳或依法免缴社保费证明》（格式自拟，扫描件）。</w:t>
      </w:r>
    </w:p>
    <w:p w14:paraId="4323BBEA">
      <w:pPr>
        <w:pStyle w:val="70"/>
        <w:rPr>
          <w:rFonts w:hAnsi="宋体" w:cs="Times New Roman"/>
          <w:b/>
          <w:color w:val="auto"/>
          <w:u w:val="single"/>
        </w:rPr>
      </w:pPr>
    </w:p>
    <w:p w14:paraId="742198EF">
      <w:pPr>
        <w:pStyle w:val="70"/>
        <w:rPr>
          <w:color w:val="auto"/>
        </w:rPr>
      </w:pPr>
      <w:r>
        <w:rPr>
          <w:rFonts w:hint="eastAsia" w:hAnsi="宋体" w:cs="Times New Roman"/>
          <w:b/>
          <w:color w:val="auto"/>
          <w:u w:val="single"/>
        </w:rPr>
        <w:t>注：文件 《一、主要管理人员表 》中所有提及的证件材料属于复印件的扫描件的，必须加盖供应商电子公章，否则响应文件按无效响应处理。</w:t>
      </w:r>
    </w:p>
    <w:p w14:paraId="4E37D117">
      <w:pPr>
        <w:widowControl/>
        <w:spacing w:line="300" w:lineRule="exact"/>
        <w:ind w:right="-147" w:rightChars="-70"/>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附表①项目经理（注册建造师）简历表（格式）</w:t>
      </w:r>
    </w:p>
    <w:p w14:paraId="560F9BA1">
      <w:pPr>
        <w:pStyle w:val="70"/>
        <w:rPr>
          <w:color w:val="auto"/>
        </w:rPr>
      </w:pPr>
    </w:p>
    <w:p w14:paraId="4279555B">
      <w:pPr>
        <w:spacing w:line="400" w:lineRule="exact"/>
        <w:jc w:val="center"/>
        <w:rPr>
          <w:rFonts w:ascii="宋体" w:hAnsi="宋体"/>
          <w:b/>
          <w:color w:val="auto"/>
          <w:szCs w:val="21"/>
        </w:rPr>
      </w:pPr>
      <w:r>
        <w:rPr>
          <w:rFonts w:ascii="宋体" w:hAnsi="宋体"/>
          <w:b/>
          <w:color w:val="auto"/>
          <w:szCs w:val="21"/>
        </w:rPr>
        <w:t>项目经理（注册建造师）简历表</w:t>
      </w:r>
    </w:p>
    <w:p w14:paraId="54A8EA50">
      <w:pPr>
        <w:spacing w:line="400" w:lineRule="exact"/>
        <w:rPr>
          <w:rFonts w:ascii="黑体" w:hAnsi="宋体" w:eastAsia="黑体"/>
          <w:b/>
          <w:color w:val="auto"/>
          <w:sz w:val="28"/>
          <w:szCs w:val="28"/>
        </w:rPr>
      </w:pPr>
    </w:p>
    <w:p w14:paraId="339184DA">
      <w:pPr>
        <w:spacing w:line="400" w:lineRule="exact"/>
        <w:rPr>
          <w:rFonts w:ascii="宋体" w:hAnsi="宋体" w:cs="宋体"/>
          <w:color w:val="auto"/>
          <w:szCs w:val="21"/>
          <w:u w:val="single"/>
        </w:rPr>
      </w:pPr>
      <w:r>
        <w:rPr>
          <w:rFonts w:hint="eastAsia" w:ascii="宋体" w:hAnsi="宋体" w:cs="宋体"/>
          <w:color w:val="auto"/>
          <w:szCs w:val="21"/>
        </w:rPr>
        <w:t>采购项目名称：</w:t>
      </w:r>
    </w:p>
    <w:p w14:paraId="53E3E080">
      <w:pPr>
        <w:pStyle w:val="90"/>
        <w:spacing w:line="400" w:lineRule="exact"/>
        <w:rPr>
          <w:color w:val="auto"/>
        </w:rPr>
      </w:pPr>
      <w:r>
        <w:rPr>
          <w:rFonts w:hint="eastAsia" w:ascii="宋体" w:hAnsi="宋体" w:cs="宋体"/>
          <w:color w:val="auto"/>
          <w:szCs w:val="21"/>
        </w:rPr>
        <w:t>项目采购编号：</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678D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79014742">
            <w:pPr>
              <w:spacing w:line="300" w:lineRule="exact"/>
              <w:jc w:val="center"/>
              <w:rPr>
                <w:rFonts w:ascii="宋体" w:hAnsi="宋体"/>
                <w:color w:val="auto"/>
                <w:szCs w:val="21"/>
              </w:rPr>
            </w:pPr>
            <w:r>
              <w:rPr>
                <w:rFonts w:ascii="宋体" w:hAnsi="宋体"/>
                <w:color w:val="auto"/>
                <w:szCs w:val="21"/>
              </w:rPr>
              <w:t>姓名</w:t>
            </w:r>
          </w:p>
        </w:tc>
        <w:tc>
          <w:tcPr>
            <w:tcW w:w="2340" w:type="dxa"/>
            <w:gridSpan w:val="3"/>
            <w:noWrap/>
            <w:vAlign w:val="center"/>
          </w:tcPr>
          <w:p w14:paraId="436948BA">
            <w:pPr>
              <w:spacing w:line="300" w:lineRule="exact"/>
              <w:jc w:val="center"/>
              <w:rPr>
                <w:rFonts w:ascii="宋体" w:hAnsi="宋体"/>
                <w:color w:val="auto"/>
                <w:szCs w:val="21"/>
              </w:rPr>
            </w:pPr>
          </w:p>
        </w:tc>
        <w:tc>
          <w:tcPr>
            <w:tcW w:w="1893" w:type="dxa"/>
            <w:gridSpan w:val="2"/>
            <w:noWrap/>
            <w:vAlign w:val="center"/>
          </w:tcPr>
          <w:p w14:paraId="303E3BB6">
            <w:pPr>
              <w:spacing w:line="300" w:lineRule="exact"/>
              <w:jc w:val="center"/>
              <w:rPr>
                <w:rFonts w:ascii="宋体" w:hAnsi="宋体"/>
                <w:color w:val="auto"/>
                <w:szCs w:val="21"/>
              </w:rPr>
            </w:pPr>
            <w:r>
              <w:rPr>
                <w:rFonts w:ascii="宋体" w:hAnsi="宋体"/>
                <w:color w:val="auto"/>
                <w:szCs w:val="21"/>
              </w:rPr>
              <w:t>性别</w:t>
            </w:r>
          </w:p>
        </w:tc>
        <w:tc>
          <w:tcPr>
            <w:tcW w:w="1585" w:type="dxa"/>
            <w:gridSpan w:val="2"/>
            <w:noWrap/>
            <w:vAlign w:val="center"/>
          </w:tcPr>
          <w:p w14:paraId="13DF5542">
            <w:pPr>
              <w:spacing w:line="300" w:lineRule="exact"/>
              <w:jc w:val="center"/>
              <w:rPr>
                <w:rFonts w:ascii="宋体" w:hAnsi="宋体"/>
                <w:color w:val="auto"/>
                <w:szCs w:val="21"/>
              </w:rPr>
            </w:pPr>
          </w:p>
        </w:tc>
        <w:tc>
          <w:tcPr>
            <w:tcW w:w="1108" w:type="dxa"/>
            <w:gridSpan w:val="2"/>
            <w:noWrap/>
            <w:vAlign w:val="center"/>
          </w:tcPr>
          <w:p w14:paraId="21378A53">
            <w:pPr>
              <w:spacing w:line="300" w:lineRule="exact"/>
              <w:jc w:val="center"/>
              <w:rPr>
                <w:rFonts w:ascii="宋体" w:hAnsi="宋体"/>
                <w:color w:val="auto"/>
                <w:szCs w:val="21"/>
              </w:rPr>
            </w:pPr>
            <w:r>
              <w:rPr>
                <w:rFonts w:ascii="宋体" w:hAnsi="宋体"/>
                <w:color w:val="auto"/>
                <w:szCs w:val="21"/>
              </w:rPr>
              <w:t>年龄</w:t>
            </w:r>
          </w:p>
        </w:tc>
        <w:tc>
          <w:tcPr>
            <w:tcW w:w="2164" w:type="dxa"/>
            <w:noWrap/>
            <w:vAlign w:val="center"/>
          </w:tcPr>
          <w:p w14:paraId="7C4C0FA2">
            <w:pPr>
              <w:spacing w:line="300" w:lineRule="exact"/>
              <w:jc w:val="center"/>
              <w:rPr>
                <w:rFonts w:ascii="宋体" w:hAnsi="宋体"/>
                <w:color w:val="auto"/>
                <w:szCs w:val="21"/>
              </w:rPr>
            </w:pPr>
          </w:p>
        </w:tc>
      </w:tr>
      <w:tr w14:paraId="726F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5E0C2735">
            <w:pPr>
              <w:spacing w:line="300" w:lineRule="exact"/>
              <w:jc w:val="center"/>
              <w:rPr>
                <w:rFonts w:ascii="宋体" w:hAnsi="宋体"/>
                <w:color w:val="auto"/>
                <w:szCs w:val="21"/>
              </w:rPr>
            </w:pPr>
            <w:r>
              <w:rPr>
                <w:rFonts w:ascii="宋体" w:hAnsi="宋体"/>
                <w:color w:val="auto"/>
                <w:szCs w:val="21"/>
              </w:rPr>
              <w:t>职务</w:t>
            </w:r>
          </w:p>
        </w:tc>
        <w:tc>
          <w:tcPr>
            <w:tcW w:w="2340" w:type="dxa"/>
            <w:gridSpan w:val="3"/>
            <w:noWrap/>
            <w:vAlign w:val="center"/>
          </w:tcPr>
          <w:p w14:paraId="4A56AF8A">
            <w:pPr>
              <w:spacing w:line="300" w:lineRule="exact"/>
              <w:jc w:val="center"/>
              <w:rPr>
                <w:rFonts w:ascii="宋体" w:hAnsi="宋体"/>
                <w:color w:val="auto"/>
                <w:szCs w:val="21"/>
              </w:rPr>
            </w:pPr>
          </w:p>
        </w:tc>
        <w:tc>
          <w:tcPr>
            <w:tcW w:w="1893" w:type="dxa"/>
            <w:gridSpan w:val="2"/>
            <w:noWrap/>
            <w:vAlign w:val="center"/>
          </w:tcPr>
          <w:p w14:paraId="4F509A99">
            <w:pPr>
              <w:spacing w:line="300" w:lineRule="exact"/>
              <w:jc w:val="center"/>
              <w:rPr>
                <w:rFonts w:ascii="宋体" w:hAnsi="宋体"/>
                <w:color w:val="auto"/>
                <w:szCs w:val="21"/>
              </w:rPr>
            </w:pPr>
            <w:r>
              <w:rPr>
                <w:rFonts w:ascii="宋体" w:hAnsi="宋体"/>
                <w:color w:val="auto"/>
                <w:szCs w:val="21"/>
              </w:rPr>
              <w:t>职称</w:t>
            </w:r>
          </w:p>
        </w:tc>
        <w:tc>
          <w:tcPr>
            <w:tcW w:w="1585" w:type="dxa"/>
            <w:gridSpan w:val="2"/>
            <w:noWrap/>
            <w:vAlign w:val="center"/>
          </w:tcPr>
          <w:p w14:paraId="51164206">
            <w:pPr>
              <w:spacing w:line="300" w:lineRule="exact"/>
              <w:jc w:val="center"/>
              <w:rPr>
                <w:rFonts w:ascii="宋体" w:hAnsi="宋体"/>
                <w:color w:val="auto"/>
                <w:szCs w:val="21"/>
              </w:rPr>
            </w:pPr>
          </w:p>
        </w:tc>
        <w:tc>
          <w:tcPr>
            <w:tcW w:w="1108" w:type="dxa"/>
            <w:gridSpan w:val="2"/>
            <w:noWrap/>
            <w:vAlign w:val="center"/>
          </w:tcPr>
          <w:p w14:paraId="3A6128AC">
            <w:pPr>
              <w:spacing w:line="300" w:lineRule="exact"/>
              <w:jc w:val="center"/>
              <w:rPr>
                <w:rFonts w:ascii="宋体" w:hAnsi="宋体"/>
                <w:color w:val="auto"/>
                <w:szCs w:val="21"/>
              </w:rPr>
            </w:pPr>
            <w:r>
              <w:rPr>
                <w:rFonts w:ascii="宋体" w:hAnsi="宋体"/>
                <w:color w:val="auto"/>
                <w:szCs w:val="21"/>
              </w:rPr>
              <w:t>学历</w:t>
            </w:r>
          </w:p>
        </w:tc>
        <w:tc>
          <w:tcPr>
            <w:tcW w:w="2164" w:type="dxa"/>
            <w:noWrap/>
            <w:vAlign w:val="center"/>
          </w:tcPr>
          <w:p w14:paraId="55716BFD">
            <w:pPr>
              <w:spacing w:line="300" w:lineRule="exact"/>
              <w:jc w:val="center"/>
              <w:rPr>
                <w:rFonts w:ascii="宋体" w:hAnsi="宋体"/>
                <w:color w:val="auto"/>
                <w:szCs w:val="21"/>
              </w:rPr>
            </w:pPr>
          </w:p>
        </w:tc>
      </w:tr>
      <w:tr w14:paraId="2750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29E60453">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noWrap/>
            <w:vAlign w:val="center"/>
          </w:tcPr>
          <w:p w14:paraId="0DD55C4D">
            <w:pPr>
              <w:spacing w:line="300" w:lineRule="exact"/>
              <w:jc w:val="center"/>
              <w:rPr>
                <w:rFonts w:ascii="宋体" w:hAnsi="宋体"/>
                <w:color w:val="auto"/>
                <w:szCs w:val="21"/>
              </w:rPr>
            </w:pPr>
          </w:p>
        </w:tc>
        <w:tc>
          <w:tcPr>
            <w:tcW w:w="2693" w:type="dxa"/>
            <w:gridSpan w:val="4"/>
            <w:noWrap/>
            <w:vAlign w:val="center"/>
          </w:tcPr>
          <w:p w14:paraId="56C1D42B">
            <w:pPr>
              <w:spacing w:line="300" w:lineRule="exact"/>
              <w:jc w:val="center"/>
              <w:rPr>
                <w:rFonts w:ascii="宋体" w:hAnsi="宋体"/>
                <w:color w:val="auto"/>
                <w:szCs w:val="21"/>
              </w:rPr>
            </w:pPr>
            <w:r>
              <w:rPr>
                <w:rFonts w:ascii="宋体" w:hAnsi="宋体"/>
                <w:color w:val="auto"/>
                <w:szCs w:val="21"/>
              </w:rPr>
              <w:t>担任项目经理年限</w:t>
            </w:r>
          </w:p>
        </w:tc>
        <w:tc>
          <w:tcPr>
            <w:tcW w:w="2164" w:type="dxa"/>
            <w:noWrap/>
            <w:vAlign w:val="center"/>
          </w:tcPr>
          <w:p w14:paraId="61B28684">
            <w:pPr>
              <w:spacing w:line="300" w:lineRule="exact"/>
              <w:jc w:val="center"/>
              <w:rPr>
                <w:rFonts w:ascii="宋体" w:hAnsi="宋体"/>
                <w:color w:val="auto"/>
                <w:szCs w:val="21"/>
              </w:rPr>
            </w:pPr>
          </w:p>
        </w:tc>
      </w:tr>
      <w:tr w14:paraId="166C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508E2EDC">
            <w:pPr>
              <w:spacing w:line="300" w:lineRule="exact"/>
              <w:jc w:val="center"/>
              <w:rPr>
                <w:rFonts w:ascii="宋体" w:hAnsi="宋体"/>
                <w:color w:val="auto"/>
                <w:szCs w:val="21"/>
              </w:rPr>
            </w:pPr>
            <w:r>
              <w:rPr>
                <w:rFonts w:ascii="宋体" w:hAnsi="宋体"/>
                <w:color w:val="auto"/>
                <w:szCs w:val="21"/>
              </w:rPr>
              <w:t>项目经理注册证书编号</w:t>
            </w:r>
          </w:p>
        </w:tc>
        <w:tc>
          <w:tcPr>
            <w:tcW w:w="6750" w:type="dxa"/>
            <w:gridSpan w:val="7"/>
            <w:noWrap/>
            <w:vAlign w:val="center"/>
          </w:tcPr>
          <w:p w14:paraId="56EC34B6">
            <w:pPr>
              <w:spacing w:line="300" w:lineRule="exact"/>
              <w:jc w:val="center"/>
              <w:rPr>
                <w:rFonts w:ascii="宋体" w:hAnsi="宋体"/>
                <w:color w:val="auto"/>
                <w:szCs w:val="21"/>
              </w:rPr>
            </w:pPr>
          </w:p>
        </w:tc>
      </w:tr>
      <w:tr w14:paraId="0A9E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ign w:val="center"/>
          </w:tcPr>
          <w:p w14:paraId="2ABEDA5D">
            <w:pPr>
              <w:spacing w:line="300" w:lineRule="exact"/>
              <w:jc w:val="center"/>
              <w:rPr>
                <w:rFonts w:ascii="宋体" w:hAnsi="宋体"/>
                <w:color w:val="auto"/>
                <w:szCs w:val="21"/>
              </w:rPr>
            </w:pPr>
            <w:r>
              <w:rPr>
                <w:rFonts w:ascii="宋体" w:hAnsi="宋体"/>
                <w:color w:val="auto"/>
                <w:szCs w:val="21"/>
              </w:rPr>
              <w:t>在建和已完工程项目情况</w:t>
            </w:r>
          </w:p>
        </w:tc>
      </w:tr>
      <w:tr w14:paraId="4802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D414378">
            <w:pPr>
              <w:spacing w:line="300" w:lineRule="exact"/>
              <w:jc w:val="center"/>
              <w:rPr>
                <w:rFonts w:ascii="宋体" w:hAnsi="宋体"/>
                <w:color w:val="auto"/>
                <w:szCs w:val="21"/>
              </w:rPr>
            </w:pPr>
            <w:r>
              <w:rPr>
                <w:rFonts w:ascii="宋体" w:hAnsi="宋体"/>
                <w:color w:val="auto"/>
                <w:szCs w:val="21"/>
              </w:rPr>
              <w:t>建设单位</w:t>
            </w:r>
          </w:p>
        </w:tc>
        <w:tc>
          <w:tcPr>
            <w:tcW w:w="1548" w:type="dxa"/>
            <w:noWrap/>
            <w:vAlign w:val="center"/>
          </w:tcPr>
          <w:p w14:paraId="3E2C89E5">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noWrap/>
            <w:vAlign w:val="center"/>
          </w:tcPr>
          <w:p w14:paraId="5714370B">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noWrap/>
            <w:vAlign w:val="center"/>
          </w:tcPr>
          <w:p w14:paraId="75B08BDD">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noWrap/>
            <w:vAlign w:val="center"/>
          </w:tcPr>
          <w:p w14:paraId="1674E6C7">
            <w:pPr>
              <w:spacing w:line="300" w:lineRule="exact"/>
              <w:jc w:val="center"/>
              <w:rPr>
                <w:rFonts w:ascii="宋体" w:hAnsi="宋体"/>
                <w:color w:val="auto"/>
                <w:szCs w:val="21"/>
              </w:rPr>
            </w:pPr>
            <w:r>
              <w:rPr>
                <w:rFonts w:ascii="宋体" w:hAnsi="宋体"/>
                <w:color w:val="auto"/>
                <w:szCs w:val="21"/>
              </w:rPr>
              <w:t>在建或已完</w:t>
            </w:r>
          </w:p>
        </w:tc>
        <w:tc>
          <w:tcPr>
            <w:tcW w:w="2436" w:type="dxa"/>
            <w:gridSpan w:val="2"/>
            <w:noWrap/>
            <w:vAlign w:val="center"/>
          </w:tcPr>
          <w:p w14:paraId="4F45E79A">
            <w:pPr>
              <w:spacing w:line="300" w:lineRule="exact"/>
              <w:jc w:val="center"/>
              <w:rPr>
                <w:rFonts w:ascii="宋体" w:hAnsi="宋体"/>
                <w:color w:val="auto"/>
                <w:szCs w:val="21"/>
              </w:rPr>
            </w:pPr>
            <w:r>
              <w:rPr>
                <w:rFonts w:ascii="宋体" w:hAnsi="宋体"/>
                <w:color w:val="auto"/>
                <w:szCs w:val="21"/>
              </w:rPr>
              <w:t>工程质量</w:t>
            </w:r>
          </w:p>
        </w:tc>
      </w:tr>
      <w:tr w14:paraId="4131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2E1DDB03">
            <w:pPr>
              <w:spacing w:line="300" w:lineRule="exact"/>
              <w:jc w:val="center"/>
              <w:rPr>
                <w:rFonts w:ascii="宋体" w:hAnsi="宋体"/>
                <w:color w:val="auto"/>
                <w:szCs w:val="21"/>
              </w:rPr>
            </w:pPr>
          </w:p>
        </w:tc>
        <w:tc>
          <w:tcPr>
            <w:tcW w:w="1548" w:type="dxa"/>
            <w:noWrap/>
            <w:vAlign w:val="center"/>
          </w:tcPr>
          <w:p w14:paraId="00A37791">
            <w:pPr>
              <w:spacing w:line="300" w:lineRule="exact"/>
              <w:jc w:val="center"/>
              <w:rPr>
                <w:rFonts w:ascii="宋体" w:hAnsi="宋体"/>
                <w:color w:val="auto"/>
                <w:szCs w:val="21"/>
              </w:rPr>
            </w:pPr>
          </w:p>
        </w:tc>
        <w:tc>
          <w:tcPr>
            <w:tcW w:w="1547" w:type="dxa"/>
            <w:gridSpan w:val="2"/>
            <w:noWrap/>
            <w:vAlign w:val="center"/>
          </w:tcPr>
          <w:p w14:paraId="14765D5D">
            <w:pPr>
              <w:spacing w:line="300" w:lineRule="exact"/>
              <w:jc w:val="center"/>
              <w:rPr>
                <w:rFonts w:ascii="宋体" w:hAnsi="宋体"/>
                <w:color w:val="auto"/>
                <w:szCs w:val="21"/>
              </w:rPr>
            </w:pPr>
          </w:p>
        </w:tc>
        <w:tc>
          <w:tcPr>
            <w:tcW w:w="1548" w:type="dxa"/>
            <w:gridSpan w:val="2"/>
            <w:noWrap/>
            <w:vAlign w:val="center"/>
          </w:tcPr>
          <w:p w14:paraId="6B5F8F16">
            <w:pPr>
              <w:spacing w:line="300" w:lineRule="exact"/>
              <w:jc w:val="center"/>
              <w:rPr>
                <w:rFonts w:ascii="宋体" w:hAnsi="宋体"/>
                <w:color w:val="auto"/>
                <w:szCs w:val="21"/>
              </w:rPr>
            </w:pPr>
          </w:p>
        </w:tc>
        <w:tc>
          <w:tcPr>
            <w:tcW w:w="1547" w:type="dxa"/>
            <w:gridSpan w:val="2"/>
            <w:noWrap/>
            <w:vAlign w:val="center"/>
          </w:tcPr>
          <w:p w14:paraId="6B7A36AF">
            <w:pPr>
              <w:spacing w:line="300" w:lineRule="exact"/>
              <w:jc w:val="center"/>
              <w:rPr>
                <w:rFonts w:ascii="宋体" w:hAnsi="宋体"/>
                <w:color w:val="auto"/>
                <w:szCs w:val="21"/>
              </w:rPr>
            </w:pPr>
          </w:p>
        </w:tc>
        <w:tc>
          <w:tcPr>
            <w:tcW w:w="2436" w:type="dxa"/>
            <w:gridSpan w:val="2"/>
            <w:noWrap/>
            <w:vAlign w:val="center"/>
          </w:tcPr>
          <w:p w14:paraId="4EC03DD9">
            <w:pPr>
              <w:spacing w:line="300" w:lineRule="exact"/>
              <w:jc w:val="center"/>
              <w:rPr>
                <w:rFonts w:ascii="宋体" w:hAnsi="宋体"/>
                <w:color w:val="auto"/>
                <w:szCs w:val="21"/>
              </w:rPr>
            </w:pPr>
          </w:p>
        </w:tc>
      </w:tr>
      <w:tr w14:paraId="7E40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2CBCFF33">
            <w:pPr>
              <w:spacing w:line="300" w:lineRule="exact"/>
              <w:jc w:val="center"/>
              <w:rPr>
                <w:rFonts w:ascii="宋体" w:hAnsi="宋体"/>
                <w:color w:val="auto"/>
                <w:szCs w:val="21"/>
              </w:rPr>
            </w:pPr>
          </w:p>
        </w:tc>
        <w:tc>
          <w:tcPr>
            <w:tcW w:w="1548" w:type="dxa"/>
            <w:noWrap/>
            <w:vAlign w:val="center"/>
          </w:tcPr>
          <w:p w14:paraId="31DDDB29">
            <w:pPr>
              <w:spacing w:line="300" w:lineRule="exact"/>
              <w:jc w:val="center"/>
              <w:rPr>
                <w:rFonts w:ascii="宋体" w:hAnsi="宋体"/>
                <w:color w:val="auto"/>
                <w:szCs w:val="21"/>
              </w:rPr>
            </w:pPr>
          </w:p>
        </w:tc>
        <w:tc>
          <w:tcPr>
            <w:tcW w:w="1547" w:type="dxa"/>
            <w:gridSpan w:val="2"/>
            <w:noWrap/>
            <w:vAlign w:val="center"/>
          </w:tcPr>
          <w:p w14:paraId="6069F537">
            <w:pPr>
              <w:spacing w:line="300" w:lineRule="exact"/>
              <w:jc w:val="center"/>
              <w:rPr>
                <w:rFonts w:ascii="宋体" w:hAnsi="宋体"/>
                <w:color w:val="auto"/>
                <w:szCs w:val="21"/>
              </w:rPr>
            </w:pPr>
          </w:p>
        </w:tc>
        <w:tc>
          <w:tcPr>
            <w:tcW w:w="1548" w:type="dxa"/>
            <w:gridSpan w:val="2"/>
            <w:noWrap/>
            <w:vAlign w:val="center"/>
          </w:tcPr>
          <w:p w14:paraId="00C2072E">
            <w:pPr>
              <w:spacing w:line="300" w:lineRule="exact"/>
              <w:jc w:val="center"/>
              <w:rPr>
                <w:rFonts w:ascii="宋体" w:hAnsi="宋体"/>
                <w:color w:val="auto"/>
                <w:szCs w:val="21"/>
              </w:rPr>
            </w:pPr>
          </w:p>
        </w:tc>
        <w:tc>
          <w:tcPr>
            <w:tcW w:w="1547" w:type="dxa"/>
            <w:gridSpan w:val="2"/>
            <w:noWrap/>
            <w:vAlign w:val="center"/>
          </w:tcPr>
          <w:p w14:paraId="6FD77767">
            <w:pPr>
              <w:spacing w:line="300" w:lineRule="exact"/>
              <w:jc w:val="center"/>
              <w:rPr>
                <w:rFonts w:ascii="宋体" w:hAnsi="宋体"/>
                <w:color w:val="auto"/>
                <w:szCs w:val="21"/>
              </w:rPr>
            </w:pPr>
          </w:p>
        </w:tc>
        <w:tc>
          <w:tcPr>
            <w:tcW w:w="2436" w:type="dxa"/>
            <w:gridSpan w:val="2"/>
            <w:noWrap/>
            <w:vAlign w:val="center"/>
          </w:tcPr>
          <w:p w14:paraId="3ADAAAF8">
            <w:pPr>
              <w:spacing w:line="300" w:lineRule="exact"/>
              <w:jc w:val="center"/>
              <w:rPr>
                <w:rFonts w:ascii="宋体" w:hAnsi="宋体"/>
                <w:color w:val="auto"/>
                <w:szCs w:val="21"/>
              </w:rPr>
            </w:pPr>
          </w:p>
        </w:tc>
      </w:tr>
      <w:tr w14:paraId="7539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673A27B">
            <w:pPr>
              <w:spacing w:line="300" w:lineRule="exact"/>
              <w:jc w:val="center"/>
              <w:rPr>
                <w:rFonts w:ascii="宋体" w:hAnsi="宋体"/>
                <w:color w:val="auto"/>
                <w:szCs w:val="21"/>
              </w:rPr>
            </w:pPr>
          </w:p>
        </w:tc>
        <w:tc>
          <w:tcPr>
            <w:tcW w:w="1548" w:type="dxa"/>
            <w:noWrap/>
            <w:vAlign w:val="center"/>
          </w:tcPr>
          <w:p w14:paraId="4056699C">
            <w:pPr>
              <w:spacing w:line="300" w:lineRule="exact"/>
              <w:jc w:val="center"/>
              <w:rPr>
                <w:rFonts w:ascii="宋体" w:hAnsi="宋体"/>
                <w:color w:val="auto"/>
                <w:szCs w:val="21"/>
              </w:rPr>
            </w:pPr>
          </w:p>
        </w:tc>
        <w:tc>
          <w:tcPr>
            <w:tcW w:w="1547" w:type="dxa"/>
            <w:gridSpan w:val="2"/>
            <w:noWrap/>
            <w:vAlign w:val="center"/>
          </w:tcPr>
          <w:p w14:paraId="5BC37093">
            <w:pPr>
              <w:spacing w:line="300" w:lineRule="exact"/>
              <w:jc w:val="center"/>
              <w:rPr>
                <w:rFonts w:ascii="宋体" w:hAnsi="宋体"/>
                <w:color w:val="auto"/>
                <w:szCs w:val="21"/>
              </w:rPr>
            </w:pPr>
          </w:p>
        </w:tc>
        <w:tc>
          <w:tcPr>
            <w:tcW w:w="1548" w:type="dxa"/>
            <w:gridSpan w:val="2"/>
            <w:noWrap/>
            <w:vAlign w:val="center"/>
          </w:tcPr>
          <w:p w14:paraId="540D3C16">
            <w:pPr>
              <w:spacing w:line="300" w:lineRule="exact"/>
              <w:jc w:val="center"/>
              <w:rPr>
                <w:rFonts w:ascii="宋体" w:hAnsi="宋体"/>
                <w:color w:val="auto"/>
                <w:szCs w:val="21"/>
              </w:rPr>
            </w:pPr>
          </w:p>
        </w:tc>
        <w:tc>
          <w:tcPr>
            <w:tcW w:w="1547" w:type="dxa"/>
            <w:gridSpan w:val="2"/>
            <w:noWrap/>
            <w:vAlign w:val="center"/>
          </w:tcPr>
          <w:p w14:paraId="09A1A10B">
            <w:pPr>
              <w:spacing w:line="300" w:lineRule="exact"/>
              <w:jc w:val="center"/>
              <w:rPr>
                <w:rFonts w:ascii="宋体" w:hAnsi="宋体"/>
                <w:color w:val="auto"/>
                <w:szCs w:val="21"/>
              </w:rPr>
            </w:pPr>
          </w:p>
        </w:tc>
        <w:tc>
          <w:tcPr>
            <w:tcW w:w="2436" w:type="dxa"/>
            <w:gridSpan w:val="2"/>
            <w:noWrap/>
            <w:vAlign w:val="center"/>
          </w:tcPr>
          <w:p w14:paraId="4912F544">
            <w:pPr>
              <w:spacing w:line="300" w:lineRule="exact"/>
              <w:jc w:val="center"/>
              <w:rPr>
                <w:rFonts w:ascii="宋体" w:hAnsi="宋体"/>
                <w:color w:val="auto"/>
                <w:szCs w:val="21"/>
              </w:rPr>
            </w:pPr>
          </w:p>
        </w:tc>
      </w:tr>
      <w:tr w14:paraId="5A4B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7B56020">
            <w:pPr>
              <w:spacing w:line="300" w:lineRule="exact"/>
              <w:jc w:val="center"/>
              <w:rPr>
                <w:rFonts w:ascii="宋体" w:hAnsi="宋体"/>
                <w:color w:val="auto"/>
                <w:szCs w:val="21"/>
              </w:rPr>
            </w:pPr>
          </w:p>
        </w:tc>
        <w:tc>
          <w:tcPr>
            <w:tcW w:w="1548" w:type="dxa"/>
            <w:noWrap/>
            <w:vAlign w:val="center"/>
          </w:tcPr>
          <w:p w14:paraId="1D75C297">
            <w:pPr>
              <w:spacing w:line="300" w:lineRule="exact"/>
              <w:jc w:val="center"/>
              <w:rPr>
                <w:rFonts w:ascii="宋体" w:hAnsi="宋体"/>
                <w:color w:val="auto"/>
                <w:szCs w:val="21"/>
              </w:rPr>
            </w:pPr>
          </w:p>
        </w:tc>
        <w:tc>
          <w:tcPr>
            <w:tcW w:w="1547" w:type="dxa"/>
            <w:gridSpan w:val="2"/>
            <w:noWrap/>
            <w:vAlign w:val="center"/>
          </w:tcPr>
          <w:p w14:paraId="6B4CF533">
            <w:pPr>
              <w:spacing w:line="300" w:lineRule="exact"/>
              <w:jc w:val="center"/>
              <w:rPr>
                <w:rFonts w:ascii="宋体" w:hAnsi="宋体"/>
                <w:color w:val="auto"/>
                <w:szCs w:val="21"/>
              </w:rPr>
            </w:pPr>
          </w:p>
        </w:tc>
        <w:tc>
          <w:tcPr>
            <w:tcW w:w="1548" w:type="dxa"/>
            <w:gridSpan w:val="2"/>
            <w:noWrap/>
            <w:vAlign w:val="center"/>
          </w:tcPr>
          <w:p w14:paraId="2974EBD5">
            <w:pPr>
              <w:spacing w:line="300" w:lineRule="exact"/>
              <w:jc w:val="center"/>
              <w:rPr>
                <w:rFonts w:ascii="宋体" w:hAnsi="宋体"/>
                <w:color w:val="auto"/>
                <w:szCs w:val="21"/>
              </w:rPr>
            </w:pPr>
          </w:p>
        </w:tc>
        <w:tc>
          <w:tcPr>
            <w:tcW w:w="1547" w:type="dxa"/>
            <w:gridSpan w:val="2"/>
            <w:noWrap/>
            <w:vAlign w:val="center"/>
          </w:tcPr>
          <w:p w14:paraId="78B7FCBF">
            <w:pPr>
              <w:spacing w:line="300" w:lineRule="exact"/>
              <w:jc w:val="center"/>
              <w:rPr>
                <w:rFonts w:ascii="宋体" w:hAnsi="宋体"/>
                <w:color w:val="auto"/>
                <w:szCs w:val="21"/>
              </w:rPr>
            </w:pPr>
          </w:p>
        </w:tc>
        <w:tc>
          <w:tcPr>
            <w:tcW w:w="2436" w:type="dxa"/>
            <w:gridSpan w:val="2"/>
            <w:noWrap/>
            <w:vAlign w:val="center"/>
          </w:tcPr>
          <w:p w14:paraId="494C020D">
            <w:pPr>
              <w:spacing w:line="300" w:lineRule="exact"/>
              <w:jc w:val="center"/>
              <w:rPr>
                <w:rFonts w:ascii="宋体" w:hAnsi="宋体"/>
                <w:color w:val="auto"/>
                <w:szCs w:val="21"/>
              </w:rPr>
            </w:pPr>
          </w:p>
        </w:tc>
      </w:tr>
    </w:tbl>
    <w:p w14:paraId="2AE93138">
      <w:pPr>
        <w:spacing w:line="400" w:lineRule="exact"/>
        <w:ind w:firstLine="420" w:firstLineChars="200"/>
        <w:rPr>
          <w:rFonts w:ascii="宋体" w:hAnsi="宋体"/>
          <w:color w:val="auto"/>
          <w:szCs w:val="21"/>
        </w:rPr>
      </w:pPr>
      <w:r>
        <w:rPr>
          <w:rFonts w:hint="eastAsia" w:ascii="宋体" w:hAnsi="宋体"/>
          <w:color w:val="auto"/>
          <w:szCs w:val="21"/>
        </w:rPr>
        <w:t>备注：</w:t>
      </w:r>
    </w:p>
    <w:p w14:paraId="31D350CD">
      <w:pPr>
        <w:spacing w:line="400" w:lineRule="exact"/>
        <w:ind w:firstLine="420" w:firstLineChars="200"/>
        <w:rPr>
          <w:rFonts w:ascii="宋体" w:hAnsi="宋体"/>
          <w:color w:val="auto"/>
          <w:szCs w:val="21"/>
        </w:rPr>
      </w:pPr>
      <w:r>
        <w:rPr>
          <w:rFonts w:hint="eastAsia" w:ascii="宋体" w:hAnsi="宋体"/>
          <w:color w:val="auto"/>
          <w:szCs w:val="21"/>
        </w:rPr>
        <w:t>1.附项目经理</w:t>
      </w:r>
      <w:r>
        <w:rPr>
          <w:rFonts w:hint="eastAsia" w:ascii="宋体" w:hAnsi="宋体" w:cs="宋体"/>
          <w:bCs/>
          <w:color w:val="auto"/>
          <w:szCs w:val="21"/>
        </w:rPr>
        <w:t>执业资格证书、</w:t>
      </w:r>
      <w:r>
        <w:rPr>
          <w:rFonts w:hint="eastAsia" w:ascii="宋体" w:hAnsi="宋体"/>
          <w:color w:val="auto"/>
          <w:szCs w:val="21"/>
        </w:rPr>
        <w:t>《安全生产考核合格证书》、职称证（若有）、学历证（若有）和已完工程（如有）《中标通知书》、工程合同协议书、工程竣工验收证明材料的扫描件，以及竞标人认为需要增加的其他证明材料的扫描件。（</w:t>
      </w:r>
      <w:r>
        <w:rPr>
          <w:rFonts w:hint="eastAsia" w:ascii="宋体" w:hAnsi="宋体"/>
          <w:b/>
          <w:bCs/>
          <w:color w:val="auto"/>
          <w:szCs w:val="21"/>
        </w:rPr>
        <w:t>以上材料是复印件的扫描件的，均须加盖竞标人单位公章或电子签章</w:t>
      </w:r>
      <w:r>
        <w:rPr>
          <w:rFonts w:hint="eastAsia" w:ascii="宋体" w:hAnsi="宋体"/>
          <w:color w:val="auto"/>
          <w:szCs w:val="21"/>
        </w:rPr>
        <w:t>。）</w:t>
      </w:r>
    </w:p>
    <w:p w14:paraId="71D5656F">
      <w:pPr>
        <w:widowControl/>
        <w:spacing w:line="300" w:lineRule="exact"/>
        <w:ind w:right="-147" w:rightChars="-70"/>
        <w:rPr>
          <w:rFonts w:ascii="宋体" w:hAnsi="宋体" w:cs="宋体"/>
          <w:color w:val="auto"/>
          <w:szCs w:val="21"/>
        </w:rPr>
      </w:pPr>
      <w:r>
        <w:rPr>
          <w:rFonts w:hint="eastAsia" w:ascii="宋体" w:hAnsi="宋体"/>
          <w:color w:val="auto"/>
          <w:szCs w:val="21"/>
        </w:rPr>
        <w:br w:type="page"/>
      </w:r>
      <w:r>
        <w:rPr>
          <w:rFonts w:hint="eastAsia" w:ascii="宋体" w:hAnsi="宋体"/>
          <w:color w:val="auto"/>
          <w:szCs w:val="21"/>
        </w:rPr>
        <w:t>附表</w:t>
      </w:r>
      <w:r>
        <w:rPr>
          <w:rFonts w:hint="eastAsia" w:ascii="宋体" w:hAnsi="宋体" w:cs="宋体"/>
          <w:color w:val="auto"/>
          <w:szCs w:val="21"/>
        </w:rPr>
        <w:t>②项目技术负责人简历表（格式）</w:t>
      </w:r>
    </w:p>
    <w:p w14:paraId="219CE092">
      <w:pPr>
        <w:pStyle w:val="70"/>
        <w:rPr>
          <w:color w:val="auto"/>
        </w:rPr>
      </w:pPr>
    </w:p>
    <w:p w14:paraId="3F85A5AF">
      <w:pPr>
        <w:spacing w:line="400" w:lineRule="exact"/>
        <w:jc w:val="center"/>
        <w:rPr>
          <w:rFonts w:ascii="宋体" w:hAnsi="宋体"/>
          <w:b/>
          <w:color w:val="auto"/>
          <w:szCs w:val="21"/>
        </w:rPr>
      </w:pPr>
      <w:r>
        <w:rPr>
          <w:rFonts w:ascii="宋体" w:hAnsi="宋体"/>
          <w:b/>
          <w:color w:val="auto"/>
          <w:szCs w:val="21"/>
        </w:rPr>
        <w:t>项目技术负责人简历表</w:t>
      </w:r>
    </w:p>
    <w:p w14:paraId="3811055F">
      <w:pPr>
        <w:spacing w:line="400" w:lineRule="exact"/>
        <w:rPr>
          <w:rFonts w:ascii="黑体" w:hAnsi="宋体" w:eastAsia="黑体"/>
          <w:b/>
          <w:color w:val="auto"/>
          <w:sz w:val="28"/>
          <w:szCs w:val="28"/>
        </w:rPr>
      </w:pPr>
    </w:p>
    <w:p w14:paraId="3E6AE306">
      <w:pPr>
        <w:spacing w:line="400" w:lineRule="exact"/>
        <w:rPr>
          <w:rFonts w:ascii="宋体" w:hAnsi="宋体" w:cs="宋体"/>
          <w:color w:val="auto"/>
          <w:szCs w:val="21"/>
          <w:u w:val="single"/>
        </w:rPr>
      </w:pPr>
      <w:bookmarkStart w:id="1094" w:name="_Toc251052220"/>
      <w:r>
        <w:rPr>
          <w:rFonts w:hint="eastAsia" w:ascii="宋体" w:hAnsi="宋体" w:cs="宋体"/>
          <w:color w:val="auto"/>
          <w:szCs w:val="21"/>
        </w:rPr>
        <w:t>采购项目名称：</w:t>
      </w:r>
    </w:p>
    <w:p w14:paraId="17FDD6B9">
      <w:pPr>
        <w:spacing w:line="400" w:lineRule="exact"/>
        <w:rPr>
          <w:color w:val="auto"/>
        </w:rPr>
      </w:pPr>
      <w:r>
        <w:rPr>
          <w:rFonts w:hint="eastAsia" w:ascii="宋体" w:hAnsi="宋体" w:cs="宋体"/>
          <w:color w:val="auto"/>
          <w:szCs w:val="21"/>
        </w:rPr>
        <w:t>项目采购编号：</w:t>
      </w:r>
      <w:r>
        <w:rPr>
          <w:color w:val="auto"/>
        </w:rPr>
        <w:tab/>
      </w:r>
      <w:r>
        <w:rPr>
          <w:color w:val="auto"/>
        </w:rPr>
        <w:tab/>
      </w:r>
      <w:r>
        <w:rPr>
          <w:color w:val="auto"/>
        </w:rPr>
        <w:tab/>
      </w:r>
      <w:bookmarkEnd w:id="1094"/>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4C2E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443FB013">
            <w:pPr>
              <w:spacing w:line="300" w:lineRule="exact"/>
              <w:jc w:val="center"/>
              <w:rPr>
                <w:rFonts w:ascii="宋体" w:hAnsi="宋体"/>
                <w:color w:val="auto"/>
                <w:szCs w:val="21"/>
              </w:rPr>
            </w:pPr>
            <w:r>
              <w:rPr>
                <w:rFonts w:ascii="宋体" w:hAnsi="宋体"/>
                <w:color w:val="auto"/>
                <w:szCs w:val="21"/>
              </w:rPr>
              <w:t>姓名</w:t>
            </w:r>
          </w:p>
        </w:tc>
        <w:tc>
          <w:tcPr>
            <w:tcW w:w="2340" w:type="dxa"/>
            <w:gridSpan w:val="3"/>
            <w:noWrap/>
            <w:vAlign w:val="center"/>
          </w:tcPr>
          <w:p w14:paraId="7686B85A">
            <w:pPr>
              <w:spacing w:line="300" w:lineRule="exact"/>
              <w:jc w:val="center"/>
              <w:rPr>
                <w:rFonts w:ascii="宋体" w:hAnsi="宋体"/>
                <w:color w:val="auto"/>
                <w:szCs w:val="21"/>
              </w:rPr>
            </w:pPr>
          </w:p>
        </w:tc>
        <w:tc>
          <w:tcPr>
            <w:tcW w:w="1893" w:type="dxa"/>
            <w:gridSpan w:val="2"/>
            <w:noWrap/>
            <w:vAlign w:val="center"/>
          </w:tcPr>
          <w:p w14:paraId="36CE3000">
            <w:pPr>
              <w:spacing w:line="300" w:lineRule="exact"/>
              <w:jc w:val="center"/>
              <w:rPr>
                <w:rFonts w:ascii="宋体" w:hAnsi="宋体"/>
                <w:color w:val="auto"/>
                <w:szCs w:val="21"/>
              </w:rPr>
            </w:pPr>
            <w:r>
              <w:rPr>
                <w:rFonts w:ascii="宋体" w:hAnsi="宋体"/>
                <w:color w:val="auto"/>
                <w:szCs w:val="21"/>
              </w:rPr>
              <w:t>性别</w:t>
            </w:r>
          </w:p>
        </w:tc>
        <w:tc>
          <w:tcPr>
            <w:tcW w:w="1585" w:type="dxa"/>
            <w:gridSpan w:val="2"/>
            <w:noWrap/>
            <w:vAlign w:val="center"/>
          </w:tcPr>
          <w:p w14:paraId="607ED1DF">
            <w:pPr>
              <w:spacing w:line="300" w:lineRule="exact"/>
              <w:jc w:val="center"/>
              <w:rPr>
                <w:rFonts w:ascii="宋体" w:hAnsi="宋体"/>
                <w:color w:val="auto"/>
                <w:szCs w:val="21"/>
              </w:rPr>
            </w:pPr>
          </w:p>
        </w:tc>
        <w:tc>
          <w:tcPr>
            <w:tcW w:w="1108" w:type="dxa"/>
            <w:gridSpan w:val="2"/>
            <w:noWrap/>
            <w:vAlign w:val="center"/>
          </w:tcPr>
          <w:p w14:paraId="0CF10689">
            <w:pPr>
              <w:spacing w:line="300" w:lineRule="exact"/>
              <w:jc w:val="center"/>
              <w:rPr>
                <w:rFonts w:ascii="宋体" w:hAnsi="宋体"/>
                <w:color w:val="auto"/>
                <w:szCs w:val="21"/>
              </w:rPr>
            </w:pPr>
            <w:r>
              <w:rPr>
                <w:rFonts w:ascii="宋体" w:hAnsi="宋体"/>
                <w:color w:val="auto"/>
                <w:szCs w:val="21"/>
              </w:rPr>
              <w:t>年龄</w:t>
            </w:r>
          </w:p>
        </w:tc>
        <w:tc>
          <w:tcPr>
            <w:tcW w:w="2305" w:type="dxa"/>
            <w:noWrap/>
            <w:vAlign w:val="center"/>
          </w:tcPr>
          <w:p w14:paraId="7DFC01CF">
            <w:pPr>
              <w:spacing w:line="300" w:lineRule="exact"/>
              <w:jc w:val="center"/>
              <w:rPr>
                <w:rFonts w:ascii="宋体" w:hAnsi="宋体"/>
                <w:color w:val="auto"/>
                <w:szCs w:val="21"/>
              </w:rPr>
            </w:pPr>
          </w:p>
        </w:tc>
      </w:tr>
      <w:tr w14:paraId="4C47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3D22AFDC">
            <w:pPr>
              <w:spacing w:line="300" w:lineRule="exact"/>
              <w:jc w:val="center"/>
              <w:rPr>
                <w:rFonts w:ascii="宋体" w:hAnsi="宋体"/>
                <w:color w:val="auto"/>
                <w:szCs w:val="21"/>
              </w:rPr>
            </w:pPr>
            <w:r>
              <w:rPr>
                <w:rFonts w:ascii="宋体" w:hAnsi="宋体"/>
                <w:color w:val="auto"/>
                <w:szCs w:val="21"/>
              </w:rPr>
              <w:t>职务</w:t>
            </w:r>
          </w:p>
        </w:tc>
        <w:tc>
          <w:tcPr>
            <w:tcW w:w="2340" w:type="dxa"/>
            <w:gridSpan w:val="3"/>
            <w:noWrap/>
            <w:vAlign w:val="center"/>
          </w:tcPr>
          <w:p w14:paraId="5A95F126">
            <w:pPr>
              <w:spacing w:line="300" w:lineRule="exact"/>
              <w:jc w:val="center"/>
              <w:rPr>
                <w:rFonts w:ascii="宋体" w:hAnsi="宋体"/>
                <w:color w:val="auto"/>
                <w:szCs w:val="21"/>
              </w:rPr>
            </w:pPr>
          </w:p>
        </w:tc>
        <w:tc>
          <w:tcPr>
            <w:tcW w:w="1893" w:type="dxa"/>
            <w:gridSpan w:val="2"/>
            <w:noWrap/>
            <w:vAlign w:val="center"/>
          </w:tcPr>
          <w:p w14:paraId="1AD10CB4">
            <w:pPr>
              <w:spacing w:line="300" w:lineRule="exact"/>
              <w:jc w:val="center"/>
              <w:rPr>
                <w:rFonts w:ascii="宋体" w:hAnsi="宋体"/>
                <w:color w:val="auto"/>
                <w:szCs w:val="21"/>
              </w:rPr>
            </w:pPr>
            <w:r>
              <w:rPr>
                <w:rFonts w:ascii="宋体" w:hAnsi="宋体"/>
                <w:color w:val="auto"/>
                <w:szCs w:val="21"/>
              </w:rPr>
              <w:t>职称</w:t>
            </w:r>
          </w:p>
        </w:tc>
        <w:tc>
          <w:tcPr>
            <w:tcW w:w="1585" w:type="dxa"/>
            <w:gridSpan w:val="2"/>
            <w:noWrap/>
            <w:vAlign w:val="center"/>
          </w:tcPr>
          <w:p w14:paraId="7A2E6CE0">
            <w:pPr>
              <w:spacing w:line="300" w:lineRule="exact"/>
              <w:jc w:val="center"/>
              <w:rPr>
                <w:rFonts w:ascii="宋体" w:hAnsi="宋体"/>
                <w:color w:val="auto"/>
                <w:szCs w:val="21"/>
              </w:rPr>
            </w:pPr>
          </w:p>
        </w:tc>
        <w:tc>
          <w:tcPr>
            <w:tcW w:w="1108" w:type="dxa"/>
            <w:gridSpan w:val="2"/>
            <w:noWrap/>
            <w:vAlign w:val="center"/>
          </w:tcPr>
          <w:p w14:paraId="3417B8B4">
            <w:pPr>
              <w:spacing w:line="300" w:lineRule="exact"/>
              <w:jc w:val="center"/>
              <w:rPr>
                <w:rFonts w:ascii="宋体" w:hAnsi="宋体"/>
                <w:color w:val="auto"/>
                <w:szCs w:val="21"/>
              </w:rPr>
            </w:pPr>
            <w:r>
              <w:rPr>
                <w:rFonts w:ascii="宋体" w:hAnsi="宋体"/>
                <w:color w:val="auto"/>
                <w:szCs w:val="21"/>
              </w:rPr>
              <w:t>学历</w:t>
            </w:r>
          </w:p>
        </w:tc>
        <w:tc>
          <w:tcPr>
            <w:tcW w:w="2305" w:type="dxa"/>
            <w:noWrap/>
            <w:vAlign w:val="center"/>
          </w:tcPr>
          <w:p w14:paraId="73DEDC39">
            <w:pPr>
              <w:spacing w:line="300" w:lineRule="exact"/>
              <w:jc w:val="center"/>
              <w:rPr>
                <w:rFonts w:ascii="宋体" w:hAnsi="宋体"/>
                <w:color w:val="auto"/>
                <w:szCs w:val="21"/>
              </w:rPr>
            </w:pPr>
          </w:p>
        </w:tc>
      </w:tr>
      <w:tr w14:paraId="18ED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367827EE">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noWrap/>
            <w:vAlign w:val="center"/>
          </w:tcPr>
          <w:p w14:paraId="718E696E">
            <w:pPr>
              <w:spacing w:line="300" w:lineRule="exact"/>
              <w:jc w:val="center"/>
              <w:rPr>
                <w:rFonts w:ascii="宋体" w:hAnsi="宋体"/>
                <w:color w:val="auto"/>
                <w:szCs w:val="21"/>
              </w:rPr>
            </w:pPr>
          </w:p>
        </w:tc>
        <w:tc>
          <w:tcPr>
            <w:tcW w:w="2693" w:type="dxa"/>
            <w:gridSpan w:val="4"/>
            <w:noWrap/>
            <w:vAlign w:val="center"/>
          </w:tcPr>
          <w:p w14:paraId="105001C0">
            <w:pPr>
              <w:spacing w:line="300" w:lineRule="exact"/>
              <w:jc w:val="center"/>
              <w:rPr>
                <w:rFonts w:ascii="宋体" w:hAnsi="宋体"/>
                <w:color w:val="auto"/>
                <w:szCs w:val="21"/>
              </w:rPr>
            </w:pPr>
            <w:r>
              <w:rPr>
                <w:rFonts w:ascii="宋体" w:hAnsi="宋体"/>
                <w:color w:val="auto"/>
                <w:szCs w:val="21"/>
              </w:rPr>
              <w:t>担任</w:t>
            </w:r>
            <w:r>
              <w:rPr>
                <w:rFonts w:hint="eastAsia" w:ascii="宋体" w:hAnsi="宋体"/>
                <w:color w:val="auto"/>
                <w:szCs w:val="21"/>
              </w:rPr>
              <w:t>技术负责人</w:t>
            </w:r>
            <w:r>
              <w:rPr>
                <w:rFonts w:ascii="宋体" w:hAnsi="宋体"/>
                <w:color w:val="auto"/>
                <w:szCs w:val="21"/>
              </w:rPr>
              <w:t>年限</w:t>
            </w:r>
          </w:p>
        </w:tc>
        <w:tc>
          <w:tcPr>
            <w:tcW w:w="2305" w:type="dxa"/>
            <w:noWrap/>
            <w:vAlign w:val="center"/>
          </w:tcPr>
          <w:p w14:paraId="0B9A2293">
            <w:pPr>
              <w:spacing w:line="300" w:lineRule="exact"/>
              <w:jc w:val="center"/>
              <w:rPr>
                <w:rFonts w:ascii="宋体" w:hAnsi="宋体"/>
                <w:color w:val="auto"/>
                <w:szCs w:val="21"/>
              </w:rPr>
            </w:pPr>
          </w:p>
        </w:tc>
      </w:tr>
      <w:tr w14:paraId="7B66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noWrap/>
            <w:vAlign w:val="center"/>
          </w:tcPr>
          <w:p w14:paraId="75D13D9F">
            <w:pPr>
              <w:spacing w:line="300" w:lineRule="exact"/>
              <w:jc w:val="center"/>
              <w:rPr>
                <w:rFonts w:ascii="宋体" w:hAnsi="宋体"/>
                <w:color w:val="auto"/>
                <w:szCs w:val="21"/>
              </w:rPr>
            </w:pPr>
            <w:r>
              <w:rPr>
                <w:rFonts w:ascii="宋体" w:hAnsi="宋体"/>
                <w:color w:val="auto"/>
                <w:szCs w:val="21"/>
              </w:rPr>
              <w:t>在建和已完工程项目情况</w:t>
            </w:r>
          </w:p>
        </w:tc>
      </w:tr>
      <w:tr w14:paraId="13D4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0C9AB3A">
            <w:pPr>
              <w:spacing w:line="300" w:lineRule="exact"/>
              <w:jc w:val="center"/>
              <w:rPr>
                <w:rFonts w:ascii="宋体" w:hAnsi="宋体"/>
                <w:color w:val="auto"/>
                <w:szCs w:val="21"/>
              </w:rPr>
            </w:pPr>
            <w:r>
              <w:rPr>
                <w:rFonts w:ascii="宋体" w:hAnsi="宋体"/>
                <w:color w:val="auto"/>
                <w:szCs w:val="21"/>
              </w:rPr>
              <w:t>建设单位</w:t>
            </w:r>
          </w:p>
        </w:tc>
        <w:tc>
          <w:tcPr>
            <w:tcW w:w="1548" w:type="dxa"/>
            <w:noWrap/>
            <w:vAlign w:val="center"/>
          </w:tcPr>
          <w:p w14:paraId="69799D87">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noWrap/>
            <w:vAlign w:val="center"/>
          </w:tcPr>
          <w:p w14:paraId="13C60417">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noWrap/>
            <w:vAlign w:val="center"/>
          </w:tcPr>
          <w:p w14:paraId="3ED4D222">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noWrap/>
            <w:vAlign w:val="center"/>
          </w:tcPr>
          <w:p w14:paraId="0CDD7CE7">
            <w:pPr>
              <w:spacing w:line="300" w:lineRule="exact"/>
              <w:jc w:val="center"/>
              <w:rPr>
                <w:rFonts w:ascii="宋体" w:hAnsi="宋体"/>
                <w:color w:val="auto"/>
                <w:szCs w:val="21"/>
              </w:rPr>
            </w:pPr>
            <w:r>
              <w:rPr>
                <w:rFonts w:ascii="宋体" w:hAnsi="宋体"/>
                <w:color w:val="auto"/>
                <w:szCs w:val="21"/>
              </w:rPr>
              <w:t>在建或已完</w:t>
            </w:r>
          </w:p>
        </w:tc>
        <w:tc>
          <w:tcPr>
            <w:tcW w:w="2577" w:type="dxa"/>
            <w:gridSpan w:val="2"/>
            <w:noWrap/>
            <w:vAlign w:val="center"/>
          </w:tcPr>
          <w:p w14:paraId="18B720B4">
            <w:pPr>
              <w:spacing w:line="300" w:lineRule="exact"/>
              <w:jc w:val="center"/>
              <w:rPr>
                <w:rFonts w:ascii="宋体" w:hAnsi="宋体"/>
                <w:color w:val="auto"/>
                <w:szCs w:val="21"/>
              </w:rPr>
            </w:pPr>
            <w:r>
              <w:rPr>
                <w:rFonts w:ascii="宋体" w:hAnsi="宋体"/>
                <w:color w:val="auto"/>
                <w:szCs w:val="21"/>
              </w:rPr>
              <w:t>工程质量</w:t>
            </w:r>
          </w:p>
        </w:tc>
      </w:tr>
      <w:tr w14:paraId="4940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EFFC4E5">
            <w:pPr>
              <w:spacing w:line="300" w:lineRule="exact"/>
              <w:jc w:val="center"/>
              <w:rPr>
                <w:rFonts w:ascii="宋体" w:hAnsi="宋体"/>
                <w:color w:val="auto"/>
                <w:szCs w:val="21"/>
              </w:rPr>
            </w:pPr>
          </w:p>
        </w:tc>
        <w:tc>
          <w:tcPr>
            <w:tcW w:w="1548" w:type="dxa"/>
            <w:noWrap/>
            <w:vAlign w:val="center"/>
          </w:tcPr>
          <w:p w14:paraId="49A056EC">
            <w:pPr>
              <w:spacing w:line="300" w:lineRule="exact"/>
              <w:jc w:val="center"/>
              <w:rPr>
                <w:rFonts w:ascii="宋体" w:hAnsi="宋体"/>
                <w:color w:val="auto"/>
                <w:szCs w:val="21"/>
              </w:rPr>
            </w:pPr>
          </w:p>
        </w:tc>
        <w:tc>
          <w:tcPr>
            <w:tcW w:w="1547" w:type="dxa"/>
            <w:gridSpan w:val="2"/>
            <w:noWrap/>
            <w:vAlign w:val="center"/>
          </w:tcPr>
          <w:p w14:paraId="4029B0F8">
            <w:pPr>
              <w:spacing w:line="300" w:lineRule="exact"/>
              <w:jc w:val="center"/>
              <w:rPr>
                <w:rFonts w:ascii="宋体" w:hAnsi="宋体"/>
                <w:color w:val="auto"/>
                <w:szCs w:val="21"/>
              </w:rPr>
            </w:pPr>
          </w:p>
        </w:tc>
        <w:tc>
          <w:tcPr>
            <w:tcW w:w="1548" w:type="dxa"/>
            <w:gridSpan w:val="2"/>
            <w:noWrap/>
            <w:vAlign w:val="center"/>
          </w:tcPr>
          <w:p w14:paraId="04CA3B7C">
            <w:pPr>
              <w:spacing w:line="300" w:lineRule="exact"/>
              <w:jc w:val="center"/>
              <w:rPr>
                <w:rFonts w:ascii="宋体" w:hAnsi="宋体"/>
                <w:color w:val="auto"/>
                <w:szCs w:val="21"/>
              </w:rPr>
            </w:pPr>
          </w:p>
        </w:tc>
        <w:tc>
          <w:tcPr>
            <w:tcW w:w="1547" w:type="dxa"/>
            <w:gridSpan w:val="2"/>
            <w:noWrap/>
            <w:vAlign w:val="center"/>
          </w:tcPr>
          <w:p w14:paraId="62589296">
            <w:pPr>
              <w:spacing w:line="300" w:lineRule="exact"/>
              <w:jc w:val="center"/>
              <w:rPr>
                <w:rFonts w:ascii="宋体" w:hAnsi="宋体"/>
                <w:color w:val="auto"/>
                <w:szCs w:val="21"/>
              </w:rPr>
            </w:pPr>
          </w:p>
        </w:tc>
        <w:tc>
          <w:tcPr>
            <w:tcW w:w="2577" w:type="dxa"/>
            <w:gridSpan w:val="2"/>
            <w:noWrap/>
            <w:vAlign w:val="center"/>
          </w:tcPr>
          <w:p w14:paraId="76BCFCF2">
            <w:pPr>
              <w:spacing w:line="300" w:lineRule="exact"/>
              <w:jc w:val="center"/>
              <w:rPr>
                <w:rFonts w:ascii="宋体" w:hAnsi="宋体"/>
                <w:color w:val="auto"/>
                <w:szCs w:val="21"/>
              </w:rPr>
            </w:pPr>
          </w:p>
        </w:tc>
      </w:tr>
      <w:tr w14:paraId="764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56FA2A7">
            <w:pPr>
              <w:spacing w:line="300" w:lineRule="exact"/>
              <w:jc w:val="center"/>
              <w:rPr>
                <w:rFonts w:ascii="宋体" w:hAnsi="宋体"/>
                <w:color w:val="auto"/>
                <w:szCs w:val="21"/>
              </w:rPr>
            </w:pPr>
          </w:p>
        </w:tc>
        <w:tc>
          <w:tcPr>
            <w:tcW w:w="1548" w:type="dxa"/>
            <w:noWrap/>
            <w:vAlign w:val="center"/>
          </w:tcPr>
          <w:p w14:paraId="14F45D51">
            <w:pPr>
              <w:spacing w:line="300" w:lineRule="exact"/>
              <w:jc w:val="center"/>
              <w:rPr>
                <w:rFonts w:ascii="宋体" w:hAnsi="宋体"/>
                <w:color w:val="auto"/>
                <w:szCs w:val="21"/>
              </w:rPr>
            </w:pPr>
          </w:p>
        </w:tc>
        <w:tc>
          <w:tcPr>
            <w:tcW w:w="1547" w:type="dxa"/>
            <w:gridSpan w:val="2"/>
            <w:noWrap/>
            <w:vAlign w:val="center"/>
          </w:tcPr>
          <w:p w14:paraId="553363BC">
            <w:pPr>
              <w:spacing w:line="300" w:lineRule="exact"/>
              <w:jc w:val="center"/>
              <w:rPr>
                <w:rFonts w:ascii="宋体" w:hAnsi="宋体"/>
                <w:color w:val="auto"/>
                <w:szCs w:val="21"/>
              </w:rPr>
            </w:pPr>
          </w:p>
        </w:tc>
        <w:tc>
          <w:tcPr>
            <w:tcW w:w="1548" w:type="dxa"/>
            <w:gridSpan w:val="2"/>
            <w:noWrap/>
            <w:vAlign w:val="center"/>
          </w:tcPr>
          <w:p w14:paraId="66023D1D">
            <w:pPr>
              <w:spacing w:line="300" w:lineRule="exact"/>
              <w:jc w:val="center"/>
              <w:rPr>
                <w:rFonts w:ascii="宋体" w:hAnsi="宋体"/>
                <w:color w:val="auto"/>
                <w:szCs w:val="21"/>
              </w:rPr>
            </w:pPr>
          </w:p>
        </w:tc>
        <w:tc>
          <w:tcPr>
            <w:tcW w:w="1547" w:type="dxa"/>
            <w:gridSpan w:val="2"/>
            <w:noWrap/>
            <w:vAlign w:val="center"/>
          </w:tcPr>
          <w:p w14:paraId="652B2595">
            <w:pPr>
              <w:spacing w:line="300" w:lineRule="exact"/>
              <w:jc w:val="center"/>
              <w:rPr>
                <w:rFonts w:ascii="宋体" w:hAnsi="宋体"/>
                <w:color w:val="auto"/>
                <w:szCs w:val="21"/>
              </w:rPr>
            </w:pPr>
          </w:p>
        </w:tc>
        <w:tc>
          <w:tcPr>
            <w:tcW w:w="2577" w:type="dxa"/>
            <w:gridSpan w:val="2"/>
            <w:noWrap/>
            <w:vAlign w:val="center"/>
          </w:tcPr>
          <w:p w14:paraId="04A0F83C">
            <w:pPr>
              <w:spacing w:line="300" w:lineRule="exact"/>
              <w:jc w:val="center"/>
              <w:rPr>
                <w:rFonts w:ascii="宋体" w:hAnsi="宋体"/>
                <w:color w:val="auto"/>
                <w:szCs w:val="21"/>
              </w:rPr>
            </w:pPr>
          </w:p>
        </w:tc>
      </w:tr>
      <w:tr w14:paraId="353C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13373C16">
            <w:pPr>
              <w:spacing w:line="300" w:lineRule="exact"/>
              <w:jc w:val="center"/>
              <w:rPr>
                <w:rFonts w:ascii="宋体" w:hAnsi="宋体"/>
                <w:color w:val="auto"/>
                <w:szCs w:val="21"/>
              </w:rPr>
            </w:pPr>
          </w:p>
        </w:tc>
        <w:tc>
          <w:tcPr>
            <w:tcW w:w="1548" w:type="dxa"/>
            <w:noWrap/>
            <w:vAlign w:val="center"/>
          </w:tcPr>
          <w:p w14:paraId="42D800D4">
            <w:pPr>
              <w:spacing w:line="300" w:lineRule="exact"/>
              <w:jc w:val="center"/>
              <w:rPr>
                <w:rFonts w:ascii="宋体" w:hAnsi="宋体"/>
                <w:color w:val="auto"/>
                <w:szCs w:val="21"/>
              </w:rPr>
            </w:pPr>
          </w:p>
        </w:tc>
        <w:tc>
          <w:tcPr>
            <w:tcW w:w="1547" w:type="dxa"/>
            <w:gridSpan w:val="2"/>
            <w:noWrap/>
            <w:vAlign w:val="center"/>
          </w:tcPr>
          <w:p w14:paraId="2C467834">
            <w:pPr>
              <w:spacing w:line="300" w:lineRule="exact"/>
              <w:jc w:val="center"/>
              <w:rPr>
                <w:rFonts w:ascii="宋体" w:hAnsi="宋体"/>
                <w:color w:val="auto"/>
                <w:szCs w:val="21"/>
              </w:rPr>
            </w:pPr>
          </w:p>
        </w:tc>
        <w:tc>
          <w:tcPr>
            <w:tcW w:w="1548" w:type="dxa"/>
            <w:gridSpan w:val="2"/>
            <w:noWrap/>
            <w:vAlign w:val="center"/>
          </w:tcPr>
          <w:p w14:paraId="24D1D081">
            <w:pPr>
              <w:spacing w:line="300" w:lineRule="exact"/>
              <w:jc w:val="center"/>
              <w:rPr>
                <w:rFonts w:ascii="宋体" w:hAnsi="宋体"/>
                <w:color w:val="auto"/>
                <w:szCs w:val="21"/>
              </w:rPr>
            </w:pPr>
          </w:p>
        </w:tc>
        <w:tc>
          <w:tcPr>
            <w:tcW w:w="1547" w:type="dxa"/>
            <w:gridSpan w:val="2"/>
            <w:noWrap/>
            <w:vAlign w:val="center"/>
          </w:tcPr>
          <w:p w14:paraId="515BFC88">
            <w:pPr>
              <w:spacing w:line="300" w:lineRule="exact"/>
              <w:jc w:val="center"/>
              <w:rPr>
                <w:rFonts w:ascii="宋体" w:hAnsi="宋体"/>
                <w:color w:val="auto"/>
                <w:szCs w:val="21"/>
              </w:rPr>
            </w:pPr>
          </w:p>
        </w:tc>
        <w:tc>
          <w:tcPr>
            <w:tcW w:w="2577" w:type="dxa"/>
            <w:gridSpan w:val="2"/>
            <w:noWrap/>
            <w:vAlign w:val="center"/>
          </w:tcPr>
          <w:p w14:paraId="18AB09B8">
            <w:pPr>
              <w:spacing w:line="300" w:lineRule="exact"/>
              <w:jc w:val="center"/>
              <w:rPr>
                <w:rFonts w:ascii="宋体" w:hAnsi="宋体"/>
                <w:color w:val="auto"/>
                <w:szCs w:val="21"/>
              </w:rPr>
            </w:pPr>
          </w:p>
        </w:tc>
      </w:tr>
      <w:tr w14:paraId="5316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E8BF925">
            <w:pPr>
              <w:spacing w:line="300" w:lineRule="exact"/>
              <w:jc w:val="center"/>
              <w:rPr>
                <w:rFonts w:ascii="宋体" w:hAnsi="宋体"/>
                <w:color w:val="auto"/>
                <w:szCs w:val="21"/>
              </w:rPr>
            </w:pPr>
          </w:p>
        </w:tc>
        <w:tc>
          <w:tcPr>
            <w:tcW w:w="1548" w:type="dxa"/>
            <w:noWrap/>
            <w:vAlign w:val="center"/>
          </w:tcPr>
          <w:p w14:paraId="066EAA47">
            <w:pPr>
              <w:spacing w:line="300" w:lineRule="exact"/>
              <w:jc w:val="center"/>
              <w:rPr>
                <w:rFonts w:ascii="宋体" w:hAnsi="宋体"/>
                <w:color w:val="auto"/>
                <w:szCs w:val="21"/>
              </w:rPr>
            </w:pPr>
          </w:p>
        </w:tc>
        <w:tc>
          <w:tcPr>
            <w:tcW w:w="1547" w:type="dxa"/>
            <w:gridSpan w:val="2"/>
            <w:noWrap/>
            <w:vAlign w:val="center"/>
          </w:tcPr>
          <w:p w14:paraId="5A226897">
            <w:pPr>
              <w:spacing w:line="300" w:lineRule="exact"/>
              <w:jc w:val="center"/>
              <w:rPr>
                <w:rFonts w:ascii="宋体" w:hAnsi="宋体"/>
                <w:color w:val="auto"/>
                <w:szCs w:val="21"/>
              </w:rPr>
            </w:pPr>
          </w:p>
        </w:tc>
        <w:tc>
          <w:tcPr>
            <w:tcW w:w="1548" w:type="dxa"/>
            <w:gridSpan w:val="2"/>
            <w:noWrap/>
            <w:vAlign w:val="center"/>
          </w:tcPr>
          <w:p w14:paraId="1A1C7CA3">
            <w:pPr>
              <w:spacing w:line="300" w:lineRule="exact"/>
              <w:jc w:val="center"/>
              <w:rPr>
                <w:rFonts w:ascii="宋体" w:hAnsi="宋体"/>
                <w:color w:val="auto"/>
                <w:szCs w:val="21"/>
              </w:rPr>
            </w:pPr>
          </w:p>
        </w:tc>
        <w:tc>
          <w:tcPr>
            <w:tcW w:w="1547" w:type="dxa"/>
            <w:gridSpan w:val="2"/>
            <w:noWrap/>
            <w:vAlign w:val="center"/>
          </w:tcPr>
          <w:p w14:paraId="15A486F8">
            <w:pPr>
              <w:spacing w:line="300" w:lineRule="exact"/>
              <w:jc w:val="center"/>
              <w:rPr>
                <w:rFonts w:ascii="宋体" w:hAnsi="宋体"/>
                <w:color w:val="auto"/>
                <w:szCs w:val="21"/>
              </w:rPr>
            </w:pPr>
          </w:p>
        </w:tc>
        <w:tc>
          <w:tcPr>
            <w:tcW w:w="2577" w:type="dxa"/>
            <w:gridSpan w:val="2"/>
            <w:noWrap/>
            <w:vAlign w:val="center"/>
          </w:tcPr>
          <w:p w14:paraId="430966F8">
            <w:pPr>
              <w:spacing w:line="300" w:lineRule="exact"/>
              <w:jc w:val="center"/>
              <w:rPr>
                <w:rFonts w:ascii="宋体" w:hAnsi="宋体"/>
                <w:color w:val="auto"/>
                <w:szCs w:val="21"/>
              </w:rPr>
            </w:pPr>
          </w:p>
        </w:tc>
      </w:tr>
    </w:tbl>
    <w:p w14:paraId="75B80B8A">
      <w:pPr>
        <w:spacing w:line="400" w:lineRule="exact"/>
        <w:ind w:firstLine="420" w:firstLineChars="200"/>
        <w:rPr>
          <w:rFonts w:ascii="宋体" w:hAnsi="宋体"/>
          <w:color w:val="auto"/>
          <w:szCs w:val="21"/>
        </w:rPr>
      </w:pPr>
      <w:r>
        <w:rPr>
          <w:rFonts w:ascii="宋体" w:hAnsi="宋体"/>
          <w:color w:val="auto"/>
          <w:szCs w:val="21"/>
        </w:rPr>
        <w:t>备注：</w:t>
      </w:r>
    </w:p>
    <w:p w14:paraId="35FBF2CD">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.附技术负责人的职称证、学历证（若有）和已完工程（如有）《中标通知书》、</w:t>
      </w:r>
      <w:r>
        <w:rPr>
          <w:rFonts w:ascii="宋体" w:hAnsi="宋体"/>
          <w:color w:val="auto"/>
          <w:szCs w:val="21"/>
        </w:rPr>
        <w:t>工程合同协议书</w:t>
      </w:r>
      <w:r>
        <w:rPr>
          <w:rFonts w:hint="eastAsia" w:ascii="宋体" w:hAnsi="宋体"/>
          <w:color w:val="auto"/>
          <w:szCs w:val="21"/>
        </w:rPr>
        <w:t>、</w:t>
      </w:r>
      <w:r>
        <w:rPr>
          <w:rFonts w:ascii="宋体" w:hAnsi="宋体"/>
          <w:color w:val="auto"/>
          <w:szCs w:val="21"/>
        </w:rPr>
        <w:t>工程竣工验收证明材料</w:t>
      </w:r>
      <w:r>
        <w:rPr>
          <w:rFonts w:hint="eastAsia" w:ascii="宋体" w:hAnsi="宋体"/>
          <w:color w:val="auto"/>
          <w:szCs w:val="21"/>
        </w:rPr>
        <w:t>的扫描件，以及竞标人认为需要增加的其他证明材料的扫描件，（</w:t>
      </w:r>
      <w:r>
        <w:rPr>
          <w:rFonts w:hint="eastAsia" w:ascii="宋体" w:hAnsi="宋体"/>
          <w:b/>
          <w:bCs/>
          <w:color w:val="auto"/>
          <w:szCs w:val="21"/>
        </w:rPr>
        <w:t>以上材料是复印件的扫描件的，均须加盖竞标人单位公章或电子签章</w:t>
      </w:r>
      <w:r>
        <w:rPr>
          <w:rFonts w:hint="eastAsia" w:ascii="宋体" w:hAnsi="宋体"/>
          <w:color w:val="auto"/>
          <w:szCs w:val="21"/>
        </w:rPr>
        <w:t>。）</w:t>
      </w:r>
    </w:p>
    <w:p w14:paraId="2AB10DDA">
      <w:pPr>
        <w:spacing w:line="400" w:lineRule="exact"/>
        <w:ind w:firstLine="420" w:firstLineChars="200"/>
        <w:rPr>
          <w:rFonts w:ascii="宋体" w:hAnsi="宋体"/>
          <w:color w:val="auto"/>
          <w:szCs w:val="21"/>
        </w:rPr>
      </w:pPr>
    </w:p>
    <w:p w14:paraId="3F55F8D5">
      <w:pPr>
        <w:spacing w:line="400" w:lineRule="exact"/>
        <w:rPr>
          <w:rFonts w:ascii="宋体" w:hAnsi="宋体"/>
          <w:color w:val="auto"/>
          <w:szCs w:val="21"/>
        </w:rPr>
      </w:pPr>
    </w:p>
    <w:p w14:paraId="2B61836D">
      <w:pPr>
        <w:widowControl/>
        <w:spacing w:line="300" w:lineRule="exact"/>
        <w:ind w:right="-147" w:rightChars="-70"/>
        <w:jc w:val="center"/>
        <w:rPr>
          <w:rFonts w:ascii="宋体" w:hAnsi="宋体"/>
          <w:color w:val="auto"/>
          <w:szCs w:val="21"/>
        </w:rPr>
      </w:pPr>
    </w:p>
    <w:p w14:paraId="14FDF74B">
      <w:pPr>
        <w:widowControl/>
        <w:spacing w:line="300" w:lineRule="exact"/>
        <w:ind w:right="-147" w:rightChars="-70"/>
        <w:jc w:val="center"/>
        <w:rPr>
          <w:rFonts w:ascii="宋体" w:hAnsi="宋体"/>
          <w:color w:val="auto"/>
          <w:szCs w:val="21"/>
        </w:rPr>
      </w:pPr>
    </w:p>
    <w:p w14:paraId="4B37A63C">
      <w:pPr>
        <w:widowControl/>
        <w:spacing w:line="300" w:lineRule="exact"/>
        <w:ind w:right="-147" w:rightChars="-70"/>
        <w:jc w:val="center"/>
        <w:rPr>
          <w:rFonts w:ascii="宋体" w:hAnsi="宋体"/>
          <w:color w:val="auto"/>
          <w:szCs w:val="21"/>
        </w:rPr>
      </w:pPr>
    </w:p>
    <w:p w14:paraId="0F0F46A8">
      <w:pPr>
        <w:rPr>
          <w:color w:val="auto"/>
        </w:rPr>
      </w:pPr>
      <w:r>
        <w:rPr>
          <w:rFonts w:ascii="宋体" w:hAnsi="宋体"/>
          <w:color w:val="auto"/>
          <w:szCs w:val="21"/>
        </w:rPr>
        <w:br w:type="page"/>
      </w:r>
    </w:p>
    <w:p w14:paraId="4D400F72">
      <w:pPr>
        <w:widowControl/>
        <w:spacing w:line="300" w:lineRule="exact"/>
        <w:ind w:right="-147" w:rightChars="-70"/>
        <w:jc w:val="center"/>
        <w:rPr>
          <w:rFonts w:hAnsi="宋体"/>
          <w:b/>
          <w:color w:val="auto"/>
          <w:sz w:val="28"/>
          <w:szCs w:val="28"/>
        </w:rPr>
      </w:pPr>
    </w:p>
    <w:p w14:paraId="492CE790">
      <w:pPr>
        <w:widowControl/>
        <w:spacing w:line="300" w:lineRule="exact"/>
        <w:ind w:right="-147" w:rightChars="-70"/>
        <w:jc w:val="center"/>
        <w:rPr>
          <w:rFonts w:hAnsi="宋体"/>
          <w:b/>
          <w:color w:val="auto"/>
          <w:sz w:val="28"/>
          <w:szCs w:val="28"/>
        </w:rPr>
      </w:pPr>
      <w:r>
        <w:rPr>
          <w:rFonts w:hint="eastAsia" w:hAnsi="宋体"/>
          <w:b/>
          <w:color w:val="auto"/>
          <w:sz w:val="28"/>
          <w:szCs w:val="28"/>
        </w:rPr>
        <w:t>二、建设工程项目管理承诺书</w:t>
      </w:r>
    </w:p>
    <w:p w14:paraId="2FFC4F83">
      <w:pPr>
        <w:pStyle w:val="88"/>
        <w:rPr>
          <w:color w:val="auto"/>
        </w:rPr>
      </w:pPr>
    </w:p>
    <w:p w14:paraId="65DFD72E">
      <w:pPr>
        <w:pStyle w:val="88"/>
        <w:jc w:val="center"/>
        <w:rPr>
          <w:rFonts w:hAnsi="宋体"/>
          <w:bCs w:val="0"/>
          <w:color w:val="auto"/>
          <w:szCs w:val="28"/>
        </w:rPr>
      </w:pPr>
      <w:r>
        <w:rPr>
          <w:rFonts w:hint="eastAsia" w:hAnsi="宋体"/>
          <w:bCs w:val="0"/>
          <w:color w:val="auto"/>
          <w:szCs w:val="28"/>
        </w:rPr>
        <w:t>（格式自拟）</w:t>
      </w:r>
    </w:p>
    <w:p w14:paraId="7F174E42">
      <w:pPr>
        <w:pStyle w:val="88"/>
        <w:jc w:val="right"/>
        <w:rPr>
          <w:color w:val="auto"/>
          <w:szCs w:val="21"/>
        </w:rPr>
      </w:pPr>
    </w:p>
    <w:p w14:paraId="185C6C0D">
      <w:pPr>
        <w:rPr>
          <w:rFonts w:hAnsi="宋体"/>
          <w:b/>
          <w:color w:val="auto"/>
          <w:sz w:val="28"/>
          <w:szCs w:val="28"/>
        </w:rPr>
      </w:pPr>
      <w:r>
        <w:rPr>
          <w:rFonts w:hint="eastAsia" w:hAnsi="宋体"/>
          <w:b/>
          <w:color w:val="auto"/>
          <w:sz w:val="28"/>
          <w:szCs w:val="28"/>
        </w:rPr>
        <w:br w:type="page"/>
      </w:r>
    </w:p>
    <w:p w14:paraId="004F23F3">
      <w:pPr>
        <w:jc w:val="center"/>
        <w:rPr>
          <w:rFonts w:hAnsi="宋体"/>
          <w:b/>
          <w:color w:val="auto"/>
          <w:sz w:val="28"/>
          <w:szCs w:val="28"/>
        </w:rPr>
      </w:pPr>
      <w:r>
        <w:rPr>
          <w:rFonts w:hint="eastAsia" w:hAnsi="宋体"/>
          <w:b/>
          <w:color w:val="auto"/>
          <w:sz w:val="28"/>
          <w:szCs w:val="28"/>
        </w:rPr>
        <w:t>三、施工组织设计</w:t>
      </w:r>
    </w:p>
    <w:p w14:paraId="476C9651">
      <w:pPr>
        <w:pStyle w:val="70"/>
        <w:ind w:left="420" w:leftChars="200"/>
        <w:rPr>
          <w:color w:val="auto"/>
        </w:rPr>
      </w:pPr>
    </w:p>
    <w:p w14:paraId="45EFB4EB">
      <w:pPr>
        <w:spacing w:line="400" w:lineRule="exact"/>
        <w:rPr>
          <w:rFonts w:ascii="宋体" w:hAnsi="宋体"/>
          <w:color w:val="auto"/>
        </w:rPr>
      </w:pPr>
      <w:r>
        <w:rPr>
          <w:rFonts w:hint="eastAsia" w:ascii="宋体" w:hAnsi="宋体"/>
          <w:color w:val="auto"/>
        </w:rPr>
        <w:t>1.竞标人</w:t>
      </w:r>
      <w:r>
        <w:rPr>
          <w:rFonts w:ascii="宋体" w:hAnsi="宋体"/>
          <w:color w:val="auto"/>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D782CF8">
      <w:pPr>
        <w:spacing w:line="400" w:lineRule="exact"/>
        <w:rPr>
          <w:rFonts w:ascii="宋体" w:hAnsi="宋体"/>
          <w:color w:val="auto"/>
        </w:rPr>
      </w:pPr>
      <w:r>
        <w:rPr>
          <w:rFonts w:hint="eastAsia" w:ascii="宋体" w:hAnsi="宋体"/>
          <w:color w:val="auto"/>
        </w:rPr>
        <w:t>2.</w:t>
      </w:r>
      <w:r>
        <w:rPr>
          <w:rFonts w:ascii="宋体" w:hAnsi="宋体"/>
          <w:color w:val="auto"/>
        </w:rPr>
        <w:t>施工组织设计除采用文字表述外可附下列图表，图表及格式要求附后。</w:t>
      </w:r>
    </w:p>
    <w:p w14:paraId="4C360C7D">
      <w:pPr>
        <w:spacing w:line="400" w:lineRule="exact"/>
        <w:rPr>
          <w:rFonts w:ascii="宋体" w:hAnsi="宋体"/>
          <w:color w:val="auto"/>
        </w:rPr>
      </w:pPr>
      <w:r>
        <w:rPr>
          <w:rFonts w:ascii="宋体" w:hAnsi="宋体"/>
          <w:color w:val="auto"/>
        </w:rPr>
        <w:t>附表一  拟投入本工程的主要施工设备表</w:t>
      </w:r>
    </w:p>
    <w:p w14:paraId="03822BB3">
      <w:pPr>
        <w:spacing w:line="400" w:lineRule="exact"/>
        <w:rPr>
          <w:rFonts w:ascii="宋体" w:hAnsi="宋体"/>
          <w:color w:val="auto"/>
        </w:rPr>
      </w:pPr>
      <w:r>
        <w:rPr>
          <w:rFonts w:ascii="宋体" w:hAnsi="宋体"/>
          <w:color w:val="auto"/>
        </w:rPr>
        <w:t>附表二  拟配备本工程的试验和检测仪器设备表</w:t>
      </w:r>
    </w:p>
    <w:p w14:paraId="450D4C2A">
      <w:pPr>
        <w:spacing w:line="400" w:lineRule="exact"/>
        <w:rPr>
          <w:rFonts w:ascii="宋体" w:hAnsi="宋体"/>
          <w:color w:val="auto"/>
        </w:rPr>
      </w:pPr>
      <w:r>
        <w:rPr>
          <w:rFonts w:ascii="宋体" w:hAnsi="宋体"/>
          <w:color w:val="auto"/>
        </w:rPr>
        <w:t>附表三  劳动力计划表</w:t>
      </w:r>
    </w:p>
    <w:p w14:paraId="229398E0">
      <w:pPr>
        <w:spacing w:line="400" w:lineRule="exact"/>
        <w:rPr>
          <w:rFonts w:ascii="宋体" w:hAnsi="宋体"/>
          <w:color w:val="auto"/>
        </w:rPr>
      </w:pPr>
      <w:r>
        <w:rPr>
          <w:rFonts w:ascii="宋体" w:hAnsi="宋体"/>
          <w:color w:val="auto"/>
        </w:rPr>
        <w:t>附表四  计划开、竣工日期和施工进度网络图</w:t>
      </w:r>
    </w:p>
    <w:p w14:paraId="0AE3DF16">
      <w:pPr>
        <w:spacing w:line="400" w:lineRule="exact"/>
        <w:rPr>
          <w:rFonts w:ascii="宋体" w:hAnsi="宋体"/>
          <w:color w:val="auto"/>
        </w:rPr>
      </w:pPr>
      <w:r>
        <w:rPr>
          <w:rFonts w:ascii="宋体" w:hAnsi="宋体"/>
          <w:color w:val="auto"/>
        </w:rPr>
        <w:t>附表五  施工总平面图</w:t>
      </w:r>
    </w:p>
    <w:p w14:paraId="7981EAAB">
      <w:pPr>
        <w:spacing w:line="400" w:lineRule="exact"/>
        <w:rPr>
          <w:rFonts w:ascii="宋体" w:hAnsi="宋体"/>
          <w:color w:val="auto"/>
        </w:rPr>
      </w:pPr>
      <w:r>
        <w:rPr>
          <w:rFonts w:ascii="宋体" w:hAnsi="宋体"/>
          <w:color w:val="auto"/>
        </w:rPr>
        <w:t>附表六  临时用地表</w:t>
      </w:r>
    </w:p>
    <w:p w14:paraId="0D20C40F">
      <w:pPr>
        <w:spacing w:line="400" w:lineRule="exact"/>
        <w:rPr>
          <w:rFonts w:ascii="宋体" w:hAnsi="宋体"/>
          <w:color w:val="auto"/>
        </w:rPr>
      </w:pPr>
    </w:p>
    <w:p w14:paraId="4149A552">
      <w:pPr>
        <w:spacing w:line="400" w:lineRule="exact"/>
        <w:rPr>
          <w:rFonts w:ascii="宋体" w:hAnsi="宋体"/>
          <w:color w:val="auto"/>
        </w:rPr>
      </w:pPr>
      <w:r>
        <w:rPr>
          <w:rFonts w:ascii="宋体" w:hAnsi="宋体"/>
          <w:color w:val="auto"/>
        </w:rPr>
        <w:t>附表一：拟投入本工程的主要施工设备表</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53DC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181DEB16">
            <w:pPr>
              <w:spacing w:line="300" w:lineRule="exact"/>
              <w:jc w:val="center"/>
              <w:rPr>
                <w:rFonts w:ascii="宋体" w:hAnsi="宋体"/>
                <w:color w:val="auto"/>
                <w:szCs w:val="21"/>
              </w:rPr>
            </w:pPr>
            <w:r>
              <w:rPr>
                <w:rFonts w:ascii="宋体" w:hAnsi="宋体"/>
                <w:color w:val="auto"/>
                <w:szCs w:val="21"/>
              </w:rPr>
              <w:t>序号</w:t>
            </w:r>
          </w:p>
        </w:tc>
        <w:tc>
          <w:tcPr>
            <w:tcW w:w="1061" w:type="dxa"/>
            <w:noWrap/>
            <w:vAlign w:val="center"/>
          </w:tcPr>
          <w:p w14:paraId="541AA018">
            <w:pPr>
              <w:spacing w:line="300" w:lineRule="exact"/>
              <w:jc w:val="center"/>
              <w:rPr>
                <w:rFonts w:ascii="宋体" w:hAnsi="宋体"/>
                <w:color w:val="auto"/>
                <w:szCs w:val="21"/>
              </w:rPr>
            </w:pPr>
            <w:r>
              <w:rPr>
                <w:rFonts w:ascii="宋体" w:hAnsi="宋体"/>
                <w:color w:val="auto"/>
                <w:szCs w:val="21"/>
              </w:rPr>
              <w:t>设备名称</w:t>
            </w:r>
          </w:p>
        </w:tc>
        <w:tc>
          <w:tcPr>
            <w:tcW w:w="1061" w:type="dxa"/>
            <w:noWrap/>
            <w:vAlign w:val="center"/>
          </w:tcPr>
          <w:p w14:paraId="4915AB2B">
            <w:pPr>
              <w:spacing w:line="300" w:lineRule="exact"/>
              <w:jc w:val="center"/>
              <w:rPr>
                <w:rFonts w:ascii="宋体" w:hAnsi="宋体"/>
                <w:color w:val="auto"/>
                <w:szCs w:val="21"/>
              </w:rPr>
            </w:pPr>
            <w:r>
              <w:rPr>
                <w:rFonts w:ascii="宋体" w:hAnsi="宋体"/>
                <w:color w:val="auto"/>
                <w:szCs w:val="21"/>
              </w:rPr>
              <w:t>型号规格</w:t>
            </w:r>
          </w:p>
        </w:tc>
        <w:tc>
          <w:tcPr>
            <w:tcW w:w="1062" w:type="dxa"/>
            <w:noWrap/>
            <w:vAlign w:val="center"/>
          </w:tcPr>
          <w:p w14:paraId="061974AB">
            <w:pPr>
              <w:spacing w:line="300" w:lineRule="exact"/>
              <w:jc w:val="center"/>
              <w:rPr>
                <w:rFonts w:ascii="宋体" w:hAnsi="宋体"/>
                <w:color w:val="auto"/>
                <w:szCs w:val="21"/>
              </w:rPr>
            </w:pPr>
            <w:r>
              <w:rPr>
                <w:rFonts w:ascii="宋体" w:hAnsi="宋体"/>
                <w:color w:val="auto"/>
                <w:szCs w:val="21"/>
              </w:rPr>
              <w:t>数量</w:t>
            </w:r>
          </w:p>
        </w:tc>
        <w:tc>
          <w:tcPr>
            <w:tcW w:w="1061" w:type="dxa"/>
            <w:noWrap/>
            <w:vAlign w:val="center"/>
          </w:tcPr>
          <w:p w14:paraId="79A25867">
            <w:pPr>
              <w:spacing w:line="300" w:lineRule="exact"/>
              <w:jc w:val="center"/>
              <w:rPr>
                <w:rFonts w:ascii="宋体" w:hAnsi="宋体"/>
                <w:color w:val="auto"/>
                <w:szCs w:val="21"/>
              </w:rPr>
            </w:pPr>
            <w:r>
              <w:rPr>
                <w:rFonts w:ascii="宋体" w:hAnsi="宋体"/>
                <w:color w:val="auto"/>
                <w:szCs w:val="21"/>
              </w:rPr>
              <w:t>国别产地</w:t>
            </w:r>
          </w:p>
        </w:tc>
        <w:tc>
          <w:tcPr>
            <w:tcW w:w="1061" w:type="dxa"/>
            <w:noWrap/>
            <w:vAlign w:val="center"/>
          </w:tcPr>
          <w:p w14:paraId="6A38A63A">
            <w:pPr>
              <w:spacing w:line="300" w:lineRule="exact"/>
              <w:jc w:val="center"/>
              <w:rPr>
                <w:rFonts w:ascii="宋体" w:hAnsi="宋体"/>
                <w:color w:val="auto"/>
                <w:szCs w:val="21"/>
              </w:rPr>
            </w:pPr>
            <w:r>
              <w:rPr>
                <w:rFonts w:ascii="宋体" w:hAnsi="宋体"/>
                <w:color w:val="auto"/>
                <w:szCs w:val="21"/>
              </w:rPr>
              <w:t>制造年份</w:t>
            </w:r>
          </w:p>
        </w:tc>
        <w:tc>
          <w:tcPr>
            <w:tcW w:w="1062" w:type="dxa"/>
            <w:noWrap/>
            <w:vAlign w:val="center"/>
          </w:tcPr>
          <w:p w14:paraId="6AF01909">
            <w:pPr>
              <w:spacing w:line="300" w:lineRule="exact"/>
              <w:jc w:val="center"/>
              <w:rPr>
                <w:rFonts w:ascii="宋体" w:hAnsi="宋体"/>
                <w:color w:val="auto"/>
                <w:szCs w:val="21"/>
              </w:rPr>
            </w:pPr>
            <w:r>
              <w:rPr>
                <w:rFonts w:ascii="宋体" w:hAnsi="宋体"/>
                <w:color w:val="auto"/>
                <w:szCs w:val="21"/>
              </w:rPr>
              <w:t>额定功率</w:t>
            </w:r>
          </w:p>
          <w:p w14:paraId="4759729A">
            <w:pPr>
              <w:spacing w:line="300" w:lineRule="exact"/>
              <w:jc w:val="center"/>
              <w:rPr>
                <w:rFonts w:ascii="宋体" w:hAnsi="宋体"/>
                <w:color w:val="auto"/>
                <w:szCs w:val="21"/>
              </w:rPr>
            </w:pPr>
            <w:r>
              <w:rPr>
                <w:rFonts w:ascii="宋体" w:hAnsi="宋体"/>
                <w:color w:val="auto"/>
                <w:szCs w:val="21"/>
              </w:rPr>
              <w:t>（ KW ）</w:t>
            </w:r>
          </w:p>
        </w:tc>
        <w:tc>
          <w:tcPr>
            <w:tcW w:w="1061" w:type="dxa"/>
            <w:noWrap/>
            <w:vAlign w:val="center"/>
          </w:tcPr>
          <w:p w14:paraId="5273E81C">
            <w:pPr>
              <w:spacing w:line="300" w:lineRule="exact"/>
              <w:jc w:val="center"/>
              <w:rPr>
                <w:rFonts w:ascii="宋体" w:hAnsi="宋体"/>
                <w:color w:val="auto"/>
                <w:szCs w:val="21"/>
              </w:rPr>
            </w:pPr>
            <w:r>
              <w:rPr>
                <w:rFonts w:ascii="宋体" w:hAnsi="宋体"/>
                <w:color w:val="auto"/>
                <w:szCs w:val="21"/>
              </w:rPr>
              <w:t>生产能力</w:t>
            </w:r>
          </w:p>
        </w:tc>
        <w:tc>
          <w:tcPr>
            <w:tcW w:w="1061" w:type="dxa"/>
            <w:noWrap/>
            <w:vAlign w:val="center"/>
          </w:tcPr>
          <w:p w14:paraId="559A1948">
            <w:pPr>
              <w:spacing w:line="300" w:lineRule="exact"/>
              <w:jc w:val="center"/>
              <w:rPr>
                <w:rFonts w:ascii="宋体" w:hAnsi="宋体"/>
                <w:color w:val="auto"/>
                <w:szCs w:val="21"/>
              </w:rPr>
            </w:pPr>
            <w:r>
              <w:rPr>
                <w:rFonts w:ascii="宋体" w:hAnsi="宋体"/>
                <w:color w:val="auto"/>
                <w:szCs w:val="21"/>
              </w:rPr>
              <w:t>用于施工部位</w:t>
            </w:r>
          </w:p>
        </w:tc>
        <w:tc>
          <w:tcPr>
            <w:tcW w:w="1062" w:type="dxa"/>
            <w:noWrap/>
            <w:vAlign w:val="center"/>
          </w:tcPr>
          <w:p w14:paraId="1A80D2F4">
            <w:pPr>
              <w:spacing w:line="300" w:lineRule="exact"/>
              <w:jc w:val="center"/>
              <w:rPr>
                <w:rFonts w:ascii="宋体" w:hAnsi="宋体"/>
                <w:color w:val="auto"/>
                <w:szCs w:val="21"/>
              </w:rPr>
            </w:pPr>
            <w:r>
              <w:rPr>
                <w:rFonts w:ascii="宋体" w:hAnsi="宋体"/>
                <w:color w:val="auto"/>
                <w:szCs w:val="21"/>
              </w:rPr>
              <w:t>备注</w:t>
            </w:r>
          </w:p>
        </w:tc>
      </w:tr>
      <w:tr w14:paraId="110C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1188CA83">
            <w:pPr>
              <w:spacing w:line="300" w:lineRule="exact"/>
              <w:jc w:val="center"/>
              <w:rPr>
                <w:rFonts w:ascii="宋体" w:hAnsi="宋体"/>
                <w:color w:val="auto"/>
              </w:rPr>
            </w:pPr>
            <w:r>
              <w:rPr>
                <w:rFonts w:hint="eastAsia" w:ascii="宋体" w:hAnsi="宋体"/>
                <w:color w:val="auto"/>
              </w:rPr>
              <w:t>……</w:t>
            </w:r>
          </w:p>
        </w:tc>
        <w:tc>
          <w:tcPr>
            <w:tcW w:w="1061" w:type="dxa"/>
            <w:noWrap/>
            <w:vAlign w:val="center"/>
          </w:tcPr>
          <w:p w14:paraId="4B471B49">
            <w:pPr>
              <w:spacing w:line="300" w:lineRule="exact"/>
              <w:ind w:firstLine="420" w:firstLineChars="200"/>
              <w:jc w:val="center"/>
              <w:rPr>
                <w:rFonts w:ascii="宋体" w:hAnsi="宋体"/>
                <w:color w:val="auto"/>
                <w:szCs w:val="21"/>
              </w:rPr>
            </w:pPr>
          </w:p>
        </w:tc>
        <w:tc>
          <w:tcPr>
            <w:tcW w:w="1061" w:type="dxa"/>
            <w:noWrap/>
            <w:vAlign w:val="center"/>
          </w:tcPr>
          <w:p w14:paraId="0468476A">
            <w:pPr>
              <w:spacing w:line="300" w:lineRule="exact"/>
              <w:jc w:val="center"/>
              <w:rPr>
                <w:rFonts w:ascii="宋体" w:hAnsi="宋体"/>
                <w:color w:val="auto"/>
                <w:szCs w:val="21"/>
              </w:rPr>
            </w:pPr>
          </w:p>
        </w:tc>
        <w:tc>
          <w:tcPr>
            <w:tcW w:w="1062" w:type="dxa"/>
            <w:noWrap/>
            <w:vAlign w:val="center"/>
          </w:tcPr>
          <w:p w14:paraId="08CD5403">
            <w:pPr>
              <w:spacing w:line="300" w:lineRule="exact"/>
              <w:jc w:val="center"/>
              <w:rPr>
                <w:rFonts w:ascii="宋体" w:hAnsi="宋体"/>
                <w:color w:val="auto"/>
                <w:szCs w:val="21"/>
              </w:rPr>
            </w:pPr>
          </w:p>
        </w:tc>
        <w:tc>
          <w:tcPr>
            <w:tcW w:w="1061" w:type="dxa"/>
            <w:noWrap/>
            <w:vAlign w:val="center"/>
          </w:tcPr>
          <w:p w14:paraId="4A482BCA">
            <w:pPr>
              <w:spacing w:line="300" w:lineRule="exact"/>
              <w:jc w:val="center"/>
              <w:rPr>
                <w:rFonts w:ascii="宋体" w:hAnsi="宋体"/>
                <w:color w:val="auto"/>
                <w:szCs w:val="21"/>
              </w:rPr>
            </w:pPr>
          </w:p>
        </w:tc>
        <w:tc>
          <w:tcPr>
            <w:tcW w:w="1061" w:type="dxa"/>
            <w:noWrap/>
            <w:vAlign w:val="center"/>
          </w:tcPr>
          <w:p w14:paraId="4696200F">
            <w:pPr>
              <w:spacing w:line="300" w:lineRule="exact"/>
              <w:jc w:val="center"/>
              <w:rPr>
                <w:rFonts w:ascii="宋体" w:hAnsi="宋体"/>
                <w:color w:val="auto"/>
                <w:szCs w:val="21"/>
              </w:rPr>
            </w:pPr>
          </w:p>
        </w:tc>
        <w:tc>
          <w:tcPr>
            <w:tcW w:w="1062" w:type="dxa"/>
            <w:noWrap/>
            <w:vAlign w:val="center"/>
          </w:tcPr>
          <w:p w14:paraId="6A366599">
            <w:pPr>
              <w:spacing w:line="300" w:lineRule="exact"/>
              <w:jc w:val="center"/>
              <w:rPr>
                <w:rFonts w:ascii="宋体" w:hAnsi="宋体"/>
                <w:color w:val="auto"/>
                <w:szCs w:val="21"/>
              </w:rPr>
            </w:pPr>
          </w:p>
        </w:tc>
        <w:tc>
          <w:tcPr>
            <w:tcW w:w="1061" w:type="dxa"/>
            <w:noWrap/>
            <w:vAlign w:val="center"/>
          </w:tcPr>
          <w:p w14:paraId="0D4C993D">
            <w:pPr>
              <w:spacing w:line="300" w:lineRule="exact"/>
              <w:jc w:val="center"/>
              <w:rPr>
                <w:rFonts w:ascii="宋体" w:hAnsi="宋体"/>
                <w:color w:val="auto"/>
                <w:szCs w:val="21"/>
              </w:rPr>
            </w:pPr>
          </w:p>
        </w:tc>
        <w:tc>
          <w:tcPr>
            <w:tcW w:w="1061" w:type="dxa"/>
            <w:noWrap/>
            <w:vAlign w:val="center"/>
          </w:tcPr>
          <w:p w14:paraId="3329007E">
            <w:pPr>
              <w:spacing w:line="300" w:lineRule="exact"/>
              <w:jc w:val="center"/>
              <w:rPr>
                <w:rFonts w:ascii="宋体" w:hAnsi="宋体"/>
                <w:color w:val="auto"/>
                <w:szCs w:val="21"/>
              </w:rPr>
            </w:pPr>
          </w:p>
        </w:tc>
        <w:tc>
          <w:tcPr>
            <w:tcW w:w="1062" w:type="dxa"/>
            <w:noWrap/>
            <w:vAlign w:val="center"/>
          </w:tcPr>
          <w:p w14:paraId="6DC012EA">
            <w:pPr>
              <w:spacing w:line="300" w:lineRule="exact"/>
              <w:jc w:val="center"/>
              <w:rPr>
                <w:rFonts w:ascii="宋体" w:hAnsi="宋体"/>
                <w:color w:val="auto"/>
                <w:szCs w:val="21"/>
              </w:rPr>
            </w:pPr>
          </w:p>
        </w:tc>
      </w:tr>
      <w:tr w14:paraId="22B5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0C1F4289">
            <w:pPr>
              <w:spacing w:line="300" w:lineRule="exact"/>
              <w:jc w:val="center"/>
              <w:rPr>
                <w:rFonts w:ascii="宋体" w:hAnsi="宋体"/>
                <w:color w:val="auto"/>
              </w:rPr>
            </w:pPr>
            <w:r>
              <w:rPr>
                <w:rFonts w:hint="eastAsia" w:ascii="宋体" w:hAnsi="宋体"/>
                <w:color w:val="auto"/>
              </w:rPr>
              <w:t>N</w:t>
            </w:r>
          </w:p>
        </w:tc>
        <w:tc>
          <w:tcPr>
            <w:tcW w:w="1061" w:type="dxa"/>
            <w:noWrap/>
            <w:vAlign w:val="center"/>
          </w:tcPr>
          <w:p w14:paraId="19453377">
            <w:pPr>
              <w:spacing w:line="300" w:lineRule="exact"/>
              <w:jc w:val="center"/>
              <w:rPr>
                <w:rFonts w:ascii="宋体" w:hAnsi="宋体"/>
                <w:color w:val="auto"/>
                <w:szCs w:val="21"/>
              </w:rPr>
            </w:pPr>
          </w:p>
        </w:tc>
        <w:tc>
          <w:tcPr>
            <w:tcW w:w="1061" w:type="dxa"/>
            <w:noWrap/>
            <w:vAlign w:val="center"/>
          </w:tcPr>
          <w:p w14:paraId="130EE470">
            <w:pPr>
              <w:spacing w:line="300" w:lineRule="exact"/>
              <w:jc w:val="center"/>
              <w:rPr>
                <w:rFonts w:ascii="宋体" w:hAnsi="宋体"/>
                <w:color w:val="auto"/>
                <w:szCs w:val="21"/>
              </w:rPr>
            </w:pPr>
          </w:p>
        </w:tc>
        <w:tc>
          <w:tcPr>
            <w:tcW w:w="1062" w:type="dxa"/>
            <w:noWrap/>
            <w:vAlign w:val="center"/>
          </w:tcPr>
          <w:p w14:paraId="1D0E21B7">
            <w:pPr>
              <w:spacing w:line="300" w:lineRule="exact"/>
              <w:jc w:val="center"/>
              <w:rPr>
                <w:rFonts w:ascii="宋体" w:hAnsi="宋体"/>
                <w:color w:val="auto"/>
                <w:szCs w:val="21"/>
              </w:rPr>
            </w:pPr>
          </w:p>
        </w:tc>
        <w:tc>
          <w:tcPr>
            <w:tcW w:w="1061" w:type="dxa"/>
            <w:noWrap/>
            <w:vAlign w:val="center"/>
          </w:tcPr>
          <w:p w14:paraId="2306B874">
            <w:pPr>
              <w:spacing w:line="300" w:lineRule="exact"/>
              <w:jc w:val="center"/>
              <w:rPr>
                <w:rFonts w:ascii="宋体" w:hAnsi="宋体"/>
                <w:color w:val="auto"/>
                <w:szCs w:val="21"/>
              </w:rPr>
            </w:pPr>
          </w:p>
        </w:tc>
        <w:tc>
          <w:tcPr>
            <w:tcW w:w="1061" w:type="dxa"/>
            <w:noWrap/>
            <w:vAlign w:val="center"/>
          </w:tcPr>
          <w:p w14:paraId="573649A4">
            <w:pPr>
              <w:spacing w:line="300" w:lineRule="exact"/>
              <w:jc w:val="center"/>
              <w:rPr>
                <w:rFonts w:ascii="宋体" w:hAnsi="宋体"/>
                <w:color w:val="auto"/>
                <w:szCs w:val="21"/>
              </w:rPr>
            </w:pPr>
          </w:p>
        </w:tc>
        <w:tc>
          <w:tcPr>
            <w:tcW w:w="1062" w:type="dxa"/>
            <w:noWrap/>
            <w:vAlign w:val="center"/>
          </w:tcPr>
          <w:p w14:paraId="2770F74A">
            <w:pPr>
              <w:spacing w:line="300" w:lineRule="exact"/>
              <w:jc w:val="center"/>
              <w:rPr>
                <w:rFonts w:ascii="宋体" w:hAnsi="宋体"/>
                <w:color w:val="auto"/>
                <w:szCs w:val="21"/>
              </w:rPr>
            </w:pPr>
          </w:p>
        </w:tc>
        <w:tc>
          <w:tcPr>
            <w:tcW w:w="1061" w:type="dxa"/>
            <w:noWrap/>
            <w:vAlign w:val="center"/>
          </w:tcPr>
          <w:p w14:paraId="3B8615BA">
            <w:pPr>
              <w:spacing w:line="300" w:lineRule="exact"/>
              <w:jc w:val="center"/>
              <w:rPr>
                <w:rFonts w:ascii="宋体" w:hAnsi="宋体"/>
                <w:color w:val="auto"/>
                <w:szCs w:val="21"/>
              </w:rPr>
            </w:pPr>
          </w:p>
        </w:tc>
        <w:tc>
          <w:tcPr>
            <w:tcW w:w="1061" w:type="dxa"/>
            <w:noWrap/>
            <w:vAlign w:val="center"/>
          </w:tcPr>
          <w:p w14:paraId="7DAAE897">
            <w:pPr>
              <w:spacing w:line="300" w:lineRule="exact"/>
              <w:jc w:val="center"/>
              <w:rPr>
                <w:rFonts w:ascii="宋体" w:hAnsi="宋体"/>
                <w:color w:val="auto"/>
                <w:szCs w:val="21"/>
              </w:rPr>
            </w:pPr>
          </w:p>
        </w:tc>
        <w:tc>
          <w:tcPr>
            <w:tcW w:w="1062" w:type="dxa"/>
            <w:noWrap/>
            <w:vAlign w:val="center"/>
          </w:tcPr>
          <w:p w14:paraId="42FC9937">
            <w:pPr>
              <w:spacing w:line="300" w:lineRule="exact"/>
              <w:jc w:val="center"/>
              <w:rPr>
                <w:rFonts w:ascii="宋体" w:hAnsi="宋体"/>
                <w:color w:val="auto"/>
                <w:szCs w:val="21"/>
              </w:rPr>
            </w:pPr>
          </w:p>
        </w:tc>
      </w:tr>
    </w:tbl>
    <w:p w14:paraId="185A5C89">
      <w:pPr>
        <w:spacing w:line="400" w:lineRule="exact"/>
        <w:rPr>
          <w:color w:val="auto"/>
        </w:rPr>
      </w:pPr>
    </w:p>
    <w:p w14:paraId="2BEF71F9">
      <w:pPr>
        <w:spacing w:line="400" w:lineRule="exact"/>
        <w:rPr>
          <w:color w:val="auto"/>
        </w:rPr>
      </w:pPr>
      <w:r>
        <w:rPr>
          <w:color w:val="auto"/>
        </w:rPr>
        <w:t>附表二：拟配备本工程的试验和检测仪器设备表</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4779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7FFDA36A">
            <w:pPr>
              <w:spacing w:line="300" w:lineRule="exact"/>
              <w:jc w:val="center"/>
              <w:rPr>
                <w:rFonts w:ascii="宋体" w:hAnsi="宋体"/>
                <w:color w:val="auto"/>
                <w:szCs w:val="21"/>
              </w:rPr>
            </w:pPr>
            <w:r>
              <w:rPr>
                <w:rFonts w:ascii="宋体" w:hAnsi="宋体"/>
                <w:color w:val="auto"/>
                <w:szCs w:val="21"/>
              </w:rPr>
              <w:t>序号</w:t>
            </w:r>
          </w:p>
        </w:tc>
        <w:tc>
          <w:tcPr>
            <w:tcW w:w="1216" w:type="dxa"/>
            <w:noWrap/>
            <w:vAlign w:val="center"/>
          </w:tcPr>
          <w:p w14:paraId="3CDFE951">
            <w:pPr>
              <w:spacing w:line="300" w:lineRule="exact"/>
              <w:jc w:val="center"/>
              <w:rPr>
                <w:rFonts w:ascii="宋体" w:hAnsi="宋体"/>
                <w:color w:val="auto"/>
                <w:szCs w:val="21"/>
              </w:rPr>
            </w:pPr>
            <w:r>
              <w:rPr>
                <w:rFonts w:ascii="宋体" w:hAnsi="宋体"/>
                <w:color w:val="auto"/>
                <w:szCs w:val="21"/>
              </w:rPr>
              <w:t>仪器设备</w:t>
            </w:r>
          </w:p>
          <w:p w14:paraId="55873BF0">
            <w:pPr>
              <w:spacing w:line="300" w:lineRule="exact"/>
              <w:jc w:val="center"/>
              <w:rPr>
                <w:rFonts w:ascii="宋体" w:hAnsi="宋体"/>
                <w:color w:val="auto"/>
                <w:szCs w:val="21"/>
              </w:rPr>
            </w:pPr>
            <w:r>
              <w:rPr>
                <w:rFonts w:ascii="宋体" w:hAnsi="宋体"/>
                <w:color w:val="auto"/>
                <w:szCs w:val="21"/>
              </w:rPr>
              <w:t>名称</w:t>
            </w:r>
          </w:p>
        </w:tc>
        <w:tc>
          <w:tcPr>
            <w:tcW w:w="1216" w:type="dxa"/>
            <w:noWrap/>
            <w:vAlign w:val="center"/>
          </w:tcPr>
          <w:p w14:paraId="65F62F08">
            <w:pPr>
              <w:spacing w:line="300" w:lineRule="exact"/>
              <w:jc w:val="center"/>
              <w:rPr>
                <w:rFonts w:ascii="宋体" w:hAnsi="宋体"/>
                <w:color w:val="auto"/>
                <w:szCs w:val="21"/>
              </w:rPr>
            </w:pPr>
            <w:r>
              <w:rPr>
                <w:rFonts w:ascii="宋体" w:hAnsi="宋体"/>
                <w:color w:val="auto"/>
                <w:szCs w:val="21"/>
              </w:rPr>
              <w:t>型号</w:t>
            </w:r>
          </w:p>
          <w:p w14:paraId="16500B86">
            <w:pPr>
              <w:spacing w:line="300" w:lineRule="exact"/>
              <w:jc w:val="center"/>
              <w:rPr>
                <w:rFonts w:ascii="宋体" w:hAnsi="宋体"/>
                <w:color w:val="auto"/>
                <w:szCs w:val="21"/>
              </w:rPr>
            </w:pPr>
            <w:r>
              <w:rPr>
                <w:rFonts w:ascii="宋体" w:hAnsi="宋体"/>
                <w:color w:val="auto"/>
                <w:szCs w:val="21"/>
              </w:rPr>
              <w:t>规格</w:t>
            </w:r>
          </w:p>
        </w:tc>
        <w:tc>
          <w:tcPr>
            <w:tcW w:w="1216" w:type="dxa"/>
            <w:noWrap/>
            <w:vAlign w:val="center"/>
          </w:tcPr>
          <w:p w14:paraId="0FC1D7BE">
            <w:pPr>
              <w:spacing w:line="300" w:lineRule="exact"/>
              <w:jc w:val="center"/>
              <w:rPr>
                <w:rFonts w:ascii="宋体" w:hAnsi="宋体"/>
                <w:color w:val="auto"/>
                <w:szCs w:val="21"/>
              </w:rPr>
            </w:pPr>
            <w:r>
              <w:rPr>
                <w:rFonts w:ascii="宋体" w:hAnsi="宋体"/>
                <w:color w:val="auto"/>
                <w:szCs w:val="21"/>
              </w:rPr>
              <w:t>数量</w:t>
            </w:r>
          </w:p>
        </w:tc>
        <w:tc>
          <w:tcPr>
            <w:tcW w:w="1216" w:type="dxa"/>
            <w:noWrap/>
            <w:vAlign w:val="center"/>
          </w:tcPr>
          <w:p w14:paraId="68B6146A">
            <w:pPr>
              <w:spacing w:line="300" w:lineRule="exact"/>
              <w:jc w:val="center"/>
              <w:rPr>
                <w:rFonts w:ascii="宋体" w:hAnsi="宋体"/>
                <w:color w:val="auto"/>
                <w:szCs w:val="21"/>
              </w:rPr>
            </w:pPr>
            <w:r>
              <w:rPr>
                <w:rFonts w:ascii="宋体" w:hAnsi="宋体"/>
                <w:color w:val="auto"/>
                <w:szCs w:val="21"/>
              </w:rPr>
              <w:t>国别</w:t>
            </w:r>
          </w:p>
          <w:p w14:paraId="59AF8C47">
            <w:pPr>
              <w:spacing w:line="300" w:lineRule="exact"/>
              <w:jc w:val="center"/>
              <w:rPr>
                <w:rFonts w:ascii="宋体" w:hAnsi="宋体"/>
                <w:color w:val="auto"/>
                <w:szCs w:val="21"/>
              </w:rPr>
            </w:pPr>
            <w:r>
              <w:rPr>
                <w:rFonts w:ascii="宋体" w:hAnsi="宋体"/>
                <w:color w:val="auto"/>
                <w:szCs w:val="21"/>
              </w:rPr>
              <w:t>产地</w:t>
            </w:r>
          </w:p>
        </w:tc>
        <w:tc>
          <w:tcPr>
            <w:tcW w:w="1216" w:type="dxa"/>
            <w:noWrap/>
            <w:vAlign w:val="center"/>
          </w:tcPr>
          <w:p w14:paraId="10E63EB6">
            <w:pPr>
              <w:spacing w:line="300" w:lineRule="exact"/>
              <w:jc w:val="center"/>
              <w:rPr>
                <w:rFonts w:ascii="宋体" w:hAnsi="宋体"/>
                <w:color w:val="auto"/>
                <w:szCs w:val="21"/>
              </w:rPr>
            </w:pPr>
            <w:r>
              <w:rPr>
                <w:rFonts w:ascii="宋体" w:hAnsi="宋体"/>
                <w:color w:val="auto"/>
                <w:szCs w:val="21"/>
              </w:rPr>
              <w:t>制造年份</w:t>
            </w:r>
          </w:p>
        </w:tc>
        <w:tc>
          <w:tcPr>
            <w:tcW w:w="1216" w:type="dxa"/>
            <w:noWrap/>
            <w:vAlign w:val="center"/>
          </w:tcPr>
          <w:p w14:paraId="54C4FD72">
            <w:pPr>
              <w:spacing w:line="300" w:lineRule="exact"/>
              <w:jc w:val="center"/>
              <w:rPr>
                <w:rFonts w:ascii="宋体" w:hAnsi="宋体"/>
                <w:color w:val="auto"/>
                <w:szCs w:val="21"/>
              </w:rPr>
            </w:pPr>
            <w:r>
              <w:rPr>
                <w:rFonts w:hint="eastAsia" w:ascii="宋体" w:hAnsi="宋体"/>
                <w:color w:val="auto"/>
                <w:szCs w:val="21"/>
              </w:rPr>
              <w:t>已</w:t>
            </w:r>
            <w:r>
              <w:rPr>
                <w:rFonts w:ascii="宋体" w:hAnsi="宋体"/>
                <w:color w:val="auto"/>
                <w:szCs w:val="21"/>
              </w:rPr>
              <w:t>使用</w:t>
            </w:r>
          </w:p>
          <w:p w14:paraId="17BB412F">
            <w:pPr>
              <w:spacing w:line="300" w:lineRule="exact"/>
              <w:jc w:val="center"/>
              <w:rPr>
                <w:rFonts w:ascii="宋体" w:hAnsi="宋体"/>
                <w:color w:val="auto"/>
                <w:szCs w:val="21"/>
              </w:rPr>
            </w:pPr>
            <w:r>
              <w:rPr>
                <w:rFonts w:ascii="宋体" w:hAnsi="宋体"/>
                <w:color w:val="auto"/>
                <w:szCs w:val="21"/>
              </w:rPr>
              <w:t>台时数</w:t>
            </w:r>
          </w:p>
        </w:tc>
        <w:tc>
          <w:tcPr>
            <w:tcW w:w="1216" w:type="dxa"/>
            <w:noWrap/>
            <w:vAlign w:val="center"/>
          </w:tcPr>
          <w:p w14:paraId="5888C5D2">
            <w:pPr>
              <w:spacing w:line="300" w:lineRule="exact"/>
              <w:jc w:val="center"/>
              <w:rPr>
                <w:rFonts w:ascii="宋体" w:hAnsi="宋体"/>
                <w:color w:val="auto"/>
                <w:szCs w:val="21"/>
              </w:rPr>
            </w:pPr>
            <w:r>
              <w:rPr>
                <w:rFonts w:ascii="宋体" w:hAnsi="宋体"/>
                <w:color w:val="auto"/>
                <w:szCs w:val="21"/>
              </w:rPr>
              <w:t>用途</w:t>
            </w:r>
          </w:p>
        </w:tc>
        <w:tc>
          <w:tcPr>
            <w:tcW w:w="1216" w:type="dxa"/>
            <w:noWrap/>
            <w:vAlign w:val="center"/>
          </w:tcPr>
          <w:p w14:paraId="11ACE355">
            <w:pPr>
              <w:spacing w:line="300" w:lineRule="exact"/>
              <w:jc w:val="center"/>
              <w:rPr>
                <w:rFonts w:ascii="宋体" w:hAnsi="宋体"/>
                <w:color w:val="auto"/>
                <w:szCs w:val="21"/>
              </w:rPr>
            </w:pPr>
            <w:r>
              <w:rPr>
                <w:rFonts w:ascii="宋体" w:hAnsi="宋体"/>
                <w:color w:val="auto"/>
                <w:szCs w:val="21"/>
              </w:rPr>
              <w:t>备注</w:t>
            </w:r>
          </w:p>
        </w:tc>
      </w:tr>
      <w:tr w14:paraId="5CE0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15C9AC84">
            <w:pPr>
              <w:spacing w:line="300" w:lineRule="exact"/>
              <w:jc w:val="center"/>
              <w:rPr>
                <w:rFonts w:ascii="宋体" w:hAnsi="宋体"/>
                <w:color w:val="auto"/>
              </w:rPr>
            </w:pPr>
            <w:r>
              <w:rPr>
                <w:rFonts w:hint="eastAsia" w:ascii="宋体" w:hAnsi="宋体"/>
                <w:color w:val="auto"/>
              </w:rPr>
              <w:t>……</w:t>
            </w:r>
          </w:p>
        </w:tc>
        <w:tc>
          <w:tcPr>
            <w:tcW w:w="1216" w:type="dxa"/>
            <w:noWrap/>
            <w:vAlign w:val="center"/>
          </w:tcPr>
          <w:p w14:paraId="2A186000">
            <w:pPr>
              <w:spacing w:line="300" w:lineRule="exact"/>
              <w:ind w:firstLine="420" w:firstLineChars="200"/>
              <w:rPr>
                <w:rFonts w:ascii="宋体" w:hAnsi="宋体"/>
                <w:color w:val="auto"/>
                <w:szCs w:val="21"/>
              </w:rPr>
            </w:pPr>
          </w:p>
        </w:tc>
        <w:tc>
          <w:tcPr>
            <w:tcW w:w="1216" w:type="dxa"/>
            <w:noWrap/>
            <w:vAlign w:val="center"/>
          </w:tcPr>
          <w:p w14:paraId="5B393844">
            <w:pPr>
              <w:spacing w:line="300" w:lineRule="exact"/>
              <w:ind w:firstLine="420" w:firstLineChars="200"/>
              <w:rPr>
                <w:rFonts w:ascii="宋体" w:hAnsi="宋体"/>
                <w:color w:val="auto"/>
                <w:szCs w:val="21"/>
              </w:rPr>
            </w:pPr>
          </w:p>
        </w:tc>
        <w:tc>
          <w:tcPr>
            <w:tcW w:w="1216" w:type="dxa"/>
            <w:noWrap/>
            <w:vAlign w:val="center"/>
          </w:tcPr>
          <w:p w14:paraId="1682D332">
            <w:pPr>
              <w:spacing w:line="300" w:lineRule="exact"/>
              <w:ind w:firstLine="420" w:firstLineChars="200"/>
              <w:rPr>
                <w:rFonts w:ascii="宋体" w:hAnsi="宋体"/>
                <w:color w:val="auto"/>
                <w:szCs w:val="21"/>
              </w:rPr>
            </w:pPr>
          </w:p>
        </w:tc>
        <w:tc>
          <w:tcPr>
            <w:tcW w:w="1216" w:type="dxa"/>
            <w:noWrap/>
            <w:vAlign w:val="center"/>
          </w:tcPr>
          <w:p w14:paraId="6EE5D30E">
            <w:pPr>
              <w:spacing w:line="300" w:lineRule="exact"/>
              <w:ind w:firstLine="420" w:firstLineChars="200"/>
              <w:rPr>
                <w:rFonts w:ascii="宋体" w:hAnsi="宋体"/>
                <w:color w:val="auto"/>
                <w:szCs w:val="21"/>
              </w:rPr>
            </w:pPr>
          </w:p>
        </w:tc>
        <w:tc>
          <w:tcPr>
            <w:tcW w:w="1216" w:type="dxa"/>
            <w:noWrap/>
            <w:vAlign w:val="center"/>
          </w:tcPr>
          <w:p w14:paraId="359FFAD0">
            <w:pPr>
              <w:spacing w:line="300" w:lineRule="exact"/>
              <w:ind w:firstLine="420" w:firstLineChars="200"/>
              <w:rPr>
                <w:rFonts w:ascii="宋体" w:hAnsi="宋体"/>
                <w:color w:val="auto"/>
                <w:szCs w:val="21"/>
              </w:rPr>
            </w:pPr>
          </w:p>
        </w:tc>
        <w:tc>
          <w:tcPr>
            <w:tcW w:w="1216" w:type="dxa"/>
            <w:noWrap/>
            <w:vAlign w:val="center"/>
          </w:tcPr>
          <w:p w14:paraId="7DA4CCAE">
            <w:pPr>
              <w:spacing w:line="300" w:lineRule="exact"/>
              <w:ind w:firstLine="420" w:firstLineChars="200"/>
              <w:rPr>
                <w:rFonts w:ascii="宋体" w:hAnsi="宋体"/>
                <w:color w:val="auto"/>
                <w:szCs w:val="21"/>
              </w:rPr>
            </w:pPr>
          </w:p>
        </w:tc>
        <w:tc>
          <w:tcPr>
            <w:tcW w:w="1216" w:type="dxa"/>
            <w:noWrap/>
            <w:vAlign w:val="center"/>
          </w:tcPr>
          <w:p w14:paraId="22A5EA00">
            <w:pPr>
              <w:spacing w:line="300" w:lineRule="exact"/>
              <w:ind w:firstLine="420" w:firstLineChars="200"/>
              <w:rPr>
                <w:rFonts w:ascii="宋体" w:hAnsi="宋体"/>
                <w:color w:val="auto"/>
                <w:szCs w:val="21"/>
              </w:rPr>
            </w:pPr>
          </w:p>
        </w:tc>
        <w:tc>
          <w:tcPr>
            <w:tcW w:w="1216" w:type="dxa"/>
            <w:noWrap/>
          </w:tcPr>
          <w:p w14:paraId="76701A42">
            <w:pPr>
              <w:spacing w:line="300" w:lineRule="exact"/>
              <w:ind w:firstLine="420" w:firstLineChars="200"/>
              <w:rPr>
                <w:rFonts w:ascii="宋体" w:hAnsi="宋体"/>
                <w:color w:val="auto"/>
                <w:szCs w:val="21"/>
              </w:rPr>
            </w:pPr>
          </w:p>
        </w:tc>
      </w:tr>
      <w:tr w14:paraId="4938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083C3AC0">
            <w:pPr>
              <w:spacing w:line="300" w:lineRule="exact"/>
              <w:jc w:val="center"/>
              <w:rPr>
                <w:rFonts w:ascii="宋体" w:hAnsi="宋体"/>
                <w:color w:val="auto"/>
              </w:rPr>
            </w:pPr>
            <w:r>
              <w:rPr>
                <w:rFonts w:hint="eastAsia" w:ascii="宋体" w:hAnsi="宋体"/>
                <w:color w:val="auto"/>
              </w:rPr>
              <w:t>N</w:t>
            </w:r>
          </w:p>
        </w:tc>
        <w:tc>
          <w:tcPr>
            <w:tcW w:w="1216" w:type="dxa"/>
            <w:noWrap/>
            <w:vAlign w:val="center"/>
          </w:tcPr>
          <w:p w14:paraId="75C9047C">
            <w:pPr>
              <w:spacing w:line="300" w:lineRule="exact"/>
              <w:ind w:firstLine="420" w:firstLineChars="200"/>
              <w:rPr>
                <w:rFonts w:ascii="宋体" w:hAnsi="宋体"/>
                <w:color w:val="auto"/>
                <w:szCs w:val="21"/>
              </w:rPr>
            </w:pPr>
          </w:p>
        </w:tc>
        <w:tc>
          <w:tcPr>
            <w:tcW w:w="1216" w:type="dxa"/>
            <w:noWrap/>
            <w:vAlign w:val="center"/>
          </w:tcPr>
          <w:p w14:paraId="6DAB2C56">
            <w:pPr>
              <w:spacing w:line="300" w:lineRule="exact"/>
              <w:ind w:firstLine="420" w:firstLineChars="200"/>
              <w:rPr>
                <w:rFonts w:ascii="宋体" w:hAnsi="宋体"/>
                <w:color w:val="auto"/>
                <w:szCs w:val="21"/>
              </w:rPr>
            </w:pPr>
          </w:p>
        </w:tc>
        <w:tc>
          <w:tcPr>
            <w:tcW w:w="1216" w:type="dxa"/>
            <w:noWrap/>
            <w:vAlign w:val="center"/>
          </w:tcPr>
          <w:p w14:paraId="06AD2312">
            <w:pPr>
              <w:spacing w:line="300" w:lineRule="exact"/>
              <w:ind w:firstLine="420" w:firstLineChars="200"/>
              <w:rPr>
                <w:rFonts w:ascii="宋体" w:hAnsi="宋体"/>
                <w:color w:val="auto"/>
                <w:szCs w:val="21"/>
              </w:rPr>
            </w:pPr>
          </w:p>
        </w:tc>
        <w:tc>
          <w:tcPr>
            <w:tcW w:w="1216" w:type="dxa"/>
            <w:noWrap/>
            <w:vAlign w:val="center"/>
          </w:tcPr>
          <w:p w14:paraId="4F175E6E">
            <w:pPr>
              <w:spacing w:line="300" w:lineRule="exact"/>
              <w:ind w:firstLine="420" w:firstLineChars="200"/>
              <w:rPr>
                <w:rFonts w:ascii="宋体" w:hAnsi="宋体"/>
                <w:color w:val="auto"/>
                <w:szCs w:val="21"/>
              </w:rPr>
            </w:pPr>
          </w:p>
        </w:tc>
        <w:tc>
          <w:tcPr>
            <w:tcW w:w="1216" w:type="dxa"/>
            <w:noWrap/>
            <w:vAlign w:val="center"/>
          </w:tcPr>
          <w:p w14:paraId="71C1AE7B">
            <w:pPr>
              <w:spacing w:line="300" w:lineRule="exact"/>
              <w:ind w:firstLine="420" w:firstLineChars="200"/>
              <w:rPr>
                <w:rFonts w:ascii="宋体" w:hAnsi="宋体"/>
                <w:color w:val="auto"/>
                <w:szCs w:val="21"/>
              </w:rPr>
            </w:pPr>
          </w:p>
        </w:tc>
        <w:tc>
          <w:tcPr>
            <w:tcW w:w="1216" w:type="dxa"/>
            <w:noWrap/>
            <w:vAlign w:val="center"/>
          </w:tcPr>
          <w:p w14:paraId="6F4B09E7">
            <w:pPr>
              <w:spacing w:line="300" w:lineRule="exact"/>
              <w:ind w:firstLine="420" w:firstLineChars="200"/>
              <w:rPr>
                <w:rFonts w:ascii="宋体" w:hAnsi="宋体"/>
                <w:color w:val="auto"/>
                <w:szCs w:val="21"/>
              </w:rPr>
            </w:pPr>
          </w:p>
        </w:tc>
        <w:tc>
          <w:tcPr>
            <w:tcW w:w="1216" w:type="dxa"/>
            <w:noWrap/>
            <w:vAlign w:val="center"/>
          </w:tcPr>
          <w:p w14:paraId="3DA62E36">
            <w:pPr>
              <w:spacing w:line="300" w:lineRule="exact"/>
              <w:ind w:firstLine="420" w:firstLineChars="200"/>
              <w:rPr>
                <w:rFonts w:ascii="宋体" w:hAnsi="宋体"/>
                <w:color w:val="auto"/>
                <w:szCs w:val="21"/>
              </w:rPr>
            </w:pPr>
          </w:p>
        </w:tc>
        <w:tc>
          <w:tcPr>
            <w:tcW w:w="1216" w:type="dxa"/>
            <w:noWrap/>
          </w:tcPr>
          <w:p w14:paraId="2C86311F">
            <w:pPr>
              <w:spacing w:line="300" w:lineRule="exact"/>
              <w:ind w:firstLine="420" w:firstLineChars="200"/>
              <w:rPr>
                <w:rFonts w:ascii="宋体" w:hAnsi="宋体"/>
                <w:color w:val="auto"/>
                <w:szCs w:val="21"/>
              </w:rPr>
            </w:pPr>
          </w:p>
        </w:tc>
      </w:tr>
    </w:tbl>
    <w:p w14:paraId="53978F7E">
      <w:pPr>
        <w:spacing w:line="400" w:lineRule="exact"/>
        <w:rPr>
          <w:color w:val="auto"/>
        </w:rPr>
      </w:pPr>
    </w:p>
    <w:p w14:paraId="3D5CFCC3">
      <w:pPr>
        <w:spacing w:line="400" w:lineRule="exact"/>
        <w:rPr>
          <w:color w:val="auto"/>
          <w:szCs w:val="21"/>
        </w:rPr>
      </w:pPr>
      <w:r>
        <w:rPr>
          <w:color w:val="auto"/>
        </w:rPr>
        <w:t>附表三：劳动力计划表</w:t>
      </w:r>
    </w:p>
    <w:p w14:paraId="15571C27">
      <w:pPr>
        <w:spacing w:line="400" w:lineRule="exact"/>
        <w:ind w:firstLine="7245" w:firstLineChars="3450"/>
        <w:rPr>
          <w:color w:val="auto"/>
          <w:szCs w:val="21"/>
        </w:rPr>
      </w:pPr>
      <w:r>
        <w:rPr>
          <w:color w:val="auto"/>
          <w:szCs w:val="21"/>
        </w:rPr>
        <w:t xml:space="preserve">    单位：人</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265B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0C412BF">
            <w:pPr>
              <w:spacing w:line="300" w:lineRule="exact"/>
              <w:jc w:val="center"/>
              <w:rPr>
                <w:rFonts w:ascii="宋体" w:hAnsi="宋体"/>
                <w:color w:val="auto"/>
                <w:szCs w:val="21"/>
              </w:rPr>
            </w:pPr>
            <w:r>
              <w:rPr>
                <w:rFonts w:ascii="宋体" w:hAnsi="宋体"/>
                <w:color w:val="auto"/>
                <w:szCs w:val="21"/>
              </w:rPr>
              <w:t>工种</w:t>
            </w:r>
          </w:p>
        </w:tc>
        <w:tc>
          <w:tcPr>
            <w:tcW w:w="9515" w:type="dxa"/>
            <w:gridSpan w:val="7"/>
            <w:noWrap/>
            <w:vAlign w:val="center"/>
          </w:tcPr>
          <w:p w14:paraId="7983C0AC">
            <w:pPr>
              <w:spacing w:line="300" w:lineRule="exact"/>
              <w:jc w:val="center"/>
              <w:rPr>
                <w:rFonts w:ascii="宋体" w:hAnsi="宋体"/>
                <w:color w:val="auto"/>
                <w:szCs w:val="21"/>
              </w:rPr>
            </w:pPr>
            <w:r>
              <w:rPr>
                <w:rFonts w:ascii="宋体" w:hAnsi="宋体"/>
                <w:color w:val="auto"/>
                <w:szCs w:val="21"/>
              </w:rPr>
              <w:t>按工程施工阶段投入劳动力情况</w:t>
            </w:r>
          </w:p>
        </w:tc>
      </w:tr>
      <w:tr w14:paraId="4940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6263DBEF">
            <w:pPr>
              <w:spacing w:line="300" w:lineRule="exact"/>
              <w:jc w:val="center"/>
              <w:rPr>
                <w:rFonts w:ascii="宋体" w:hAnsi="宋体"/>
                <w:color w:val="auto"/>
              </w:rPr>
            </w:pPr>
            <w:r>
              <w:rPr>
                <w:rFonts w:hint="eastAsia" w:ascii="宋体" w:hAnsi="宋体"/>
                <w:color w:val="auto"/>
              </w:rPr>
              <w:t>……</w:t>
            </w:r>
          </w:p>
        </w:tc>
        <w:tc>
          <w:tcPr>
            <w:tcW w:w="961" w:type="dxa"/>
            <w:noWrap/>
            <w:vAlign w:val="center"/>
          </w:tcPr>
          <w:p w14:paraId="44BECD08">
            <w:pPr>
              <w:spacing w:line="300" w:lineRule="exact"/>
              <w:rPr>
                <w:rFonts w:ascii="宋体" w:hAnsi="宋体"/>
                <w:color w:val="auto"/>
                <w:szCs w:val="21"/>
              </w:rPr>
            </w:pPr>
          </w:p>
        </w:tc>
        <w:tc>
          <w:tcPr>
            <w:tcW w:w="1257" w:type="dxa"/>
            <w:noWrap/>
            <w:vAlign w:val="center"/>
          </w:tcPr>
          <w:p w14:paraId="5518475E">
            <w:pPr>
              <w:spacing w:line="300" w:lineRule="exact"/>
              <w:rPr>
                <w:rFonts w:ascii="宋体" w:hAnsi="宋体"/>
                <w:color w:val="auto"/>
                <w:szCs w:val="21"/>
              </w:rPr>
            </w:pPr>
          </w:p>
        </w:tc>
        <w:tc>
          <w:tcPr>
            <w:tcW w:w="1258" w:type="dxa"/>
            <w:noWrap/>
            <w:vAlign w:val="center"/>
          </w:tcPr>
          <w:p w14:paraId="736729C2">
            <w:pPr>
              <w:spacing w:line="300" w:lineRule="exact"/>
              <w:rPr>
                <w:rFonts w:ascii="宋体" w:hAnsi="宋体"/>
                <w:color w:val="auto"/>
                <w:szCs w:val="21"/>
              </w:rPr>
            </w:pPr>
          </w:p>
        </w:tc>
        <w:tc>
          <w:tcPr>
            <w:tcW w:w="1257" w:type="dxa"/>
            <w:noWrap/>
            <w:vAlign w:val="center"/>
          </w:tcPr>
          <w:p w14:paraId="43DC5F00">
            <w:pPr>
              <w:spacing w:line="300" w:lineRule="exact"/>
              <w:rPr>
                <w:rFonts w:ascii="宋体" w:hAnsi="宋体"/>
                <w:color w:val="auto"/>
                <w:szCs w:val="21"/>
              </w:rPr>
            </w:pPr>
          </w:p>
        </w:tc>
        <w:tc>
          <w:tcPr>
            <w:tcW w:w="1258" w:type="dxa"/>
            <w:noWrap/>
            <w:vAlign w:val="center"/>
          </w:tcPr>
          <w:p w14:paraId="1D3A220E">
            <w:pPr>
              <w:spacing w:line="300" w:lineRule="exact"/>
              <w:rPr>
                <w:rFonts w:ascii="宋体" w:hAnsi="宋体"/>
                <w:color w:val="auto"/>
                <w:szCs w:val="21"/>
              </w:rPr>
            </w:pPr>
          </w:p>
        </w:tc>
        <w:tc>
          <w:tcPr>
            <w:tcW w:w="1257" w:type="dxa"/>
            <w:noWrap/>
            <w:vAlign w:val="center"/>
          </w:tcPr>
          <w:p w14:paraId="5A0C7EA6">
            <w:pPr>
              <w:spacing w:line="300" w:lineRule="exact"/>
              <w:rPr>
                <w:rFonts w:ascii="宋体" w:hAnsi="宋体"/>
                <w:color w:val="auto"/>
                <w:szCs w:val="21"/>
              </w:rPr>
            </w:pPr>
          </w:p>
        </w:tc>
        <w:tc>
          <w:tcPr>
            <w:tcW w:w="2267" w:type="dxa"/>
            <w:noWrap/>
            <w:vAlign w:val="center"/>
          </w:tcPr>
          <w:p w14:paraId="47341147">
            <w:pPr>
              <w:spacing w:line="300" w:lineRule="exact"/>
              <w:rPr>
                <w:rFonts w:ascii="宋体" w:hAnsi="宋体"/>
                <w:color w:val="auto"/>
                <w:szCs w:val="21"/>
              </w:rPr>
            </w:pPr>
          </w:p>
        </w:tc>
      </w:tr>
      <w:tr w14:paraId="5F55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3F3BA48A">
            <w:pPr>
              <w:spacing w:line="300" w:lineRule="exact"/>
              <w:jc w:val="center"/>
              <w:rPr>
                <w:rFonts w:ascii="宋体" w:hAnsi="宋体"/>
                <w:color w:val="auto"/>
              </w:rPr>
            </w:pPr>
            <w:r>
              <w:rPr>
                <w:rFonts w:hint="eastAsia" w:ascii="宋体" w:hAnsi="宋体"/>
                <w:color w:val="auto"/>
              </w:rPr>
              <w:t>N</w:t>
            </w:r>
          </w:p>
        </w:tc>
        <w:tc>
          <w:tcPr>
            <w:tcW w:w="961" w:type="dxa"/>
            <w:noWrap/>
            <w:vAlign w:val="center"/>
          </w:tcPr>
          <w:p w14:paraId="4D4C88C4">
            <w:pPr>
              <w:spacing w:line="300" w:lineRule="exact"/>
              <w:rPr>
                <w:rFonts w:ascii="宋体" w:hAnsi="宋体"/>
                <w:color w:val="auto"/>
                <w:szCs w:val="21"/>
              </w:rPr>
            </w:pPr>
          </w:p>
        </w:tc>
        <w:tc>
          <w:tcPr>
            <w:tcW w:w="1257" w:type="dxa"/>
            <w:noWrap/>
            <w:vAlign w:val="center"/>
          </w:tcPr>
          <w:p w14:paraId="6200511C">
            <w:pPr>
              <w:spacing w:line="300" w:lineRule="exact"/>
              <w:rPr>
                <w:rFonts w:ascii="宋体" w:hAnsi="宋体"/>
                <w:color w:val="auto"/>
                <w:szCs w:val="21"/>
              </w:rPr>
            </w:pPr>
          </w:p>
        </w:tc>
        <w:tc>
          <w:tcPr>
            <w:tcW w:w="1258" w:type="dxa"/>
            <w:noWrap/>
            <w:vAlign w:val="center"/>
          </w:tcPr>
          <w:p w14:paraId="5CB9997D">
            <w:pPr>
              <w:spacing w:line="300" w:lineRule="exact"/>
              <w:rPr>
                <w:rFonts w:ascii="宋体" w:hAnsi="宋体"/>
                <w:color w:val="auto"/>
                <w:szCs w:val="21"/>
              </w:rPr>
            </w:pPr>
          </w:p>
        </w:tc>
        <w:tc>
          <w:tcPr>
            <w:tcW w:w="1257" w:type="dxa"/>
            <w:noWrap/>
            <w:vAlign w:val="center"/>
          </w:tcPr>
          <w:p w14:paraId="32F782D8">
            <w:pPr>
              <w:spacing w:line="300" w:lineRule="exact"/>
              <w:rPr>
                <w:rFonts w:ascii="宋体" w:hAnsi="宋体"/>
                <w:color w:val="auto"/>
                <w:szCs w:val="21"/>
              </w:rPr>
            </w:pPr>
          </w:p>
        </w:tc>
        <w:tc>
          <w:tcPr>
            <w:tcW w:w="1258" w:type="dxa"/>
            <w:noWrap/>
            <w:vAlign w:val="center"/>
          </w:tcPr>
          <w:p w14:paraId="41107D75">
            <w:pPr>
              <w:spacing w:line="300" w:lineRule="exact"/>
              <w:rPr>
                <w:rFonts w:ascii="宋体" w:hAnsi="宋体"/>
                <w:color w:val="auto"/>
                <w:szCs w:val="21"/>
              </w:rPr>
            </w:pPr>
          </w:p>
        </w:tc>
        <w:tc>
          <w:tcPr>
            <w:tcW w:w="1257" w:type="dxa"/>
            <w:noWrap/>
            <w:vAlign w:val="center"/>
          </w:tcPr>
          <w:p w14:paraId="73DD076C">
            <w:pPr>
              <w:spacing w:line="300" w:lineRule="exact"/>
              <w:rPr>
                <w:rFonts w:ascii="宋体" w:hAnsi="宋体"/>
                <w:color w:val="auto"/>
                <w:szCs w:val="21"/>
              </w:rPr>
            </w:pPr>
          </w:p>
        </w:tc>
        <w:tc>
          <w:tcPr>
            <w:tcW w:w="2267" w:type="dxa"/>
            <w:noWrap/>
            <w:vAlign w:val="center"/>
          </w:tcPr>
          <w:p w14:paraId="396D097E">
            <w:pPr>
              <w:spacing w:line="300" w:lineRule="exact"/>
              <w:rPr>
                <w:rFonts w:ascii="宋体" w:hAnsi="宋体"/>
                <w:color w:val="auto"/>
                <w:szCs w:val="21"/>
              </w:rPr>
            </w:pPr>
          </w:p>
        </w:tc>
      </w:tr>
    </w:tbl>
    <w:p w14:paraId="26885AA0">
      <w:pPr>
        <w:spacing w:line="400" w:lineRule="exact"/>
        <w:rPr>
          <w:rFonts w:ascii="宋体" w:hAnsi="宋体"/>
          <w:color w:val="auto"/>
        </w:rPr>
      </w:pPr>
    </w:p>
    <w:p w14:paraId="225E6D82">
      <w:pPr>
        <w:spacing w:line="400" w:lineRule="exact"/>
        <w:rPr>
          <w:rFonts w:ascii="宋体" w:hAnsi="宋体"/>
          <w:color w:val="auto"/>
        </w:rPr>
      </w:pPr>
      <w:r>
        <w:rPr>
          <w:rFonts w:ascii="宋体" w:hAnsi="宋体"/>
          <w:color w:val="auto"/>
        </w:rPr>
        <w:t>附表四：计划开、竣工日期和施工进度网络图</w:t>
      </w:r>
    </w:p>
    <w:p w14:paraId="03687A96">
      <w:pPr>
        <w:spacing w:line="400" w:lineRule="exact"/>
        <w:rPr>
          <w:rFonts w:ascii="宋体" w:hAnsi="宋体"/>
          <w:color w:val="auto"/>
        </w:rPr>
      </w:pPr>
      <w:r>
        <w:rPr>
          <w:rFonts w:ascii="宋体" w:hAnsi="宋体"/>
          <w:color w:val="auto"/>
        </w:rPr>
        <w:t>1.</w:t>
      </w:r>
      <w:r>
        <w:rPr>
          <w:rFonts w:hint="eastAsia" w:ascii="宋体" w:hAnsi="宋体"/>
          <w:color w:val="auto"/>
        </w:rPr>
        <w:t>竞标人</w:t>
      </w:r>
      <w:r>
        <w:rPr>
          <w:rFonts w:ascii="宋体" w:hAnsi="宋体"/>
          <w:color w:val="auto"/>
        </w:rPr>
        <w:t>应提交的施工进度网络图或施工进度表，说明按</w:t>
      </w:r>
      <w:r>
        <w:rPr>
          <w:rFonts w:hint="eastAsia" w:ascii="宋体" w:hAnsi="宋体"/>
          <w:color w:val="auto"/>
        </w:rPr>
        <w:t>《竞争性磋商文件》</w:t>
      </w:r>
      <w:r>
        <w:rPr>
          <w:rFonts w:ascii="宋体" w:hAnsi="宋体"/>
          <w:color w:val="auto"/>
        </w:rPr>
        <w:t>要求的工期进行施工的各个关键日期。</w:t>
      </w:r>
      <w:r>
        <w:rPr>
          <w:rFonts w:hint="eastAsia" w:ascii="宋体" w:hAnsi="宋体"/>
          <w:color w:val="auto"/>
        </w:rPr>
        <w:t>成交</w:t>
      </w:r>
      <w:r>
        <w:rPr>
          <w:rFonts w:ascii="宋体" w:hAnsi="宋体"/>
          <w:color w:val="auto"/>
        </w:rPr>
        <w:t>的</w:t>
      </w:r>
      <w:r>
        <w:rPr>
          <w:rFonts w:hint="eastAsia" w:ascii="宋体" w:hAnsi="宋体"/>
          <w:color w:val="auto"/>
        </w:rPr>
        <w:t>竞标人</w:t>
      </w:r>
      <w:r>
        <w:rPr>
          <w:rFonts w:ascii="宋体" w:hAnsi="宋体"/>
          <w:color w:val="auto"/>
        </w:rPr>
        <w:t>还应按合同条件有关条款的要求提交详细的施工进度计划。</w:t>
      </w:r>
    </w:p>
    <w:p w14:paraId="61FD13AC">
      <w:pPr>
        <w:spacing w:line="400" w:lineRule="exact"/>
        <w:rPr>
          <w:rFonts w:ascii="宋体" w:hAnsi="宋体"/>
          <w:color w:val="auto"/>
        </w:rPr>
      </w:pPr>
      <w:r>
        <w:rPr>
          <w:rFonts w:ascii="宋体" w:hAnsi="宋体"/>
          <w:color w:val="auto"/>
        </w:rPr>
        <w:t>2.施工进度表可采用网络图（或横道图）表示，说明计划开工日期和各分项工程各阶段的完工日期和分包合同签订的日期。</w:t>
      </w:r>
    </w:p>
    <w:p w14:paraId="0C94DDDF">
      <w:pPr>
        <w:spacing w:line="400" w:lineRule="exact"/>
        <w:rPr>
          <w:rFonts w:ascii="宋体" w:hAnsi="宋体"/>
          <w:color w:val="auto"/>
        </w:rPr>
      </w:pPr>
      <w:r>
        <w:rPr>
          <w:rFonts w:ascii="宋体" w:hAnsi="宋体"/>
          <w:color w:val="auto"/>
        </w:rPr>
        <w:t>3.施工进度计划应与施工组织设计相适应。</w:t>
      </w:r>
    </w:p>
    <w:p w14:paraId="6EC130C2">
      <w:pPr>
        <w:spacing w:line="400" w:lineRule="exact"/>
        <w:rPr>
          <w:rFonts w:ascii="宋体" w:hAnsi="宋体"/>
          <w:color w:val="auto"/>
        </w:rPr>
      </w:pPr>
    </w:p>
    <w:p w14:paraId="53F53961">
      <w:pPr>
        <w:spacing w:line="400" w:lineRule="exact"/>
        <w:rPr>
          <w:rFonts w:ascii="宋体" w:hAnsi="宋体"/>
          <w:color w:val="auto"/>
        </w:rPr>
      </w:pPr>
      <w:r>
        <w:rPr>
          <w:rFonts w:ascii="宋体" w:hAnsi="宋体"/>
          <w:color w:val="auto"/>
        </w:rPr>
        <w:t>附表五：施工总平面图</w:t>
      </w:r>
    </w:p>
    <w:p w14:paraId="215C75F9">
      <w:pPr>
        <w:spacing w:line="400" w:lineRule="exact"/>
        <w:rPr>
          <w:rFonts w:ascii="宋体" w:hAnsi="宋体"/>
          <w:color w:val="auto"/>
        </w:rPr>
      </w:pPr>
      <w:r>
        <w:rPr>
          <w:rFonts w:hint="eastAsia" w:ascii="宋体" w:hAnsi="宋体"/>
          <w:color w:val="auto"/>
        </w:rPr>
        <w:t>竞标人</w:t>
      </w:r>
      <w:r>
        <w:rPr>
          <w:rFonts w:ascii="宋体" w:hAnsi="宋体"/>
          <w:color w:val="auto"/>
        </w:rPr>
        <w:t>应递交一份施工总平面图，绘出现场临时设施布置图表并附文字说明，说明临时设施、加工车间、现场办公、设备及仓储、供电、供水、卫生、生活、道路、消防等设施的情况和布置。</w:t>
      </w:r>
    </w:p>
    <w:p w14:paraId="265890E7">
      <w:pPr>
        <w:spacing w:line="400" w:lineRule="exact"/>
        <w:rPr>
          <w:rFonts w:ascii="宋体" w:hAnsi="宋体"/>
          <w:color w:val="auto"/>
        </w:rPr>
      </w:pPr>
    </w:p>
    <w:p w14:paraId="1C9A57CB">
      <w:pPr>
        <w:spacing w:line="400" w:lineRule="exact"/>
        <w:rPr>
          <w:rFonts w:ascii="宋体" w:hAnsi="宋体"/>
          <w:color w:val="auto"/>
        </w:rPr>
      </w:pPr>
      <w:r>
        <w:rPr>
          <w:rFonts w:ascii="宋体" w:hAnsi="宋体"/>
          <w:color w:val="auto"/>
        </w:rPr>
        <w:t>附表六：临时用地表</w:t>
      </w:r>
    </w:p>
    <w:p w14:paraId="27A105AD">
      <w:pPr>
        <w:rPr>
          <w:color w:val="auto"/>
        </w:rPr>
      </w:pP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3E13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99CEEAD">
            <w:pPr>
              <w:spacing w:line="300" w:lineRule="exact"/>
              <w:jc w:val="center"/>
              <w:rPr>
                <w:color w:val="auto"/>
              </w:rPr>
            </w:pPr>
            <w:r>
              <w:rPr>
                <w:color w:val="auto"/>
                <w:szCs w:val="21"/>
              </w:rPr>
              <w:t>用途</w:t>
            </w:r>
          </w:p>
        </w:tc>
        <w:tc>
          <w:tcPr>
            <w:tcW w:w="2565" w:type="dxa"/>
            <w:noWrap/>
            <w:vAlign w:val="center"/>
          </w:tcPr>
          <w:p w14:paraId="0D06063F">
            <w:pPr>
              <w:spacing w:line="300" w:lineRule="exact"/>
              <w:jc w:val="center"/>
              <w:rPr>
                <w:color w:val="auto"/>
              </w:rPr>
            </w:pPr>
            <w:r>
              <w:rPr>
                <w:color w:val="auto"/>
                <w:szCs w:val="21"/>
              </w:rPr>
              <w:t>面积（平方米）</w:t>
            </w:r>
          </w:p>
        </w:tc>
        <w:tc>
          <w:tcPr>
            <w:tcW w:w="2565" w:type="dxa"/>
            <w:noWrap/>
            <w:vAlign w:val="center"/>
          </w:tcPr>
          <w:p w14:paraId="6567A31F">
            <w:pPr>
              <w:spacing w:line="300" w:lineRule="exact"/>
              <w:jc w:val="center"/>
              <w:rPr>
                <w:color w:val="auto"/>
              </w:rPr>
            </w:pPr>
            <w:r>
              <w:rPr>
                <w:color w:val="auto"/>
                <w:szCs w:val="21"/>
              </w:rPr>
              <w:t>位置</w:t>
            </w:r>
          </w:p>
        </w:tc>
        <w:tc>
          <w:tcPr>
            <w:tcW w:w="2565" w:type="dxa"/>
            <w:noWrap/>
            <w:vAlign w:val="center"/>
          </w:tcPr>
          <w:p w14:paraId="6EE85B8E">
            <w:pPr>
              <w:spacing w:line="300" w:lineRule="exact"/>
              <w:jc w:val="center"/>
              <w:rPr>
                <w:color w:val="auto"/>
              </w:rPr>
            </w:pPr>
            <w:r>
              <w:rPr>
                <w:color w:val="auto"/>
                <w:szCs w:val="21"/>
              </w:rPr>
              <w:t>需用时间</w:t>
            </w:r>
          </w:p>
        </w:tc>
      </w:tr>
      <w:tr w14:paraId="0161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45A14274">
            <w:pPr>
              <w:spacing w:line="300" w:lineRule="exact"/>
              <w:jc w:val="center"/>
              <w:rPr>
                <w:rFonts w:ascii="宋体" w:hAnsi="宋体"/>
                <w:color w:val="auto"/>
              </w:rPr>
            </w:pPr>
            <w:r>
              <w:rPr>
                <w:rFonts w:hint="eastAsia" w:ascii="宋体" w:hAnsi="宋体"/>
                <w:color w:val="auto"/>
              </w:rPr>
              <w:t>……</w:t>
            </w:r>
          </w:p>
        </w:tc>
        <w:tc>
          <w:tcPr>
            <w:tcW w:w="2565" w:type="dxa"/>
            <w:noWrap/>
          </w:tcPr>
          <w:p w14:paraId="69DC8C22">
            <w:pPr>
              <w:spacing w:line="300" w:lineRule="exact"/>
              <w:rPr>
                <w:color w:val="auto"/>
              </w:rPr>
            </w:pPr>
          </w:p>
        </w:tc>
        <w:tc>
          <w:tcPr>
            <w:tcW w:w="2565" w:type="dxa"/>
            <w:noWrap/>
          </w:tcPr>
          <w:p w14:paraId="5542BA1A">
            <w:pPr>
              <w:spacing w:line="300" w:lineRule="exact"/>
              <w:rPr>
                <w:color w:val="auto"/>
              </w:rPr>
            </w:pPr>
          </w:p>
        </w:tc>
        <w:tc>
          <w:tcPr>
            <w:tcW w:w="2565" w:type="dxa"/>
            <w:noWrap/>
          </w:tcPr>
          <w:p w14:paraId="341FEB59">
            <w:pPr>
              <w:spacing w:line="300" w:lineRule="exact"/>
              <w:rPr>
                <w:color w:val="auto"/>
              </w:rPr>
            </w:pPr>
          </w:p>
        </w:tc>
      </w:tr>
      <w:tr w14:paraId="3594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61361B22">
            <w:pPr>
              <w:spacing w:line="300" w:lineRule="exact"/>
              <w:jc w:val="center"/>
              <w:rPr>
                <w:rFonts w:ascii="宋体" w:hAnsi="宋体"/>
                <w:color w:val="auto"/>
              </w:rPr>
            </w:pPr>
            <w:r>
              <w:rPr>
                <w:rFonts w:hint="eastAsia" w:ascii="宋体" w:hAnsi="宋体"/>
                <w:color w:val="auto"/>
              </w:rPr>
              <w:t>N</w:t>
            </w:r>
          </w:p>
        </w:tc>
        <w:tc>
          <w:tcPr>
            <w:tcW w:w="2565" w:type="dxa"/>
            <w:noWrap/>
          </w:tcPr>
          <w:p w14:paraId="267AF5D1">
            <w:pPr>
              <w:spacing w:line="300" w:lineRule="exact"/>
              <w:rPr>
                <w:color w:val="auto"/>
              </w:rPr>
            </w:pPr>
          </w:p>
        </w:tc>
        <w:tc>
          <w:tcPr>
            <w:tcW w:w="2565" w:type="dxa"/>
            <w:noWrap/>
          </w:tcPr>
          <w:p w14:paraId="7F53391A">
            <w:pPr>
              <w:spacing w:line="300" w:lineRule="exact"/>
              <w:rPr>
                <w:color w:val="auto"/>
              </w:rPr>
            </w:pPr>
          </w:p>
        </w:tc>
        <w:tc>
          <w:tcPr>
            <w:tcW w:w="2565" w:type="dxa"/>
            <w:noWrap/>
          </w:tcPr>
          <w:p w14:paraId="5051B774">
            <w:pPr>
              <w:spacing w:line="300" w:lineRule="exact"/>
              <w:rPr>
                <w:color w:val="auto"/>
              </w:rPr>
            </w:pPr>
          </w:p>
        </w:tc>
      </w:tr>
    </w:tbl>
    <w:p w14:paraId="54150D41">
      <w:pPr>
        <w:spacing w:line="400" w:lineRule="exact"/>
        <w:rPr>
          <w:color w:val="auto"/>
        </w:rPr>
      </w:pPr>
    </w:p>
    <w:p w14:paraId="15C7ECDE">
      <w:pPr>
        <w:spacing w:line="480" w:lineRule="auto"/>
        <w:jc w:val="center"/>
        <w:rPr>
          <w:rFonts w:ascii="宋体" w:hAnsi="宋体" w:cs="宋体"/>
          <w:color w:val="auto"/>
          <w:sz w:val="24"/>
        </w:rPr>
      </w:pPr>
    </w:p>
    <w:p w14:paraId="3BE027F3">
      <w:pPr>
        <w:spacing w:line="480" w:lineRule="auto"/>
        <w:rPr>
          <w:rFonts w:ascii="宋体" w:hAnsi="宋体" w:cs="宋体"/>
          <w:b/>
          <w:color w:val="auto"/>
          <w:sz w:val="24"/>
        </w:rPr>
      </w:pPr>
    </w:p>
    <w:p w14:paraId="7C0CFDA2">
      <w:pPr>
        <w:spacing w:line="480" w:lineRule="auto"/>
        <w:rPr>
          <w:rFonts w:ascii="宋体" w:hAnsi="宋体" w:cs="宋体"/>
          <w:b/>
          <w:color w:val="auto"/>
          <w:sz w:val="24"/>
        </w:rPr>
      </w:pPr>
    </w:p>
    <w:p w14:paraId="0A4283FC">
      <w:pPr>
        <w:spacing w:line="480" w:lineRule="auto"/>
        <w:rPr>
          <w:rFonts w:ascii="宋体" w:hAnsi="宋体" w:cs="宋体"/>
          <w:b/>
          <w:color w:val="auto"/>
          <w:sz w:val="24"/>
        </w:rPr>
      </w:pPr>
    </w:p>
    <w:p w14:paraId="0ABA8723">
      <w:pPr>
        <w:spacing w:line="480" w:lineRule="auto"/>
        <w:rPr>
          <w:rFonts w:ascii="宋体" w:hAnsi="宋体" w:cs="宋体"/>
          <w:b/>
          <w:color w:val="auto"/>
          <w:sz w:val="24"/>
        </w:rPr>
      </w:pPr>
    </w:p>
    <w:p w14:paraId="62ECA994">
      <w:pPr>
        <w:spacing w:line="480" w:lineRule="auto"/>
        <w:rPr>
          <w:rFonts w:ascii="宋体" w:hAnsi="宋体" w:cs="宋体"/>
          <w:b/>
          <w:color w:val="auto"/>
          <w:sz w:val="24"/>
        </w:rPr>
      </w:pPr>
    </w:p>
    <w:p w14:paraId="4897F5DD">
      <w:pPr>
        <w:spacing w:line="480" w:lineRule="auto"/>
        <w:rPr>
          <w:rFonts w:ascii="宋体" w:hAnsi="宋体" w:cs="宋体"/>
          <w:b/>
          <w:color w:val="auto"/>
          <w:sz w:val="24"/>
        </w:rPr>
      </w:pPr>
    </w:p>
    <w:p w14:paraId="2F20F16E">
      <w:pPr>
        <w:spacing w:line="480" w:lineRule="auto"/>
        <w:rPr>
          <w:rFonts w:ascii="宋体" w:hAnsi="宋体" w:cs="宋体"/>
          <w:b/>
          <w:color w:val="auto"/>
          <w:sz w:val="24"/>
        </w:rPr>
      </w:pPr>
    </w:p>
    <w:p w14:paraId="68A8568A">
      <w:pPr>
        <w:spacing w:line="480" w:lineRule="auto"/>
        <w:rPr>
          <w:rFonts w:ascii="宋体" w:hAnsi="宋体" w:cs="宋体"/>
          <w:b/>
          <w:color w:val="auto"/>
          <w:sz w:val="24"/>
        </w:rPr>
      </w:pPr>
    </w:p>
    <w:p w14:paraId="3CCE20BA">
      <w:pPr>
        <w:spacing w:line="480" w:lineRule="auto"/>
        <w:rPr>
          <w:rFonts w:ascii="宋体" w:hAnsi="宋体" w:cs="宋体"/>
          <w:b/>
          <w:color w:val="auto"/>
          <w:sz w:val="24"/>
        </w:rPr>
      </w:pPr>
    </w:p>
    <w:p w14:paraId="3F9D033F">
      <w:pPr>
        <w:spacing w:line="480" w:lineRule="auto"/>
        <w:rPr>
          <w:rFonts w:ascii="宋体" w:hAnsi="宋体" w:cs="宋体"/>
          <w:b/>
          <w:color w:val="auto"/>
          <w:sz w:val="24"/>
        </w:rPr>
      </w:pPr>
    </w:p>
    <w:p w14:paraId="0D844947">
      <w:pPr>
        <w:spacing w:line="480" w:lineRule="auto"/>
        <w:rPr>
          <w:rFonts w:ascii="宋体" w:hAnsi="宋体" w:cs="宋体"/>
          <w:b/>
          <w:color w:val="auto"/>
          <w:sz w:val="24"/>
        </w:rPr>
      </w:pPr>
    </w:p>
    <w:p w14:paraId="5195ED38">
      <w:pPr>
        <w:spacing w:line="480" w:lineRule="auto"/>
        <w:rPr>
          <w:rFonts w:ascii="宋体" w:hAnsi="宋体" w:cs="宋体"/>
          <w:b/>
          <w:color w:val="auto"/>
          <w:sz w:val="24"/>
        </w:rPr>
      </w:pPr>
    </w:p>
    <w:p w14:paraId="1B4E9C2E">
      <w:pPr>
        <w:spacing w:line="480" w:lineRule="auto"/>
        <w:rPr>
          <w:rFonts w:ascii="宋体" w:hAnsi="宋体" w:cs="宋体"/>
          <w:b/>
          <w:color w:val="auto"/>
          <w:sz w:val="24"/>
        </w:rPr>
      </w:pPr>
    </w:p>
    <w:p w14:paraId="3F74D552">
      <w:pPr>
        <w:spacing w:line="480" w:lineRule="auto"/>
        <w:rPr>
          <w:rFonts w:ascii="宋体" w:hAnsi="宋体" w:cs="宋体"/>
          <w:b/>
          <w:color w:val="auto"/>
          <w:sz w:val="24"/>
        </w:rPr>
      </w:pPr>
    </w:p>
    <w:p w14:paraId="2D2BAB5F">
      <w:pPr>
        <w:pStyle w:val="2"/>
        <w:spacing w:before="0"/>
        <w:jc w:val="center"/>
        <w:rPr>
          <w:rFonts w:hAnsi="宋体"/>
          <w:bCs w:val="0"/>
          <w:color w:val="auto"/>
          <w:sz w:val="28"/>
          <w:szCs w:val="28"/>
        </w:rPr>
      </w:pPr>
      <w:bookmarkStart w:id="1095" w:name="_Toc30535"/>
      <w:bookmarkStart w:id="1096" w:name="_Toc86935945"/>
      <w:r>
        <w:rPr>
          <w:rFonts w:hint="eastAsia" w:hAnsi="宋体"/>
          <w:bCs w:val="0"/>
          <w:color w:val="auto"/>
          <w:sz w:val="28"/>
          <w:szCs w:val="28"/>
        </w:rPr>
        <w:t>四、其他资料（如有）</w:t>
      </w:r>
      <w:bookmarkEnd w:id="1095"/>
      <w:bookmarkEnd w:id="1096"/>
    </w:p>
    <w:p w14:paraId="086E38D7">
      <w:pPr>
        <w:spacing w:line="400" w:lineRule="exact"/>
        <w:outlineLvl w:val="4"/>
        <w:rPr>
          <w:rFonts w:ascii="宋体" w:hAnsi="宋体" w:cs="宋体"/>
          <w:b/>
          <w:color w:val="auto"/>
          <w:szCs w:val="20"/>
        </w:rPr>
      </w:pPr>
      <w:r>
        <w:rPr>
          <w:rFonts w:hint="eastAsia" w:ascii="宋体" w:hAnsi="宋体" w:cs="宋体"/>
          <w:b/>
          <w:color w:val="auto"/>
          <w:szCs w:val="20"/>
        </w:rPr>
        <w:t>附件1：中小企业声明函（格式）</w:t>
      </w:r>
    </w:p>
    <w:p w14:paraId="3F05B3F9">
      <w:pPr>
        <w:jc w:val="center"/>
        <w:rPr>
          <w:rFonts w:ascii="宋体" w:hAnsi="宋体" w:cs="宋体"/>
          <w:b/>
          <w:color w:val="auto"/>
          <w:sz w:val="30"/>
          <w:szCs w:val="30"/>
        </w:rPr>
      </w:pPr>
      <w:r>
        <w:rPr>
          <w:rFonts w:hint="eastAsia" w:ascii="宋体" w:hAnsi="宋体" w:cs="宋体"/>
          <w:b/>
          <w:color w:val="auto"/>
          <w:sz w:val="30"/>
          <w:szCs w:val="30"/>
        </w:rPr>
        <w:t>中小企业声明函（格式）</w:t>
      </w:r>
    </w:p>
    <w:p w14:paraId="3C8F622E">
      <w:pPr>
        <w:spacing w:line="400" w:lineRule="exact"/>
        <w:ind w:firstLine="420" w:firstLineChars="200"/>
        <w:rPr>
          <w:rFonts w:ascii="宋体" w:hAnsi="宋体" w:cs="宋体"/>
          <w:color w:val="auto"/>
          <w:szCs w:val="21"/>
        </w:rPr>
      </w:pPr>
      <w:r>
        <w:rPr>
          <w:rFonts w:hint="eastAsia" w:ascii="宋体" w:hAnsi="宋体" w:cs="宋体"/>
          <w:color w:val="auto"/>
          <w:szCs w:val="21"/>
        </w:rPr>
        <w:t>本公司郑重声明，根据《政府采购促进中小企业发展管理办法》（财库﹝2020﹞46 号）的规定，本公司参加</w:t>
      </w:r>
      <w:r>
        <w:rPr>
          <w:rFonts w:hint="eastAsia" w:ascii="宋体" w:hAnsi="宋体" w:cs="宋体"/>
          <w:color w:val="auto"/>
          <w:szCs w:val="21"/>
          <w:u w:val="single"/>
        </w:rPr>
        <w:t xml:space="preserve">    （单位名称）    </w:t>
      </w:r>
      <w:r>
        <w:rPr>
          <w:rFonts w:hint="eastAsia" w:ascii="宋体" w:hAnsi="宋体" w:cs="宋体"/>
          <w:color w:val="auto"/>
          <w:szCs w:val="21"/>
        </w:rPr>
        <w:t>的</w:t>
      </w:r>
      <w:r>
        <w:rPr>
          <w:rFonts w:hint="eastAsia" w:ascii="宋体" w:hAnsi="宋体" w:cs="宋体"/>
          <w:color w:val="auto"/>
          <w:szCs w:val="21"/>
          <w:u w:val="single"/>
        </w:rPr>
        <w:t xml:space="preserve">      （项目名称）     </w:t>
      </w:r>
      <w:r>
        <w:rPr>
          <w:rFonts w:hint="eastAsia" w:ascii="宋体" w:hAnsi="宋体" w:cs="宋体"/>
          <w:color w:val="auto"/>
          <w:szCs w:val="21"/>
        </w:rPr>
        <w:t>采购活动，提供的工程全部由符合政策要求的中小企业建造。相关企业的具体情况如下：</w:t>
      </w:r>
    </w:p>
    <w:p w14:paraId="51DC93F5">
      <w:pPr>
        <w:spacing w:line="4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 xml:space="preserve">  （标的名称）   </w:t>
      </w:r>
      <w:r>
        <w:rPr>
          <w:rFonts w:hint="eastAsia" w:ascii="宋体" w:hAnsi="宋体" w:cs="宋体"/>
          <w:color w:val="auto"/>
          <w:szCs w:val="21"/>
        </w:rPr>
        <w:t>，属于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r>
        <w:rPr>
          <w:rFonts w:hint="eastAsia" w:ascii="宋体" w:hAnsi="宋体" w:cs="宋体"/>
          <w:color w:val="auto"/>
          <w:szCs w:val="21"/>
        </w:rPr>
        <w:t>；</w:t>
      </w:r>
    </w:p>
    <w:p w14:paraId="2484DC95">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u w:val="single"/>
        </w:rPr>
        <w:t xml:space="preserve">  （标的名称）  </w:t>
      </w:r>
      <w:r>
        <w:rPr>
          <w:rFonts w:hint="eastAsia" w:ascii="宋体" w:hAnsi="宋体" w:cs="宋体"/>
          <w:color w:val="auto"/>
          <w:szCs w:val="21"/>
        </w:rPr>
        <w:t xml:space="preserve"> ，属于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p>
    <w:p w14:paraId="7541B427">
      <w:pPr>
        <w:spacing w:line="400" w:lineRule="exact"/>
        <w:ind w:firstLine="420" w:firstLineChars="200"/>
        <w:rPr>
          <w:rFonts w:ascii="宋体" w:hAnsi="宋体" w:cs="宋体"/>
          <w:color w:val="auto"/>
          <w:szCs w:val="21"/>
        </w:rPr>
      </w:pPr>
      <w:r>
        <w:rPr>
          <w:rFonts w:hint="eastAsia" w:ascii="宋体" w:hAnsi="宋体" w:cs="宋体"/>
          <w:color w:val="auto"/>
          <w:szCs w:val="21"/>
        </w:rPr>
        <w:t>……</w:t>
      </w:r>
    </w:p>
    <w:p w14:paraId="642AEEF0">
      <w:pPr>
        <w:spacing w:line="400" w:lineRule="exact"/>
        <w:ind w:firstLine="420" w:firstLineChars="200"/>
        <w:rPr>
          <w:rFonts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14:paraId="4D301A69">
      <w:pPr>
        <w:spacing w:line="400" w:lineRule="exact"/>
        <w:ind w:firstLine="420" w:firstLineChars="200"/>
        <w:rPr>
          <w:rFonts w:ascii="宋体" w:hAnsi="宋体" w:cs="宋体"/>
          <w:color w:val="auto"/>
          <w:szCs w:val="21"/>
        </w:rPr>
      </w:pPr>
      <w:r>
        <w:rPr>
          <w:rFonts w:hint="eastAsia" w:ascii="宋体" w:hAnsi="宋体" w:cs="宋体"/>
          <w:color w:val="auto"/>
          <w:szCs w:val="21"/>
        </w:rPr>
        <w:t>本企业对上述声明内容的真实性负责。如有虚假，将依法承担相应责任。</w:t>
      </w:r>
    </w:p>
    <w:p w14:paraId="26D46DC0">
      <w:pPr>
        <w:spacing w:line="400" w:lineRule="exact"/>
        <w:ind w:left="1120" w:firstLine="420" w:firstLineChars="200"/>
        <w:jc w:val="center"/>
        <w:rPr>
          <w:rFonts w:ascii="宋体" w:hAnsi="宋体" w:cs="宋体"/>
          <w:color w:val="auto"/>
          <w:szCs w:val="21"/>
        </w:rPr>
      </w:pPr>
    </w:p>
    <w:p w14:paraId="07F28780">
      <w:pPr>
        <w:spacing w:line="400" w:lineRule="exact"/>
        <w:ind w:left="1120" w:hanging="1120"/>
        <w:jc w:val="center"/>
        <w:rPr>
          <w:rFonts w:ascii="宋体" w:hAnsi="宋体" w:cs="宋体"/>
          <w:color w:val="auto"/>
          <w:szCs w:val="21"/>
        </w:rPr>
      </w:pPr>
      <w:r>
        <w:rPr>
          <w:rFonts w:hint="eastAsia" w:ascii="宋体" w:hAnsi="宋体" w:cs="宋体"/>
          <w:color w:val="auto"/>
          <w:szCs w:val="21"/>
        </w:rPr>
        <w:t xml:space="preserve">             企业名称（公章或电子签章）：</w:t>
      </w:r>
    </w:p>
    <w:p w14:paraId="63415A61">
      <w:pPr>
        <w:spacing w:line="400" w:lineRule="exact"/>
        <w:ind w:left="1120" w:hanging="1120"/>
        <w:jc w:val="center"/>
        <w:rPr>
          <w:rFonts w:ascii="宋体" w:hAnsi="宋体" w:cs="宋体"/>
          <w:b/>
          <w:bCs/>
          <w:color w:val="auto"/>
          <w:szCs w:val="28"/>
        </w:rPr>
      </w:pPr>
      <w:r>
        <w:rPr>
          <w:rFonts w:hint="eastAsia" w:ascii="宋体" w:hAnsi="宋体" w:cs="宋体"/>
          <w:color w:val="auto"/>
          <w:szCs w:val="21"/>
        </w:rPr>
        <w:t xml:space="preserve">                 日 期：</w:t>
      </w:r>
      <w:r>
        <w:rPr>
          <w:rFonts w:hint="eastAsia" w:ascii="宋体" w:hAnsi="宋体" w:cs="宋体"/>
          <w:color w:val="auto"/>
          <w:szCs w:val="21"/>
          <w:u w:val="single"/>
        </w:rPr>
        <w:t xml:space="preserve">      年   月   日</w:t>
      </w:r>
    </w:p>
    <w:p w14:paraId="1BCC8647">
      <w:pPr>
        <w:spacing w:line="400" w:lineRule="exact"/>
        <w:ind w:firstLine="420" w:firstLineChars="200"/>
        <w:rPr>
          <w:rFonts w:ascii="宋体" w:hAnsi="宋体" w:cs="宋体"/>
          <w:b/>
          <w:color w:val="auto"/>
          <w:szCs w:val="21"/>
        </w:rPr>
      </w:pPr>
    </w:p>
    <w:p w14:paraId="252CB1BB">
      <w:pPr>
        <w:spacing w:line="320" w:lineRule="exact"/>
        <w:ind w:firstLine="420" w:firstLineChars="200"/>
        <w:rPr>
          <w:rFonts w:ascii="宋体" w:hAnsi="宋体" w:cs="宋体"/>
          <w:b/>
          <w:color w:val="auto"/>
          <w:szCs w:val="21"/>
        </w:rPr>
      </w:pPr>
    </w:p>
    <w:p w14:paraId="61047FC7">
      <w:pPr>
        <w:spacing w:line="320" w:lineRule="exact"/>
        <w:ind w:firstLine="420" w:firstLineChars="200"/>
        <w:rPr>
          <w:rFonts w:ascii="宋体" w:hAnsi="宋体" w:cs="宋体"/>
          <w:b/>
          <w:color w:val="auto"/>
          <w:szCs w:val="21"/>
        </w:rPr>
      </w:pPr>
    </w:p>
    <w:p w14:paraId="34E43638">
      <w:pPr>
        <w:spacing w:line="320" w:lineRule="exact"/>
        <w:ind w:firstLine="420" w:firstLineChars="200"/>
        <w:rPr>
          <w:rFonts w:ascii="宋体" w:hAnsi="宋体" w:cs="宋体"/>
          <w:b/>
          <w:color w:val="auto"/>
          <w:szCs w:val="21"/>
        </w:rPr>
      </w:pPr>
    </w:p>
    <w:p w14:paraId="32FE874C">
      <w:pPr>
        <w:spacing w:line="320" w:lineRule="exact"/>
        <w:ind w:firstLine="420" w:firstLineChars="200"/>
        <w:rPr>
          <w:rFonts w:ascii="宋体" w:hAnsi="宋体" w:cs="宋体"/>
          <w:b/>
          <w:color w:val="auto"/>
          <w:szCs w:val="21"/>
        </w:rPr>
      </w:pPr>
    </w:p>
    <w:p w14:paraId="51A224EB">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w:t>
      </w:r>
    </w:p>
    <w:p w14:paraId="7DE06D1E">
      <w:pPr>
        <w:widowControl/>
        <w:ind w:firstLine="420" w:firstLineChars="200"/>
        <w:jc w:val="left"/>
        <w:rPr>
          <w:rFonts w:ascii="宋体" w:hAnsi="宋体" w:cs="宋体"/>
          <w:b/>
          <w:bCs/>
          <w:color w:val="auto"/>
          <w:szCs w:val="20"/>
        </w:rPr>
      </w:pPr>
      <w:r>
        <w:rPr>
          <w:rFonts w:hint="eastAsia" w:ascii="宋体" w:hAnsi="宋体" w:cs="宋体"/>
          <w:b/>
          <w:bCs/>
          <w:color w:val="auto"/>
          <w:szCs w:val="20"/>
        </w:rPr>
        <w:t>1.从业人员、营业收入、资产总额填报上一年度数据，无上一年度数据的新成立公司可不填报。</w:t>
      </w:r>
    </w:p>
    <w:p w14:paraId="51DF6AA9">
      <w:pPr>
        <w:widowControl/>
        <w:ind w:firstLine="420" w:firstLineChars="200"/>
        <w:jc w:val="left"/>
        <w:rPr>
          <w:rFonts w:ascii="宋体" w:hAnsi="宋体" w:cs="宋体"/>
          <w:b/>
          <w:bCs/>
          <w:color w:val="auto"/>
          <w:szCs w:val="20"/>
        </w:rPr>
      </w:pPr>
      <w:r>
        <w:rPr>
          <w:rFonts w:hint="eastAsia" w:ascii="宋体" w:hAnsi="宋体" w:cs="宋体"/>
          <w:b/>
          <w:bCs/>
          <w:color w:val="auto"/>
          <w:szCs w:val="20"/>
        </w:rPr>
        <w:t xml:space="preserve">2.参加政府采购活动的小型、微型企业应当提供《中小企业声明函》。成交供应商的《中小企业声明函》随成交结果一并公告。 </w:t>
      </w:r>
    </w:p>
    <w:p w14:paraId="0D204E79">
      <w:pPr>
        <w:spacing w:line="400" w:lineRule="exact"/>
        <w:ind w:firstLine="420" w:firstLineChars="200"/>
        <w:rPr>
          <w:rFonts w:ascii="宋体" w:hAnsi="宋体" w:cs="宋体"/>
          <w:b/>
          <w:color w:val="auto"/>
          <w:szCs w:val="21"/>
        </w:rPr>
      </w:pPr>
    </w:p>
    <w:p w14:paraId="1A99384D">
      <w:pPr>
        <w:spacing w:line="400" w:lineRule="exact"/>
        <w:ind w:firstLine="420" w:firstLineChars="200"/>
        <w:rPr>
          <w:rFonts w:ascii="宋体" w:hAnsi="宋体" w:cs="宋体"/>
          <w:b/>
          <w:color w:val="auto"/>
          <w:szCs w:val="21"/>
        </w:rPr>
      </w:pPr>
      <w:r>
        <w:rPr>
          <w:rFonts w:hint="eastAsia" w:ascii="宋体" w:hAnsi="宋体" w:cs="宋体"/>
          <w:b/>
          <w:color w:val="auto"/>
          <w:szCs w:val="21"/>
        </w:rPr>
        <w:br w:type="page"/>
      </w:r>
    </w:p>
    <w:p w14:paraId="7F088D96">
      <w:pPr>
        <w:spacing w:line="400" w:lineRule="exact"/>
        <w:outlineLvl w:val="4"/>
        <w:rPr>
          <w:rFonts w:ascii="宋体" w:hAnsi="宋体" w:cs="宋体"/>
          <w:b/>
          <w:color w:val="auto"/>
          <w:szCs w:val="21"/>
        </w:rPr>
      </w:pPr>
      <w:r>
        <w:rPr>
          <w:rFonts w:hint="eastAsia" w:ascii="宋体" w:hAnsi="宋体" w:cs="宋体"/>
          <w:b/>
          <w:color w:val="auto"/>
          <w:szCs w:val="20"/>
        </w:rPr>
        <w:t>附件2：</w:t>
      </w:r>
      <w:r>
        <w:rPr>
          <w:rFonts w:hint="eastAsia" w:ascii="宋体" w:hAnsi="宋体" w:cs="宋体"/>
          <w:b/>
          <w:color w:val="auto"/>
          <w:szCs w:val="21"/>
        </w:rPr>
        <w:t>监狱企业证明文件</w:t>
      </w:r>
    </w:p>
    <w:p w14:paraId="1E0254EB">
      <w:pPr>
        <w:spacing w:line="400" w:lineRule="exact"/>
        <w:ind w:firstLine="420" w:firstLineChars="200"/>
        <w:rPr>
          <w:rFonts w:ascii="宋体" w:hAnsi="宋体" w:cs="宋体"/>
          <w:bCs/>
          <w:color w:val="auto"/>
          <w:szCs w:val="21"/>
        </w:rPr>
      </w:pPr>
      <w:r>
        <w:rPr>
          <w:rFonts w:hint="eastAsia" w:ascii="宋体" w:hAnsi="宋体" w:cs="宋体"/>
          <w:bCs/>
          <w:color w:val="auto"/>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87F1AAC">
      <w:pPr>
        <w:spacing w:line="400" w:lineRule="exact"/>
        <w:ind w:firstLine="420" w:firstLineChars="200"/>
        <w:rPr>
          <w:rFonts w:ascii="宋体" w:hAnsi="宋体" w:cs="宋体"/>
          <w:b/>
          <w:color w:val="auto"/>
          <w:szCs w:val="21"/>
        </w:rPr>
      </w:pPr>
    </w:p>
    <w:p w14:paraId="413BB793">
      <w:pPr>
        <w:spacing w:line="400" w:lineRule="exact"/>
        <w:ind w:firstLine="420" w:firstLineChars="200"/>
        <w:rPr>
          <w:rFonts w:ascii="宋体" w:hAnsi="宋体" w:cs="宋体"/>
          <w:b/>
          <w:color w:val="auto"/>
          <w:szCs w:val="21"/>
        </w:rPr>
      </w:pPr>
      <w:r>
        <w:rPr>
          <w:rFonts w:hint="eastAsia" w:ascii="宋体" w:hAnsi="宋体" w:cs="宋体"/>
          <w:b/>
          <w:color w:val="auto"/>
          <w:szCs w:val="21"/>
        </w:rPr>
        <w:t>说明：中标供应商的监狱企业证明文件随中标结果一并公告。</w:t>
      </w:r>
    </w:p>
    <w:p w14:paraId="3ECB5A37">
      <w:pPr>
        <w:spacing w:line="400" w:lineRule="exact"/>
        <w:ind w:firstLine="420" w:firstLineChars="200"/>
        <w:rPr>
          <w:rFonts w:ascii="宋体" w:hAnsi="宋体" w:cs="宋体"/>
          <w:b/>
          <w:color w:val="auto"/>
          <w:szCs w:val="21"/>
        </w:rPr>
      </w:pPr>
    </w:p>
    <w:p w14:paraId="3E0B0D26">
      <w:pPr>
        <w:spacing w:line="400" w:lineRule="exact"/>
        <w:rPr>
          <w:rFonts w:ascii="宋体" w:hAnsi="宋体" w:cs="宋体"/>
          <w:b/>
          <w:color w:val="auto"/>
          <w:szCs w:val="20"/>
        </w:rPr>
      </w:pPr>
      <w:r>
        <w:rPr>
          <w:rFonts w:hint="eastAsia" w:ascii="宋体" w:hAnsi="宋体" w:cs="宋体"/>
          <w:b/>
          <w:color w:val="auto"/>
          <w:szCs w:val="20"/>
        </w:rPr>
        <w:br w:type="page"/>
      </w:r>
    </w:p>
    <w:p w14:paraId="31D16DE5">
      <w:pPr>
        <w:spacing w:line="400" w:lineRule="exact"/>
        <w:outlineLvl w:val="4"/>
        <w:rPr>
          <w:rFonts w:ascii="宋体" w:hAnsi="宋体" w:cs="宋体"/>
          <w:b/>
          <w:color w:val="auto"/>
          <w:szCs w:val="20"/>
        </w:rPr>
      </w:pPr>
      <w:r>
        <w:rPr>
          <w:rFonts w:hint="eastAsia" w:ascii="宋体" w:hAnsi="宋体" w:cs="宋体"/>
          <w:b/>
          <w:color w:val="auto"/>
          <w:szCs w:val="20"/>
        </w:rPr>
        <w:t>附件3：残疾人福利性单位声明函（格式）</w:t>
      </w:r>
    </w:p>
    <w:p w14:paraId="5F15DCA5">
      <w:pPr>
        <w:spacing w:line="400" w:lineRule="exact"/>
        <w:rPr>
          <w:rFonts w:ascii="宋体" w:hAnsi="宋体" w:cs="宋体"/>
          <w:b/>
          <w:color w:val="auto"/>
          <w:sz w:val="32"/>
          <w:szCs w:val="20"/>
        </w:rPr>
      </w:pPr>
    </w:p>
    <w:p w14:paraId="1A241327">
      <w:pPr>
        <w:jc w:val="center"/>
        <w:rPr>
          <w:rFonts w:ascii="宋体" w:hAnsi="宋体" w:cs="宋体"/>
          <w:b/>
          <w:color w:val="auto"/>
          <w:sz w:val="30"/>
          <w:szCs w:val="30"/>
        </w:rPr>
      </w:pPr>
      <w:bookmarkStart w:id="1097" w:name="OLE_LINK13"/>
      <w:bookmarkStart w:id="1098" w:name="OLE_LINK14"/>
      <w:r>
        <w:rPr>
          <w:rFonts w:hint="eastAsia" w:ascii="宋体" w:hAnsi="宋体" w:cs="宋体"/>
          <w:b/>
          <w:color w:val="auto"/>
          <w:sz w:val="30"/>
          <w:szCs w:val="30"/>
        </w:rPr>
        <w:t>残疾人福利性单位声明函（格式）</w:t>
      </w:r>
    </w:p>
    <w:bookmarkEnd w:id="1097"/>
    <w:bookmarkEnd w:id="1098"/>
    <w:p w14:paraId="0ACE788E">
      <w:pPr>
        <w:spacing w:line="400" w:lineRule="exact"/>
        <w:rPr>
          <w:rFonts w:ascii="宋体" w:hAnsi="宋体" w:cs="宋体"/>
          <w:b/>
          <w:color w:val="auto"/>
          <w:spacing w:val="6"/>
          <w:sz w:val="30"/>
          <w:szCs w:val="30"/>
        </w:rPr>
      </w:pPr>
    </w:p>
    <w:p w14:paraId="10C81D7F">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本单位郑重声明，根据《财政部 民政部 中国残疾人联合会关于促进残疾人就业政府采购政策的通知》（财库</w:t>
      </w:r>
      <w:r>
        <w:rPr>
          <w:rFonts w:hint="eastAsia" w:ascii="宋体" w:hAnsi="宋体" w:cs="宋体"/>
          <w:color w:val="auto"/>
          <w:szCs w:val="21"/>
        </w:rPr>
        <w:t>〔2017〕 141</w:t>
      </w:r>
      <w:r>
        <w:rPr>
          <w:rFonts w:hint="eastAsia" w:ascii="宋体" w:hAnsi="宋体" w:cs="宋体"/>
          <w:color w:val="auto"/>
          <w:spacing w:val="6"/>
          <w:szCs w:val="21"/>
        </w:rPr>
        <w:t>号）的规定，本单位为符合条件的残疾人福利性单位，且本单位参加</w:t>
      </w:r>
      <w:r>
        <w:rPr>
          <w:rFonts w:hint="eastAsia" w:ascii="宋体" w:hAnsi="宋体" w:cs="宋体"/>
          <w:color w:val="auto"/>
          <w:spacing w:val="6"/>
          <w:szCs w:val="21"/>
          <w:u w:val="single"/>
        </w:rPr>
        <w:t xml:space="preserve">     （采购人名称）     </w:t>
      </w:r>
      <w:r>
        <w:rPr>
          <w:rFonts w:hint="eastAsia" w:ascii="宋体" w:hAnsi="宋体" w:cs="宋体"/>
          <w:color w:val="auto"/>
          <w:spacing w:val="6"/>
          <w:szCs w:val="21"/>
        </w:rPr>
        <w:t>的</w:t>
      </w:r>
      <w:r>
        <w:rPr>
          <w:rFonts w:hint="eastAsia" w:ascii="宋体" w:hAnsi="宋体" w:cs="宋体"/>
          <w:color w:val="auto"/>
          <w:spacing w:val="6"/>
          <w:szCs w:val="21"/>
          <w:u w:val="single"/>
        </w:rPr>
        <w:t xml:space="preserve">    （项目名称）     </w:t>
      </w:r>
      <w:r>
        <w:rPr>
          <w:rFonts w:hint="eastAsia" w:ascii="宋体" w:hAnsi="宋体" w:cs="宋体"/>
          <w:color w:val="auto"/>
          <w:spacing w:val="6"/>
          <w:szCs w:val="21"/>
        </w:rPr>
        <w:t>采购活动提供本单位制造的货物，或者提供其他残疾人福利性单位制造的货物（不包括使用非残疾人福利性单位注册商标的货物）。</w:t>
      </w:r>
    </w:p>
    <w:p w14:paraId="4B45F07E">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43E15C99">
      <w:pPr>
        <w:spacing w:line="400" w:lineRule="exact"/>
        <w:ind w:firstLine="444" w:firstLineChars="200"/>
        <w:rPr>
          <w:rFonts w:ascii="宋体" w:hAnsi="宋体" w:cs="宋体"/>
          <w:color w:val="auto"/>
          <w:spacing w:val="6"/>
          <w:szCs w:val="21"/>
        </w:rPr>
      </w:pPr>
    </w:p>
    <w:p w14:paraId="54B9DD90">
      <w:pPr>
        <w:spacing w:line="400" w:lineRule="exact"/>
        <w:ind w:firstLine="444" w:firstLineChars="200"/>
        <w:rPr>
          <w:rFonts w:ascii="宋体" w:hAnsi="宋体" w:cs="宋体"/>
          <w:color w:val="auto"/>
          <w:spacing w:val="6"/>
          <w:szCs w:val="21"/>
        </w:rPr>
      </w:pPr>
    </w:p>
    <w:p w14:paraId="7A161F07">
      <w:pPr>
        <w:spacing w:line="400" w:lineRule="exact"/>
        <w:ind w:firstLine="2940" w:firstLineChars="1400"/>
        <w:rPr>
          <w:rFonts w:ascii="宋体" w:hAnsi="宋体" w:cs="宋体"/>
          <w:color w:val="auto"/>
          <w:szCs w:val="21"/>
          <w:u w:val="single"/>
        </w:rPr>
      </w:pPr>
      <w:r>
        <w:rPr>
          <w:rFonts w:hint="eastAsia" w:ascii="宋体" w:hAnsi="宋体" w:cs="宋体"/>
          <w:color w:val="auto"/>
          <w:szCs w:val="21"/>
        </w:rPr>
        <w:t>单位名称（公章或电子签章）：</w:t>
      </w:r>
    </w:p>
    <w:p w14:paraId="597CC846">
      <w:pPr>
        <w:spacing w:line="400" w:lineRule="exact"/>
        <w:ind w:firstLine="2940" w:firstLineChars="1400"/>
        <w:rPr>
          <w:rFonts w:ascii="宋体" w:hAnsi="宋体" w:cs="宋体"/>
          <w:b/>
          <w:bCs/>
          <w:color w:val="auto"/>
          <w:szCs w:val="28"/>
        </w:rPr>
      </w:pPr>
      <w:r>
        <w:rPr>
          <w:rFonts w:hint="eastAsia" w:ascii="宋体" w:hAnsi="宋体" w:cs="宋体"/>
          <w:color w:val="auto"/>
          <w:szCs w:val="21"/>
        </w:rPr>
        <w:t>日  期：</w:t>
      </w:r>
      <w:r>
        <w:rPr>
          <w:rFonts w:hint="eastAsia" w:ascii="宋体" w:hAnsi="宋体" w:cs="宋体"/>
          <w:color w:val="auto"/>
          <w:szCs w:val="21"/>
          <w:u w:val="single"/>
        </w:rPr>
        <w:t xml:space="preserve">      年   月   日</w:t>
      </w:r>
    </w:p>
    <w:p w14:paraId="1D1A5512">
      <w:pPr>
        <w:spacing w:line="400" w:lineRule="exact"/>
        <w:rPr>
          <w:rFonts w:ascii="宋体" w:hAnsi="宋体" w:cs="宋体"/>
          <w:color w:val="auto"/>
          <w:szCs w:val="21"/>
          <w:u w:val="single"/>
        </w:rPr>
      </w:pPr>
    </w:p>
    <w:p w14:paraId="05C7A7A2">
      <w:pPr>
        <w:widowControl/>
        <w:ind w:firstLine="420" w:firstLineChars="200"/>
        <w:jc w:val="left"/>
        <w:rPr>
          <w:rFonts w:ascii="宋体" w:hAnsi="宋体" w:cs="宋体"/>
          <w:b/>
          <w:bCs/>
          <w:color w:val="auto"/>
          <w:szCs w:val="20"/>
        </w:rPr>
      </w:pPr>
    </w:p>
    <w:p w14:paraId="6EF60416">
      <w:pPr>
        <w:widowControl/>
        <w:ind w:firstLine="420" w:firstLineChars="200"/>
        <w:jc w:val="left"/>
        <w:rPr>
          <w:rFonts w:ascii="宋体" w:hAnsi="宋体" w:cs="宋体"/>
          <w:b/>
          <w:bCs/>
          <w:color w:val="auto"/>
          <w:szCs w:val="20"/>
        </w:rPr>
      </w:pPr>
    </w:p>
    <w:p w14:paraId="37BF6B52">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说明：参加政府采购活动的</w:t>
      </w:r>
      <w:r>
        <w:rPr>
          <w:rFonts w:hint="eastAsia" w:ascii="宋体" w:hAnsi="宋体" w:cs="宋体"/>
          <w:b/>
          <w:color w:val="auto"/>
        </w:rPr>
        <w:t>残疾人福利性单位</w:t>
      </w:r>
      <w:r>
        <w:rPr>
          <w:rFonts w:hint="eastAsia" w:ascii="宋体" w:hAnsi="宋体" w:cs="宋体"/>
          <w:b/>
          <w:bCs/>
          <w:color w:val="auto"/>
          <w:szCs w:val="20"/>
        </w:rPr>
        <w:t>应当提供《</w:t>
      </w:r>
      <w:r>
        <w:rPr>
          <w:rFonts w:hint="eastAsia" w:ascii="宋体" w:hAnsi="宋体" w:cs="宋体"/>
          <w:b/>
          <w:color w:val="auto"/>
        </w:rPr>
        <w:t>残疾人福利性单位声明函</w:t>
      </w:r>
      <w:r>
        <w:rPr>
          <w:rFonts w:hint="eastAsia" w:ascii="宋体" w:hAnsi="宋体" w:cs="宋体"/>
          <w:b/>
          <w:bCs/>
          <w:color w:val="auto"/>
          <w:szCs w:val="20"/>
        </w:rPr>
        <w:t>》。</w:t>
      </w:r>
      <w:r>
        <w:rPr>
          <w:rFonts w:hint="eastAsia" w:ascii="宋体" w:hAnsi="宋体" w:cs="宋体"/>
          <w:b/>
          <w:bCs/>
          <w:color w:val="auto"/>
          <w:szCs w:val="21"/>
        </w:rPr>
        <w:t>中标供应商的《残疾人福利性单位声明函》随中标结果一并公告。</w:t>
      </w:r>
    </w:p>
    <w:p w14:paraId="063E31FE">
      <w:pPr>
        <w:spacing w:line="400" w:lineRule="exact"/>
        <w:ind w:firstLine="420" w:firstLineChars="200"/>
        <w:rPr>
          <w:rFonts w:eastAsia="仿宋"/>
          <w:b/>
          <w:color w:val="auto"/>
          <w:szCs w:val="21"/>
        </w:rPr>
      </w:pPr>
    </w:p>
    <w:p w14:paraId="5B78AB3A">
      <w:pPr>
        <w:spacing w:line="400" w:lineRule="exact"/>
        <w:ind w:left="1120" w:hanging="1120"/>
        <w:rPr>
          <w:rFonts w:eastAsia="仿宋"/>
          <w:b/>
          <w:bCs/>
          <w:color w:val="auto"/>
          <w:szCs w:val="20"/>
        </w:rPr>
      </w:pPr>
    </w:p>
    <w:p w14:paraId="4B11067C">
      <w:pPr>
        <w:pStyle w:val="2"/>
        <w:spacing w:before="0"/>
        <w:jc w:val="center"/>
        <w:rPr>
          <w:rFonts w:hAnsi="宋体"/>
          <w:color w:val="auto"/>
          <w:sz w:val="28"/>
          <w:szCs w:val="28"/>
        </w:rPr>
      </w:pPr>
    </w:p>
    <w:p w14:paraId="4C395B72">
      <w:pPr>
        <w:pStyle w:val="2"/>
        <w:spacing w:before="0"/>
        <w:jc w:val="center"/>
        <w:rPr>
          <w:rFonts w:hAnsi="宋体"/>
          <w:color w:val="auto"/>
          <w:sz w:val="28"/>
          <w:szCs w:val="28"/>
        </w:rPr>
      </w:pPr>
    </w:p>
    <w:p w14:paraId="2462DE5E">
      <w:pPr>
        <w:pStyle w:val="2"/>
        <w:spacing w:before="0"/>
        <w:jc w:val="center"/>
        <w:rPr>
          <w:rFonts w:hAnsi="宋体"/>
          <w:color w:val="auto"/>
          <w:sz w:val="28"/>
          <w:szCs w:val="28"/>
        </w:rPr>
      </w:pPr>
    </w:p>
    <w:p w14:paraId="19166CC1">
      <w:pPr>
        <w:pStyle w:val="2"/>
        <w:spacing w:before="0"/>
        <w:jc w:val="center"/>
        <w:rPr>
          <w:rFonts w:hAnsi="宋体"/>
          <w:color w:val="auto"/>
          <w:sz w:val="28"/>
          <w:szCs w:val="28"/>
        </w:rPr>
      </w:pPr>
    </w:p>
    <w:p w14:paraId="713A04DE">
      <w:pPr>
        <w:pStyle w:val="2"/>
        <w:spacing w:before="0"/>
        <w:rPr>
          <w:rFonts w:hAnsi="宋体"/>
          <w:color w:val="auto"/>
          <w:sz w:val="28"/>
          <w:szCs w:val="28"/>
        </w:rPr>
      </w:pPr>
    </w:p>
    <w:p w14:paraId="4882B895">
      <w:pPr>
        <w:rPr>
          <w:color w:val="auto"/>
        </w:rPr>
      </w:pPr>
    </w:p>
    <w:p w14:paraId="313411A8">
      <w:pPr>
        <w:widowControl/>
        <w:jc w:val="left"/>
        <w:rPr>
          <w:rFonts w:hAnsi="宋体"/>
          <w:b/>
          <w:color w:val="auto"/>
          <w:sz w:val="28"/>
          <w:szCs w:val="28"/>
        </w:rPr>
      </w:pPr>
      <w:bookmarkStart w:id="1099" w:name="_Toc86935946"/>
      <w:r>
        <w:rPr>
          <w:rFonts w:hAnsi="宋体"/>
          <w:b/>
          <w:color w:val="auto"/>
          <w:sz w:val="28"/>
          <w:szCs w:val="28"/>
        </w:rPr>
        <w:br w:type="page"/>
      </w:r>
    </w:p>
    <w:p w14:paraId="1533A606">
      <w:pPr>
        <w:spacing w:line="390" w:lineRule="exact"/>
        <w:jc w:val="center"/>
        <w:outlineLvl w:val="0"/>
        <w:rPr>
          <w:rFonts w:hAnsi="宋体"/>
          <w:b/>
          <w:color w:val="auto"/>
          <w:sz w:val="36"/>
          <w:szCs w:val="36"/>
        </w:rPr>
      </w:pPr>
      <w:bookmarkStart w:id="1100" w:name="_Toc29768"/>
      <w:r>
        <w:rPr>
          <w:rFonts w:hint="eastAsia" w:hAnsi="宋体"/>
          <w:b/>
          <w:color w:val="auto"/>
          <w:sz w:val="36"/>
          <w:szCs w:val="36"/>
        </w:rPr>
        <w:t>第八章  评标办法</w:t>
      </w:r>
      <w:bookmarkEnd w:id="1099"/>
      <w:bookmarkEnd w:id="1100"/>
    </w:p>
    <w:p w14:paraId="57BEA7A5">
      <w:pPr>
        <w:spacing w:after="120"/>
        <w:jc w:val="center"/>
        <w:rPr>
          <w:rFonts w:ascii="宋体" w:hAnsi="宋体" w:cs="宋体"/>
          <w:b/>
          <w:color w:val="auto"/>
          <w:sz w:val="24"/>
        </w:rPr>
      </w:pPr>
      <w:bookmarkStart w:id="1101" w:name="_Toc440877588"/>
    </w:p>
    <w:p w14:paraId="143B5367">
      <w:pPr>
        <w:spacing w:after="120"/>
        <w:jc w:val="center"/>
        <w:outlineLvl w:val="0"/>
        <w:rPr>
          <w:rFonts w:ascii="Calibri" w:hAnsi="Calibri"/>
          <w:color w:val="auto"/>
        </w:rPr>
      </w:pPr>
      <w:bookmarkStart w:id="1102" w:name="_Toc25133"/>
      <w:r>
        <w:rPr>
          <w:rFonts w:hint="eastAsia" w:ascii="宋体" w:hAnsi="宋体" w:cs="宋体"/>
          <w:b/>
          <w:color w:val="auto"/>
          <w:sz w:val="24"/>
        </w:rPr>
        <w:t>评分办法前附表</w:t>
      </w:r>
      <w:bookmarkEnd w:id="1102"/>
    </w:p>
    <w:tbl>
      <w:tblPr>
        <w:tblStyle w:val="52"/>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2033"/>
        <w:gridCol w:w="413"/>
        <w:gridCol w:w="6397"/>
      </w:tblGrid>
      <w:tr w14:paraId="2A00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noWrap/>
            <w:vAlign w:val="center"/>
          </w:tcPr>
          <w:p w14:paraId="4DE18CB1">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条款名称</w:t>
            </w:r>
          </w:p>
        </w:tc>
        <w:tc>
          <w:tcPr>
            <w:tcW w:w="2446" w:type="dxa"/>
            <w:gridSpan w:val="2"/>
            <w:noWrap/>
            <w:vAlign w:val="center"/>
          </w:tcPr>
          <w:p w14:paraId="549B61AB">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评审因素</w:t>
            </w:r>
          </w:p>
        </w:tc>
        <w:tc>
          <w:tcPr>
            <w:tcW w:w="6397" w:type="dxa"/>
            <w:noWrap/>
            <w:vAlign w:val="center"/>
          </w:tcPr>
          <w:p w14:paraId="5835F4F9">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tc>
      </w:tr>
      <w:tr w14:paraId="119C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63" w:type="dxa"/>
            <w:vMerge w:val="restart"/>
            <w:noWrap/>
            <w:vAlign w:val="center"/>
          </w:tcPr>
          <w:p w14:paraId="3378CCB4">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b/>
                <w:bCs/>
                <w:color w:val="auto"/>
                <w:kern w:val="0"/>
                <w:szCs w:val="21"/>
              </w:rPr>
              <w:t>初步评审</w:t>
            </w:r>
          </w:p>
        </w:tc>
        <w:tc>
          <w:tcPr>
            <w:tcW w:w="832" w:type="dxa"/>
            <w:vMerge w:val="restart"/>
            <w:noWrap/>
            <w:vAlign w:val="center"/>
          </w:tcPr>
          <w:p w14:paraId="5D6D5336">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资格性审查</w:t>
            </w:r>
          </w:p>
        </w:tc>
        <w:tc>
          <w:tcPr>
            <w:tcW w:w="2446" w:type="dxa"/>
            <w:gridSpan w:val="2"/>
            <w:noWrap/>
            <w:vAlign w:val="center"/>
          </w:tcPr>
          <w:p w14:paraId="5092320D">
            <w:pPr>
              <w:spacing w:line="440" w:lineRule="exact"/>
              <w:jc w:val="center"/>
              <w:rPr>
                <w:rFonts w:ascii="宋体" w:hAnsi="宋体" w:cs="宋体"/>
                <w:color w:val="auto"/>
                <w:kern w:val="0"/>
                <w:szCs w:val="21"/>
              </w:rPr>
            </w:pPr>
            <w:r>
              <w:rPr>
                <w:rFonts w:ascii="宋体" w:hAnsi="宋体"/>
                <w:color w:val="auto"/>
                <w:szCs w:val="21"/>
              </w:rPr>
              <w:t>营业执照</w:t>
            </w:r>
          </w:p>
        </w:tc>
        <w:tc>
          <w:tcPr>
            <w:tcW w:w="6397" w:type="dxa"/>
            <w:noWrap/>
            <w:vAlign w:val="center"/>
          </w:tcPr>
          <w:p w14:paraId="4C09E8EA">
            <w:pPr>
              <w:spacing w:line="440" w:lineRule="exact"/>
              <w:rPr>
                <w:rFonts w:ascii="宋体" w:hAnsi="宋体" w:cs="宋体"/>
                <w:color w:val="auto"/>
                <w:kern w:val="0"/>
                <w:szCs w:val="21"/>
              </w:rPr>
            </w:pPr>
            <w:r>
              <w:rPr>
                <w:rFonts w:ascii="宋体" w:hAnsi="宋体"/>
                <w:color w:val="auto"/>
                <w:szCs w:val="21"/>
              </w:rPr>
              <w:t>具备有效的营业执照</w:t>
            </w:r>
            <w:r>
              <w:rPr>
                <w:rFonts w:hint="eastAsia" w:ascii="宋体" w:hAnsi="宋体"/>
                <w:color w:val="auto"/>
                <w:szCs w:val="21"/>
              </w:rPr>
              <w:t>。</w:t>
            </w:r>
          </w:p>
        </w:tc>
      </w:tr>
      <w:tr w14:paraId="0E6E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63" w:type="dxa"/>
            <w:vMerge w:val="continue"/>
            <w:noWrap/>
            <w:vAlign w:val="center"/>
          </w:tcPr>
          <w:p w14:paraId="45F7400A">
            <w:pPr>
              <w:autoSpaceDE w:val="0"/>
              <w:autoSpaceDN w:val="0"/>
              <w:adjustRightInd w:val="0"/>
              <w:spacing w:line="420" w:lineRule="exact"/>
              <w:jc w:val="center"/>
              <w:rPr>
                <w:rFonts w:ascii="宋体" w:hAnsi="宋体" w:cs="宋体"/>
                <w:b/>
                <w:bCs/>
                <w:color w:val="auto"/>
                <w:kern w:val="0"/>
                <w:szCs w:val="21"/>
              </w:rPr>
            </w:pPr>
          </w:p>
        </w:tc>
        <w:tc>
          <w:tcPr>
            <w:tcW w:w="832" w:type="dxa"/>
            <w:vMerge w:val="continue"/>
            <w:noWrap/>
            <w:vAlign w:val="center"/>
          </w:tcPr>
          <w:p w14:paraId="1EC87F39">
            <w:pPr>
              <w:autoSpaceDE w:val="0"/>
              <w:autoSpaceDN w:val="0"/>
              <w:adjustRightInd w:val="0"/>
              <w:spacing w:line="420" w:lineRule="exact"/>
              <w:jc w:val="center"/>
              <w:rPr>
                <w:rFonts w:ascii="宋体" w:hAnsi="宋体" w:cs="宋体"/>
                <w:b/>
                <w:bCs/>
                <w:color w:val="auto"/>
                <w:kern w:val="0"/>
                <w:szCs w:val="21"/>
              </w:rPr>
            </w:pPr>
          </w:p>
        </w:tc>
        <w:tc>
          <w:tcPr>
            <w:tcW w:w="2446" w:type="dxa"/>
            <w:gridSpan w:val="2"/>
            <w:noWrap/>
            <w:vAlign w:val="center"/>
          </w:tcPr>
          <w:p w14:paraId="123EEAFA">
            <w:pPr>
              <w:spacing w:line="440" w:lineRule="exact"/>
              <w:jc w:val="center"/>
              <w:rPr>
                <w:rFonts w:ascii="宋体" w:hAnsi="宋体" w:cs="宋体"/>
                <w:color w:val="auto"/>
                <w:kern w:val="0"/>
                <w:szCs w:val="21"/>
              </w:rPr>
            </w:pPr>
            <w:r>
              <w:rPr>
                <w:rFonts w:ascii="宋体" w:hAnsi="宋体"/>
                <w:color w:val="auto"/>
                <w:szCs w:val="21"/>
              </w:rPr>
              <w:t>资质等级</w:t>
            </w:r>
          </w:p>
        </w:tc>
        <w:tc>
          <w:tcPr>
            <w:tcW w:w="6397" w:type="dxa"/>
            <w:noWrap/>
            <w:vAlign w:val="center"/>
          </w:tcPr>
          <w:p w14:paraId="0642AA42">
            <w:pPr>
              <w:spacing w:line="440" w:lineRule="exact"/>
              <w:rPr>
                <w:rFonts w:ascii="宋体" w:hAnsi="宋体" w:cs="宋体"/>
                <w:color w:val="auto"/>
                <w:kern w:val="0"/>
                <w:szCs w:val="21"/>
              </w:rPr>
            </w:pPr>
            <w:r>
              <w:rPr>
                <w:rFonts w:ascii="宋体" w:hAnsi="宋体"/>
                <w:color w:val="auto"/>
                <w:szCs w:val="21"/>
              </w:rPr>
              <w:t>符合“</w:t>
            </w:r>
            <w:r>
              <w:rPr>
                <w:rFonts w:hint="eastAsia" w:ascii="宋体" w:hAnsi="宋体"/>
                <w:color w:val="auto"/>
                <w:szCs w:val="21"/>
              </w:rPr>
              <w:t>磋商供应商须知前附表</w:t>
            </w:r>
            <w:r>
              <w:rPr>
                <w:rFonts w:ascii="宋体" w:hAnsi="宋体"/>
                <w:color w:val="auto"/>
                <w:szCs w:val="21"/>
              </w:rPr>
              <w:t>”</w:t>
            </w:r>
            <w:r>
              <w:rPr>
                <w:rFonts w:hint="eastAsia" w:ascii="宋体" w:hAnsi="宋体"/>
                <w:color w:val="auto"/>
                <w:szCs w:val="21"/>
              </w:rPr>
              <w:t>第6项</w:t>
            </w:r>
            <w:r>
              <w:rPr>
                <w:rFonts w:ascii="宋体" w:hAnsi="宋体"/>
                <w:color w:val="auto"/>
                <w:szCs w:val="21"/>
              </w:rPr>
              <w:t>规定</w:t>
            </w:r>
            <w:r>
              <w:rPr>
                <w:rFonts w:hint="eastAsia" w:ascii="宋体" w:hAnsi="宋体"/>
                <w:color w:val="auto"/>
                <w:szCs w:val="21"/>
              </w:rPr>
              <w:t>。</w:t>
            </w:r>
          </w:p>
        </w:tc>
      </w:tr>
      <w:tr w14:paraId="6E63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CE6E558">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52D3BBB4">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3C955C8E">
            <w:pPr>
              <w:spacing w:line="440" w:lineRule="exact"/>
              <w:jc w:val="center"/>
              <w:rPr>
                <w:rFonts w:ascii="宋体" w:hAnsi="宋体" w:cs="宋体"/>
                <w:color w:val="auto"/>
                <w:kern w:val="0"/>
                <w:szCs w:val="21"/>
              </w:rPr>
            </w:pPr>
            <w:r>
              <w:rPr>
                <w:rFonts w:ascii="宋体" w:hAnsi="宋体"/>
                <w:color w:val="auto"/>
                <w:szCs w:val="21"/>
              </w:rPr>
              <w:t>安全生产许可证</w:t>
            </w:r>
          </w:p>
        </w:tc>
        <w:tc>
          <w:tcPr>
            <w:tcW w:w="6397" w:type="dxa"/>
            <w:noWrap/>
            <w:vAlign w:val="center"/>
          </w:tcPr>
          <w:p w14:paraId="765266F8">
            <w:pPr>
              <w:spacing w:line="440" w:lineRule="exact"/>
              <w:rPr>
                <w:rFonts w:ascii="宋体" w:hAnsi="宋体" w:cs="宋体"/>
                <w:color w:val="auto"/>
                <w:kern w:val="0"/>
                <w:szCs w:val="21"/>
              </w:rPr>
            </w:pPr>
            <w:r>
              <w:rPr>
                <w:rFonts w:ascii="宋体" w:hAnsi="宋体"/>
                <w:color w:val="auto"/>
                <w:szCs w:val="21"/>
              </w:rPr>
              <w:t>具备有效的安全生产许可证</w:t>
            </w:r>
            <w:r>
              <w:rPr>
                <w:rFonts w:hint="eastAsia" w:ascii="宋体" w:hAnsi="宋体"/>
                <w:color w:val="auto"/>
                <w:szCs w:val="21"/>
              </w:rPr>
              <w:t>。</w:t>
            </w:r>
          </w:p>
        </w:tc>
      </w:tr>
      <w:tr w14:paraId="6FEF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5E2251D2">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4A61BED2">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18C6A821">
            <w:pPr>
              <w:spacing w:line="440" w:lineRule="exact"/>
              <w:jc w:val="center"/>
              <w:rPr>
                <w:rFonts w:ascii="宋体" w:hAnsi="宋体"/>
                <w:color w:val="auto"/>
                <w:szCs w:val="21"/>
              </w:rPr>
            </w:pPr>
            <w:r>
              <w:rPr>
                <w:rFonts w:hint="eastAsia" w:ascii="宋体" w:hAnsi="宋体"/>
                <w:color w:val="auto"/>
                <w:szCs w:val="21"/>
              </w:rPr>
              <w:t>“诚信要求”信用查询</w:t>
            </w:r>
          </w:p>
        </w:tc>
        <w:tc>
          <w:tcPr>
            <w:tcW w:w="6397" w:type="dxa"/>
            <w:noWrap/>
            <w:vAlign w:val="center"/>
          </w:tcPr>
          <w:p w14:paraId="0704C2BD">
            <w:pPr>
              <w:spacing w:line="440" w:lineRule="exact"/>
              <w:rPr>
                <w:rFonts w:ascii="宋体" w:hAnsi="宋体"/>
                <w:color w:val="auto"/>
                <w:szCs w:val="21"/>
              </w:rPr>
            </w:pPr>
            <w:r>
              <w:rPr>
                <w:rFonts w:ascii="宋体" w:hAnsi="宋体"/>
                <w:color w:val="auto"/>
                <w:szCs w:val="21"/>
              </w:rPr>
              <w:t>符合“</w:t>
            </w:r>
            <w:r>
              <w:rPr>
                <w:rFonts w:hint="eastAsia" w:ascii="宋体" w:hAnsi="宋体"/>
                <w:color w:val="auto"/>
                <w:szCs w:val="21"/>
              </w:rPr>
              <w:t>磋商供应商须知前附表</w:t>
            </w:r>
            <w:r>
              <w:rPr>
                <w:rFonts w:ascii="宋体" w:hAnsi="宋体"/>
                <w:color w:val="auto"/>
                <w:szCs w:val="21"/>
              </w:rPr>
              <w:t>”</w:t>
            </w:r>
            <w:r>
              <w:rPr>
                <w:rFonts w:hint="eastAsia" w:ascii="宋体" w:hAnsi="宋体"/>
                <w:color w:val="auto"/>
                <w:szCs w:val="21"/>
              </w:rPr>
              <w:t>第6项</w:t>
            </w:r>
            <w:r>
              <w:rPr>
                <w:rFonts w:ascii="宋体" w:hAnsi="宋体"/>
                <w:color w:val="auto"/>
                <w:szCs w:val="21"/>
              </w:rPr>
              <w:t>规定</w:t>
            </w:r>
            <w:r>
              <w:rPr>
                <w:rFonts w:hint="eastAsia" w:ascii="宋体" w:hAnsi="宋体"/>
                <w:color w:val="auto"/>
                <w:szCs w:val="21"/>
              </w:rPr>
              <w:t>。</w:t>
            </w:r>
          </w:p>
        </w:tc>
      </w:tr>
      <w:tr w14:paraId="3718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57FCBE7E">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3DB1B826">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3CCEBD40">
            <w:pPr>
              <w:spacing w:line="440" w:lineRule="exact"/>
              <w:jc w:val="center"/>
              <w:rPr>
                <w:rFonts w:hAnsi="宋体" w:cs="宋体"/>
                <w:bCs/>
                <w:color w:val="auto"/>
                <w:szCs w:val="21"/>
              </w:rPr>
            </w:pPr>
            <w:r>
              <w:rPr>
                <w:rFonts w:hint="eastAsia" w:hAnsi="宋体" w:cs="宋体"/>
                <w:bCs/>
                <w:color w:val="auto"/>
                <w:szCs w:val="21"/>
              </w:rPr>
              <w:t>法定代表人身份证明书</w:t>
            </w:r>
          </w:p>
        </w:tc>
        <w:tc>
          <w:tcPr>
            <w:tcW w:w="6397" w:type="dxa"/>
            <w:noWrap/>
            <w:vAlign w:val="center"/>
          </w:tcPr>
          <w:p w14:paraId="3478BF3C">
            <w:pPr>
              <w:spacing w:line="440" w:lineRule="exact"/>
              <w:rPr>
                <w:rFonts w:hAnsi="宋体" w:cs="宋体"/>
                <w:bCs/>
                <w:color w:val="auto"/>
                <w:szCs w:val="21"/>
              </w:rPr>
            </w:pPr>
            <w:r>
              <w:rPr>
                <w:rFonts w:ascii="宋体" w:hAnsi="宋体"/>
                <w:color w:val="auto"/>
                <w:szCs w:val="21"/>
              </w:rPr>
              <w:t>具备</w:t>
            </w:r>
            <w:r>
              <w:rPr>
                <w:rFonts w:hint="eastAsia" w:hAnsi="宋体" w:cs="宋体"/>
                <w:bCs/>
                <w:color w:val="auto"/>
                <w:szCs w:val="21"/>
              </w:rPr>
              <w:t>有效的法定代表人身份证明书</w:t>
            </w:r>
          </w:p>
        </w:tc>
      </w:tr>
      <w:tr w14:paraId="2368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30EBC370">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53A3086A">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0DC8C01F">
            <w:pPr>
              <w:spacing w:line="440" w:lineRule="exact"/>
              <w:jc w:val="center"/>
              <w:rPr>
                <w:rFonts w:hAnsi="宋体" w:cs="宋体"/>
                <w:bCs/>
                <w:color w:val="auto"/>
                <w:szCs w:val="21"/>
              </w:rPr>
            </w:pPr>
            <w:r>
              <w:rPr>
                <w:rFonts w:hint="eastAsia" w:hAnsi="宋体" w:cs="宋体"/>
                <w:bCs/>
                <w:color w:val="auto"/>
                <w:szCs w:val="21"/>
              </w:rPr>
              <w:t>授权委托书</w:t>
            </w:r>
          </w:p>
        </w:tc>
        <w:tc>
          <w:tcPr>
            <w:tcW w:w="6397" w:type="dxa"/>
            <w:noWrap/>
            <w:vAlign w:val="center"/>
          </w:tcPr>
          <w:p w14:paraId="5DF9E436">
            <w:pPr>
              <w:spacing w:line="440" w:lineRule="exact"/>
              <w:rPr>
                <w:rFonts w:hAnsi="宋体" w:cs="宋体"/>
                <w:b/>
                <w:bCs/>
                <w:color w:val="auto"/>
                <w:szCs w:val="21"/>
              </w:rPr>
            </w:pPr>
            <w:r>
              <w:rPr>
                <w:rFonts w:ascii="宋体" w:hAnsi="宋体"/>
                <w:color w:val="auto"/>
                <w:szCs w:val="21"/>
              </w:rPr>
              <w:t>具备</w:t>
            </w:r>
            <w:r>
              <w:rPr>
                <w:rFonts w:hint="eastAsia" w:hAnsi="宋体" w:cs="宋体"/>
                <w:bCs/>
                <w:color w:val="auto"/>
                <w:szCs w:val="21"/>
              </w:rPr>
              <w:t>有效的授权委托书</w:t>
            </w:r>
          </w:p>
        </w:tc>
      </w:tr>
      <w:tr w14:paraId="3645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B4A4FFF">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6B55721E">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472E1542">
            <w:pPr>
              <w:spacing w:line="440" w:lineRule="exact"/>
              <w:jc w:val="center"/>
              <w:rPr>
                <w:rFonts w:ascii="宋体" w:hAnsi="宋体" w:cs="宋体"/>
                <w:color w:val="auto"/>
                <w:kern w:val="0"/>
                <w:szCs w:val="21"/>
              </w:rPr>
            </w:pPr>
            <w:r>
              <w:rPr>
                <w:rFonts w:hint="eastAsia" w:hAnsi="宋体" w:cs="宋体"/>
                <w:bCs/>
                <w:color w:val="auto"/>
                <w:szCs w:val="21"/>
              </w:rPr>
              <w:t>依法纳税证明</w:t>
            </w:r>
          </w:p>
        </w:tc>
        <w:tc>
          <w:tcPr>
            <w:tcW w:w="6397" w:type="dxa"/>
            <w:noWrap/>
            <w:vAlign w:val="center"/>
          </w:tcPr>
          <w:p w14:paraId="77B69344">
            <w:pPr>
              <w:spacing w:line="440" w:lineRule="exact"/>
              <w:rPr>
                <w:rFonts w:ascii="宋体" w:hAnsi="宋体" w:cs="宋体"/>
                <w:color w:val="auto"/>
                <w:kern w:val="0"/>
                <w:szCs w:val="21"/>
              </w:rPr>
            </w:pPr>
            <w:r>
              <w:rPr>
                <w:rFonts w:hint="eastAsia" w:hAnsi="宋体" w:cs="宋体"/>
                <w:bCs/>
                <w:color w:val="auto"/>
                <w:szCs w:val="21"/>
              </w:rPr>
              <w:t>磋商截止之日前半年内连续三个月供应商依法纳税证明；无纳税记录的，应提供由竞标人所在地的税务部门出具的《依法纳税或依法免税证明》。</w:t>
            </w:r>
          </w:p>
        </w:tc>
      </w:tr>
      <w:tr w14:paraId="10E2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63" w:type="dxa"/>
            <w:vMerge w:val="continue"/>
            <w:noWrap/>
            <w:vAlign w:val="center"/>
          </w:tcPr>
          <w:p w14:paraId="24FA7328">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3B755286">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612F1555">
            <w:pPr>
              <w:spacing w:line="440" w:lineRule="exact"/>
              <w:jc w:val="center"/>
              <w:rPr>
                <w:rFonts w:hAnsi="宋体" w:cs="宋体"/>
                <w:bCs/>
                <w:color w:val="auto"/>
                <w:szCs w:val="21"/>
              </w:rPr>
            </w:pPr>
            <w:r>
              <w:rPr>
                <w:rFonts w:hint="eastAsia" w:hAnsi="宋体" w:cs="宋体"/>
                <w:bCs/>
                <w:color w:val="auto"/>
                <w:szCs w:val="21"/>
              </w:rPr>
              <w:t>依法缴纳社保证明</w:t>
            </w:r>
          </w:p>
        </w:tc>
        <w:tc>
          <w:tcPr>
            <w:tcW w:w="6397" w:type="dxa"/>
            <w:noWrap/>
            <w:vAlign w:val="center"/>
          </w:tcPr>
          <w:p w14:paraId="320132DB">
            <w:pPr>
              <w:spacing w:line="440" w:lineRule="exact"/>
              <w:rPr>
                <w:rFonts w:hAnsi="宋体" w:cs="宋体"/>
                <w:bCs/>
                <w:color w:val="auto"/>
                <w:szCs w:val="21"/>
              </w:rPr>
            </w:pPr>
            <w:r>
              <w:rPr>
                <w:rFonts w:hint="eastAsia" w:hAnsi="宋体" w:cs="宋体"/>
                <w:bCs/>
                <w:color w:val="auto"/>
                <w:szCs w:val="21"/>
              </w:rPr>
              <w:t>磋商截止之日前半年内连续三个月供应商依法缴纳社保证明；无纳税记录的，应提供由投标人所在地社保部门出具的《依法缴纳或依法免缴社保费证明》</w:t>
            </w:r>
          </w:p>
        </w:tc>
      </w:tr>
      <w:tr w14:paraId="757C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AC82A0C">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35F3629A">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2ABF9469">
            <w:pPr>
              <w:spacing w:line="440" w:lineRule="exact"/>
              <w:jc w:val="center"/>
              <w:rPr>
                <w:rFonts w:ascii="宋体" w:hAnsi="宋体" w:cs="宋体"/>
                <w:color w:val="auto"/>
                <w:kern w:val="0"/>
                <w:szCs w:val="21"/>
              </w:rPr>
            </w:pPr>
            <w:r>
              <w:rPr>
                <w:rFonts w:hint="eastAsia" w:ascii="宋体" w:hAnsi="宋体"/>
                <w:color w:val="auto"/>
                <w:szCs w:val="21"/>
              </w:rPr>
              <w:t>项目经理</w:t>
            </w:r>
          </w:p>
        </w:tc>
        <w:tc>
          <w:tcPr>
            <w:tcW w:w="6397" w:type="dxa"/>
            <w:noWrap/>
            <w:vAlign w:val="center"/>
          </w:tcPr>
          <w:p w14:paraId="1F6FED0B">
            <w:pPr>
              <w:spacing w:line="440" w:lineRule="exact"/>
              <w:rPr>
                <w:rFonts w:ascii="宋体" w:hAnsi="宋体" w:cs="宋体"/>
                <w:color w:val="auto"/>
                <w:kern w:val="0"/>
                <w:szCs w:val="21"/>
              </w:rPr>
            </w:pPr>
            <w:r>
              <w:rPr>
                <w:rFonts w:hint="eastAsia" w:ascii="宋体" w:hAnsi="宋体"/>
                <w:color w:val="auto"/>
                <w:szCs w:val="21"/>
                <w:lang w:eastAsia="zh-CN"/>
              </w:rPr>
              <w:t>具备市政公用工程</w:t>
            </w:r>
            <w:r>
              <w:rPr>
                <w:rFonts w:hint="eastAsia" w:ascii="宋体" w:hAnsi="宋体"/>
                <w:color w:val="auto"/>
                <w:szCs w:val="21"/>
              </w:rPr>
              <w:t>二级及以上注册建造师证书及有效的省级或省级以上建设行政主管部门颁发的安全生产考核合格证书的扫描件；</w:t>
            </w:r>
          </w:p>
        </w:tc>
      </w:tr>
      <w:tr w14:paraId="2D6F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63" w:type="dxa"/>
            <w:vMerge w:val="continue"/>
            <w:noWrap/>
            <w:vAlign w:val="center"/>
          </w:tcPr>
          <w:p w14:paraId="42BFC4A9">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047C9E1A">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4AFD35D6">
            <w:pPr>
              <w:spacing w:line="440" w:lineRule="exact"/>
              <w:jc w:val="center"/>
              <w:rPr>
                <w:rFonts w:ascii="宋体" w:hAnsi="宋体" w:cs="宋体"/>
                <w:color w:val="auto"/>
                <w:kern w:val="0"/>
                <w:szCs w:val="21"/>
              </w:rPr>
            </w:pPr>
            <w:r>
              <w:rPr>
                <w:rFonts w:hint="eastAsia" w:ascii="宋体" w:hAnsi="宋体"/>
                <w:color w:val="auto"/>
                <w:szCs w:val="21"/>
              </w:rPr>
              <w:t>专职安全员</w:t>
            </w:r>
          </w:p>
        </w:tc>
        <w:tc>
          <w:tcPr>
            <w:tcW w:w="6397" w:type="dxa"/>
            <w:noWrap/>
            <w:vAlign w:val="center"/>
          </w:tcPr>
          <w:p w14:paraId="0C3849BD">
            <w:pPr>
              <w:spacing w:line="440" w:lineRule="exact"/>
              <w:rPr>
                <w:rFonts w:ascii="宋体" w:hAnsi="宋体" w:cs="宋体"/>
                <w:color w:val="auto"/>
                <w:kern w:val="0"/>
                <w:szCs w:val="21"/>
              </w:rPr>
            </w:pPr>
            <w:r>
              <w:rPr>
                <w:rFonts w:hint="eastAsia" w:ascii="宋体" w:hAnsi="宋体"/>
                <w:color w:val="auto"/>
                <w:szCs w:val="21"/>
              </w:rPr>
              <w:t>具有有效的省级或省级以上建设行政主管部门颁发的安全生产考核合格证书</w:t>
            </w:r>
            <w:r>
              <w:rPr>
                <w:rFonts w:hint="eastAsia" w:ascii="宋体" w:hAnsi="宋体" w:cs="宋体"/>
                <w:color w:val="auto"/>
              </w:rPr>
              <w:t>。</w:t>
            </w:r>
          </w:p>
        </w:tc>
      </w:tr>
      <w:tr w14:paraId="6D5B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704D99D">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48C44245">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77DC0581">
            <w:pPr>
              <w:spacing w:line="440" w:lineRule="exact"/>
              <w:jc w:val="center"/>
              <w:rPr>
                <w:rFonts w:ascii="宋体" w:hAnsi="宋体" w:cs="宋体"/>
                <w:color w:val="auto"/>
                <w:szCs w:val="21"/>
              </w:rPr>
            </w:pPr>
            <w:r>
              <w:rPr>
                <w:rFonts w:hint="eastAsia" w:ascii="宋体" w:hAnsi="宋体" w:cs="宋体"/>
                <w:color w:val="auto"/>
                <w:szCs w:val="21"/>
              </w:rPr>
              <w:t>财务状况</w:t>
            </w:r>
          </w:p>
        </w:tc>
        <w:tc>
          <w:tcPr>
            <w:tcW w:w="6397" w:type="dxa"/>
            <w:noWrap/>
            <w:vAlign w:val="center"/>
          </w:tcPr>
          <w:p w14:paraId="2C9A92FF">
            <w:pPr>
              <w:spacing w:line="440" w:lineRule="exact"/>
              <w:rPr>
                <w:rFonts w:ascii="宋体" w:hAnsi="宋体" w:cs="宋体"/>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4</w:t>
            </w:r>
            <w:r>
              <w:rPr>
                <w:rFonts w:hint="eastAsia" w:ascii="宋体" w:hAnsi="宋体" w:cs="宋体"/>
                <w:color w:val="auto"/>
                <w:szCs w:val="21"/>
              </w:rPr>
              <w:t>年经审计的财务报告，或磋商公告日期后银行出具的有效资信证明，或磋商公告日期后政府采购专业担保机构出具的有效投标担保函。</w:t>
            </w:r>
          </w:p>
        </w:tc>
      </w:tr>
      <w:tr w14:paraId="6442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5DE3E99C">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54C34F8B">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04566AA6">
            <w:pPr>
              <w:spacing w:line="440" w:lineRule="exact"/>
              <w:jc w:val="center"/>
              <w:rPr>
                <w:rFonts w:ascii="宋体" w:hAnsi="宋体" w:cs="宋体"/>
                <w:color w:val="auto"/>
                <w:szCs w:val="21"/>
              </w:rPr>
            </w:pPr>
            <w:r>
              <w:rPr>
                <w:rFonts w:hint="eastAsia" w:ascii="宋体" w:hAnsi="宋体" w:cs="宋体"/>
                <w:color w:val="auto"/>
                <w:szCs w:val="21"/>
              </w:rPr>
              <w:t>其他</w:t>
            </w:r>
          </w:p>
        </w:tc>
        <w:tc>
          <w:tcPr>
            <w:tcW w:w="6397" w:type="dxa"/>
            <w:noWrap/>
            <w:vAlign w:val="center"/>
          </w:tcPr>
          <w:p w14:paraId="774C1DC5">
            <w:pPr>
              <w:spacing w:line="440" w:lineRule="exact"/>
              <w:rPr>
                <w:rFonts w:ascii="宋体" w:hAnsi="宋体" w:cs="宋体"/>
                <w:color w:val="auto"/>
                <w:szCs w:val="21"/>
              </w:rPr>
            </w:pPr>
            <w:r>
              <w:rPr>
                <w:rFonts w:hint="eastAsia" w:ascii="宋体" w:hAnsi="宋体" w:cs="宋体"/>
                <w:color w:val="auto"/>
                <w:szCs w:val="21"/>
              </w:rPr>
              <w:t>磋商供应商认为必要提供的声明及文件资料。</w:t>
            </w:r>
          </w:p>
        </w:tc>
      </w:tr>
      <w:tr w14:paraId="7AAD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60A7F13">
            <w:pPr>
              <w:autoSpaceDE w:val="0"/>
              <w:autoSpaceDN w:val="0"/>
              <w:adjustRightInd w:val="0"/>
              <w:spacing w:line="420" w:lineRule="exact"/>
              <w:rPr>
                <w:rFonts w:ascii="宋体" w:hAnsi="宋体" w:cs="宋体"/>
                <w:color w:val="auto"/>
                <w:kern w:val="0"/>
                <w:szCs w:val="21"/>
              </w:rPr>
            </w:pPr>
          </w:p>
        </w:tc>
        <w:tc>
          <w:tcPr>
            <w:tcW w:w="9675" w:type="dxa"/>
            <w:gridSpan w:val="4"/>
            <w:noWrap/>
            <w:vAlign w:val="center"/>
          </w:tcPr>
          <w:p w14:paraId="7ED36A42">
            <w:pPr>
              <w:autoSpaceDE w:val="0"/>
              <w:autoSpaceDN w:val="0"/>
              <w:adjustRightInd w:val="0"/>
              <w:spacing w:line="420" w:lineRule="exact"/>
              <w:rPr>
                <w:rFonts w:ascii="宋体" w:hAnsi="宋体" w:cs="宋体"/>
                <w:b/>
                <w:color w:val="auto"/>
                <w:szCs w:val="21"/>
              </w:rPr>
            </w:pPr>
            <w:r>
              <w:rPr>
                <w:rFonts w:hint="eastAsia" w:ascii="宋体" w:hAnsi="宋体" w:cs="宋体"/>
                <w:b/>
                <w:color w:val="auto"/>
                <w:szCs w:val="21"/>
              </w:rPr>
              <w:t>资格性审查项中缺少任何一项或有任何一项不合格者其资格审查视为不合格，资格评审不合格的磋商人不得进入符合性评审。</w:t>
            </w:r>
          </w:p>
        </w:tc>
      </w:tr>
      <w:tr w14:paraId="1470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874B4E8">
            <w:pPr>
              <w:autoSpaceDE w:val="0"/>
              <w:autoSpaceDN w:val="0"/>
              <w:adjustRightInd w:val="0"/>
              <w:spacing w:line="420" w:lineRule="exact"/>
              <w:jc w:val="center"/>
              <w:rPr>
                <w:rFonts w:ascii="宋体" w:hAnsi="宋体" w:cs="宋体"/>
                <w:color w:val="auto"/>
                <w:kern w:val="0"/>
                <w:szCs w:val="21"/>
              </w:rPr>
            </w:pPr>
          </w:p>
        </w:tc>
        <w:tc>
          <w:tcPr>
            <w:tcW w:w="832" w:type="dxa"/>
            <w:vMerge w:val="restart"/>
            <w:noWrap/>
            <w:vAlign w:val="center"/>
          </w:tcPr>
          <w:p w14:paraId="7443FB84">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符合性审查</w:t>
            </w:r>
          </w:p>
        </w:tc>
        <w:tc>
          <w:tcPr>
            <w:tcW w:w="2446" w:type="dxa"/>
            <w:gridSpan w:val="2"/>
            <w:noWrap/>
            <w:vAlign w:val="center"/>
          </w:tcPr>
          <w:p w14:paraId="0B7F8948">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color w:val="auto"/>
                <w:kern w:val="0"/>
                <w:szCs w:val="21"/>
              </w:rPr>
              <w:t>磋商报价</w:t>
            </w:r>
          </w:p>
        </w:tc>
        <w:tc>
          <w:tcPr>
            <w:tcW w:w="6397" w:type="dxa"/>
            <w:noWrap/>
            <w:vAlign w:val="center"/>
          </w:tcPr>
          <w:p w14:paraId="449DC8C8">
            <w:pPr>
              <w:autoSpaceDE w:val="0"/>
              <w:autoSpaceDN w:val="0"/>
              <w:adjustRightInd w:val="0"/>
              <w:spacing w:line="420" w:lineRule="exact"/>
              <w:rPr>
                <w:rFonts w:ascii="宋体" w:hAnsi="宋体" w:cs="宋体"/>
                <w:color w:val="auto"/>
                <w:kern w:val="0"/>
                <w:szCs w:val="21"/>
              </w:rPr>
            </w:pPr>
            <w:r>
              <w:rPr>
                <w:rFonts w:hint="eastAsia" w:ascii="宋体" w:hAnsi="宋体" w:cs="宋体"/>
                <w:color w:val="auto"/>
                <w:kern w:val="0"/>
                <w:szCs w:val="21"/>
              </w:rPr>
              <w:t>符合第二章“磋商供应商须知正文”</w:t>
            </w:r>
            <w:r>
              <w:rPr>
                <w:rFonts w:hint="eastAsia" w:ascii="宋体" w:hAnsi="宋体"/>
                <w:color w:val="auto"/>
                <w:szCs w:val="21"/>
              </w:rPr>
              <w:t>第6项规定。</w:t>
            </w:r>
          </w:p>
        </w:tc>
      </w:tr>
      <w:tr w14:paraId="176D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D8320BD">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6C66675B">
            <w:pPr>
              <w:autoSpaceDE w:val="0"/>
              <w:autoSpaceDN w:val="0"/>
              <w:adjustRightInd w:val="0"/>
              <w:spacing w:line="420" w:lineRule="exact"/>
              <w:jc w:val="center"/>
              <w:rPr>
                <w:rFonts w:ascii="宋体" w:hAnsi="宋体" w:cs="宋体"/>
                <w:b/>
                <w:bCs/>
                <w:color w:val="auto"/>
                <w:kern w:val="0"/>
                <w:szCs w:val="21"/>
              </w:rPr>
            </w:pPr>
          </w:p>
        </w:tc>
        <w:tc>
          <w:tcPr>
            <w:tcW w:w="2446" w:type="dxa"/>
            <w:gridSpan w:val="2"/>
            <w:noWrap/>
            <w:vAlign w:val="center"/>
          </w:tcPr>
          <w:p w14:paraId="5309E4B4">
            <w:pPr>
              <w:autoSpaceDE w:val="0"/>
              <w:autoSpaceDN w:val="0"/>
              <w:adjustRightInd w:val="0"/>
              <w:spacing w:line="420" w:lineRule="exact"/>
              <w:jc w:val="center"/>
              <w:rPr>
                <w:rFonts w:ascii="宋体" w:hAnsi="宋体" w:cs="宋体"/>
                <w:bCs/>
                <w:color w:val="auto"/>
                <w:szCs w:val="21"/>
              </w:rPr>
            </w:pPr>
            <w:r>
              <w:rPr>
                <w:rFonts w:hint="eastAsia" w:ascii="宋体" w:hAnsi="宋体" w:cs="宋体"/>
                <w:bCs/>
                <w:color w:val="auto"/>
                <w:szCs w:val="21"/>
              </w:rPr>
              <w:t>磋商人</w:t>
            </w:r>
            <w:r>
              <w:rPr>
                <w:rFonts w:hint="eastAsia" w:ascii="宋体" w:hAnsi="宋体" w:cs="宋体"/>
                <w:color w:val="auto"/>
                <w:kern w:val="0"/>
                <w:szCs w:val="21"/>
              </w:rPr>
              <w:t>名称</w:t>
            </w:r>
          </w:p>
        </w:tc>
        <w:tc>
          <w:tcPr>
            <w:tcW w:w="6397" w:type="dxa"/>
            <w:noWrap/>
            <w:vAlign w:val="center"/>
          </w:tcPr>
          <w:p w14:paraId="00A214E5">
            <w:pPr>
              <w:autoSpaceDE w:val="0"/>
              <w:autoSpaceDN w:val="0"/>
              <w:adjustRightInd w:val="0"/>
              <w:spacing w:line="420" w:lineRule="exact"/>
              <w:rPr>
                <w:rFonts w:ascii="宋体" w:hAnsi="宋体" w:cs="宋体"/>
                <w:color w:val="auto"/>
                <w:kern w:val="0"/>
                <w:szCs w:val="21"/>
              </w:rPr>
            </w:pPr>
            <w:r>
              <w:rPr>
                <w:rFonts w:hint="eastAsia" w:ascii="宋体" w:hAnsi="宋体" w:cs="宋体"/>
                <w:color w:val="auto"/>
                <w:kern w:val="0"/>
                <w:szCs w:val="21"/>
              </w:rPr>
              <w:t>与《营业执照》一致；</w:t>
            </w:r>
          </w:p>
        </w:tc>
      </w:tr>
      <w:tr w14:paraId="53E2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7B86FC07">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6CE0899E">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14A5EE5D">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color w:val="auto"/>
                <w:kern w:val="0"/>
                <w:szCs w:val="21"/>
              </w:rPr>
              <w:t>响应文件签字盖章</w:t>
            </w:r>
          </w:p>
        </w:tc>
        <w:tc>
          <w:tcPr>
            <w:tcW w:w="6397" w:type="dxa"/>
            <w:noWrap/>
            <w:vAlign w:val="center"/>
          </w:tcPr>
          <w:p w14:paraId="20541DDF">
            <w:pPr>
              <w:autoSpaceDE w:val="0"/>
              <w:autoSpaceDN w:val="0"/>
              <w:adjustRightInd w:val="0"/>
              <w:spacing w:line="420" w:lineRule="exact"/>
              <w:rPr>
                <w:rFonts w:ascii="宋体" w:hAnsi="宋体" w:cs="宋体"/>
                <w:color w:val="auto"/>
                <w:kern w:val="0"/>
                <w:szCs w:val="21"/>
              </w:rPr>
            </w:pPr>
            <w:r>
              <w:rPr>
                <w:rFonts w:hint="eastAsia" w:ascii="宋体" w:hAnsi="宋体" w:cs="宋体"/>
                <w:color w:val="auto"/>
                <w:kern w:val="0"/>
                <w:szCs w:val="21"/>
              </w:rPr>
              <w:t>符合第二章“磋商供应商须知正文”</w:t>
            </w:r>
            <w:r>
              <w:rPr>
                <w:rFonts w:hint="eastAsia" w:ascii="宋体" w:hAnsi="宋体"/>
                <w:color w:val="auto"/>
                <w:szCs w:val="21"/>
              </w:rPr>
              <w:t>第11项规定。</w:t>
            </w:r>
          </w:p>
        </w:tc>
      </w:tr>
      <w:tr w14:paraId="3535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09B2B33">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3A1CBA57">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7EA2B761">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color w:val="auto"/>
                <w:kern w:val="0"/>
                <w:szCs w:val="21"/>
              </w:rPr>
              <w:t>响应文件格式</w:t>
            </w:r>
          </w:p>
        </w:tc>
        <w:tc>
          <w:tcPr>
            <w:tcW w:w="6397" w:type="dxa"/>
            <w:noWrap/>
            <w:vAlign w:val="center"/>
          </w:tcPr>
          <w:p w14:paraId="78B91EC5">
            <w:pPr>
              <w:autoSpaceDE w:val="0"/>
              <w:autoSpaceDN w:val="0"/>
              <w:adjustRightInd w:val="0"/>
              <w:spacing w:line="420" w:lineRule="exact"/>
              <w:rPr>
                <w:rFonts w:ascii="宋体" w:hAnsi="宋体" w:cs="宋体"/>
                <w:color w:val="auto"/>
                <w:kern w:val="0"/>
                <w:szCs w:val="21"/>
              </w:rPr>
            </w:pPr>
            <w:r>
              <w:rPr>
                <w:rFonts w:hint="eastAsia" w:ascii="宋体" w:hAnsi="宋体" w:cs="宋体"/>
                <w:color w:val="auto"/>
                <w:kern w:val="0"/>
                <w:szCs w:val="21"/>
              </w:rPr>
              <w:t>符合第七章“响应文件格式”的要求。</w:t>
            </w:r>
          </w:p>
        </w:tc>
      </w:tr>
      <w:tr w14:paraId="2F4D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ign w:val="center"/>
          </w:tcPr>
          <w:p w14:paraId="212EAE33">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43914DE1">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6260C436">
            <w:pPr>
              <w:spacing w:line="440" w:lineRule="exact"/>
              <w:jc w:val="center"/>
              <w:rPr>
                <w:rFonts w:ascii="宋体" w:hAnsi="宋体" w:cs="宋体"/>
                <w:color w:val="auto"/>
                <w:kern w:val="0"/>
                <w:szCs w:val="21"/>
              </w:rPr>
            </w:pPr>
            <w:r>
              <w:rPr>
                <w:rFonts w:ascii="宋体" w:hAnsi="宋体"/>
                <w:color w:val="auto"/>
                <w:szCs w:val="21"/>
              </w:rPr>
              <w:t>质量</w:t>
            </w:r>
            <w:r>
              <w:rPr>
                <w:rFonts w:hint="eastAsia" w:ascii="宋体" w:hAnsi="宋体"/>
                <w:color w:val="auto"/>
                <w:szCs w:val="21"/>
              </w:rPr>
              <w:t>要求</w:t>
            </w:r>
          </w:p>
        </w:tc>
        <w:tc>
          <w:tcPr>
            <w:tcW w:w="6397" w:type="dxa"/>
            <w:noWrap/>
            <w:vAlign w:val="center"/>
          </w:tcPr>
          <w:p w14:paraId="105F3296">
            <w:pPr>
              <w:spacing w:line="440" w:lineRule="exact"/>
              <w:rPr>
                <w:rFonts w:ascii="宋体" w:hAnsi="宋体" w:cs="宋体"/>
                <w:color w:val="auto"/>
                <w:kern w:val="0"/>
                <w:szCs w:val="21"/>
              </w:rPr>
            </w:pPr>
            <w:r>
              <w:rPr>
                <w:rFonts w:hint="eastAsia" w:ascii="宋体" w:hAnsi="宋体"/>
                <w:color w:val="auto"/>
                <w:szCs w:val="21"/>
              </w:rPr>
              <w:t>符合</w:t>
            </w:r>
            <w:r>
              <w:rPr>
                <w:rFonts w:ascii="宋体" w:hAnsi="宋体"/>
                <w:color w:val="auto"/>
                <w:szCs w:val="21"/>
              </w:rPr>
              <w:t>“</w:t>
            </w:r>
            <w:r>
              <w:rPr>
                <w:rFonts w:hint="eastAsia" w:ascii="宋体" w:hAnsi="宋体"/>
                <w:color w:val="auto"/>
                <w:szCs w:val="21"/>
              </w:rPr>
              <w:t>磋商供应商须知前附表</w:t>
            </w:r>
            <w:r>
              <w:rPr>
                <w:rFonts w:ascii="宋体" w:hAnsi="宋体"/>
                <w:color w:val="auto"/>
                <w:szCs w:val="21"/>
              </w:rPr>
              <w:t>”</w:t>
            </w:r>
            <w:r>
              <w:rPr>
                <w:rFonts w:hint="eastAsia" w:ascii="宋体" w:hAnsi="宋体"/>
                <w:color w:val="auto"/>
                <w:szCs w:val="21"/>
              </w:rPr>
              <w:t>第5项规定。</w:t>
            </w:r>
          </w:p>
        </w:tc>
      </w:tr>
      <w:tr w14:paraId="22D6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2E33998">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7C14B764">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1A7667C1">
            <w:pPr>
              <w:spacing w:line="440" w:lineRule="exact"/>
              <w:jc w:val="center"/>
              <w:rPr>
                <w:rFonts w:ascii="宋体" w:hAnsi="宋体" w:cs="宋体"/>
                <w:color w:val="auto"/>
                <w:kern w:val="0"/>
                <w:szCs w:val="21"/>
              </w:rPr>
            </w:pPr>
            <w:r>
              <w:rPr>
                <w:rFonts w:ascii="宋体" w:hAnsi="宋体"/>
                <w:color w:val="auto"/>
                <w:szCs w:val="21"/>
              </w:rPr>
              <w:t>工期</w:t>
            </w:r>
          </w:p>
        </w:tc>
        <w:tc>
          <w:tcPr>
            <w:tcW w:w="6397" w:type="dxa"/>
            <w:noWrap/>
            <w:vAlign w:val="center"/>
          </w:tcPr>
          <w:p w14:paraId="2DACF850">
            <w:pPr>
              <w:spacing w:line="440" w:lineRule="exact"/>
              <w:rPr>
                <w:rFonts w:ascii="宋体" w:hAnsi="宋体" w:cs="宋体"/>
                <w:color w:val="auto"/>
                <w:kern w:val="0"/>
                <w:szCs w:val="21"/>
              </w:rPr>
            </w:pPr>
            <w:r>
              <w:rPr>
                <w:rFonts w:hint="eastAsia" w:ascii="宋体" w:hAnsi="宋体"/>
                <w:color w:val="auto"/>
                <w:szCs w:val="21"/>
              </w:rPr>
              <w:t>符合</w:t>
            </w:r>
            <w:r>
              <w:rPr>
                <w:rFonts w:ascii="宋体" w:hAnsi="宋体"/>
                <w:color w:val="auto"/>
                <w:szCs w:val="21"/>
              </w:rPr>
              <w:t>“</w:t>
            </w:r>
            <w:r>
              <w:rPr>
                <w:rFonts w:hint="eastAsia" w:ascii="宋体" w:hAnsi="宋体"/>
                <w:color w:val="auto"/>
                <w:szCs w:val="21"/>
              </w:rPr>
              <w:t>磋商供应商须知前附表</w:t>
            </w:r>
            <w:r>
              <w:rPr>
                <w:rFonts w:ascii="宋体" w:hAnsi="宋体"/>
                <w:color w:val="auto"/>
                <w:szCs w:val="21"/>
              </w:rPr>
              <w:t>”</w:t>
            </w:r>
            <w:r>
              <w:rPr>
                <w:rFonts w:hint="eastAsia" w:ascii="宋体" w:hAnsi="宋体"/>
                <w:color w:val="auto"/>
                <w:szCs w:val="21"/>
              </w:rPr>
              <w:t>第4项规定。</w:t>
            </w:r>
          </w:p>
        </w:tc>
      </w:tr>
      <w:tr w14:paraId="45F1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tcPr>
          <w:p w14:paraId="6EF3CED9">
            <w:pPr>
              <w:autoSpaceDE w:val="0"/>
              <w:autoSpaceDN w:val="0"/>
              <w:adjustRightInd w:val="0"/>
              <w:spacing w:line="420" w:lineRule="exact"/>
              <w:rPr>
                <w:rFonts w:ascii="宋体" w:hAnsi="宋体" w:cs="宋体"/>
                <w:color w:val="auto"/>
                <w:kern w:val="0"/>
                <w:szCs w:val="21"/>
              </w:rPr>
            </w:pPr>
          </w:p>
        </w:tc>
        <w:tc>
          <w:tcPr>
            <w:tcW w:w="832" w:type="dxa"/>
            <w:vMerge w:val="continue"/>
            <w:noWrap/>
          </w:tcPr>
          <w:p w14:paraId="54AD744C">
            <w:pPr>
              <w:autoSpaceDE w:val="0"/>
              <w:autoSpaceDN w:val="0"/>
              <w:adjustRightInd w:val="0"/>
              <w:spacing w:line="420" w:lineRule="exact"/>
              <w:rPr>
                <w:rFonts w:ascii="宋体" w:hAnsi="宋体" w:cs="宋体"/>
                <w:b/>
                <w:color w:val="auto"/>
                <w:szCs w:val="21"/>
              </w:rPr>
            </w:pPr>
          </w:p>
        </w:tc>
        <w:tc>
          <w:tcPr>
            <w:tcW w:w="2446" w:type="dxa"/>
            <w:gridSpan w:val="2"/>
            <w:noWrap/>
          </w:tcPr>
          <w:p w14:paraId="6C3C246C">
            <w:pPr>
              <w:autoSpaceDE w:val="0"/>
              <w:autoSpaceDN w:val="0"/>
              <w:adjustRightInd w:val="0"/>
              <w:spacing w:line="420" w:lineRule="exact"/>
              <w:jc w:val="center"/>
              <w:rPr>
                <w:rFonts w:ascii="宋体" w:hAnsi="宋体" w:cs="宋体"/>
                <w:b/>
                <w:color w:val="auto"/>
                <w:szCs w:val="21"/>
              </w:rPr>
            </w:pPr>
            <w:r>
              <w:rPr>
                <w:rFonts w:hint="eastAsia" w:ascii="宋体" w:hAnsi="宋体" w:cs="宋体"/>
                <w:color w:val="auto"/>
                <w:kern w:val="0"/>
                <w:szCs w:val="21"/>
              </w:rPr>
              <w:t>其他要求</w:t>
            </w:r>
          </w:p>
        </w:tc>
        <w:tc>
          <w:tcPr>
            <w:tcW w:w="6397" w:type="dxa"/>
            <w:noWrap/>
          </w:tcPr>
          <w:p w14:paraId="6BF26D9E">
            <w:pPr>
              <w:autoSpaceDE w:val="0"/>
              <w:autoSpaceDN w:val="0"/>
              <w:adjustRightInd w:val="0"/>
              <w:spacing w:line="420" w:lineRule="exact"/>
              <w:rPr>
                <w:rFonts w:ascii="宋体" w:hAnsi="宋体" w:cs="宋体"/>
                <w:b/>
                <w:color w:val="auto"/>
                <w:szCs w:val="21"/>
              </w:rPr>
            </w:pPr>
            <w:r>
              <w:rPr>
                <w:rFonts w:hint="eastAsia" w:ascii="宋体" w:hAnsi="宋体" w:cs="宋体"/>
                <w:color w:val="auto"/>
                <w:kern w:val="0"/>
                <w:szCs w:val="21"/>
              </w:rPr>
              <w:t>不存在第二章“磋商供应商须知”中任意一项否决或无效投标情形。</w:t>
            </w:r>
          </w:p>
        </w:tc>
      </w:tr>
      <w:tr w14:paraId="18F8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noWrap/>
          </w:tcPr>
          <w:p w14:paraId="78088DE1">
            <w:pPr>
              <w:autoSpaceDE w:val="0"/>
              <w:autoSpaceDN w:val="0"/>
              <w:adjustRightInd w:val="0"/>
              <w:spacing w:line="420" w:lineRule="exact"/>
              <w:rPr>
                <w:rFonts w:ascii="宋体" w:hAnsi="宋体" w:cs="宋体"/>
                <w:color w:val="auto"/>
                <w:kern w:val="0"/>
                <w:szCs w:val="21"/>
              </w:rPr>
            </w:pPr>
          </w:p>
        </w:tc>
        <w:tc>
          <w:tcPr>
            <w:tcW w:w="9675" w:type="dxa"/>
            <w:gridSpan w:val="4"/>
            <w:noWrap/>
          </w:tcPr>
          <w:p w14:paraId="591A83F8">
            <w:pPr>
              <w:autoSpaceDE w:val="0"/>
              <w:autoSpaceDN w:val="0"/>
              <w:adjustRightInd w:val="0"/>
              <w:spacing w:line="420" w:lineRule="exact"/>
              <w:rPr>
                <w:rFonts w:ascii="宋体" w:hAnsi="宋体" w:cs="宋体"/>
                <w:color w:val="auto"/>
                <w:kern w:val="0"/>
                <w:szCs w:val="21"/>
              </w:rPr>
            </w:pPr>
            <w:r>
              <w:rPr>
                <w:rFonts w:hint="eastAsia" w:ascii="宋体" w:hAnsi="宋体" w:cs="宋体"/>
                <w:b/>
                <w:color w:val="auto"/>
                <w:szCs w:val="21"/>
              </w:rPr>
              <w:t>符合性审查项中缺少任何一项或有任何一项不合格者其初步审查视为不合格，初步评审不合格的磋商人不再进入以下各项组成的详细评审。</w:t>
            </w:r>
          </w:p>
        </w:tc>
      </w:tr>
      <w:tr w14:paraId="74FE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0E995B46">
            <w:pPr>
              <w:autoSpaceDE w:val="0"/>
              <w:autoSpaceDN w:val="0"/>
              <w:adjustRightInd w:val="0"/>
              <w:spacing w:line="420" w:lineRule="exact"/>
              <w:jc w:val="center"/>
              <w:rPr>
                <w:rFonts w:ascii="宋体" w:hAnsi="宋体" w:cs="宋体"/>
                <w:b/>
                <w:color w:val="auto"/>
                <w:szCs w:val="21"/>
              </w:rPr>
            </w:pPr>
            <w:r>
              <w:rPr>
                <w:rFonts w:hint="eastAsia" w:ascii="宋体" w:hAnsi="宋体" w:cs="宋体"/>
                <w:b/>
                <w:color w:val="auto"/>
                <w:kern w:val="0"/>
                <w:szCs w:val="21"/>
              </w:rPr>
              <w:t>详细评审标准</w:t>
            </w:r>
          </w:p>
        </w:tc>
      </w:tr>
      <w:tr w14:paraId="4223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noWrap/>
            <w:vAlign w:val="center"/>
          </w:tcPr>
          <w:p w14:paraId="1FFA5ED1">
            <w:pPr>
              <w:spacing w:line="420" w:lineRule="exact"/>
              <w:jc w:val="center"/>
              <w:rPr>
                <w:rFonts w:ascii="宋体" w:hAnsi="宋体" w:cs="宋体"/>
                <w:b/>
                <w:color w:val="auto"/>
                <w:szCs w:val="21"/>
              </w:rPr>
            </w:pPr>
            <w:r>
              <w:rPr>
                <w:rFonts w:hint="eastAsia" w:ascii="宋体" w:hAnsi="宋体" w:cs="宋体"/>
                <w:b/>
                <w:color w:val="auto"/>
                <w:szCs w:val="21"/>
              </w:rPr>
              <w:t>报价分</w:t>
            </w:r>
          </w:p>
          <w:p w14:paraId="0ABE667B">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p w14:paraId="4D7CA094">
            <w:pPr>
              <w:spacing w:line="420" w:lineRule="exact"/>
              <w:jc w:val="center"/>
              <w:rPr>
                <w:rFonts w:ascii="宋体" w:hAnsi="宋体" w:cs="宋体"/>
                <w:color w:val="auto"/>
                <w:szCs w:val="21"/>
              </w:rPr>
            </w:pPr>
            <w:r>
              <w:rPr>
                <w:rFonts w:hint="eastAsia" w:ascii="宋体" w:hAnsi="宋体" w:cs="宋体"/>
                <w:b/>
                <w:color w:val="auto"/>
                <w:szCs w:val="21"/>
              </w:rPr>
              <w:t>（20分）</w:t>
            </w:r>
          </w:p>
        </w:tc>
        <w:tc>
          <w:tcPr>
            <w:tcW w:w="8843" w:type="dxa"/>
            <w:gridSpan w:val="3"/>
            <w:tcBorders>
              <w:top w:val="single" w:color="auto" w:sz="4" w:space="0"/>
              <w:left w:val="single" w:color="auto" w:sz="4" w:space="0"/>
              <w:bottom w:val="single" w:color="auto" w:sz="4" w:space="0"/>
            </w:tcBorders>
            <w:noWrap/>
            <w:vAlign w:val="center"/>
          </w:tcPr>
          <w:p w14:paraId="7F6E8FE3">
            <w:pPr>
              <w:spacing w:line="440" w:lineRule="exact"/>
              <w:ind w:firstLine="420" w:firstLineChars="200"/>
              <w:rPr>
                <w:rFonts w:ascii="宋体" w:hAnsi="宋体"/>
                <w:color w:val="auto"/>
                <w:szCs w:val="21"/>
              </w:rPr>
            </w:pPr>
            <w:r>
              <w:rPr>
                <w:rFonts w:hint="eastAsia" w:ascii="宋体" w:hAnsi="宋体"/>
                <w:b/>
                <w:bCs/>
                <w:color w:val="auto"/>
                <w:szCs w:val="21"/>
              </w:rPr>
              <w:t>评标基准价</w:t>
            </w:r>
            <w:r>
              <w:rPr>
                <w:rFonts w:ascii="宋体" w:hAnsi="宋体"/>
                <w:b/>
                <w:bCs/>
                <w:color w:val="auto"/>
                <w:szCs w:val="21"/>
              </w:rPr>
              <w:t>的</w:t>
            </w:r>
            <w:r>
              <w:rPr>
                <w:rFonts w:hint="eastAsia" w:ascii="宋体" w:hAnsi="宋体"/>
                <w:b/>
                <w:bCs/>
                <w:color w:val="auto"/>
                <w:szCs w:val="21"/>
              </w:rPr>
              <w:t>计算</w:t>
            </w:r>
            <w:r>
              <w:rPr>
                <w:rFonts w:ascii="宋体" w:hAnsi="宋体"/>
                <w:b/>
                <w:bCs/>
                <w:color w:val="auto"/>
                <w:szCs w:val="21"/>
              </w:rPr>
              <w:t>方法</w:t>
            </w:r>
            <w:r>
              <w:rPr>
                <w:rFonts w:hint="eastAsia" w:ascii="宋体" w:hAnsi="宋体"/>
                <w:b/>
                <w:bCs/>
                <w:color w:val="auto"/>
                <w:szCs w:val="21"/>
              </w:rPr>
              <w:t>：</w:t>
            </w:r>
          </w:p>
          <w:p w14:paraId="7F6F1BBF">
            <w:pPr>
              <w:spacing w:line="400" w:lineRule="exact"/>
              <w:ind w:firstLine="420" w:firstLineChars="200"/>
              <w:rPr>
                <w:rFonts w:ascii="宋体" w:hAnsi="宋体"/>
                <w:color w:val="auto"/>
                <w:szCs w:val="21"/>
              </w:rPr>
            </w:pPr>
            <w:r>
              <w:rPr>
                <w:rFonts w:ascii="宋体" w:hAnsi="宋体"/>
                <w:color w:val="auto"/>
                <w:szCs w:val="21"/>
              </w:rPr>
              <w:t>有效报价范围：为</w:t>
            </w:r>
            <w:r>
              <w:rPr>
                <w:rFonts w:hint="eastAsia" w:ascii="宋体" w:hAnsi="宋体"/>
                <w:color w:val="auto"/>
                <w:szCs w:val="21"/>
              </w:rPr>
              <w:t>磋商</w:t>
            </w:r>
            <w:r>
              <w:rPr>
                <w:rFonts w:ascii="宋体" w:hAnsi="宋体"/>
                <w:color w:val="auto"/>
                <w:szCs w:val="21"/>
              </w:rPr>
              <w:t>总价低于或等于上限控制价，通过</w:t>
            </w:r>
            <w:r>
              <w:rPr>
                <w:rFonts w:hint="eastAsia" w:ascii="宋体" w:hAnsi="宋体"/>
                <w:color w:val="auto"/>
                <w:szCs w:val="21"/>
              </w:rPr>
              <w:t>初步</w:t>
            </w:r>
            <w:r>
              <w:rPr>
                <w:rFonts w:ascii="宋体" w:hAnsi="宋体"/>
                <w:color w:val="auto"/>
                <w:szCs w:val="21"/>
              </w:rPr>
              <w:t>评审，经</w:t>
            </w:r>
            <w:r>
              <w:rPr>
                <w:rFonts w:hint="eastAsia" w:ascii="宋体" w:hAnsi="宋体"/>
                <w:color w:val="auto"/>
                <w:szCs w:val="21"/>
              </w:rPr>
              <w:t>磋商小组</w:t>
            </w:r>
            <w:r>
              <w:rPr>
                <w:rFonts w:ascii="宋体" w:hAnsi="宋体"/>
                <w:color w:val="auto"/>
                <w:szCs w:val="21"/>
              </w:rPr>
              <w:t>审定不存在严重不平衡、不合理、不低于其企业成本</w:t>
            </w:r>
            <w:r>
              <w:rPr>
                <w:rFonts w:hint="eastAsia" w:ascii="宋体" w:hAnsi="宋体"/>
                <w:color w:val="auto"/>
                <w:szCs w:val="21"/>
              </w:rPr>
              <w:t>的磋商供应商磋商</w:t>
            </w:r>
            <w:r>
              <w:rPr>
                <w:rFonts w:ascii="宋体" w:hAnsi="宋体"/>
                <w:color w:val="auto"/>
                <w:szCs w:val="21"/>
              </w:rPr>
              <w:t>总价。</w:t>
            </w:r>
          </w:p>
          <w:p w14:paraId="2EBBE3A0">
            <w:pPr>
              <w:spacing w:line="276" w:lineRule="auto"/>
              <w:ind w:firstLine="420" w:firstLineChars="200"/>
              <w:rPr>
                <w:rFonts w:ascii="宋体" w:hAnsi="宋体"/>
                <w:b/>
                <w:bCs/>
                <w:color w:val="auto"/>
                <w:szCs w:val="21"/>
              </w:rPr>
            </w:pPr>
            <w:r>
              <w:rPr>
                <w:rFonts w:hint="eastAsia" w:ascii="宋体" w:hAnsi="宋体"/>
                <w:b/>
                <w:bCs/>
                <w:color w:val="auto"/>
                <w:szCs w:val="21"/>
              </w:rPr>
              <w:t>报价分</w:t>
            </w:r>
            <w:r>
              <w:rPr>
                <w:rFonts w:ascii="宋体" w:hAnsi="宋体"/>
                <w:b/>
                <w:bCs/>
                <w:color w:val="auto"/>
                <w:szCs w:val="21"/>
              </w:rPr>
              <w:t>评分标准</w:t>
            </w:r>
            <w:r>
              <w:rPr>
                <w:rFonts w:hint="eastAsia" w:ascii="宋体" w:hAnsi="宋体"/>
                <w:b/>
                <w:bCs/>
                <w:color w:val="auto"/>
                <w:szCs w:val="21"/>
              </w:rPr>
              <w:t>：</w:t>
            </w:r>
          </w:p>
          <w:p w14:paraId="72DAD473">
            <w:pPr>
              <w:spacing w:line="420" w:lineRule="exact"/>
              <w:ind w:firstLine="420" w:firstLineChars="200"/>
              <w:rPr>
                <w:rFonts w:ascii="宋体" w:hAnsi="宋体" w:cs="宋体"/>
                <w:color w:val="auto"/>
                <w:szCs w:val="21"/>
              </w:rPr>
            </w:pPr>
            <w:r>
              <w:rPr>
                <w:rFonts w:hint="eastAsia" w:ascii="宋体" w:hAnsi="宋体" w:cs="宋体"/>
                <w:color w:val="auto"/>
                <w:szCs w:val="21"/>
              </w:rPr>
              <w:t>以进入详细评审的最低评标价为评标基准价，得20分。投标报价分计算公式：</w:t>
            </w:r>
          </w:p>
          <w:p w14:paraId="53E72859">
            <w:pPr>
              <w:spacing w:line="420" w:lineRule="exact"/>
              <w:ind w:firstLine="420" w:firstLineChars="200"/>
              <w:rPr>
                <w:rFonts w:ascii="宋体" w:hAnsi="宋体" w:cs="宋体"/>
                <w:color w:val="auto"/>
                <w:szCs w:val="21"/>
              </w:rPr>
            </w:pPr>
            <w:r>
              <w:rPr>
                <w:rFonts w:hint="eastAsia" w:ascii="宋体" w:hAnsi="宋体" w:cs="宋体"/>
                <w:color w:val="auto"/>
                <w:szCs w:val="21"/>
              </w:rPr>
              <w:t>报价分= 评标基准价（金额）/投标人评标价（金额）×20分。</w:t>
            </w:r>
          </w:p>
        </w:tc>
      </w:tr>
      <w:tr w14:paraId="7BBD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noWrap/>
            <w:vAlign w:val="center"/>
          </w:tcPr>
          <w:p w14:paraId="23D50C8F">
            <w:pPr>
              <w:spacing w:line="400" w:lineRule="exact"/>
              <w:jc w:val="left"/>
              <w:rPr>
                <w:rFonts w:ascii="宋体" w:hAnsi="宋体"/>
                <w:b/>
                <w:color w:val="auto"/>
                <w:szCs w:val="21"/>
              </w:rPr>
            </w:pPr>
            <w:r>
              <w:rPr>
                <w:rFonts w:hint="eastAsia" w:ascii="宋体" w:hAnsi="宋体"/>
                <w:b/>
                <w:color w:val="auto"/>
                <w:kern w:val="0"/>
                <w:szCs w:val="21"/>
              </w:rPr>
              <w:t>施工组织设计</w:t>
            </w:r>
          </w:p>
          <w:p w14:paraId="3BC80AF2">
            <w:pPr>
              <w:spacing w:line="400" w:lineRule="exact"/>
              <w:jc w:val="left"/>
              <w:rPr>
                <w:rFonts w:ascii="宋体" w:hAnsi="宋体"/>
                <w:b/>
                <w:color w:val="auto"/>
                <w:szCs w:val="21"/>
              </w:rPr>
            </w:pPr>
            <w:r>
              <w:rPr>
                <w:rFonts w:hint="eastAsia" w:ascii="宋体" w:hAnsi="宋体"/>
                <w:b/>
                <w:color w:val="auto"/>
                <w:szCs w:val="21"/>
              </w:rPr>
              <w:t>（满分60分）</w:t>
            </w:r>
          </w:p>
          <w:p w14:paraId="3FDDC002">
            <w:pPr>
              <w:spacing w:line="400" w:lineRule="exact"/>
              <w:jc w:val="left"/>
              <w:rPr>
                <w:rFonts w:ascii="宋体" w:hAnsi="宋体"/>
                <w:b/>
                <w:color w:val="auto"/>
                <w:kern w:val="0"/>
                <w:szCs w:val="21"/>
              </w:rPr>
            </w:pPr>
            <w:r>
              <w:rPr>
                <w:rFonts w:hint="eastAsia" w:ascii="宋体" w:hAnsi="宋体" w:cs="宋体"/>
                <w:color w:val="auto"/>
                <w:kern w:val="0"/>
                <w:szCs w:val="21"/>
              </w:rPr>
              <w:t>由评委根据竞标人施工组织设计编制内容</w:t>
            </w:r>
            <w:r>
              <w:rPr>
                <w:rFonts w:hint="eastAsia" w:ascii="宋体" w:hAnsi="宋体" w:cs="宋体"/>
                <w:bCs/>
                <w:color w:val="auto"/>
                <w:szCs w:val="21"/>
              </w:rPr>
              <w:t>优劣进行独立打分。</w:t>
            </w:r>
            <w:r>
              <w:rPr>
                <w:rFonts w:hint="eastAsia" w:ascii="宋体" w:hAnsi="宋体" w:cs="宋体"/>
                <w:color w:val="auto"/>
                <w:kern w:val="0"/>
                <w:szCs w:val="21"/>
              </w:rPr>
              <w:t>【一档</w:t>
            </w:r>
            <w:r>
              <w:rPr>
                <w:rFonts w:hint="eastAsia" w:ascii="宋体" w:hAnsi="宋体"/>
                <w:color w:val="auto"/>
              </w:rPr>
              <w:t>6分；二档4分；三档2分；四档1分</w:t>
            </w:r>
            <w:r>
              <w:rPr>
                <w:rFonts w:hint="eastAsia" w:ascii="宋体" w:hAnsi="宋体" w:cs="宋体"/>
                <w:color w:val="auto"/>
                <w:kern w:val="0"/>
                <w:szCs w:val="21"/>
              </w:rPr>
              <w:t>】</w:t>
            </w:r>
          </w:p>
          <w:p w14:paraId="57A63318">
            <w:pPr>
              <w:spacing w:line="400" w:lineRule="exact"/>
              <w:jc w:val="left"/>
              <w:rPr>
                <w:rFonts w:ascii="宋体" w:hAnsi="宋体"/>
                <w:b/>
                <w:color w:val="auto"/>
                <w:kern w:val="0"/>
                <w:szCs w:val="21"/>
              </w:rPr>
            </w:pPr>
          </w:p>
          <w:p w14:paraId="7C0D3DD7">
            <w:pPr>
              <w:spacing w:line="400" w:lineRule="exact"/>
              <w:jc w:val="left"/>
              <w:rPr>
                <w:rFonts w:ascii="宋体" w:hAnsi="宋体"/>
                <w:b/>
                <w:color w:val="auto"/>
                <w:kern w:val="0"/>
                <w:szCs w:val="21"/>
              </w:rPr>
            </w:pPr>
          </w:p>
          <w:p w14:paraId="3FC47B79">
            <w:pPr>
              <w:spacing w:line="400" w:lineRule="exact"/>
              <w:jc w:val="left"/>
              <w:rPr>
                <w:rFonts w:ascii="宋体" w:hAnsi="宋体"/>
                <w:b/>
                <w:color w:val="auto"/>
                <w:kern w:val="0"/>
                <w:szCs w:val="21"/>
              </w:rPr>
            </w:pPr>
          </w:p>
          <w:p w14:paraId="7B229B03">
            <w:pPr>
              <w:spacing w:line="420" w:lineRule="exact"/>
              <w:jc w:val="center"/>
              <w:rPr>
                <w:rFonts w:ascii="宋体" w:hAnsi="宋体" w:cs="宋体"/>
                <w:color w:val="auto"/>
                <w:kern w:val="0"/>
                <w:szCs w:val="21"/>
              </w:rPr>
            </w:pPr>
          </w:p>
        </w:tc>
        <w:tc>
          <w:tcPr>
            <w:tcW w:w="2033" w:type="dxa"/>
            <w:noWrap/>
            <w:vAlign w:val="center"/>
          </w:tcPr>
          <w:p w14:paraId="5DA777DD">
            <w:pPr>
              <w:spacing w:line="360" w:lineRule="auto"/>
              <w:jc w:val="center"/>
              <w:rPr>
                <w:rFonts w:ascii="宋体" w:hAnsi="宋体" w:cs="宋体"/>
                <w:b/>
                <w:color w:val="auto"/>
                <w:szCs w:val="21"/>
              </w:rPr>
            </w:pPr>
            <w:r>
              <w:rPr>
                <w:rFonts w:hint="eastAsia" w:ascii="宋体" w:hAnsi="宋体"/>
                <w:color w:val="auto"/>
              </w:rPr>
              <w:t>主要施工方法（6分）</w:t>
            </w:r>
          </w:p>
        </w:tc>
        <w:tc>
          <w:tcPr>
            <w:tcW w:w="6810" w:type="dxa"/>
            <w:gridSpan w:val="2"/>
            <w:noWrap/>
            <w:vAlign w:val="center"/>
          </w:tcPr>
          <w:p w14:paraId="2B2B2385">
            <w:pPr>
              <w:spacing w:line="420" w:lineRule="exact"/>
              <w:rPr>
                <w:rFonts w:ascii="宋体" w:hAnsi="宋体" w:cs="宋体"/>
                <w:color w:val="auto"/>
                <w:szCs w:val="21"/>
              </w:rPr>
            </w:pPr>
            <w:r>
              <w:rPr>
                <w:rFonts w:hint="eastAsia" w:ascii="宋体" w:hAnsi="宋体"/>
                <w:color w:val="auto"/>
              </w:rPr>
              <w:t>各主要分部施工方法符合项目实际，须有详尽的施工技术方案，工艺先进、方法科学合理、可行，能指导具体施工并确保安全。</w:t>
            </w:r>
          </w:p>
        </w:tc>
      </w:tr>
      <w:tr w14:paraId="5D22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741F54DA">
            <w:pPr>
              <w:spacing w:line="420" w:lineRule="exact"/>
              <w:jc w:val="center"/>
              <w:rPr>
                <w:rFonts w:ascii="宋体" w:hAnsi="宋体" w:cs="宋体"/>
                <w:b/>
                <w:color w:val="auto"/>
                <w:kern w:val="0"/>
                <w:szCs w:val="21"/>
              </w:rPr>
            </w:pPr>
          </w:p>
        </w:tc>
        <w:tc>
          <w:tcPr>
            <w:tcW w:w="2033" w:type="dxa"/>
            <w:noWrap/>
            <w:vAlign w:val="center"/>
          </w:tcPr>
          <w:p w14:paraId="4869A1CD">
            <w:pPr>
              <w:spacing w:line="420" w:lineRule="exact"/>
              <w:jc w:val="center"/>
              <w:rPr>
                <w:rFonts w:ascii="宋体" w:hAnsi="宋体" w:cs="宋体"/>
                <w:b/>
                <w:color w:val="auto"/>
                <w:szCs w:val="21"/>
              </w:rPr>
            </w:pPr>
            <w:r>
              <w:rPr>
                <w:rFonts w:hint="eastAsia" w:ascii="宋体" w:hAnsi="宋体"/>
                <w:color w:val="auto"/>
              </w:rPr>
              <w:t>拟投入的主要物资计划（6分）</w:t>
            </w:r>
          </w:p>
        </w:tc>
        <w:tc>
          <w:tcPr>
            <w:tcW w:w="6810" w:type="dxa"/>
            <w:gridSpan w:val="2"/>
            <w:noWrap/>
            <w:vAlign w:val="center"/>
          </w:tcPr>
          <w:p w14:paraId="07CF8FDE">
            <w:pPr>
              <w:widowControl/>
              <w:spacing w:line="360" w:lineRule="auto"/>
              <w:rPr>
                <w:rFonts w:ascii="宋体" w:hAnsi="宋体" w:cs="宋体"/>
                <w:color w:val="auto"/>
                <w:szCs w:val="21"/>
              </w:rPr>
            </w:pPr>
            <w:r>
              <w:rPr>
                <w:rFonts w:hint="eastAsia" w:ascii="宋体" w:hAnsi="宋体"/>
                <w:color w:val="auto"/>
              </w:rPr>
              <w:t>投入的施工材料有详细的组织计划且计划周密，数量、选型配置、进场时间安排合理，满足施工需要。</w:t>
            </w:r>
          </w:p>
        </w:tc>
      </w:tr>
      <w:tr w14:paraId="6593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noWrap/>
            <w:vAlign w:val="center"/>
          </w:tcPr>
          <w:p w14:paraId="539A98D1">
            <w:pPr>
              <w:spacing w:line="420" w:lineRule="exact"/>
              <w:ind w:firstLine="420" w:firstLineChars="200"/>
              <w:rPr>
                <w:color w:val="auto"/>
              </w:rPr>
            </w:pPr>
          </w:p>
        </w:tc>
        <w:tc>
          <w:tcPr>
            <w:tcW w:w="2033" w:type="dxa"/>
            <w:noWrap/>
            <w:vAlign w:val="center"/>
          </w:tcPr>
          <w:p w14:paraId="667B52D9">
            <w:pPr>
              <w:widowControl/>
              <w:spacing w:line="360" w:lineRule="auto"/>
              <w:jc w:val="center"/>
              <w:rPr>
                <w:color w:val="auto"/>
              </w:rPr>
            </w:pPr>
            <w:r>
              <w:rPr>
                <w:rFonts w:hint="eastAsia" w:ascii="宋体" w:hAnsi="宋体"/>
                <w:color w:val="auto"/>
              </w:rPr>
              <w:t>拟投入的主要施工机械、设备计划（6分）</w:t>
            </w:r>
          </w:p>
        </w:tc>
        <w:tc>
          <w:tcPr>
            <w:tcW w:w="6810" w:type="dxa"/>
            <w:gridSpan w:val="2"/>
            <w:noWrap/>
            <w:vAlign w:val="center"/>
          </w:tcPr>
          <w:p w14:paraId="36B7DB5F">
            <w:pPr>
              <w:widowControl/>
              <w:spacing w:line="360" w:lineRule="auto"/>
              <w:rPr>
                <w:rFonts w:ascii="宋体" w:hAnsi="宋体" w:cs="宋体"/>
                <w:bCs/>
                <w:color w:val="auto"/>
                <w:szCs w:val="21"/>
              </w:rPr>
            </w:pPr>
            <w:r>
              <w:rPr>
                <w:rFonts w:hint="eastAsia" w:ascii="宋体" w:hAnsi="宋体"/>
                <w:color w:val="auto"/>
              </w:rPr>
              <w:t>投入的施工机械、设备、机具有详细的组织计划且计划周密，设备数量、选型配置、进场时间安排合理，满足施工需要。</w:t>
            </w:r>
          </w:p>
        </w:tc>
      </w:tr>
      <w:tr w14:paraId="00EF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59C89737">
            <w:pPr>
              <w:spacing w:line="420" w:lineRule="exact"/>
              <w:ind w:firstLine="420" w:firstLineChars="200"/>
              <w:rPr>
                <w:rFonts w:ascii="宋体" w:hAnsi="宋体" w:cs="宋体"/>
                <w:bCs/>
                <w:color w:val="auto"/>
                <w:szCs w:val="21"/>
              </w:rPr>
            </w:pPr>
          </w:p>
        </w:tc>
        <w:tc>
          <w:tcPr>
            <w:tcW w:w="2033" w:type="dxa"/>
            <w:noWrap/>
            <w:vAlign w:val="center"/>
          </w:tcPr>
          <w:p w14:paraId="1887149B">
            <w:pPr>
              <w:widowControl/>
              <w:spacing w:line="360" w:lineRule="auto"/>
              <w:jc w:val="center"/>
              <w:rPr>
                <w:rFonts w:ascii="宋体" w:hAnsi="宋体" w:cs="宋体"/>
                <w:bCs/>
                <w:color w:val="auto"/>
                <w:szCs w:val="21"/>
              </w:rPr>
            </w:pPr>
            <w:r>
              <w:rPr>
                <w:rFonts w:hint="eastAsia" w:ascii="宋体" w:hAnsi="宋体"/>
                <w:color w:val="auto"/>
              </w:rPr>
              <w:t>劳动力安排计划（6分）</w:t>
            </w:r>
          </w:p>
        </w:tc>
        <w:tc>
          <w:tcPr>
            <w:tcW w:w="6810" w:type="dxa"/>
            <w:gridSpan w:val="2"/>
            <w:noWrap/>
            <w:vAlign w:val="center"/>
          </w:tcPr>
          <w:p w14:paraId="67962574">
            <w:pPr>
              <w:widowControl/>
              <w:spacing w:line="360" w:lineRule="auto"/>
              <w:rPr>
                <w:rFonts w:ascii="宋体" w:hAnsi="宋体" w:cs="宋体"/>
                <w:bCs/>
                <w:color w:val="auto"/>
                <w:szCs w:val="21"/>
              </w:rPr>
            </w:pPr>
            <w:r>
              <w:rPr>
                <w:rFonts w:hint="eastAsia" w:ascii="宋体" w:hAnsi="宋体"/>
                <w:color w:val="auto"/>
              </w:rPr>
              <w:t>各主要施工工序应有详细周密的劳动力安排计划，有各工种劳动力安排计划，劳动力投入合理，满足施工需要。</w:t>
            </w:r>
          </w:p>
        </w:tc>
      </w:tr>
      <w:tr w14:paraId="65A9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95" w:type="dxa"/>
            <w:gridSpan w:val="2"/>
            <w:vMerge w:val="continue"/>
            <w:noWrap/>
            <w:vAlign w:val="center"/>
          </w:tcPr>
          <w:p w14:paraId="3968A572">
            <w:pPr>
              <w:spacing w:line="420" w:lineRule="exact"/>
              <w:ind w:firstLine="420" w:firstLineChars="200"/>
              <w:rPr>
                <w:rFonts w:ascii="宋体" w:hAnsi="宋体" w:cs="宋体"/>
                <w:bCs/>
                <w:color w:val="auto"/>
                <w:szCs w:val="21"/>
              </w:rPr>
            </w:pPr>
          </w:p>
        </w:tc>
        <w:tc>
          <w:tcPr>
            <w:tcW w:w="2033" w:type="dxa"/>
            <w:noWrap/>
            <w:vAlign w:val="center"/>
          </w:tcPr>
          <w:p w14:paraId="40C1F5E0">
            <w:pPr>
              <w:widowControl/>
              <w:spacing w:line="360" w:lineRule="auto"/>
              <w:jc w:val="center"/>
              <w:rPr>
                <w:rFonts w:ascii="宋体" w:hAnsi="宋体" w:cs="宋体"/>
                <w:bCs/>
                <w:color w:val="auto"/>
                <w:szCs w:val="21"/>
              </w:rPr>
            </w:pPr>
            <w:r>
              <w:rPr>
                <w:rFonts w:hint="eastAsia" w:ascii="宋体" w:hAnsi="宋体"/>
                <w:color w:val="auto"/>
              </w:rPr>
              <w:t>确保工程质量的技术组织措施（6分）</w:t>
            </w:r>
          </w:p>
        </w:tc>
        <w:tc>
          <w:tcPr>
            <w:tcW w:w="6810" w:type="dxa"/>
            <w:gridSpan w:val="2"/>
            <w:noWrap/>
            <w:vAlign w:val="center"/>
          </w:tcPr>
          <w:p w14:paraId="5F2BBD2F">
            <w:pPr>
              <w:widowControl/>
              <w:spacing w:line="360" w:lineRule="auto"/>
              <w:rPr>
                <w:rFonts w:ascii="宋体" w:hAnsi="宋体" w:cs="宋体"/>
                <w:bCs/>
                <w:color w:val="auto"/>
                <w:szCs w:val="21"/>
              </w:rPr>
            </w:pPr>
            <w:r>
              <w:rPr>
                <w:rFonts w:hint="eastAsia" w:ascii="宋体" w:hAnsi="宋体"/>
                <w:color w:val="auto"/>
              </w:rPr>
              <w:t>应有专门的质量技术管理班子和制度，且人员配备合理，制度健全。主要工序应有质量技术保证措施和手段，自控体系完整，能有效保证技术质量，达到承诺的质量标准。</w:t>
            </w:r>
          </w:p>
        </w:tc>
      </w:tr>
      <w:tr w14:paraId="05DD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256F9EFC">
            <w:pPr>
              <w:spacing w:line="420" w:lineRule="exact"/>
              <w:ind w:firstLine="420" w:firstLineChars="200"/>
              <w:rPr>
                <w:rFonts w:ascii="宋体" w:hAnsi="宋体" w:cs="宋体"/>
                <w:bCs/>
                <w:color w:val="auto"/>
                <w:szCs w:val="21"/>
              </w:rPr>
            </w:pPr>
          </w:p>
        </w:tc>
        <w:tc>
          <w:tcPr>
            <w:tcW w:w="2033" w:type="dxa"/>
            <w:noWrap/>
            <w:vAlign w:val="center"/>
          </w:tcPr>
          <w:p w14:paraId="3F325729">
            <w:pPr>
              <w:widowControl/>
              <w:spacing w:line="360" w:lineRule="auto"/>
              <w:jc w:val="center"/>
              <w:rPr>
                <w:rFonts w:ascii="宋体" w:hAnsi="宋体" w:cs="宋体"/>
                <w:bCs/>
                <w:color w:val="auto"/>
                <w:szCs w:val="21"/>
              </w:rPr>
            </w:pPr>
            <w:r>
              <w:rPr>
                <w:rFonts w:hint="eastAsia" w:ascii="宋体" w:hAnsi="宋体"/>
                <w:color w:val="auto"/>
              </w:rPr>
              <w:t>确保安全生产的技术组织措施（6分）</w:t>
            </w:r>
          </w:p>
        </w:tc>
        <w:tc>
          <w:tcPr>
            <w:tcW w:w="6810" w:type="dxa"/>
            <w:gridSpan w:val="2"/>
            <w:noWrap/>
            <w:vAlign w:val="center"/>
          </w:tcPr>
          <w:p w14:paraId="0FABF017">
            <w:pPr>
              <w:widowControl/>
              <w:spacing w:line="360" w:lineRule="auto"/>
              <w:rPr>
                <w:rFonts w:ascii="宋体" w:hAnsi="宋体" w:cs="宋体"/>
                <w:bCs/>
                <w:color w:val="auto"/>
                <w:szCs w:val="21"/>
              </w:rPr>
            </w:pPr>
            <w:r>
              <w:rPr>
                <w:rFonts w:hint="eastAsia" w:ascii="宋体" w:hAnsi="宋体"/>
                <w:color w:val="auto"/>
              </w:rPr>
              <w:t>应有专门的安全管理人员和制度，且人员配备合理，制度健全，各道工序安全技术措施针对性强，符合实际且满足有关安全技术标准要求。现场防火、应急救援、社会治安安全措施得力。</w:t>
            </w:r>
          </w:p>
        </w:tc>
      </w:tr>
      <w:tr w14:paraId="2DE8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7C6F06DC">
            <w:pPr>
              <w:spacing w:line="420" w:lineRule="exact"/>
              <w:ind w:firstLine="420" w:firstLineChars="200"/>
              <w:rPr>
                <w:rFonts w:ascii="宋体" w:hAnsi="宋体" w:cs="宋体"/>
                <w:bCs/>
                <w:color w:val="auto"/>
                <w:szCs w:val="21"/>
              </w:rPr>
            </w:pPr>
          </w:p>
        </w:tc>
        <w:tc>
          <w:tcPr>
            <w:tcW w:w="2033" w:type="dxa"/>
            <w:noWrap/>
            <w:vAlign w:val="center"/>
          </w:tcPr>
          <w:p w14:paraId="09D47E24">
            <w:pPr>
              <w:widowControl/>
              <w:spacing w:line="360" w:lineRule="auto"/>
              <w:jc w:val="center"/>
              <w:rPr>
                <w:rFonts w:ascii="宋体" w:hAnsi="宋体"/>
                <w:color w:val="auto"/>
              </w:rPr>
            </w:pPr>
            <w:r>
              <w:rPr>
                <w:rFonts w:hint="eastAsia" w:ascii="宋体" w:hAnsi="宋体"/>
                <w:color w:val="auto"/>
              </w:rPr>
              <w:t>确保工期的技术组织措施（6分）</w:t>
            </w:r>
          </w:p>
        </w:tc>
        <w:tc>
          <w:tcPr>
            <w:tcW w:w="6810" w:type="dxa"/>
            <w:gridSpan w:val="2"/>
            <w:noWrap/>
            <w:vAlign w:val="center"/>
          </w:tcPr>
          <w:p w14:paraId="33EF45E7">
            <w:pPr>
              <w:widowControl/>
              <w:spacing w:line="360" w:lineRule="auto"/>
              <w:rPr>
                <w:rFonts w:ascii="宋体" w:hAnsi="宋体"/>
                <w:color w:val="auto"/>
              </w:rPr>
            </w:pPr>
            <w:r>
              <w:rPr>
                <w:rFonts w:hint="eastAsia" w:ascii="宋体" w:hAnsi="宋体"/>
                <w:color w:val="auto"/>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15C6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94C9510">
            <w:pPr>
              <w:spacing w:line="420" w:lineRule="exact"/>
              <w:ind w:firstLine="420" w:firstLineChars="200"/>
              <w:rPr>
                <w:rFonts w:ascii="宋体" w:hAnsi="宋体" w:cs="宋体"/>
                <w:bCs/>
                <w:color w:val="auto"/>
                <w:szCs w:val="21"/>
              </w:rPr>
            </w:pPr>
          </w:p>
        </w:tc>
        <w:tc>
          <w:tcPr>
            <w:tcW w:w="2033" w:type="dxa"/>
            <w:noWrap/>
            <w:vAlign w:val="center"/>
          </w:tcPr>
          <w:p w14:paraId="773DE9D8">
            <w:pPr>
              <w:widowControl/>
              <w:spacing w:line="360" w:lineRule="auto"/>
              <w:jc w:val="center"/>
              <w:rPr>
                <w:rFonts w:ascii="宋体" w:hAnsi="宋体"/>
                <w:color w:val="auto"/>
              </w:rPr>
            </w:pPr>
            <w:r>
              <w:rPr>
                <w:rFonts w:hint="eastAsia" w:ascii="宋体" w:hAnsi="宋体"/>
                <w:color w:val="auto"/>
              </w:rPr>
              <w:t>确保文明施工的技术组织措施（6分）</w:t>
            </w:r>
          </w:p>
        </w:tc>
        <w:tc>
          <w:tcPr>
            <w:tcW w:w="6810" w:type="dxa"/>
            <w:gridSpan w:val="2"/>
            <w:noWrap/>
            <w:vAlign w:val="center"/>
          </w:tcPr>
          <w:p w14:paraId="6A60ABB0">
            <w:pPr>
              <w:widowControl/>
              <w:spacing w:line="360" w:lineRule="auto"/>
              <w:rPr>
                <w:rFonts w:ascii="宋体" w:hAnsi="宋体"/>
                <w:color w:val="auto"/>
              </w:rPr>
            </w:pPr>
            <w:r>
              <w:rPr>
                <w:rFonts w:hint="eastAsia" w:ascii="宋体" w:hAnsi="宋体"/>
                <w:color w:val="auto"/>
              </w:rPr>
              <w:t>针对本工程项目特点，应有现场文明施工、环境保护措施。各项措施周全、具体、有效。有具体实现现场文明施工目标的承诺。</w:t>
            </w:r>
          </w:p>
        </w:tc>
      </w:tr>
      <w:tr w14:paraId="1A58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28F4730C">
            <w:pPr>
              <w:spacing w:line="420" w:lineRule="exact"/>
              <w:ind w:firstLine="420" w:firstLineChars="200"/>
              <w:rPr>
                <w:rFonts w:ascii="宋体" w:hAnsi="宋体" w:cs="宋体"/>
                <w:bCs/>
                <w:color w:val="auto"/>
                <w:szCs w:val="21"/>
              </w:rPr>
            </w:pPr>
          </w:p>
        </w:tc>
        <w:tc>
          <w:tcPr>
            <w:tcW w:w="2033" w:type="dxa"/>
            <w:noWrap/>
            <w:vAlign w:val="center"/>
          </w:tcPr>
          <w:p w14:paraId="5913A167">
            <w:pPr>
              <w:widowControl/>
              <w:spacing w:line="360" w:lineRule="auto"/>
              <w:jc w:val="center"/>
              <w:rPr>
                <w:rFonts w:ascii="宋体" w:hAnsi="宋体"/>
                <w:color w:val="auto"/>
              </w:rPr>
            </w:pPr>
            <w:r>
              <w:rPr>
                <w:rFonts w:hint="eastAsia" w:ascii="宋体" w:hAnsi="宋体"/>
                <w:color w:val="auto"/>
              </w:rPr>
              <w:t>工程施工的重点和难点及保证措施（6分）</w:t>
            </w:r>
          </w:p>
        </w:tc>
        <w:tc>
          <w:tcPr>
            <w:tcW w:w="6810" w:type="dxa"/>
            <w:gridSpan w:val="2"/>
            <w:noWrap/>
            <w:vAlign w:val="center"/>
          </w:tcPr>
          <w:p w14:paraId="5268B3EF">
            <w:pPr>
              <w:widowControl/>
              <w:spacing w:line="360" w:lineRule="auto"/>
              <w:rPr>
                <w:rFonts w:ascii="宋体" w:hAnsi="宋体"/>
                <w:color w:val="auto"/>
              </w:rPr>
            </w:pPr>
            <w:r>
              <w:rPr>
                <w:rFonts w:hint="eastAsia" w:ascii="宋体" w:hAnsi="宋体"/>
                <w:color w:val="auto"/>
              </w:rPr>
              <w:t>针对本工程的特点，阐述本工程的重点和难点，解决重点和难点问题的方法是否合理。</w:t>
            </w:r>
          </w:p>
        </w:tc>
      </w:tr>
      <w:tr w14:paraId="6992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793F7FC2">
            <w:pPr>
              <w:spacing w:line="420" w:lineRule="exact"/>
              <w:ind w:firstLine="420" w:firstLineChars="200"/>
              <w:rPr>
                <w:rFonts w:ascii="宋体" w:hAnsi="宋体" w:cs="宋体"/>
                <w:bCs/>
                <w:color w:val="auto"/>
                <w:szCs w:val="21"/>
              </w:rPr>
            </w:pPr>
          </w:p>
        </w:tc>
        <w:tc>
          <w:tcPr>
            <w:tcW w:w="2033" w:type="dxa"/>
            <w:noWrap/>
            <w:vAlign w:val="center"/>
          </w:tcPr>
          <w:p w14:paraId="22991C67">
            <w:pPr>
              <w:widowControl/>
              <w:spacing w:line="360" w:lineRule="auto"/>
              <w:jc w:val="center"/>
              <w:rPr>
                <w:rFonts w:ascii="宋体" w:hAnsi="宋体"/>
                <w:color w:val="auto"/>
              </w:rPr>
            </w:pPr>
            <w:r>
              <w:rPr>
                <w:rFonts w:hint="eastAsia" w:ascii="宋体" w:hAnsi="宋体"/>
                <w:color w:val="auto"/>
              </w:rPr>
              <w:t>施工总平面布置（6分）</w:t>
            </w:r>
          </w:p>
        </w:tc>
        <w:tc>
          <w:tcPr>
            <w:tcW w:w="6810" w:type="dxa"/>
            <w:gridSpan w:val="2"/>
            <w:noWrap/>
            <w:vAlign w:val="center"/>
          </w:tcPr>
          <w:p w14:paraId="7599A87F">
            <w:pPr>
              <w:widowControl/>
              <w:spacing w:line="360" w:lineRule="auto"/>
              <w:rPr>
                <w:rFonts w:ascii="宋体" w:hAnsi="宋体"/>
                <w:color w:val="auto"/>
              </w:rPr>
            </w:pPr>
            <w:r>
              <w:rPr>
                <w:rFonts w:hint="eastAsia" w:ascii="宋体" w:hAnsi="宋体"/>
                <w:color w:val="auto"/>
              </w:rPr>
              <w:t>应有施工总平面布置图，安排科学合理，符合本项目施工实际要求。</w:t>
            </w:r>
          </w:p>
        </w:tc>
      </w:tr>
      <w:tr w14:paraId="5935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95" w:type="dxa"/>
            <w:gridSpan w:val="2"/>
            <w:vMerge w:val="restart"/>
            <w:noWrap/>
            <w:vAlign w:val="center"/>
          </w:tcPr>
          <w:p w14:paraId="0BB85141">
            <w:pPr>
              <w:spacing w:line="400" w:lineRule="exact"/>
              <w:jc w:val="center"/>
              <w:rPr>
                <w:rFonts w:ascii="宋体" w:hAnsi="宋体" w:cs="宋体"/>
                <w:b/>
                <w:color w:val="auto"/>
                <w:szCs w:val="21"/>
              </w:rPr>
            </w:pPr>
            <w:r>
              <w:rPr>
                <w:rFonts w:hint="eastAsia" w:ascii="宋体" w:hAnsi="宋体" w:cs="宋体"/>
                <w:b/>
                <w:color w:val="auto"/>
                <w:szCs w:val="21"/>
              </w:rPr>
              <w:t>项目管理机构</w:t>
            </w:r>
          </w:p>
          <w:p w14:paraId="141C5662">
            <w:pPr>
              <w:autoSpaceDE w:val="0"/>
              <w:autoSpaceDN w:val="0"/>
              <w:adjustRightInd w:val="0"/>
              <w:spacing w:line="420" w:lineRule="exact"/>
              <w:jc w:val="center"/>
              <w:rPr>
                <w:rFonts w:ascii="宋体" w:hAnsi="宋体" w:cs="宋体"/>
                <w:bCs/>
                <w:color w:val="auto"/>
                <w:kern w:val="0"/>
                <w:szCs w:val="21"/>
              </w:rPr>
            </w:pPr>
            <w:r>
              <w:rPr>
                <w:rFonts w:hint="eastAsia" w:ascii="宋体" w:hAnsi="宋体" w:cs="宋体"/>
                <w:b/>
                <w:color w:val="auto"/>
                <w:szCs w:val="21"/>
              </w:rPr>
              <w:t>（满分16分）</w:t>
            </w:r>
          </w:p>
        </w:tc>
        <w:tc>
          <w:tcPr>
            <w:tcW w:w="8843" w:type="dxa"/>
            <w:gridSpan w:val="3"/>
            <w:noWrap/>
            <w:vAlign w:val="center"/>
          </w:tcPr>
          <w:p w14:paraId="490D3B7A">
            <w:pPr>
              <w:widowControl/>
              <w:numPr>
                <w:ilvl w:val="0"/>
                <w:numId w:val="11"/>
              </w:numPr>
              <w:spacing w:line="400" w:lineRule="exact"/>
              <w:ind w:right="-44" w:rightChars="-21"/>
              <w:jc w:val="left"/>
              <w:rPr>
                <w:color w:val="auto"/>
              </w:rPr>
            </w:pPr>
            <w:r>
              <w:rPr>
                <w:rFonts w:hint="eastAsia"/>
                <w:color w:val="auto"/>
              </w:rPr>
              <w:t>项目经理（</w:t>
            </w:r>
            <w:r>
              <w:rPr>
                <w:color w:val="auto"/>
              </w:rPr>
              <w:t>6</w:t>
            </w:r>
            <w:r>
              <w:rPr>
                <w:rFonts w:hint="eastAsia"/>
                <w:color w:val="auto"/>
              </w:rPr>
              <w:t>分）</w:t>
            </w:r>
          </w:p>
          <w:p w14:paraId="707814E3">
            <w:pPr>
              <w:widowControl/>
              <w:spacing w:line="440" w:lineRule="exact"/>
              <w:ind w:firstLine="420" w:firstLineChars="200"/>
              <w:jc w:val="left"/>
              <w:rPr>
                <w:color w:val="auto"/>
              </w:rPr>
            </w:pPr>
            <w:r>
              <w:rPr>
                <w:rFonts w:hint="eastAsia"/>
                <w:color w:val="auto"/>
              </w:rPr>
              <w:t>拟派项目经理</w:t>
            </w:r>
            <w:r>
              <w:rPr>
                <w:rFonts w:hint="eastAsia"/>
                <w:color w:val="auto"/>
                <w:lang w:eastAsia="zh-CN"/>
              </w:rPr>
              <w:t>具备市政公用工程</w:t>
            </w:r>
            <w:r>
              <w:rPr>
                <w:rFonts w:hint="eastAsia"/>
                <w:color w:val="auto"/>
              </w:rPr>
              <w:t>专业二级及以上级注册建造师证书执业资格的得3分，同时具有中级及以上职称的加</w:t>
            </w:r>
            <w:r>
              <w:rPr>
                <w:color w:val="auto"/>
              </w:rPr>
              <w:t>3</w:t>
            </w:r>
            <w:r>
              <w:rPr>
                <w:rFonts w:hint="eastAsia"/>
                <w:color w:val="auto"/>
              </w:rPr>
              <w:t>分，满分</w:t>
            </w:r>
            <w:r>
              <w:rPr>
                <w:color w:val="auto"/>
              </w:rPr>
              <w:t>6</w:t>
            </w:r>
            <w:r>
              <w:rPr>
                <w:rFonts w:hint="eastAsia"/>
                <w:color w:val="auto"/>
              </w:rPr>
              <w:t>分。</w:t>
            </w:r>
          </w:p>
        </w:tc>
      </w:tr>
      <w:tr w14:paraId="36A0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595" w:type="dxa"/>
            <w:gridSpan w:val="2"/>
            <w:vMerge w:val="continue"/>
            <w:noWrap/>
          </w:tcPr>
          <w:p w14:paraId="5415473E">
            <w:pPr>
              <w:spacing w:after="120"/>
              <w:ind w:firstLine="420" w:firstLineChars="200"/>
              <w:rPr>
                <w:bCs/>
                <w:color w:val="auto"/>
              </w:rPr>
            </w:pPr>
          </w:p>
        </w:tc>
        <w:tc>
          <w:tcPr>
            <w:tcW w:w="8843" w:type="dxa"/>
            <w:gridSpan w:val="3"/>
            <w:noWrap/>
            <w:vAlign w:val="center"/>
          </w:tcPr>
          <w:p w14:paraId="238C2A28">
            <w:pPr>
              <w:spacing w:line="400" w:lineRule="exact"/>
              <w:jc w:val="left"/>
              <w:rPr>
                <w:rFonts w:ascii="宋体" w:hAnsi="宋体" w:cs="宋体"/>
                <w:bCs/>
                <w:color w:val="auto"/>
                <w:szCs w:val="21"/>
              </w:rPr>
            </w:pPr>
            <w:r>
              <w:rPr>
                <w:rFonts w:hint="eastAsia" w:ascii="宋体" w:hAnsi="宋体" w:cs="宋体"/>
                <w:bCs/>
                <w:color w:val="auto"/>
                <w:szCs w:val="21"/>
              </w:rPr>
              <w:t>2、技术负责人（5分）</w:t>
            </w:r>
          </w:p>
          <w:p w14:paraId="2E76B1BB">
            <w:pPr>
              <w:pStyle w:val="17"/>
              <w:ind w:firstLine="420" w:firstLineChars="200"/>
              <w:rPr>
                <w:color w:val="auto"/>
              </w:rPr>
            </w:pPr>
            <w:r>
              <w:rPr>
                <w:rFonts w:hint="eastAsia" w:ascii="宋体" w:hAnsi="宋体" w:cs="宋体"/>
                <w:bCs/>
                <w:color w:val="auto"/>
                <w:szCs w:val="21"/>
              </w:rPr>
              <w:t>拟派往本项目的技术负责人具备中级及以上职称的得3分，职称专业为</w:t>
            </w:r>
            <w:r>
              <w:rPr>
                <w:rFonts w:hint="eastAsia" w:ascii="宋体" w:hAnsi="宋体" w:cs="宋体"/>
                <w:bCs/>
                <w:color w:val="auto"/>
                <w:szCs w:val="21"/>
                <w:lang w:val="en-US" w:eastAsia="zh-CN"/>
              </w:rPr>
              <w:t>市政公用</w:t>
            </w:r>
            <w:r>
              <w:rPr>
                <w:rFonts w:hint="eastAsia" w:ascii="宋体" w:hAnsi="宋体" w:cs="宋体"/>
                <w:bCs/>
                <w:color w:val="auto"/>
                <w:szCs w:val="21"/>
              </w:rPr>
              <w:t>工程类专业的加2分，满分5分。</w:t>
            </w:r>
          </w:p>
        </w:tc>
      </w:tr>
      <w:tr w14:paraId="5F7E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595" w:type="dxa"/>
            <w:gridSpan w:val="2"/>
            <w:vMerge w:val="continue"/>
            <w:noWrap/>
          </w:tcPr>
          <w:p w14:paraId="40AED85D">
            <w:pPr>
              <w:spacing w:after="120"/>
              <w:ind w:firstLine="420" w:firstLineChars="200"/>
              <w:rPr>
                <w:rFonts w:ascii="Calibri" w:hAnsi="Calibri"/>
                <w:color w:val="auto"/>
              </w:rPr>
            </w:pPr>
          </w:p>
        </w:tc>
        <w:tc>
          <w:tcPr>
            <w:tcW w:w="8843" w:type="dxa"/>
            <w:gridSpan w:val="3"/>
            <w:noWrap/>
            <w:vAlign w:val="center"/>
          </w:tcPr>
          <w:p w14:paraId="62E211EF">
            <w:pPr>
              <w:spacing w:line="400" w:lineRule="exact"/>
              <w:jc w:val="left"/>
              <w:rPr>
                <w:rFonts w:ascii="宋体" w:hAnsi="宋体" w:cs="宋体"/>
                <w:bCs/>
                <w:color w:val="auto"/>
                <w:szCs w:val="21"/>
              </w:rPr>
            </w:pPr>
            <w:r>
              <w:rPr>
                <w:rFonts w:hint="eastAsia" w:ascii="宋体" w:hAnsi="宋体" w:cs="宋体"/>
                <w:bCs/>
                <w:color w:val="auto"/>
                <w:szCs w:val="21"/>
              </w:rPr>
              <w:t>3、其他管理人员（</w:t>
            </w:r>
            <w:r>
              <w:rPr>
                <w:rFonts w:ascii="宋体" w:hAnsi="宋体" w:cs="宋体"/>
                <w:bCs/>
                <w:color w:val="auto"/>
                <w:szCs w:val="21"/>
              </w:rPr>
              <w:t>5</w:t>
            </w:r>
            <w:r>
              <w:rPr>
                <w:rFonts w:hint="eastAsia" w:ascii="宋体" w:hAnsi="宋体" w:cs="宋体"/>
                <w:bCs/>
                <w:color w:val="auto"/>
                <w:szCs w:val="21"/>
              </w:rPr>
              <w:t>分）</w:t>
            </w:r>
          </w:p>
          <w:p w14:paraId="2E115D79">
            <w:pPr>
              <w:spacing w:line="400" w:lineRule="exact"/>
              <w:rPr>
                <w:rFonts w:ascii="宋体" w:hAnsi="宋体" w:cs="宋体"/>
                <w:bCs/>
                <w:color w:val="auto"/>
                <w:szCs w:val="21"/>
              </w:rPr>
            </w:pPr>
            <w:r>
              <w:rPr>
                <w:rFonts w:hint="eastAsia" w:ascii="宋体" w:hAnsi="宋体" w:cs="宋体"/>
                <w:bCs/>
                <w:color w:val="auto"/>
                <w:szCs w:val="21"/>
              </w:rPr>
              <w:t>至少需投入安全员、施工员、质检员、材料员各1名，具有相应岗位资格证书的得</w:t>
            </w:r>
            <w:r>
              <w:rPr>
                <w:rFonts w:ascii="宋体" w:hAnsi="宋体" w:cs="宋体"/>
                <w:bCs/>
                <w:color w:val="auto"/>
                <w:szCs w:val="21"/>
              </w:rPr>
              <w:t>5</w:t>
            </w:r>
            <w:r>
              <w:rPr>
                <w:rFonts w:hint="eastAsia" w:ascii="宋体" w:hAnsi="宋体" w:cs="宋体"/>
                <w:bCs/>
                <w:color w:val="auto"/>
                <w:szCs w:val="21"/>
              </w:rPr>
              <w:t>分。</w:t>
            </w:r>
          </w:p>
        </w:tc>
      </w:tr>
      <w:tr w14:paraId="40CA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595" w:type="dxa"/>
            <w:gridSpan w:val="2"/>
            <w:noWrap/>
          </w:tcPr>
          <w:p w14:paraId="7F651EEC">
            <w:pPr>
              <w:spacing w:line="400" w:lineRule="exact"/>
              <w:jc w:val="center"/>
              <w:rPr>
                <w:rFonts w:ascii="宋体" w:hAnsi="宋体" w:cs="宋体"/>
                <w:b/>
                <w:color w:val="auto"/>
                <w:szCs w:val="21"/>
              </w:rPr>
            </w:pPr>
            <w:r>
              <w:rPr>
                <w:rFonts w:hint="eastAsia" w:ascii="宋体" w:hAnsi="宋体" w:cs="宋体"/>
                <w:b/>
                <w:color w:val="auto"/>
                <w:szCs w:val="21"/>
              </w:rPr>
              <w:t>企业信誉实力</w:t>
            </w:r>
          </w:p>
          <w:p w14:paraId="4E55E4AD">
            <w:pPr>
              <w:spacing w:line="400" w:lineRule="exact"/>
              <w:jc w:val="center"/>
              <w:rPr>
                <w:rFonts w:ascii="Calibri" w:hAnsi="Calibri"/>
                <w:color w:val="auto"/>
              </w:rPr>
            </w:pPr>
            <w:r>
              <w:rPr>
                <w:rFonts w:hint="eastAsia" w:ascii="宋体" w:hAnsi="宋体" w:cs="宋体"/>
                <w:b/>
                <w:color w:val="auto"/>
                <w:szCs w:val="21"/>
              </w:rPr>
              <w:t>（满分4分）</w:t>
            </w:r>
          </w:p>
        </w:tc>
        <w:tc>
          <w:tcPr>
            <w:tcW w:w="8843" w:type="dxa"/>
            <w:gridSpan w:val="3"/>
            <w:noWrap/>
            <w:vAlign w:val="center"/>
          </w:tcPr>
          <w:p w14:paraId="5816A0FD">
            <w:pPr>
              <w:spacing w:line="400" w:lineRule="exact"/>
              <w:jc w:val="left"/>
              <w:rPr>
                <w:rFonts w:ascii="宋体" w:hAnsi="宋体" w:cs="宋体"/>
                <w:color w:val="auto"/>
                <w:szCs w:val="21"/>
              </w:rPr>
            </w:pPr>
            <w:bookmarkStart w:id="1103" w:name="OLE_LINK3"/>
            <w:r>
              <w:rPr>
                <w:rFonts w:hint="eastAsia" w:ascii="宋体" w:hAnsi="宋体" w:cs="宋体"/>
                <w:color w:val="auto"/>
                <w:szCs w:val="21"/>
              </w:rPr>
              <w:t>20</w:t>
            </w:r>
            <w:r>
              <w:rPr>
                <w:rFonts w:ascii="宋体" w:hAnsi="宋体" w:cs="宋体"/>
                <w:color w:val="auto"/>
                <w:szCs w:val="21"/>
              </w:rPr>
              <w:t>20</w:t>
            </w:r>
            <w:r>
              <w:rPr>
                <w:rFonts w:hint="eastAsia" w:ascii="宋体" w:hAnsi="宋体" w:cs="宋体"/>
                <w:color w:val="auto"/>
                <w:szCs w:val="21"/>
              </w:rPr>
              <w:t>年1月1日至本项目磋商截止时间止，磋商单位承接过</w:t>
            </w:r>
            <w:r>
              <w:rPr>
                <w:rFonts w:hint="eastAsia" w:ascii="宋体" w:hAnsi="宋体" w:cs="宋体"/>
                <w:bCs/>
                <w:color w:val="auto"/>
                <w:szCs w:val="21"/>
                <w:lang w:val="en-US" w:eastAsia="zh-CN"/>
              </w:rPr>
              <w:t>市政公用</w:t>
            </w:r>
            <w:r>
              <w:rPr>
                <w:rFonts w:hint="eastAsia" w:ascii="宋体" w:hAnsi="宋体" w:cs="宋体"/>
                <w:bCs/>
                <w:color w:val="auto"/>
                <w:szCs w:val="21"/>
              </w:rPr>
              <w:t>工程</w:t>
            </w:r>
            <w:r>
              <w:rPr>
                <w:rFonts w:hint="eastAsia" w:ascii="宋体" w:hAnsi="宋体" w:cs="宋体"/>
                <w:color w:val="auto"/>
                <w:szCs w:val="21"/>
              </w:rPr>
              <w:t>类项目业绩，每个得2分，满分4分。（须附加盖单位公章的中标通知书复印件或合同协议书复印件）</w:t>
            </w:r>
            <w:bookmarkEnd w:id="1103"/>
          </w:p>
        </w:tc>
      </w:tr>
      <w:tr w14:paraId="6B5F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27E70AC2">
            <w:pPr>
              <w:spacing w:line="400" w:lineRule="exact"/>
              <w:rPr>
                <w:rFonts w:ascii="宋体" w:hAnsi="宋体" w:cs="宋体"/>
                <w:b/>
                <w:color w:val="auto"/>
                <w:szCs w:val="21"/>
              </w:rPr>
            </w:pPr>
            <w:r>
              <w:rPr>
                <w:rFonts w:hint="eastAsia" w:ascii="宋体" w:hAnsi="宋体" w:cs="宋体"/>
                <w:b/>
                <w:color w:val="auto"/>
                <w:szCs w:val="21"/>
              </w:rPr>
              <w:t>综合总得分</w:t>
            </w:r>
            <w:r>
              <w:rPr>
                <w:rFonts w:hint="eastAsia" w:ascii="宋体" w:hAnsi="宋体" w:cs="宋体"/>
                <w:b/>
                <w:bCs/>
                <w:color w:val="auto"/>
                <w:szCs w:val="21"/>
              </w:rPr>
              <w:t>＝报价分+</w:t>
            </w:r>
            <w:r>
              <w:rPr>
                <w:rFonts w:hint="eastAsia" w:ascii="宋体" w:hAnsi="宋体"/>
                <w:b/>
                <w:color w:val="auto"/>
                <w:kern w:val="0"/>
                <w:szCs w:val="21"/>
              </w:rPr>
              <w:t>施工组织设计分+</w:t>
            </w:r>
            <w:r>
              <w:rPr>
                <w:rFonts w:hint="eastAsia" w:ascii="宋体" w:hAnsi="宋体" w:cs="宋体"/>
                <w:b/>
                <w:color w:val="auto"/>
                <w:szCs w:val="21"/>
              </w:rPr>
              <w:t>项目管理机构分+企业信誉实力=100分</w:t>
            </w:r>
          </w:p>
        </w:tc>
      </w:tr>
    </w:tbl>
    <w:p w14:paraId="461E9EF0">
      <w:pPr>
        <w:snapToGrid w:val="0"/>
        <w:spacing w:line="400" w:lineRule="exact"/>
        <w:jc w:val="center"/>
        <w:outlineLvl w:val="0"/>
        <w:rPr>
          <w:rFonts w:ascii="宋体" w:hAnsi="宋体"/>
          <w:b/>
          <w:color w:val="auto"/>
          <w:szCs w:val="21"/>
        </w:rPr>
      </w:pPr>
      <w:r>
        <w:rPr>
          <w:rFonts w:hint="eastAsia" w:ascii="宋体" w:hAnsi="宋体"/>
          <w:b/>
          <w:color w:val="auto"/>
          <w:szCs w:val="21"/>
        </w:rPr>
        <w:br w:type="page"/>
      </w:r>
      <w:bookmarkStart w:id="1104" w:name="_Toc23223"/>
      <w:r>
        <w:rPr>
          <w:rFonts w:hint="eastAsia" w:ascii="宋体" w:hAnsi="宋体"/>
          <w:b/>
          <w:color w:val="auto"/>
          <w:szCs w:val="21"/>
        </w:rPr>
        <w:t>评标办法正文</w:t>
      </w:r>
      <w:bookmarkEnd w:id="1104"/>
    </w:p>
    <w:p w14:paraId="0CEB06E5">
      <w:pPr>
        <w:snapToGrid w:val="0"/>
        <w:spacing w:line="400" w:lineRule="exact"/>
        <w:ind w:firstLine="420" w:firstLineChars="200"/>
        <w:rPr>
          <w:rFonts w:ascii="宋体" w:hAnsi="宋体"/>
          <w:b/>
          <w:color w:val="auto"/>
          <w:szCs w:val="21"/>
        </w:rPr>
      </w:pPr>
      <w:r>
        <w:rPr>
          <w:rFonts w:hint="eastAsia" w:ascii="宋体" w:hAnsi="宋体"/>
          <w:b/>
          <w:color w:val="auto"/>
          <w:szCs w:val="21"/>
        </w:rPr>
        <w:t>一、评标原则：</w:t>
      </w:r>
    </w:p>
    <w:p w14:paraId="74824FBD">
      <w:pPr>
        <w:snapToGrid w:val="0"/>
        <w:spacing w:line="400" w:lineRule="exact"/>
        <w:ind w:firstLine="420" w:firstLineChars="200"/>
        <w:rPr>
          <w:rFonts w:ascii="宋体" w:hAnsi="宋体"/>
          <w:color w:val="auto"/>
          <w:szCs w:val="21"/>
        </w:rPr>
      </w:pPr>
      <w:r>
        <w:rPr>
          <w:rFonts w:hint="eastAsia" w:ascii="宋体" w:hAnsi="宋体"/>
          <w:color w:val="auto"/>
          <w:szCs w:val="21"/>
        </w:rPr>
        <w:t>1、坚持公开、公平、公正、适用合理原则。</w:t>
      </w:r>
    </w:p>
    <w:p w14:paraId="36E21602">
      <w:pPr>
        <w:tabs>
          <w:tab w:val="left" w:pos="1440"/>
        </w:tabs>
        <w:spacing w:line="400" w:lineRule="exact"/>
        <w:ind w:firstLine="420" w:firstLineChars="200"/>
        <w:rPr>
          <w:rFonts w:ascii="宋体" w:hAnsi="宋体"/>
          <w:color w:val="auto"/>
          <w:szCs w:val="21"/>
        </w:rPr>
      </w:pPr>
      <w:r>
        <w:rPr>
          <w:rFonts w:hint="eastAsia" w:ascii="宋体" w:hAnsi="宋体"/>
          <w:color w:val="auto"/>
          <w:szCs w:val="21"/>
        </w:rPr>
        <w:t>2、开标前由采购代理机构在广西政府采购云平台广西评审专家库中随机抽取的评标专家组成。评标小组为3人，其中，采购人评标代表1人，评标专家库中随机抽取2人。磋商小组以《竞争性磋商文件》、《响应文件》为评标依据，本项目采用</w:t>
      </w:r>
      <w:r>
        <w:rPr>
          <w:rFonts w:hint="eastAsia" w:ascii="宋体" w:hAnsi="宋体"/>
          <w:b/>
          <w:bCs/>
          <w:color w:val="auto"/>
          <w:szCs w:val="21"/>
          <w:u w:val="single"/>
        </w:rPr>
        <w:t>综合评分法</w:t>
      </w:r>
      <w:r>
        <w:rPr>
          <w:rFonts w:hint="eastAsia" w:ascii="宋体" w:hAnsi="宋体"/>
          <w:bCs/>
          <w:color w:val="auto"/>
          <w:szCs w:val="21"/>
        </w:rPr>
        <w:t>进行</w:t>
      </w:r>
      <w:r>
        <w:rPr>
          <w:rFonts w:hint="eastAsia" w:ascii="宋体" w:hAnsi="宋体"/>
          <w:color w:val="auto"/>
          <w:szCs w:val="21"/>
        </w:rPr>
        <w:t>评标。</w:t>
      </w:r>
    </w:p>
    <w:p w14:paraId="4F2C8B50">
      <w:pPr>
        <w:spacing w:line="400" w:lineRule="exact"/>
        <w:ind w:firstLine="420" w:firstLineChars="200"/>
        <w:rPr>
          <w:rFonts w:ascii="宋体" w:hAnsi="宋体"/>
          <w:b/>
          <w:color w:val="auto"/>
          <w:szCs w:val="21"/>
        </w:rPr>
      </w:pPr>
      <w:r>
        <w:rPr>
          <w:rFonts w:hint="eastAsia" w:ascii="宋体" w:hAnsi="宋体"/>
          <w:b/>
          <w:color w:val="auto"/>
          <w:szCs w:val="21"/>
        </w:rPr>
        <w:t>二、评标次序：</w:t>
      </w:r>
    </w:p>
    <w:p w14:paraId="263B8571">
      <w:pPr>
        <w:spacing w:line="400" w:lineRule="exact"/>
        <w:ind w:firstLine="420" w:firstLineChars="200"/>
        <w:rPr>
          <w:rFonts w:ascii="宋体" w:hAnsi="宋体"/>
          <w:color w:val="auto"/>
          <w:szCs w:val="21"/>
        </w:rPr>
      </w:pPr>
      <w:r>
        <w:rPr>
          <w:rFonts w:hint="eastAsia" w:ascii="宋体" w:hAnsi="宋体"/>
          <w:b/>
          <w:color w:val="auto"/>
          <w:szCs w:val="21"/>
        </w:rPr>
        <w:t>1、资格审查：</w:t>
      </w:r>
      <w:r>
        <w:rPr>
          <w:rFonts w:hint="eastAsia" w:ascii="宋体" w:hAnsi="宋体"/>
          <w:color w:val="auto"/>
          <w:szCs w:val="21"/>
        </w:rPr>
        <w:t>本项目采用资格后审方式进行资格审查，参加本次磋商的单位均要通过资格后审才能获得磋商资格。资格审查内容为：见评标办法前附表。</w:t>
      </w:r>
    </w:p>
    <w:p w14:paraId="627F933E">
      <w:pPr>
        <w:spacing w:line="400" w:lineRule="exact"/>
        <w:ind w:firstLine="420" w:firstLineChars="200"/>
        <w:rPr>
          <w:rFonts w:ascii="宋体" w:hAnsi="宋体"/>
          <w:b/>
          <w:bCs/>
          <w:color w:val="auto"/>
          <w:szCs w:val="21"/>
        </w:rPr>
      </w:pPr>
      <w:r>
        <w:rPr>
          <w:rFonts w:hint="eastAsia" w:ascii="宋体" w:hAnsi="宋体"/>
          <w:b/>
          <w:color w:val="auto"/>
          <w:szCs w:val="21"/>
        </w:rPr>
        <w:t>2、</w:t>
      </w:r>
      <w:r>
        <w:rPr>
          <w:rFonts w:hint="eastAsia" w:ascii="宋体" w:hAnsi="宋体"/>
          <w:b/>
          <w:bCs/>
          <w:color w:val="auto"/>
          <w:szCs w:val="21"/>
        </w:rPr>
        <w:t>详细评审（即综合评审）</w:t>
      </w:r>
    </w:p>
    <w:p w14:paraId="123021E7">
      <w:pPr>
        <w:snapToGrid w:val="0"/>
        <w:spacing w:line="400" w:lineRule="exact"/>
        <w:ind w:firstLine="420" w:firstLineChars="200"/>
        <w:rPr>
          <w:rFonts w:ascii="宋体" w:hAnsi="宋体"/>
          <w:color w:val="auto"/>
          <w:szCs w:val="21"/>
        </w:rPr>
      </w:pPr>
      <w:r>
        <w:rPr>
          <w:rFonts w:hint="eastAsia" w:ascii="宋体" w:hAnsi="宋体"/>
          <w:color w:val="auto"/>
          <w:szCs w:val="21"/>
        </w:rPr>
        <w:t>各评委根据评标办法中相应的要求进行科学评分。在进行施工组织设计方案文件的评审时，各评委评分的算术平均值为该磋商供应商的最终得分。</w:t>
      </w:r>
    </w:p>
    <w:p w14:paraId="45E20FD5">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3、《响应文件》的澄清与修正</w:t>
      </w:r>
    </w:p>
    <w:p w14:paraId="7FE33448">
      <w:pPr>
        <w:snapToGrid w:val="0"/>
        <w:spacing w:line="400" w:lineRule="exact"/>
        <w:ind w:firstLine="420" w:firstLineChars="200"/>
        <w:rPr>
          <w:rFonts w:ascii="宋体" w:hAnsi="宋体"/>
          <w:color w:val="auto"/>
          <w:szCs w:val="21"/>
        </w:rPr>
      </w:pPr>
      <w:r>
        <w:rPr>
          <w:rFonts w:hint="eastAsia" w:ascii="宋体" w:hAnsi="宋体"/>
          <w:color w:val="auto"/>
          <w:szCs w:val="21"/>
        </w:rPr>
        <w:t>3.1为了有助于《响应文件》的审查、评价和比较，磋商小组可以要求磋商供应商澄清其《响应文件》。有关澄清的要求与答复，应以书面形式进行。</w:t>
      </w:r>
      <w:r>
        <w:rPr>
          <w:rFonts w:hint="eastAsia" w:ascii="宋体" w:hAnsi="宋体"/>
          <w:bCs/>
          <w:color w:val="auto"/>
          <w:szCs w:val="21"/>
        </w:rPr>
        <w:t>不按磋商小组要求澄清、说明或补正的，《响应文件》作废标处理。</w:t>
      </w:r>
    </w:p>
    <w:p w14:paraId="295A8DE7">
      <w:pPr>
        <w:snapToGrid w:val="0"/>
        <w:spacing w:line="400" w:lineRule="exact"/>
        <w:ind w:firstLine="420" w:firstLineChars="200"/>
        <w:rPr>
          <w:rFonts w:ascii="宋体" w:hAnsi="宋体"/>
          <w:color w:val="auto"/>
          <w:szCs w:val="21"/>
        </w:rPr>
      </w:pPr>
      <w:r>
        <w:rPr>
          <w:rFonts w:hint="eastAsia" w:ascii="宋体" w:hAnsi="宋体"/>
          <w:color w:val="auto"/>
          <w:szCs w:val="21"/>
        </w:rPr>
        <w:t>3.2 《响应文件》计算错误的修正</w:t>
      </w:r>
    </w:p>
    <w:p w14:paraId="25BC26A7">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3.2.1 </w:t>
      </w:r>
      <w:r>
        <w:rPr>
          <w:rFonts w:hint="eastAsia" w:ascii="宋体" w:hAnsi="宋体"/>
          <w:bCs/>
          <w:color w:val="auto"/>
          <w:szCs w:val="21"/>
        </w:rPr>
        <w:t>磋商小组</w:t>
      </w:r>
      <w:r>
        <w:rPr>
          <w:rFonts w:hint="eastAsia" w:ascii="宋体" w:hAnsi="宋体"/>
          <w:color w:val="auto"/>
          <w:szCs w:val="21"/>
        </w:rPr>
        <w:t>将对确定为实质上响应《竞争性磋商文件》要求的《响应文件》进行校核，看其是否有计算或表达上的错误，修正错误的原则如下：</w:t>
      </w:r>
    </w:p>
    <w:p w14:paraId="05663783">
      <w:pPr>
        <w:snapToGrid w:val="0"/>
        <w:spacing w:line="400" w:lineRule="exact"/>
        <w:ind w:firstLine="420" w:firstLineChars="200"/>
        <w:rPr>
          <w:rFonts w:ascii="宋体" w:hAnsi="宋体"/>
          <w:color w:val="auto"/>
          <w:szCs w:val="21"/>
        </w:rPr>
      </w:pPr>
      <w:r>
        <w:rPr>
          <w:rFonts w:hint="eastAsia" w:ascii="宋体" w:hAnsi="宋体"/>
          <w:color w:val="auto"/>
          <w:szCs w:val="21"/>
        </w:rPr>
        <w:t>（1）如果数字表示的金额和用文字表示的金额不一致时，应以文字表示的金额为准；</w:t>
      </w:r>
    </w:p>
    <w:p w14:paraId="4F0D3ED2">
      <w:pPr>
        <w:spacing w:line="400" w:lineRule="exact"/>
        <w:ind w:firstLine="420" w:firstLineChars="200"/>
        <w:rPr>
          <w:rFonts w:ascii="宋体" w:hAnsi="宋体"/>
          <w:color w:val="auto"/>
          <w:szCs w:val="21"/>
        </w:rPr>
      </w:pPr>
      <w:r>
        <w:rPr>
          <w:rFonts w:hint="eastAsia" w:ascii="宋体" w:hAnsi="宋体"/>
          <w:color w:val="auto"/>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14:paraId="6A44D48D">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三、推荐成交候选供应商原则</w:t>
      </w:r>
    </w:p>
    <w:bookmarkEnd w:id="1101"/>
    <w:p w14:paraId="3F18D57E">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4F368419">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2、磋商小组确定排名第一的成交候选供应商为成交供应商。</w:t>
      </w:r>
    </w:p>
    <w:p w14:paraId="2BDCA861">
      <w:pPr>
        <w:spacing w:line="500" w:lineRule="exact"/>
        <w:ind w:firstLine="420" w:firstLineChars="200"/>
        <w:rPr>
          <w:color w:val="auto"/>
        </w:rPr>
      </w:pPr>
      <w:r>
        <w:rPr>
          <w:rFonts w:hint="eastAsia" w:ascii="宋体" w:hAnsi="宋体" w:cs="宋体"/>
          <w:color w:val="auto"/>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sectPr>
      <w:footerReference r:id="rId9" w:type="default"/>
      <w:pgSz w:w="11850" w:h="16783"/>
      <w:pgMar w:top="1247" w:right="964" w:bottom="1247" w:left="964" w:header="851" w:footer="89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A7E92">
    <w:pPr>
      <w:pStyle w:val="32"/>
      <w:ind w:right="90"/>
      <w:jc w:val="right"/>
      <w:rPr>
        <w:rFonts w:ascii="宋体" w:hAnsi="宋体"/>
        <w:sz w:val="21"/>
        <w:szCs w:val="21"/>
        <w:u w:val="single"/>
      </w:rPr>
    </w:pPr>
    <w:r>
      <w:rPr>
        <w:rFonts w:hint="eastAsia" w:ascii="宋体" w:hAnsi="宋体"/>
        <w:lang w:eastAsia="zh-CN"/>
      </w:rPr>
      <w:t>广西诚华工程造价咨询有限公司</w:t>
    </w:r>
    <w:r>
      <w:rPr>
        <w:rFonts w:hint="eastAsia" w:ascii="宋体" w:hAnsi="宋体"/>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092A">
    <w:pPr>
      <w:pStyle w:val="32"/>
      <w:framePr w:wrap="around" w:vAnchor="text" w:hAnchor="margin" w:xAlign="right" w:y="1"/>
      <w:rPr>
        <w:rStyle w:val="56"/>
      </w:rPr>
    </w:pPr>
    <w:r>
      <w:fldChar w:fldCharType="begin"/>
    </w:r>
    <w:r>
      <w:rPr>
        <w:rStyle w:val="56"/>
      </w:rPr>
      <w:instrText xml:space="preserve">PAGE  </w:instrText>
    </w:r>
    <w:r>
      <w:fldChar w:fldCharType="end"/>
    </w:r>
  </w:p>
  <w:p w14:paraId="7BF8267F">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9EF2">
    <w:pPr>
      <w:pStyle w:val="32"/>
      <w:ind w:right="90"/>
      <w:jc w:val="right"/>
      <w:rPr>
        <w:rFonts w:ascii="宋体" w:hAnsi="宋体"/>
        <w:sz w:val="21"/>
        <w:szCs w:val="21"/>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3B295">
    <w:pPr>
      <w:pStyle w:val="32"/>
      <w:ind w:right="90"/>
      <w:jc w:val="right"/>
      <w:rPr>
        <w:rFonts w:ascii="宋体" w:hAnsi="宋体"/>
        <w:sz w:val="21"/>
        <w:szCs w:val="21"/>
        <w:u w:val="single"/>
      </w:rPr>
    </w:pPr>
    <w:r>
      <w:rPr>
        <w:sz w:val="21"/>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D551C69">
                <w:pPr>
                  <w:pStyle w:val="3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r>
      <w:rPr>
        <w:rFonts w:hint="eastAsia"/>
        <w:sz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D60ED">
    <w:pPr>
      <w:pStyle w:val="33"/>
      <w:jc w:val="left"/>
      <w:rPr>
        <w:sz w:val="21"/>
        <w:szCs w:val="21"/>
      </w:rPr>
    </w:pPr>
    <w:r>
      <w:rPr>
        <w:rFonts w:hint="eastAsia"/>
        <w:sz w:val="21"/>
        <w:szCs w:val="21"/>
      </w:rPr>
      <w:t xml:space="preserve">项目名称：平桂区鹅塘镇大明村东甲尾至沙田镇金竹村黄南村道生命安全防护工程 </w:t>
    </w:r>
  </w:p>
  <w:p w14:paraId="7A323013">
    <w:pPr>
      <w:pStyle w:val="33"/>
      <w:jc w:val="left"/>
      <w:rPr>
        <w:sz w:val="21"/>
        <w:szCs w:val="21"/>
      </w:rPr>
    </w:pPr>
    <w:r>
      <w:rPr>
        <w:rFonts w:hint="eastAsia"/>
        <w:sz w:val="21"/>
        <w:szCs w:val="21"/>
      </w:rPr>
      <w:t>项目编号：HZZC2022-C2-030241-GXDH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A559E">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E15F">
    <w:pPr>
      <w:pStyle w:val="33"/>
      <w:jc w:val="left"/>
    </w:pPr>
    <w:r>
      <w:rPr>
        <w:rFonts w:hint="eastAsia"/>
      </w:rPr>
      <w:t>项目名称：</w:t>
    </w:r>
    <w:r>
      <w:rPr>
        <w:rFonts w:hint="eastAsia"/>
        <w:lang w:eastAsia="zh-CN"/>
      </w:rPr>
      <w:t>伯劳镇伯凤村委基础设施建设工程</w:t>
    </w:r>
    <w:r>
      <w:rPr>
        <w:rFonts w:hint="eastAsia"/>
      </w:rPr>
      <w:t xml:space="preserve">   </w:t>
    </w:r>
    <w:r>
      <w:t xml:space="preserve">               </w:t>
    </w:r>
    <w:r>
      <w:rPr>
        <w:rFonts w:hint="eastAsia"/>
        <w:lang w:val="en-US" w:eastAsia="zh-CN"/>
      </w:rPr>
      <w:t xml:space="preserve">                 </w:t>
    </w:r>
    <w:r>
      <w:rPr>
        <w:rFonts w:hint="eastAsia"/>
      </w:rPr>
      <w:t>项目编号：</w:t>
    </w:r>
    <w:r>
      <w:rPr>
        <w:rFonts w:hint="eastAsia"/>
        <w:lang w:eastAsia="zh-CN"/>
      </w:rPr>
      <w:t>QZZC2025-C2-210276-GXCH</w:t>
    </w:r>
    <w:r>
      <w:rPr>
        <w:rFonts w:hint="eastAsia"/>
      </w:rPr>
      <w:t xml:space="preserve"> </w:t>
    </w:r>
  </w:p>
  <w:p w14:paraId="1D9786BF">
    <w:pPr>
      <w:tabs>
        <w:tab w:val="left" w:pos="973"/>
      </w:tabs>
      <w:spacing w:line="237" w:lineRule="auto"/>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A74D"/>
    <w:multiLevelType w:val="singleLevel"/>
    <w:tmpl w:val="82DEA74D"/>
    <w:lvl w:ilvl="0" w:tentative="0">
      <w:start w:val="1"/>
      <w:numFmt w:val="decimal"/>
      <w:suff w:val="nothing"/>
      <w:lvlText w:val="%1、"/>
      <w:lvlJc w:val="left"/>
    </w:lvl>
  </w:abstractNum>
  <w:abstractNum w:abstractNumId="1">
    <w:nsid w:val="B2FD2B48"/>
    <w:multiLevelType w:val="singleLevel"/>
    <w:tmpl w:val="B2FD2B48"/>
    <w:lvl w:ilvl="0" w:tentative="0">
      <w:start w:val="1"/>
      <w:numFmt w:val="decimal"/>
      <w:suff w:val="nothing"/>
      <w:lvlText w:val="（%1）"/>
      <w:lvlJc w:val="left"/>
    </w:lvl>
  </w:abstractNum>
  <w:abstractNum w:abstractNumId="2">
    <w:nsid w:val="C932187E"/>
    <w:multiLevelType w:val="singleLevel"/>
    <w:tmpl w:val="C932187E"/>
    <w:lvl w:ilvl="0" w:tentative="0">
      <w:start w:val="1"/>
      <w:numFmt w:val="chineseCounting"/>
      <w:suff w:val="space"/>
      <w:lvlText w:val="第%1章"/>
      <w:lvlJc w:val="left"/>
      <w:rPr>
        <w:rFonts w:hint="eastAsia"/>
      </w:rPr>
    </w:lvl>
  </w:abstractNum>
  <w:abstractNum w:abstractNumId="3">
    <w:nsid w:val="FC6F0F38"/>
    <w:multiLevelType w:val="singleLevel"/>
    <w:tmpl w:val="FC6F0F38"/>
    <w:lvl w:ilvl="0" w:tentative="0">
      <w:start w:val="2"/>
      <w:numFmt w:val="decimal"/>
      <w:lvlText w:val="%1."/>
      <w:lvlJc w:val="left"/>
      <w:pPr>
        <w:tabs>
          <w:tab w:val="left" w:pos="312"/>
        </w:tabs>
      </w:pPr>
    </w:lvl>
  </w:abstractNum>
  <w:abstractNum w:abstractNumId="4">
    <w:nsid w:val="00062A53"/>
    <w:multiLevelType w:val="singleLevel"/>
    <w:tmpl w:val="00062A53"/>
    <w:lvl w:ilvl="0" w:tentative="0">
      <w:start w:val="10"/>
      <w:numFmt w:val="decimal"/>
      <w:suff w:val="nothing"/>
      <w:lvlText w:val="（%1）"/>
      <w:lvlJc w:val="left"/>
      <w:pPr>
        <w:ind w:left="420" w:firstLine="0"/>
      </w:pPr>
    </w:lvl>
  </w:abstractNum>
  <w:abstractNum w:abstractNumId="5">
    <w:nsid w:val="032651EA"/>
    <w:multiLevelType w:val="singleLevel"/>
    <w:tmpl w:val="032651EA"/>
    <w:lvl w:ilvl="0" w:tentative="0">
      <w:start w:val="8"/>
      <w:numFmt w:val="decimal"/>
      <w:suff w:val="nothing"/>
      <w:lvlText w:val="（%1）"/>
      <w:lvlJc w:val="left"/>
    </w:lvl>
  </w:abstractNum>
  <w:abstractNum w:abstractNumId="6">
    <w:nsid w:val="2C031271"/>
    <w:multiLevelType w:val="singleLevel"/>
    <w:tmpl w:val="2C031271"/>
    <w:lvl w:ilvl="0" w:tentative="0">
      <w:start w:val="1"/>
      <w:numFmt w:val="decimal"/>
      <w:lvlText w:val="%1."/>
      <w:lvlJc w:val="left"/>
      <w:pPr>
        <w:tabs>
          <w:tab w:val="left" w:pos="312"/>
        </w:tabs>
      </w:pPr>
    </w:lvl>
  </w:abstractNum>
  <w:abstractNum w:abstractNumId="7">
    <w:nsid w:val="4E1E67FD"/>
    <w:multiLevelType w:val="singleLevel"/>
    <w:tmpl w:val="4E1E67FD"/>
    <w:lvl w:ilvl="0" w:tentative="0">
      <w:start w:val="1"/>
      <w:numFmt w:val="decimal"/>
      <w:lvlText w:val="(%1)"/>
      <w:lvlJc w:val="left"/>
      <w:pPr>
        <w:tabs>
          <w:tab w:val="left" w:pos="312"/>
        </w:tabs>
      </w:pPr>
    </w:lvl>
  </w:abstractNum>
  <w:abstractNum w:abstractNumId="8">
    <w:nsid w:val="52E7A2C6"/>
    <w:multiLevelType w:val="singleLevel"/>
    <w:tmpl w:val="52E7A2C6"/>
    <w:lvl w:ilvl="0" w:tentative="0">
      <w:start w:val="1"/>
      <w:numFmt w:val="chineseCounting"/>
      <w:suff w:val="nothing"/>
      <w:lvlText w:val="%1、"/>
      <w:lvlJc w:val="left"/>
      <w:rPr>
        <w:rFonts w:hint="eastAsia"/>
      </w:rPr>
    </w:lvl>
  </w:abstractNum>
  <w:abstractNum w:abstractNumId="9">
    <w:nsid w:val="5498E193"/>
    <w:multiLevelType w:val="singleLevel"/>
    <w:tmpl w:val="5498E193"/>
    <w:lvl w:ilvl="0" w:tentative="0">
      <w:start w:val="11"/>
      <w:numFmt w:val="decimal"/>
      <w:suff w:val="space"/>
      <w:lvlText w:val="%1."/>
      <w:lvlJc w:val="left"/>
    </w:lvl>
  </w:abstractNum>
  <w:abstractNum w:abstractNumId="10">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2"/>
  </w:num>
  <w:num w:numId="2">
    <w:abstractNumId w:val="5"/>
  </w:num>
  <w:num w:numId="3">
    <w:abstractNumId w:val="6"/>
  </w:num>
  <w:num w:numId="4">
    <w:abstractNumId w:val="1"/>
  </w:num>
  <w:num w:numId="5">
    <w:abstractNumId w:val="8"/>
  </w:num>
  <w:num w:numId="6">
    <w:abstractNumId w:val="10"/>
  </w:num>
  <w:num w:numId="7">
    <w:abstractNumId w:val="7"/>
  </w:num>
  <w:num w:numId="8">
    <w:abstractNumId w:val="4"/>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Y2Mjg4Yzg3NjZlYThjOThlZmY4NThlNzM5OWQ4NjQifQ=="/>
  </w:docVars>
  <w:rsids>
    <w:rsidRoot w:val="431B3150"/>
    <w:rsid w:val="00020185"/>
    <w:rsid w:val="00051F71"/>
    <w:rsid w:val="000A583A"/>
    <w:rsid w:val="000B5363"/>
    <w:rsid w:val="000B7C5C"/>
    <w:rsid w:val="000E5390"/>
    <w:rsid w:val="000E6BE6"/>
    <w:rsid w:val="000F46A3"/>
    <w:rsid w:val="0010485C"/>
    <w:rsid w:val="00106917"/>
    <w:rsid w:val="00147173"/>
    <w:rsid w:val="001718DC"/>
    <w:rsid w:val="00184221"/>
    <w:rsid w:val="00192579"/>
    <w:rsid w:val="001938CA"/>
    <w:rsid w:val="001942CA"/>
    <w:rsid w:val="001A0B2F"/>
    <w:rsid w:val="001C387A"/>
    <w:rsid w:val="001E10FD"/>
    <w:rsid w:val="00204D8D"/>
    <w:rsid w:val="00210EAF"/>
    <w:rsid w:val="00210EC7"/>
    <w:rsid w:val="00227846"/>
    <w:rsid w:val="0026538F"/>
    <w:rsid w:val="002D59E3"/>
    <w:rsid w:val="002D7310"/>
    <w:rsid w:val="002E5449"/>
    <w:rsid w:val="002E741D"/>
    <w:rsid w:val="003255B6"/>
    <w:rsid w:val="003654A5"/>
    <w:rsid w:val="0037738B"/>
    <w:rsid w:val="003946E7"/>
    <w:rsid w:val="003963CB"/>
    <w:rsid w:val="00396ED9"/>
    <w:rsid w:val="00397894"/>
    <w:rsid w:val="003C39BE"/>
    <w:rsid w:val="00403DB3"/>
    <w:rsid w:val="004321CC"/>
    <w:rsid w:val="00447701"/>
    <w:rsid w:val="0046176F"/>
    <w:rsid w:val="004E7174"/>
    <w:rsid w:val="004E74CD"/>
    <w:rsid w:val="00515905"/>
    <w:rsid w:val="005339DD"/>
    <w:rsid w:val="005460CC"/>
    <w:rsid w:val="005675C5"/>
    <w:rsid w:val="005707B0"/>
    <w:rsid w:val="00576793"/>
    <w:rsid w:val="005935FC"/>
    <w:rsid w:val="005A1F63"/>
    <w:rsid w:val="005C30BD"/>
    <w:rsid w:val="005D5B5F"/>
    <w:rsid w:val="005D7C5D"/>
    <w:rsid w:val="005F7D62"/>
    <w:rsid w:val="006134A2"/>
    <w:rsid w:val="006148AD"/>
    <w:rsid w:val="0067308E"/>
    <w:rsid w:val="0067412F"/>
    <w:rsid w:val="00683026"/>
    <w:rsid w:val="00684A39"/>
    <w:rsid w:val="006B5F99"/>
    <w:rsid w:val="006F7312"/>
    <w:rsid w:val="00727D6D"/>
    <w:rsid w:val="0073473F"/>
    <w:rsid w:val="007507F1"/>
    <w:rsid w:val="007537E7"/>
    <w:rsid w:val="00764E20"/>
    <w:rsid w:val="00764F7C"/>
    <w:rsid w:val="007D4EC5"/>
    <w:rsid w:val="007D55EE"/>
    <w:rsid w:val="00801694"/>
    <w:rsid w:val="008055A9"/>
    <w:rsid w:val="0082214A"/>
    <w:rsid w:val="00846AB7"/>
    <w:rsid w:val="00855CEE"/>
    <w:rsid w:val="00863E56"/>
    <w:rsid w:val="008A0878"/>
    <w:rsid w:val="008A1291"/>
    <w:rsid w:val="008E28B1"/>
    <w:rsid w:val="00915132"/>
    <w:rsid w:val="00916D2E"/>
    <w:rsid w:val="00922C21"/>
    <w:rsid w:val="009407E5"/>
    <w:rsid w:val="00944D1D"/>
    <w:rsid w:val="009561C1"/>
    <w:rsid w:val="00961FBF"/>
    <w:rsid w:val="009C7C1F"/>
    <w:rsid w:val="009D5E96"/>
    <w:rsid w:val="009E4E28"/>
    <w:rsid w:val="009F276B"/>
    <w:rsid w:val="009F6F65"/>
    <w:rsid w:val="009F7E1B"/>
    <w:rsid w:val="00A06A14"/>
    <w:rsid w:val="00A3103B"/>
    <w:rsid w:val="00A42194"/>
    <w:rsid w:val="00A44352"/>
    <w:rsid w:val="00A62F03"/>
    <w:rsid w:val="00AC67FC"/>
    <w:rsid w:val="00AD6E3B"/>
    <w:rsid w:val="00B00229"/>
    <w:rsid w:val="00B02F71"/>
    <w:rsid w:val="00B169B5"/>
    <w:rsid w:val="00B32339"/>
    <w:rsid w:val="00B6331A"/>
    <w:rsid w:val="00B66CA6"/>
    <w:rsid w:val="00B71903"/>
    <w:rsid w:val="00B75461"/>
    <w:rsid w:val="00B77BAF"/>
    <w:rsid w:val="00B83EC1"/>
    <w:rsid w:val="00BA11D5"/>
    <w:rsid w:val="00BB1176"/>
    <w:rsid w:val="00BB6CBD"/>
    <w:rsid w:val="00BC0CAF"/>
    <w:rsid w:val="00BE0161"/>
    <w:rsid w:val="00C03418"/>
    <w:rsid w:val="00C06F35"/>
    <w:rsid w:val="00C12921"/>
    <w:rsid w:val="00C2098E"/>
    <w:rsid w:val="00C260FC"/>
    <w:rsid w:val="00C40DFB"/>
    <w:rsid w:val="00C809F5"/>
    <w:rsid w:val="00CA662D"/>
    <w:rsid w:val="00CD0A84"/>
    <w:rsid w:val="00CE1EDE"/>
    <w:rsid w:val="00D013D4"/>
    <w:rsid w:val="00D03EA5"/>
    <w:rsid w:val="00D16995"/>
    <w:rsid w:val="00D601E6"/>
    <w:rsid w:val="00D626DB"/>
    <w:rsid w:val="00D953EC"/>
    <w:rsid w:val="00D9579C"/>
    <w:rsid w:val="00D95DD1"/>
    <w:rsid w:val="00DA0F15"/>
    <w:rsid w:val="00DC7880"/>
    <w:rsid w:val="00DE6005"/>
    <w:rsid w:val="00E23735"/>
    <w:rsid w:val="00E345F9"/>
    <w:rsid w:val="00E43420"/>
    <w:rsid w:val="00E43562"/>
    <w:rsid w:val="00E95BB6"/>
    <w:rsid w:val="00EA157F"/>
    <w:rsid w:val="00EA3391"/>
    <w:rsid w:val="00EB04A8"/>
    <w:rsid w:val="00EC63DE"/>
    <w:rsid w:val="00F26AA1"/>
    <w:rsid w:val="00F40E13"/>
    <w:rsid w:val="00F460B2"/>
    <w:rsid w:val="00F56504"/>
    <w:rsid w:val="00F8605C"/>
    <w:rsid w:val="00FE7080"/>
    <w:rsid w:val="010F43CF"/>
    <w:rsid w:val="010F5FE2"/>
    <w:rsid w:val="013E6345"/>
    <w:rsid w:val="01510D91"/>
    <w:rsid w:val="015E1378"/>
    <w:rsid w:val="01712B58"/>
    <w:rsid w:val="01732FB3"/>
    <w:rsid w:val="017567FC"/>
    <w:rsid w:val="018E7F8D"/>
    <w:rsid w:val="01AD3B68"/>
    <w:rsid w:val="01B06D6A"/>
    <w:rsid w:val="021B4271"/>
    <w:rsid w:val="021E110F"/>
    <w:rsid w:val="021F0ED1"/>
    <w:rsid w:val="0228604D"/>
    <w:rsid w:val="025B30F8"/>
    <w:rsid w:val="02732751"/>
    <w:rsid w:val="0285699C"/>
    <w:rsid w:val="02901E05"/>
    <w:rsid w:val="02910441"/>
    <w:rsid w:val="02A75804"/>
    <w:rsid w:val="02B37ED6"/>
    <w:rsid w:val="02CB6880"/>
    <w:rsid w:val="02CF2660"/>
    <w:rsid w:val="02D752BA"/>
    <w:rsid w:val="02DB1135"/>
    <w:rsid w:val="02F60B92"/>
    <w:rsid w:val="030229A5"/>
    <w:rsid w:val="03073BD8"/>
    <w:rsid w:val="038A0F5C"/>
    <w:rsid w:val="038F0666"/>
    <w:rsid w:val="03994F4E"/>
    <w:rsid w:val="03A52EF2"/>
    <w:rsid w:val="03B52281"/>
    <w:rsid w:val="03BD679A"/>
    <w:rsid w:val="03E513A6"/>
    <w:rsid w:val="04025A79"/>
    <w:rsid w:val="040F4994"/>
    <w:rsid w:val="04453E55"/>
    <w:rsid w:val="047948EC"/>
    <w:rsid w:val="047E311D"/>
    <w:rsid w:val="0488552C"/>
    <w:rsid w:val="04C23D52"/>
    <w:rsid w:val="04EA7F29"/>
    <w:rsid w:val="051518EF"/>
    <w:rsid w:val="0521531D"/>
    <w:rsid w:val="05577D8B"/>
    <w:rsid w:val="05875732"/>
    <w:rsid w:val="05AA152F"/>
    <w:rsid w:val="05BD29CF"/>
    <w:rsid w:val="060C2EBB"/>
    <w:rsid w:val="06415C54"/>
    <w:rsid w:val="06595497"/>
    <w:rsid w:val="068A4DAC"/>
    <w:rsid w:val="06C95EDE"/>
    <w:rsid w:val="06FD746A"/>
    <w:rsid w:val="072C591E"/>
    <w:rsid w:val="076D0ECF"/>
    <w:rsid w:val="077568E0"/>
    <w:rsid w:val="07963C8B"/>
    <w:rsid w:val="07A94B5D"/>
    <w:rsid w:val="07B752B6"/>
    <w:rsid w:val="07BC46FF"/>
    <w:rsid w:val="07BC49C1"/>
    <w:rsid w:val="07C27992"/>
    <w:rsid w:val="07CB5F01"/>
    <w:rsid w:val="07D93375"/>
    <w:rsid w:val="080374BA"/>
    <w:rsid w:val="08415506"/>
    <w:rsid w:val="08553CEE"/>
    <w:rsid w:val="0860559E"/>
    <w:rsid w:val="087728B5"/>
    <w:rsid w:val="08A54CD2"/>
    <w:rsid w:val="08E144CF"/>
    <w:rsid w:val="09150178"/>
    <w:rsid w:val="093056E2"/>
    <w:rsid w:val="09656872"/>
    <w:rsid w:val="098C3ADE"/>
    <w:rsid w:val="09981DD6"/>
    <w:rsid w:val="09EB2195"/>
    <w:rsid w:val="0A203224"/>
    <w:rsid w:val="0A323A7B"/>
    <w:rsid w:val="0A421BF4"/>
    <w:rsid w:val="0A4B25DC"/>
    <w:rsid w:val="0AA70ADC"/>
    <w:rsid w:val="0AD16319"/>
    <w:rsid w:val="0AD57C4B"/>
    <w:rsid w:val="0ADE7A8F"/>
    <w:rsid w:val="0B0333A3"/>
    <w:rsid w:val="0B0A635A"/>
    <w:rsid w:val="0B144F2B"/>
    <w:rsid w:val="0B1536C0"/>
    <w:rsid w:val="0B4E39F7"/>
    <w:rsid w:val="0B643590"/>
    <w:rsid w:val="0B66416A"/>
    <w:rsid w:val="0B7314D5"/>
    <w:rsid w:val="0BB07C71"/>
    <w:rsid w:val="0BEE5A66"/>
    <w:rsid w:val="0BF9008B"/>
    <w:rsid w:val="0BFA6FD1"/>
    <w:rsid w:val="0C373216"/>
    <w:rsid w:val="0C3E7E08"/>
    <w:rsid w:val="0C406B21"/>
    <w:rsid w:val="0C6915E0"/>
    <w:rsid w:val="0CEE7400"/>
    <w:rsid w:val="0D09234F"/>
    <w:rsid w:val="0D1462F4"/>
    <w:rsid w:val="0D1C2527"/>
    <w:rsid w:val="0D324D94"/>
    <w:rsid w:val="0DB40D43"/>
    <w:rsid w:val="0DB71BE3"/>
    <w:rsid w:val="0DBC70F1"/>
    <w:rsid w:val="0E0722AE"/>
    <w:rsid w:val="0E44027A"/>
    <w:rsid w:val="0E53028D"/>
    <w:rsid w:val="0E5D3349"/>
    <w:rsid w:val="0E857647"/>
    <w:rsid w:val="0E905815"/>
    <w:rsid w:val="0EA271EC"/>
    <w:rsid w:val="0ECD528C"/>
    <w:rsid w:val="0EE61D33"/>
    <w:rsid w:val="0EE70E8E"/>
    <w:rsid w:val="0EE81876"/>
    <w:rsid w:val="0F0A282B"/>
    <w:rsid w:val="0F470702"/>
    <w:rsid w:val="0F515C5A"/>
    <w:rsid w:val="0F6D3AD1"/>
    <w:rsid w:val="0FA42666"/>
    <w:rsid w:val="0FA9089C"/>
    <w:rsid w:val="0FD2057A"/>
    <w:rsid w:val="0FD571EC"/>
    <w:rsid w:val="108522C5"/>
    <w:rsid w:val="10937F1A"/>
    <w:rsid w:val="109C55C2"/>
    <w:rsid w:val="10A36CEB"/>
    <w:rsid w:val="110F15C1"/>
    <w:rsid w:val="11240204"/>
    <w:rsid w:val="114950F2"/>
    <w:rsid w:val="11A23E24"/>
    <w:rsid w:val="11AF3192"/>
    <w:rsid w:val="11D44407"/>
    <w:rsid w:val="11F4325E"/>
    <w:rsid w:val="122B23DB"/>
    <w:rsid w:val="12432BED"/>
    <w:rsid w:val="128A57C3"/>
    <w:rsid w:val="12921F42"/>
    <w:rsid w:val="12B2792E"/>
    <w:rsid w:val="12C33517"/>
    <w:rsid w:val="12CA3F6D"/>
    <w:rsid w:val="12D45BC9"/>
    <w:rsid w:val="12E5148C"/>
    <w:rsid w:val="13222A6D"/>
    <w:rsid w:val="13375F7C"/>
    <w:rsid w:val="133B072C"/>
    <w:rsid w:val="139A144D"/>
    <w:rsid w:val="13D47A1B"/>
    <w:rsid w:val="13D80628"/>
    <w:rsid w:val="13E62DBC"/>
    <w:rsid w:val="141C07D5"/>
    <w:rsid w:val="14207760"/>
    <w:rsid w:val="14237CCA"/>
    <w:rsid w:val="14417C83"/>
    <w:rsid w:val="14505136"/>
    <w:rsid w:val="146F1A40"/>
    <w:rsid w:val="14776EFE"/>
    <w:rsid w:val="147B5855"/>
    <w:rsid w:val="14904A9F"/>
    <w:rsid w:val="14AD2FB9"/>
    <w:rsid w:val="14B4689D"/>
    <w:rsid w:val="14DA11D6"/>
    <w:rsid w:val="14EC447B"/>
    <w:rsid w:val="14FA43F4"/>
    <w:rsid w:val="151243AC"/>
    <w:rsid w:val="15312467"/>
    <w:rsid w:val="15442DDA"/>
    <w:rsid w:val="157A4E72"/>
    <w:rsid w:val="15801337"/>
    <w:rsid w:val="159C20F2"/>
    <w:rsid w:val="15A14DEA"/>
    <w:rsid w:val="15A52288"/>
    <w:rsid w:val="15B37428"/>
    <w:rsid w:val="15BC3769"/>
    <w:rsid w:val="15C16A04"/>
    <w:rsid w:val="15D17694"/>
    <w:rsid w:val="15F455B0"/>
    <w:rsid w:val="15FC2035"/>
    <w:rsid w:val="15FD7FC2"/>
    <w:rsid w:val="162006D2"/>
    <w:rsid w:val="162114BD"/>
    <w:rsid w:val="162B6D47"/>
    <w:rsid w:val="163B35AF"/>
    <w:rsid w:val="16497123"/>
    <w:rsid w:val="169541A1"/>
    <w:rsid w:val="16D07FED"/>
    <w:rsid w:val="16DF0663"/>
    <w:rsid w:val="16E91F40"/>
    <w:rsid w:val="170279F1"/>
    <w:rsid w:val="170711DD"/>
    <w:rsid w:val="17280F16"/>
    <w:rsid w:val="172A1053"/>
    <w:rsid w:val="174357EB"/>
    <w:rsid w:val="177D1E82"/>
    <w:rsid w:val="17830C7D"/>
    <w:rsid w:val="179B2596"/>
    <w:rsid w:val="17EB2521"/>
    <w:rsid w:val="17FC09DB"/>
    <w:rsid w:val="18410550"/>
    <w:rsid w:val="184A630F"/>
    <w:rsid w:val="18902AC0"/>
    <w:rsid w:val="18A36F04"/>
    <w:rsid w:val="18C633D3"/>
    <w:rsid w:val="18F92709"/>
    <w:rsid w:val="190711B8"/>
    <w:rsid w:val="1929549B"/>
    <w:rsid w:val="19315254"/>
    <w:rsid w:val="193713E3"/>
    <w:rsid w:val="19446B85"/>
    <w:rsid w:val="195C7B85"/>
    <w:rsid w:val="19CC7E03"/>
    <w:rsid w:val="19D86A17"/>
    <w:rsid w:val="19DA3387"/>
    <w:rsid w:val="19F4305A"/>
    <w:rsid w:val="1A130160"/>
    <w:rsid w:val="1A1C02B0"/>
    <w:rsid w:val="1A260510"/>
    <w:rsid w:val="1A53371E"/>
    <w:rsid w:val="1A580897"/>
    <w:rsid w:val="1A59708B"/>
    <w:rsid w:val="1A5C344B"/>
    <w:rsid w:val="1A761580"/>
    <w:rsid w:val="1A886D43"/>
    <w:rsid w:val="1AAD4CC0"/>
    <w:rsid w:val="1AC54D70"/>
    <w:rsid w:val="1AFB42ED"/>
    <w:rsid w:val="1B1656CF"/>
    <w:rsid w:val="1B1A4796"/>
    <w:rsid w:val="1B1A5B25"/>
    <w:rsid w:val="1B51592D"/>
    <w:rsid w:val="1B677C92"/>
    <w:rsid w:val="1B683033"/>
    <w:rsid w:val="1B837D67"/>
    <w:rsid w:val="1BCD65A0"/>
    <w:rsid w:val="1BEC3787"/>
    <w:rsid w:val="1C127C1D"/>
    <w:rsid w:val="1C2E4F86"/>
    <w:rsid w:val="1C3B6CE8"/>
    <w:rsid w:val="1C526437"/>
    <w:rsid w:val="1C751ABE"/>
    <w:rsid w:val="1C7840B1"/>
    <w:rsid w:val="1C8745E6"/>
    <w:rsid w:val="1C8E3E2E"/>
    <w:rsid w:val="1C8F7072"/>
    <w:rsid w:val="1C92728F"/>
    <w:rsid w:val="1CB74342"/>
    <w:rsid w:val="1CBC5B9E"/>
    <w:rsid w:val="1CC70E5A"/>
    <w:rsid w:val="1CC826ED"/>
    <w:rsid w:val="1CC858AA"/>
    <w:rsid w:val="1CE4446C"/>
    <w:rsid w:val="1CFB6772"/>
    <w:rsid w:val="1D012DC8"/>
    <w:rsid w:val="1D282B73"/>
    <w:rsid w:val="1D473FC4"/>
    <w:rsid w:val="1DA55ED4"/>
    <w:rsid w:val="1DCD16C2"/>
    <w:rsid w:val="1DEA1AED"/>
    <w:rsid w:val="1DEC7B59"/>
    <w:rsid w:val="1E132584"/>
    <w:rsid w:val="1E1D1B02"/>
    <w:rsid w:val="1E211AF4"/>
    <w:rsid w:val="1E2D414F"/>
    <w:rsid w:val="1E7C3880"/>
    <w:rsid w:val="1E9126D7"/>
    <w:rsid w:val="1EA3020C"/>
    <w:rsid w:val="1EC428AC"/>
    <w:rsid w:val="1EEB6780"/>
    <w:rsid w:val="1F0F1A50"/>
    <w:rsid w:val="1F3F4D79"/>
    <w:rsid w:val="1F577B62"/>
    <w:rsid w:val="1F69094A"/>
    <w:rsid w:val="1F770DE5"/>
    <w:rsid w:val="1FA928B8"/>
    <w:rsid w:val="1FAF33D0"/>
    <w:rsid w:val="1FE97514"/>
    <w:rsid w:val="200A5C3C"/>
    <w:rsid w:val="202D6E39"/>
    <w:rsid w:val="203370CC"/>
    <w:rsid w:val="203D48DF"/>
    <w:rsid w:val="2042635B"/>
    <w:rsid w:val="204949D4"/>
    <w:rsid w:val="20567420"/>
    <w:rsid w:val="2069588E"/>
    <w:rsid w:val="20701757"/>
    <w:rsid w:val="20786BE9"/>
    <w:rsid w:val="208257CE"/>
    <w:rsid w:val="208A1D0B"/>
    <w:rsid w:val="208C4B5A"/>
    <w:rsid w:val="20994F34"/>
    <w:rsid w:val="20A03B82"/>
    <w:rsid w:val="20AB636C"/>
    <w:rsid w:val="20B3324D"/>
    <w:rsid w:val="20B74704"/>
    <w:rsid w:val="20C6324C"/>
    <w:rsid w:val="20E76BC2"/>
    <w:rsid w:val="2122049F"/>
    <w:rsid w:val="21251B33"/>
    <w:rsid w:val="21437AE8"/>
    <w:rsid w:val="21482FF9"/>
    <w:rsid w:val="214D0AB3"/>
    <w:rsid w:val="217A0435"/>
    <w:rsid w:val="218775AB"/>
    <w:rsid w:val="2188729D"/>
    <w:rsid w:val="21B77545"/>
    <w:rsid w:val="21BA022A"/>
    <w:rsid w:val="21BD48B9"/>
    <w:rsid w:val="21C42C5D"/>
    <w:rsid w:val="21CE69EC"/>
    <w:rsid w:val="21D10F1F"/>
    <w:rsid w:val="21D431C3"/>
    <w:rsid w:val="21D75B28"/>
    <w:rsid w:val="21E1157B"/>
    <w:rsid w:val="21E9116E"/>
    <w:rsid w:val="21F33F8B"/>
    <w:rsid w:val="22047B62"/>
    <w:rsid w:val="220C503A"/>
    <w:rsid w:val="22637F74"/>
    <w:rsid w:val="227350E1"/>
    <w:rsid w:val="227A2DCD"/>
    <w:rsid w:val="227D3355"/>
    <w:rsid w:val="22811AD1"/>
    <w:rsid w:val="228150C7"/>
    <w:rsid w:val="22851D24"/>
    <w:rsid w:val="22996C92"/>
    <w:rsid w:val="22CD66D0"/>
    <w:rsid w:val="22DF6B31"/>
    <w:rsid w:val="22F50C4E"/>
    <w:rsid w:val="23111068"/>
    <w:rsid w:val="23242C16"/>
    <w:rsid w:val="233B32F2"/>
    <w:rsid w:val="23417E1B"/>
    <w:rsid w:val="23503C84"/>
    <w:rsid w:val="238846BF"/>
    <w:rsid w:val="23A3588C"/>
    <w:rsid w:val="23AA7239"/>
    <w:rsid w:val="23BB3004"/>
    <w:rsid w:val="23C6233B"/>
    <w:rsid w:val="23C7681E"/>
    <w:rsid w:val="24082174"/>
    <w:rsid w:val="24145594"/>
    <w:rsid w:val="24381C76"/>
    <w:rsid w:val="24513B95"/>
    <w:rsid w:val="24531BE4"/>
    <w:rsid w:val="245E60EA"/>
    <w:rsid w:val="24945841"/>
    <w:rsid w:val="249F3629"/>
    <w:rsid w:val="25060596"/>
    <w:rsid w:val="25097325"/>
    <w:rsid w:val="25292606"/>
    <w:rsid w:val="25580E26"/>
    <w:rsid w:val="255E2003"/>
    <w:rsid w:val="25A062B3"/>
    <w:rsid w:val="25B333EC"/>
    <w:rsid w:val="25C15CB6"/>
    <w:rsid w:val="25F95738"/>
    <w:rsid w:val="261D222D"/>
    <w:rsid w:val="263C430E"/>
    <w:rsid w:val="26584507"/>
    <w:rsid w:val="26A61651"/>
    <w:rsid w:val="26CA20A0"/>
    <w:rsid w:val="26CC4D9A"/>
    <w:rsid w:val="26CF5C04"/>
    <w:rsid w:val="26DC7985"/>
    <w:rsid w:val="26E8451F"/>
    <w:rsid w:val="26FE033B"/>
    <w:rsid w:val="271B54EF"/>
    <w:rsid w:val="2723127F"/>
    <w:rsid w:val="27330B47"/>
    <w:rsid w:val="2735298E"/>
    <w:rsid w:val="277278E9"/>
    <w:rsid w:val="27796A8A"/>
    <w:rsid w:val="278860CF"/>
    <w:rsid w:val="27C873ED"/>
    <w:rsid w:val="27DB0EE6"/>
    <w:rsid w:val="27F33DF7"/>
    <w:rsid w:val="27F83A99"/>
    <w:rsid w:val="283A5429"/>
    <w:rsid w:val="28450962"/>
    <w:rsid w:val="284A1F5D"/>
    <w:rsid w:val="284B7EE7"/>
    <w:rsid w:val="28605BD0"/>
    <w:rsid w:val="28664D86"/>
    <w:rsid w:val="286E51BD"/>
    <w:rsid w:val="28741007"/>
    <w:rsid w:val="287A1C4C"/>
    <w:rsid w:val="28834ADA"/>
    <w:rsid w:val="28E1506C"/>
    <w:rsid w:val="28E86C90"/>
    <w:rsid w:val="292C4BDC"/>
    <w:rsid w:val="295807BB"/>
    <w:rsid w:val="296D189C"/>
    <w:rsid w:val="29882D00"/>
    <w:rsid w:val="2990340C"/>
    <w:rsid w:val="299D7047"/>
    <w:rsid w:val="29B006C8"/>
    <w:rsid w:val="29CF7CBC"/>
    <w:rsid w:val="2A040E61"/>
    <w:rsid w:val="2A0B7E6D"/>
    <w:rsid w:val="2A13200D"/>
    <w:rsid w:val="2A221ED3"/>
    <w:rsid w:val="2A3B381A"/>
    <w:rsid w:val="2A8736BE"/>
    <w:rsid w:val="2A93499D"/>
    <w:rsid w:val="2AC603DE"/>
    <w:rsid w:val="2AE6082F"/>
    <w:rsid w:val="2B010556"/>
    <w:rsid w:val="2B026E96"/>
    <w:rsid w:val="2B056260"/>
    <w:rsid w:val="2B1321DC"/>
    <w:rsid w:val="2B30560E"/>
    <w:rsid w:val="2B400334"/>
    <w:rsid w:val="2B445780"/>
    <w:rsid w:val="2B4C758A"/>
    <w:rsid w:val="2B633D6E"/>
    <w:rsid w:val="2B6B5E0B"/>
    <w:rsid w:val="2B6C4A0B"/>
    <w:rsid w:val="2BE92768"/>
    <w:rsid w:val="2BED16F8"/>
    <w:rsid w:val="2C1D027F"/>
    <w:rsid w:val="2C6D4CDD"/>
    <w:rsid w:val="2C6F5E1F"/>
    <w:rsid w:val="2C755243"/>
    <w:rsid w:val="2C7C4EE5"/>
    <w:rsid w:val="2C876C23"/>
    <w:rsid w:val="2CE72985"/>
    <w:rsid w:val="2CFB5B68"/>
    <w:rsid w:val="2D1C4591"/>
    <w:rsid w:val="2D286ADB"/>
    <w:rsid w:val="2D8B0FF1"/>
    <w:rsid w:val="2DE971E2"/>
    <w:rsid w:val="2E0848AE"/>
    <w:rsid w:val="2E116E66"/>
    <w:rsid w:val="2E123EA8"/>
    <w:rsid w:val="2E1D6EDE"/>
    <w:rsid w:val="2E2A3561"/>
    <w:rsid w:val="2E2D5F9E"/>
    <w:rsid w:val="2E392EFD"/>
    <w:rsid w:val="2E3B6C3B"/>
    <w:rsid w:val="2E50759F"/>
    <w:rsid w:val="2E79377E"/>
    <w:rsid w:val="2E9C79B2"/>
    <w:rsid w:val="2EC66A23"/>
    <w:rsid w:val="2ECE06FE"/>
    <w:rsid w:val="2F1C72B3"/>
    <w:rsid w:val="2F334578"/>
    <w:rsid w:val="2F5109A4"/>
    <w:rsid w:val="2F5E6B8C"/>
    <w:rsid w:val="2F631BC5"/>
    <w:rsid w:val="2F6B042A"/>
    <w:rsid w:val="2F700DF1"/>
    <w:rsid w:val="2F916997"/>
    <w:rsid w:val="2FB601D0"/>
    <w:rsid w:val="2FBF4699"/>
    <w:rsid w:val="2FE573AB"/>
    <w:rsid w:val="2FF06259"/>
    <w:rsid w:val="301471FC"/>
    <w:rsid w:val="30245D01"/>
    <w:rsid w:val="30265D71"/>
    <w:rsid w:val="304D7130"/>
    <w:rsid w:val="30682984"/>
    <w:rsid w:val="306D2235"/>
    <w:rsid w:val="309F2E19"/>
    <w:rsid w:val="30CB3D39"/>
    <w:rsid w:val="30EF2A10"/>
    <w:rsid w:val="30F019A9"/>
    <w:rsid w:val="31002B1E"/>
    <w:rsid w:val="31094BD2"/>
    <w:rsid w:val="31132550"/>
    <w:rsid w:val="311A393E"/>
    <w:rsid w:val="31303416"/>
    <w:rsid w:val="313F4D9A"/>
    <w:rsid w:val="314A36B4"/>
    <w:rsid w:val="3161595D"/>
    <w:rsid w:val="3184602D"/>
    <w:rsid w:val="319C6943"/>
    <w:rsid w:val="31AD66FD"/>
    <w:rsid w:val="31B21D95"/>
    <w:rsid w:val="31B96AA6"/>
    <w:rsid w:val="31DF34F0"/>
    <w:rsid w:val="31EE0D17"/>
    <w:rsid w:val="31FC7ADB"/>
    <w:rsid w:val="3221596B"/>
    <w:rsid w:val="32222E7F"/>
    <w:rsid w:val="322F17B7"/>
    <w:rsid w:val="325A6FC8"/>
    <w:rsid w:val="326E76CC"/>
    <w:rsid w:val="327A0F3A"/>
    <w:rsid w:val="32E35943"/>
    <w:rsid w:val="33255513"/>
    <w:rsid w:val="33283607"/>
    <w:rsid w:val="336A17DF"/>
    <w:rsid w:val="33762B88"/>
    <w:rsid w:val="338565A5"/>
    <w:rsid w:val="3388080E"/>
    <w:rsid w:val="33AD0AAD"/>
    <w:rsid w:val="33FC056B"/>
    <w:rsid w:val="34133F4C"/>
    <w:rsid w:val="34176FDD"/>
    <w:rsid w:val="34186F72"/>
    <w:rsid w:val="34195674"/>
    <w:rsid w:val="34246EDC"/>
    <w:rsid w:val="346C5CA1"/>
    <w:rsid w:val="34A04E07"/>
    <w:rsid w:val="34DB1E65"/>
    <w:rsid w:val="34E24C33"/>
    <w:rsid w:val="34F3029F"/>
    <w:rsid w:val="34F74832"/>
    <w:rsid w:val="351013A8"/>
    <w:rsid w:val="351940B0"/>
    <w:rsid w:val="3531020B"/>
    <w:rsid w:val="35364074"/>
    <w:rsid w:val="355346F6"/>
    <w:rsid w:val="355E4683"/>
    <w:rsid w:val="357C7584"/>
    <w:rsid w:val="35A07E22"/>
    <w:rsid w:val="35CB15CF"/>
    <w:rsid w:val="35E53C1A"/>
    <w:rsid w:val="360302A9"/>
    <w:rsid w:val="361976C3"/>
    <w:rsid w:val="362463DF"/>
    <w:rsid w:val="3638711E"/>
    <w:rsid w:val="36572F64"/>
    <w:rsid w:val="36C866EF"/>
    <w:rsid w:val="36E207C0"/>
    <w:rsid w:val="36EB5BF2"/>
    <w:rsid w:val="371A1ED1"/>
    <w:rsid w:val="3729787B"/>
    <w:rsid w:val="372D4055"/>
    <w:rsid w:val="374A73ED"/>
    <w:rsid w:val="374C74AC"/>
    <w:rsid w:val="37596EB2"/>
    <w:rsid w:val="37641FEB"/>
    <w:rsid w:val="376E1EFB"/>
    <w:rsid w:val="37CF0FD9"/>
    <w:rsid w:val="37EC54E4"/>
    <w:rsid w:val="37F073C9"/>
    <w:rsid w:val="381559D1"/>
    <w:rsid w:val="381C1B69"/>
    <w:rsid w:val="381C6932"/>
    <w:rsid w:val="386023AC"/>
    <w:rsid w:val="38B8462D"/>
    <w:rsid w:val="38C33D5C"/>
    <w:rsid w:val="38C43921"/>
    <w:rsid w:val="38CB2C57"/>
    <w:rsid w:val="38DD1BC1"/>
    <w:rsid w:val="38F511B0"/>
    <w:rsid w:val="38F864C1"/>
    <w:rsid w:val="390377C3"/>
    <w:rsid w:val="391336F3"/>
    <w:rsid w:val="39531C65"/>
    <w:rsid w:val="396D4CB7"/>
    <w:rsid w:val="39CA407F"/>
    <w:rsid w:val="3A0A4D75"/>
    <w:rsid w:val="3A126618"/>
    <w:rsid w:val="3A4D15EB"/>
    <w:rsid w:val="3A567073"/>
    <w:rsid w:val="3A695377"/>
    <w:rsid w:val="3A876423"/>
    <w:rsid w:val="3AB421E7"/>
    <w:rsid w:val="3AC64035"/>
    <w:rsid w:val="3AD47F64"/>
    <w:rsid w:val="3AD77202"/>
    <w:rsid w:val="3B000ABB"/>
    <w:rsid w:val="3B060213"/>
    <w:rsid w:val="3B0931F8"/>
    <w:rsid w:val="3B097A32"/>
    <w:rsid w:val="3B30693B"/>
    <w:rsid w:val="3B4C32CD"/>
    <w:rsid w:val="3B5E1D06"/>
    <w:rsid w:val="3BAA25AB"/>
    <w:rsid w:val="3BCD08D5"/>
    <w:rsid w:val="3BD97860"/>
    <w:rsid w:val="3BF27D19"/>
    <w:rsid w:val="3BF97445"/>
    <w:rsid w:val="3C0D6F5C"/>
    <w:rsid w:val="3C28777B"/>
    <w:rsid w:val="3C775FC8"/>
    <w:rsid w:val="3CAB24D0"/>
    <w:rsid w:val="3CC022CE"/>
    <w:rsid w:val="3CE225EA"/>
    <w:rsid w:val="3CE24EAA"/>
    <w:rsid w:val="3CE80ED7"/>
    <w:rsid w:val="3CF4761C"/>
    <w:rsid w:val="3D004621"/>
    <w:rsid w:val="3D122352"/>
    <w:rsid w:val="3D192AA5"/>
    <w:rsid w:val="3D484466"/>
    <w:rsid w:val="3D4E79E6"/>
    <w:rsid w:val="3D695218"/>
    <w:rsid w:val="3D7E1270"/>
    <w:rsid w:val="3D957D7E"/>
    <w:rsid w:val="3DA6700D"/>
    <w:rsid w:val="3DAB5207"/>
    <w:rsid w:val="3DC212DD"/>
    <w:rsid w:val="3DC82AEE"/>
    <w:rsid w:val="3DCE1AC2"/>
    <w:rsid w:val="3DD03B65"/>
    <w:rsid w:val="3DD37FEC"/>
    <w:rsid w:val="3DEF08B7"/>
    <w:rsid w:val="3DF5283C"/>
    <w:rsid w:val="3DFF292D"/>
    <w:rsid w:val="3E1551BC"/>
    <w:rsid w:val="3E236E55"/>
    <w:rsid w:val="3E4A0A14"/>
    <w:rsid w:val="3E5324BC"/>
    <w:rsid w:val="3E5F1801"/>
    <w:rsid w:val="3E734463"/>
    <w:rsid w:val="3E991E30"/>
    <w:rsid w:val="3EC74FD8"/>
    <w:rsid w:val="3EEB0A50"/>
    <w:rsid w:val="3F03223E"/>
    <w:rsid w:val="3F4C2599"/>
    <w:rsid w:val="3F7A30D9"/>
    <w:rsid w:val="3FCB386C"/>
    <w:rsid w:val="3FE10A2A"/>
    <w:rsid w:val="3FEB3166"/>
    <w:rsid w:val="4005779A"/>
    <w:rsid w:val="40363A3A"/>
    <w:rsid w:val="403657E9"/>
    <w:rsid w:val="40410D61"/>
    <w:rsid w:val="40880BFA"/>
    <w:rsid w:val="40AA542D"/>
    <w:rsid w:val="40D46C24"/>
    <w:rsid w:val="40D5031E"/>
    <w:rsid w:val="40DD11B1"/>
    <w:rsid w:val="40EA0F95"/>
    <w:rsid w:val="40EC23F8"/>
    <w:rsid w:val="41070804"/>
    <w:rsid w:val="411E1BAD"/>
    <w:rsid w:val="41246C1D"/>
    <w:rsid w:val="41417D67"/>
    <w:rsid w:val="41556D77"/>
    <w:rsid w:val="415F78F5"/>
    <w:rsid w:val="419304EB"/>
    <w:rsid w:val="41A47355"/>
    <w:rsid w:val="41AB0C0C"/>
    <w:rsid w:val="41AC3D91"/>
    <w:rsid w:val="41BD0834"/>
    <w:rsid w:val="41C51421"/>
    <w:rsid w:val="41E23D2A"/>
    <w:rsid w:val="422E3F0C"/>
    <w:rsid w:val="42653193"/>
    <w:rsid w:val="429A32CE"/>
    <w:rsid w:val="42BC71DD"/>
    <w:rsid w:val="42EB5D13"/>
    <w:rsid w:val="431B161F"/>
    <w:rsid w:val="431B3150"/>
    <w:rsid w:val="43215AFF"/>
    <w:rsid w:val="432D0F3D"/>
    <w:rsid w:val="433B1C72"/>
    <w:rsid w:val="43716B39"/>
    <w:rsid w:val="438F038F"/>
    <w:rsid w:val="43A62258"/>
    <w:rsid w:val="43C52CE9"/>
    <w:rsid w:val="43C542E7"/>
    <w:rsid w:val="44053A18"/>
    <w:rsid w:val="440C2621"/>
    <w:rsid w:val="44286EF0"/>
    <w:rsid w:val="444A6201"/>
    <w:rsid w:val="446A7700"/>
    <w:rsid w:val="446E3444"/>
    <w:rsid w:val="447F2700"/>
    <w:rsid w:val="44974506"/>
    <w:rsid w:val="44DF2706"/>
    <w:rsid w:val="44E55B1F"/>
    <w:rsid w:val="44F34738"/>
    <w:rsid w:val="450C30C1"/>
    <w:rsid w:val="450F36BC"/>
    <w:rsid w:val="453440B9"/>
    <w:rsid w:val="45380EEC"/>
    <w:rsid w:val="45BA1C5F"/>
    <w:rsid w:val="45DF1A0C"/>
    <w:rsid w:val="45E2649C"/>
    <w:rsid w:val="45EC03C2"/>
    <w:rsid w:val="45EC2CDD"/>
    <w:rsid w:val="45F624B2"/>
    <w:rsid w:val="46026227"/>
    <w:rsid w:val="460E6BC6"/>
    <w:rsid w:val="462D0958"/>
    <w:rsid w:val="463C4B2E"/>
    <w:rsid w:val="466220A0"/>
    <w:rsid w:val="4686609E"/>
    <w:rsid w:val="46B571C0"/>
    <w:rsid w:val="46E70B37"/>
    <w:rsid w:val="46E90904"/>
    <w:rsid w:val="46FD31FB"/>
    <w:rsid w:val="470A1043"/>
    <w:rsid w:val="470B2D93"/>
    <w:rsid w:val="472D2B16"/>
    <w:rsid w:val="472F5E58"/>
    <w:rsid w:val="473B5852"/>
    <w:rsid w:val="4754407A"/>
    <w:rsid w:val="47755093"/>
    <w:rsid w:val="479A7B66"/>
    <w:rsid w:val="479A7EA7"/>
    <w:rsid w:val="47B41CA6"/>
    <w:rsid w:val="47C00C39"/>
    <w:rsid w:val="47C47222"/>
    <w:rsid w:val="47E57A30"/>
    <w:rsid w:val="47E81C34"/>
    <w:rsid w:val="480A7D04"/>
    <w:rsid w:val="4812452D"/>
    <w:rsid w:val="4839166B"/>
    <w:rsid w:val="4841673B"/>
    <w:rsid w:val="484E0DF5"/>
    <w:rsid w:val="48894FF4"/>
    <w:rsid w:val="489E5DDC"/>
    <w:rsid w:val="48FE1C8E"/>
    <w:rsid w:val="490E61A1"/>
    <w:rsid w:val="491017DF"/>
    <w:rsid w:val="491D50F4"/>
    <w:rsid w:val="494A0352"/>
    <w:rsid w:val="494D62C3"/>
    <w:rsid w:val="49C06738"/>
    <w:rsid w:val="49CF0180"/>
    <w:rsid w:val="49D70D45"/>
    <w:rsid w:val="49F9518C"/>
    <w:rsid w:val="4A305F0D"/>
    <w:rsid w:val="4A3661D0"/>
    <w:rsid w:val="4A4857B3"/>
    <w:rsid w:val="4A506F08"/>
    <w:rsid w:val="4A54254B"/>
    <w:rsid w:val="4A5B122B"/>
    <w:rsid w:val="4AAF0D17"/>
    <w:rsid w:val="4AC7490F"/>
    <w:rsid w:val="4AEC19C9"/>
    <w:rsid w:val="4B0C7BF8"/>
    <w:rsid w:val="4B162CE3"/>
    <w:rsid w:val="4B3913B6"/>
    <w:rsid w:val="4B6F6273"/>
    <w:rsid w:val="4B7033C1"/>
    <w:rsid w:val="4BA318E2"/>
    <w:rsid w:val="4BB113E9"/>
    <w:rsid w:val="4BB71830"/>
    <w:rsid w:val="4BFC452E"/>
    <w:rsid w:val="4C1B41F8"/>
    <w:rsid w:val="4C421637"/>
    <w:rsid w:val="4C450062"/>
    <w:rsid w:val="4C7344BE"/>
    <w:rsid w:val="4C7A5A5B"/>
    <w:rsid w:val="4C990605"/>
    <w:rsid w:val="4CB46ABA"/>
    <w:rsid w:val="4CB86758"/>
    <w:rsid w:val="4CC97F4D"/>
    <w:rsid w:val="4CF318E9"/>
    <w:rsid w:val="4D0E60AF"/>
    <w:rsid w:val="4D197F32"/>
    <w:rsid w:val="4D596807"/>
    <w:rsid w:val="4D5D426D"/>
    <w:rsid w:val="4D5E468E"/>
    <w:rsid w:val="4D801A08"/>
    <w:rsid w:val="4D890873"/>
    <w:rsid w:val="4DC82B8E"/>
    <w:rsid w:val="4DFC001D"/>
    <w:rsid w:val="4E390CA3"/>
    <w:rsid w:val="4E432638"/>
    <w:rsid w:val="4E4522EF"/>
    <w:rsid w:val="4E6C58CE"/>
    <w:rsid w:val="4E6E18E4"/>
    <w:rsid w:val="4E736BEF"/>
    <w:rsid w:val="4E8407C0"/>
    <w:rsid w:val="4E9A53BD"/>
    <w:rsid w:val="4EB90B45"/>
    <w:rsid w:val="4EBF797D"/>
    <w:rsid w:val="4EF15467"/>
    <w:rsid w:val="4EF23FB1"/>
    <w:rsid w:val="4F2459DB"/>
    <w:rsid w:val="4F3C67C6"/>
    <w:rsid w:val="4F42646A"/>
    <w:rsid w:val="4F5B1333"/>
    <w:rsid w:val="4F9B578A"/>
    <w:rsid w:val="4FA841F2"/>
    <w:rsid w:val="4FB25A88"/>
    <w:rsid w:val="4FD20AA0"/>
    <w:rsid w:val="4FE42133"/>
    <w:rsid w:val="5007249F"/>
    <w:rsid w:val="500E2412"/>
    <w:rsid w:val="501200D5"/>
    <w:rsid w:val="50156172"/>
    <w:rsid w:val="503304DD"/>
    <w:rsid w:val="50541E93"/>
    <w:rsid w:val="50717643"/>
    <w:rsid w:val="508274B9"/>
    <w:rsid w:val="509A020E"/>
    <w:rsid w:val="509B494D"/>
    <w:rsid w:val="50B9474C"/>
    <w:rsid w:val="50D41504"/>
    <w:rsid w:val="50DE7355"/>
    <w:rsid w:val="50E96E23"/>
    <w:rsid w:val="512978FE"/>
    <w:rsid w:val="51502F0F"/>
    <w:rsid w:val="51752176"/>
    <w:rsid w:val="517B6174"/>
    <w:rsid w:val="51B5269E"/>
    <w:rsid w:val="51B85C65"/>
    <w:rsid w:val="51BA22D2"/>
    <w:rsid w:val="51BB1571"/>
    <w:rsid w:val="51CF7F71"/>
    <w:rsid w:val="51DC0CC0"/>
    <w:rsid w:val="51F81AE0"/>
    <w:rsid w:val="521006CF"/>
    <w:rsid w:val="521273EF"/>
    <w:rsid w:val="522154D7"/>
    <w:rsid w:val="525E72CD"/>
    <w:rsid w:val="52860D64"/>
    <w:rsid w:val="52862D63"/>
    <w:rsid w:val="52AE43C7"/>
    <w:rsid w:val="52C63793"/>
    <w:rsid w:val="52D71F74"/>
    <w:rsid w:val="52D96C12"/>
    <w:rsid w:val="52EC56F1"/>
    <w:rsid w:val="52FE69C4"/>
    <w:rsid w:val="53055FDE"/>
    <w:rsid w:val="534B3E00"/>
    <w:rsid w:val="53526694"/>
    <w:rsid w:val="536B5C0C"/>
    <w:rsid w:val="539219AD"/>
    <w:rsid w:val="53FC3441"/>
    <w:rsid w:val="54095716"/>
    <w:rsid w:val="5425170C"/>
    <w:rsid w:val="54333A58"/>
    <w:rsid w:val="54473660"/>
    <w:rsid w:val="54475507"/>
    <w:rsid w:val="5453362B"/>
    <w:rsid w:val="545B53B5"/>
    <w:rsid w:val="54617825"/>
    <w:rsid w:val="546C70C7"/>
    <w:rsid w:val="54BE7CEF"/>
    <w:rsid w:val="54F90306"/>
    <w:rsid w:val="55027786"/>
    <w:rsid w:val="55165BD1"/>
    <w:rsid w:val="557800F9"/>
    <w:rsid w:val="5590336F"/>
    <w:rsid w:val="559B654C"/>
    <w:rsid w:val="559E56F5"/>
    <w:rsid w:val="55A80492"/>
    <w:rsid w:val="55EC58B0"/>
    <w:rsid w:val="55F45560"/>
    <w:rsid w:val="55FC3628"/>
    <w:rsid w:val="564C4930"/>
    <w:rsid w:val="56903F5F"/>
    <w:rsid w:val="56951840"/>
    <w:rsid w:val="569A0457"/>
    <w:rsid w:val="56AD149F"/>
    <w:rsid w:val="56AD3DDC"/>
    <w:rsid w:val="56DF222E"/>
    <w:rsid w:val="56E228AD"/>
    <w:rsid w:val="56FC1D53"/>
    <w:rsid w:val="571C2C45"/>
    <w:rsid w:val="57210593"/>
    <w:rsid w:val="5724302A"/>
    <w:rsid w:val="57363217"/>
    <w:rsid w:val="57635A67"/>
    <w:rsid w:val="576F7780"/>
    <w:rsid w:val="57760786"/>
    <w:rsid w:val="577C5E86"/>
    <w:rsid w:val="57950D74"/>
    <w:rsid w:val="579E01EB"/>
    <w:rsid w:val="57A97082"/>
    <w:rsid w:val="57B91294"/>
    <w:rsid w:val="57DC0ABA"/>
    <w:rsid w:val="57F14DE1"/>
    <w:rsid w:val="582B308E"/>
    <w:rsid w:val="583078E1"/>
    <w:rsid w:val="583D4A6D"/>
    <w:rsid w:val="58482CED"/>
    <w:rsid w:val="585F108A"/>
    <w:rsid w:val="58780711"/>
    <w:rsid w:val="589208FF"/>
    <w:rsid w:val="58EC2414"/>
    <w:rsid w:val="58EE77F8"/>
    <w:rsid w:val="590654F0"/>
    <w:rsid w:val="59495621"/>
    <w:rsid w:val="59814FD1"/>
    <w:rsid w:val="599C0C57"/>
    <w:rsid w:val="59B00DE5"/>
    <w:rsid w:val="59F17B06"/>
    <w:rsid w:val="5A022307"/>
    <w:rsid w:val="5A25561B"/>
    <w:rsid w:val="5A2A6B6D"/>
    <w:rsid w:val="5A336AC1"/>
    <w:rsid w:val="5A516919"/>
    <w:rsid w:val="5A543883"/>
    <w:rsid w:val="5A5A50C2"/>
    <w:rsid w:val="5AF06F6D"/>
    <w:rsid w:val="5AF4287F"/>
    <w:rsid w:val="5B0E53A3"/>
    <w:rsid w:val="5B255C05"/>
    <w:rsid w:val="5B3C2028"/>
    <w:rsid w:val="5B733364"/>
    <w:rsid w:val="5B941B7D"/>
    <w:rsid w:val="5BB11FDB"/>
    <w:rsid w:val="5BB20EF6"/>
    <w:rsid w:val="5BC3190F"/>
    <w:rsid w:val="5BCE70F4"/>
    <w:rsid w:val="5BE767BD"/>
    <w:rsid w:val="5C1164E2"/>
    <w:rsid w:val="5C1860DA"/>
    <w:rsid w:val="5C2A5C11"/>
    <w:rsid w:val="5C6863F1"/>
    <w:rsid w:val="5C8303EE"/>
    <w:rsid w:val="5C855502"/>
    <w:rsid w:val="5CAE320F"/>
    <w:rsid w:val="5CC30ADE"/>
    <w:rsid w:val="5D0F4FED"/>
    <w:rsid w:val="5D2050CC"/>
    <w:rsid w:val="5D3A69D3"/>
    <w:rsid w:val="5D952C65"/>
    <w:rsid w:val="5DB4234F"/>
    <w:rsid w:val="5E245579"/>
    <w:rsid w:val="5E443FAD"/>
    <w:rsid w:val="5E724EDA"/>
    <w:rsid w:val="5E8F4115"/>
    <w:rsid w:val="5E935F5E"/>
    <w:rsid w:val="5EC25FFA"/>
    <w:rsid w:val="5F014081"/>
    <w:rsid w:val="5F1F713C"/>
    <w:rsid w:val="5F6C17EB"/>
    <w:rsid w:val="5F6C7267"/>
    <w:rsid w:val="5F8A3587"/>
    <w:rsid w:val="5FBA1A15"/>
    <w:rsid w:val="5FD25BA0"/>
    <w:rsid w:val="5FE0127C"/>
    <w:rsid w:val="5FED17BB"/>
    <w:rsid w:val="601063BE"/>
    <w:rsid w:val="601F5C42"/>
    <w:rsid w:val="60256599"/>
    <w:rsid w:val="602E614B"/>
    <w:rsid w:val="60922C1B"/>
    <w:rsid w:val="60952B14"/>
    <w:rsid w:val="609B0963"/>
    <w:rsid w:val="609B64E7"/>
    <w:rsid w:val="60AA2973"/>
    <w:rsid w:val="60B31FF5"/>
    <w:rsid w:val="60C22BBA"/>
    <w:rsid w:val="60CC4E07"/>
    <w:rsid w:val="60D619A0"/>
    <w:rsid w:val="611676B3"/>
    <w:rsid w:val="61303A07"/>
    <w:rsid w:val="61A33053"/>
    <w:rsid w:val="61A70E98"/>
    <w:rsid w:val="61C95FF5"/>
    <w:rsid w:val="61D90263"/>
    <w:rsid w:val="62193D03"/>
    <w:rsid w:val="624A3B38"/>
    <w:rsid w:val="625306BE"/>
    <w:rsid w:val="62671915"/>
    <w:rsid w:val="62722D43"/>
    <w:rsid w:val="627955F6"/>
    <w:rsid w:val="62796FF0"/>
    <w:rsid w:val="62B960CF"/>
    <w:rsid w:val="62E17600"/>
    <w:rsid w:val="62EA2BFF"/>
    <w:rsid w:val="63084A49"/>
    <w:rsid w:val="63260125"/>
    <w:rsid w:val="6337664F"/>
    <w:rsid w:val="63383ED6"/>
    <w:rsid w:val="6338494C"/>
    <w:rsid w:val="633C7337"/>
    <w:rsid w:val="63775C96"/>
    <w:rsid w:val="638929FF"/>
    <w:rsid w:val="63A11ED6"/>
    <w:rsid w:val="63A60F1D"/>
    <w:rsid w:val="63DF6B04"/>
    <w:rsid w:val="64011BAD"/>
    <w:rsid w:val="64061DE2"/>
    <w:rsid w:val="642E732A"/>
    <w:rsid w:val="643C5B4D"/>
    <w:rsid w:val="64471DF2"/>
    <w:rsid w:val="645A7DDA"/>
    <w:rsid w:val="646F3B94"/>
    <w:rsid w:val="6490034D"/>
    <w:rsid w:val="649C5180"/>
    <w:rsid w:val="64D67A48"/>
    <w:rsid w:val="64F06AB3"/>
    <w:rsid w:val="65137EA5"/>
    <w:rsid w:val="65276BAC"/>
    <w:rsid w:val="656578F0"/>
    <w:rsid w:val="65845966"/>
    <w:rsid w:val="65A438ED"/>
    <w:rsid w:val="65AA7C28"/>
    <w:rsid w:val="65DF7E31"/>
    <w:rsid w:val="65FE0525"/>
    <w:rsid w:val="660F6F92"/>
    <w:rsid w:val="6615662B"/>
    <w:rsid w:val="661C2807"/>
    <w:rsid w:val="661C540A"/>
    <w:rsid w:val="66494E5D"/>
    <w:rsid w:val="664D393D"/>
    <w:rsid w:val="665C09B1"/>
    <w:rsid w:val="666B0F2C"/>
    <w:rsid w:val="66794A10"/>
    <w:rsid w:val="668A6A2F"/>
    <w:rsid w:val="66CB5C45"/>
    <w:rsid w:val="66DA7F81"/>
    <w:rsid w:val="66E44BE8"/>
    <w:rsid w:val="66F1525C"/>
    <w:rsid w:val="66F238E5"/>
    <w:rsid w:val="6729363F"/>
    <w:rsid w:val="677C44FA"/>
    <w:rsid w:val="67B607E5"/>
    <w:rsid w:val="67DC6C2E"/>
    <w:rsid w:val="67EA67B6"/>
    <w:rsid w:val="67EE44B5"/>
    <w:rsid w:val="67FC16DF"/>
    <w:rsid w:val="68120C2B"/>
    <w:rsid w:val="684F79E5"/>
    <w:rsid w:val="68545E49"/>
    <w:rsid w:val="688C1198"/>
    <w:rsid w:val="68B857EF"/>
    <w:rsid w:val="68E7664E"/>
    <w:rsid w:val="69256781"/>
    <w:rsid w:val="692E370C"/>
    <w:rsid w:val="694901A6"/>
    <w:rsid w:val="69775CB8"/>
    <w:rsid w:val="69A57FAE"/>
    <w:rsid w:val="6A21047C"/>
    <w:rsid w:val="6A2E1E58"/>
    <w:rsid w:val="6A5A799B"/>
    <w:rsid w:val="6A643167"/>
    <w:rsid w:val="6A687450"/>
    <w:rsid w:val="6A6D3B27"/>
    <w:rsid w:val="6A7E1064"/>
    <w:rsid w:val="6A81571E"/>
    <w:rsid w:val="6A922CD0"/>
    <w:rsid w:val="6AA643DB"/>
    <w:rsid w:val="6AAE32C5"/>
    <w:rsid w:val="6ABF313F"/>
    <w:rsid w:val="6ADE3ED8"/>
    <w:rsid w:val="6B052A8D"/>
    <w:rsid w:val="6B0B0382"/>
    <w:rsid w:val="6B240C57"/>
    <w:rsid w:val="6B256EDB"/>
    <w:rsid w:val="6B3C40A1"/>
    <w:rsid w:val="6B4D2B9D"/>
    <w:rsid w:val="6B5D7821"/>
    <w:rsid w:val="6B9668DB"/>
    <w:rsid w:val="6BA07A01"/>
    <w:rsid w:val="6BC1736F"/>
    <w:rsid w:val="6BC32D7C"/>
    <w:rsid w:val="6BFC153C"/>
    <w:rsid w:val="6C035B55"/>
    <w:rsid w:val="6C041BF9"/>
    <w:rsid w:val="6C494475"/>
    <w:rsid w:val="6C4C7015"/>
    <w:rsid w:val="6C6E2EBB"/>
    <w:rsid w:val="6C923F25"/>
    <w:rsid w:val="6C954167"/>
    <w:rsid w:val="6CA47FE8"/>
    <w:rsid w:val="6CA50FD0"/>
    <w:rsid w:val="6CA755E2"/>
    <w:rsid w:val="6CC044DE"/>
    <w:rsid w:val="6CC16398"/>
    <w:rsid w:val="6CE02419"/>
    <w:rsid w:val="6D277E96"/>
    <w:rsid w:val="6D2A1241"/>
    <w:rsid w:val="6D436A1C"/>
    <w:rsid w:val="6D520B87"/>
    <w:rsid w:val="6D916F74"/>
    <w:rsid w:val="6DCE3FFB"/>
    <w:rsid w:val="6E036133"/>
    <w:rsid w:val="6E0E695B"/>
    <w:rsid w:val="6E2378A8"/>
    <w:rsid w:val="6E2C49CC"/>
    <w:rsid w:val="6E440EBF"/>
    <w:rsid w:val="6E4826E9"/>
    <w:rsid w:val="6E676263"/>
    <w:rsid w:val="6E96065E"/>
    <w:rsid w:val="6E961113"/>
    <w:rsid w:val="6E9F16FC"/>
    <w:rsid w:val="6EA90888"/>
    <w:rsid w:val="6EBE77EF"/>
    <w:rsid w:val="6ECD68F9"/>
    <w:rsid w:val="6F273508"/>
    <w:rsid w:val="6F323823"/>
    <w:rsid w:val="6F377216"/>
    <w:rsid w:val="6F3F30A0"/>
    <w:rsid w:val="6F410196"/>
    <w:rsid w:val="6F756E95"/>
    <w:rsid w:val="6F8A056E"/>
    <w:rsid w:val="6F8E0354"/>
    <w:rsid w:val="6F992D47"/>
    <w:rsid w:val="6F9E211C"/>
    <w:rsid w:val="6FC30BE7"/>
    <w:rsid w:val="70024364"/>
    <w:rsid w:val="70147F6A"/>
    <w:rsid w:val="70755073"/>
    <w:rsid w:val="70A0793D"/>
    <w:rsid w:val="70BC38E2"/>
    <w:rsid w:val="70E81B75"/>
    <w:rsid w:val="70F040E3"/>
    <w:rsid w:val="70F93A3F"/>
    <w:rsid w:val="71105D50"/>
    <w:rsid w:val="71167CDC"/>
    <w:rsid w:val="71286862"/>
    <w:rsid w:val="712F6F39"/>
    <w:rsid w:val="71475E96"/>
    <w:rsid w:val="71841A31"/>
    <w:rsid w:val="718C1864"/>
    <w:rsid w:val="71BB38D7"/>
    <w:rsid w:val="71E45372"/>
    <w:rsid w:val="71E60E06"/>
    <w:rsid w:val="7208644C"/>
    <w:rsid w:val="721A5D7C"/>
    <w:rsid w:val="721C3D6B"/>
    <w:rsid w:val="723E74DE"/>
    <w:rsid w:val="72490994"/>
    <w:rsid w:val="7262525F"/>
    <w:rsid w:val="7280060B"/>
    <w:rsid w:val="72F82D65"/>
    <w:rsid w:val="732153F5"/>
    <w:rsid w:val="73247F8A"/>
    <w:rsid w:val="73445B4C"/>
    <w:rsid w:val="736E5061"/>
    <w:rsid w:val="73937ABF"/>
    <w:rsid w:val="73940EC5"/>
    <w:rsid w:val="73C70460"/>
    <w:rsid w:val="73CE337C"/>
    <w:rsid w:val="742931A7"/>
    <w:rsid w:val="74580668"/>
    <w:rsid w:val="74727EA0"/>
    <w:rsid w:val="74932E66"/>
    <w:rsid w:val="74946305"/>
    <w:rsid w:val="74A108F6"/>
    <w:rsid w:val="74DB38A2"/>
    <w:rsid w:val="74DE788B"/>
    <w:rsid w:val="74EA0AA2"/>
    <w:rsid w:val="74EB5CFC"/>
    <w:rsid w:val="74F7099B"/>
    <w:rsid w:val="750E0B1E"/>
    <w:rsid w:val="751B3609"/>
    <w:rsid w:val="75225626"/>
    <w:rsid w:val="75476EDC"/>
    <w:rsid w:val="754C4F37"/>
    <w:rsid w:val="7562261A"/>
    <w:rsid w:val="756B4AEC"/>
    <w:rsid w:val="75822DE6"/>
    <w:rsid w:val="759C70AE"/>
    <w:rsid w:val="75A12DD8"/>
    <w:rsid w:val="75E3729E"/>
    <w:rsid w:val="75F65D3C"/>
    <w:rsid w:val="75F96328"/>
    <w:rsid w:val="76007311"/>
    <w:rsid w:val="7615617D"/>
    <w:rsid w:val="762C165D"/>
    <w:rsid w:val="766528BB"/>
    <w:rsid w:val="76F048AC"/>
    <w:rsid w:val="77064A55"/>
    <w:rsid w:val="772C0D98"/>
    <w:rsid w:val="774C45E8"/>
    <w:rsid w:val="77817AE3"/>
    <w:rsid w:val="77876814"/>
    <w:rsid w:val="77AD005E"/>
    <w:rsid w:val="78103ADF"/>
    <w:rsid w:val="783570B9"/>
    <w:rsid w:val="78357142"/>
    <w:rsid w:val="783B4535"/>
    <w:rsid w:val="785307C2"/>
    <w:rsid w:val="787E1BD1"/>
    <w:rsid w:val="78A22999"/>
    <w:rsid w:val="78B478CC"/>
    <w:rsid w:val="78B7255D"/>
    <w:rsid w:val="78BE1CC8"/>
    <w:rsid w:val="794848CA"/>
    <w:rsid w:val="796F2C63"/>
    <w:rsid w:val="797101BF"/>
    <w:rsid w:val="79995BEF"/>
    <w:rsid w:val="79D13260"/>
    <w:rsid w:val="79ED66DD"/>
    <w:rsid w:val="7A2D2E71"/>
    <w:rsid w:val="7ABB5F10"/>
    <w:rsid w:val="7ACB24DC"/>
    <w:rsid w:val="7B213550"/>
    <w:rsid w:val="7B343BA1"/>
    <w:rsid w:val="7B3B7ACA"/>
    <w:rsid w:val="7B4B7E21"/>
    <w:rsid w:val="7B52062B"/>
    <w:rsid w:val="7B646217"/>
    <w:rsid w:val="7B677A53"/>
    <w:rsid w:val="7B7349BF"/>
    <w:rsid w:val="7BA62B82"/>
    <w:rsid w:val="7BA7113F"/>
    <w:rsid w:val="7BB16327"/>
    <w:rsid w:val="7BCA0CD8"/>
    <w:rsid w:val="7C14004B"/>
    <w:rsid w:val="7C187734"/>
    <w:rsid w:val="7C401F8B"/>
    <w:rsid w:val="7C64659D"/>
    <w:rsid w:val="7C743ED1"/>
    <w:rsid w:val="7C8A46D7"/>
    <w:rsid w:val="7C8B3DE6"/>
    <w:rsid w:val="7C9D2FD9"/>
    <w:rsid w:val="7CAC3111"/>
    <w:rsid w:val="7CE135E6"/>
    <w:rsid w:val="7D0C2EEC"/>
    <w:rsid w:val="7D116942"/>
    <w:rsid w:val="7D1538EC"/>
    <w:rsid w:val="7D2037EF"/>
    <w:rsid w:val="7D3C3E1F"/>
    <w:rsid w:val="7D6E3C91"/>
    <w:rsid w:val="7D926B23"/>
    <w:rsid w:val="7DD13227"/>
    <w:rsid w:val="7DFA5352"/>
    <w:rsid w:val="7E0A4C45"/>
    <w:rsid w:val="7E156F85"/>
    <w:rsid w:val="7E2F6A34"/>
    <w:rsid w:val="7E3E7636"/>
    <w:rsid w:val="7E416E12"/>
    <w:rsid w:val="7E495F64"/>
    <w:rsid w:val="7E4E03E1"/>
    <w:rsid w:val="7E5B62D2"/>
    <w:rsid w:val="7E6009C6"/>
    <w:rsid w:val="7E734E0F"/>
    <w:rsid w:val="7EC07962"/>
    <w:rsid w:val="7F196B89"/>
    <w:rsid w:val="7F405101"/>
    <w:rsid w:val="7F4D3E60"/>
    <w:rsid w:val="7F555DCE"/>
    <w:rsid w:val="7F8B0C20"/>
    <w:rsid w:val="7FF15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73"/>
    <w:qFormat/>
    <w:uiPriority w:val="99"/>
    <w:pPr>
      <w:keepNext/>
      <w:keepLines/>
      <w:spacing w:before="260" w:after="260" w:line="413" w:lineRule="auto"/>
      <w:jc w:val="center"/>
      <w:outlineLvl w:val="1"/>
    </w:pPr>
    <w:rPr>
      <w:rFonts w:ascii="Arial" w:hAnsi="Arial" w:eastAsia="黑体"/>
      <w:b/>
      <w:sz w:val="44"/>
      <w:szCs w:val="20"/>
    </w:rPr>
  </w:style>
  <w:style w:type="paragraph" w:styleId="4">
    <w:name w:val="heading 3"/>
    <w:basedOn w:val="1"/>
    <w:next w:val="1"/>
    <w:link w:val="74"/>
    <w:qFormat/>
    <w:uiPriority w:val="99"/>
    <w:pPr>
      <w:keepNext/>
      <w:keepLines/>
      <w:spacing w:before="260" w:after="260" w:line="416" w:lineRule="auto"/>
      <w:outlineLvl w:val="2"/>
    </w:pPr>
    <w:rPr>
      <w:b/>
      <w:bCs/>
      <w:sz w:val="32"/>
      <w:szCs w:val="32"/>
    </w:rPr>
  </w:style>
  <w:style w:type="paragraph" w:styleId="5">
    <w:name w:val="heading 4"/>
    <w:basedOn w:val="1"/>
    <w:next w:val="1"/>
    <w:link w:val="75"/>
    <w:qFormat/>
    <w:uiPriority w:val="99"/>
    <w:pPr>
      <w:keepNext/>
      <w:keepLines/>
      <w:widowControl/>
      <w:spacing w:line="360" w:lineRule="auto"/>
      <w:jc w:val="center"/>
      <w:outlineLvl w:val="3"/>
    </w:pPr>
    <w:rPr>
      <w:rFonts w:ascii="Arial" w:hAnsi="Arial" w:eastAsia="黑体"/>
      <w:kern w:val="0"/>
      <w:sz w:val="28"/>
      <w:szCs w:val="20"/>
    </w:rPr>
  </w:style>
  <w:style w:type="paragraph" w:styleId="6">
    <w:name w:val="heading 5"/>
    <w:basedOn w:val="1"/>
    <w:next w:val="1"/>
    <w:link w:val="76"/>
    <w:qFormat/>
    <w:uiPriority w:val="99"/>
    <w:pPr>
      <w:keepNext/>
      <w:keepLines/>
      <w:spacing w:line="372" w:lineRule="auto"/>
      <w:outlineLvl w:val="4"/>
    </w:pPr>
    <w:rPr>
      <w:b/>
      <w:bCs/>
      <w:sz w:val="28"/>
      <w:szCs w:val="28"/>
    </w:rPr>
  </w:style>
  <w:style w:type="paragraph" w:styleId="7">
    <w:name w:val="heading 6"/>
    <w:basedOn w:val="1"/>
    <w:next w:val="1"/>
    <w:link w:val="77"/>
    <w:qFormat/>
    <w:uiPriority w:val="9"/>
    <w:pPr>
      <w:keepNext/>
      <w:keepLines/>
      <w:spacing w:before="240" w:after="64" w:line="317" w:lineRule="auto"/>
      <w:outlineLvl w:val="5"/>
    </w:pPr>
    <w:rPr>
      <w:rFonts w:ascii="Cambria" w:hAnsi="Cambria"/>
      <w:b/>
      <w:bCs/>
      <w:sz w:val="24"/>
    </w:rPr>
  </w:style>
  <w:style w:type="paragraph" w:styleId="8">
    <w:name w:val="heading 7"/>
    <w:basedOn w:val="1"/>
    <w:next w:val="1"/>
    <w:link w:val="78"/>
    <w:qFormat/>
    <w:uiPriority w:val="9"/>
    <w:pPr>
      <w:keepNext/>
      <w:keepLines/>
      <w:spacing w:before="240" w:after="64" w:line="317" w:lineRule="auto"/>
      <w:outlineLvl w:val="6"/>
    </w:pPr>
    <w:rPr>
      <w:rFonts w:ascii="Calibri" w:hAnsi="Calibri"/>
      <w:b/>
      <w:bCs/>
      <w:sz w:val="24"/>
    </w:rPr>
  </w:style>
  <w:style w:type="paragraph" w:styleId="9">
    <w:name w:val="heading 8"/>
    <w:basedOn w:val="1"/>
    <w:next w:val="1"/>
    <w:link w:val="79"/>
    <w:qFormat/>
    <w:uiPriority w:val="9"/>
    <w:pPr>
      <w:keepNext/>
      <w:keepLines/>
      <w:spacing w:before="240" w:after="64" w:line="317" w:lineRule="auto"/>
      <w:outlineLvl w:val="7"/>
    </w:pPr>
    <w:rPr>
      <w:rFonts w:ascii="Cambria" w:hAnsi="Cambria"/>
      <w:sz w:val="24"/>
    </w:rPr>
  </w:style>
  <w:style w:type="paragraph" w:styleId="10">
    <w:name w:val="heading 9"/>
    <w:basedOn w:val="1"/>
    <w:next w:val="1"/>
    <w:link w:val="80"/>
    <w:qFormat/>
    <w:uiPriority w:val="9"/>
    <w:pPr>
      <w:keepNext/>
      <w:keepLines/>
      <w:spacing w:before="240" w:after="64" w:line="317" w:lineRule="auto"/>
      <w:outlineLvl w:val="8"/>
    </w:pPr>
    <w:rPr>
      <w:rFonts w:ascii="Cambria" w:hAnsi="Cambria"/>
      <w:szCs w:val="21"/>
    </w:rPr>
  </w:style>
  <w:style w:type="character" w:default="1" w:styleId="53">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index 8"/>
    <w:basedOn w:val="1"/>
    <w:next w:val="1"/>
    <w:qFormat/>
    <w:uiPriority w:val="0"/>
    <w:pPr>
      <w:ind w:left="2940"/>
    </w:pPr>
  </w:style>
  <w:style w:type="paragraph" w:styleId="13">
    <w:name w:val="Normal Indent"/>
    <w:basedOn w:val="1"/>
    <w:next w:val="1"/>
    <w:qFormat/>
    <w:uiPriority w:val="99"/>
    <w:pPr>
      <w:widowControl/>
      <w:ind w:firstLine="420"/>
      <w:jc w:val="left"/>
    </w:pPr>
    <w:rPr>
      <w:sz w:val="20"/>
    </w:rPr>
  </w:style>
  <w:style w:type="paragraph" w:styleId="14">
    <w:name w:val="caption"/>
    <w:basedOn w:val="1"/>
    <w:next w:val="1"/>
    <w:qFormat/>
    <w:uiPriority w:val="99"/>
    <w:rPr>
      <w:rFonts w:ascii="Cambria" w:hAnsi="Cambria" w:eastAsia="黑体"/>
      <w:sz w:val="20"/>
      <w:szCs w:val="20"/>
    </w:rPr>
  </w:style>
  <w:style w:type="paragraph" w:styleId="15">
    <w:name w:val="Document Map"/>
    <w:basedOn w:val="1"/>
    <w:link w:val="98"/>
    <w:qFormat/>
    <w:uiPriority w:val="99"/>
    <w:pPr>
      <w:shd w:val="clear" w:color="auto" w:fill="000080"/>
    </w:pPr>
    <w:rPr>
      <w:shd w:val="clear" w:color="auto" w:fill="000080"/>
    </w:rPr>
  </w:style>
  <w:style w:type="paragraph" w:styleId="16">
    <w:name w:val="toa heading"/>
    <w:basedOn w:val="1"/>
    <w:next w:val="1"/>
    <w:qFormat/>
    <w:uiPriority w:val="0"/>
    <w:pPr>
      <w:spacing w:before="120"/>
    </w:pPr>
    <w:rPr>
      <w:rFonts w:ascii="Arial" w:hAnsi="Arial"/>
      <w:b/>
      <w:szCs w:val="20"/>
    </w:rPr>
  </w:style>
  <w:style w:type="paragraph" w:styleId="17">
    <w:name w:val="annotation text"/>
    <w:basedOn w:val="1"/>
    <w:link w:val="99"/>
    <w:qFormat/>
    <w:uiPriority w:val="0"/>
    <w:pPr>
      <w:jc w:val="left"/>
    </w:pPr>
  </w:style>
  <w:style w:type="paragraph" w:styleId="18">
    <w:name w:val="Body Text 3"/>
    <w:basedOn w:val="1"/>
    <w:link w:val="101"/>
    <w:qFormat/>
    <w:uiPriority w:val="0"/>
    <w:pPr>
      <w:spacing w:after="120"/>
    </w:pPr>
    <w:rPr>
      <w:rFonts w:ascii="宋体" w:hAnsi="Courier New"/>
      <w:sz w:val="16"/>
      <w:szCs w:val="16"/>
    </w:rPr>
  </w:style>
  <w:style w:type="paragraph" w:styleId="19">
    <w:name w:val="Body Text"/>
    <w:basedOn w:val="1"/>
    <w:next w:val="20"/>
    <w:link w:val="81"/>
    <w:qFormat/>
    <w:uiPriority w:val="99"/>
    <w:rPr>
      <w:sz w:val="28"/>
    </w:rPr>
  </w:style>
  <w:style w:type="paragraph" w:styleId="20">
    <w:name w:val="Intense Quote"/>
    <w:basedOn w:val="1"/>
    <w:next w:val="1"/>
    <w:link w:val="142"/>
    <w:qFormat/>
    <w:uiPriority w:val="99"/>
    <w:pPr>
      <w:pBdr>
        <w:bottom w:val="single" w:color="4F81BD" w:sz="4" w:space="4"/>
      </w:pBdr>
      <w:spacing w:before="200" w:after="280"/>
      <w:ind w:left="936" w:right="936"/>
    </w:pPr>
    <w:rPr>
      <w:b/>
      <w:bCs/>
      <w:i/>
      <w:iCs/>
      <w:color w:val="4F81BD"/>
      <w:kern w:val="0"/>
      <w:sz w:val="20"/>
      <w:szCs w:val="20"/>
    </w:rPr>
  </w:style>
  <w:style w:type="paragraph" w:styleId="21">
    <w:name w:val="Body Text Indent"/>
    <w:basedOn w:val="1"/>
    <w:next w:val="1"/>
    <w:link w:val="82"/>
    <w:qFormat/>
    <w:uiPriority w:val="99"/>
    <w:pPr>
      <w:spacing w:line="200" w:lineRule="exact"/>
      <w:ind w:firstLine="301"/>
    </w:pPr>
    <w:rPr>
      <w:rFonts w:ascii="宋体" w:hAnsi="Courier New"/>
      <w:spacing w:val="-4"/>
      <w:sz w:val="18"/>
      <w:szCs w:val="20"/>
    </w:rPr>
  </w:style>
  <w:style w:type="paragraph" w:styleId="22">
    <w:name w:val="Block Text"/>
    <w:basedOn w:val="1"/>
    <w:qFormat/>
    <w:uiPriority w:val="0"/>
    <w:pPr>
      <w:ind w:left="113" w:right="113"/>
      <w:jc w:val="center"/>
    </w:pPr>
    <w:rPr>
      <w:sz w:val="44"/>
    </w:rPr>
  </w:style>
  <w:style w:type="paragraph" w:styleId="23">
    <w:name w:val="index 4"/>
    <w:basedOn w:val="1"/>
    <w:next w:val="1"/>
    <w:qFormat/>
    <w:uiPriority w:val="99"/>
    <w:pPr>
      <w:ind w:left="600" w:leftChars="600"/>
    </w:pPr>
  </w:style>
  <w:style w:type="paragraph" w:styleId="24">
    <w:name w:val="toc 5"/>
    <w:basedOn w:val="1"/>
    <w:next w:val="1"/>
    <w:qFormat/>
    <w:uiPriority w:val="39"/>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next w:val="12"/>
    <w:link w:val="84"/>
    <w:qFormat/>
    <w:uiPriority w:val="0"/>
    <w:rPr>
      <w:rFonts w:ascii="宋体" w:hAnsi="Courier New"/>
      <w:szCs w:val="20"/>
    </w:rPr>
  </w:style>
  <w:style w:type="paragraph" w:styleId="27">
    <w:name w:val="toc 8"/>
    <w:basedOn w:val="1"/>
    <w:next w:val="1"/>
    <w:qFormat/>
    <w:uiPriority w:val="39"/>
    <w:pPr>
      <w:ind w:left="2940" w:leftChars="1400"/>
    </w:pPr>
    <w:rPr>
      <w:rFonts w:ascii="Calibri" w:hAnsi="Calibri"/>
      <w:szCs w:val="22"/>
    </w:rPr>
  </w:style>
  <w:style w:type="paragraph" w:styleId="28">
    <w:name w:val="Date"/>
    <w:basedOn w:val="1"/>
    <w:next w:val="1"/>
    <w:link w:val="83"/>
    <w:qFormat/>
    <w:uiPriority w:val="99"/>
    <w:pPr>
      <w:ind w:left="100" w:leftChars="2500"/>
    </w:pPr>
  </w:style>
  <w:style w:type="paragraph" w:styleId="29">
    <w:name w:val="Body Text Indent 2"/>
    <w:basedOn w:val="1"/>
    <w:link w:val="102"/>
    <w:qFormat/>
    <w:uiPriority w:val="99"/>
    <w:pPr>
      <w:spacing w:line="340" w:lineRule="exact"/>
      <w:ind w:firstLine="524" w:firstLineChars="187"/>
    </w:pPr>
    <w:rPr>
      <w:rFonts w:ascii="仿宋_GB2312" w:eastAsia="仿宋_GB2312"/>
      <w:sz w:val="28"/>
    </w:rPr>
  </w:style>
  <w:style w:type="paragraph" w:styleId="30">
    <w:name w:val="endnote text"/>
    <w:basedOn w:val="1"/>
    <w:link w:val="103"/>
    <w:qFormat/>
    <w:uiPriority w:val="0"/>
    <w:pPr>
      <w:snapToGrid w:val="0"/>
      <w:jc w:val="left"/>
    </w:pPr>
  </w:style>
  <w:style w:type="paragraph" w:styleId="31">
    <w:name w:val="Balloon Text"/>
    <w:basedOn w:val="1"/>
    <w:link w:val="104"/>
    <w:qFormat/>
    <w:uiPriority w:val="99"/>
    <w:rPr>
      <w:sz w:val="18"/>
      <w:szCs w:val="18"/>
    </w:rPr>
  </w:style>
  <w:style w:type="paragraph" w:styleId="32">
    <w:name w:val="footer"/>
    <w:basedOn w:val="1"/>
    <w:next w:val="1"/>
    <w:link w:val="85"/>
    <w:qFormat/>
    <w:uiPriority w:val="99"/>
    <w:pPr>
      <w:tabs>
        <w:tab w:val="center" w:pos="4153"/>
        <w:tab w:val="right" w:pos="8306"/>
      </w:tabs>
      <w:snapToGrid w:val="0"/>
    </w:pPr>
    <w:rPr>
      <w:sz w:val="18"/>
      <w:szCs w:val="18"/>
    </w:rPr>
  </w:style>
  <w:style w:type="paragraph" w:styleId="33">
    <w:name w:val="header"/>
    <w:link w:val="86"/>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34">
    <w:name w:val="toc 1"/>
    <w:basedOn w:val="1"/>
    <w:next w:val="1"/>
    <w:unhideWhenUsed/>
    <w:qFormat/>
    <w:uiPriority w:val="39"/>
    <w:pPr>
      <w:widowControl/>
      <w:tabs>
        <w:tab w:val="left" w:pos="0"/>
        <w:tab w:val="right" w:leader="dot" w:pos="9435"/>
      </w:tabs>
      <w:spacing w:line="440" w:lineRule="exact"/>
      <w:jc w:val="left"/>
    </w:pPr>
    <w:rPr>
      <w:rFonts w:ascii="Calibri" w:hAnsi="Calibri"/>
      <w:kern w:val="0"/>
      <w:sz w:val="22"/>
      <w:szCs w:val="22"/>
    </w:rPr>
  </w:style>
  <w:style w:type="paragraph" w:styleId="35">
    <w:name w:val="toc 4"/>
    <w:basedOn w:val="1"/>
    <w:next w:val="1"/>
    <w:qFormat/>
    <w:uiPriority w:val="39"/>
    <w:pPr>
      <w:ind w:left="1260" w:leftChars="600"/>
    </w:pPr>
    <w:rPr>
      <w:rFonts w:ascii="Calibri" w:hAnsi="Calibri"/>
      <w:szCs w:val="22"/>
    </w:rPr>
  </w:style>
  <w:style w:type="paragraph" w:styleId="36">
    <w:name w:val="Subtitle"/>
    <w:basedOn w:val="1"/>
    <w:next w:val="1"/>
    <w:link w:val="105"/>
    <w:qFormat/>
    <w:uiPriority w:val="11"/>
    <w:pPr>
      <w:spacing w:before="240" w:after="60" w:line="312" w:lineRule="auto"/>
      <w:jc w:val="center"/>
      <w:outlineLvl w:val="1"/>
    </w:pPr>
    <w:rPr>
      <w:rFonts w:ascii="Cambria" w:hAnsi="Cambria"/>
      <w:b/>
      <w:bCs/>
      <w:kern w:val="28"/>
      <w:sz w:val="32"/>
      <w:szCs w:val="32"/>
    </w:rPr>
  </w:style>
  <w:style w:type="paragraph" w:styleId="37">
    <w:name w:val="footnote text"/>
    <w:basedOn w:val="1"/>
    <w:link w:val="106"/>
    <w:qFormat/>
    <w:uiPriority w:val="99"/>
    <w:pPr>
      <w:adjustRightInd w:val="0"/>
      <w:spacing w:line="312" w:lineRule="atLeast"/>
      <w:jc w:val="left"/>
      <w:textAlignment w:val="baseline"/>
    </w:pPr>
    <w:rPr>
      <w:kern w:val="0"/>
      <w:sz w:val="18"/>
      <w:szCs w:val="20"/>
    </w:rPr>
  </w:style>
  <w:style w:type="paragraph" w:styleId="38">
    <w:name w:val="toc 6"/>
    <w:basedOn w:val="1"/>
    <w:next w:val="1"/>
    <w:qFormat/>
    <w:uiPriority w:val="39"/>
    <w:pPr>
      <w:ind w:left="2100" w:leftChars="1000"/>
    </w:pPr>
    <w:rPr>
      <w:rFonts w:ascii="Calibri" w:hAnsi="Calibri"/>
      <w:szCs w:val="22"/>
    </w:rPr>
  </w:style>
  <w:style w:type="paragraph" w:styleId="39">
    <w:name w:val="Body Text Indent 3"/>
    <w:basedOn w:val="1"/>
    <w:link w:val="108"/>
    <w:qFormat/>
    <w:uiPriority w:val="0"/>
    <w:pPr>
      <w:spacing w:after="120"/>
      <w:ind w:left="420" w:leftChars="200"/>
    </w:pPr>
    <w:rPr>
      <w:rFonts w:ascii="宋体" w:hAnsi="Courier New"/>
      <w:sz w:val="16"/>
      <w:szCs w:val="16"/>
    </w:rPr>
  </w:style>
  <w:style w:type="paragraph" w:styleId="40">
    <w:name w:val="toc 2"/>
    <w:next w:val="1"/>
    <w:unhideWhenUsed/>
    <w:qFormat/>
    <w:uiPriority w:val="39"/>
    <w:pPr>
      <w:spacing w:after="100" w:line="276" w:lineRule="auto"/>
      <w:ind w:left="220"/>
    </w:pPr>
    <w:rPr>
      <w:rFonts w:ascii="Calibri" w:hAnsi="Calibri" w:eastAsia="宋体" w:cs="Times New Roman"/>
      <w:sz w:val="22"/>
      <w:szCs w:val="22"/>
      <w:lang w:val="en-US" w:eastAsia="zh-CN" w:bidi="ar-SA"/>
    </w:rPr>
  </w:style>
  <w:style w:type="paragraph" w:styleId="41">
    <w:name w:val="toc 9"/>
    <w:basedOn w:val="1"/>
    <w:next w:val="1"/>
    <w:qFormat/>
    <w:uiPriority w:val="39"/>
    <w:pPr>
      <w:ind w:left="3360" w:leftChars="1600"/>
    </w:pPr>
    <w:rPr>
      <w:rFonts w:ascii="Calibri" w:hAnsi="Calibri"/>
      <w:szCs w:val="22"/>
    </w:rPr>
  </w:style>
  <w:style w:type="paragraph" w:styleId="42">
    <w:name w:val="Body Text 2"/>
    <w:basedOn w:val="1"/>
    <w:link w:val="110"/>
    <w:qFormat/>
    <w:uiPriority w:val="0"/>
    <w:rPr>
      <w:rFonts w:ascii="宋体" w:hAnsi="宋体"/>
      <w:sz w:val="28"/>
    </w:rPr>
  </w:style>
  <w:style w:type="paragraph" w:styleId="43">
    <w:name w:val="List 4"/>
    <w:basedOn w:val="1"/>
    <w:qFormat/>
    <w:uiPriority w:val="0"/>
    <w:pPr>
      <w:ind w:left="100" w:leftChars="600" w:hanging="200" w:hangingChars="200"/>
    </w:pPr>
  </w:style>
  <w:style w:type="paragraph" w:styleId="44">
    <w:name w:val="HTML Preformatted"/>
    <w:basedOn w:val="1"/>
    <w:link w:val="1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jc w:val="left"/>
    </w:pPr>
    <w:rPr>
      <w:kern w:val="0"/>
      <w:sz w:val="24"/>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link w:val="112"/>
    <w:qFormat/>
    <w:uiPriority w:val="99"/>
    <w:pPr>
      <w:spacing w:before="240" w:after="60"/>
      <w:jc w:val="center"/>
      <w:outlineLvl w:val="0"/>
    </w:pPr>
    <w:rPr>
      <w:rFonts w:ascii="Cambria" w:hAnsi="Cambria"/>
      <w:b/>
      <w:bCs/>
      <w:sz w:val="32"/>
      <w:szCs w:val="32"/>
    </w:rPr>
  </w:style>
  <w:style w:type="paragraph" w:styleId="48">
    <w:name w:val="annotation subject"/>
    <w:basedOn w:val="17"/>
    <w:next w:val="17"/>
    <w:link w:val="113"/>
    <w:qFormat/>
    <w:uiPriority w:val="99"/>
    <w:rPr>
      <w:b/>
      <w:bCs/>
    </w:rPr>
  </w:style>
  <w:style w:type="paragraph" w:styleId="49">
    <w:name w:val="Body Text First Indent"/>
    <w:basedOn w:val="19"/>
    <w:next w:val="1"/>
    <w:qFormat/>
    <w:uiPriority w:val="0"/>
    <w:pPr>
      <w:ind w:firstLine="420" w:firstLineChars="100"/>
    </w:pPr>
  </w:style>
  <w:style w:type="paragraph" w:styleId="50">
    <w:name w:val="Body Text First Indent 2"/>
    <w:basedOn w:val="21"/>
    <w:next w:val="51"/>
    <w:unhideWhenUsed/>
    <w:qFormat/>
    <w:uiPriority w:val="99"/>
    <w:pPr>
      <w:spacing w:before="100" w:beforeAutospacing="1"/>
      <w:ind w:firstLine="420" w:firstLineChars="200"/>
    </w:pPr>
    <w:rPr>
      <w:rFonts w:ascii="Calibri" w:hAnsi="Calibri" w:eastAsia="楷体_GB2312" w:cs="宋体"/>
      <w:b/>
      <w:bCs/>
      <w:kern w:val="44"/>
      <w:sz w:val="44"/>
      <w:szCs w:val="44"/>
    </w:rPr>
  </w:style>
  <w:style w:type="paragraph" w:customStyle="1" w:styleId="51">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character" w:styleId="54">
    <w:name w:val="Strong"/>
    <w:qFormat/>
    <w:uiPriority w:val="22"/>
    <w:rPr>
      <w:b/>
    </w:rPr>
  </w:style>
  <w:style w:type="character" w:styleId="55">
    <w:name w:val="endnote reference"/>
    <w:qFormat/>
    <w:uiPriority w:val="0"/>
    <w:rPr>
      <w:vertAlign w:val="superscript"/>
    </w:rPr>
  </w:style>
  <w:style w:type="character" w:styleId="56">
    <w:name w:val="page number"/>
    <w:qFormat/>
    <w:uiPriority w:val="99"/>
  </w:style>
  <w:style w:type="character" w:styleId="57">
    <w:name w:val="FollowedHyperlink"/>
    <w:basedOn w:val="53"/>
    <w:qFormat/>
    <w:uiPriority w:val="99"/>
    <w:rPr>
      <w:color w:val="800080"/>
      <w:u w:val="none"/>
    </w:rPr>
  </w:style>
  <w:style w:type="character" w:styleId="58">
    <w:name w:val="Emphasis"/>
    <w:qFormat/>
    <w:uiPriority w:val="99"/>
    <w:rPr>
      <w:i/>
      <w:iCs/>
    </w:rPr>
  </w:style>
  <w:style w:type="character" w:styleId="59">
    <w:name w:val="HTML Definition"/>
    <w:basedOn w:val="53"/>
    <w:qFormat/>
    <w:uiPriority w:val="0"/>
  </w:style>
  <w:style w:type="character" w:styleId="60">
    <w:name w:val="HTML Typewriter"/>
    <w:basedOn w:val="53"/>
    <w:qFormat/>
    <w:uiPriority w:val="0"/>
    <w:rPr>
      <w:rFonts w:hint="default" w:ascii="monospace" w:hAnsi="monospace" w:eastAsia="monospace" w:cs="monospace"/>
      <w:sz w:val="20"/>
    </w:rPr>
  </w:style>
  <w:style w:type="character" w:styleId="61">
    <w:name w:val="HTML Acronym"/>
    <w:basedOn w:val="53"/>
    <w:qFormat/>
    <w:uiPriority w:val="0"/>
  </w:style>
  <w:style w:type="character" w:styleId="62">
    <w:name w:val="HTML Variable"/>
    <w:basedOn w:val="53"/>
    <w:qFormat/>
    <w:uiPriority w:val="0"/>
  </w:style>
  <w:style w:type="character" w:styleId="63">
    <w:name w:val="Hyperlink"/>
    <w:unhideWhenUsed/>
    <w:qFormat/>
    <w:uiPriority w:val="99"/>
    <w:rPr>
      <w:color w:val="3B5998"/>
      <w:u w:val="none"/>
    </w:rPr>
  </w:style>
  <w:style w:type="character" w:styleId="64">
    <w:name w:val="HTML Code"/>
    <w:basedOn w:val="53"/>
    <w:qFormat/>
    <w:uiPriority w:val="0"/>
    <w:rPr>
      <w:rFonts w:hint="default" w:ascii="monospace" w:hAnsi="monospace" w:eastAsia="monospace" w:cs="monospace"/>
      <w:sz w:val="20"/>
    </w:rPr>
  </w:style>
  <w:style w:type="character" w:styleId="65">
    <w:name w:val="annotation reference"/>
    <w:qFormat/>
    <w:uiPriority w:val="0"/>
    <w:rPr>
      <w:sz w:val="21"/>
      <w:szCs w:val="21"/>
    </w:rPr>
  </w:style>
  <w:style w:type="character" w:styleId="66">
    <w:name w:val="HTML Cite"/>
    <w:basedOn w:val="53"/>
    <w:qFormat/>
    <w:uiPriority w:val="0"/>
  </w:style>
  <w:style w:type="character" w:styleId="67">
    <w:name w:val="footnote reference"/>
    <w:qFormat/>
    <w:uiPriority w:val="0"/>
    <w:rPr>
      <w:vertAlign w:val="superscript"/>
    </w:rPr>
  </w:style>
  <w:style w:type="character" w:styleId="68">
    <w:name w:val="HTML Keyboard"/>
    <w:basedOn w:val="53"/>
    <w:qFormat/>
    <w:uiPriority w:val="0"/>
    <w:rPr>
      <w:rFonts w:ascii="monospace" w:hAnsi="monospace" w:eastAsia="monospace" w:cs="monospace"/>
      <w:sz w:val="20"/>
    </w:rPr>
  </w:style>
  <w:style w:type="character" w:styleId="69">
    <w:name w:val="HTML Sample"/>
    <w:basedOn w:val="53"/>
    <w:qFormat/>
    <w:uiPriority w:val="0"/>
    <w:rPr>
      <w:rFonts w:hint="default" w:ascii="monospace" w:hAnsi="monospace" w:eastAsia="monospace" w:cs="monospace"/>
    </w:rPr>
  </w:style>
  <w:style w:type="paragraph" w:customStyle="1" w:styleId="70">
    <w:name w:val="Default"/>
    <w:next w:val="7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72">
    <w:name w:val="标题 1 Char"/>
    <w:link w:val="2"/>
    <w:qFormat/>
    <w:uiPriority w:val="99"/>
    <w:rPr>
      <w:b/>
      <w:bCs/>
      <w:kern w:val="44"/>
      <w:sz w:val="44"/>
      <w:szCs w:val="44"/>
    </w:rPr>
  </w:style>
  <w:style w:type="character" w:customStyle="1" w:styleId="73">
    <w:name w:val="标题 2 Char"/>
    <w:link w:val="3"/>
    <w:qFormat/>
    <w:uiPriority w:val="99"/>
    <w:rPr>
      <w:rFonts w:ascii="Arial" w:hAnsi="Arial" w:eastAsia="黑体"/>
      <w:b/>
      <w:kern w:val="2"/>
      <w:sz w:val="44"/>
    </w:rPr>
  </w:style>
  <w:style w:type="character" w:customStyle="1" w:styleId="74">
    <w:name w:val="标题 3 Char"/>
    <w:basedOn w:val="53"/>
    <w:link w:val="4"/>
    <w:qFormat/>
    <w:uiPriority w:val="99"/>
    <w:rPr>
      <w:b/>
      <w:bCs/>
      <w:kern w:val="2"/>
      <w:sz w:val="32"/>
      <w:szCs w:val="32"/>
    </w:rPr>
  </w:style>
  <w:style w:type="character" w:customStyle="1" w:styleId="75">
    <w:name w:val="标题 4 Char"/>
    <w:link w:val="5"/>
    <w:qFormat/>
    <w:uiPriority w:val="99"/>
    <w:rPr>
      <w:rFonts w:ascii="Arial" w:hAnsi="Arial" w:eastAsia="黑体"/>
      <w:sz w:val="28"/>
    </w:rPr>
  </w:style>
  <w:style w:type="character" w:customStyle="1" w:styleId="76">
    <w:name w:val="标题 5 Char"/>
    <w:link w:val="6"/>
    <w:qFormat/>
    <w:uiPriority w:val="99"/>
    <w:rPr>
      <w:b/>
      <w:bCs/>
      <w:kern w:val="2"/>
      <w:sz w:val="28"/>
      <w:szCs w:val="28"/>
    </w:rPr>
  </w:style>
  <w:style w:type="character" w:customStyle="1" w:styleId="77">
    <w:name w:val="标题 6 Char"/>
    <w:basedOn w:val="53"/>
    <w:link w:val="7"/>
    <w:qFormat/>
    <w:uiPriority w:val="9"/>
    <w:rPr>
      <w:rFonts w:ascii="Cambria" w:hAnsi="Cambria"/>
      <w:b/>
      <w:bCs/>
      <w:kern w:val="2"/>
      <w:sz w:val="24"/>
      <w:szCs w:val="24"/>
    </w:rPr>
  </w:style>
  <w:style w:type="character" w:customStyle="1" w:styleId="78">
    <w:name w:val="标题 7 Char"/>
    <w:basedOn w:val="53"/>
    <w:link w:val="8"/>
    <w:qFormat/>
    <w:uiPriority w:val="9"/>
    <w:rPr>
      <w:rFonts w:ascii="Calibri" w:hAnsi="Calibri"/>
      <w:b/>
      <w:bCs/>
      <w:kern w:val="2"/>
      <w:sz w:val="24"/>
      <w:szCs w:val="24"/>
    </w:rPr>
  </w:style>
  <w:style w:type="character" w:customStyle="1" w:styleId="79">
    <w:name w:val="标题 8 Char"/>
    <w:basedOn w:val="53"/>
    <w:link w:val="9"/>
    <w:qFormat/>
    <w:uiPriority w:val="9"/>
    <w:rPr>
      <w:rFonts w:ascii="Cambria" w:hAnsi="Cambria"/>
      <w:kern w:val="2"/>
      <w:sz w:val="24"/>
      <w:szCs w:val="24"/>
    </w:rPr>
  </w:style>
  <w:style w:type="character" w:customStyle="1" w:styleId="80">
    <w:name w:val="标题 9 Char"/>
    <w:basedOn w:val="53"/>
    <w:link w:val="10"/>
    <w:qFormat/>
    <w:uiPriority w:val="9"/>
    <w:rPr>
      <w:rFonts w:ascii="Cambria" w:hAnsi="Cambria"/>
      <w:kern w:val="2"/>
      <w:sz w:val="21"/>
      <w:szCs w:val="21"/>
    </w:rPr>
  </w:style>
  <w:style w:type="character" w:customStyle="1" w:styleId="81">
    <w:name w:val="正文文本 Char"/>
    <w:link w:val="19"/>
    <w:qFormat/>
    <w:uiPriority w:val="99"/>
    <w:rPr>
      <w:kern w:val="2"/>
      <w:sz w:val="28"/>
      <w:szCs w:val="24"/>
    </w:rPr>
  </w:style>
  <w:style w:type="character" w:customStyle="1" w:styleId="82">
    <w:name w:val="正文文本缩进 Char"/>
    <w:link w:val="21"/>
    <w:qFormat/>
    <w:uiPriority w:val="99"/>
    <w:rPr>
      <w:rFonts w:ascii="宋体" w:hAnsi="Courier New"/>
      <w:spacing w:val="-4"/>
      <w:kern w:val="2"/>
      <w:sz w:val="18"/>
    </w:rPr>
  </w:style>
  <w:style w:type="character" w:customStyle="1" w:styleId="83">
    <w:name w:val="日期 Char"/>
    <w:link w:val="28"/>
    <w:qFormat/>
    <w:uiPriority w:val="99"/>
    <w:rPr>
      <w:kern w:val="2"/>
      <w:sz w:val="21"/>
      <w:szCs w:val="24"/>
    </w:rPr>
  </w:style>
  <w:style w:type="character" w:customStyle="1" w:styleId="84">
    <w:name w:val="纯文本 Char"/>
    <w:link w:val="26"/>
    <w:qFormat/>
    <w:uiPriority w:val="0"/>
    <w:rPr>
      <w:rFonts w:ascii="宋体" w:hAnsi="Courier New"/>
      <w:kern w:val="2"/>
      <w:sz w:val="21"/>
    </w:rPr>
  </w:style>
  <w:style w:type="character" w:customStyle="1" w:styleId="85">
    <w:name w:val="页脚 Char"/>
    <w:link w:val="32"/>
    <w:qFormat/>
    <w:uiPriority w:val="99"/>
    <w:rPr>
      <w:kern w:val="2"/>
      <w:sz w:val="18"/>
      <w:szCs w:val="18"/>
    </w:rPr>
  </w:style>
  <w:style w:type="character" w:customStyle="1" w:styleId="86">
    <w:name w:val="页眉 Char"/>
    <w:link w:val="33"/>
    <w:qFormat/>
    <w:uiPriority w:val="99"/>
    <w:rPr>
      <w:kern w:val="2"/>
      <w:sz w:val="18"/>
      <w:szCs w:val="18"/>
    </w:rPr>
  </w:style>
  <w:style w:type="paragraph" w:customStyle="1" w:styleId="87">
    <w:name w:val="1"/>
    <w:next w:val="26"/>
    <w:qFormat/>
    <w:uiPriority w:val="99"/>
    <w:pPr>
      <w:widowControl w:val="0"/>
      <w:jc w:val="both"/>
    </w:pPr>
    <w:rPr>
      <w:rFonts w:ascii="宋体" w:hAnsi="Courier New" w:eastAsia="宋体" w:cs="Times New Roman"/>
      <w:kern w:val="2"/>
      <w:sz w:val="21"/>
      <w:lang w:val="en-US" w:eastAsia="zh-CN" w:bidi="ar-SA"/>
    </w:rPr>
  </w:style>
  <w:style w:type="paragraph" w:customStyle="1" w:styleId="88">
    <w:name w:val="Body Text First Indent 21"/>
    <w:basedOn w:val="89"/>
    <w:qFormat/>
    <w:uiPriority w:val="0"/>
    <w:pPr>
      <w:ind w:firstLine="420"/>
    </w:pPr>
  </w:style>
  <w:style w:type="paragraph" w:customStyle="1" w:styleId="89">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9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Normal_0"/>
    <w:qFormat/>
    <w:uiPriority w:val="0"/>
    <w:rPr>
      <w:rFonts w:ascii="Times New Roman" w:hAnsi="Times New Roman" w:eastAsia="Times New Roman" w:cs="Times New Roman"/>
      <w:sz w:val="24"/>
      <w:szCs w:val="24"/>
      <w:lang w:val="en-US" w:eastAsia="zh-CN" w:bidi="ar-SA"/>
    </w:rPr>
  </w:style>
  <w:style w:type="paragraph" w:customStyle="1" w:styleId="92">
    <w:name w:val="段落1"/>
    <w:basedOn w:val="1"/>
    <w:qFormat/>
    <w:uiPriority w:val="0"/>
    <w:pPr>
      <w:spacing w:line="360" w:lineRule="auto"/>
      <w:ind w:firstLine="480" w:firstLineChars="200"/>
    </w:pPr>
    <w:rPr>
      <w:sz w:val="24"/>
      <w:szCs w:val="20"/>
    </w:rPr>
  </w:style>
  <w:style w:type="paragraph" w:customStyle="1" w:styleId="93">
    <w:name w:val="Table Paragraph"/>
    <w:basedOn w:val="1"/>
    <w:qFormat/>
    <w:uiPriority w:val="0"/>
    <w:pPr>
      <w:autoSpaceDE w:val="0"/>
      <w:autoSpaceDN w:val="0"/>
      <w:adjustRightInd w:val="0"/>
      <w:jc w:val="left"/>
    </w:pPr>
    <w:rPr>
      <w:kern w:val="0"/>
      <w:sz w:val="24"/>
    </w:rPr>
  </w:style>
  <w:style w:type="paragraph" w:customStyle="1" w:styleId="94">
    <w:name w:val="列出段落1"/>
    <w:basedOn w:val="1"/>
    <w:qFormat/>
    <w:uiPriority w:val="99"/>
    <w:pPr>
      <w:ind w:firstLine="420" w:firstLineChars="200"/>
    </w:pPr>
  </w:style>
  <w:style w:type="paragraph" w:customStyle="1" w:styleId="95">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layui-layer-tabnow"/>
    <w:basedOn w:val="53"/>
    <w:qFormat/>
    <w:uiPriority w:val="0"/>
    <w:rPr>
      <w:bdr w:val="single" w:color="CCCCCC" w:sz="6" w:space="0"/>
      <w:shd w:val="clear" w:color="auto" w:fill="FFFFFF"/>
    </w:rPr>
  </w:style>
  <w:style w:type="character" w:customStyle="1" w:styleId="97">
    <w:name w:val="first-child"/>
    <w:basedOn w:val="53"/>
    <w:qFormat/>
    <w:uiPriority w:val="0"/>
  </w:style>
  <w:style w:type="character" w:customStyle="1" w:styleId="98">
    <w:name w:val="文档结构图 Char"/>
    <w:basedOn w:val="53"/>
    <w:link w:val="15"/>
    <w:qFormat/>
    <w:uiPriority w:val="99"/>
    <w:rPr>
      <w:kern w:val="2"/>
      <w:sz w:val="21"/>
      <w:szCs w:val="24"/>
      <w:shd w:val="clear" w:color="auto" w:fill="000080"/>
    </w:rPr>
  </w:style>
  <w:style w:type="character" w:customStyle="1" w:styleId="99">
    <w:name w:val="批注文字 Char"/>
    <w:basedOn w:val="53"/>
    <w:link w:val="17"/>
    <w:qFormat/>
    <w:uiPriority w:val="99"/>
    <w:rPr>
      <w:kern w:val="2"/>
      <w:sz w:val="21"/>
      <w:szCs w:val="24"/>
    </w:rPr>
  </w:style>
  <w:style w:type="character" w:customStyle="1" w:styleId="100">
    <w:name w:val="正文文本 3 Char1"/>
    <w:qFormat/>
    <w:uiPriority w:val="0"/>
    <w:rPr>
      <w:rFonts w:ascii="宋体" w:hAnsi="Courier New"/>
      <w:kern w:val="2"/>
      <w:sz w:val="16"/>
      <w:szCs w:val="16"/>
    </w:rPr>
  </w:style>
  <w:style w:type="character" w:customStyle="1" w:styleId="101">
    <w:name w:val="正文文本 3 Char"/>
    <w:basedOn w:val="53"/>
    <w:link w:val="18"/>
    <w:qFormat/>
    <w:uiPriority w:val="0"/>
    <w:rPr>
      <w:kern w:val="2"/>
      <w:sz w:val="16"/>
      <w:szCs w:val="16"/>
    </w:rPr>
  </w:style>
  <w:style w:type="character" w:customStyle="1" w:styleId="102">
    <w:name w:val="正文文本缩进 2 Char"/>
    <w:basedOn w:val="53"/>
    <w:link w:val="29"/>
    <w:qFormat/>
    <w:uiPriority w:val="99"/>
    <w:rPr>
      <w:rFonts w:ascii="仿宋_GB2312" w:eastAsia="仿宋_GB2312"/>
      <w:kern w:val="2"/>
      <w:sz w:val="28"/>
      <w:szCs w:val="24"/>
    </w:rPr>
  </w:style>
  <w:style w:type="character" w:customStyle="1" w:styleId="103">
    <w:name w:val="尾注文本 Char"/>
    <w:basedOn w:val="53"/>
    <w:link w:val="30"/>
    <w:qFormat/>
    <w:uiPriority w:val="0"/>
    <w:rPr>
      <w:kern w:val="2"/>
      <w:sz w:val="21"/>
      <w:szCs w:val="24"/>
    </w:rPr>
  </w:style>
  <w:style w:type="character" w:customStyle="1" w:styleId="104">
    <w:name w:val="批注框文本 Char"/>
    <w:basedOn w:val="53"/>
    <w:link w:val="31"/>
    <w:qFormat/>
    <w:uiPriority w:val="99"/>
    <w:rPr>
      <w:kern w:val="2"/>
      <w:sz w:val="18"/>
      <w:szCs w:val="18"/>
    </w:rPr>
  </w:style>
  <w:style w:type="character" w:customStyle="1" w:styleId="105">
    <w:name w:val="副标题 Char"/>
    <w:basedOn w:val="53"/>
    <w:link w:val="36"/>
    <w:qFormat/>
    <w:uiPriority w:val="11"/>
    <w:rPr>
      <w:rFonts w:ascii="Cambria" w:hAnsi="Cambria"/>
      <w:b/>
      <w:bCs/>
      <w:kern w:val="28"/>
      <w:sz w:val="32"/>
      <w:szCs w:val="32"/>
    </w:rPr>
  </w:style>
  <w:style w:type="character" w:customStyle="1" w:styleId="106">
    <w:name w:val="脚注文本 Char"/>
    <w:basedOn w:val="53"/>
    <w:link w:val="37"/>
    <w:qFormat/>
    <w:uiPriority w:val="99"/>
    <w:rPr>
      <w:sz w:val="18"/>
    </w:rPr>
  </w:style>
  <w:style w:type="character" w:customStyle="1" w:styleId="107">
    <w:name w:val="正文文本缩进 3 Char1"/>
    <w:qFormat/>
    <w:uiPriority w:val="0"/>
    <w:rPr>
      <w:rFonts w:ascii="宋体" w:hAnsi="Courier New"/>
      <w:kern w:val="2"/>
      <w:sz w:val="16"/>
      <w:szCs w:val="16"/>
    </w:rPr>
  </w:style>
  <w:style w:type="character" w:customStyle="1" w:styleId="108">
    <w:name w:val="正文文本缩进 3 Char"/>
    <w:basedOn w:val="53"/>
    <w:link w:val="39"/>
    <w:qFormat/>
    <w:uiPriority w:val="0"/>
    <w:rPr>
      <w:kern w:val="2"/>
      <w:sz w:val="16"/>
      <w:szCs w:val="16"/>
    </w:rPr>
  </w:style>
  <w:style w:type="character" w:customStyle="1" w:styleId="109">
    <w:name w:val="正文文本 2 Char1"/>
    <w:qFormat/>
    <w:uiPriority w:val="0"/>
    <w:rPr>
      <w:rFonts w:ascii="宋体" w:hAnsi="宋体"/>
      <w:kern w:val="2"/>
      <w:sz w:val="28"/>
      <w:szCs w:val="24"/>
    </w:rPr>
  </w:style>
  <w:style w:type="character" w:customStyle="1" w:styleId="110">
    <w:name w:val="正文文本 2 Char"/>
    <w:basedOn w:val="53"/>
    <w:link w:val="42"/>
    <w:qFormat/>
    <w:uiPriority w:val="0"/>
    <w:rPr>
      <w:kern w:val="2"/>
      <w:sz w:val="21"/>
      <w:szCs w:val="24"/>
    </w:rPr>
  </w:style>
  <w:style w:type="character" w:customStyle="1" w:styleId="111">
    <w:name w:val="HTML 预设格式 Char"/>
    <w:basedOn w:val="53"/>
    <w:link w:val="44"/>
    <w:qFormat/>
    <w:uiPriority w:val="0"/>
    <w:rPr>
      <w:rFonts w:ascii="黑体" w:hAnsi="Courier New" w:eastAsia="黑体"/>
    </w:rPr>
  </w:style>
  <w:style w:type="character" w:customStyle="1" w:styleId="112">
    <w:name w:val="标题 Char"/>
    <w:basedOn w:val="53"/>
    <w:link w:val="47"/>
    <w:qFormat/>
    <w:uiPriority w:val="99"/>
    <w:rPr>
      <w:rFonts w:ascii="Cambria" w:hAnsi="Cambria"/>
      <w:b/>
      <w:bCs/>
      <w:kern w:val="2"/>
      <w:sz w:val="32"/>
      <w:szCs w:val="32"/>
    </w:rPr>
  </w:style>
  <w:style w:type="character" w:customStyle="1" w:styleId="113">
    <w:name w:val="批注主题 Char"/>
    <w:basedOn w:val="99"/>
    <w:link w:val="48"/>
    <w:qFormat/>
    <w:uiPriority w:val="99"/>
    <w:rPr>
      <w:b/>
      <w:bCs/>
      <w:kern w:val="2"/>
      <w:sz w:val="21"/>
      <w:szCs w:val="24"/>
    </w:rPr>
  </w:style>
  <w:style w:type="character" w:customStyle="1" w:styleId="114">
    <w:name w:val="Char Char24"/>
    <w:qFormat/>
    <w:uiPriority w:val="99"/>
    <w:rPr>
      <w:rFonts w:eastAsia="宋体"/>
      <w:b/>
      <w:bCs/>
      <w:kern w:val="44"/>
      <w:sz w:val="32"/>
      <w:szCs w:val="44"/>
      <w:lang w:val="en-US" w:eastAsia="zh-CN" w:bidi="ar-SA"/>
    </w:rPr>
  </w:style>
  <w:style w:type="character" w:customStyle="1" w:styleId="115">
    <w:name w:val="标题5 Char Char"/>
    <w:link w:val="116"/>
    <w:qFormat/>
    <w:uiPriority w:val="99"/>
    <w:rPr>
      <w:rFonts w:ascii="Arial" w:hAnsi="Arial"/>
      <w:b/>
      <w:bCs/>
      <w:sz w:val="24"/>
      <w:szCs w:val="32"/>
    </w:rPr>
  </w:style>
  <w:style w:type="paragraph" w:customStyle="1" w:styleId="116">
    <w:name w:val="标题5"/>
    <w:basedOn w:val="4"/>
    <w:link w:val="115"/>
    <w:qFormat/>
    <w:uiPriority w:val="99"/>
    <w:pPr>
      <w:spacing w:line="413" w:lineRule="auto"/>
    </w:pPr>
    <w:rPr>
      <w:rFonts w:ascii="Arial" w:hAnsi="Arial"/>
      <w:kern w:val="0"/>
      <w:sz w:val="24"/>
    </w:rPr>
  </w:style>
  <w:style w:type="character" w:customStyle="1" w:styleId="117">
    <w:name w:val="Char Char22"/>
    <w:qFormat/>
    <w:uiPriority w:val="99"/>
    <w:rPr>
      <w:rFonts w:ascii="Times New Roman" w:hAnsi="Times New Roman" w:eastAsia="宋体" w:cs="Times New Roman"/>
      <w:b/>
      <w:bCs/>
      <w:kern w:val="44"/>
      <w:sz w:val="32"/>
      <w:szCs w:val="44"/>
    </w:rPr>
  </w:style>
  <w:style w:type="character" w:customStyle="1" w:styleId="118">
    <w:name w:val="批注文字 Char1"/>
    <w:qFormat/>
    <w:uiPriority w:val="99"/>
    <w:rPr>
      <w:rFonts w:ascii="Times New Roman" w:hAnsi="Times New Roman" w:eastAsia="宋体" w:cs="Times New Roman"/>
      <w:szCs w:val="24"/>
    </w:rPr>
  </w:style>
  <w:style w:type="character" w:customStyle="1" w:styleId="119">
    <w:name w:val="引用 Char2"/>
    <w:qFormat/>
    <w:uiPriority w:val="29"/>
    <w:rPr>
      <w:i/>
      <w:iCs/>
      <w:color w:val="000000"/>
      <w:kern w:val="2"/>
      <w:sz w:val="21"/>
      <w:szCs w:val="24"/>
    </w:rPr>
  </w:style>
  <w:style w:type="character" w:customStyle="1" w:styleId="120">
    <w:name w:val="Char Char91"/>
    <w:qFormat/>
    <w:uiPriority w:val="99"/>
    <w:rPr>
      <w:rFonts w:eastAsia="宋体"/>
      <w:b/>
      <w:bCs/>
      <w:kern w:val="44"/>
      <w:sz w:val="32"/>
      <w:szCs w:val="44"/>
      <w:lang w:val="en-US" w:eastAsia="zh-CN" w:bidi="ar-SA"/>
    </w:rPr>
  </w:style>
  <w:style w:type="character" w:customStyle="1" w:styleId="121">
    <w:name w:val="bsharetext"/>
    <w:basedOn w:val="53"/>
    <w:qFormat/>
    <w:uiPriority w:val="0"/>
  </w:style>
  <w:style w:type="character" w:customStyle="1" w:styleId="122">
    <w:name w:val="批注文字 Char Char Char"/>
    <w:qFormat/>
    <w:uiPriority w:val="0"/>
    <w:rPr>
      <w:kern w:val="2"/>
      <w:sz w:val="21"/>
      <w:szCs w:val="24"/>
    </w:rPr>
  </w:style>
  <w:style w:type="character" w:customStyle="1" w:styleId="123">
    <w:name w:val="Header Char"/>
    <w:qFormat/>
    <w:uiPriority w:val="99"/>
    <w:rPr>
      <w:rFonts w:eastAsia="宋体"/>
      <w:kern w:val="2"/>
      <w:sz w:val="18"/>
      <w:szCs w:val="18"/>
      <w:lang w:val="en-US" w:eastAsia="zh-CN" w:bidi="ar-SA"/>
    </w:rPr>
  </w:style>
  <w:style w:type="character" w:customStyle="1" w:styleId="124">
    <w:name w:val="批注文字 Char Char"/>
    <w:qFormat/>
    <w:uiPriority w:val="99"/>
    <w:rPr>
      <w:rFonts w:ascii="宋体" w:hAnsi="Times New Roman" w:eastAsia="宋体" w:cs="Times New Roman"/>
      <w:sz w:val="28"/>
      <w:szCs w:val="20"/>
    </w:rPr>
  </w:style>
  <w:style w:type="character" w:customStyle="1" w:styleId="125">
    <w:name w:val="不明显参考1"/>
    <w:qFormat/>
    <w:uiPriority w:val="99"/>
    <w:rPr>
      <w:smallCaps/>
      <w:color w:val="C0504D"/>
      <w:u w:val="single"/>
    </w:rPr>
  </w:style>
  <w:style w:type="character" w:customStyle="1" w:styleId="126">
    <w:name w:val="访问过的超链接1"/>
    <w:qFormat/>
    <w:uiPriority w:val="99"/>
    <w:rPr>
      <w:color w:val="000000"/>
      <w:u w:val="none"/>
    </w:rPr>
  </w:style>
  <w:style w:type="character" w:customStyle="1" w:styleId="127">
    <w:name w:val="引用 Char3"/>
    <w:qFormat/>
    <w:uiPriority w:val="29"/>
    <w:rPr>
      <w:rFonts w:ascii="Times New Roman" w:hAnsi="Times New Roman" w:eastAsia="宋体" w:cs="Times New Roman"/>
      <w:i/>
      <w:iCs/>
      <w:color w:val="000000"/>
      <w:szCs w:val="24"/>
    </w:rPr>
  </w:style>
  <w:style w:type="character" w:customStyle="1" w:styleId="128">
    <w:name w:val="纯文本 Char1"/>
    <w:qFormat/>
    <w:uiPriority w:val="99"/>
    <w:rPr>
      <w:rFonts w:ascii="宋体" w:hAnsi="Courier New" w:eastAsia="宋体"/>
      <w:sz w:val="21"/>
      <w:lang w:val="en-US" w:eastAsia="zh-CN" w:bidi="ar-SA"/>
    </w:rPr>
  </w:style>
  <w:style w:type="character" w:customStyle="1" w:styleId="129">
    <w:name w:val="不明显强调1"/>
    <w:qFormat/>
    <w:uiPriority w:val="99"/>
    <w:rPr>
      <w:i/>
      <w:iCs/>
      <w:color w:val="808080"/>
    </w:rPr>
  </w:style>
  <w:style w:type="character" w:customStyle="1" w:styleId="130">
    <w:name w:val="文档结构图 Char1"/>
    <w:qFormat/>
    <w:uiPriority w:val="99"/>
    <w:rPr>
      <w:rFonts w:ascii="宋体" w:hAnsi="Times New Roman" w:eastAsia="宋体" w:cs="Times New Roman"/>
      <w:sz w:val="18"/>
      <w:szCs w:val="18"/>
    </w:rPr>
  </w:style>
  <w:style w:type="character" w:customStyle="1" w:styleId="131">
    <w:name w:val="Comment Text Char"/>
    <w:qFormat/>
    <w:uiPriority w:val="99"/>
    <w:rPr>
      <w:rFonts w:cs="Times New Roman"/>
      <w:sz w:val="24"/>
      <w:szCs w:val="24"/>
    </w:rPr>
  </w:style>
  <w:style w:type="character" w:customStyle="1" w:styleId="132">
    <w:name w:val="Heading 3 Char"/>
    <w:qFormat/>
    <w:uiPriority w:val="99"/>
    <w:rPr>
      <w:rFonts w:cs="Times New Roman"/>
      <w:b/>
      <w:bCs/>
      <w:kern w:val="2"/>
      <w:sz w:val="32"/>
      <w:szCs w:val="32"/>
    </w:rPr>
  </w:style>
  <w:style w:type="character" w:customStyle="1" w:styleId="133">
    <w:name w:val="Char Char2411"/>
    <w:qFormat/>
    <w:uiPriority w:val="99"/>
    <w:rPr>
      <w:rFonts w:eastAsia="宋体"/>
      <w:b/>
      <w:bCs/>
      <w:kern w:val="44"/>
      <w:sz w:val="32"/>
      <w:szCs w:val="44"/>
      <w:lang w:val="en-US" w:eastAsia="zh-CN" w:bidi="ar-SA"/>
    </w:rPr>
  </w:style>
  <w:style w:type="character" w:customStyle="1" w:styleId="134">
    <w:name w:val="批注文字 Char3"/>
    <w:qFormat/>
    <w:uiPriority w:val="0"/>
    <w:rPr>
      <w:kern w:val="2"/>
      <w:sz w:val="21"/>
      <w:szCs w:val="24"/>
    </w:rPr>
  </w:style>
  <w:style w:type="character" w:customStyle="1" w:styleId="135">
    <w:name w:val="Balloon Text Char"/>
    <w:qFormat/>
    <w:uiPriority w:val="99"/>
    <w:rPr>
      <w:sz w:val="18"/>
      <w:lang w:bidi="ar-SA"/>
    </w:rPr>
  </w:style>
  <w:style w:type="character" w:customStyle="1" w:styleId="136">
    <w:name w:val="不明显强调2"/>
    <w:qFormat/>
    <w:uiPriority w:val="0"/>
    <w:rPr>
      <w:i/>
      <w:iCs/>
      <w:color w:val="808080"/>
    </w:rPr>
  </w:style>
  <w:style w:type="character" w:customStyle="1" w:styleId="137">
    <w:name w:val="ca-21"/>
    <w:qFormat/>
    <w:uiPriority w:val="0"/>
    <w:rPr>
      <w:rFonts w:hint="eastAsia" w:ascii="宋体" w:hAnsi="宋体" w:eastAsia="宋体"/>
      <w:sz w:val="24"/>
      <w:szCs w:val="24"/>
    </w:rPr>
  </w:style>
  <w:style w:type="character" w:customStyle="1" w:styleId="138">
    <w:name w:val="中等深浅网格 3 - 强调文字颜色 2 Char"/>
    <w:link w:val="139"/>
    <w:qFormat/>
    <w:uiPriority w:val="0"/>
    <w:rPr>
      <w:b/>
      <w:bCs/>
      <w:i/>
      <w:iCs/>
      <w:color w:val="4F81BD"/>
    </w:rPr>
  </w:style>
  <w:style w:type="paragraph" w:customStyle="1" w:styleId="139">
    <w:name w:val="中等深浅网格 3 - 强调文字颜色 21"/>
    <w:basedOn w:val="1"/>
    <w:next w:val="1"/>
    <w:link w:val="13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40">
    <w:name w:val="不明显参考2"/>
    <w:qFormat/>
    <w:uiPriority w:val="0"/>
    <w:rPr>
      <w:smallCaps/>
      <w:color w:val="C0504D"/>
      <w:u w:val="single"/>
    </w:rPr>
  </w:style>
  <w:style w:type="character" w:customStyle="1" w:styleId="141">
    <w:name w:val="明显引用 Char"/>
    <w:qFormat/>
    <w:uiPriority w:val="99"/>
    <w:rPr>
      <w:b/>
      <w:bCs/>
      <w:i/>
      <w:iCs/>
      <w:color w:val="4F81BD"/>
    </w:rPr>
  </w:style>
  <w:style w:type="character" w:customStyle="1" w:styleId="142">
    <w:name w:val="明显引用 Char1"/>
    <w:basedOn w:val="53"/>
    <w:link w:val="20"/>
    <w:qFormat/>
    <w:uiPriority w:val="99"/>
    <w:rPr>
      <w:b/>
      <w:bCs/>
      <w:i/>
      <w:iCs/>
      <w:color w:val="5B9BD5" w:themeColor="accent1"/>
      <w:kern w:val="2"/>
      <w:sz w:val="21"/>
      <w:szCs w:val="24"/>
    </w:rPr>
  </w:style>
  <w:style w:type="character" w:customStyle="1" w:styleId="143">
    <w:name w:val="font161"/>
    <w:qFormat/>
    <w:uiPriority w:val="0"/>
    <w:rPr>
      <w:b/>
      <w:bCs/>
      <w:sz w:val="32"/>
      <w:szCs w:val="32"/>
    </w:rPr>
  </w:style>
  <w:style w:type="character" w:customStyle="1" w:styleId="144">
    <w:name w:val="明显强调1"/>
    <w:qFormat/>
    <w:uiPriority w:val="99"/>
    <w:rPr>
      <w:b/>
      <w:bCs/>
      <w:i/>
      <w:iCs/>
      <w:color w:val="4F81BD"/>
    </w:rPr>
  </w:style>
  <w:style w:type="character" w:customStyle="1" w:styleId="145">
    <w:name w:val="Title Char"/>
    <w:qFormat/>
    <w:uiPriority w:val="99"/>
    <w:rPr>
      <w:rFonts w:ascii="Cambria" w:hAnsi="Cambria"/>
      <w:b/>
      <w:sz w:val="32"/>
      <w:lang w:bidi="ar-SA"/>
    </w:rPr>
  </w:style>
  <w:style w:type="character" w:customStyle="1" w:styleId="146">
    <w:name w:val="Char Char6"/>
    <w:qFormat/>
    <w:uiPriority w:val="99"/>
    <w:rPr>
      <w:rFonts w:eastAsia="宋体"/>
      <w:b/>
      <w:bCs/>
      <w:kern w:val="44"/>
      <w:sz w:val="32"/>
      <w:szCs w:val="44"/>
      <w:lang w:val="en-US" w:eastAsia="zh-CN" w:bidi="ar-SA"/>
    </w:rPr>
  </w:style>
  <w:style w:type="character" w:customStyle="1" w:styleId="147">
    <w:name w:val="Body Text Indent Char"/>
    <w:qFormat/>
    <w:uiPriority w:val="99"/>
    <w:rPr>
      <w:rFonts w:ascii="宋体" w:hAnsi="宋体" w:eastAsia="宋体"/>
      <w:kern w:val="2"/>
      <w:sz w:val="21"/>
      <w:lang w:val="en-US" w:eastAsia="zh-CN" w:bidi="ar-SA"/>
    </w:rPr>
  </w:style>
  <w:style w:type="character" w:customStyle="1" w:styleId="148">
    <w:name w:val="Char Char19"/>
    <w:qFormat/>
    <w:uiPriority w:val="99"/>
    <w:rPr>
      <w:rFonts w:ascii="Arial" w:hAnsi="Arial" w:eastAsia="宋体" w:cs="Times New Roman"/>
      <w:b/>
      <w:bCs/>
      <w:szCs w:val="28"/>
    </w:rPr>
  </w:style>
  <w:style w:type="character" w:customStyle="1" w:styleId="149">
    <w:name w:val="副标题 Char1"/>
    <w:qFormat/>
    <w:uiPriority w:val="11"/>
    <w:rPr>
      <w:rFonts w:ascii="Cambria" w:hAnsi="Cambria" w:eastAsia="宋体" w:cs="Times New Roman"/>
      <w:b/>
      <w:bCs/>
      <w:kern w:val="28"/>
      <w:sz w:val="32"/>
      <w:szCs w:val="32"/>
    </w:rPr>
  </w:style>
  <w:style w:type="character" w:customStyle="1" w:styleId="150">
    <w:name w:val="明显引用 Char3"/>
    <w:qFormat/>
    <w:uiPriority w:val="30"/>
    <w:rPr>
      <w:rFonts w:ascii="Times New Roman" w:hAnsi="Times New Roman" w:eastAsia="宋体" w:cs="Times New Roman"/>
      <w:b/>
      <w:bCs/>
      <w:i/>
      <w:iCs/>
      <w:color w:val="4F81BD"/>
      <w:szCs w:val="24"/>
    </w:rPr>
  </w:style>
  <w:style w:type="character" w:customStyle="1" w:styleId="151">
    <w:name w:val="书籍标题1"/>
    <w:qFormat/>
    <w:uiPriority w:val="99"/>
    <w:rPr>
      <w:b/>
      <w:bCs/>
      <w:smallCaps/>
      <w:spacing w:val="5"/>
    </w:rPr>
  </w:style>
  <w:style w:type="character" w:customStyle="1" w:styleId="152">
    <w:name w:val="文档结构图 Char2"/>
    <w:qFormat/>
    <w:uiPriority w:val="99"/>
    <w:rPr>
      <w:rFonts w:ascii="宋体"/>
      <w:kern w:val="2"/>
      <w:sz w:val="18"/>
      <w:szCs w:val="18"/>
    </w:rPr>
  </w:style>
  <w:style w:type="character" w:customStyle="1" w:styleId="153">
    <w:name w:val="Heading 5 Char"/>
    <w:qFormat/>
    <w:uiPriority w:val="99"/>
    <w:rPr>
      <w:rFonts w:eastAsia="宋体"/>
      <w:b/>
      <w:bCs/>
      <w:kern w:val="2"/>
      <w:sz w:val="28"/>
      <w:szCs w:val="28"/>
      <w:lang w:val="en-US" w:eastAsia="zh-CN" w:bidi="ar-SA"/>
    </w:rPr>
  </w:style>
  <w:style w:type="character" w:customStyle="1" w:styleId="154">
    <w:name w:val="style2"/>
    <w:basedOn w:val="53"/>
    <w:qFormat/>
    <w:uiPriority w:val="0"/>
  </w:style>
  <w:style w:type="character" w:customStyle="1" w:styleId="155">
    <w:name w:val="脚注文本 Char1"/>
    <w:qFormat/>
    <w:uiPriority w:val="99"/>
    <w:rPr>
      <w:kern w:val="2"/>
      <w:sz w:val="18"/>
      <w:szCs w:val="18"/>
    </w:rPr>
  </w:style>
  <w:style w:type="character" w:customStyle="1" w:styleId="156">
    <w:name w:val="Char Char21"/>
    <w:qFormat/>
    <w:uiPriority w:val="99"/>
    <w:rPr>
      <w:rFonts w:ascii="Arial" w:hAnsi="Arial" w:eastAsia="黑体" w:cs="Times New Roman"/>
      <w:b/>
      <w:bCs/>
      <w:sz w:val="32"/>
      <w:szCs w:val="32"/>
    </w:rPr>
  </w:style>
  <w:style w:type="character" w:customStyle="1" w:styleId="157">
    <w:name w:val="引用 Char"/>
    <w:qFormat/>
    <w:uiPriority w:val="99"/>
    <w:rPr>
      <w:i/>
      <w:iCs/>
      <w:color w:val="000000"/>
    </w:rPr>
  </w:style>
  <w:style w:type="paragraph" w:styleId="158">
    <w:name w:val="Quote"/>
    <w:basedOn w:val="1"/>
    <w:next w:val="1"/>
    <w:link w:val="159"/>
    <w:qFormat/>
    <w:uiPriority w:val="99"/>
    <w:rPr>
      <w:i/>
      <w:iCs/>
      <w:color w:val="000000"/>
      <w:kern w:val="0"/>
      <w:sz w:val="20"/>
      <w:szCs w:val="20"/>
    </w:rPr>
  </w:style>
  <w:style w:type="character" w:customStyle="1" w:styleId="159">
    <w:name w:val="引用 Char1"/>
    <w:basedOn w:val="53"/>
    <w:link w:val="158"/>
    <w:qFormat/>
    <w:uiPriority w:val="99"/>
    <w:rPr>
      <w:i/>
      <w:iCs/>
      <w:color w:val="000000" w:themeColor="text1"/>
      <w:kern w:val="2"/>
      <w:sz w:val="21"/>
      <w:szCs w:val="24"/>
    </w:rPr>
  </w:style>
  <w:style w:type="character" w:customStyle="1" w:styleId="160">
    <w:name w:val="Char Char"/>
    <w:qFormat/>
    <w:uiPriority w:val="0"/>
    <w:rPr>
      <w:rFonts w:ascii="Arial" w:hAnsi="Arial" w:eastAsia="黑体"/>
      <w:b/>
      <w:bCs/>
      <w:kern w:val="2"/>
      <w:sz w:val="32"/>
      <w:szCs w:val="32"/>
      <w:lang w:val="en-US" w:eastAsia="zh-CN" w:bidi="ar-SA"/>
    </w:rPr>
  </w:style>
  <w:style w:type="character" w:customStyle="1" w:styleId="161">
    <w:name w:val="标题 Char1"/>
    <w:qFormat/>
    <w:uiPriority w:val="99"/>
    <w:rPr>
      <w:rFonts w:ascii="Cambria" w:hAnsi="Cambria" w:eastAsia="宋体" w:cs="Times New Roman"/>
      <w:b/>
      <w:bCs/>
      <w:sz w:val="32"/>
      <w:szCs w:val="32"/>
    </w:rPr>
  </w:style>
  <w:style w:type="character" w:customStyle="1" w:styleId="162">
    <w:name w:val="Document Map Char"/>
    <w:qFormat/>
    <w:uiPriority w:val="99"/>
    <w:rPr>
      <w:rFonts w:eastAsia="宋体"/>
      <w:kern w:val="2"/>
      <w:sz w:val="21"/>
      <w:szCs w:val="24"/>
      <w:lang w:val="en-US" w:eastAsia="zh-CN" w:bidi="ar-SA"/>
    </w:rPr>
  </w:style>
  <w:style w:type="character" w:customStyle="1" w:styleId="163">
    <w:name w:val="Char Char9"/>
    <w:qFormat/>
    <w:uiPriority w:val="99"/>
    <w:rPr>
      <w:rFonts w:eastAsia="宋体"/>
      <w:b/>
      <w:bCs/>
      <w:kern w:val="44"/>
      <w:sz w:val="32"/>
      <w:szCs w:val="44"/>
      <w:lang w:val="en-US" w:eastAsia="zh-CN" w:bidi="ar-SA"/>
    </w:rPr>
  </w:style>
  <w:style w:type="character" w:customStyle="1" w:styleId="164">
    <w:name w:val="Char Char20"/>
    <w:qFormat/>
    <w:uiPriority w:val="99"/>
    <w:rPr>
      <w:rFonts w:ascii="Times New Roman" w:hAnsi="Times New Roman" w:eastAsia="宋体" w:cs="Times New Roman"/>
      <w:b/>
      <w:bCs/>
      <w:sz w:val="24"/>
      <w:szCs w:val="32"/>
    </w:rPr>
  </w:style>
  <w:style w:type="character" w:customStyle="1" w:styleId="165">
    <w:name w:val="标题 Char3"/>
    <w:qFormat/>
    <w:uiPriority w:val="10"/>
    <w:rPr>
      <w:rFonts w:ascii="Cambria" w:hAnsi="Cambria" w:cs="Times New Roman"/>
      <w:b/>
      <w:bCs/>
      <w:kern w:val="2"/>
      <w:sz w:val="32"/>
      <w:szCs w:val="32"/>
    </w:rPr>
  </w:style>
  <w:style w:type="character" w:customStyle="1" w:styleId="166">
    <w:name w:val="Char Char18"/>
    <w:qFormat/>
    <w:uiPriority w:val="99"/>
    <w:rPr>
      <w:rFonts w:ascii="Times New Roman" w:hAnsi="Times New Roman" w:eastAsia="宋体" w:cs="Times New Roman"/>
      <w:b/>
      <w:bCs/>
      <w:sz w:val="28"/>
      <w:szCs w:val="28"/>
    </w:rPr>
  </w:style>
  <w:style w:type="character" w:customStyle="1" w:styleId="167">
    <w:name w:val="Char Char2"/>
    <w:qFormat/>
    <w:uiPriority w:val="0"/>
    <w:rPr>
      <w:rFonts w:ascii="宋体" w:hAnsi="Courier New" w:eastAsia="宋体"/>
      <w:color w:val="000000"/>
      <w:kern w:val="2"/>
      <w:sz w:val="21"/>
      <w:lang w:val="en-US" w:eastAsia="zh-CN" w:bidi="ar-SA"/>
    </w:rPr>
  </w:style>
  <w:style w:type="character" w:customStyle="1" w:styleId="168">
    <w:name w:val="Footer Char"/>
    <w:qFormat/>
    <w:uiPriority w:val="99"/>
    <w:rPr>
      <w:rFonts w:eastAsia="宋体"/>
      <w:kern w:val="2"/>
      <w:sz w:val="18"/>
      <w:szCs w:val="18"/>
      <w:lang w:val="en-US" w:eastAsia="zh-CN" w:bidi="ar-SA"/>
    </w:rPr>
  </w:style>
  <w:style w:type="character" w:customStyle="1" w:styleId="169">
    <w:name w:val="标题4 Char Char"/>
    <w:link w:val="170"/>
    <w:qFormat/>
    <w:uiPriority w:val="99"/>
    <w:rPr>
      <w:rFonts w:ascii="Arial" w:hAnsi="Arial"/>
      <w:b/>
      <w:bCs/>
      <w:sz w:val="24"/>
      <w:szCs w:val="32"/>
    </w:rPr>
  </w:style>
  <w:style w:type="paragraph" w:customStyle="1" w:styleId="170">
    <w:name w:val="标题4"/>
    <w:basedOn w:val="3"/>
    <w:next w:val="23"/>
    <w:link w:val="169"/>
    <w:qFormat/>
    <w:uiPriority w:val="99"/>
    <w:pPr>
      <w:spacing w:before="60" w:after="60"/>
      <w:jc w:val="both"/>
    </w:pPr>
    <w:rPr>
      <w:rFonts w:eastAsia="宋体"/>
      <w:bCs/>
      <w:kern w:val="0"/>
      <w:sz w:val="24"/>
      <w:szCs w:val="32"/>
    </w:rPr>
  </w:style>
  <w:style w:type="character" w:customStyle="1" w:styleId="171">
    <w:name w:val="textcontents"/>
    <w:qFormat/>
    <w:uiPriority w:val="99"/>
    <w:rPr>
      <w:rFonts w:cs="Times New Roman"/>
    </w:rPr>
  </w:style>
  <w:style w:type="character" w:customStyle="1" w:styleId="172">
    <w:name w:val="书籍标题2"/>
    <w:qFormat/>
    <w:uiPriority w:val="0"/>
    <w:rPr>
      <w:b/>
      <w:bCs/>
      <w:smallCaps/>
      <w:spacing w:val="5"/>
    </w:rPr>
  </w:style>
  <w:style w:type="character" w:customStyle="1" w:styleId="173">
    <w:name w:val="Char Char241"/>
    <w:qFormat/>
    <w:uiPriority w:val="0"/>
    <w:rPr>
      <w:rFonts w:eastAsia="宋体"/>
      <w:b/>
      <w:bCs/>
      <w:kern w:val="44"/>
      <w:sz w:val="32"/>
      <w:szCs w:val="44"/>
      <w:lang w:val="en-US" w:eastAsia="zh-CN" w:bidi="ar-SA"/>
    </w:rPr>
  </w:style>
  <w:style w:type="character" w:customStyle="1" w:styleId="174">
    <w:name w:val="Heading 1 Char"/>
    <w:qFormat/>
    <w:uiPriority w:val="99"/>
    <w:rPr>
      <w:rFonts w:eastAsia="宋体"/>
      <w:b/>
      <w:bCs/>
      <w:kern w:val="44"/>
      <w:sz w:val="32"/>
      <w:szCs w:val="44"/>
      <w:lang w:val="en-US" w:eastAsia="zh-CN" w:bidi="ar-SA"/>
    </w:rPr>
  </w:style>
  <w:style w:type="character" w:customStyle="1" w:styleId="175">
    <w:name w:val="批注主题 Char1"/>
    <w:qFormat/>
    <w:uiPriority w:val="99"/>
    <w:rPr>
      <w:rFonts w:ascii="Times New Roman" w:hAnsi="Times New Roman" w:eastAsia="宋体" w:cs="Times New Roman"/>
      <w:b/>
      <w:bCs/>
      <w:szCs w:val="24"/>
    </w:rPr>
  </w:style>
  <w:style w:type="character" w:customStyle="1" w:styleId="176">
    <w:name w:val="Date Char"/>
    <w:qFormat/>
    <w:uiPriority w:val="99"/>
    <w:rPr>
      <w:rFonts w:eastAsia="宋体"/>
      <w:kern w:val="2"/>
      <w:sz w:val="21"/>
      <w:szCs w:val="24"/>
      <w:lang w:val="en-US" w:eastAsia="zh-CN" w:bidi="ar-SA"/>
    </w:rPr>
  </w:style>
  <w:style w:type="character" w:customStyle="1" w:styleId="177">
    <w:name w:val="中等深浅网格 2 - 强调文字颜色 2 Char"/>
    <w:link w:val="178"/>
    <w:qFormat/>
    <w:uiPriority w:val="0"/>
    <w:rPr>
      <w:i/>
      <w:iCs/>
      <w:color w:val="000000"/>
    </w:rPr>
  </w:style>
  <w:style w:type="paragraph" w:customStyle="1" w:styleId="178">
    <w:name w:val="中等深浅网格 2 - 强调文字颜色 21"/>
    <w:basedOn w:val="1"/>
    <w:next w:val="1"/>
    <w:link w:val="177"/>
    <w:qFormat/>
    <w:uiPriority w:val="0"/>
    <w:rPr>
      <w:i/>
      <w:iCs/>
      <w:color w:val="000000"/>
      <w:kern w:val="0"/>
      <w:sz w:val="20"/>
      <w:szCs w:val="20"/>
    </w:rPr>
  </w:style>
  <w:style w:type="character" w:customStyle="1" w:styleId="179">
    <w:name w:val="纯文本 Char2"/>
    <w:qFormat/>
    <w:uiPriority w:val="0"/>
    <w:rPr>
      <w:rFonts w:ascii="宋体" w:hAnsi="Courier New" w:eastAsia="宋体"/>
      <w:kern w:val="2"/>
      <w:sz w:val="21"/>
      <w:szCs w:val="24"/>
      <w:lang w:val="en-US" w:eastAsia="zh-CN" w:bidi="ar-SA"/>
    </w:rPr>
  </w:style>
  <w:style w:type="character" w:customStyle="1" w:styleId="180">
    <w:name w:val="标题 Char2"/>
    <w:qFormat/>
    <w:uiPriority w:val="99"/>
    <w:rPr>
      <w:rFonts w:ascii="Cambria" w:hAnsi="Cambria" w:eastAsia="宋体" w:cs="Times New Roman"/>
      <w:b/>
      <w:bCs/>
      <w:sz w:val="32"/>
      <w:szCs w:val="32"/>
    </w:rPr>
  </w:style>
  <w:style w:type="character" w:customStyle="1" w:styleId="181">
    <w:name w:val="普通文字 Char Char1"/>
    <w:qFormat/>
    <w:uiPriority w:val="0"/>
    <w:rPr>
      <w:rFonts w:ascii="宋体" w:hAnsi="Courier New" w:eastAsia="宋体"/>
      <w:kern w:val="2"/>
      <w:sz w:val="21"/>
      <w:lang w:val="en-US" w:eastAsia="zh-CN" w:bidi="ar-SA"/>
    </w:rPr>
  </w:style>
  <w:style w:type="character" w:customStyle="1" w:styleId="182">
    <w:name w:val="正文文本 Char2"/>
    <w:qFormat/>
    <w:uiPriority w:val="99"/>
    <w:rPr>
      <w:kern w:val="2"/>
      <w:sz w:val="21"/>
      <w:szCs w:val="24"/>
    </w:rPr>
  </w:style>
  <w:style w:type="character" w:customStyle="1" w:styleId="183">
    <w:name w:val="Heading 3 Char1"/>
    <w:qFormat/>
    <w:uiPriority w:val="99"/>
    <w:rPr>
      <w:rFonts w:eastAsia="宋体"/>
      <w:b/>
      <w:bCs/>
      <w:kern w:val="2"/>
      <w:sz w:val="24"/>
      <w:szCs w:val="32"/>
      <w:lang w:val="en-US" w:eastAsia="zh-CN" w:bidi="ar-SA"/>
    </w:rPr>
  </w:style>
  <w:style w:type="character" w:customStyle="1" w:styleId="184">
    <w:name w:val="批注文字 Char2"/>
    <w:qFormat/>
    <w:uiPriority w:val="0"/>
    <w:rPr>
      <w:kern w:val="2"/>
      <w:sz w:val="21"/>
      <w:szCs w:val="24"/>
      <w:lang w:bidi="ar-SA"/>
    </w:rPr>
  </w:style>
  <w:style w:type="character" w:customStyle="1" w:styleId="185">
    <w:name w:val="Char Char181"/>
    <w:qFormat/>
    <w:uiPriority w:val="99"/>
    <w:rPr>
      <w:b/>
      <w:bCs/>
      <w:kern w:val="44"/>
      <w:sz w:val="44"/>
      <w:szCs w:val="44"/>
    </w:rPr>
  </w:style>
  <w:style w:type="character" w:customStyle="1" w:styleId="186">
    <w:name w:val="明显引用 Char2"/>
    <w:qFormat/>
    <w:uiPriority w:val="30"/>
    <w:rPr>
      <w:b/>
      <w:bCs/>
      <w:i/>
      <w:iCs/>
      <w:color w:val="4F81BD"/>
      <w:kern w:val="2"/>
      <w:sz w:val="21"/>
      <w:szCs w:val="24"/>
    </w:rPr>
  </w:style>
  <w:style w:type="character" w:customStyle="1" w:styleId="187">
    <w:name w:val="Blockquote Char"/>
    <w:link w:val="188"/>
    <w:qFormat/>
    <w:uiPriority w:val="0"/>
    <w:rPr>
      <w:sz w:val="24"/>
    </w:rPr>
  </w:style>
  <w:style w:type="paragraph" w:customStyle="1" w:styleId="188">
    <w:name w:val="Blockquote"/>
    <w:basedOn w:val="1"/>
    <w:link w:val="187"/>
    <w:qFormat/>
    <w:uiPriority w:val="0"/>
    <w:pPr>
      <w:autoSpaceDE w:val="0"/>
      <w:autoSpaceDN w:val="0"/>
      <w:adjustRightInd w:val="0"/>
      <w:spacing w:before="100" w:after="100" w:line="480" w:lineRule="exact"/>
      <w:ind w:left="360" w:right="360"/>
      <w:jc w:val="left"/>
    </w:pPr>
    <w:rPr>
      <w:kern w:val="0"/>
      <w:sz w:val="24"/>
      <w:szCs w:val="20"/>
    </w:rPr>
  </w:style>
  <w:style w:type="character" w:customStyle="1" w:styleId="189">
    <w:name w:val="Heading 4 Char"/>
    <w:qFormat/>
    <w:uiPriority w:val="99"/>
    <w:rPr>
      <w:rFonts w:ascii="Arial" w:hAnsi="Arial" w:eastAsia="宋体"/>
      <w:b/>
      <w:bCs/>
      <w:kern w:val="2"/>
      <w:sz w:val="21"/>
      <w:szCs w:val="28"/>
      <w:lang w:val="en-US" w:eastAsia="zh-CN" w:bidi="ar-SA"/>
    </w:rPr>
  </w:style>
  <w:style w:type="character" w:customStyle="1" w:styleId="190">
    <w:name w:val="Plain Text Char"/>
    <w:qFormat/>
    <w:uiPriority w:val="99"/>
    <w:rPr>
      <w:rFonts w:ascii="宋体" w:hAnsi="Courier New" w:eastAsia="宋体"/>
      <w:sz w:val="24"/>
      <w:lang w:bidi="ar-SA"/>
    </w:rPr>
  </w:style>
  <w:style w:type="character" w:customStyle="1" w:styleId="191">
    <w:name w:val="明显参考1"/>
    <w:qFormat/>
    <w:uiPriority w:val="99"/>
    <w:rPr>
      <w:b/>
      <w:bCs/>
      <w:smallCaps/>
      <w:color w:val="C0504D"/>
      <w:spacing w:val="5"/>
      <w:u w:val="single"/>
    </w:rPr>
  </w:style>
  <w:style w:type="character" w:customStyle="1" w:styleId="192">
    <w:name w:val="Char Char23"/>
    <w:qFormat/>
    <w:uiPriority w:val="99"/>
    <w:rPr>
      <w:rFonts w:eastAsia="宋体"/>
      <w:b/>
      <w:bCs/>
      <w:kern w:val="44"/>
      <w:sz w:val="32"/>
      <w:szCs w:val="44"/>
      <w:lang w:val="en-US" w:eastAsia="zh-CN" w:bidi="ar-SA"/>
    </w:rPr>
  </w:style>
  <w:style w:type="character" w:customStyle="1" w:styleId="193">
    <w:name w:val="日期 Char1"/>
    <w:qFormat/>
    <w:uiPriority w:val="99"/>
    <w:rPr>
      <w:rFonts w:ascii="Times New Roman" w:hAnsi="Times New Roman" w:eastAsia="宋体" w:cs="Times New Roman"/>
      <w:szCs w:val="24"/>
    </w:rPr>
  </w:style>
  <w:style w:type="character" w:customStyle="1" w:styleId="194">
    <w:name w:val="Comment Subject Char"/>
    <w:qFormat/>
    <w:uiPriority w:val="99"/>
    <w:rPr>
      <w:b/>
      <w:sz w:val="24"/>
      <w:lang w:bidi="ar-SA"/>
    </w:rPr>
  </w:style>
  <w:style w:type="character" w:customStyle="1" w:styleId="195">
    <w:name w:val="Comment Text Char1"/>
    <w:qFormat/>
    <w:uiPriority w:val="99"/>
    <w:rPr>
      <w:sz w:val="24"/>
      <w:lang w:bidi="ar-SA"/>
    </w:rPr>
  </w:style>
  <w:style w:type="character" w:customStyle="1" w:styleId="196">
    <w:name w:val="正文文本 Char1"/>
    <w:qFormat/>
    <w:uiPriority w:val="99"/>
    <w:rPr>
      <w:kern w:val="2"/>
      <w:sz w:val="21"/>
      <w:szCs w:val="22"/>
    </w:rPr>
  </w:style>
  <w:style w:type="character" w:customStyle="1" w:styleId="197">
    <w:name w:val="批注框文本 Char2"/>
    <w:qFormat/>
    <w:uiPriority w:val="99"/>
    <w:rPr>
      <w:kern w:val="2"/>
      <w:sz w:val="18"/>
      <w:szCs w:val="18"/>
    </w:rPr>
  </w:style>
  <w:style w:type="character" w:customStyle="1" w:styleId="198">
    <w:name w:val="批注主题 Char2"/>
    <w:qFormat/>
    <w:uiPriority w:val="99"/>
    <w:rPr>
      <w:b/>
      <w:bCs/>
      <w:kern w:val="2"/>
      <w:sz w:val="21"/>
      <w:szCs w:val="24"/>
    </w:rPr>
  </w:style>
  <w:style w:type="character" w:customStyle="1" w:styleId="199">
    <w:name w:val="批注框文本 Char1"/>
    <w:qFormat/>
    <w:uiPriority w:val="99"/>
    <w:rPr>
      <w:rFonts w:ascii="Times New Roman" w:hAnsi="Times New Roman" w:eastAsia="宋体" w:cs="Times New Roman"/>
      <w:sz w:val="18"/>
      <w:szCs w:val="18"/>
    </w:rPr>
  </w:style>
  <w:style w:type="character" w:customStyle="1" w:styleId="200">
    <w:name w:val="Body Text Indent 2 Char"/>
    <w:qFormat/>
    <w:uiPriority w:val="99"/>
    <w:rPr>
      <w:rFonts w:eastAsia="宋体"/>
      <w:kern w:val="2"/>
      <w:sz w:val="21"/>
      <w:szCs w:val="24"/>
      <w:lang w:val="en-US" w:eastAsia="zh-CN" w:bidi="ar-SA"/>
    </w:rPr>
  </w:style>
  <w:style w:type="character" w:customStyle="1" w:styleId="201">
    <w:name w:val="Char Char17"/>
    <w:qFormat/>
    <w:uiPriority w:val="0"/>
    <w:rPr>
      <w:rFonts w:ascii="Arial" w:hAnsi="Arial" w:eastAsia="黑体"/>
      <w:b/>
      <w:bCs/>
      <w:kern w:val="2"/>
      <w:sz w:val="32"/>
      <w:szCs w:val="32"/>
      <w:lang w:val="en-US" w:eastAsia="zh-CN" w:bidi="ar-SA"/>
    </w:rPr>
  </w:style>
  <w:style w:type="character" w:customStyle="1" w:styleId="202">
    <w:name w:val="Footnote Text Char"/>
    <w:qFormat/>
    <w:uiPriority w:val="99"/>
    <w:rPr>
      <w:rFonts w:eastAsia="宋体"/>
      <w:sz w:val="18"/>
      <w:lang w:val="en-US" w:eastAsia="zh-CN" w:bidi="ar-SA"/>
    </w:rPr>
  </w:style>
  <w:style w:type="character" w:customStyle="1" w:styleId="203">
    <w:name w:val="Heading 2 Char"/>
    <w:qFormat/>
    <w:uiPriority w:val="99"/>
    <w:rPr>
      <w:rFonts w:ascii="Arial" w:hAnsi="Arial" w:eastAsia="黑体"/>
      <w:b/>
      <w:bCs/>
      <w:kern w:val="2"/>
      <w:sz w:val="32"/>
      <w:szCs w:val="32"/>
      <w:lang w:val="en-US" w:eastAsia="zh-CN" w:bidi="ar-SA"/>
    </w:rPr>
  </w:style>
  <w:style w:type="character" w:customStyle="1" w:styleId="204">
    <w:name w:val="明显强调2"/>
    <w:qFormat/>
    <w:uiPriority w:val="0"/>
    <w:rPr>
      <w:b/>
      <w:bCs/>
      <w:i/>
      <w:iCs/>
      <w:color w:val="4F81BD"/>
    </w:rPr>
  </w:style>
  <w:style w:type="paragraph" w:customStyle="1" w:styleId="205">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6">
    <w:name w:val="表格文字"/>
    <w:basedOn w:val="1"/>
    <w:qFormat/>
    <w:uiPriority w:val="0"/>
    <w:pPr>
      <w:adjustRightInd w:val="0"/>
      <w:spacing w:line="420" w:lineRule="atLeast"/>
      <w:jc w:val="left"/>
      <w:textAlignment w:val="baseline"/>
    </w:pPr>
    <w:rPr>
      <w:kern w:val="0"/>
      <w:szCs w:val="20"/>
    </w:rPr>
  </w:style>
  <w:style w:type="paragraph" w:customStyle="1" w:styleId="20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样式1"/>
    <w:basedOn w:val="1"/>
    <w:next w:val="5"/>
    <w:qFormat/>
    <w:uiPriority w:val="99"/>
    <w:pPr>
      <w:spacing w:line="360" w:lineRule="auto"/>
      <w:ind w:firstLine="420" w:firstLineChars="200"/>
    </w:pPr>
    <w:rPr>
      <w:rFonts w:ascii="宋体" w:hAnsi="宋体"/>
      <w:szCs w:val="21"/>
    </w:rPr>
  </w:style>
  <w:style w:type="paragraph" w:customStyle="1" w:styleId="210">
    <w:name w:val="2"/>
    <w:basedOn w:val="1"/>
    <w:next w:val="26"/>
    <w:qFormat/>
    <w:uiPriority w:val="0"/>
    <w:rPr>
      <w:rFonts w:ascii="宋体" w:hAnsi="Courier New"/>
      <w:szCs w:val="20"/>
    </w:rPr>
  </w:style>
  <w:style w:type="paragraph" w:customStyle="1" w:styleId="211">
    <w:name w:val="中等深浅网格 3 - 强调文字颜色 22"/>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212">
    <w:name w:val="Default Paragraph Font Para Char Char Char Char Char Char"/>
    <w:basedOn w:val="1"/>
    <w:qFormat/>
    <w:uiPriority w:val="0"/>
    <w:pPr>
      <w:widowControl/>
      <w:spacing w:after="160" w:line="240" w:lineRule="exact"/>
      <w:jc w:val="left"/>
    </w:pPr>
  </w:style>
  <w:style w:type="paragraph" w:customStyle="1" w:styleId="213">
    <w:name w:val="样式 标题 2 + Times New Roman 四号 非加粗 段前: 5 磅 段后: 0 磅 行距: 固定值 20..."/>
    <w:basedOn w:val="3"/>
    <w:qFormat/>
    <w:uiPriority w:val="99"/>
    <w:pPr>
      <w:spacing w:before="100" w:after="0" w:line="400" w:lineRule="exact"/>
      <w:jc w:val="both"/>
    </w:pPr>
    <w:rPr>
      <w:rFonts w:ascii="Times New Roman" w:hAnsi="Times New Roman" w:cs="宋体"/>
      <w:b w:val="0"/>
      <w:kern w:val="0"/>
      <w:sz w:val="28"/>
    </w:rPr>
  </w:style>
  <w:style w:type="paragraph" w:customStyle="1" w:styleId="214">
    <w:name w:val="Char Char1"/>
    <w:basedOn w:val="1"/>
    <w:qFormat/>
    <w:uiPriority w:val="0"/>
    <w:rPr>
      <w:rFonts w:ascii="仿宋_GB2312" w:hAnsi="Courier New" w:eastAsia="仿宋_GB2312"/>
      <w:b/>
      <w:sz w:val="32"/>
      <w:szCs w:val="32"/>
    </w:rPr>
  </w:style>
  <w:style w:type="paragraph" w:customStyle="1" w:styleId="215">
    <w:name w:val="Char3 Char Char Char1 Char Char Char Char Char Char"/>
    <w:basedOn w:val="1"/>
    <w:qFormat/>
    <w:uiPriority w:val="0"/>
    <w:rPr>
      <w:szCs w:val="20"/>
    </w:rPr>
  </w:style>
  <w:style w:type="paragraph" w:customStyle="1" w:styleId="216">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styleId="217">
    <w:name w:val="List Paragraph"/>
    <w:basedOn w:val="1"/>
    <w:qFormat/>
    <w:uiPriority w:val="34"/>
    <w:pPr>
      <w:ind w:firstLine="420" w:firstLineChars="200"/>
    </w:pPr>
    <w:rPr>
      <w:rFonts w:ascii="Calibri" w:hAnsi="Calibri"/>
      <w:szCs w:val="22"/>
    </w:rPr>
  </w:style>
  <w:style w:type="paragraph" w:customStyle="1" w:styleId="218">
    <w:name w:val="TOC 标题1"/>
    <w:basedOn w:val="2"/>
    <w:next w:val="1"/>
    <w:qFormat/>
    <w:uiPriority w:val="99"/>
    <w:pPr>
      <w:spacing w:before="100" w:after="100" w:line="576" w:lineRule="auto"/>
      <w:jc w:val="center"/>
      <w:outlineLvl w:val="9"/>
    </w:pPr>
    <w:rPr>
      <w:rFonts w:ascii="Calibri" w:hAnsi="Calibri" w:eastAsia="黑体"/>
      <w:sz w:val="36"/>
    </w:rPr>
  </w:style>
  <w:style w:type="paragraph" w:customStyle="1" w:styleId="219">
    <w:name w:val="Char1"/>
    <w:basedOn w:val="1"/>
    <w:qFormat/>
    <w:uiPriority w:val="99"/>
    <w:pPr>
      <w:widowControl/>
      <w:spacing w:after="160" w:line="240" w:lineRule="exact"/>
      <w:jc w:val="left"/>
    </w:pPr>
  </w:style>
  <w:style w:type="paragraph" w:customStyle="1" w:styleId="220">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1"/>
      <w:szCs w:val="20"/>
    </w:rPr>
  </w:style>
  <w:style w:type="paragraph" w:customStyle="1" w:styleId="221">
    <w:name w:val="xl3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222">
    <w:name w:val="中等深浅网格 1 - 强调文字颜色 22"/>
    <w:basedOn w:val="1"/>
    <w:qFormat/>
    <w:uiPriority w:val="0"/>
    <w:pPr>
      <w:ind w:firstLine="420" w:firstLineChars="200"/>
    </w:pPr>
    <w:rPr>
      <w:rFonts w:ascii="Calibri" w:hAnsi="Calibri"/>
      <w:szCs w:val="22"/>
    </w:rPr>
  </w:style>
  <w:style w:type="paragraph" w:customStyle="1" w:styleId="22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24">
    <w:name w:val="Char Char Char"/>
    <w:basedOn w:val="1"/>
    <w:qFormat/>
    <w:uiPriority w:val="0"/>
    <w:rPr>
      <w:rFonts w:ascii="Tahoma" w:hAnsi="Tahoma"/>
      <w:sz w:val="24"/>
      <w:szCs w:val="20"/>
    </w:rPr>
  </w:style>
  <w:style w:type="paragraph" w:customStyle="1" w:styleId="225">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szCs w:val="20"/>
    </w:rPr>
  </w:style>
  <w:style w:type="paragraph" w:customStyle="1" w:styleId="226">
    <w:name w:val="合同正文"/>
    <w:basedOn w:val="1"/>
    <w:qFormat/>
    <w:uiPriority w:val="0"/>
    <w:pPr>
      <w:adjustRightInd w:val="0"/>
      <w:spacing w:line="580" w:lineRule="exact"/>
    </w:pPr>
    <w:rPr>
      <w:rFonts w:ascii="仿宋_GB2312" w:eastAsia="仿宋_GB2312"/>
      <w:b/>
      <w:sz w:val="24"/>
      <w:szCs w:val="20"/>
    </w:rPr>
  </w:style>
  <w:style w:type="paragraph" w:customStyle="1" w:styleId="22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29">
    <w:name w:val="修订1"/>
    <w:qFormat/>
    <w:uiPriority w:val="99"/>
    <w:rPr>
      <w:rFonts w:ascii="Times New Roman" w:hAnsi="Times New Roman" w:eastAsia="宋体" w:cs="Times New Roman"/>
      <w:kern w:val="2"/>
      <w:sz w:val="21"/>
      <w:szCs w:val="24"/>
      <w:lang w:val="en-US" w:eastAsia="zh-CN" w:bidi="ar-SA"/>
    </w:rPr>
  </w:style>
  <w:style w:type="paragraph" w:customStyle="1" w:styleId="230">
    <w:name w:val="列出段落2"/>
    <w:basedOn w:val="1"/>
    <w:qFormat/>
    <w:uiPriority w:val="99"/>
    <w:pPr>
      <w:ind w:firstLine="420" w:firstLineChars="200"/>
    </w:pPr>
  </w:style>
  <w:style w:type="paragraph" w:customStyle="1" w:styleId="231">
    <w:name w:val="Char"/>
    <w:basedOn w:val="1"/>
    <w:qFormat/>
    <w:uiPriority w:val="99"/>
    <w:rPr>
      <w:rFonts w:ascii="Tahoma" w:hAnsi="Tahoma"/>
      <w:sz w:val="24"/>
      <w:szCs w:val="20"/>
    </w:rPr>
  </w:style>
  <w:style w:type="paragraph" w:customStyle="1" w:styleId="232">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233">
    <w:name w:val="2-2ji"/>
    <w:basedOn w:val="3"/>
    <w:qFormat/>
    <w:uiPriority w:val="99"/>
    <w:pPr>
      <w:spacing w:before="0" w:after="0" w:line="360" w:lineRule="auto"/>
    </w:pPr>
    <w:rPr>
      <w:rFonts w:ascii="宋体" w:hAnsi="宋体" w:eastAsia="宋体"/>
      <w:bCs/>
      <w:sz w:val="36"/>
      <w:szCs w:val="24"/>
    </w:rPr>
  </w:style>
  <w:style w:type="paragraph" w:customStyle="1" w:styleId="234">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35">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中等深浅网格 2 - 强调文字颜色 22"/>
    <w:basedOn w:val="1"/>
    <w:next w:val="1"/>
    <w:qFormat/>
    <w:uiPriority w:val="0"/>
    <w:rPr>
      <w:i/>
      <w:iCs/>
      <w:color w:val="000000"/>
      <w:kern w:val="0"/>
      <w:sz w:val="20"/>
      <w:szCs w:val="20"/>
    </w:rPr>
  </w:style>
  <w:style w:type="paragraph" w:customStyle="1" w:styleId="237">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8">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39">
    <w:name w:val="Char2"/>
    <w:basedOn w:val="1"/>
    <w:qFormat/>
    <w:uiPriority w:val="99"/>
    <w:rPr>
      <w:rFonts w:ascii="Tahoma" w:hAnsi="Tahoma"/>
      <w:sz w:val="24"/>
      <w:szCs w:val="20"/>
    </w:rPr>
  </w:style>
  <w:style w:type="paragraph" w:customStyle="1" w:styleId="240">
    <w:name w:val="表格"/>
    <w:basedOn w:val="1"/>
    <w:qFormat/>
    <w:uiPriority w:val="0"/>
    <w:pPr>
      <w:jc w:val="center"/>
      <w:textAlignment w:val="center"/>
    </w:pPr>
    <w:rPr>
      <w:rFonts w:ascii="华文细黑" w:hAnsi="华文细黑"/>
      <w:kern w:val="0"/>
      <w:szCs w:val="20"/>
    </w:rPr>
  </w:style>
  <w:style w:type="paragraph" w:customStyle="1" w:styleId="24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4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Courier New"/>
      <w:szCs w:val="20"/>
    </w:rPr>
  </w:style>
  <w:style w:type="paragraph" w:customStyle="1" w:styleId="243">
    <w:name w:val="5 Char Char Char Char Char Char Char Char Char Char"/>
    <w:basedOn w:val="1"/>
    <w:qFormat/>
    <w:uiPriority w:val="0"/>
  </w:style>
  <w:style w:type="paragraph" w:customStyle="1" w:styleId="244">
    <w:name w:val="列出段落21"/>
    <w:basedOn w:val="1"/>
    <w:qFormat/>
    <w:uiPriority w:val="99"/>
    <w:pPr>
      <w:ind w:firstLine="420" w:firstLineChars="200"/>
    </w:pPr>
  </w:style>
  <w:style w:type="paragraph" w:customStyle="1" w:styleId="245">
    <w:name w:val="_Style 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xl24"/>
    <w:basedOn w:val="1"/>
    <w:qFormat/>
    <w:uiPriority w:val="0"/>
    <w:pPr>
      <w:widowControl/>
      <w:spacing w:before="100" w:beforeAutospacing="1" w:after="100" w:afterAutospacing="1"/>
      <w:jc w:val="left"/>
    </w:pPr>
    <w:rPr>
      <w:rFonts w:ascii="宋体" w:hAnsi="宋体"/>
      <w:kern w:val="0"/>
      <w:sz w:val="22"/>
      <w:szCs w:val="22"/>
    </w:rPr>
  </w:style>
  <w:style w:type="paragraph" w:customStyle="1" w:styleId="247">
    <w:name w:val="p0"/>
    <w:basedOn w:val="1"/>
    <w:qFormat/>
    <w:uiPriority w:val="99"/>
    <w:pPr>
      <w:widowControl/>
    </w:pPr>
    <w:rPr>
      <w:kern w:val="0"/>
      <w:szCs w:val="21"/>
    </w:rPr>
  </w:style>
  <w:style w:type="paragraph" w:customStyle="1" w:styleId="248">
    <w:name w:val="_Style 37"/>
    <w:basedOn w:val="1"/>
    <w:next w:val="1"/>
    <w:qFormat/>
    <w:uiPriority w:val="99"/>
  </w:style>
  <w:style w:type="paragraph" w:customStyle="1" w:styleId="249">
    <w:name w:val="Char Char Char Char Char Char Char"/>
    <w:basedOn w:val="1"/>
    <w:qFormat/>
    <w:uiPriority w:val="99"/>
    <w:pPr>
      <w:widowControl/>
      <w:spacing w:after="160" w:line="240" w:lineRule="exact"/>
      <w:jc w:val="left"/>
    </w:pPr>
  </w:style>
  <w:style w:type="paragraph" w:customStyle="1" w:styleId="250">
    <w:name w:val="中等深浅列表 2 - 强调文字颜色 22"/>
    <w:qFormat/>
    <w:uiPriority w:val="0"/>
    <w:rPr>
      <w:rFonts w:ascii="Times New Roman" w:hAnsi="Times New Roman" w:eastAsia="宋体" w:cs="Times New Roman"/>
      <w:kern w:val="2"/>
      <w:sz w:val="21"/>
      <w:szCs w:val="24"/>
      <w:lang w:val="en-US" w:eastAsia="zh-CN" w:bidi="ar-SA"/>
    </w:rPr>
  </w:style>
  <w:style w:type="paragraph" w:customStyle="1" w:styleId="251">
    <w:name w:val="样式 Blockquote + 宋体 (西文)五号 段后: 0.04 厘米 段前: 1 磅 段后: 1 磅 行距: 多...1"/>
    <w:basedOn w:val="188"/>
    <w:qFormat/>
    <w:uiPriority w:val="0"/>
    <w:pPr>
      <w:spacing w:before="20" w:after="20" w:line="300" w:lineRule="auto"/>
      <w:ind w:left="250" w:leftChars="104" w:right="23" w:firstLine="420" w:firstLineChars="200"/>
    </w:pPr>
    <w:rPr>
      <w:rFonts w:ascii="宋体" w:hAnsi="宋体" w:eastAsia="仿宋_GB2312"/>
      <w:sz w:val="21"/>
    </w:rPr>
  </w:style>
  <w:style w:type="paragraph" w:customStyle="1" w:styleId="252">
    <w:name w:val="3"/>
    <w:basedOn w:val="1"/>
    <w:next w:val="26"/>
    <w:qFormat/>
    <w:uiPriority w:val="0"/>
    <w:rPr>
      <w:rFonts w:ascii="宋体" w:hAnsi="Courier New"/>
      <w:szCs w:val="20"/>
    </w:rPr>
  </w:style>
  <w:style w:type="paragraph" w:customStyle="1" w:styleId="253">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54">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255">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Char Char Char Char1"/>
    <w:basedOn w:val="15"/>
    <w:qFormat/>
    <w:uiPriority w:val="0"/>
    <w:pPr>
      <w:adjustRightInd w:val="0"/>
      <w:snapToGrid w:val="0"/>
      <w:spacing w:line="360" w:lineRule="auto"/>
    </w:pPr>
    <w:rPr>
      <w:rFonts w:ascii="Tahoma" w:hAnsi="Tahoma"/>
      <w:sz w:val="24"/>
      <w:szCs w:val="22"/>
      <w:shd w:val="clear" w:color="auto" w:fill="auto"/>
    </w:rPr>
  </w:style>
  <w:style w:type="paragraph" w:customStyle="1" w:styleId="257">
    <w:name w:val="中等深浅网格 1 - 强调文字颜色 21"/>
    <w:basedOn w:val="1"/>
    <w:qFormat/>
    <w:uiPriority w:val="0"/>
    <w:pPr>
      <w:ind w:firstLine="420" w:firstLineChars="200"/>
    </w:pPr>
    <w:rPr>
      <w:rFonts w:ascii="Calibri" w:hAnsi="Calibri"/>
      <w:szCs w:val="22"/>
    </w:rPr>
  </w:style>
  <w:style w:type="paragraph" w:customStyle="1" w:styleId="258">
    <w:name w:val="Char3"/>
    <w:basedOn w:val="1"/>
    <w:qFormat/>
    <w:uiPriority w:val="0"/>
    <w:pPr>
      <w:widowControl/>
      <w:spacing w:after="160" w:line="240" w:lineRule="exact"/>
      <w:jc w:val="left"/>
    </w:pPr>
    <w:rPr>
      <w:rFonts w:ascii="Calibri" w:hAnsi="Calibri"/>
      <w:szCs w:val="22"/>
    </w:rPr>
  </w:style>
  <w:style w:type="paragraph" w:customStyle="1" w:styleId="259">
    <w:name w:val="标题6"/>
    <w:basedOn w:val="1"/>
    <w:link w:val="260"/>
    <w:qFormat/>
    <w:uiPriority w:val="0"/>
    <w:pPr>
      <w:keepNext/>
      <w:keepLines/>
      <w:spacing w:line="400" w:lineRule="exact"/>
      <w:jc w:val="center"/>
      <w:outlineLvl w:val="2"/>
    </w:pPr>
    <w:rPr>
      <w:rFonts w:ascii="宋体" w:hAnsi="宋体" w:eastAsia="黑体" w:cs="宋体"/>
      <w:sz w:val="32"/>
      <w:szCs w:val="32"/>
    </w:rPr>
  </w:style>
  <w:style w:type="character" w:customStyle="1" w:styleId="260">
    <w:name w:val="标题6 Char"/>
    <w:link w:val="259"/>
    <w:qFormat/>
    <w:uiPriority w:val="0"/>
    <w:rPr>
      <w:rFonts w:ascii="宋体" w:hAnsi="宋体" w:eastAsia="黑体" w:cs="宋体"/>
      <w:kern w:val="2"/>
      <w:sz w:val="32"/>
      <w:szCs w:val="32"/>
    </w:rPr>
  </w:style>
  <w:style w:type="character" w:customStyle="1" w:styleId="261">
    <w:name w:val="日期 Char2"/>
    <w:semiHidden/>
    <w:qFormat/>
    <w:uiPriority w:val="99"/>
    <w:rPr>
      <w:kern w:val="2"/>
      <w:sz w:val="21"/>
      <w:szCs w:val="24"/>
    </w:rPr>
  </w:style>
  <w:style w:type="character" w:customStyle="1" w:styleId="262">
    <w:name w:val="页脚 Char1"/>
    <w:semiHidden/>
    <w:qFormat/>
    <w:uiPriority w:val="99"/>
    <w:rPr>
      <w:kern w:val="2"/>
      <w:sz w:val="18"/>
      <w:szCs w:val="18"/>
    </w:rPr>
  </w:style>
  <w:style w:type="paragraph" w:customStyle="1" w:styleId="263">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4">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265">
    <w:name w:val="引用1"/>
    <w:basedOn w:val="1"/>
    <w:next w:val="1"/>
    <w:qFormat/>
    <w:uiPriority w:val="99"/>
    <w:rPr>
      <w:i/>
      <w:iCs/>
      <w:color w:val="000000"/>
      <w:kern w:val="0"/>
      <w:sz w:val="20"/>
      <w:szCs w:val="20"/>
    </w:rPr>
  </w:style>
  <w:style w:type="paragraph" w:customStyle="1" w:styleId="266">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267">
    <w:name w:val="MsoNormal"/>
    <w:basedOn w:val="266"/>
    <w:qFormat/>
    <w:uiPriority w:val="0"/>
    <w:rPr>
      <w:rFonts w:ascii="Calibri" w:hAnsi="Calibri" w:eastAsia="Calibri"/>
      <w:sz w:val="21"/>
    </w:rPr>
  </w:style>
  <w:style w:type="paragraph" w:customStyle="1" w:styleId="268">
    <w:name w:val="标题 2_0"/>
    <w:basedOn w:val="207"/>
    <w:next w:val="207"/>
    <w:link w:val="269"/>
    <w:unhideWhenUsed/>
    <w:qFormat/>
    <w:uiPriority w:val="9"/>
    <w:pPr>
      <w:keepNext/>
      <w:keepLines/>
      <w:spacing w:before="260" w:after="260" w:line="416" w:lineRule="auto"/>
      <w:outlineLvl w:val="1"/>
    </w:pPr>
    <w:rPr>
      <w:rFonts w:ascii="Cambria" w:hAnsi="Cambria"/>
      <w:b/>
      <w:bCs/>
      <w:sz w:val="32"/>
      <w:szCs w:val="32"/>
    </w:rPr>
  </w:style>
  <w:style w:type="character" w:customStyle="1" w:styleId="269">
    <w:name w:val="标题 2 Char_0"/>
    <w:link w:val="268"/>
    <w:qFormat/>
    <w:uiPriority w:val="9"/>
    <w:rPr>
      <w:rFonts w:ascii="Cambria" w:hAnsi="Cambria"/>
      <w:b/>
      <w:bCs/>
      <w:kern w:val="2"/>
      <w:sz w:val="32"/>
      <w:szCs w:val="32"/>
    </w:rPr>
  </w:style>
  <w:style w:type="paragraph" w:customStyle="1" w:styleId="270">
    <w:name w:val="标题 1_0"/>
    <w:basedOn w:val="205"/>
    <w:next w:val="205"/>
    <w:link w:val="271"/>
    <w:qFormat/>
    <w:uiPriority w:val="0"/>
    <w:pPr>
      <w:keepNext/>
      <w:keepLines/>
      <w:spacing w:line="360" w:lineRule="auto"/>
      <w:outlineLvl w:val="0"/>
    </w:pPr>
    <w:rPr>
      <w:rFonts w:eastAsia="黑体"/>
      <w:b/>
      <w:bCs/>
      <w:kern w:val="44"/>
      <w:sz w:val="32"/>
      <w:szCs w:val="44"/>
    </w:rPr>
  </w:style>
  <w:style w:type="character" w:customStyle="1" w:styleId="271">
    <w:name w:val="Char Char221"/>
    <w:link w:val="270"/>
    <w:qFormat/>
    <w:uiPriority w:val="0"/>
    <w:rPr>
      <w:rFonts w:eastAsia="黑体"/>
      <w:b/>
      <w:bCs/>
      <w:kern w:val="44"/>
      <w:sz w:val="32"/>
      <w:szCs w:val="44"/>
    </w:rPr>
  </w:style>
  <w:style w:type="paragraph" w:customStyle="1" w:styleId="272">
    <w:name w:val="标题 2_1"/>
    <w:basedOn w:val="205"/>
    <w:next w:val="205"/>
    <w:link w:val="273"/>
    <w:qFormat/>
    <w:uiPriority w:val="0"/>
    <w:pPr>
      <w:keepNext/>
      <w:keepLines/>
      <w:spacing w:before="260" w:after="260" w:line="416" w:lineRule="auto"/>
      <w:outlineLvl w:val="1"/>
    </w:pPr>
    <w:rPr>
      <w:rFonts w:ascii="Cambria" w:hAnsi="Cambria"/>
      <w:b/>
      <w:bCs/>
      <w:sz w:val="32"/>
      <w:szCs w:val="32"/>
    </w:rPr>
  </w:style>
  <w:style w:type="character" w:customStyle="1" w:styleId="273">
    <w:name w:val="Char Char211"/>
    <w:link w:val="272"/>
    <w:qFormat/>
    <w:uiPriority w:val="0"/>
    <w:rPr>
      <w:rFonts w:ascii="Cambria" w:hAnsi="Cambria"/>
      <w:b/>
      <w:bCs/>
      <w:kern w:val="2"/>
      <w:sz w:val="32"/>
      <w:szCs w:val="32"/>
    </w:rPr>
  </w:style>
  <w:style w:type="paragraph" w:customStyle="1" w:styleId="274">
    <w:name w:val="标题 3_0"/>
    <w:basedOn w:val="205"/>
    <w:next w:val="207"/>
    <w:link w:val="275"/>
    <w:qFormat/>
    <w:uiPriority w:val="0"/>
    <w:pPr>
      <w:keepNext/>
      <w:keepLines/>
      <w:spacing w:before="260" w:after="260" w:line="416" w:lineRule="auto"/>
      <w:outlineLvl w:val="2"/>
    </w:pPr>
    <w:rPr>
      <w:rFonts w:ascii="Calibri" w:hAnsi="Calibri"/>
      <w:b/>
      <w:bCs/>
      <w:sz w:val="32"/>
      <w:szCs w:val="32"/>
    </w:rPr>
  </w:style>
  <w:style w:type="character" w:customStyle="1" w:styleId="275">
    <w:name w:val="Char Char201"/>
    <w:link w:val="274"/>
    <w:qFormat/>
    <w:uiPriority w:val="0"/>
    <w:rPr>
      <w:rFonts w:ascii="Calibri" w:hAnsi="Calibri"/>
      <w:b/>
      <w:bCs/>
      <w:kern w:val="2"/>
      <w:sz w:val="32"/>
      <w:szCs w:val="32"/>
    </w:rPr>
  </w:style>
  <w:style w:type="paragraph" w:customStyle="1" w:styleId="276">
    <w:name w:val="纯文本_0"/>
    <w:basedOn w:val="205"/>
    <w:link w:val="277"/>
    <w:qFormat/>
    <w:uiPriority w:val="0"/>
    <w:rPr>
      <w:rFonts w:ascii="宋体" w:hAnsi="Courier New"/>
      <w:szCs w:val="24"/>
    </w:rPr>
  </w:style>
  <w:style w:type="character" w:customStyle="1" w:styleId="277">
    <w:name w:val="Char Char10"/>
    <w:link w:val="276"/>
    <w:qFormat/>
    <w:uiPriority w:val="0"/>
    <w:rPr>
      <w:rFonts w:ascii="宋体" w:hAnsi="Courier New"/>
      <w:kern w:val="2"/>
      <w:sz w:val="21"/>
      <w:szCs w:val="24"/>
    </w:rPr>
  </w:style>
  <w:style w:type="paragraph" w:customStyle="1" w:styleId="278">
    <w:name w:val="正文文本_0"/>
    <w:basedOn w:val="205"/>
    <w:link w:val="279"/>
    <w:qFormat/>
    <w:uiPriority w:val="0"/>
    <w:pPr>
      <w:adjustRightInd w:val="0"/>
      <w:spacing w:after="60" w:line="360" w:lineRule="atLeast"/>
      <w:ind w:left="72" w:leftChars="30" w:right="30" w:rightChars="30"/>
      <w:jc w:val="center"/>
      <w:textAlignment w:val="baseline"/>
    </w:pPr>
    <w:rPr>
      <w:rFonts w:ascii="Calibri" w:hAnsi="Calibri"/>
    </w:rPr>
  </w:style>
  <w:style w:type="character" w:customStyle="1" w:styleId="279">
    <w:name w:val="Char Char4"/>
    <w:link w:val="278"/>
    <w:qFormat/>
    <w:uiPriority w:val="0"/>
    <w:rPr>
      <w:rFonts w:ascii="Calibri" w:hAnsi="Calibri"/>
      <w:kern w:val="2"/>
      <w:sz w:val="21"/>
      <w:szCs w:val="22"/>
    </w:rPr>
  </w:style>
  <w:style w:type="paragraph" w:customStyle="1" w:styleId="280">
    <w:name w:val="正文_3"/>
    <w:basedOn w:val="281"/>
    <w:next w:val="2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正文缩进_1"/>
    <w:basedOn w:val="280"/>
    <w:qFormat/>
    <w:uiPriority w:val="99"/>
    <w:pPr>
      <w:adjustRightInd w:val="0"/>
      <w:spacing w:line="360" w:lineRule="atLeast"/>
      <w:ind w:firstLine="482"/>
      <w:textAlignment w:val="baseline"/>
    </w:pPr>
    <w:rPr>
      <w:rFonts w:ascii="Times New Roman" w:hAnsi="Times New Roman" w:cs="Times New Roman"/>
      <w:kern w:val="0"/>
      <w:sz w:val="24"/>
      <w:szCs w:val="20"/>
    </w:rPr>
  </w:style>
  <w:style w:type="paragraph" w:customStyle="1" w:styleId="283">
    <w:name w:val="修订2"/>
    <w:semiHidden/>
    <w:qFormat/>
    <w:uiPriority w:val="99"/>
    <w:rPr>
      <w:rFonts w:ascii="Times New Roman" w:hAnsi="Times New Roman" w:eastAsia="宋体" w:cs="Times New Roman"/>
      <w:kern w:val="2"/>
      <w:sz w:val="21"/>
      <w:szCs w:val="21"/>
      <w:lang w:val="en-US" w:eastAsia="zh-CN" w:bidi="ar-SA"/>
    </w:rPr>
  </w:style>
  <w:style w:type="character" w:customStyle="1" w:styleId="284">
    <w:name w:val="fontstyle01"/>
    <w:qFormat/>
    <w:uiPriority w:val="0"/>
    <w:rPr>
      <w:rFonts w:hint="eastAsia" w:ascii="宋体" w:hAnsi="宋体" w:eastAsia="宋体"/>
      <w:color w:val="000000"/>
      <w:sz w:val="22"/>
      <w:szCs w:val="22"/>
    </w:rPr>
  </w:style>
  <w:style w:type="character" w:customStyle="1" w:styleId="285">
    <w:name w:val="fontstyle21"/>
    <w:qFormat/>
    <w:uiPriority w:val="0"/>
    <w:rPr>
      <w:rFonts w:hint="default" w:ascii="Times New Roman" w:hAnsi="Times New Roman" w:cs="Times New Roman"/>
      <w:b/>
      <w:bCs/>
      <w:color w:val="000000"/>
      <w:sz w:val="22"/>
      <w:szCs w:val="22"/>
    </w:rPr>
  </w:style>
  <w:style w:type="character" w:customStyle="1" w:styleId="286">
    <w:name w:val="fontstyle31"/>
    <w:qFormat/>
    <w:uiPriority w:val="0"/>
    <w:rPr>
      <w:rFonts w:hint="eastAsia" w:ascii="黑体" w:hAnsi="黑体" w:eastAsia="黑体"/>
      <w:color w:val="000000"/>
      <w:sz w:val="28"/>
      <w:szCs w:val="28"/>
    </w:rPr>
  </w:style>
  <w:style w:type="character" w:customStyle="1" w:styleId="287">
    <w:name w:val="fontstyle41"/>
    <w:qFormat/>
    <w:uiPriority w:val="0"/>
    <w:rPr>
      <w:rFonts w:hint="default" w:ascii="Times New Roman" w:hAnsi="Times New Roman" w:cs="Times New Roman"/>
      <w:color w:val="000000"/>
      <w:sz w:val="18"/>
      <w:szCs w:val="18"/>
    </w:rPr>
  </w:style>
  <w:style w:type="character" w:customStyle="1" w:styleId="288">
    <w:name w:val="fontstyle51"/>
    <w:qFormat/>
    <w:uiPriority w:val="0"/>
    <w:rPr>
      <w:rFonts w:hint="eastAsia" w:ascii="楷体" w:hAnsi="楷体" w:eastAsia="楷体"/>
      <w:color w:val="000000"/>
      <w:sz w:val="22"/>
      <w:szCs w:val="22"/>
    </w:rPr>
  </w:style>
  <w:style w:type="paragraph" w:customStyle="1" w:styleId="289">
    <w:name w:val="Normal_1"/>
    <w:qFormat/>
    <w:uiPriority w:val="0"/>
    <w:rPr>
      <w:rFonts w:ascii="Times New Roman" w:hAnsi="Times New Roman" w:eastAsia="Times New Roman" w:cs="Times New Roman"/>
      <w:sz w:val="24"/>
      <w:szCs w:val="24"/>
      <w:lang w:val="en-US" w:eastAsia="zh-CN" w:bidi="ar-SA"/>
    </w:rPr>
  </w:style>
  <w:style w:type="character" w:customStyle="1" w:styleId="290">
    <w:name w:val="Unresolved Mention"/>
    <w:basedOn w:val="53"/>
    <w:semiHidden/>
    <w:unhideWhenUsed/>
    <w:qFormat/>
    <w:uiPriority w:val="99"/>
    <w:rPr>
      <w:color w:val="605E5C"/>
      <w:shd w:val="clear" w:color="auto" w:fill="E1DFDD"/>
    </w:rPr>
  </w:style>
  <w:style w:type="paragraph" w:customStyle="1" w:styleId="291">
    <w:name w:val="WPSOffice手动目录 1"/>
    <w:qFormat/>
    <w:uiPriority w:val="0"/>
    <w:rPr>
      <w:rFonts w:ascii="Times New Roman" w:hAnsi="Times New Roman" w:eastAsia="宋体" w:cs="Times New Roman"/>
      <w:lang w:val="en-US" w:eastAsia="zh-CN" w:bidi="ar-SA"/>
    </w:rPr>
  </w:style>
  <w:style w:type="paragraph" w:customStyle="1" w:styleId="292">
    <w:name w:val="p18"/>
    <w:basedOn w:val="1"/>
    <w:qFormat/>
    <w:uiPriority w:val="0"/>
    <w:pPr>
      <w:widowControl/>
    </w:pPr>
    <w:rPr>
      <w:rFonts w:ascii="宋体" w:hAnsi="Times New Roman" w:cs="宋体"/>
      <w:kern w:val="0"/>
      <w:sz w:val="20"/>
      <w:szCs w:val="21"/>
      <w:lang w:eastAsia="en-US"/>
    </w:rPr>
  </w:style>
  <w:style w:type="paragraph" w:customStyle="1" w:styleId="293">
    <w:name w:val="正文_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1026"/>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101</Pages>
  <Words>5867</Words>
  <Characters>6467</Characters>
  <Lines>390</Lines>
  <Paragraphs>110</Paragraphs>
  <TotalTime>41</TotalTime>
  <ScaleCrop>false</ScaleCrop>
  <LinksUpToDate>false</LinksUpToDate>
  <CharactersWithSpaces>6729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2023-10-20T01:55:00Z</dcterms:created>
  <dc:creator>Mrs.</dc:creator>
  <cp:lastModifiedBy>Eversleeping</cp:lastModifiedBy>
  <cp:lastPrinted>2022-10-17T01:10:00Z</cp:lastPrinted>
  <dcterms:modified xsi:type="dcterms:W3CDTF">2025-11-13T13:19:50Z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AA14249787284C95978335A68B21AEDB</vt:lpwstr>
  </property>
  <property fmtid="{D5CDD505-2E9C-101B-9397-08002B2CF9AE}" pid="4" name="KSOTemplateDocerSaveRecord">
    <vt:lpwstr>eyJoZGlkIjoiYTIxMDc4NjBjZTdmMzkxNDVkODE5MmRjZDhjMzA1MjMiLCJ1c2VySWQiOiI2NzU2MjQzNTcifQ==</vt:lpwstr>
  </property>
</Properties>
</file>