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B6C3D7">
      <w:pPr>
        <w:rPr>
          <w:color w:val="auto"/>
          <w:highlight w:val="none"/>
        </w:rPr>
      </w:pPr>
    </w:p>
    <w:p w14:paraId="1F83A447">
      <w:pPr>
        <w:rPr>
          <w:color w:val="auto"/>
          <w:highlight w:val="none"/>
        </w:rPr>
      </w:pPr>
    </w:p>
    <w:p w14:paraId="70F6F3A4">
      <w:pPr>
        <w:rPr>
          <w:color w:val="auto"/>
          <w:highlight w:val="none"/>
        </w:rPr>
      </w:pPr>
    </w:p>
    <w:p w14:paraId="2478D148">
      <w:pPr>
        <w:rPr>
          <w:color w:val="auto"/>
          <w:highlight w:val="none"/>
        </w:rPr>
      </w:pPr>
    </w:p>
    <w:p w14:paraId="39A2427B">
      <w:pPr>
        <w:jc w:val="center"/>
        <w:rPr>
          <w:rFonts w:ascii="黑体" w:eastAsia="黑体"/>
          <w:color w:val="auto"/>
          <w:spacing w:val="30"/>
          <w:sz w:val="44"/>
          <w:szCs w:val="44"/>
          <w:highlight w:val="none"/>
        </w:rPr>
      </w:pPr>
      <w:r>
        <w:rPr>
          <w:color w:val="auto"/>
          <w:highlight w:val="none"/>
        </w:rPr>
        <w:drawing>
          <wp:anchor distT="0" distB="0" distL="114300" distR="114300" simplePos="0" relativeHeight="251659264" behindDoc="0" locked="0" layoutInCell="1" allowOverlap="1">
            <wp:simplePos x="0" y="0"/>
            <wp:positionH relativeFrom="margin">
              <wp:posOffset>398145</wp:posOffset>
            </wp:positionH>
            <wp:positionV relativeFrom="margin">
              <wp:posOffset>687705</wp:posOffset>
            </wp:positionV>
            <wp:extent cx="657225" cy="619125"/>
            <wp:effectExtent l="19050" t="0" r="9525"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7" cstate="print"/>
                    <a:stretch>
                      <a:fillRect/>
                    </a:stretch>
                  </pic:blipFill>
                  <pic:spPr>
                    <a:xfrm>
                      <a:off x="0" y="0"/>
                      <a:ext cx="657225" cy="619125"/>
                    </a:xfrm>
                    <a:prstGeom prst="rect">
                      <a:avLst/>
                    </a:prstGeom>
                    <a:noFill/>
                    <a:ln>
                      <a:noFill/>
                    </a:ln>
                  </pic:spPr>
                </pic:pic>
              </a:graphicData>
            </a:graphic>
          </wp:anchor>
        </w:drawing>
      </w:r>
      <w:r>
        <w:rPr>
          <w:rFonts w:hint="eastAsia" w:ascii="黑体" w:eastAsia="黑体"/>
          <w:color w:val="auto"/>
          <w:spacing w:val="30"/>
          <w:sz w:val="44"/>
          <w:szCs w:val="44"/>
          <w:highlight w:val="none"/>
        </w:rPr>
        <w:t xml:space="preserve">    广西中信恒泰工程顾问有限公司</w:t>
      </w:r>
    </w:p>
    <w:p w14:paraId="1692FEB6">
      <w:pPr>
        <w:jc w:val="center"/>
        <w:rPr>
          <w:rFonts w:ascii="幼圆" w:eastAsia="幼圆"/>
          <w:color w:val="auto"/>
          <w:spacing w:val="30"/>
          <w:sz w:val="30"/>
          <w:szCs w:val="30"/>
          <w:highlight w:val="none"/>
        </w:rPr>
      </w:pPr>
      <w:r>
        <w:rPr>
          <w:rFonts w:ascii="幼圆" w:eastAsia="幼圆"/>
          <w:color w:val="auto"/>
          <w:spacing w:val="30"/>
          <w:sz w:val="30"/>
          <w:szCs w:val="30"/>
          <w:highlight w:val="none"/>
        </w:rPr>
        <w:t xml:space="preserve">Guangxi Zhongxinhengtai Engineering </w:t>
      </w:r>
    </w:p>
    <w:p w14:paraId="0BE3F00A">
      <w:pPr>
        <w:jc w:val="center"/>
        <w:rPr>
          <w:rFonts w:ascii="幼圆" w:eastAsia="幼圆"/>
          <w:color w:val="auto"/>
          <w:spacing w:val="30"/>
          <w:sz w:val="28"/>
          <w:szCs w:val="28"/>
          <w:highlight w:val="none"/>
        </w:rPr>
      </w:pPr>
      <w:r>
        <w:rPr>
          <w:rFonts w:ascii="幼圆" w:eastAsia="幼圆"/>
          <w:color w:val="auto"/>
          <w:spacing w:val="30"/>
          <w:sz w:val="30"/>
          <w:szCs w:val="30"/>
          <w:highlight w:val="none"/>
        </w:rPr>
        <w:t>ConsultingCo.,Led</w:t>
      </w:r>
    </w:p>
    <w:p w14:paraId="0F5E423D">
      <w:pPr>
        <w:jc w:val="center"/>
        <w:rPr>
          <w:rFonts w:ascii="幼圆" w:eastAsia="幼圆"/>
          <w:b/>
          <w:color w:val="auto"/>
          <w:spacing w:val="30"/>
          <w:sz w:val="48"/>
          <w:szCs w:val="48"/>
          <w:highlight w:val="none"/>
        </w:rPr>
      </w:pPr>
    </w:p>
    <w:p w14:paraId="50D7680E">
      <w:pPr>
        <w:jc w:val="center"/>
        <w:rPr>
          <w:rFonts w:ascii="幼圆" w:eastAsia="幼圆"/>
          <w:b/>
          <w:color w:val="auto"/>
          <w:spacing w:val="30"/>
          <w:sz w:val="48"/>
          <w:szCs w:val="48"/>
          <w:highlight w:val="none"/>
        </w:rPr>
      </w:pPr>
    </w:p>
    <w:p w14:paraId="1E3F3672">
      <w:pPr>
        <w:jc w:val="center"/>
        <w:rPr>
          <w:rFonts w:ascii="幼圆" w:eastAsia="幼圆"/>
          <w:b/>
          <w:color w:val="auto"/>
          <w:spacing w:val="30"/>
          <w:sz w:val="48"/>
          <w:szCs w:val="48"/>
          <w:highlight w:val="none"/>
        </w:rPr>
      </w:pPr>
    </w:p>
    <w:p w14:paraId="27461EC4">
      <w:pPr>
        <w:jc w:val="center"/>
        <w:rPr>
          <w:rFonts w:ascii="幼圆" w:eastAsia="幼圆"/>
          <w:b/>
          <w:color w:val="auto"/>
          <w:spacing w:val="30"/>
          <w:sz w:val="48"/>
          <w:szCs w:val="48"/>
          <w:highlight w:val="none"/>
        </w:rPr>
      </w:pPr>
    </w:p>
    <w:p w14:paraId="725E11EE">
      <w:pPr>
        <w:pStyle w:val="13"/>
        <w:spacing w:line="1300" w:lineRule="exact"/>
        <w:jc w:val="center"/>
        <w:rPr>
          <w:b/>
          <w:color w:val="auto"/>
          <w:sz w:val="84"/>
          <w:szCs w:val="84"/>
          <w:highlight w:val="none"/>
        </w:rPr>
      </w:pPr>
      <w:r>
        <w:rPr>
          <w:rFonts w:hint="eastAsia"/>
          <w:b/>
          <w:color w:val="auto"/>
          <w:sz w:val="84"/>
          <w:szCs w:val="84"/>
          <w:highlight w:val="none"/>
        </w:rPr>
        <w:t>竞争性谈判采购文件</w:t>
      </w:r>
    </w:p>
    <w:p w14:paraId="64AE5B99">
      <w:pPr>
        <w:pStyle w:val="13"/>
        <w:spacing w:line="1300" w:lineRule="exact"/>
        <w:rPr>
          <w:b/>
          <w:color w:val="auto"/>
          <w:sz w:val="120"/>
          <w:szCs w:val="120"/>
          <w:highlight w:val="none"/>
        </w:rPr>
      </w:pPr>
    </w:p>
    <w:p w14:paraId="6D8B39C0">
      <w:pPr>
        <w:pStyle w:val="13"/>
        <w:rPr>
          <w:color w:val="auto"/>
          <w:highlight w:val="none"/>
        </w:rPr>
      </w:pPr>
    </w:p>
    <w:p w14:paraId="18799B9E">
      <w:pPr>
        <w:tabs>
          <w:tab w:val="left" w:pos="4285"/>
        </w:tabs>
        <w:adjustRightInd w:val="0"/>
        <w:snapToGrid w:val="0"/>
        <w:spacing w:line="317" w:lineRule="auto"/>
        <w:ind w:firstLine="525" w:firstLineChars="250"/>
        <w:rPr>
          <w:color w:val="auto"/>
          <w:highlight w:val="none"/>
        </w:rPr>
      </w:pPr>
    </w:p>
    <w:p w14:paraId="0B7777BF">
      <w:pPr>
        <w:tabs>
          <w:tab w:val="left" w:pos="4285"/>
        </w:tabs>
        <w:adjustRightInd w:val="0"/>
        <w:snapToGrid w:val="0"/>
        <w:spacing w:line="317" w:lineRule="auto"/>
        <w:ind w:firstLine="525" w:firstLineChars="250"/>
        <w:rPr>
          <w:color w:val="auto"/>
          <w:highlight w:val="none"/>
        </w:rPr>
      </w:pPr>
    </w:p>
    <w:p w14:paraId="2C70527F">
      <w:pPr>
        <w:tabs>
          <w:tab w:val="left" w:pos="7181"/>
        </w:tabs>
        <w:adjustRightInd w:val="0"/>
        <w:snapToGrid w:val="0"/>
        <w:spacing w:line="317" w:lineRule="auto"/>
        <w:ind w:firstLine="525" w:firstLineChars="250"/>
        <w:rPr>
          <w:color w:val="auto"/>
          <w:highlight w:val="none"/>
        </w:rPr>
      </w:pPr>
      <w:r>
        <w:rPr>
          <w:rFonts w:hint="eastAsia"/>
          <w:color w:val="auto"/>
          <w:highlight w:val="none"/>
        </w:rPr>
        <w:tab/>
      </w:r>
    </w:p>
    <w:p w14:paraId="4D5AD67D">
      <w:pPr>
        <w:tabs>
          <w:tab w:val="left" w:pos="4285"/>
        </w:tabs>
        <w:adjustRightInd w:val="0"/>
        <w:snapToGrid w:val="0"/>
        <w:spacing w:line="317" w:lineRule="auto"/>
        <w:ind w:firstLine="525" w:firstLineChars="250"/>
        <w:rPr>
          <w:color w:val="auto"/>
          <w:highlight w:val="none"/>
        </w:rPr>
      </w:pPr>
    </w:p>
    <w:p w14:paraId="527C95D8">
      <w:pPr>
        <w:tabs>
          <w:tab w:val="left" w:pos="4285"/>
        </w:tabs>
        <w:adjustRightInd w:val="0"/>
        <w:snapToGrid w:val="0"/>
        <w:spacing w:line="317" w:lineRule="auto"/>
        <w:ind w:firstLine="525" w:firstLineChars="250"/>
        <w:rPr>
          <w:color w:val="auto"/>
          <w:highlight w:val="none"/>
        </w:rPr>
      </w:pPr>
    </w:p>
    <w:p w14:paraId="2FAB608A">
      <w:pPr>
        <w:autoSpaceDE w:val="0"/>
        <w:autoSpaceDN w:val="0"/>
        <w:adjustRightInd w:val="0"/>
        <w:spacing w:line="500" w:lineRule="exact"/>
        <w:ind w:left="105" w:leftChars="50" w:right="105" w:rightChars="50" w:firstLine="1680" w:firstLineChars="6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项目名称：</w:t>
      </w:r>
      <w:r>
        <w:rPr>
          <w:rFonts w:hint="eastAsia" w:ascii="宋体" w:hAnsi="宋体"/>
          <w:color w:val="auto"/>
          <w:sz w:val="28"/>
          <w:szCs w:val="28"/>
          <w:highlight w:val="none"/>
          <w:lang w:eastAsia="zh-CN"/>
        </w:rPr>
        <w:t>全自动染色体核型分析及扫描设备采购项目</w:t>
      </w:r>
    </w:p>
    <w:p w14:paraId="4F0BF0F2">
      <w:pPr>
        <w:tabs>
          <w:tab w:val="left" w:pos="4285"/>
        </w:tabs>
        <w:adjustRightInd w:val="0"/>
        <w:snapToGrid w:val="0"/>
        <w:spacing w:line="276" w:lineRule="auto"/>
        <w:ind w:firstLine="1416" w:firstLineChars="506"/>
        <w:jc w:val="left"/>
        <w:rPr>
          <w:rFonts w:ascii="宋体" w:hAnsi="宋体"/>
          <w:color w:val="auto"/>
          <w:sz w:val="28"/>
          <w:szCs w:val="28"/>
          <w:highlight w:val="none"/>
        </w:rPr>
      </w:pPr>
    </w:p>
    <w:p w14:paraId="58B2C5FB">
      <w:pPr>
        <w:spacing w:line="480" w:lineRule="auto"/>
        <w:ind w:firstLine="1680" w:firstLineChars="600"/>
        <w:rPr>
          <w:rFonts w:hint="eastAsia" w:ascii="宋体" w:hAnsi="宋体" w:eastAsia="宋体"/>
          <w:color w:val="auto"/>
          <w:sz w:val="28"/>
          <w:szCs w:val="28"/>
          <w:highlight w:val="none"/>
          <w:lang w:eastAsia="zh-CN"/>
        </w:rPr>
      </w:pPr>
      <w:r>
        <w:rPr>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346710</wp:posOffset>
                </wp:positionV>
                <wp:extent cx="5896610" cy="3175"/>
                <wp:effectExtent l="0" t="13970" r="1270" b="28575"/>
                <wp:wrapNone/>
                <wp:docPr id="4" name="Line 6"/>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Line 6" o:spid="_x0000_s1026" o:spt="20" style="position:absolute;left:0pt;margin-left:13.5pt;margin-top:27.3pt;height:0.25pt;width:464.3pt;z-index:251660288;mso-width-relative:page;mso-height-relative:page;" filled="f" stroked="t" coordsize="21600,21600" o:gfxdata="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GB1F9gAAAAIAQAADwAAAAAA&#10;AAABACAAAAAiAAAAZHJzL2Rvd25yZXYueG1sUEsBAhQAFAAAAAgAh07iQAAzqKraAQAA3wMAAA4A&#10;AAAAAAAAAQAgAAAAJwEAAGRycy9lMm9Eb2MueG1sUEsFBgAAAAAGAAYAWQEAAHMFAAAAAA==&#10;">
                <v:fill on="f" focussize="0,0"/>
                <v:stroke weight="2.25pt" color="#000000" joinstyle="round"/>
                <v:imagedata o:title=""/>
                <o:lock v:ext="edit" aspectratio="f"/>
              </v:line>
            </w:pict>
          </mc:Fallback>
        </mc:AlternateContent>
      </w:r>
      <w:r>
        <w:rPr>
          <w:rFonts w:hint="eastAsia" w:ascii="宋体" w:hAnsi="宋体"/>
          <w:color w:val="auto"/>
          <w:sz w:val="28"/>
          <w:szCs w:val="28"/>
          <w:highlight w:val="none"/>
        </w:rPr>
        <w:t>项目编号：</w:t>
      </w:r>
      <w:r>
        <w:rPr>
          <w:rFonts w:hint="eastAsia" w:ascii="宋体" w:hAnsi="宋体"/>
          <w:color w:val="auto"/>
          <w:sz w:val="28"/>
          <w:szCs w:val="28"/>
          <w:highlight w:val="none"/>
          <w:lang w:val="en-US" w:eastAsia="zh-CN"/>
        </w:rPr>
        <w:t>W</w:t>
      </w:r>
      <w:r>
        <w:rPr>
          <w:rFonts w:hint="eastAsia" w:ascii="宋体" w:hAnsi="宋体"/>
          <w:color w:val="auto"/>
          <w:sz w:val="28"/>
          <w:szCs w:val="28"/>
          <w:highlight w:val="none"/>
          <w:lang w:eastAsia="zh-CN"/>
        </w:rPr>
        <w:t>ZZC2025-J1-990131-GXZX</w:t>
      </w:r>
    </w:p>
    <w:p w14:paraId="3B548B4D">
      <w:pPr>
        <w:spacing w:line="480" w:lineRule="auto"/>
        <w:ind w:firstLine="1680" w:firstLineChars="600"/>
        <w:rPr>
          <w:rFonts w:ascii="宋体" w:hAnsi="宋体"/>
          <w:color w:val="auto"/>
          <w:sz w:val="28"/>
          <w:szCs w:val="28"/>
          <w:highlight w:val="none"/>
        </w:rPr>
      </w:pPr>
      <w:r>
        <w:rPr>
          <w:rFonts w:hint="eastAsia"/>
          <w:color w:val="auto"/>
          <w:sz w:val="28"/>
          <w:szCs w:val="28"/>
          <w:highlight w:val="none"/>
        </w:rPr>
        <w:t>采购人：</w:t>
      </w:r>
      <w:r>
        <w:rPr>
          <w:rFonts w:hint="eastAsia" w:ascii="宋体" w:hAnsi="宋体"/>
          <w:color w:val="auto"/>
          <w:sz w:val="28"/>
          <w:szCs w:val="28"/>
          <w:highlight w:val="none"/>
        </w:rPr>
        <w:t>梧州市人民医院</w:t>
      </w:r>
    </w:p>
    <w:p w14:paraId="55D891FE">
      <w:pPr>
        <w:pStyle w:val="13"/>
        <w:spacing w:line="480" w:lineRule="auto"/>
        <w:ind w:right="-260" w:rightChars="-124" w:firstLine="1416" w:firstLineChars="506"/>
        <w:rPr>
          <w:color w:val="auto"/>
          <w:sz w:val="28"/>
          <w:szCs w:val="28"/>
          <w:highlight w:val="none"/>
        </w:rPr>
      </w:pPr>
      <w:r>
        <w:rPr>
          <w:rFonts w:hint="eastAsia"/>
          <w:color w:val="auto"/>
          <w:sz w:val="28"/>
          <w:szCs w:val="28"/>
          <w:highlight w:val="none"/>
        </w:rPr>
        <w:t>采购代理机构：广西中信恒泰工程顾问有限公司</w:t>
      </w:r>
    </w:p>
    <w:p w14:paraId="202B0D19">
      <w:pPr>
        <w:jc w:val="center"/>
        <w:rPr>
          <w:color w:val="auto"/>
          <w:sz w:val="28"/>
          <w:szCs w:val="28"/>
          <w:highlight w:val="none"/>
        </w:rPr>
      </w:pPr>
      <w:r>
        <w:rPr>
          <w:rFonts w:hint="eastAsia"/>
          <w:color w:val="auto"/>
          <w:sz w:val="28"/>
          <w:szCs w:val="28"/>
          <w:highlight w:val="none"/>
        </w:rPr>
        <w:t>二〇二</w:t>
      </w:r>
      <w:r>
        <w:rPr>
          <w:rFonts w:hint="eastAsia"/>
          <w:color w:val="auto"/>
          <w:sz w:val="28"/>
          <w:szCs w:val="28"/>
          <w:highlight w:val="none"/>
          <w:lang w:eastAsia="zh-CN"/>
        </w:rPr>
        <w:t>五</w:t>
      </w:r>
      <w:r>
        <w:rPr>
          <w:rFonts w:hint="eastAsia"/>
          <w:color w:val="auto"/>
          <w:sz w:val="28"/>
          <w:szCs w:val="28"/>
          <w:highlight w:val="none"/>
        </w:rPr>
        <w:t>年</w:t>
      </w:r>
      <w:r>
        <w:rPr>
          <w:rFonts w:hint="eastAsia"/>
          <w:color w:val="auto"/>
          <w:sz w:val="28"/>
          <w:szCs w:val="28"/>
          <w:highlight w:val="none"/>
          <w:lang w:eastAsia="zh-CN"/>
        </w:rPr>
        <w:t>七</w:t>
      </w:r>
      <w:r>
        <w:rPr>
          <w:rFonts w:hint="eastAsia"/>
          <w:color w:val="auto"/>
          <w:sz w:val="28"/>
          <w:szCs w:val="28"/>
          <w:highlight w:val="none"/>
        </w:rPr>
        <w:t>月</w:t>
      </w:r>
    </w:p>
    <w:p w14:paraId="75F8C51E">
      <w:pPr>
        <w:pStyle w:val="18"/>
        <w:ind w:firstLine="105"/>
        <w:rPr>
          <w:rFonts w:hint="default"/>
          <w:color w:val="auto"/>
          <w:highlight w:val="none"/>
        </w:rPr>
      </w:pPr>
    </w:p>
    <w:p w14:paraId="30810F44">
      <w:pPr>
        <w:pStyle w:val="18"/>
        <w:rPr>
          <w:rFonts w:hint="default" w:ascii="隶书" w:eastAsia="隶书"/>
          <w:color w:val="auto"/>
          <w:sz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849" w:bottom="1134" w:left="993" w:header="720" w:footer="720" w:gutter="0"/>
          <w:pgBorders>
            <w:top w:val="none" w:sz="0" w:space="0"/>
            <w:left w:val="none" w:sz="0" w:space="0"/>
            <w:bottom w:val="none" w:sz="0" w:space="0"/>
            <w:right w:val="none" w:sz="0" w:space="0"/>
          </w:pgBorders>
          <w:pgNumType w:start="0"/>
          <w:cols w:space="720" w:num="1"/>
          <w:titlePg/>
          <w:docGrid w:linePitch="312" w:charSpace="0"/>
        </w:sectPr>
      </w:pPr>
    </w:p>
    <w:p w14:paraId="158026AE">
      <w:pPr>
        <w:pStyle w:val="18"/>
        <w:rPr>
          <w:rFonts w:hint="default" w:ascii="隶书" w:eastAsia="隶书"/>
          <w:color w:val="auto"/>
          <w:sz w:val="44"/>
          <w:highlight w:val="none"/>
        </w:rPr>
      </w:pPr>
    </w:p>
    <w:p w14:paraId="7BDA6FF3">
      <w:pPr>
        <w:pStyle w:val="18"/>
        <w:jc w:val="center"/>
        <w:rPr>
          <w:rFonts w:hint="default" w:ascii="隶书" w:eastAsia="隶书"/>
          <w:color w:val="auto"/>
          <w:sz w:val="44"/>
          <w:highlight w:val="none"/>
        </w:rPr>
      </w:pPr>
    </w:p>
    <w:p w14:paraId="4725DB17">
      <w:pPr>
        <w:pStyle w:val="18"/>
        <w:jc w:val="center"/>
        <w:rPr>
          <w:rFonts w:hint="default" w:ascii="隶书" w:eastAsia="隶书"/>
          <w:color w:val="auto"/>
          <w:sz w:val="44"/>
          <w:highlight w:val="none"/>
        </w:rPr>
      </w:pPr>
    </w:p>
    <w:sdt>
      <w:sdtPr>
        <w:rPr>
          <w:rFonts w:ascii="宋体" w:hAnsi="宋体" w:eastAsia="宋体" w:cs="Times New Roman"/>
          <w:color w:val="auto"/>
          <w:kern w:val="2"/>
          <w:sz w:val="21"/>
          <w:szCs w:val="24"/>
          <w:highlight w:val="none"/>
          <w:lang w:val="en-US" w:eastAsia="zh-CN" w:bidi="ar-SA"/>
        </w:rPr>
        <w:id w:val="147454685"/>
        <w15:color w:val="DBDBDB"/>
        <w:docPartObj>
          <w:docPartGallery w:val="Table of Contents"/>
          <w:docPartUnique/>
        </w:docPartObj>
      </w:sdtPr>
      <w:sdtEndPr>
        <w:rPr>
          <w:rFonts w:hint="default" w:cs="Times New Roman" w:asciiTheme="minorEastAsia" w:hAnsiTheme="minorEastAsia" w:eastAsiaTheme="minorEastAsia"/>
          <w:color w:val="auto"/>
          <w:kern w:val="0"/>
          <w:sz w:val="20"/>
          <w:szCs w:val="28"/>
          <w:highlight w:val="none"/>
          <w:lang w:val="en-US" w:eastAsia="zh-CN" w:bidi="ar-SA"/>
        </w:rPr>
      </w:sdtEndPr>
      <w:sdtContent>
        <w:p w14:paraId="081C16EE">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48"/>
              <w:szCs w:val="48"/>
              <w:highlight w:val="none"/>
            </w:rPr>
            <w:t>目</w:t>
          </w:r>
          <w:r>
            <w:rPr>
              <w:rFonts w:hint="eastAsia" w:asciiTheme="minorEastAsia" w:hAnsiTheme="minorEastAsia" w:eastAsiaTheme="minorEastAsia" w:cstheme="minorEastAsia"/>
              <w:b/>
              <w:bCs/>
              <w:color w:val="auto"/>
              <w:sz w:val="48"/>
              <w:szCs w:val="48"/>
              <w:highlight w:val="none"/>
              <w:lang w:val="en-US" w:eastAsia="zh-CN"/>
            </w:rPr>
            <w:t xml:space="preserve">  </w:t>
          </w:r>
          <w:r>
            <w:rPr>
              <w:rFonts w:hint="eastAsia" w:asciiTheme="minorEastAsia" w:hAnsiTheme="minorEastAsia" w:eastAsiaTheme="minorEastAsia" w:cstheme="minorEastAsia"/>
              <w:b/>
              <w:bCs/>
              <w:color w:val="auto"/>
              <w:sz w:val="48"/>
              <w:szCs w:val="48"/>
              <w:highlight w:val="none"/>
            </w:rPr>
            <w:t>录</w:t>
          </w:r>
        </w:p>
        <w:p w14:paraId="09997577">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48"/>
              <w:szCs w:val="48"/>
              <w:highlight w:val="none"/>
            </w:rPr>
          </w:pPr>
        </w:p>
        <w:p w14:paraId="0B527D37">
          <w:pPr>
            <w:pStyle w:val="124"/>
            <w:tabs>
              <w:tab w:val="right" w:leader="dot" w:pos="10064"/>
            </w:tabs>
            <w:spacing w:line="48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TOC \o "1-1" \h \u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HYPERLINK \l _Toc27359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 xml:space="preserve">第一章 </w:t>
          </w:r>
          <w:r>
            <w:rPr>
              <w:rFonts w:hint="eastAsia" w:asciiTheme="minorEastAsia" w:hAnsiTheme="minorEastAsia" w:eastAsiaTheme="minorEastAsia" w:cstheme="minorEastAsia"/>
              <w:b/>
              <w:bCs/>
              <w:color w:val="auto"/>
              <w:sz w:val="32"/>
              <w:szCs w:val="32"/>
              <w:highlight w:val="none"/>
            </w:rPr>
            <w:t>竞争性谈判公告</w:t>
          </w:r>
          <w:r>
            <w:rPr>
              <w:rFonts w:hint="eastAsia" w:asciiTheme="minorEastAsia" w:hAnsiTheme="minorEastAsia" w:eastAsiaTheme="minorEastAsia" w:cstheme="minorEastAsia"/>
              <w:b/>
              <w:bCs/>
              <w:color w:val="auto"/>
              <w:sz w:val="32"/>
              <w:szCs w:val="32"/>
              <w:highlight w:val="none"/>
            </w:rPr>
            <w:tab/>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PAGEREF _Toc27359 \h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1</w:t>
          </w:r>
          <w:r>
            <w:rPr>
              <w:rFonts w:hint="eastAsia" w:asciiTheme="minorEastAsia" w:hAnsiTheme="minorEastAsia" w:eastAsiaTheme="minorEastAsia" w:cstheme="minorEastAsia"/>
              <w:b/>
              <w:bCs/>
              <w:color w:val="auto"/>
              <w:sz w:val="32"/>
              <w:szCs w:val="32"/>
              <w:highlight w:val="none"/>
            </w:rPr>
            <w:fldChar w:fldCharType="end"/>
          </w:r>
          <w:r>
            <w:rPr>
              <w:rFonts w:hint="eastAsia" w:asciiTheme="minorEastAsia" w:hAnsiTheme="minorEastAsia" w:eastAsiaTheme="minorEastAsia" w:cstheme="minorEastAsia"/>
              <w:b/>
              <w:bCs/>
              <w:color w:val="auto"/>
              <w:sz w:val="32"/>
              <w:szCs w:val="32"/>
              <w:highlight w:val="none"/>
            </w:rPr>
            <w:fldChar w:fldCharType="end"/>
          </w:r>
        </w:p>
        <w:p w14:paraId="211465D7">
          <w:pPr>
            <w:pStyle w:val="124"/>
            <w:tabs>
              <w:tab w:val="right" w:leader="dot" w:pos="10064"/>
            </w:tabs>
            <w:spacing w:line="48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HYPERLINK \l _Toc12820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 xml:space="preserve">第二章 </w:t>
          </w:r>
          <w:r>
            <w:rPr>
              <w:rFonts w:hint="eastAsia" w:asciiTheme="minorEastAsia" w:hAnsiTheme="minorEastAsia" w:eastAsiaTheme="minorEastAsia" w:cstheme="minorEastAsia"/>
              <w:b/>
              <w:bCs/>
              <w:color w:val="auto"/>
              <w:sz w:val="32"/>
              <w:szCs w:val="32"/>
              <w:highlight w:val="none"/>
            </w:rPr>
            <w:t>谈判须知及前附表</w:t>
          </w:r>
          <w:r>
            <w:rPr>
              <w:rFonts w:hint="eastAsia" w:asciiTheme="minorEastAsia" w:hAnsiTheme="minorEastAsia" w:eastAsiaTheme="minorEastAsia" w:cstheme="minorEastAsia"/>
              <w:b/>
              <w:bCs/>
              <w:color w:val="auto"/>
              <w:sz w:val="32"/>
              <w:szCs w:val="32"/>
              <w:highlight w:val="none"/>
            </w:rPr>
            <w:tab/>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PAGEREF _Toc12820 \h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5</w:t>
          </w:r>
          <w:r>
            <w:rPr>
              <w:rFonts w:hint="eastAsia" w:asciiTheme="minorEastAsia" w:hAnsiTheme="minorEastAsia" w:eastAsiaTheme="minorEastAsia" w:cstheme="minorEastAsia"/>
              <w:b/>
              <w:bCs/>
              <w:color w:val="auto"/>
              <w:sz w:val="32"/>
              <w:szCs w:val="32"/>
              <w:highlight w:val="none"/>
            </w:rPr>
            <w:fldChar w:fldCharType="end"/>
          </w:r>
          <w:r>
            <w:rPr>
              <w:rFonts w:hint="eastAsia" w:asciiTheme="minorEastAsia" w:hAnsiTheme="minorEastAsia" w:eastAsiaTheme="minorEastAsia" w:cstheme="minorEastAsia"/>
              <w:b/>
              <w:bCs/>
              <w:color w:val="auto"/>
              <w:sz w:val="32"/>
              <w:szCs w:val="32"/>
              <w:highlight w:val="none"/>
            </w:rPr>
            <w:fldChar w:fldCharType="end"/>
          </w:r>
        </w:p>
        <w:p w14:paraId="74FBD4A1">
          <w:pPr>
            <w:pStyle w:val="124"/>
            <w:tabs>
              <w:tab w:val="right" w:leader="dot" w:pos="10064"/>
            </w:tabs>
            <w:spacing w:line="48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HYPERLINK \l _Toc22840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第三章 项目需求</w:t>
          </w:r>
          <w:r>
            <w:rPr>
              <w:rFonts w:hint="eastAsia" w:asciiTheme="minorEastAsia" w:hAnsiTheme="minorEastAsia" w:eastAsiaTheme="minorEastAsia" w:cstheme="minorEastAsia"/>
              <w:b/>
              <w:bCs/>
              <w:color w:val="auto"/>
              <w:sz w:val="32"/>
              <w:szCs w:val="32"/>
              <w:highlight w:val="none"/>
            </w:rPr>
            <w:tab/>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PAGEREF _Toc22840 \h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21</w:t>
          </w:r>
          <w:r>
            <w:rPr>
              <w:rFonts w:hint="eastAsia" w:asciiTheme="minorEastAsia" w:hAnsiTheme="minorEastAsia" w:eastAsiaTheme="minorEastAsia" w:cstheme="minorEastAsia"/>
              <w:b/>
              <w:bCs/>
              <w:color w:val="auto"/>
              <w:sz w:val="32"/>
              <w:szCs w:val="32"/>
              <w:highlight w:val="none"/>
            </w:rPr>
            <w:fldChar w:fldCharType="end"/>
          </w:r>
          <w:r>
            <w:rPr>
              <w:rFonts w:hint="eastAsia" w:asciiTheme="minorEastAsia" w:hAnsiTheme="minorEastAsia" w:eastAsiaTheme="minorEastAsia" w:cstheme="minorEastAsia"/>
              <w:b/>
              <w:bCs/>
              <w:color w:val="auto"/>
              <w:sz w:val="32"/>
              <w:szCs w:val="32"/>
              <w:highlight w:val="none"/>
            </w:rPr>
            <w:fldChar w:fldCharType="end"/>
          </w:r>
        </w:p>
        <w:p w14:paraId="5C279D61">
          <w:pPr>
            <w:pStyle w:val="124"/>
            <w:tabs>
              <w:tab w:val="right" w:leader="dot" w:pos="10064"/>
            </w:tabs>
            <w:spacing w:line="48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HYPERLINK \l _Toc19693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第四章 采购合同书（格式）</w:t>
          </w:r>
          <w:r>
            <w:rPr>
              <w:rFonts w:hint="eastAsia" w:asciiTheme="minorEastAsia" w:hAnsiTheme="minorEastAsia" w:eastAsiaTheme="minorEastAsia" w:cstheme="minorEastAsia"/>
              <w:b/>
              <w:bCs/>
              <w:color w:val="auto"/>
              <w:sz w:val="32"/>
              <w:szCs w:val="32"/>
              <w:highlight w:val="none"/>
            </w:rPr>
            <w:tab/>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PAGEREF _Toc19693 \h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33</w:t>
          </w:r>
          <w:r>
            <w:rPr>
              <w:rFonts w:hint="eastAsia" w:asciiTheme="minorEastAsia" w:hAnsiTheme="minorEastAsia" w:eastAsiaTheme="minorEastAsia" w:cstheme="minorEastAsia"/>
              <w:b/>
              <w:bCs/>
              <w:color w:val="auto"/>
              <w:sz w:val="32"/>
              <w:szCs w:val="32"/>
              <w:highlight w:val="none"/>
            </w:rPr>
            <w:fldChar w:fldCharType="end"/>
          </w:r>
          <w:r>
            <w:rPr>
              <w:rFonts w:hint="eastAsia" w:asciiTheme="minorEastAsia" w:hAnsiTheme="minorEastAsia" w:eastAsiaTheme="minorEastAsia" w:cstheme="minorEastAsia"/>
              <w:b/>
              <w:bCs/>
              <w:color w:val="auto"/>
              <w:sz w:val="32"/>
              <w:szCs w:val="32"/>
              <w:highlight w:val="none"/>
            </w:rPr>
            <w:fldChar w:fldCharType="end"/>
          </w:r>
        </w:p>
        <w:p w14:paraId="20556FC0">
          <w:pPr>
            <w:pStyle w:val="124"/>
            <w:tabs>
              <w:tab w:val="right" w:leader="dot" w:pos="10064"/>
            </w:tabs>
            <w:spacing w:line="48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HYPERLINK \l _Toc2690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第五章 竞争性谈判响应文件格式</w:t>
          </w:r>
          <w:r>
            <w:rPr>
              <w:rFonts w:hint="eastAsia" w:asciiTheme="minorEastAsia" w:hAnsiTheme="minorEastAsia" w:eastAsiaTheme="minorEastAsia" w:cstheme="minorEastAsia"/>
              <w:b/>
              <w:bCs/>
              <w:color w:val="auto"/>
              <w:sz w:val="32"/>
              <w:szCs w:val="32"/>
              <w:highlight w:val="none"/>
            </w:rPr>
            <w:tab/>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PAGEREF _Toc2690 \h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41</w:t>
          </w:r>
          <w:r>
            <w:rPr>
              <w:rFonts w:hint="eastAsia" w:asciiTheme="minorEastAsia" w:hAnsiTheme="minorEastAsia" w:eastAsiaTheme="minorEastAsia" w:cstheme="minorEastAsia"/>
              <w:b/>
              <w:bCs/>
              <w:color w:val="auto"/>
              <w:sz w:val="32"/>
              <w:szCs w:val="32"/>
              <w:highlight w:val="none"/>
            </w:rPr>
            <w:fldChar w:fldCharType="end"/>
          </w:r>
          <w:r>
            <w:rPr>
              <w:rFonts w:hint="eastAsia" w:asciiTheme="minorEastAsia" w:hAnsiTheme="minorEastAsia" w:eastAsiaTheme="minorEastAsia" w:cstheme="minorEastAsia"/>
              <w:b/>
              <w:bCs/>
              <w:color w:val="auto"/>
              <w:sz w:val="32"/>
              <w:szCs w:val="32"/>
              <w:highlight w:val="none"/>
            </w:rPr>
            <w:fldChar w:fldCharType="end"/>
          </w:r>
        </w:p>
        <w:p w14:paraId="47F250CB">
          <w:pPr>
            <w:pStyle w:val="124"/>
            <w:tabs>
              <w:tab w:val="right" w:leader="dot" w:pos="10064"/>
            </w:tabs>
            <w:spacing w:line="48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HYPERLINK \l _Toc22242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第六章 成交评审方法</w:t>
          </w:r>
          <w:r>
            <w:rPr>
              <w:rFonts w:hint="eastAsia" w:asciiTheme="minorEastAsia" w:hAnsiTheme="minorEastAsia" w:eastAsiaTheme="minorEastAsia" w:cstheme="minorEastAsia"/>
              <w:b/>
              <w:bCs/>
              <w:color w:val="auto"/>
              <w:sz w:val="32"/>
              <w:szCs w:val="32"/>
              <w:highlight w:val="none"/>
            </w:rPr>
            <w:tab/>
          </w:r>
          <w:r>
            <w:rPr>
              <w:rFonts w:hint="eastAsia" w:asciiTheme="minorEastAsia" w:hAnsiTheme="minorEastAsia" w:eastAsiaTheme="minorEastAsia" w:cstheme="minorEastAsia"/>
              <w:b/>
              <w:bCs/>
              <w:color w:val="auto"/>
              <w:sz w:val="32"/>
              <w:szCs w:val="32"/>
              <w:highlight w:val="none"/>
            </w:rPr>
            <w:fldChar w:fldCharType="begin"/>
          </w:r>
          <w:r>
            <w:rPr>
              <w:rFonts w:hint="eastAsia" w:asciiTheme="minorEastAsia" w:hAnsiTheme="minorEastAsia" w:eastAsiaTheme="minorEastAsia" w:cstheme="minorEastAsia"/>
              <w:b/>
              <w:bCs/>
              <w:color w:val="auto"/>
              <w:sz w:val="32"/>
              <w:szCs w:val="32"/>
              <w:highlight w:val="none"/>
            </w:rPr>
            <w:instrText xml:space="preserve"> PAGEREF _Toc22242 \h </w:instrText>
          </w:r>
          <w:r>
            <w:rPr>
              <w:rFonts w:hint="eastAsia" w:asciiTheme="minorEastAsia" w:hAnsiTheme="minorEastAsia" w:eastAsiaTheme="minorEastAsia" w:cstheme="minorEastAsia"/>
              <w:b/>
              <w:bCs/>
              <w:color w:val="auto"/>
              <w:sz w:val="32"/>
              <w:szCs w:val="32"/>
              <w:highlight w:val="none"/>
            </w:rPr>
            <w:fldChar w:fldCharType="separate"/>
          </w:r>
          <w:r>
            <w:rPr>
              <w:rFonts w:hint="eastAsia" w:asciiTheme="minorEastAsia" w:hAnsiTheme="minorEastAsia" w:eastAsiaTheme="minorEastAsia" w:cstheme="minorEastAsia"/>
              <w:b/>
              <w:bCs/>
              <w:color w:val="auto"/>
              <w:sz w:val="32"/>
              <w:szCs w:val="32"/>
              <w:highlight w:val="none"/>
            </w:rPr>
            <w:t>58</w:t>
          </w:r>
          <w:r>
            <w:rPr>
              <w:rFonts w:hint="eastAsia" w:asciiTheme="minorEastAsia" w:hAnsiTheme="minorEastAsia" w:eastAsiaTheme="minorEastAsia" w:cstheme="minorEastAsia"/>
              <w:b/>
              <w:bCs/>
              <w:color w:val="auto"/>
              <w:sz w:val="32"/>
              <w:szCs w:val="32"/>
              <w:highlight w:val="none"/>
            </w:rPr>
            <w:fldChar w:fldCharType="end"/>
          </w:r>
          <w:r>
            <w:rPr>
              <w:rFonts w:hint="eastAsia" w:asciiTheme="minorEastAsia" w:hAnsiTheme="minorEastAsia" w:eastAsiaTheme="minorEastAsia" w:cstheme="minorEastAsia"/>
              <w:b/>
              <w:bCs/>
              <w:color w:val="auto"/>
              <w:sz w:val="32"/>
              <w:szCs w:val="32"/>
              <w:highlight w:val="none"/>
            </w:rPr>
            <w:fldChar w:fldCharType="end"/>
          </w:r>
        </w:p>
        <w:p w14:paraId="36D8FA4E">
          <w:pPr>
            <w:pStyle w:val="18"/>
            <w:spacing w:line="480" w:lineRule="auto"/>
            <w:jc w:val="center"/>
            <w:outlineLvl w:val="9"/>
            <w:rPr>
              <w:rFonts w:hint="default" w:cs="Times New Roman" w:asciiTheme="minorEastAsia" w:hAnsiTheme="minorEastAsia" w:eastAsiaTheme="minorEastAsia"/>
              <w:color w:val="auto"/>
              <w:kern w:val="0"/>
              <w:sz w:val="20"/>
              <w:szCs w:val="28"/>
              <w:highlight w:val="none"/>
              <w:lang w:val="en-US" w:eastAsia="zh-CN" w:bidi="ar-SA"/>
            </w:rPr>
          </w:pPr>
          <w:r>
            <w:rPr>
              <w:rFonts w:hint="eastAsia" w:asciiTheme="minorEastAsia" w:hAnsiTheme="minorEastAsia" w:eastAsiaTheme="minorEastAsia" w:cstheme="minorEastAsia"/>
              <w:color w:val="auto"/>
              <w:sz w:val="32"/>
              <w:szCs w:val="32"/>
              <w:highlight w:val="none"/>
            </w:rPr>
            <w:fldChar w:fldCharType="end"/>
          </w:r>
        </w:p>
      </w:sdtContent>
    </w:sdt>
    <w:p w14:paraId="3E68A210">
      <w:pPr>
        <w:pStyle w:val="18"/>
        <w:spacing w:line="480" w:lineRule="auto"/>
        <w:jc w:val="center"/>
        <w:outlineLvl w:val="9"/>
        <w:rPr>
          <w:rFonts w:hint="default" w:cs="Times New Roman" w:asciiTheme="minorEastAsia" w:hAnsiTheme="minorEastAsia" w:eastAsiaTheme="minorEastAsia"/>
          <w:color w:val="auto"/>
          <w:kern w:val="0"/>
          <w:sz w:val="20"/>
          <w:szCs w:val="28"/>
          <w:highlight w:val="none"/>
          <w:lang w:val="en-US" w:eastAsia="zh-CN" w:bidi="ar-SA"/>
        </w:rPr>
      </w:pPr>
    </w:p>
    <w:p w14:paraId="5CE03E6F">
      <w:pPr>
        <w:adjustRightInd w:val="0"/>
        <w:snapToGrid w:val="0"/>
        <w:spacing w:line="480" w:lineRule="auto"/>
        <w:rPr>
          <w:b/>
          <w:bCs/>
          <w:color w:val="auto"/>
          <w:kern w:val="28"/>
          <w:highlight w:val="none"/>
        </w:rPr>
      </w:pPr>
    </w:p>
    <w:p w14:paraId="1DBA807D">
      <w:pPr>
        <w:adjustRightInd w:val="0"/>
        <w:snapToGrid w:val="0"/>
        <w:spacing w:line="540" w:lineRule="exact"/>
        <w:rPr>
          <w:rStyle w:val="51"/>
          <w:b w:val="0"/>
          <w:bCs w:val="0"/>
          <w:color w:val="auto"/>
          <w:kern w:val="2"/>
          <w:sz w:val="21"/>
          <w:szCs w:val="24"/>
          <w:highlight w:val="none"/>
        </w:rPr>
      </w:pPr>
      <w:r>
        <w:rPr>
          <w:color w:val="auto"/>
          <w:kern w:val="28"/>
          <w:highlight w:val="none"/>
        </w:rPr>
        <w:br w:type="page"/>
      </w:r>
    </w:p>
    <w:p w14:paraId="38F65DD8">
      <w:pPr>
        <w:numPr>
          <w:ilvl w:val="0"/>
          <w:numId w:val="3"/>
        </w:numPr>
        <w:jc w:val="center"/>
        <w:outlineLvl w:val="0"/>
        <w:rPr>
          <w:rStyle w:val="51"/>
          <w:color w:val="auto"/>
          <w:highlight w:val="none"/>
        </w:rPr>
      </w:pPr>
      <w:bookmarkStart w:id="0" w:name="_Toc1719468"/>
      <w:r>
        <w:rPr>
          <w:rStyle w:val="51"/>
          <w:rFonts w:hint="eastAsia"/>
          <w:color w:val="auto"/>
          <w:highlight w:val="none"/>
        </w:rPr>
        <w:t xml:space="preserve"> </w:t>
      </w:r>
      <w:bookmarkStart w:id="1" w:name="_Toc27359"/>
      <w:r>
        <w:rPr>
          <w:rStyle w:val="51"/>
          <w:rFonts w:hint="eastAsia"/>
          <w:color w:val="auto"/>
          <w:highlight w:val="none"/>
        </w:rPr>
        <w:t>竞争性谈判公告</w:t>
      </w:r>
      <w:bookmarkEnd w:id="0"/>
      <w:bookmarkEnd w:id="1"/>
    </w:p>
    <w:p w14:paraId="40FD77FD">
      <w:pPr>
        <w:outlineLvl w:val="9"/>
        <w:rPr>
          <w:rStyle w:val="51"/>
          <w:color w:val="auto"/>
          <w:highlight w:val="none"/>
        </w:rPr>
      </w:pPr>
    </w:p>
    <w:p w14:paraId="653BD892">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广西中信恒泰工程顾问有限公司</w:t>
      </w:r>
    </w:p>
    <w:p w14:paraId="0BC8B90B">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全自动染色体核型分析及扫描设备采购项目</w:t>
      </w:r>
      <w:r>
        <w:rPr>
          <w:rFonts w:hint="eastAsia" w:ascii="宋体" w:hAnsi="宋体" w:cs="宋体"/>
          <w:b/>
          <w:color w:val="auto"/>
          <w:kern w:val="0"/>
          <w:sz w:val="24"/>
          <w:szCs w:val="24"/>
          <w:highlight w:val="none"/>
          <w:lang w:val="en-US" w:eastAsia="zh-CN"/>
        </w:rPr>
        <w:t>WZ</w:t>
      </w:r>
      <w:r>
        <w:rPr>
          <w:rFonts w:hint="eastAsia" w:ascii="宋体" w:hAnsi="宋体" w:cs="宋体"/>
          <w:b/>
          <w:color w:val="auto"/>
          <w:kern w:val="0"/>
          <w:sz w:val="24"/>
          <w:szCs w:val="24"/>
          <w:highlight w:val="none"/>
          <w:lang w:eastAsia="zh-CN"/>
        </w:rPr>
        <w:t>ZC2025-J1-990131-GXZX</w:t>
      </w:r>
      <w:r>
        <w:rPr>
          <w:rFonts w:hint="eastAsia" w:ascii="宋体" w:hAnsi="宋体" w:cs="宋体"/>
          <w:b/>
          <w:color w:val="auto"/>
          <w:kern w:val="0"/>
          <w:sz w:val="24"/>
          <w:szCs w:val="24"/>
          <w:highlight w:val="none"/>
        </w:rPr>
        <w:t>）</w:t>
      </w:r>
    </w:p>
    <w:p w14:paraId="75C3726A">
      <w:pPr>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竞争性谈判公告</w:t>
      </w:r>
      <w:bookmarkStart w:id="2" w:name="_Toc8223"/>
      <w:bookmarkStart w:id="3" w:name="_Toc7229"/>
      <w:bookmarkStart w:id="4" w:name="_Toc14464"/>
    </w:p>
    <w:p w14:paraId="0397C19C">
      <w:pPr>
        <w:pStyle w:val="76"/>
        <w:spacing w:line="380" w:lineRule="exact"/>
        <w:ind w:left="420" w:firstLine="0" w:firstLineChars="0"/>
        <w:rPr>
          <w:rFonts w:ascii="宋体" w:hAnsi="宋体"/>
          <w:color w:val="auto"/>
          <w:szCs w:val="21"/>
          <w:highlight w:val="none"/>
        </w:rPr>
      </w:pPr>
    </w:p>
    <w:p w14:paraId="118CB374">
      <w:pPr>
        <w:pStyle w:val="76"/>
        <w:pBdr>
          <w:top w:val="single" w:color="auto" w:sz="4" w:space="1"/>
          <w:left w:val="single" w:color="auto" w:sz="4" w:space="1"/>
          <w:bottom w:val="single" w:color="auto" w:sz="4" w:space="3"/>
          <w:right w:val="single" w:color="auto" w:sz="4" w:space="4"/>
        </w:pBdr>
        <w:spacing w:line="360" w:lineRule="auto"/>
        <w:ind w:firstLine="422"/>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项目概况</w:t>
      </w:r>
    </w:p>
    <w:p w14:paraId="2B28138E">
      <w:pPr>
        <w:pStyle w:val="76"/>
        <w:pBdr>
          <w:top w:val="single" w:color="auto" w:sz="4" w:space="1"/>
          <w:left w:val="single" w:color="auto" w:sz="4" w:space="1"/>
          <w:bottom w:val="single" w:color="auto" w:sz="4" w:space="3"/>
          <w:right w:val="single" w:color="auto" w:sz="4" w:space="4"/>
        </w:pBd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全自动染色体核型分析及扫描设备采购项目的潜在供应商应在广西政府采购云平台（https://www.gcy.zfcg.gxzf.gov.cn/）获取采购文件，并于</w:t>
      </w:r>
      <w:r>
        <w:rPr>
          <w:rFonts w:hint="eastAsia" w:asciiTheme="minorEastAsia" w:hAnsiTheme="minorEastAsia" w:eastAsiaTheme="minorEastAsia" w:cstheme="minorEastAsia"/>
          <w:color w:val="auto"/>
          <w:sz w:val="24"/>
          <w:szCs w:val="24"/>
          <w:highlight w:val="none"/>
          <w:lang w:eastAsia="zh-CN"/>
        </w:rPr>
        <w:t>2025年7月30日上午9点00分</w:t>
      </w:r>
      <w:r>
        <w:rPr>
          <w:rFonts w:hint="eastAsia" w:asciiTheme="minorEastAsia" w:hAnsiTheme="minorEastAsia" w:eastAsiaTheme="minorEastAsia" w:cstheme="minorEastAsia"/>
          <w:color w:val="auto"/>
          <w:sz w:val="24"/>
          <w:szCs w:val="24"/>
          <w:highlight w:val="none"/>
        </w:rPr>
        <w:t>（北京时间）前提交响应文件。</w:t>
      </w:r>
    </w:p>
    <w:p w14:paraId="38AC30A9">
      <w:pPr>
        <w:pStyle w:val="31"/>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一、项目基本情况</w:t>
      </w:r>
    </w:p>
    <w:p w14:paraId="3F00947F">
      <w:pPr>
        <w:pStyle w:val="31"/>
        <w:spacing w:before="0" w:beforeAutospacing="0" w:after="0" w:afterAutospacing="0"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项目编号：</w:t>
      </w:r>
      <w:r>
        <w:rPr>
          <w:rFonts w:hint="eastAsia" w:cs="宋体"/>
          <w:color w:val="auto"/>
          <w:sz w:val="24"/>
          <w:szCs w:val="24"/>
          <w:highlight w:val="none"/>
          <w:lang w:val="en-US" w:eastAsia="zh-CN"/>
        </w:rPr>
        <w:t>W</w:t>
      </w:r>
      <w:r>
        <w:rPr>
          <w:rFonts w:hint="eastAsia" w:cs="宋体"/>
          <w:color w:val="auto"/>
          <w:sz w:val="24"/>
          <w:szCs w:val="24"/>
          <w:highlight w:val="none"/>
          <w:lang w:eastAsia="zh-CN"/>
        </w:rPr>
        <w:t>ZZC2025-J1-990131-GXZX</w:t>
      </w:r>
    </w:p>
    <w:p w14:paraId="5C479994">
      <w:pPr>
        <w:pStyle w:val="31"/>
        <w:spacing w:before="0" w:beforeAutospacing="0" w:after="0" w:afterAutospacing="0"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项目名称：</w:t>
      </w:r>
      <w:r>
        <w:rPr>
          <w:rFonts w:hint="eastAsia" w:cs="宋体"/>
          <w:color w:val="auto"/>
          <w:sz w:val="24"/>
          <w:szCs w:val="24"/>
          <w:highlight w:val="none"/>
          <w:lang w:eastAsia="zh-CN"/>
        </w:rPr>
        <w:t>全自动染色体核型分析及扫描设备采购项目</w:t>
      </w:r>
    </w:p>
    <w:p w14:paraId="1F1F719C">
      <w:pPr>
        <w:pStyle w:val="31"/>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采购方式：竞争性谈判</w:t>
      </w:r>
    </w:p>
    <w:p w14:paraId="761D54D7">
      <w:pPr>
        <w:pStyle w:val="31"/>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预算金额：</w:t>
      </w:r>
      <w:r>
        <w:rPr>
          <w:rFonts w:hint="eastAsia" w:cs="宋体"/>
          <w:color w:val="auto"/>
          <w:sz w:val="24"/>
          <w:szCs w:val="24"/>
          <w:highlight w:val="none"/>
          <w:lang w:eastAsia="zh-CN"/>
        </w:rPr>
        <w:t>140万元</w:t>
      </w:r>
      <w:r>
        <w:rPr>
          <w:rFonts w:hint="eastAsia" w:cs="宋体"/>
          <w:color w:val="auto"/>
          <w:sz w:val="24"/>
          <w:szCs w:val="24"/>
          <w:highlight w:val="none"/>
        </w:rPr>
        <w:t>。</w:t>
      </w:r>
    </w:p>
    <w:p w14:paraId="4EBADC60">
      <w:pPr>
        <w:pStyle w:val="31"/>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最高限价：</w:t>
      </w:r>
      <w:r>
        <w:rPr>
          <w:rFonts w:hint="eastAsia" w:cs="宋体"/>
          <w:color w:val="auto"/>
          <w:sz w:val="24"/>
          <w:szCs w:val="24"/>
          <w:highlight w:val="none"/>
          <w:lang w:eastAsia="zh-CN"/>
        </w:rPr>
        <w:t>140万元</w:t>
      </w:r>
      <w:r>
        <w:rPr>
          <w:rFonts w:hint="eastAsia" w:cs="宋体"/>
          <w:color w:val="auto"/>
          <w:sz w:val="24"/>
          <w:szCs w:val="24"/>
          <w:highlight w:val="none"/>
        </w:rPr>
        <w:t>。</w:t>
      </w:r>
    </w:p>
    <w:p w14:paraId="451BCC53">
      <w:pPr>
        <w:pStyle w:val="31"/>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采购需求：</w:t>
      </w:r>
      <w:r>
        <w:rPr>
          <w:rFonts w:hint="eastAsia" w:cs="宋体"/>
          <w:color w:val="auto"/>
          <w:sz w:val="24"/>
          <w:szCs w:val="24"/>
          <w:highlight w:val="none"/>
          <w:lang w:eastAsia="zh-CN"/>
        </w:rPr>
        <w:t>全自动染色体核型分析及扫描设备1套</w:t>
      </w:r>
      <w:r>
        <w:rPr>
          <w:rFonts w:hint="eastAsia" w:cs="宋体"/>
          <w:color w:val="auto"/>
          <w:sz w:val="24"/>
          <w:szCs w:val="24"/>
          <w:highlight w:val="none"/>
        </w:rPr>
        <w:t>，具体详见项目需求。</w:t>
      </w:r>
    </w:p>
    <w:p w14:paraId="65DAC67B">
      <w:pPr>
        <w:pStyle w:val="31"/>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交货时间：</w:t>
      </w:r>
      <w:r>
        <w:rPr>
          <w:rFonts w:hint="eastAsia" w:cs="宋体"/>
          <w:color w:val="auto"/>
          <w:sz w:val="24"/>
          <w:szCs w:val="24"/>
          <w:highlight w:val="none"/>
          <w:lang w:eastAsia="zh-CN"/>
        </w:rPr>
        <w:t>合同签订后30天内交货并安装验收完毕</w:t>
      </w:r>
      <w:r>
        <w:rPr>
          <w:rFonts w:hint="eastAsia" w:cs="宋体"/>
          <w:color w:val="auto"/>
          <w:sz w:val="24"/>
          <w:szCs w:val="24"/>
          <w:highlight w:val="none"/>
        </w:rPr>
        <w:t>。</w:t>
      </w:r>
    </w:p>
    <w:p w14:paraId="165A30D2">
      <w:pPr>
        <w:pStyle w:val="31"/>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本项目不接受联合体。</w:t>
      </w:r>
    </w:p>
    <w:p w14:paraId="51B03971">
      <w:pPr>
        <w:pStyle w:val="31"/>
        <w:spacing w:before="0" w:beforeAutospacing="0" w:after="0" w:afterAutospacing="0" w:line="360" w:lineRule="auto"/>
        <w:ind w:firstLine="480" w:firstLineChars="200"/>
        <w:rPr>
          <w:rFonts w:cs="宋体"/>
          <w:color w:val="auto"/>
          <w:sz w:val="24"/>
          <w:szCs w:val="24"/>
          <w:highlight w:val="none"/>
        </w:rPr>
      </w:pPr>
      <w:bookmarkStart w:id="5" w:name="_Toc35393799"/>
      <w:bookmarkStart w:id="6" w:name="_Toc35393630"/>
      <w:bookmarkStart w:id="7" w:name="_Toc28359013"/>
      <w:bookmarkStart w:id="8" w:name="_Toc28359090"/>
      <w:r>
        <w:rPr>
          <w:rFonts w:hint="eastAsia" w:cs="宋体"/>
          <w:color w:val="auto"/>
          <w:sz w:val="24"/>
          <w:szCs w:val="24"/>
          <w:highlight w:val="none"/>
        </w:rPr>
        <w:t>二、申请人的资格要求：</w:t>
      </w:r>
      <w:bookmarkEnd w:id="5"/>
      <w:bookmarkEnd w:id="6"/>
      <w:bookmarkEnd w:id="7"/>
      <w:bookmarkEnd w:id="8"/>
    </w:p>
    <w:p w14:paraId="37D03F86">
      <w:pPr>
        <w:pStyle w:val="31"/>
        <w:spacing w:before="0" w:beforeAutospacing="0" w:after="0" w:afterAutospacing="0"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1.满足《中华人民共和国政府采购法》第二十二条规定； </w:t>
      </w:r>
    </w:p>
    <w:p w14:paraId="211B6240">
      <w:pPr>
        <w:pStyle w:val="31"/>
        <w:spacing w:before="0" w:beforeAutospacing="0" w:after="0" w:afterAutospacing="0" w:line="360" w:lineRule="auto"/>
        <w:ind w:firstLine="480" w:firstLineChars="200"/>
        <w:rPr>
          <w:rFonts w:cs="宋体"/>
          <w:bCs/>
          <w:color w:val="auto"/>
          <w:sz w:val="24"/>
          <w:szCs w:val="24"/>
          <w:highlight w:val="none"/>
        </w:rPr>
      </w:pPr>
      <w:r>
        <w:rPr>
          <w:rFonts w:hint="eastAsia" w:cs="宋体"/>
          <w:bCs/>
          <w:color w:val="auto"/>
          <w:sz w:val="24"/>
          <w:szCs w:val="24"/>
          <w:highlight w:val="none"/>
        </w:rPr>
        <w:t>2.单位负责人为同一人或者存在直接控股、管理关系的不同供应商，不得参加同一合同项下的政府采购活动。</w:t>
      </w:r>
    </w:p>
    <w:p w14:paraId="3A0E6E5A">
      <w:pPr>
        <w:pStyle w:val="31"/>
        <w:spacing w:before="0" w:beforeAutospacing="0" w:after="0" w:afterAutospacing="0" w:line="360" w:lineRule="auto"/>
        <w:ind w:firstLine="480" w:firstLineChars="200"/>
        <w:rPr>
          <w:rFonts w:cs="宋体"/>
          <w:bCs/>
          <w:color w:val="auto"/>
          <w:sz w:val="24"/>
          <w:szCs w:val="24"/>
          <w:highlight w:val="none"/>
        </w:rPr>
      </w:pPr>
      <w:r>
        <w:rPr>
          <w:rFonts w:hint="eastAsia" w:cs="宋体"/>
          <w:bCs/>
          <w:color w:val="auto"/>
          <w:sz w:val="24"/>
          <w:szCs w:val="24"/>
          <w:highlight w:val="none"/>
        </w:rPr>
        <w:t>3.对在“信用中国”网站、中国政府采购网等渠道列入失信被执行人、重大税收违法失信主体、政府采购严重违法失信行为记录名单的，不得参与政府采购活动。</w:t>
      </w:r>
    </w:p>
    <w:p w14:paraId="049F0B4C">
      <w:pPr>
        <w:snapToGrid w:val="0"/>
        <w:spacing w:line="324" w:lineRule="auto"/>
        <w:ind w:firstLine="480" w:firstLineChars="200"/>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4.本项目的特定资格要求：</w:t>
      </w:r>
      <w:r>
        <w:rPr>
          <w:rFonts w:hint="eastAsia" w:ascii="宋体" w:hAnsi="宋体"/>
          <w:color w:val="auto"/>
          <w:sz w:val="24"/>
          <w:szCs w:val="24"/>
          <w:highlight w:val="none"/>
        </w:rPr>
        <w:t>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如为一类医疗器械，竞标供应商为生产厂商时须提供备案证明，若供应商为代理商，无需提供备案证明；如为二类医疗器械，供应商必须提供有效的医疗器械生产许可证（供应商为制造厂商时）或第二类医疗器械经营备案凭证复印件，无须提供医疗器械经营许可证复印件（供应商为代理商时）；如为三类医疗器械，供应商必须提供有效的医疗器械生产许可证复印件（供应商为制造厂商时）或医疗器械经营许可证复印件（供应商为代理商时）</w:t>
      </w:r>
      <w:r>
        <w:rPr>
          <w:rFonts w:hint="eastAsia" w:ascii="宋体" w:hAnsi="宋体"/>
          <w:color w:val="auto"/>
          <w:sz w:val="24"/>
          <w:szCs w:val="24"/>
          <w:highlight w:val="none"/>
          <w:lang w:eastAsia="zh-CN"/>
        </w:rPr>
        <w:t>。</w:t>
      </w:r>
    </w:p>
    <w:p w14:paraId="663A99B5">
      <w:pPr>
        <w:pStyle w:val="31"/>
        <w:spacing w:before="0" w:beforeAutospacing="0" w:after="0" w:afterAutospacing="0" w:line="360" w:lineRule="auto"/>
        <w:ind w:firstLine="480" w:firstLineChars="200"/>
        <w:rPr>
          <w:rFonts w:cs="宋体"/>
          <w:bCs/>
          <w:color w:val="auto"/>
          <w:sz w:val="24"/>
          <w:szCs w:val="24"/>
          <w:highlight w:val="none"/>
        </w:rPr>
      </w:pPr>
      <w:r>
        <w:rPr>
          <w:rFonts w:hint="eastAsia" w:cs="宋体"/>
          <w:bCs/>
          <w:color w:val="auto"/>
          <w:sz w:val="24"/>
          <w:szCs w:val="24"/>
          <w:highlight w:val="none"/>
        </w:rPr>
        <w:t>5.落实政府采购政策需满足的资格要求：</w:t>
      </w:r>
      <w:r>
        <w:rPr>
          <w:rFonts w:hint="eastAsia" w:cs="宋体"/>
          <w:b/>
          <w:bCs w:val="0"/>
          <w:color w:val="auto"/>
          <w:sz w:val="24"/>
          <w:szCs w:val="24"/>
          <w:highlight w:val="none"/>
        </w:rPr>
        <w:t>本项目专门面向中小企业采购</w:t>
      </w:r>
      <w:r>
        <w:rPr>
          <w:rFonts w:hint="eastAsia" w:cs="宋体"/>
          <w:bCs/>
          <w:color w:val="auto"/>
          <w:sz w:val="24"/>
          <w:szCs w:val="24"/>
          <w:highlight w:val="none"/>
        </w:rPr>
        <w:t>（供应商所提供产品制造商均为中小微企业或残疾人福利企业或监狱企业)</w:t>
      </w:r>
    </w:p>
    <w:p w14:paraId="62B32941">
      <w:pPr>
        <w:pStyle w:val="31"/>
        <w:spacing w:before="0" w:beforeAutospacing="0" w:after="0" w:afterAutospacing="0" w:line="360" w:lineRule="auto"/>
        <w:ind w:firstLine="480" w:firstLineChars="200"/>
        <w:rPr>
          <w:rFonts w:cs="宋体"/>
          <w:bCs/>
          <w:color w:val="auto"/>
          <w:sz w:val="24"/>
          <w:szCs w:val="24"/>
          <w:highlight w:val="none"/>
        </w:rPr>
      </w:pPr>
      <w:r>
        <w:rPr>
          <w:rFonts w:hint="eastAsia" w:cs="宋体"/>
          <w:bCs/>
          <w:color w:val="auto"/>
          <w:sz w:val="24"/>
          <w:szCs w:val="24"/>
          <w:highlight w:val="none"/>
        </w:rPr>
        <w:t>6.不接受未通过</w:t>
      </w:r>
      <w:r>
        <w:rPr>
          <w:rFonts w:hint="eastAsia" w:ascii="宋体" w:hAnsi="宋体" w:eastAsia="宋体" w:cs="宋体"/>
          <w:color w:val="auto"/>
          <w:sz w:val="24"/>
          <w:szCs w:val="24"/>
          <w:highlight w:val="none"/>
          <w:u w:val="single"/>
        </w:rPr>
        <w:t>广西政府采购云平台（https://www.gcy.zfcg.gxzf.gov.cn/）</w:t>
      </w:r>
      <w:r>
        <w:rPr>
          <w:rFonts w:hint="eastAsia" w:cs="宋体"/>
          <w:bCs/>
          <w:color w:val="auto"/>
          <w:sz w:val="24"/>
          <w:szCs w:val="24"/>
          <w:highlight w:val="none"/>
        </w:rPr>
        <w:t>获取本项目竞争性谈判采购文件的供应商参加谈判。</w:t>
      </w:r>
    </w:p>
    <w:p w14:paraId="5BEAAB77">
      <w:pPr>
        <w:keepNext w:val="0"/>
        <w:keepLines w:val="0"/>
        <w:pageBreakBefore w:val="0"/>
        <w:kinsoku/>
        <w:wordWrap/>
        <w:overflowPunct/>
        <w:topLinePunct w:val="0"/>
        <w:autoSpaceDE/>
        <w:autoSpaceDN/>
        <w:bidi w:val="0"/>
        <w:adjustRightInd/>
        <w:snapToGrid w:val="0"/>
        <w:spacing w:line="48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三、获取采购文件</w:t>
      </w:r>
    </w:p>
    <w:p w14:paraId="038BE708">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1.时间：</w:t>
      </w:r>
      <w:r>
        <w:rPr>
          <w:rFonts w:hint="eastAsia" w:ascii="宋体" w:hAnsi="宋体" w:cs="宋体"/>
          <w:b/>
          <w:bCs/>
          <w:color w:val="auto"/>
          <w:sz w:val="24"/>
          <w:szCs w:val="24"/>
          <w:highlight w:val="none"/>
          <w:lang w:eastAsia="zh-CN"/>
        </w:rPr>
        <w:t>2025年7月</w:t>
      </w:r>
      <w:r>
        <w:rPr>
          <w:rFonts w:hint="eastAsia" w:ascii="宋体" w:hAnsi="宋体" w:cs="宋体"/>
          <w:b/>
          <w:bCs/>
          <w:color w:val="auto"/>
          <w:sz w:val="24"/>
          <w:szCs w:val="24"/>
          <w:highlight w:val="none"/>
          <w:lang w:val="en-US" w:eastAsia="zh-CN"/>
        </w:rPr>
        <w:t>24</w:t>
      </w:r>
      <w:r>
        <w:rPr>
          <w:rFonts w:hint="eastAsia" w:ascii="宋体" w:hAnsi="宋体" w:cs="宋体"/>
          <w:b/>
          <w:bCs/>
          <w:color w:val="auto"/>
          <w:sz w:val="24"/>
          <w:szCs w:val="24"/>
          <w:highlight w:val="none"/>
          <w:lang w:eastAsia="zh-CN"/>
        </w:rPr>
        <w:t>日至 2025年7月</w:t>
      </w:r>
      <w:r>
        <w:rPr>
          <w:rFonts w:hint="eastAsia" w:ascii="宋体" w:hAnsi="宋体" w:cs="宋体"/>
          <w:b/>
          <w:bCs/>
          <w:color w:val="auto"/>
          <w:sz w:val="24"/>
          <w:szCs w:val="24"/>
          <w:highlight w:val="none"/>
          <w:lang w:val="en-US" w:eastAsia="zh-CN"/>
        </w:rPr>
        <w:t>29</w:t>
      </w:r>
      <w:r>
        <w:rPr>
          <w:rFonts w:hint="eastAsia" w:ascii="宋体" w:hAnsi="宋体" w:cs="宋体"/>
          <w:b/>
          <w:bCs/>
          <w:color w:val="auto"/>
          <w:sz w:val="24"/>
          <w:szCs w:val="24"/>
          <w:highlight w:val="none"/>
          <w:lang w:eastAsia="zh-CN"/>
        </w:rPr>
        <w:t>日</w:t>
      </w:r>
      <w:r>
        <w:rPr>
          <w:rFonts w:hint="eastAsia" w:ascii="宋体" w:hAnsi="宋体" w:eastAsia="宋体" w:cs="宋体"/>
          <w:b/>
          <w:bCs/>
          <w:color w:val="auto"/>
          <w:sz w:val="24"/>
          <w:szCs w:val="24"/>
          <w:highlight w:val="none"/>
          <w:lang w:val="en-US" w:eastAsia="zh-CN"/>
        </w:rPr>
        <w:t>,每天上午00:00至12:00，下午12:00至23:59（北京时间，法定节假日除外）（北京时间，法定节假日除外）</w:t>
      </w:r>
    </w:p>
    <w:p w14:paraId="30EA153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2.地点（网址）：广西政府采购云平台线上获取</w:t>
      </w:r>
    </w:p>
    <w:p w14:paraId="065EF09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方式：应商登录广西政府采购云平台（https://www.gcy.zfcg.gxzf.gov.cn/）在线申请获取采购文件（进入“项目采购”应用，在获取采购文件菜单中选择项目，申请获取采购文件）  </w:t>
      </w:r>
    </w:p>
    <w:p w14:paraId="1FAFD26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售价（元）：0 </w:t>
      </w:r>
    </w:p>
    <w:p w14:paraId="1646A38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在规定的时间内按上述方式获取</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才具有</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资格，否则</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无效。</w:t>
      </w:r>
    </w:p>
    <w:p w14:paraId="31A5BD27">
      <w:pPr>
        <w:widowControl/>
        <w:snapToGrid w:val="0"/>
        <w:spacing w:line="360" w:lineRule="auto"/>
        <w:ind w:firstLine="482" w:firstLineChars="200"/>
        <w:jc w:val="left"/>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四、提交响应文件截止时间、开标时间和地点</w:t>
      </w:r>
    </w:p>
    <w:p w14:paraId="5E5AFBF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eastAsia="zh-CN"/>
        </w:rPr>
        <w:t>2025年7月30日上午9点00分</w:t>
      </w:r>
      <w:r>
        <w:rPr>
          <w:rFonts w:hint="eastAsia" w:ascii="宋体" w:hAnsi="宋体" w:eastAsia="宋体" w:cs="宋体"/>
          <w:color w:val="auto"/>
          <w:sz w:val="24"/>
          <w:szCs w:val="24"/>
          <w:highlight w:val="none"/>
        </w:rPr>
        <w:t>（北京时间）</w:t>
      </w:r>
    </w:p>
    <w:p w14:paraId="3CED3B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地点（网址）：本项目为电子化项目，通过“广西政府采购云平台（https://www.gcy.zfcg.gxzf.gov.cn/）实行在线电子</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，供应商应先安装“广西政府采购云平台电子交易客户端”（请自行前往“广西政府采购云平台”平台进行下载），并按照本项目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和“广西政府采购云平台”的要求编制、加密后在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前通过网络上传至“</w:t>
      </w:r>
      <w:r>
        <w:rPr>
          <w:rFonts w:hint="eastAsia" w:ascii="宋体" w:hAnsi="宋体" w:eastAsia="宋体" w:cs="宋体"/>
          <w:color w:val="auto"/>
          <w:sz w:val="24"/>
          <w:szCs w:val="24"/>
          <w:highlight w:val="none"/>
        </w:rPr>
        <w:t>广西政府采购云平台”。  </w:t>
      </w:r>
    </w:p>
    <w:p w14:paraId="74F42F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2025年7月30日上午9点00分</w:t>
      </w:r>
      <w:r>
        <w:rPr>
          <w:rFonts w:hint="eastAsia" w:ascii="宋体" w:hAnsi="宋体" w:eastAsia="宋体" w:cs="宋体"/>
          <w:color w:val="auto"/>
          <w:sz w:val="24"/>
          <w:szCs w:val="24"/>
          <w:highlight w:val="none"/>
        </w:rPr>
        <w:t>（北京时间）</w:t>
      </w:r>
    </w:p>
    <w:p w14:paraId="19F2BF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开标地点：广西政府采购云平台开标大厅。（本项目为全流程电子化项目，通过“广西政府采购云平台”（https://www.gcy.zfcg.gxzf.gov.cn/）实行在线电子</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。不要求供应商到达开标现场，但供应商应派法定代表人或委托代理人准时在线出席电子开评标会议，随时关注开评标进度，如在开评标过程中有电子询标，应在规定的时间内对电子询标函进行澄清回复。）</w:t>
      </w:r>
    </w:p>
    <w:p w14:paraId="08AF7C25">
      <w:pPr>
        <w:widowControl/>
        <w:snapToGrid w:val="0"/>
        <w:spacing w:line="360" w:lineRule="auto"/>
        <w:ind w:firstLine="482" w:firstLineChars="200"/>
        <w:jc w:val="left"/>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五、公告期限</w:t>
      </w:r>
    </w:p>
    <w:p w14:paraId="34F6AE2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103334A6">
      <w:pPr>
        <w:widowControl/>
        <w:snapToGrid w:val="0"/>
        <w:spacing w:line="36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六</w:t>
      </w:r>
      <w:r>
        <w:rPr>
          <w:rFonts w:hint="eastAsia" w:ascii="宋体" w:hAnsi="宋体" w:cs="宋体"/>
          <w:b/>
          <w:color w:val="auto"/>
          <w:kern w:val="0"/>
          <w:sz w:val="24"/>
          <w:szCs w:val="24"/>
          <w:highlight w:val="none"/>
        </w:rPr>
        <w:t>、谈判保证金金额：</w:t>
      </w:r>
      <w:r>
        <w:rPr>
          <w:rFonts w:hint="eastAsia" w:ascii="宋体" w:hAnsi="宋体" w:cs="宋体"/>
          <w:b/>
          <w:color w:val="auto"/>
          <w:kern w:val="0"/>
          <w:sz w:val="24"/>
          <w:szCs w:val="24"/>
          <w:highlight w:val="none"/>
          <w:u w:val="single"/>
        </w:rPr>
        <w:t>人民币</w:t>
      </w:r>
      <w:r>
        <w:rPr>
          <w:rFonts w:hint="eastAsia" w:ascii="宋体" w:hAnsi="宋体" w:cs="宋体"/>
          <w:b/>
          <w:color w:val="auto"/>
          <w:kern w:val="0"/>
          <w:sz w:val="24"/>
          <w:szCs w:val="24"/>
          <w:highlight w:val="none"/>
          <w:u w:val="single"/>
          <w:lang w:eastAsia="zh-CN"/>
        </w:rPr>
        <w:t>捌仟元整</w:t>
      </w: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u w:val="single"/>
          <w:lang w:val="en-US" w:eastAsia="zh-CN"/>
        </w:rPr>
        <w:t>8000.00</w:t>
      </w:r>
      <w:r>
        <w:rPr>
          <w:rFonts w:hint="eastAsia" w:ascii="宋体" w:hAnsi="宋体" w:cs="宋体"/>
          <w:b/>
          <w:color w:val="auto"/>
          <w:kern w:val="0"/>
          <w:sz w:val="24"/>
          <w:szCs w:val="24"/>
          <w:highlight w:val="none"/>
        </w:rPr>
        <w:t>）</w:t>
      </w:r>
      <w:r>
        <w:rPr>
          <w:rFonts w:hint="eastAsia" w:ascii="宋体" w:hAnsi="宋体" w:cs="宋体"/>
          <w:color w:val="auto"/>
          <w:kern w:val="0"/>
          <w:sz w:val="24"/>
          <w:szCs w:val="24"/>
          <w:highlight w:val="none"/>
        </w:rPr>
        <w:t>【保证金专用账户及缴纳方式详见谈判须知前附表】。</w:t>
      </w:r>
    </w:p>
    <w:p w14:paraId="2AF6F51F">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bCs/>
          <w:color w:val="auto"/>
          <w:sz w:val="24"/>
          <w:szCs w:val="24"/>
          <w:highlight w:val="none"/>
        </w:rPr>
        <w:t>其他补充事宜</w:t>
      </w:r>
    </w:p>
    <w:p w14:paraId="04A680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1、网上公告媒体查询：中国政府采购网（http://www.ccgp.gov.cn）、广西壮族自治区政府采购网（http://zfcg.gxzf.gov.cn/）、梧州市政府采购网（http://218.21.70.237:8090/web/cgw/index.ptl）</w:t>
      </w:r>
    </w:p>
    <w:p w14:paraId="22A260B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rPr>
        <w:t>项目需要落实的政府采购政策：</w:t>
      </w:r>
    </w:p>
    <w:p w14:paraId="4F49BA5B">
      <w:pPr>
        <w:pStyle w:val="13"/>
        <w:numPr>
          <w:ilvl w:val="0"/>
          <w:numId w:val="0"/>
        </w:numPr>
        <w:kinsoku w:val="0"/>
        <w:overflowPunct w:val="0"/>
        <w:spacing w:before="16" w:line="420" w:lineRule="exact"/>
        <w:ind w:left="400" w:leftChars="0" w:right="4585" w:right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政</w:t>
      </w:r>
      <w:r>
        <w:rPr>
          <w:rFonts w:hint="eastAsia" w:ascii="宋体" w:hAnsi="宋体" w:eastAsia="宋体" w:cs="宋体"/>
          <w:color w:val="auto"/>
          <w:spacing w:val="2"/>
          <w:sz w:val="24"/>
          <w:szCs w:val="24"/>
          <w:highlight w:val="none"/>
        </w:rPr>
        <w:t>府</w:t>
      </w:r>
      <w:r>
        <w:rPr>
          <w:rFonts w:hint="eastAsia" w:ascii="宋体" w:hAnsi="宋体" w:eastAsia="宋体" w:cs="宋体"/>
          <w:color w:val="auto"/>
          <w:spacing w:val="-1"/>
          <w:sz w:val="24"/>
          <w:szCs w:val="24"/>
          <w:highlight w:val="none"/>
        </w:rPr>
        <w:t>采</w:t>
      </w:r>
      <w:r>
        <w:rPr>
          <w:rFonts w:hint="eastAsia" w:ascii="宋体" w:hAnsi="宋体" w:eastAsia="宋体" w:cs="宋体"/>
          <w:color w:val="auto"/>
          <w:spacing w:val="2"/>
          <w:sz w:val="24"/>
          <w:szCs w:val="24"/>
          <w:highlight w:val="none"/>
        </w:rPr>
        <w:t>购</w:t>
      </w:r>
      <w:r>
        <w:rPr>
          <w:rFonts w:hint="eastAsia" w:ascii="宋体" w:hAnsi="宋体" w:eastAsia="宋体" w:cs="宋体"/>
          <w:color w:val="auto"/>
          <w:spacing w:val="-1"/>
          <w:sz w:val="24"/>
          <w:szCs w:val="24"/>
          <w:highlight w:val="none"/>
        </w:rPr>
        <w:t>促</w:t>
      </w:r>
      <w:r>
        <w:rPr>
          <w:rFonts w:hint="eastAsia" w:ascii="宋体" w:hAnsi="宋体" w:eastAsia="宋体" w:cs="宋体"/>
          <w:color w:val="auto"/>
          <w:spacing w:val="2"/>
          <w:sz w:val="24"/>
          <w:szCs w:val="24"/>
          <w:highlight w:val="none"/>
        </w:rPr>
        <w:t>进</w:t>
      </w:r>
      <w:r>
        <w:rPr>
          <w:rFonts w:hint="eastAsia" w:ascii="宋体" w:hAnsi="宋体" w:eastAsia="宋体" w:cs="宋体"/>
          <w:color w:val="auto"/>
          <w:spacing w:val="-1"/>
          <w:sz w:val="24"/>
          <w:szCs w:val="24"/>
          <w:highlight w:val="none"/>
        </w:rPr>
        <w:t>中</w:t>
      </w:r>
      <w:r>
        <w:rPr>
          <w:rFonts w:hint="eastAsia" w:ascii="宋体" w:hAnsi="宋体" w:eastAsia="宋体" w:cs="宋体"/>
          <w:color w:val="auto"/>
          <w:spacing w:val="2"/>
          <w:sz w:val="24"/>
          <w:szCs w:val="24"/>
          <w:highlight w:val="none"/>
        </w:rPr>
        <w:t>小</w:t>
      </w:r>
      <w:r>
        <w:rPr>
          <w:rFonts w:hint="eastAsia" w:ascii="宋体" w:hAnsi="宋体" w:eastAsia="宋体" w:cs="宋体"/>
          <w:color w:val="auto"/>
          <w:spacing w:val="-1"/>
          <w:sz w:val="24"/>
          <w:szCs w:val="24"/>
          <w:highlight w:val="none"/>
        </w:rPr>
        <w:t>企</w:t>
      </w:r>
      <w:r>
        <w:rPr>
          <w:rFonts w:hint="eastAsia" w:ascii="宋体" w:hAnsi="宋体" w:eastAsia="宋体" w:cs="宋体"/>
          <w:color w:val="auto"/>
          <w:spacing w:val="2"/>
          <w:sz w:val="24"/>
          <w:szCs w:val="24"/>
          <w:highlight w:val="none"/>
        </w:rPr>
        <w:t>业</w:t>
      </w:r>
      <w:r>
        <w:rPr>
          <w:rFonts w:hint="eastAsia" w:ascii="宋体" w:hAnsi="宋体" w:eastAsia="宋体" w:cs="宋体"/>
          <w:color w:val="auto"/>
          <w:spacing w:val="-1"/>
          <w:sz w:val="24"/>
          <w:szCs w:val="24"/>
          <w:highlight w:val="none"/>
        </w:rPr>
        <w:t>发</w:t>
      </w:r>
      <w:r>
        <w:rPr>
          <w:rFonts w:hint="eastAsia" w:ascii="宋体" w:hAnsi="宋体" w:eastAsia="宋体" w:cs="宋体"/>
          <w:color w:val="auto"/>
          <w:spacing w:val="2"/>
          <w:sz w:val="24"/>
          <w:szCs w:val="24"/>
          <w:highlight w:val="none"/>
        </w:rPr>
        <w:t>展</w:t>
      </w:r>
      <w:r>
        <w:rPr>
          <w:rFonts w:hint="eastAsia" w:ascii="宋体" w:hAnsi="宋体" w:eastAsia="宋体" w:cs="宋体"/>
          <w:color w:val="auto"/>
          <w:sz w:val="24"/>
          <w:szCs w:val="24"/>
          <w:highlight w:val="none"/>
        </w:rPr>
        <w:t>。</w:t>
      </w:r>
    </w:p>
    <w:p w14:paraId="77D7FE14">
      <w:pPr>
        <w:pStyle w:val="13"/>
        <w:numPr>
          <w:ilvl w:val="0"/>
          <w:numId w:val="0"/>
        </w:numPr>
        <w:kinsoku w:val="0"/>
        <w:overflowPunct w:val="0"/>
        <w:spacing w:before="16" w:line="420" w:lineRule="exact"/>
        <w:ind w:left="400" w:leftChars="0" w:right="137" w:right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政</w:t>
      </w:r>
      <w:r>
        <w:rPr>
          <w:rFonts w:hint="eastAsia" w:ascii="宋体" w:hAnsi="宋体" w:eastAsia="宋体" w:cs="宋体"/>
          <w:color w:val="auto"/>
          <w:spacing w:val="2"/>
          <w:sz w:val="24"/>
          <w:szCs w:val="24"/>
          <w:highlight w:val="none"/>
        </w:rPr>
        <w:t>府</w:t>
      </w:r>
      <w:r>
        <w:rPr>
          <w:rFonts w:hint="eastAsia" w:ascii="宋体" w:hAnsi="宋体" w:eastAsia="宋体" w:cs="宋体"/>
          <w:color w:val="auto"/>
          <w:spacing w:val="-1"/>
          <w:sz w:val="24"/>
          <w:szCs w:val="24"/>
          <w:highlight w:val="none"/>
        </w:rPr>
        <w:t>采</w:t>
      </w:r>
      <w:r>
        <w:rPr>
          <w:rFonts w:hint="eastAsia" w:ascii="宋体" w:hAnsi="宋体" w:eastAsia="宋体" w:cs="宋体"/>
          <w:color w:val="auto"/>
          <w:spacing w:val="2"/>
          <w:sz w:val="24"/>
          <w:szCs w:val="24"/>
          <w:highlight w:val="none"/>
        </w:rPr>
        <w:t>购</w:t>
      </w:r>
      <w:r>
        <w:rPr>
          <w:rFonts w:hint="eastAsia" w:ascii="宋体" w:hAnsi="宋体" w:eastAsia="宋体" w:cs="宋体"/>
          <w:color w:val="auto"/>
          <w:spacing w:val="-1"/>
          <w:sz w:val="24"/>
          <w:szCs w:val="24"/>
          <w:highlight w:val="none"/>
        </w:rPr>
        <w:t>支</w:t>
      </w:r>
      <w:r>
        <w:rPr>
          <w:rFonts w:hint="eastAsia" w:ascii="宋体" w:hAnsi="宋体" w:eastAsia="宋体" w:cs="宋体"/>
          <w:color w:val="auto"/>
          <w:spacing w:val="2"/>
          <w:sz w:val="24"/>
          <w:szCs w:val="24"/>
          <w:highlight w:val="none"/>
        </w:rPr>
        <w:t>持</w:t>
      </w:r>
      <w:r>
        <w:rPr>
          <w:rFonts w:hint="eastAsia" w:ascii="宋体" w:hAnsi="宋体" w:eastAsia="宋体" w:cs="宋体"/>
          <w:color w:val="auto"/>
          <w:spacing w:val="-1"/>
          <w:sz w:val="24"/>
          <w:szCs w:val="24"/>
          <w:highlight w:val="none"/>
        </w:rPr>
        <w:t>采</w:t>
      </w:r>
      <w:r>
        <w:rPr>
          <w:rFonts w:hint="eastAsia" w:ascii="宋体" w:hAnsi="宋体" w:eastAsia="宋体" w:cs="宋体"/>
          <w:color w:val="auto"/>
          <w:spacing w:val="2"/>
          <w:sz w:val="24"/>
          <w:szCs w:val="24"/>
          <w:highlight w:val="none"/>
        </w:rPr>
        <w:t>用</w:t>
      </w:r>
      <w:r>
        <w:rPr>
          <w:rFonts w:hint="eastAsia" w:ascii="宋体" w:hAnsi="宋体" w:eastAsia="宋体" w:cs="宋体"/>
          <w:color w:val="auto"/>
          <w:spacing w:val="-1"/>
          <w:sz w:val="24"/>
          <w:szCs w:val="24"/>
          <w:highlight w:val="none"/>
        </w:rPr>
        <w:t>本</w:t>
      </w:r>
      <w:r>
        <w:rPr>
          <w:rFonts w:hint="eastAsia" w:ascii="宋体" w:hAnsi="宋体" w:eastAsia="宋体" w:cs="宋体"/>
          <w:color w:val="auto"/>
          <w:spacing w:val="2"/>
          <w:sz w:val="24"/>
          <w:szCs w:val="24"/>
          <w:highlight w:val="none"/>
        </w:rPr>
        <w:t>国</w:t>
      </w:r>
      <w:r>
        <w:rPr>
          <w:rFonts w:hint="eastAsia" w:ascii="宋体" w:hAnsi="宋体" w:eastAsia="宋体" w:cs="宋体"/>
          <w:color w:val="auto"/>
          <w:spacing w:val="-1"/>
          <w:sz w:val="24"/>
          <w:szCs w:val="24"/>
          <w:highlight w:val="none"/>
        </w:rPr>
        <w:t>产</w:t>
      </w:r>
      <w:r>
        <w:rPr>
          <w:rFonts w:hint="eastAsia" w:ascii="宋体" w:hAnsi="宋体" w:eastAsia="宋体" w:cs="宋体"/>
          <w:color w:val="auto"/>
          <w:spacing w:val="2"/>
          <w:sz w:val="24"/>
          <w:szCs w:val="24"/>
          <w:highlight w:val="none"/>
        </w:rPr>
        <w:t>品</w:t>
      </w:r>
      <w:r>
        <w:rPr>
          <w:rFonts w:hint="eastAsia" w:ascii="宋体" w:hAnsi="宋体" w:eastAsia="宋体" w:cs="宋体"/>
          <w:color w:val="auto"/>
          <w:spacing w:val="-1"/>
          <w:sz w:val="24"/>
          <w:szCs w:val="24"/>
          <w:highlight w:val="none"/>
        </w:rPr>
        <w:t>的</w:t>
      </w:r>
      <w:r>
        <w:rPr>
          <w:rFonts w:hint="eastAsia" w:ascii="宋体" w:hAnsi="宋体" w:eastAsia="宋体" w:cs="宋体"/>
          <w:color w:val="auto"/>
          <w:spacing w:val="2"/>
          <w:sz w:val="24"/>
          <w:szCs w:val="24"/>
          <w:highlight w:val="none"/>
        </w:rPr>
        <w:t>政</w:t>
      </w:r>
      <w:r>
        <w:rPr>
          <w:rFonts w:hint="eastAsia" w:ascii="宋体" w:hAnsi="宋体" w:eastAsia="宋体" w:cs="宋体"/>
          <w:color w:val="auto"/>
          <w:spacing w:val="-1"/>
          <w:sz w:val="24"/>
          <w:szCs w:val="24"/>
          <w:highlight w:val="none"/>
        </w:rPr>
        <w:t>策</w:t>
      </w:r>
      <w:r>
        <w:rPr>
          <w:rFonts w:hint="eastAsia" w:ascii="宋体" w:hAnsi="宋体" w:eastAsia="宋体" w:cs="宋体"/>
          <w:color w:val="auto"/>
          <w:sz w:val="24"/>
          <w:szCs w:val="24"/>
          <w:highlight w:val="none"/>
        </w:rPr>
        <w:t>。</w:t>
      </w:r>
    </w:p>
    <w:p w14:paraId="6B6F2A68">
      <w:pPr>
        <w:pStyle w:val="13"/>
        <w:numPr>
          <w:ilvl w:val="0"/>
          <w:numId w:val="0"/>
        </w:numPr>
        <w:kinsoku w:val="0"/>
        <w:overflowPunct w:val="0"/>
        <w:spacing w:before="50" w:line="420" w:lineRule="exact"/>
        <w:ind w:left="400" w:leftChars="0" w:right="137" w:right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强</w:t>
      </w:r>
      <w:r>
        <w:rPr>
          <w:rFonts w:hint="eastAsia" w:ascii="宋体" w:hAnsi="宋体" w:eastAsia="宋体" w:cs="宋体"/>
          <w:color w:val="auto"/>
          <w:spacing w:val="2"/>
          <w:sz w:val="24"/>
          <w:szCs w:val="24"/>
          <w:highlight w:val="none"/>
        </w:rPr>
        <w:t>制</w:t>
      </w:r>
      <w:r>
        <w:rPr>
          <w:rFonts w:hint="eastAsia" w:ascii="宋体" w:hAnsi="宋体" w:eastAsia="宋体" w:cs="宋体"/>
          <w:color w:val="auto"/>
          <w:spacing w:val="-1"/>
          <w:sz w:val="24"/>
          <w:szCs w:val="24"/>
          <w:highlight w:val="none"/>
        </w:rPr>
        <w:t>采</w:t>
      </w:r>
      <w:r>
        <w:rPr>
          <w:rFonts w:hint="eastAsia" w:ascii="宋体" w:hAnsi="宋体" w:eastAsia="宋体" w:cs="宋体"/>
          <w:color w:val="auto"/>
          <w:spacing w:val="2"/>
          <w:sz w:val="24"/>
          <w:szCs w:val="24"/>
          <w:highlight w:val="none"/>
        </w:rPr>
        <w:t>购</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优</w:t>
      </w:r>
      <w:r>
        <w:rPr>
          <w:rFonts w:hint="eastAsia" w:ascii="宋体" w:hAnsi="宋体" w:eastAsia="宋体" w:cs="宋体"/>
          <w:color w:val="auto"/>
          <w:spacing w:val="-1"/>
          <w:sz w:val="24"/>
          <w:szCs w:val="24"/>
          <w:highlight w:val="none"/>
        </w:rPr>
        <w:t>先</w:t>
      </w:r>
      <w:r>
        <w:rPr>
          <w:rFonts w:hint="eastAsia" w:ascii="宋体" w:hAnsi="宋体" w:eastAsia="宋体" w:cs="宋体"/>
          <w:color w:val="auto"/>
          <w:spacing w:val="2"/>
          <w:sz w:val="24"/>
          <w:szCs w:val="24"/>
          <w:highlight w:val="none"/>
        </w:rPr>
        <w:t>采</w:t>
      </w:r>
      <w:r>
        <w:rPr>
          <w:rFonts w:hint="eastAsia" w:ascii="宋体" w:hAnsi="宋体" w:eastAsia="宋体" w:cs="宋体"/>
          <w:color w:val="auto"/>
          <w:spacing w:val="-1"/>
          <w:sz w:val="24"/>
          <w:szCs w:val="24"/>
          <w:highlight w:val="none"/>
        </w:rPr>
        <w:t>购</w:t>
      </w:r>
      <w:r>
        <w:rPr>
          <w:rFonts w:hint="eastAsia" w:ascii="宋体" w:hAnsi="宋体" w:eastAsia="宋体" w:cs="宋体"/>
          <w:color w:val="auto"/>
          <w:spacing w:val="2"/>
          <w:sz w:val="24"/>
          <w:szCs w:val="24"/>
          <w:highlight w:val="none"/>
        </w:rPr>
        <w:t>环</w:t>
      </w:r>
      <w:r>
        <w:rPr>
          <w:rFonts w:hint="eastAsia" w:ascii="宋体" w:hAnsi="宋体" w:eastAsia="宋体" w:cs="宋体"/>
          <w:color w:val="auto"/>
          <w:spacing w:val="-1"/>
          <w:sz w:val="24"/>
          <w:szCs w:val="24"/>
          <w:highlight w:val="none"/>
        </w:rPr>
        <w:t>境</w:t>
      </w:r>
      <w:r>
        <w:rPr>
          <w:rFonts w:hint="eastAsia" w:ascii="宋体" w:hAnsi="宋体" w:eastAsia="宋体" w:cs="宋体"/>
          <w:color w:val="auto"/>
          <w:spacing w:val="2"/>
          <w:sz w:val="24"/>
          <w:szCs w:val="24"/>
          <w:highlight w:val="none"/>
        </w:rPr>
        <w:t>标</w:t>
      </w:r>
      <w:r>
        <w:rPr>
          <w:rFonts w:hint="eastAsia" w:ascii="宋体" w:hAnsi="宋体" w:eastAsia="宋体" w:cs="宋体"/>
          <w:color w:val="auto"/>
          <w:spacing w:val="-1"/>
          <w:sz w:val="24"/>
          <w:szCs w:val="24"/>
          <w:highlight w:val="none"/>
        </w:rPr>
        <w:t>志</w:t>
      </w:r>
      <w:r>
        <w:rPr>
          <w:rFonts w:hint="eastAsia" w:ascii="宋体" w:hAnsi="宋体" w:eastAsia="宋体" w:cs="宋体"/>
          <w:color w:val="auto"/>
          <w:spacing w:val="2"/>
          <w:sz w:val="24"/>
          <w:szCs w:val="24"/>
          <w:highlight w:val="none"/>
        </w:rPr>
        <w:t>产</w:t>
      </w:r>
      <w:r>
        <w:rPr>
          <w:rFonts w:hint="eastAsia" w:ascii="宋体" w:hAnsi="宋体" w:eastAsia="宋体" w:cs="宋体"/>
          <w:color w:val="auto"/>
          <w:spacing w:val="-1"/>
          <w:sz w:val="24"/>
          <w:szCs w:val="24"/>
          <w:highlight w:val="none"/>
        </w:rPr>
        <w:t>品</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
          <w:sz w:val="24"/>
          <w:szCs w:val="24"/>
          <w:highlight w:val="none"/>
        </w:rPr>
        <w:t>节</w:t>
      </w:r>
      <w:r>
        <w:rPr>
          <w:rFonts w:hint="eastAsia" w:ascii="宋体" w:hAnsi="宋体" w:eastAsia="宋体" w:cs="宋体"/>
          <w:color w:val="auto"/>
          <w:spacing w:val="2"/>
          <w:sz w:val="24"/>
          <w:szCs w:val="24"/>
          <w:highlight w:val="none"/>
        </w:rPr>
        <w:t>能</w:t>
      </w:r>
      <w:r>
        <w:rPr>
          <w:rFonts w:hint="eastAsia" w:ascii="宋体" w:hAnsi="宋体" w:eastAsia="宋体" w:cs="宋体"/>
          <w:color w:val="auto"/>
          <w:spacing w:val="-1"/>
          <w:sz w:val="24"/>
          <w:szCs w:val="24"/>
          <w:highlight w:val="none"/>
        </w:rPr>
        <w:t>产</w:t>
      </w:r>
      <w:r>
        <w:rPr>
          <w:rFonts w:hint="eastAsia" w:ascii="宋体" w:hAnsi="宋体" w:eastAsia="宋体" w:cs="宋体"/>
          <w:color w:val="auto"/>
          <w:spacing w:val="2"/>
          <w:sz w:val="24"/>
          <w:szCs w:val="24"/>
          <w:highlight w:val="none"/>
        </w:rPr>
        <w:t>品</w:t>
      </w:r>
      <w:r>
        <w:rPr>
          <w:rFonts w:hint="eastAsia" w:ascii="宋体" w:hAnsi="宋体" w:eastAsia="宋体" w:cs="宋体"/>
          <w:color w:val="auto"/>
          <w:sz w:val="24"/>
          <w:szCs w:val="24"/>
          <w:highlight w:val="none"/>
        </w:rPr>
        <w:t>。</w:t>
      </w:r>
    </w:p>
    <w:p w14:paraId="31F8A43B">
      <w:pPr>
        <w:pStyle w:val="13"/>
        <w:numPr>
          <w:ilvl w:val="0"/>
          <w:numId w:val="0"/>
        </w:numPr>
        <w:kinsoku w:val="0"/>
        <w:overflowPunct w:val="0"/>
        <w:spacing w:before="50" w:line="420" w:lineRule="exact"/>
        <w:ind w:left="400" w:leftChars="0" w:right="137" w:right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政</w:t>
      </w:r>
      <w:r>
        <w:rPr>
          <w:rFonts w:hint="eastAsia" w:ascii="宋体" w:hAnsi="宋体" w:eastAsia="宋体" w:cs="宋体"/>
          <w:color w:val="auto"/>
          <w:spacing w:val="2"/>
          <w:sz w:val="24"/>
          <w:szCs w:val="24"/>
          <w:highlight w:val="none"/>
        </w:rPr>
        <w:t>府</w:t>
      </w:r>
      <w:r>
        <w:rPr>
          <w:rFonts w:hint="eastAsia" w:ascii="宋体" w:hAnsi="宋体" w:eastAsia="宋体" w:cs="宋体"/>
          <w:color w:val="auto"/>
          <w:spacing w:val="-1"/>
          <w:sz w:val="24"/>
          <w:szCs w:val="24"/>
          <w:highlight w:val="none"/>
        </w:rPr>
        <w:t>采</w:t>
      </w:r>
      <w:r>
        <w:rPr>
          <w:rFonts w:hint="eastAsia" w:ascii="宋体" w:hAnsi="宋体" w:eastAsia="宋体" w:cs="宋体"/>
          <w:color w:val="auto"/>
          <w:spacing w:val="2"/>
          <w:sz w:val="24"/>
          <w:szCs w:val="24"/>
          <w:highlight w:val="none"/>
        </w:rPr>
        <w:t>购</w:t>
      </w:r>
      <w:r>
        <w:rPr>
          <w:rFonts w:hint="eastAsia" w:ascii="宋体" w:hAnsi="宋体" w:eastAsia="宋体" w:cs="宋体"/>
          <w:color w:val="auto"/>
          <w:spacing w:val="-1"/>
          <w:sz w:val="24"/>
          <w:szCs w:val="24"/>
          <w:highlight w:val="none"/>
        </w:rPr>
        <w:t>促</w:t>
      </w:r>
      <w:r>
        <w:rPr>
          <w:rFonts w:hint="eastAsia" w:ascii="宋体" w:hAnsi="宋体" w:eastAsia="宋体" w:cs="宋体"/>
          <w:color w:val="auto"/>
          <w:spacing w:val="2"/>
          <w:sz w:val="24"/>
          <w:szCs w:val="24"/>
          <w:highlight w:val="none"/>
        </w:rPr>
        <w:t>进</w:t>
      </w:r>
      <w:r>
        <w:rPr>
          <w:rFonts w:hint="eastAsia" w:ascii="宋体" w:hAnsi="宋体" w:eastAsia="宋体" w:cs="宋体"/>
          <w:color w:val="auto"/>
          <w:spacing w:val="-1"/>
          <w:sz w:val="24"/>
          <w:szCs w:val="24"/>
          <w:highlight w:val="none"/>
        </w:rPr>
        <w:t>残</w:t>
      </w:r>
      <w:r>
        <w:rPr>
          <w:rFonts w:hint="eastAsia" w:ascii="宋体" w:hAnsi="宋体" w:eastAsia="宋体" w:cs="宋体"/>
          <w:color w:val="auto"/>
          <w:spacing w:val="2"/>
          <w:sz w:val="24"/>
          <w:szCs w:val="24"/>
          <w:highlight w:val="none"/>
        </w:rPr>
        <w:t>疾</w:t>
      </w:r>
      <w:r>
        <w:rPr>
          <w:rFonts w:hint="eastAsia" w:ascii="宋体" w:hAnsi="宋体" w:eastAsia="宋体" w:cs="宋体"/>
          <w:color w:val="auto"/>
          <w:spacing w:val="-1"/>
          <w:sz w:val="24"/>
          <w:szCs w:val="24"/>
          <w:highlight w:val="none"/>
        </w:rPr>
        <w:t>人</w:t>
      </w:r>
      <w:r>
        <w:rPr>
          <w:rFonts w:hint="eastAsia" w:ascii="宋体" w:hAnsi="宋体" w:eastAsia="宋体" w:cs="宋体"/>
          <w:color w:val="auto"/>
          <w:spacing w:val="2"/>
          <w:sz w:val="24"/>
          <w:szCs w:val="24"/>
          <w:highlight w:val="none"/>
        </w:rPr>
        <w:t>就</w:t>
      </w:r>
      <w:r>
        <w:rPr>
          <w:rFonts w:hint="eastAsia" w:ascii="宋体" w:hAnsi="宋体" w:eastAsia="宋体" w:cs="宋体"/>
          <w:color w:val="auto"/>
          <w:spacing w:val="-1"/>
          <w:sz w:val="24"/>
          <w:szCs w:val="24"/>
          <w:highlight w:val="none"/>
        </w:rPr>
        <w:t>业</w:t>
      </w:r>
      <w:r>
        <w:rPr>
          <w:rFonts w:hint="eastAsia" w:ascii="宋体" w:hAnsi="宋体" w:eastAsia="宋体" w:cs="宋体"/>
          <w:color w:val="auto"/>
          <w:spacing w:val="2"/>
          <w:sz w:val="24"/>
          <w:szCs w:val="24"/>
          <w:highlight w:val="none"/>
        </w:rPr>
        <w:t>政</w:t>
      </w:r>
      <w:r>
        <w:rPr>
          <w:rFonts w:hint="eastAsia" w:ascii="宋体" w:hAnsi="宋体" w:eastAsia="宋体" w:cs="宋体"/>
          <w:color w:val="auto"/>
          <w:spacing w:val="-1"/>
          <w:sz w:val="24"/>
          <w:szCs w:val="24"/>
          <w:highlight w:val="none"/>
        </w:rPr>
        <w:t>策</w:t>
      </w:r>
      <w:r>
        <w:rPr>
          <w:rFonts w:hint="eastAsia" w:ascii="宋体" w:hAnsi="宋体" w:eastAsia="宋体" w:cs="宋体"/>
          <w:color w:val="auto"/>
          <w:sz w:val="24"/>
          <w:szCs w:val="24"/>
          <w:highlight w:val="none"/>
        </w:rPr>
        <w:t>。</w:t>
      </w:r>
    </w:p>
    <w:p w14:paraId="29A8BB5A">
      <w:pPr>
        <w:pStyle w:val="13"/>
        <w:numPr>
          <w:ilvl w:val="0"/>
          <w:numId w:val="0"/>
        </w:numPr>
        <w:kinsoku w:val="0"/>
        <w:overflowPunct w:val="0"/>
        <w:spacing w:before="34" w:line="420" w:lineRule="exact"/>
        <w:ind w:left="400" w:leftChars="0" w:right="137" w:right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政</w:t>
      </w:r>
      <w:r>
        <w:rPr>
          <w:rFonts w:hint="eastAsia" w:ascii="宋体" w:hAnsi="宋体" w:eastAsia="宋体" w:cs="宋体"/>
          <w:color w:val="auto"/>
          <w:spacing w:val="2"/>
          <w:sz w:val="24"/>
          <w:szCs w:val="24"/>
          <w:highlight w:val="none"/>
        </w:rPr>
        <w:t>府</w:t>
      </w:r>
      <w:r>
        <w:rPr>
          <w:rFonts w:hint="eastAsia" w:ascii="宋体" w:hAnsi="宋体" w:eastAsia="宋体" w:cs="宋体"/>
          <w:color w:val="auto"/>
          <w:spacing w:val="-1"/>
          <w:sz w:val="24"/>
          <w:szCs w:val="24"/>
          <w:highlight w:val="none"/>
        </w:rPr>
        <w:t>采</w:t>
      </w:r>
      <w:r>
        <w:rPr>
          <w:rFonts w:hint="eastAsia" w:ascii="宋体" w:hAnsi="宋体" w:eastAsia="宋体" w:cs="宋体"/>
          <w:color w:val="auto"/>
          <w:spacing w:val="2"/>
          <w:sz w:val="24"/>
          <w:szCs w:val="24"/>
          <w:highlight w:val="none"/>
        </w:rPr>
        <w:t>购</w:t>
      </w:r>
      <w:r>
        <w:rPr>
          <w:rFonts w:hint="eastAsia" w:ascii="宋体" w:hAnsi="宋体" w:eastAsia="宋体" w:cs="宋体"/>
          <w:color w:val="auto"/>
          <w:spacing w:val="-1"/>
          <w:sz w:val="24"/>
          <w:szCs w:val="24"/>
          <w:highlight w:val="none"/>
        </w:rPr>
        <w:t>支</w:t>
      </w:r>
      <w:r>
        <w:rPr>
          <w:rFonts w:hint="eastAsia" w:ascii="宋体" w:hAnsi="宋体" w:eastAsia="宋体" w:cs="宋体"/>
          <w:color w:val="auto"/>
          <w:spacing w:val="2"/>
          <w:sz w:val="24"/>
          <w:szCs w:val="24"/>
          <w:highlight w:val="none"/>
        </w:rPr>
        <w:t>持</w:t>
      </w:r>
      <w:r>
        <w:rPr>
          <w:rFonts w:hint="eastAsia" w:ascii="宋体" w:hAnsi="宋体" w:eastAsia="宋体" w:cs="宋体"/>
          <w:color w:val="auto"/>
          <w:spacing w:val="-1"/>
          <w:sz w:val="24"/>
          <w:szCs w:val="24"/>
          <w:highlight w:val="none"/>
        </w:rPr>
        <w:t>监</w:t>
      </w:r>
      <w:r>
        <w:rPr>
          <w:rFonts w:hint="eastAsia" w:ascii="宋体" w:hAnsi="宋体" w:eastAsia="宋体" w:cs="宋体"/>
          <w:color w:val="auto"/>
          <w:spacing w:val="2"/>
          <w:sz w:val="24"/>
          <w:szCs w:val="24"/>
          <w:highlight w:val="none"/>
        </w:rPr>
        <w:t>狱</w:t>
      </w:r>
      <w:r>
        <w:rPr>
          <w:rFonts w:hint="eastAsia" w:ascii="宋体" w:hAnsi="宋体" w:eastAsia="宋体" w:cs="宋体"/>
          <w:color w:val="auto"/>
          <w:spacing w:val="-1"/>
          <w:sz w:val="24"/>
          <w:szCs w:val="24"/>
          <w:highlight w:val="none"/>
        </w:rPr>
        <w:t>企</w:t>
      </w:r>
      <w:r>
        <w:rPr>
          <w:rFonts w:hint="eastAsia" w:ascii="宋体" w:hAnsi="宋体" w:eastAsia="宋体" w:cs="宋体"/>
          <w:color w:val="auto"/>
          <w:spacing w:val="2"/>
          <w:sz w:val="24"/>
          <w:szCs w:val="24"/>
          <w:highlight w:val="none"/>
        </w:rPr>
        <w:t>业</w:t>
      </w:r>
      <w:r>
        <w:rPr>
          <w:rFonts w:hint="eastAsia" w:ascii="宋体" w:hAnsi="宋体" w:eastAsia="宋体" w:cs="宋体"/>
          <w:color w:val="auto"/>
          <w:spacing w:val="-1"/>
          <w:sz w:val="24"/>
          <w:szCs w:val="24"/>
          <w:highlight w:val="none"/>
        </w:rPr>
        <w:t>发</w:t>
      </w:r>
      <w:r>
        <w:rPr>
          <w:rFonts w:hint="eastAsia" w:ascii="宋体" w:hAnsi="宋体" w:eastAsia="宋体" w:cs="宋体"/>
          <w:color w:val="auto"/>
          <w:spacing w:val="2"/>
          <w:sz w:val="24"/>
          <w:szCs w:val="24"/>
          <w:highlight w:val="none"/>
        </w:rPr>
        <w:t>展</w:t>
      </w:r>
      <w:r>
        <w:rPr>
          <w:rFonts w:hint="eastAsia" w:ascii="宋体" w:hAnsi="宋体" w:eastAsia="宋体" w:cs="宋体"/>
          <w:color w:val="auto"/>
          <w:sz w:val="24"/>
          <w:szCs w:val="24"/>
          <w:highlight w:val="none"/>
        </w:rPr>
        <w:t>。</w:t>
      </w:r>
    </w:p>
    <w:p w14:paraId="2F9C29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、本项目实行电子</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，注意事项如下：</w:t>
      </w:r>
    </w:p>
    <w:p w14:paraId="090A43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提交方式：本项目为全流程电子化政府采购项目，通过广西政府采购云平台（https://www.gcy.zfcg.gxzf.gov.cn/）实行在线电子</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，供应商应先安装“政采云电子交易客户端”（请自行前往广西政府采购云平台进行下载），并按照本项目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和广西政府采购云平台的要求编制、加密后在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截止时间前通过网络上传至广西政府采购云平台，供应商在广西政府采购云平台提交电子版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时，请填写参加远程开标活动经办人联系方式。</w:t>
      </w:r>
    </w:p>
    <w:p w14:paraId="00D38F3D">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供应商应及时熟悉掌握电子标系统操作指南（见政采云电子卖场首页右上角—服务中心—帮助文档—项目采购）：https://service.zcygov.cn/#/knowledges/tree?tag=AG1DtGwBFdiHxlNdhY0r；及时完成CA申领和绑定（见广西壮族自治区政府采购网—办事服务—下载专区-政采云CA证书办理操作指南）。</w:t>
      </w:r>
    </w:p>
    <w:p w14:paraId="4D51FD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（3）未进行网上注册并办理数字证书（CA认证）的供应商将无法参与本项目政府采购活动，潜在供应商应当在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前，完成电子交易平台上的CA数字证书办理及</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的提交。完成CA数字证书办理预计7日左右，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只需办理其中一家CA数字证书及签章，建议各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抓紧时间办理。</w:t>
      </w:r>
    </w:p>
    <w:p w14:paraId="755646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（4）为确保网上操作合法、有效和安全，请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确保在电子投标过程中能够对相关数据电文进行加密和使用电子签章，妥善保管CA数字证书并使用有效的CA数字证书参与整个采购活动。</w:t>
      </w:r>
    </w:p>
    <w:p w14:paraId="588B73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前完成电子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的上传、递交，</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前可以补充、修改或者撤回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。补充或者修改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的，应当先行撤回原文件，补充、修改后重新上传、递交。</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截止时间前未完成上传、递交的，视为撤回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以后上传递交的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，广西政府采购云平台将予以拒收。</w:t>
      </w:r>
    </w:p>
    <w:p w14:paraId="1D108E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（5）CA证书在线解密：供应商</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时，需携带制作</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时用来加密的有效数字证书（CA认证）登录广西政府采购云平台电子开标大厅现场按规定时间对加密的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进行解密，否则后果自负。</w:t>
      </w:r>
    </w:p>
    <w:p w14:paraId="672CEB8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（6）若对项目采购电子交易系统操作有疑问，可登录广西政府采购云平台（https://www.gcy.zfcg.gxzf.gov.cn/），点击右侧咨询小采，获取采小蜜智能服务管家帮助，或拨打政采云服务热线95763获取热线服务帮助。</w:t>
      </w:r>
    </w:p>
    <w:p w14:paraId="5AE4B791">
      <w:pPr>
        <w:snapToGrid w:val="0"/>
        <w:spacing w:line="360" w:lineRule="auto"/>
        <w:ind w:firstLine="482" w:firstLineChars="200"/>
        <w:rPr>
          <w:rFonts w:ascii="宋体" w:hAnsi="宋体" w:cs="宋体"/>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联系方式</w:t>
      </w:r>
      <w:r>
        <w:rPr>
          <w:rFonts w:hint="eastAsia" w:ascii="宋体" w:hAnsi="宋体" w:cs="宋体"/>
          <w:b/>
          <w:color w:val="auto"/>
          <w:kern w:val="0"/>
          <w:sz w:val="24"/>
          <w:szCs w:val="24"/>
          <w:highlight w:val="none"/>
        </w:rPr>
        <w:t>：</w:t>
      </w:r>
    </w:p>
    <w:p w14:paraId="17362B0C">
      <w:pPr>
        <w:snapToGrid w:val="0"/>
        <w:spacing w:line="360" w:lineRule="auto"/>
        <w:ind w:firstLine="480" w:firstLineChars="200"/>
        <w:rPr>
          <w:rFonts w:hint="eastAsia" w:ascii="宋体" w:hAnsi="宋体" w:eastAsia="宋体" w:cs="宋体"/>
          <w:bCs/>
          <w:color w:val="auto"/>
          <w:kern w:val="0"/>
          <w:sz w:val="24"/>
          <w:szCs w:val="24"/>
          <w:highlight w:val="none"/>
          <w:lang w:eastAsia="zh-CN"/>
        </w:rPr>
      </w:pPr>
      <w:r>
        <w:rPr>
          <w:rFonts w:hint="eastAsia" w:ascii="宋体" w:hAnsi="宋体" w:cs="宋体"/>
          <w:color w:val="auto"/>
          <w:sz w:val="24"/>
          <w:szCs w:val="24"/>
          <w:highlight w:val="none"/>
        </w:rPr>
        <w:t>1、采购人：</w:t>
      </w:r>
      <w:r>
        <w:rPr>
          <w:rFonts w:hint="eastAsia" w:ascii="宋体" w:hAnsi="宋体" w:cs="宋体"/>
          <w:bCs/>
          <w:color w:val="auto"/>
          <w:kern w:val="0"/>
          <w:sz w:val="24"/>
          <w:szCs w:val="24"/>
          <w:highlight w:val="none"/>
          <w:lang w:eastAsia="zh-CN"/>
        </w:rPr>
        <w:t>梧州市人民医院</w:t>
      </w:r>
    </w:p>
    <w:p w14:paraId="6456697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地址：梧州市三龙大道139号　　</w:t>
      </w:r>
    </w:p>
    <w:p w14:paraId="3A5F136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联系人：钟小姐   电话：0774-2833676 　</w:t>
      </w:r>
    </w:p>
    <w:p w14:paraId="262F059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2、采购代理机构：广西中信恒泰工程顾问有限公司</w:t>
      </w:r>
    </w:p>
    <w:p w14:paraId="11BA1B5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地址：梧州市三龙大道15号金湖湾小区2栋2单元201号房</w:t>
      </w:r>
    </w:p>
    <w:p w14:paraId="19950F1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联系人：林</w:t>
      </w:r>
      <w:r>
        <w:rPr>
          <w:rFonts w:hint="eastAsia" w:ascii="宋体" w:hAnsi="宋体" w:cs="宋体"/>
          <w:color w:val="auto"/>
          <w:sz w:val="24"/>
          <w:szCs w:val="24"/>
          <w:highlight w:val="none"/>
          <w:lang w:eastAsia="zh-CN"/>
        </w:rPr>
        <w:t>工</w:t>
      </w:r>
      <w:r>
        <w:rPr>
          <w:rFonts w:hint="eastAsia" w:ascii="宋体" w:hAnsi="宋体" w:cs="宋体"/>
          <w:color w:val="auto"/>
          <w:sz w:val="24"/>
          <w:szCs w:val="24"/>
          <w:highlight w:val="none"/>
        </w:rPr>
        <w:t>       联系电话：0774-5826268    邮箱：wzzxht@126.com</w:t>
      </w:r>
    </w:p>
    <w:p w14:paraId="590B8B3B">
      <w:pPr>
        <w:snapToGrid w:val="0"/>
        <w:spacing w:line="324" w:lineRule="auto"/>
        <w:ind w:firstLine="480" w:firstLineChars="200"/>
        <w:rPr>
          <w:rFonts w:ascii="宋体" w:hAnsi="宋体" w:cs="宋体"/>
          <w:color w:val="auto"/>
          <w:sz w:val="24"/>
          <w:szCs w:val="24"/>
          <w:highlight w:val="none"/>
        </w:rPr>
      </w:pPr>
    </w:p>
    <w:p w14:paraId="5BA3B5EE">
      <w:pPr>
        <w:pStyle w:val="13"/>
        <w:rPr>
          <w:rFonts w:ascii="宋体" w:hAnsi="宋体" w:cs="宋体"/>
          <w:color w:val="auto"/>
          <w:sz w:val="24"/>
          <w:szCs w:val="24"/>
          <w:highlight w:val="none"/>
        </w:rPr>
      </w:pPr>
    </w:p>
    <w:p w14:paraId="582B83C5">
      <w:pPr>
        <w:pStyle w:val="10"/>
        <w:rPr>
          <w:color w:val="auto"/>
          <w:highlight w:val="none"/>
        </w:rPr>
      </w:pPr>
    </w:p>
    <w:p w14:paraId="451B84AA">
      <w:pPr>
        <w:pStyle w:val="31"/>
        <w:spacing w:before="0" w:beforeAutospacing="0" w:after="0" w:afterAutospacing="0" w:line="380" w:lineRule="exact"/>
        <w:ind w:firstLine="480" w:firstLineChars="200"/>
        <w:jc w:val="right"/>
        <w:rPr>
          <w:rFonts w:cs="宋体"/>
          <w:color w:val="auto"/>
          <w:sz w:val="24"/>
          <w:szCs w:val="24"/>
          <w:highlight w:val="none"/>
        </w:rPr>
      </w:pPr>
      <w:r>
        <w:rPr>
          <w:rFonts w:hint="eastAsia" w:cs="宋体"/>
          <w:color w:val="auto"/>
          <w:sz w:val="24"/>
          <w:szCs w:val="24"/>
          <w:highlight w:val="none"/>
          <w:lang w:eastAsia="zh-CN"/>
        </w:rPr>
        <w:t>采购人：梧州市人民医院</w:t>
      </w:r>
      <w:r>
        <w:rPr>
          <w:rFonts w:hint="eastAsia" w:cs="宋体"/>
          <w:color w:val="auto"/>
          <w:sz w:val="24"/>
          <w:szCs w:val="24"/>
          <w:highlight w:val="none"/>
        </w:rPr>
        <w:t>　</w:t>
      </w:r>
    </w:p>
    <w:p w14:paraId="159D91F3">
      <w:pPr>
        <w:pStyle w:val="31"/>
        <w:spacing w:before="0" w:beforeAutospacing="0" w:after="0" w:afterAutospacing="0" w:line="380" w:lineRule="exact"/>
        <w:ind w:firstLine="480" w:firstLineChars="200"/>
        <w:jc w:val="right"/>
        <w:rPr>
          <w:rFonts w:cs="宋体"/>
          <w:color w:val="auto"/>
          <w:sz w:val="24"/>
          <w:szCs w:val="24"/>
          <w:highlight w:val="none"/>
        </w:rPr>
      </w:pPr>
      <w:r>
        <w:rPr>
          <w:rFonts w:hint="eastAsia" w:cs="宋体"/>
          <w:color w:val="auto"/>
          <w:sz w:val="24"/>
          <w:szCs w:val="24"/>
          <w:highlight w:val="none"/>
          <w:lang w:eastAsia="zh-CN"/>
        </w:rPr>
        <w:t>采购代理机构</w:t>
      </w:r>
      <w:r>
        <w:rPr>
          <w:rFonts w:hint="eastAsia" w:cs="宋体"/>
          <w:color w:val="auto"/>
          <w:sz w:val="24"/>
          <w:szCs w:val="24"/>
          <w:highlight w:val="none"/>
          <w:lang w:val="en-US" w:eastAsia="zh-CN"/>
        </w:rPr>
        <w:t>:</w:t>
      </w:r>
      <w:r>
        <w:rPr>
          <w:rFonts w:hint="eastAsia" w:cs="宋体"/>
          <w:color w:val="auto"/>
          <w:sz w:val="24"/>
          <w:szCs w:val="24"/>
          <w:highlight w:val="none"/>
        </w:rPr>
        <w:t>广西中信恒泰工程顾问有限公司　</w:t>
      </w:r>
    </w:p>
    <w:p w14:paraId="3F8B3361">
      <w:pPr>
        <w:pStyle w:val="31"/>
        <w:spacing w:before="0" w:beforeAutospacing="0" w:after="0" w:afterAutospacing="0" w:line="380" w:lineRule="exact"/>
        <w:ind w:firstLine="480" w:firstLineChars="200"/>
        <w:jc w:val="right"/>
        <w:rPr>
          <w:rFonts w:hint="eastAsia" w:eastAsia="宋体" w:cs="宋体"/>
          <w:color w:val="auto"/>
          <w:sz w:val="24"/>
          <w:szCs w:val="24"/>
          <w:highlight w:val="none"/>
          <w:lang w:eastAsia="zh-CN"/>
        </w:rPr>
      </w:pPr>
      <w:r>
        <w:rPr>
          <w:rFonts w:hint="eastAsia" w:cs="宋体"/>
          <w:color w:val="auto"/>
          <w:sz w:val="24"/>
          <w:szCs w:val="24"/>
          <w:highlight w:val="none"/>
          <w:lang w:eastAsia="zh-CN"/>
        </w:rPr>
        <w:t>2025年</w:t>
      </w:r>
      <w:r>
        <w:rPr>
          <w:rFonts w:hint="eastAsia" w:cs="宋体"/>
          <w:color w:val="auto"/>
          <w:sz w:val="24"/>
          <w:szCs w:val="24"/>
          <w:highlight w:val="none"/>
          <w:lang w:val="en-US" w:eastAsia="zh-CN"/>
        </w:rPr>
        <w:t>7</w:t>
      </w:r>
      <w:r>
        <w:rPr>
          <w:rFonts w:hint="eastAsia" w:cs="宋体"/>
          <w:color w:val="auto"/>
          <w:sz w:val="24"/>
          <w:szCs w:val="24"/>
          <w:highlight w:val="none"/>
          <w:lang w:eastAsia="zh-CN"/>
        </w:rPr>
        <w:t>月</w:t>
      </w:r>
      <w:r>
        <w:rPr>
          <w:rFonts w:hint="eastAsia" w:cs="宋体"/>
          <w:color w:val="auto"/>
          <w:sz w:val="24"/>
          <w:szCs w:val="24"/>
          <w:highlight w:val="none"/>
          <w:lang w:val="en-US" w:eastAsia="zh-CN"/>
        </w:rPr>
        <w:t>24</w:t>
      </w:r>
      <w:r>
        <w:rPr>
          <w:rFonts w:hint="eastAsia" w:cs="宋体"/>
          <w:color w:val="auto"/>
          <w:sz w:val="24"/>
          <w:szCs w:val="24"/>
          <w:highlight w:val="none"/>
          <w:lang w:eastAsia="zh-CN"/>
        </w:rPr>
        <w:t>日</w:t>
      </w:r>
    </w:p>
    <w:p w14:paraId="633DA610">
      <w:pPr>
        <w:pStyle w:val="31"/>
        <w:spacing w:before="0" w:beforeAutospacing="0" w:after="0" w:afterAutospacing="0" w:line="360" w:lineRule="auto"/>
        <w:rPr>
          <w:rFonts w:cs="宋体"/>
          <w:color w:val="auto"/>
          <w:sz w:val="21"/>
          <w:szCs w:val="21"/>
          <w:highlight w:val="none"/>
        </w:rPr>
        <w:sectPr>
          <w:footerReference r:id="rId9" w:type="default"/>
          <w:pgSz w:w="11906" w:h="16838"/>
          <w:pgMar w:top="851" w:right="849" w:bottom="1134" w:left="993" w:header="720" w:footer="720" w:gutter="0"/>
          <w:pgBorders>
            <w:top w:val="none" w:sz="0" w:space="0"/>
            <w:left w:val="none" w:sz="0" w:space="0"/>
            <w:bottom w:val="none" w:sz="0" w:space="0"/>
            <w:right w:val="none" w:sz="0" w:space="0"/>
          </w:pgBorders>
          <w:pgNumType w:start="0"/>
          <w:cols w:space="720" w:num="1"/>
          <w:titlePg/>
          <w:docGrid w:linePitch="312" w:charSpace="0"/>
        </w:sectPr>
      </w:pPr>
      <w:r>
        <w:rPr>
          <w:rFonts w:hint="eastAsia" w:cs="宋体"/>
          <w:color w:val="auto"/>
          <w:sz w:val="21"/>
          <w:szCs w:val="21"/>
          <w:highlight w:val="none"/>
        </w:rPr>
        <w:softHyphen/>
      </w:r>
      <w:r>
        <w:rPr>
          <w:rFonts w:hint="eastAsia" w:cs="宋体"/>
          <w:color w:val="auto"/>
          <w:sz w:val="21"/>
          <w:szCs w:val="21"/>
          <w:highlight w:val="none"/>
        </w:rPr>
        <w:softHyphen/>
      </w:r>
    </w:p>
    <w:p w14:paraId="4F721565">
      <w:pPr>
        <w:pStyle w:val="3"/>
        <w:numPr>
          <w:ilvl w:val="0"/>
          <w:numId w:val="3"/>
        </w:numPr>
        <w:rPr>
          <w:color w:val="auto"/>
          <w:highlight w:val="none"/>
        </w:rPr>
      </w:pPr>
      <w:bookmarkStart w:id="9" w:name="_Toc1719469"/>
      <w:r>
        <w:rPr>
          <w:rFonts w:hint="eastAsia"/>
          <w:color w:val="auto"/>
          <w:highlight w:val="none"/>
        </w:rPr>
        <w:t xml:space="preserve"> </w:t>
      </w:r>
      <w:bookmarkStart w:id="10" w:name="_Toc12820"/>
      <w:r>
        <w:rPr>
          <w:rFonts w:hint="eastAsia"/>
          <w:color w:val="auto"/>
          <w:highlight w:val="none"/>
        </w:rPr>
        <w:t>谈判须知及前附表</w:t>
      </w:r>
      <w:bookmarkEnd w:id="2"/>
      <w:bookmarkEnd w:id="3"/>
      <w:bookmarkEnd w:id="4"/>
      <w:bookmarkEnd w:id="9"/>
      <w:bookmarkEnd w:id="10"/>
    </w:p>
    <w:p w14:paraId="0400F1ED">
      <w:pPr>
        <w:pStyle w:val="3"/>
        <w:rPr>
          <w:rFonts w:ascii="黑体" w:eastAsia="黑体"/>
          <w:color w:val="auto"/>
          <w:spacing w:val="68"/>
          <w:sz w:val="32"/>
          <w:highlight w:val="none"/>
        </w:rPr>
      </w:pPr>
      <w:bookmarkStart w:id="11" w:name="_Toc723"/>
      <w:r>
        <w:rPr>
          <w:rFonts w:hint="eastAsia" w:ascii="黑体" w:eastAsia="黑体"/>
          <w:color w:val="auto"/>
          <w:spacing w:val="68"/>
          <w:sz w:val="32"/>
          <w:highlight w:val="none"/>
        </w:rPr>
        <w:t>谈判须知前附表</w:t>
      </w:r>
      <w:bookmarkEnd w:id="11"/>
    </w:p>
    <w:tbl>
      <w:tblPr>
        <w:tblStyle w:val="35"/>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41"/>
      </w:tblGrid>
      <w:tr w14:paraId="1E47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vAlign w:val="center"/>
          </w:tcPr>
          <w:p w14:paraId="03D9D615">
            <w:pPr>
              <w:jc w:val="center"/>
              <w:rPr>
                <w:rFonts w:ascii="宋体" w:hAnsi="宋体"/>
                <w:b/>
                <w:bCs/>
                <w:color w:val="auto"/>
                <w:sz w:val="24"/>
                <w:szCs w:val="24"/>
                <w:highlight w:val="none"/>
              </w:rPr>
            </w:pPr>
            <w:r>
              <w:rPr>
                <w:rFonts w:hint="eastAsia" w:ascii="宋体" w:hAnsi="宋体"/>
                <w:b/>
                <w:bCs/>
                <w:color w:val="auto"/>
                <w:sz w:val="24"/>
                <w:szCs w:val="24"/>
                <w:highlight w:val="none"/>
              </w:rPr>
              <w:t>序号</w:t>
            </w:r>
          </w:p>
        </w:tc>
        <w:tc>
          <w:tcPr>
            <w:tcW w:w="7741" w:type="dxa"/>
            <w:vAlign w:val="center"/>
          </w:tcPr>
          <w:p w14:paraId="01745985">
            <w:pPr>
              <w:jc w:val="center"/>
              <w:rPr>
                <w:rFonts w:ascii="宋体" w:hAnsi="宋体"/>
                <w:b/>
                <w:bCs/>
                <w:color w:val="auto"/>
                <w:sz w:val="24"/>
                <w:szCs w:val="24"/>
                <w:highlight w:val="none"/>
              </w:rPr>
            </w:pPr>
            <w:r>
              <w:rPr>
                <w:rFonts w:hint="eastAsia" w:ascii="宋体" w:hAnsi="宋体"/>
                <w:b/>
                <w:bCs/>
                <w:color w:val="auto"/>
                <w:sz w:val="24"/>
                <w:szCs w:val="24"/>
                <w:highlight w:val="none"/>
              </w:rPr>
              <w:t>内              容</w:t>
            </w:r>
          </w:p>
        </w:tc>
      </w:tr>
      <w:tr w14:paraId="616D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Align w:val="center"/>
          </w:tcPr>
          <w:p w14:paraId="696A9631">
            <w:pPr>
              <w:numPr>
                <w:ilvl w:val="0"/>
                <w:numId w:val="4"/>
              </w:numPr>
              <w:spacing w:line="500" w:lineRule="exact"/>
              <w:ind w:left="425" w:leftChars="0" w:hanging="425" w:firstLineChars="0"/>
              <w:jc w:val="center"/>
              <w:rPr>
                <w:rFonts w:ascii="宋体" w:hAnsi="宋体"/>
                <w:b/>
                <w:color w:val="auto"/>
                <w:sz w:val="24"/>
                <w:szCs w:val="24"/>
                <w:highlight w:val="none"/>
              </w:rPr>
            </w:pPr>
          </w:p>
        </w:tc>
        <w:tc>
          <w:tcPr>
            <w:tcW w:w="7741" w:type="dxa"/>
            <w:vAlign w:val="center"/>
          </w:tcPr>
          <w:p w14:paraId="590C7898">
            <w:pPr>
              <w:spacing w:line="500" w:lineRule="exact"/>
              <w:rPr>
                <w:rFonts w:ascii="宋体" w:hAnsi="宋体" w:cs="Arial"/>
                <w:color w:val="auto"/>
                <w:kern w:val="0"/>
                <w:sz w:val="24"/>
                <w:szCs w:val="24"/>
                <w:highlight w:val="none"/>
              </w:rPr>
            </w:pPr>
            <w:r>
              <w:rPr>
                <w:rFonts w:hint="eastAsia" w:ascii="宋体" w:hAnsi="宋体"/>
                <w:b/>
                <w:color w:val="auto"/>
                <w:sz w:val="24"/>
                <w:szCs w:val="24"/>
                <w:highlight w:val="none"/>
              </w:rPr>
              <w:t>项目名称：</w:t>
            </w:r>
            <w:r>
              <w:rPr>
                <w:rFonts w:hint="eastAsia"/>
                <w:color w:val="auto"/>
                <w:sz w:val="24"/>
                <w:szCs w:val="24"/>
                <w:highlight w:val="none"/>
                <w:lang w:eastAsia="zh-CN"/>
              </w:rPr>
              <w:t>全自动染色体核型分析及扫描设备采购项目</w:t>
            </w:r>
          </w:p>
          <w:p w14:paraId="0A87761B">
            <w:pPr>
              <w:spacing w:line="500" w:lineRule="exact"/>
              <w:rPr>
                <w:rFonts w:hint="eastAsia" w:ascii="宋体" w:hAnsi="宋体" w:eastAsia="宋体" w:cs="Arial"/>
                <w:color w:val="auto"/>
                <w:kern w:val="0"/>
                <w:sz w:val="24"/>
                <w:szCs w:val="24"/>
                <w:highlight w:val="none"/>
                <w:lang w:eastAsia="zh-CN"/>
              </w:rPr>
            </w:pPr>
            <w:r>
              <w:rPr>
                <w:rFonts w:hint="eastAsia"/>
                <w:b/>
                <w:color w:val="auto"/>
                <w:sz w:val="24"/>
                <w:szCs w:val="24"/>
                <w:highlight w:val="none"/>
              </w:rPr>
              <w:t>项目编号：</w:t>
            </w:r>
            <w:r>
              <w:rPr>
                <w:rFonts w:hint="eastAsia"/>
                <w:b/>
                <w:bCs w:val="0"/>
                <w:color w:val="auto"/>
                <w:sz w:val="24"/>
                <w:szCs w:val="24"/>
                <w:highlight w:val="none"/>
                <w:lang w:val="en-US" w:eastAsia="zh-CN"/>
              </w:rPr>
              <w:t>W</w:t>
            </w:r>
            <w:r>
              <w:rPr>
                <w:rFonts w:hint="eastAsia"/>
                <w:b/>
                <w:bCs w:val="0"/>
                <w:color w:val="auto"/>
                <w:sz w:val="24"/>
                <w:szCs w:val="24"/>
                <w:highlight w:val="none"/>
                <w:lang w:eastAsia="zh-CN"/>
              </w:rPr>
              <w:t>ZZC2025-J1-990131-GXZX</w:t>
            </w:r>
          </w:p>
        </w:tc>
      </w:tr>
      <w:tr w14:paraId="4B8B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828" w:type="dxa"/>
            <w:vAlign w:val="center"/>
          </w:tcPr>
          <w:p w14:paraId="39A3BF82">
            <w:pPr>
              <w:numPr>
                <w:ilvl w:val="0"/>
                <w:numId w:val="4"/>
              </w:numPr>
              <w:spacing w:line="500" w:lineRule="exact"/>
              <w:ind w:left="425" w:leftChars="0" w:hanging="425" w:firstLineChars="0"/>
              <w:jc w:val="center"/>
              <w:rPr>
                <w:rFonts w:ascii="宋体" w:hAnsi="宋体"/>
                <w:b w:val="0"/>
                <w:bCs/>
                <w:color w:val="auto"/>
                <w:sz w:val="24"/>
                <w:szCs w:val="24"/>
                <w:highlight w:val="none"/>
              </w:rPr>
            </w:pPr>
          </w:p>
        </w:tc>
        <w:tc>
          <w:tcPr>
            <w:tcW w:w="7741" w:type="dxa"/>
            <w:vAlign w:val="center"/>
          </w:tcPr>
          <w:p w14:paraId="608C2C52">
            <w:pPr>
              <w:rPr>
                <w:rFonts w:hint="eastAsia" w:asciiTheme="majorEastAsia" w:hAnsiTheme="majorEastAsia" w:eastAsiaTheme="majorEastAsia" w:cstheme="majorEastAsia"/>
                <w:b/>
                <w:bCs w:val="0"/>
                <w:color w:val="auto"/>
                <w:sz w:val="24"/>
                <w:szCs w:val="24"/>
                <w:highlight w:val="none"/>
              </w:rPr>
            </w:pPr>
            <w:r>
              <w:rPr>
                <w:rFonts w:hint="eastAsia" w:asciiTheme="majorEastAsia" w:hAnsiTheme="majorEastAsia" w:eastAsiaTheme="majorEastAsia" w:cstheme="majorEastAsia"/>
                <w:b/>
                <w:bCs w:val="0"/>
                <w:color w:val="auto"/>
                <w:sz w:val="24"/>
                <w:szCs w:val="24"/>
                <w:highlight w:val="none"/>
              </w:rPr>
              <w:t>响应文件的上传和提交：</w:t>
            </w:r>
          </w:p>
          <w:p w14:paraId="5DDA5CEC">
            <w:pPr>
              <w:spacing w:line="360" w:lineRule="auto"/>
              <w:rPr>
                <w:rFonts w:hint="eastAsia" w:cs="Courier New" w:asciiTheme="minorEastAsia" w:hAnsiTheme="minorEastAsia" w:eastAsiaTheme="minorEastAsia"/>
                <w:color w:val="auto"/>
                <w:sz w:val="24"/>
                <w:szCs w:val="24"/>
                <w:highlight w:val="none"/>
                <w:lang w:val="en-US" w:eastAsia="zh-CN"/>
              </w:rPr>
            </w:pPr>
            <w:r>
              <w:rPr>
                <w:rFonts w:hint="eastAsia" w:cs="Courier New" w:asciiTheme="minorEastAsia" w:hAnsiTheme="minorEastAsia" w:eastAsiaTheme="minorEastAsia"/>
                <w:color w:val="auto"/>
                <w:sz w:val="24"/>
                <w:szCs w:val="24"/>
                <w:highlight w:val="none"/>
                <w:lang w:val="en-US" w:eastAsia="zh-CN"/>
              </w:rPr>
              <w:t>本项目通过“广西政府采购云平台（https://www.gcy.zfcg.gxzf.gov.cn/）”实行在线谈判响应（电子标），谈判供应商应当在上传响应文件截止时间前，将生成的“电子加密响应文件”上传提交至“广西政府采购云平台（https://www.gcy.zfcg.gxzf.gov.cn/）”。</w:t>
            </w:r>
          </w:p>
          <w:p w14:paraId="43235731">
            <w:pPr>
              <w:spacing w:line="360" w:lineRule="auto"/>
              <w:rPr>
                <w:rFonts w:hint="eastAsia" w:cs="Courier New" w:asciiTheme="minorEastAsia" w:hAnsiTheme="minorEastAsia" w:eastAsiaTheme="minorEastAsia"/>
                <w:color w:val="auto"/>
                <w:sz w:val="24"/>
                <w:szCs w:val="24"/>
                <w:highlight w:val="none"/>
                <w:lang w:val="en-US" w:eastAsia="zh-CN"/>
              </w:rPr>
            </w:pPr>
            <w:r>
              <w:rPr>
                <w:rFonts w:hint="eastAsia" w:cs="Courier New" w:asciiTheme="minorEastAsia" w:hAnsiTheme="minorEastAsia" w:eastAsiaTheme="minorEastAsia"/>
                <w:color w:val="auto"/>
                <w:sz w:val="24"/>
                <w:szCs w:val="24"/>
                <w:highlight w:val="none"/>
                <w:lang w:val="en-US" w:eastAsia="zh-CN"/>
              </w:rPr>
              <w:t>“电子加密响应文件”的上传、提交：</w:t>
            </w:r>
          </w:p>
          <w:p w14:paraId="4F0529A4">
            <w:pPr>
              <w:spacing w:line="360" w:lineRule="auto"/>
              <w:rPr>
                <w:rFonts w:hint="eastAsia" w:cs="Courier New" w:asciiTheme="minorEastAsia" w:hAnsiTheme="minorEastAsia" w:eastAsiaTheme="minorEastAsia"/>
                <w:color w:val="auto"/>
                <w:sz w:val="24"/>
                <w:szCs w:val="24"/>
                <w:highlight w:val="none"/>
                <w:lang w:val="en-US" w:eastAsia="zh-CN"/>
              </w:rPr>
            </w:pPr>
            <w:r>
              <w:rPr>
                <w:rFonts w:hint="eastAsia" w:cs="Courier New" w:asciiTheme="minorEastAsia" w:hAnsiTheme="minorEastAsia" w:eastAsiaTheme="minorEastAsia"/>
                <w:color w:val="auto"/>
                <w:sz w:val="24"/>
                <w:szCs w:val="24"/>
                <w:highlight w:val="none"/>
                <w:lang w:val="en-US" w:eastAsia="zh-CN"/>
              </w:rPr>
              <w:t>a.谈判供应商应在上传响应文件截止时间前将“电子加密响应文件”成功上传提交至“广西政府采购云平台（https://www.gcy.zfcg.gxzf.gov.cn/）”，否则谈判无效。</w:t>
            </w:r>
          </w:p>
          <w:p w14:paraId="1E41B1DB">
            <w:pPr>
              <w:spacing w:line="360" w:lineRule="auto"/>
              <w:rPr>
                <w:rFonts w:cs="宋体"/>
                <w:b w:val="0"/>
                <w:bCs/>
                <w:color w:val="auto"/>
                <w:sz w:val="24"/>
                <w:szCs w:val="24"/>
                <w:highlight w:val="none"/>
              </w:rPr>
            </w:pPr>
            <w:r>
              <w:rPr>
                <w:rFonts w:hint="eastAsia" w:cs="Courier New" w:asciiTheme="minorEastAsia" w:hAnsiTheme="minorEastAsia" w:eastAsiaTheme="minorEastAsia"/>
                <w:color w:val="auto"/>
                <w:sz w:val="24"/>
                <w:szCs w:val="24"/>
                <w:highlight w:val="none"/>
                <w:lang w:val="en-US" w:eastAsia="zh-CN"/>
              </w:rPr>
              <w:t>b.“电子加密谈判响应文件”成功上传提交后，供应商可自行打印响应文件接收回执。</w:t>
            </w:r>
          </w:p>
        </w:tc>
      </w:tr>
      <w:tr w14:paraId="4326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28" w:type="dxa"/>
            <w:vAlign w:val="center"/>
          </w:tcPr>
          <w:p w14:paraId="4397A1DB">
            <w:pPr>
              <w:numPr>
                <w:ilvl w:val="0"/>
                <w:numId w:val="4"/>
              </w:numPr>
              <w:spacing w:line="500" w:lineRule="exact"/>
              <w:ind w:left="425" w:leftChars="0" w:hanging="425" w:firstLineChars="0"/>
              <w:jc w:val="center"/>
              <w:rPr>
                <w:rFonts w:ascii="宋体" w:hAnsi="宋体"/>
                <w:b/>
                <w:color w:val="auto"/>
                <w:sz w:val="24"/>
                <w:szCs w:val="24"/>
                <w:highlight w:val="none"/>
              </w:rPr>
            </w:pPr>
          </w:p>
        </w:tc>
        <w:tc>
          <w:tcPr>
            <w:tcW w:w="7741" w:type="dxa"/>
            <w:vAlign w:val="center"/>
          </w:tcPr>
          <w:p w14:paraId="5BB03099">
            <w:pPr>
              <w:pStyle w:val="18"/>
              <w:snapToGrid w:val="0"/>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1.竞标报价方式：供应商必须就《本项目内容要求中的货物可能发生的费用作唯一完整报价。（本项目只允许递交一个方案的报价，不接受任何有选择性的报价。）</w:t>
            </w:r>
          </w:p>
          <w:p w14:paraId="592AC97D">
            <w:pPr>
              <w:pStyle w:val="31"/>
              <w:spacing w:before="0" w:beforeAutospacing="0" w:after="0" w:afterAutospacing="0" w:line="360" w:lineRule="auto"/>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2.竞标报价应为实施本项目所需的所有费用，包含采购、制造、改造、包装、运输、劳务、管理、利润、税金、保险、协调、装卸、调试、培训、售后服务费用以及相关文件规定及合同包含的所有风险、责任等</w:t>
            </w:r>
          </w:p>
        </w:tc>
      </w:tr>
      <w:tr w14:paraId="6D91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8" w:type="dxa"/>
            <w:vAlign w:val="center"/>
          </w:tcPr>
          <w:p w14:paraId="61D7C549">
            <w:pPr>
              <w:numPr>
                <w:ilvl w:val="0"/>
                <w:numId w:val="4"/>
              </w:numPr>
              <w:spacing w:line="500" w:lineRule="exact"/>
              <w:ind w:left="425" w:leftChars="0" w:hanging="425" w:firstLineChars="0"/>
              <w:jc w:val="center"/>
              <w:rPr>
                <w:rFonts w:ascii="宋体" w:hAnsi="宋体"/>
                <w:b/>
                <w:color w:val="auto"/>
                <w:sz w:val="24"/>
                <w:szCs w:val="24"/>
                <w:highlight w:val="none"/>
              </w:rPr>
            </w:pPr>
          </w:p>
        </w:tc>
        <w:tc>
          <w:tcPr>
            <w:tcW w:w="7741" w:type="dxa"/>
            <w:vAlign w:val="center"/>
          </w:tcPr>
          <w:p w14:paraId="15689E34">
            <w:pPr>
              <w:snapToGrid w:val="0"/>
              <w:spacing w:line="360" w:lineRule="auto"/>
              <w:rPr>
                <w:rFonts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谈判保证金：人民币</w:t>
            </w:r>
            <w:r>
              <w:rPr>
                <w:rFonts w:hint="eastAsia" w:asciiTheme="minorEastAsia" w:hAnsiTheme="minorEastAsia" w:eastAsiaTheme="minorEastAsia" w:cstheme="minorEastAsia"/>
                <w:b/>
                <w:color w:val="auto"/>
                <w:sz w:val="24"/>
                <w:szCs w:val="24"/>
                <w:highlight w:val="none"/>
                <w:u w:val="single"/>
                <w:lang w:eastAsia="zh-CN"/>
              </w:rPr>
              <w:t>捌仟元整</w:t>
            </w:r>
            <w:r>
              <w:rPr>
                <w:rFonts w:hint="eastAsia" w:asciiTheme="minorEastAsia" w:hAnsiTheme="minorEastAsia" w:eastAsiaTheme="minorEastAsia" w:cstheme="minorEastAsia"/>
                <w:b/>
                <w:color w:val="auto"/>
                <w:sz w:val="24"/>
                <w:szCs w:val="24"/>
                <w:highlight w:val="none"/>
                <w:u w:val="single"/>
              </w:rPr>
              <w:t>（¥</w:t>
            </w:r>
            <w:r>
              <w:rPr>
                <w:rFonts w:hint="eastAsia" w:asciiTheme="minorEastAsia" w:hAnsiTheme="minorEastAsia" w:eastAsiaTheme="minorEastAsia" w:cstheme="minorEastAsia"/>
                <w:b/>
                <w:color w:val="auto"/>
                <w:sz w:val="24"/>
                <w:szCs w:val="24"/>
                <w:highlight w:val="none"/>
                <w:u w:val="single"/>
                <w:lang w:val="en-US" w:eastAsia="zh-CN"/>
              </w:rPr>
              <w:t>8</w:t>
            </w:r>
            <w:r>
              <w:rPr>
                <w:rFonts w:hint="eastAsia" w:asciiTheme="minorEastAsia" w:hAnsiTheme="minorEastAsia" w:eastAsiaTheme="minorEastAsia" w:cstheme="minorEastAsia"/>
                <w:b/>
                <w:color w:val="auto"/>
                <w:sz w:val="24"/>
                <w:szCs w:val="24"/>
                <w:highlight w:val="none"/>
                <w:u w:val="single"/>
              </w:rPr>
              <w:t>000.00）</w:t>
            </w:r>
          </w:p>
          <w:p w14:paraId="510E731C">
            <w:pPr>
              <w:snapToGrid w:val="0"/>
              <w:spacing w:line="360" w:lineRule="auto"/>
              <w:rPr>
                <w:rFonts w:hAnsi="宋体"/>
                <w:b/>
                <w:color w:val="auto"/>
                <w:spacing w:val="2"/>
                <w:sz w:val="24"/>
                <w:szCs w:val="24"/>
                <w:highlight w:val="none"/>
              </w:rPr>
            </w:pPr>
            <w:r>
              <w:rPr>
                <w:rFonts w:hint="eastAsia" w:ascii="宋体" w:hAnsi="宋体"/>
                <w:color w:val="auto"/>
                <w:sz w:val="24"/>
                <w:szCs w:val="24"/>
                <w:highlight w:val="none"/>
              </w:rPr>
              <w:t>谈判保证金的形式：可以是</w:t>
            </w:r>
            <w:r>
              <w:rPr>
                <w:rFonts w:hint="eastAsia" w:ascii="宋体" w:hAnsi="宋体"/>
                <w:b/>
                <w:color w:val="auto"/>
                <w:sz w:val="24"/>
                <w:szCs w:val="24"/>
                <w:highlight w:val="none"/>
              </w:rPr>
              <w:t>转账或电汇/支票/汇票/本票/保函等非现金方式</w:t>
            </w:r>
          </w:p>
          <w:p w14:paraId="317A5D06">
            <w:pPr>
              <w:spacing w:line="360" w:lineRule="auto"/>
              <w:rPr>
                <w:rFonts w:ascii="宋体" w:hAnsi="宋体"/>
                <w:color w:val="auto"/>
                <w:sz w:val="24"/>
                <w:szCs w:val="24"/>
                <w:highlight w:val="none"/>
              </w:rPr>
            </w:pPr>
            <w:r>
              <w:rPr>
                <w:rFonts w:hint="eastAsia" w:ascii="宋体" w:hAnsi="宋体"/>
                <w:color w:val="auto"/>
                <w:sz w:val="24"/>
                <w:szCs w:val="24"/>
                <w:highlight w:val="none"/>
              </w:rPr>
              <w:t>（1）采用转账或电汇形式：谈判保证金必须在本项目响应文件递交截止时间前缴纳并到达广西中信恒泰工程顾问有限公司梧州分公司账户，请在银行进账单或电汇单的用途或空白栏上注明：项目名称+项目编号（可简写，如不注明字样，查不到帐概不负责）。经查实谈判保证金没有到账的，其谈判将被拒绝 。缴纳方法如下：</w:t>
            </w:r>
          </w:p>
          <w:p w14:paraId="7D1748B7">
            <w:pPr>
              <w:spacing w:line="360" w:lineRule="auto"/>
              <w:rPr>
                <w:rFonts w:ascii="宋体" w:hAnsi="宋体"/>
                <w:color w:val="auto"/>
                <w:sz w:val="24"/>
                <w:szCs w:val="24"/>
                <w:highlight w:val="none"/>
              </w:rPr>
            </w:pPr>
            <w:r>
              <w:rPr>
                <w:rFonts w:hint="eastAsia" w:ascii="宋体" w:hAnsi="宋体"/>
                <w:color w:val="auto"/>
                <w:sz w:val="24"/>
                <w:szCs w:val="24"/>
                <w:highlight w:val="none"/>
              </w:rPr>
              <w:t>必须在本公司的对公账户中转账至广西中信恒泰工程顾问有限公司梧州分公司的保证金专用账户。</w:t>
            </w:r>
          </w:p>
          <w:p w14:paraId="3FD1D968">
            <w:pPr>
              <w:spacing w:line="360" w:lineRule="auto"/>
              <w:rPr>
                <w:rFonts w:ascii="宋体" w:hAnsi="宋体"/>
                <w:color w:val="auto"/>
                <w:sz w:val="24"/>
                <w:szCs w:val="24"/>
                <w:highlight w:val="none"/>
              </w:rPr>
            </w:pPr>
            <w:r>
              <w:rPr>
                <w:rFonts w:hint="eastAsia" w:ascii="宋体" w:hAnsi="宋体"/>
                <w:color w:val="auto"/>
                <w:sz w:val="24"/>
                <w:szCs w:val="24"/>
                <w:highlight w:val="none"/>
              </w:rPr>
              <w:t>开户名称：广西中信恒泰工程顾问有限公司梧州分公司</w:t>
            </w:r>
          </w:p>
          <w:p w14:paraId="695E3884">
            <w:pPr>
              <w:spacing w:line="360" w:lineRule="auto"/>
              <w:rPr>
                <w:color w:val="auto"/>
                <w:sz w:val="24"/>
                <w:szCs w:val="24"/>
                <w:highlight w:val="none"/>
              </w:rPr>
            </w:pPr>
            <w:r>
              <w:rPr>
                <w:rFonts w:hint="eastAsia" w:ascii="宋体" w:hAnsi="宋体"/>
                <w:color w:val="auto"/>
                <w:sz w:val="24"/>
                <w:szCs w:val="24"/>
                <w:highlight w:val="none"/>
              </w:rPr>
              <w:t>开户银行：中国</w:t>
            </w:r>
            <w:r>
              <w:rPr>
                <w:rFonts w:hint="eastAsia"/>
                <w:color w:val="auto"/>
                <w:sz w:val="24"/>
                <w:szCs w:val="24"/>
                <w:highlight w:val="none"/>
              </w:rPr>
              <w:t>建设银行股份有限公司梧州三龙大道支行</w:t>
            </w:r>
          </w:p>
          <w:p w14:paraId="2212A780">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u w:val="single"/>
              </w:rPr>
              <w:t>银行账号：4505 0164 0042 0000 0344</w:t>
            </w:r>
          </w:p>
          <w:p w14:paraId="1C4ED419">
            <w:pPr>
              <w:spacing w:line="360" w:lineRule="auto"/>
              <w:rPr>
                <w:rFonts w:cs="Courier New"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szCs w:val="24"/>
                <w:highlight w:val="none"/>
              </w:rPr>
              <w:t>（2）采用支票/汇票/本票/保函形式：必须为无条件的支票/汇票/本票/保函（应注明“项目名称+项目编号”，保函受益人为采购人，格式自拟），足额提交，有效期不得低于竞标有效期【备注：递交响应文件时供应商应将支票/汇票/本票/保函原件一并提交给采购人，由采购人核验票据信息，确认保函是否有效后交由采购代理机构保管，复印件需加盖供应商公章并装订入响应文件】，否则采购人有权拒绝接受谈判或记录在案并在评审阶段由谈判小组做无效响应处理。</w:t>
            </w:r>
          </w:p>
          <w:p w14:paraId="41F6D3D7">
            <w:pPr>
              <w:spacing w:line="360" w:lineRule="auto"/>
              <w:rPr>
                <w:rFonts w:ascii="宋体" w:hAnsi="宋体"/>
                <w:b/>
                <w:color w:val="auto"/>
                <w:sz w:val="24"/>
                <w:szCs w:val="24"/>
                <w:highlight w:val="none"/>
              </w:rPr>
            </w:pPr>
            <w:r>
              <w:rPr>
                <w:rFonts w:hint="eastAsia" w:cs="Courier New" w:asciiTheme="minorEastAsia" w:hAnsiTheme="minorEastAsia" w:eastAsiaTheme="minorEastAsia"/>
                <w:color w:val="auto"/>
                <w:sz w:val="24"/>
                <w:szCs w:val="24"/>
                <w:highlight w:val="none"/>
              </w:rPr>
              <w:t>保证金支票/汇票/本票/保函原件递交截止时间：同竞争性谈判响应文件递交截止时间，逾时不再接收，视为供应商没有缴纳谈判保证金。</w:t>
            </w:r>
          </w:p>
        </w:tc>
      </w:tr>
      <w:tr w14:paraId="5917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28" w:type="dxa"/>
            <w:vAlign w:val="center"/>
          </w:tcPr>
          <w:p w14:paraId="79995ABE">
            <w:pPr>
              <w:numPr>
                <w:ilvl w:val="0"/>
                <w:numId w:val="4"/>
              </w:numPr>
              <w:spacing w:line="500" w:lineRule="exact"/>
              <w:ind w:left="425" w:leftChars="0" w:hanging="425" w:firstLineChars="0"/>
              <w:jc w:val="center"/>
              <w:rPr>
                <w:rFonts w:ascii="宋体" w:hAnsi="宋体"/>
                <w:b/>
                <w:color w:val="auto"/>
                <w:sz w:val="24"/>
                <w:szCs w:val="24"/>
                <w:highlight w:val="none"/>
              </w:rPr>
            </w:pPr>
          </w:p>
        </w:tc>
        <w:tc>
          <w:tcPr>
            <w:tcW w:w="7741" w:type="dxa"/>
            <w:vAlign w:val="center"/>
          </w:tcPr>
          <w:p w14:paraId="3E64F3BF">
            <w:pPr>
              <w:spacing w:line="500" w:lineRule="exact"/>
              <w:rPr>
                <w:rFonts w:ascii="宋体" w:hAnsi="宋体"/>
                <w:color w:val="auto"/>
                <w:sz w:val="24"/>
                <w:szCs w:val="24"/>
                <w:highlight w:val="none"/>
              </w:rPr>
            </w:pPr>
            <w:r>
              <w:rPr>
                <w:rFonts w:hint="eastAsia" w:ascii="宋体" w:hAnsi="宋体"/>
                <w:b/>
                <w:color w:val="auto"/>
                <w:sz w:val="24"/>
                <w:szCs w:val="24"/>
                <w:highlight w:val="none"/>
              </w:rPr>
              <w:t>竞标有效期：</w:t>
            </w:r>
            <w:r>
              <w:rPr>
                <w:rFonts w:hint="eastAsia" w:asciiTheme="minorEastAsia" w:hAnsiTheme="minorEastAsia" w:eastAsiaTheme="minorEastAsia" w:cstheme="minorEastAsia"/>
                <w:color w:val="auto"/>
                <w:sz w:val="24"/>
                <w:szCs w:val="24"/>
                <w:highlight w:val="none"/>
              </w:rPr>
              <w:t>竞标截止期结束之日起60天内</w:t>
            </w:r>
          </w:p>
        </w:tc>
      </w:tr>
      <w:tr w14:paraId="41C5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28" w:type="dxa"/>
            <w:vAlign w:val="center"/>
          </w:tcPr>
          <w:p w14:paraId="3697E3DB">
            <w:pPr>
              <w:numPr>
                <w:ilvl w:val="0"/>
                <w:numId w:val="4"/>
              </w:numPr>
              <w:spacing w:line="500" w:lineRule="exact"/>
              <w:ind w:left="425" w:leftChars="0" w:hanging="425" w:firstLineChars="0"/>
              <w:jc w:val="center"/>
              <w:rPr>
                <w:rFonts w:ascii="宋体" w:hAnsi="宋体"/>
                <w:b/>
                <w:color w:val="auto"/>
                <w:sz w:val="24"/>
                <w:szCs w:val="24"/>
                <w:highlight w:val="none"/>
              </w:rPr>
            </w:pPr>
          </w:p>
        </w:tc>
        <w:tc>
          <w:tcPr>
            <w:tcW w:w="7741" w:type="dxa"/>
            <w:vAlign w:val="center"/>
          </w:tcPr>
          <w:p w14:paraId="23E678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响应文件形式：谈判供应商应准备电子响应文件。</w:t>
            </w:r>
          </w:p>
          <w:p w14:paraId="741695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电子响应文件是指通过“</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客户端”完成响应文件编制后生成并加密的数据电文形式的电子加密响应文件。</w:t>
            </w:r>
          </w:p>
          <w:p w14:paraId="002D281F">
            <w:pPr>
              <w:spacing w:line="500" w:lineRule="exact"/>
              <w:rPr>
                <w:rFonts w:ascii="宋体" w:hAnsi="宋体"/>
                <w:color w:val="auto"/>
                <w:sz w:val="24"/>
                <w:szCs w:val="24"/>
                <w:highlight w:val="none"/>
              </w:rPr>
            </w:pPr>
            <w:r>
              <w:rPr>
                <w:rFonts w:hint="eastAsia" w:ascii="宋体" w:hAnsi="宋体" w:eastAsia="宋体" w:cs="宋体"/>
                <w:color w:val="auto"/>
                <w:sz w:val="24"/>
                <w:szCs w:val="24"/>
                <w:highlight w:val="none"/>
              </w:rPr>
              <w:t>响应文件的编制：供应商应先安装“</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客户端”，并按照本竞争性响应文件和“</w:t>
            </w:r>
            <w:r>
              <w:rPr>
                <w:rFonts w:hint="eastAsia" w:ascii="宋体" w:hAnsi="宋体" w:eastAsia="宋体" w:cs="宋体"/>
                <w:color w:val="auto"/>
                <w:sz w:val="24"/>
                <w:szCs w:val="24"/>
                <w:highlight w:val="none"/>
                <w:lang w:eastAsia="zh-CN"/>
              </w:rPr>
              <w:t>广西政府采购云平台（https://www.gcy.zfcg.gxzf.gov.cn/）</w:t>
            </w:r>
            <w:r>
              <w:rPr>
                <w:rFonts w:hint="eastAsia" w:ascii="宋体" w:hAnsi="宋体" w:eastAsia="宋体" w:cs="宋体"/>
                <w:color w:val="auto"/>
                <w:sz w:val="24"/>
                <w:szCs w:val="24"/>
                <w:highlight w:val="none"/>
              </w:rPr>
              <w:t>”的要求，通过“</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客户端”编制并加密响应文件。</w:t>
            </w:r>
          </w:p>
        </w:tc>
      </w:tr>
      <w:tr w14:paraId="7E42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28" w:type="dxa"/>
            <w:vAlign w:val="center"/>
          </w:tcPr>
          <w:p w14:paraId="2CCB5D2E">
            <w:pPr>
              <w:numPr>
                <w:ilvl w:val="0"/>
                <w:numId w:val="4"/>
              </w:numPr>
              <w:spacing w:line="500" w:lineRule="exact"/>
              <w:ind w:left="425" w:leftChars="0" w:hanging="425" w:firstLineChars="0"/>
              <w:jc w:val="center"/>
              <w:rPr>
                <w:rFonts w:hint="eastAsia" w:ascii="宋体" w:hAnsi="宋体"/>
                <w:b/>
                <w:color w:val="auto"/>
                <w:sz w:val="24"/>
                <w:szCs w:val="24"/>
                <w:highlight w:val="none"/>
              </w:rPr>
            </w:pPr>
          </w:p>
        </w:tc>
        <w:tc>
          <w:tcPr>
            <w:tcW w:w="7741" w:type="dxa"/>
            <w:vAlign w:val="center"/>
          </w:tcPr>
          <w:p w14:paraId="0030A067">
            <w:pPr>
              <w:spacing w:line="500" w:lineRule="exac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竞争性谈判响应文件递交截止时间：</w:t>
            </w:r>
            <w:r>
              <w:rPr>
                <w:rFonts w:hint="eastAsia" w:ascii="宋体" w:hAnsi="宋体" w:cs="宋体"/>
                <w:b/>
                <w:bCs/>
                <w:color w:val="auto"/>
                <w:sz w:val="24"/>
                <w:szCs w:val="24"/>
                <w:highlight w:val="none"/>
                <w:lang w:eastAsia="zh-CN"/>
              </w:rPr>
              <w:t>2025年7月30日上午9点00分</w:t>
            </w:r>
          </w:p>
          <w:p w14:paraId="05CFF625">
            <w:pPr>
              <w:spacing w:line="500" w:lineRule="exact"/>
              <w:rPr>
                <w:rFonts w:hint="eastAsia" w:ascii="宋体" w:hAnsi="宋体"/>
                <w:color w:val="auto"/>
                <w:sz w:val="24"/>
                <w:szCs w:val="24"/>
                <w:highlight w:val="none"/>
              </w:rPr>
            </w:pPr>
            <w:r>
              <w:rPr>
                <w:rFonts w:hint="eastAsia" w:ascii="宋体" w:hAnsi="宋体" w:eastAsia="宋体" w:cs="宋体"/>
                <w:color w:val="auto"/>
                <w:sz w:val="24"/>
                <w:szCs w:val="24"/>
                <w:highlight w:val="none"/>
              </w:rPr>
              <w:t>递交地址：</w:t>
            </w:r>
            <w:r>
              <w:rPr>
                <w:rFonts w:hint="eastAsia" w:ascii="宋体" w:hAnsi="宋体" w:eastAsia="宋体" w:cs="宋体"/>
                <w:color w:val="auto"/>
                <w:sz w:val="24"/>
                <w:szCs w:val="24"/>
                <w:highlight w:val="none"/>
                <w:lang w:eastAsia="zh-CN"/>
              </w:rPr>
              <w:t>广西政府采购云平台（https://www.gcy.zfcg.gxzf.gov.cn/）</w:t>
            </w:r>
            <w:r>
              <w:rPr>
                <w:rFonts w:hint="eastAsia" w:ascii="宋体" w:hAnsi="宋体" w:eastAsia="宋体" w:cs="宋体"/>
                <w:color w:val="auto"/>
                <w:sz w:val="24"/>
                <w:szCs w:val="24"/>
                <w:highlight w:val="none"/>
              </w:rPr>
              <w:t>在线谈判（本项目实施电子标，不要求供应商到达谈判现场)</w:t>
            </w:r>
          </w:p>
        </w:tc>
      </w:tr>
      <w:tr w14:paraId="4764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28" w:type="dxa"/>
            <w:vAlign w:val="center"/>
          </w:tcPr>
          <w:p w14:paraId="795DF65E">
            <w:pPr>
              <w:numPr>
                <w:ilvl w:val="0"/>
                <w:numId w:val="4"/>
              </w:numPr>
              <w:spacing w:line="500" w:lineRule="exact"/>
              <w:ind w:left="425" w:leftChars="0" w:hanging="425" w:firstLineChars="0"/>
              <w:jc w:val="center"/>
              <w:rPr>
                <w:rFonts w:ascii="宋体" w:hAnsi="宋体"/>
                <w:b/>
                <w:color w:val="auto"/>
                <w:sz w:val="24"/>
                <w:szCs w:val="24"/>
                <w:highlight w:val="none"/>
              </w:rPr>
            </w:pPr>
          </w:p>
        </w:tc>
        <w:tc>
          <w:tcPr>
            <w:tcW w:w="7741" w:type="dxa"/>
            <w:vAlign w:val="center"/>
          </w:tcPr>
          <w:p w14:paraId="19322A21">
            <w:pPr>
              <w:spacing w:line="500" w:lineRule="exac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谈判时间</w:t>
            </w:r>
            <w:r>
              <w:rPr>
                <w:rFonts w:hint="eastAsia" w:ascii="宋体" w:hAnsi="宋体" w:eastAsia="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eastAsia="zh-CN"/>
              </w:rPr>
              <w:t>2025年7月30日上午9点00分</w:t>
            </w:r>
          </w:p>
          <w:p w14:paraId="67E31AC5">
            <w:pPr>
              <w:spacing w:line="5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谈判地点：</w:t>
            </w:r>
            <w:r>
              <w:rPr>
                <w:rFonts w:hint="eastAsia" w:ascii="宋体" w:hAnsi="宋体" w:eastAsia="宋体" w:cs="宋体"/>
                <w:b/>
                <w:bCs/>
                <w:color w:val="auto"/>
                <w:kern w:val="0"/>
                <w:sz w:val="24"/>
                <w:szCs w:val="24"/>
                <w:highlight w:val="none"/>
                <w:lang w:eastAsia="zh-CN"/>
              </w:rPr>
              <w:t>广西政府采购云平台（https://www.gcy.zfcg.gxzf.gov.cn/）</w:t>
            </w:r>
            <w:r>
              <w:rPr>
                <w:rFonts w:hint="eastAsia" w:ascii="宋体" w:hAnsi="宋体" w:eastAsia="宋体" w:cs="宋体"/>
                <w:b/>
                <w:bCs/>
                <w:color w:val="auto"/>
                <w:kern w:val="0"/>
                <w:sz w:val="24"/>
                <w:szCs w:val="24"/>
                <w:highlight w:val="none"/>
              </w:rPr>
              <w:t>在线截止</w:t>
            </w:r>
          </w:p>
          <w:p w14:paraId="196C6BB6">
            <w:pPr>
              <w:spacing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电子响应文件解密时间：截标时间后30 分钟内，供应商必须在此时间段内登录</w:t>
            </w:r>
            <w:r>
              <w:rPr>
                <w:rFonts w:hint="eastAsia" w:ascii="宋体" w:hAnsi="宋体" w:eastAsia="宋体" w:cs="宋体"/>
                <w:color w:val="auto"/>
                <w:kern w:val="0"/>
                <w:sz w:val="24"/>
                <w:szCs w:val="24"/>
                <w:highlight w:val="none"/>
                <w:lang w:eastAsia="zh-CN"/>
              </w:rPr>
              <w:t>广西政府采购云平台（https://www.gcy.zfcg.gxzf.gov.cn/）</w:t>
            </w:r>
            <w:r>
              <w:rPr>
                <w:rFonts w:hint="eastAsia" w:ascii="宋体" w:hAnsi="宋体" w:eastAsia="宋体" w:cs="宋体"/>
                <w:color w:val="auto"/>
                <w:kern w:val="0"/>
                <w:sz w:val="24"/>
                <w:szCs w:val="24"/>
                <w:highlight w:val="none"/>
              </w:rPr>
              <w:t>，用“项目采购-开标评标”功能完成电子响应文件的解密。</w:t>
            </w:r>
          </w:p>
          <w:p w14:paraId="50634869">
            <w:pPr>
              <w:spacing w:line="360" w:lineRule="auto"/>
              <w:rPr>
                <w:rFonts w:asciiTheme="minorEastAsia" w:hAnsiTheme="minorEastAsia" w:eastAsiaTheme="minorEastAsia"/>
                <w:color w:val="auto"/>
                <w:sz w:val="24"/>
                <w:szCs w:val="24"/>
                <w:highlight w:val="none"/>
              </w:rPr>
            </w:pPr>
            <w:r>
              <w:rPr>
                <w:rFonts w:hint="eastAsia" w:ascii="宋体" w:hAnsi="宋体" w:eastAsia="宋体" w:cs="宋体"/>
                <w:color w:val="auto"/>
                <w:kern w:val="0"/>
                <w:sz w:val="24"/>
                <w:szCs w:val="24"/>
                <w:highlight w:val="none"/>
              </w:rPr>
              <w:t>若谈判供应商在规定时间内未按时解密的，视为响应文件撤回。</w:t>
            </w:r>
          </w:p>
        </w:tc>
      </w:tr>
      <w:tr w14:paraId="02B5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828" w:type="dxa"/>
            <w:vAlign w:val="center"/>
          </w:tcPr>
          <w:p w14:paraId="7A78252B">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14:paraId="5F747F7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采购人或采购代理机构查询供应商的主体信用记录</w:t>
            </w:r>
            <w:r>
              <w:rPr>
                <w:rFonts w:hint="eastAsia" w:ascii="宋体" w:hAnsi="宋体" w:eastAsia="宋体" w:cs="宋体"/>
                <w:color w:val="auto"/>
                <w:sz w:val="24"/>
                <w:szCs w:val="24"/>
                <w:highlight w:val="none"/>
                <w:lang w:eastAsia="zh-CN"/>
              </w:rPr>
              <w:t>：</w:t>
            </w:r>
          </w:p>
          <w:p w14:paraId="256339C3">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1）信用信息查询渠道：采购人或采购代理机构在“信用中国”网站（ www.creditchina.gov.cn）及中国政府采购网（ www.ccgp.gov.cn）查询相关供应商主体信用记录。</w:t>
            </w:r>
          </w:p>
          <w:p w14:paraId="3A117ADF">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2）信用信息查询截止时点：采购人或采购代理机构在文件递交截止时间后评标或评审结束前查询相关供应商主体信用记录查询结果，记录内容溯及时限为文件递交截止之日前三年；</w:t>
            </w:r>
          </w:p>
          <w:p w14:paraId="5B2DF602">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3）信用信息查询记录和证据留存的具体方式：采购人或采购代理机构在上述指定时段内在“信用中国”网站（ www.creditchina.gov.cn）及中国政府采购网（ www.ccgp.gov.cn）等两个网站查询相关供应商主体信用记录，同时将两个网站的查询结果网页打印件为证据留存；</w:t>
            </w:r>
          </w:p>
          <w:p w14:paraId="29657DFA">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4）信用信息的使用规则：执行资格审查的主体核验具体供应商的主体信用记录，被列入失信被执行人、</w:t>
            </w:r>
            <w:r>
              <w:rPr>
                <w:rFonts w:hint="eastAsia" w:ascii="宋体" w:hAnsi="宋体" w:cs="宋体"/>
                <w:color w:val="auto"/>
                <w:kern w:val="0"/>
                <w:sz w:val="24"/>
                <w:szCs w:val="24"/>
                <w:highlight w:val="none"/>
                <w:lang w:eastAsia="zh-CN"/>
              </w:rPr>
              <w:t>重大税收违法失信主体</w:t>
            </w:r>
            <w:r>
              <w:rPr>
                <w:rFonts w:hint="eastAsia" w:ascii="宋体" w:hAnsi="宋体" w:cs="宋体"/>
                <w:color w:val="auto"/>
                <w:kern w:val="0"/>
                <w:sz w:val="24"/>
                <w:szCs w:val="24"/>
                <w:highlight w:val="none"/>
              </w:rPr>
              <w:t>、政府采购严重违法失信行为记录名单及其他不符合《中华人民共和国政府采购法》第二十二条规定条件的供应商，将被拒绝其参与本次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509EF90">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供应商为事业单位、社会团体、个体工商户或非企业法人单位的其他组织，无法查询到主体信用的，评标或评审期间不再对此类供应商的诚信状况进行查询。</w:t>
            </w:r>
          </w:p>
        </w:tc>
      </w:tr>
      <w:tr w14:paraId="417F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Align w:val="center"/>
          </w:tcPr>
          <w:p w14:paraId="2AA010C3">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14:paraId="53C455F5">
            <w:pPr>
              <w:tabs>
                <w:tab w:val="left" w:pos="5382"/>
              </w:tabs>
              <w:spacing w:line="400" w:lineRule="exact"/>
              <w:rPr>
                <w:rFonts w:hint="eastAsia" w:ascii="宋体" w:hAnsi="宋体" w:eastAsia="宋体"/>
                <w:color w:val="auto"/>
                <w:sz w:val="24"/>
                <w:szCs w:val="24"/>
                <w:highlight w:val="none"/>
                <w:lang w:val="en-US" w:eastAsia="zh-CN"/>
              </w:rPr>
            </w:pPr>
            <w:r>
              <w:rPr>
                <w:rFonts w:hint="eastAsia" w:ascii="宋体" w:hAnsi="宋体"/>
                <w:bCs/>
                <w:color w:val="auto"/>
                <w:kern w:val="0"/>
                <w:sz w:val="24"/>
                <w:szCs w:val="24"/>
                <w:highlight w:val="none"/>
              </w:rPr>
              <w:t>履约</w:t>
            </w:r>
            <w:r>
              <w:rPr>
                <w:rFonts w:hint="eastAsia" w:ascii="宋体" w:hAnsi="宋体" w:cs="黑体"/>
                <w:color w:val="auto"/>
                <w:kern w:val="0"/>
                <w:sz w:val="24"/>
                <w:szCs w:val="24"/>
                <w:highlight w:val="none"/>
              </w:rPr>
              <w:t>保证</w:t>
            </w:r>
            <w:r>
              <w:rPr>
                <w:rFonts w:hint="eastAsia" w:ascii="宋体" w:hAnsi="宋体"/>
                <w:bCs/>
                <w:color w:val="auto"/>
                <w:kern w:val="0"/>
                <w:sz w:val="24"/>
                <w:szCs w:val="24"/>
                <w:highlight w:val="none"/>
              </w:rPr>
              <w:t>金</w:t>
            </w:r>
            <w:r>
              <w:rPr>
                <w:rFonts w:hint="eastAsia" w:ascii="宋体" w:hAnsi="宋体"/>
                <w:bCs/>
                <w:color w:val="auto"/>
                <w:kern w:val="0"/>
                <w:sz w:val="24"/>
                <w:szCs w:val="24"/>
                <w:highlight w:val="none"/>
                <w:lang w:val="en-US" w:eastAsia="zh-CN"/>
              </w:rPr>
              <w:t>:无</w:t>
            </w:r>
          </w:p>
        </w:tc>
      </w:tr>
      <w:tr w14:paraId="7CE1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8" w:type="dxa"/>
            <w:vAlign w:val="center"/>
          </w:tcPr>
          <w:p w14:paraId="7204C3A9">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14:paraId="64E6D75A">
            <w:pPr>
              <w:rPr>
                <w:rFonts w:ascii="宋体" w:hAnsi="宋体"/>
                <w:color w:val="auto"/>
                <w:sz w:val="24"/>
                <w:szCs w:val="24"/>
                <w:highlight w:val="none"/>
              </w:rPr>
            </w:pPr>
            <w:r>
              <w:rPr>
                <w:rFonts w:hint="eastAsia" w:ascii="宋体" w:hAnsi="宋体"/>
                <w:color w:val="auto"/>
                <w:sz w:val="24"/>
                <w:szCs w:val="24"/>
                <w:highlight w:val="none"/>
              </w:rPr>
              <w:t>成交评审方法：最低评标价法</w:t>
            </w:r>
          </w:p>
        </w:tc>
      </w:tr>
      <w:tr w14:paraId="1A67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8" w:type="dxa"/>
            <w:vAlign w:val="center"/>
          </w:tcPr>
          <w:p w14:paraId="74A86CBF">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14:paraId="6FB1353E">
            <w:pPr>
              <w:pStyle w:val="1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发出</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前，成交供应商向采购代理机构一次付清代理服务费。采购代理服务费按照收费标准向成交供应商收取。供应商的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报价应包含此项费用。</w:t>
            </w:r>
          </w:p>
          <w:p w14:paraId="5FD4C87C">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代理服务收费标准：</w:t>
            </w:r>
          </w:p>
          <w:tbl>
            <w:tblPr>
              <w:tblStyle w:val="35"/>
              <w:tblW w:w="75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0"/>
              <w:gridCol w:w="1441"/>
              <w:gridCol w:w="1537"/>
              <w:gridCol w:w="1504"/>
            </w:tblGrid>
            <w:tr w14:paraId="2A425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3030" w:type="dxa"/>
                  <w:vAlign w:val="bottom"/>
                </w:tcPr>
                <w:p w14:paraId="4E553BD3">
                  <w:pPr>
                    <w:widowControl/>
                    <w:ind w:left="1200" w:leftChars="400" w:hanging="360" w:hanging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334010</wp:posOffset>
                            </wp:positionH>
                            <wp:positionV relativeFrom="paragraph">
                              <wp:posOffset>4445</wp:posOffset>
                            </wp:positionV>
                            <wp:extent cx="1520190" cy="1058545"/>
                            <wp:effectExtent l="2540" t="3810" r="16510" b="4445"/>
                            <wp:wrapNone/>
                            <wp:docPr id="5" name="直接箭头连接符 5"/>
                            <wp:cNvGraphicFramePr/>
                            <a:graphic xmlns:a="http://schemas.openxmlformats.org/drawingml/2006/main">
                              <a:graphicData uri="http://schemas.microsoft.com/office/word/2010/wordprocessingShape">
                                <wps:wsp>
                                  <wps:cNvCnPr/>
                                  <wps:spPr>
                                    <a:xfrm flipH="1" flipV="1">
                                      <a:off x="0" y="0"/>
                                      <a:ext cx="1520190" cy="10585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26.3pt;margin-top:0.35pt;height:83.35pt;width:119.7pt;z-index:251665408;mso-width-relative:page;mso-height-relative:page;" filled="f" stroked="t" coordsize="21600,21600" o:gfxdata="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PbveNcAAAAHAQAADwAAAAAAAAABACAA&#10;AAAiAAAAZHJzL2Rvd25yZXYueG1sUEsBAhQAFAAAAAgAh07iQM1qrMkOAgAABgQAAA4AAAAAAAAA&#10;AQAgAAAAJgEAAGRycy9lMm9Eb2MueG1sUEsFBgAAAAAGAAYAWQEAAKYFAAAAAA==&#10;">
                            <v:fill on="f" focussize="0,0"/>
                            <v:stroke color="#000000" joinstyle="round"/>
                            <v:imagedata o:title=""/>
                            <o:lock v:ext="edit" aspectratio="f"/>
                          </v:shape>
                        </w:pict>
                      </mc:Fallback>
                    </mc:AlternateContent>
                  </w:r>
                  <w:r>
                    <w:rPr>
                      <w:rFonts w:hint="eastAsia" w:ascii="宋体" w:hAnsi="宋体" w:eastAsia="宋体" w:cs="宋体"/>
                      <w:color w:val="auto"/>
                      <w:kern w:val="0"/>
                      <w:sz w:val="24"/>
                      <w:szCs w:val="24"/>
                      <w:highlight w:val="none"/>
                    </w:rPr>
                    <w:t>服务类型</w:t>
                  </w:r>
                </w:p>
                <w:p w14:paraId="42D0617D">
                  <w:pPr>
                    <w:widowControl/>
                    <w:ind w:left="1155" w:hanging="1320" w:hangingChars="5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费率           </w:t>
                  </w:r>
                </w:p>
                <w:p w14:paraId="3E30373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-73660</wp:posOffset>
                            </wp:positionH>
                            <wp:positionV relativeFrom="paragraph">
                              <wp:posOffset>90805</wp:posOffset>
                            </wp:positionV>
                            <wp:extent cx="1919605" cy="609600"/>
                            <wp:effectExtent l="1270" t="4445" r="14605" b="10795"/>
                            <wp:wrapNone/>
                            <wp:docPr id="8" name="直接箭头连接符 8"/>
                            <wp:cNvGraphicFramePr/>
                            <a:graphic xmlns:a="http://schemas.openxmlformats.org/drawingml/2006/main">
                              <a:graphicData uri="http://schemas.microsoft.com/office/word/2010/wordprocessingShape">
                                <wps:wsp>
                                  <wps:cNvCnPr/>
                                  <wps:spPr>
                                    <a:xfrm>
                                      <a:off x="0" y="0"/>
                                      <a:ext cx="191960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8pt;margin-top:7.15pt;height:48pt;width:151.15pt;z-index:251666432;mso-width-relative:page;mso-height-relative:page;" filled="f" stroked="t" coordsize="21600,21600" o:gfxdata="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3gkE2AAAAAoBAAAPAAAAAAAAAAEAIAAAACIAAABkcnMvZG93&#10;bnJldi54bWxQSwECFAAUAAAACACHTuJA8IfU3wACAADxAwAADgAAAAAAAAABACAAAAAnAQAAZHJz&#10;L2Uyb0RvYy54bWxQSwUGAAAAAAYABgBZAQAAmQUAAAAA&#10;">
                            <v:fill on="f" focussize="0,0"/>
                            <v:stroke color="#000000" joinstyle="round"/>
                            <v:imagedata o:title=""/>
                            <o:lock v:ext="edit" aspectratio="f"/>
                          </v:shape>
                        </w:pict>
                      </mc:Fallback>
                    </mc:AlternateContent>
                  </w:r>
                </w:p>
                <w:p w14:paraId="31946135">
                  <w:pPr>
                    <w:widowControl/>
                    <w:jc w:val="left"/>
                    <w:rPr>
                      <w:rFonts w:hint="eastAsia" w:ascii="宋体" w:hAnsi="宋体" w:eastAsia="宋体" w:cs="宋体"/>
                      <w:color w:val="auto"/>
                      <w:kern w:val="0"/>
                      <w:sz w:val="24"/>
                      <w:szCs w:val="24"/>
                      <w:highlight w:val="none"/>
                    </w:rPr>
                  </w:pPr>
                </w:p>
                <w:p w14:paraId="06418431">
                  <w:pPr>
                    <w:widowControl/>
                    <w:jc w:val="left"/>
                    <w:rPr>
                      <w:rFonts w:hint="eastAsia" w:ascii="宋体" w:hAnsi="宋体" w:eastAsia="宋体" w:cs="宋体"/>
                      <w:color w:val="auto"/>
                      <w:kern w:val="0"/>
                      <w:sz w:val="24"/>
                      <w:szCs w:val="24"/>
                      <w:highlight w:val="none"/>
                    </w:rPr>
                  </w:pPr>
                </w:p>
                <w:p w14:paraId="0264CE44">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中标金额（万元）</w:t>
                  </w:r>
                </w:p>
              </w:tc>
              <w:tc>
                <w:tcPr>
                  <w:tcW w:w="1441" w:type="dxa"/>
                  <w:vAlign w:val="center"/>
                </w:tcPr>
                <w:p w14:paraId="59DD393A">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w:t>
                  </w:r>
                </w:p>
                <w:p w14:paraId="6174929C">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w:t>
                  </w:r>
                </w:p>
              </w:tc>
              <w:tc>
                <w:tcPr>
                  <w:tcW w:w="1537" w:type="dxa"/>
                  <w:vAlign w:val="center"/>
                </w:tcPr>
                <w:p w14:paraId="2CCC82D3">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w:t>
                  </w:r>
                </w:p>
                <w:p w14:paraId="0B44EB4A">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w:t>
                  </w:r>
                </w:p>
              </w:tc>
              <w:tc>
                <w:tcPr>
                  <w:tcW w:w="1504" w:type="dxa"/>
                  <w:vAlign w:val="center"/>
                </w:tcPr>
                <w:p w14:paraId="00FC76BC">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w:t>
                  </w:r>
                </w:p>
                <w:p w14:paraId="42802CC0">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w:t>
                  </w:r>
                </w:p>
              </w:tc>
            </w:tr>
            <w:tr w14:paraId="12679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30" w:type="dxa"/>
                  <w:vAlign w:val="center"/>
                </w:tcPr>
                <w:p w14:paraId="2ABEF93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100以下</w:t>
                  </w:r>
                </w:p>
              </w:tc>
              <w:tc>
                <w:tcPr>
                  <w:tcW w:w="1441" w:type="dxa"/>
                  <w:vAlign w:val="bottom"/>
                </w:tcPr>
                <w:p w14:paraId="5EE0A8F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w:t>
                  </w:r>
                </w:p>
              </w:tc>
              <w:tc>
                <w:tcPr>
                  <w:tcW w:w="1537" w:type="dxa"/>
                  <w:vAlign w:val="bottom"/>
                </w:tcPr>
                <w:p w14:paraId="5C7D9BC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cr/>
                  </w:r>
                  <w:r>
                    <w:rPr>
                      <w:rFonts w:hint="eastAsia" w:ascii="宋体" w:hAnsi="宋体" w:eastAsia="宋体" w:cs="宋体"/>
                      <w:color w:val="auto"/>
                      <w:kern w:val="0"/>
                      <w:sz w:val="24"/>
                      <w:szCs w:val="24"/>
                      <w:highlight w:val="none"/>
                    </w:rPr>
                    <w:t>50%</w:t>
                  </w:r>
                </w:p>
              </w:tc>
              <w:tc>
                <w:tcPr>
                  <w:tcW w:w="1504" w:type="dxa"/>
                  <w:vAlign w:val="bottom"/>
                </w:tcPr>
                <w:p w14:paraId="4A148BC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r>
            <w:tr w14:paraId="7658C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30" w:type="dxa"/>
                  <w:vAlign w:val="center"/>
                </w:tcPr>
                <w:p w14:paraId="6A9472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100—500</w:t>
                  </w:r>
                </w:p>
              </w:tc>
              <w:tc>
                <w:tcPr>
                  <w:tcW w:w="1441" w:type="dxa"/>
                  <w:vAlign w:val="bottom"/>
                </w:tcPr>
                <w:p w14:paraId="6BFCA6C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w:t>
                  </w:r>
                </w:p>
              </w:tc>
              <w:tc>
                <w:tcPr>
                  <w:tcW w:w="1537" w:type="dxa"/>
                  <w:vAlign w:val="bottom"/>
                </w:tcPr>
                <w:p w14:paraId="16C3125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0.80%</w:t>
                  </w:r>
                </w:p>
              </w:tc>
              <w:tc>
                <w:tcPr>
                  <w:tcW w:w="1504" w:type="dxa"/>
                  <w:vAlign w:val="bottom"/>
                </w:tcPr>
                <w:p w14:paraId="59E7B6D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0.70%</w:t>
                  </w:r>
                </w:p>
              </w:tc>
            </w:tr>
            <w:tr w14:paraId="01D46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030" w:type="dxa"/>
                  <w:vAlign w:val="center"/>
                </w:tcPr>
                <w:p w14:paraId="7D33E84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500—1000</w:t>
                  </w:r>
                </w:p>
              </w:tc>
              <w:tc>
                <w:tcPr>
                  <w:tcW w:w="1441" w:type="dxa"/>
                  <w:vAlign w:val="bottom"/>
                </w:tcPr>
                <w:p w14:paraId="3442020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0.80%</w:t>
                  </w:r>
                </w:p>
              </w:tc>
              <w:tc>
                <w:tcPr>
                  <w:tcW w:w="1537" w:type="dxa"/>
                  <w:vAlign w:val="bottom"/>
                </w:tcPr>
                <w:p w14:paraId="039F413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0.45%</w:t>
                  </w:r>
                </w:p>
              </w:tc>
              <w:tc>
                <w:tcPr>
                  <w:tcW w:w="1504" w:type="dxa"/>
                  <w:vAlign w:val="bottom"/>
                </w:tcPr>
                <w:p w14:paraId="63EAFD9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0.55%</w:t>
                  </w:r>
                </w:p>
              </w:tc>
            </w:tr>
            <w:tr w14:paraId="73422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3030" w:type="dxa"/>
                  <w:vAlign w:val="center"/>
                </w:tcPr>
                <w:p w14:paraId="2A2FFBE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1000—5000</w:t>
                  </w:r>
                </w:p>
              </w:tc>
              <w:tc>
                <w:tcPr>
                  <w:tcW w:w="1441" w:type="dxa"/>
                  <w:vAlign w:val="bottom"/>
                </w:tcPr>
                <w:p w14:paraId="2678C65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0.50%</w:t>
                  </w:r>
                </w:p>
              </w:tc>
              <w:tc>
                <w:tcPr>
                  <w:tcW w:w="1537" w:type="dxa"/>
                  <w:vAlign w:val="bottom"/>
                </w:tcPr>
                <w:p w14:paraId="329D5EC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0.25%</w:t>
                  </w:r>
                </w:p>
              </w:tc>
              <w:tc>
                <w:tcPr>
                  <w:tcW w:w="1504" w:type="dxa"/>
                  <w:vAlign w:val="bottom"/>
                </w:tcPr>
                <w:p w14:paraId="5A1AB73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0.35%</w:t>
                  </w:r>
                </w:p>
              </w:tc>
            </w:tr>
            <w:tr w14:paraId="67E0A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3030" w:type="dxa"/>
                  <w:vAlign w:val="center"/>
                </w:tcPr>
                <w:p w14:paraId="71D997F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5000—10000</w:t>
                  </w:r>
                </w:p>
              </w:tc>
              <w:tc>
                <w:tcPr>
                  <w:tcW w:w="1441" w:type="dxa"/>
                  <w:vAlign w:val="bottom"/>
                </w:tcPr>
                <w:p w14:paraId="5125761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0.25%</w:t>
                  </w:r>
                </w:p>
              </w:tc>
              <w:tc>
                <w:tcPr>
                  <w:tcW w:w="1537" w:type="dxa"/>
                  <w:vAlign w:val="bottom"/>
                </w:tcPr>
                <w:p w14:paraId="2BBE66E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0.10%</w:t>
                  </w:r>
                </w:p>
              </w:tc>
              <w:tc>
                <w:tcPr>
                  <w:tcW w:w="1504" w:type="dxa"/>
                  <w:vAlign w:val="bottom"/>
                </w:tcPr>
                <w:p w14:paraId="38C492C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0.20%</w:t>
                  </w:r>
                </w:p>
              </w:tc>
            </w:tr>
            <w:tr w14:paraId="6CA28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3030" w:type="dxa"/>
                  <w:vAlign w:val="center"/>
                </w:tcPr>
                <w:p w14:paraId="6FE8D6A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10000——100000</w:t>
                  </w:r>
                </w:p>
              </w:tc>
              <w:tc>
                <w:tcPr>
                  <w:tcW w:w="1441" w:type="dxa"/>
                  <w:vAlign w:val="bottom"/>
                </w:tcPr>
                <w:p w14:paraId="3F5DB5A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0.05%</w:t>
                  </w:r>
                </w:p>
              </w:tc>
              <w:tc>
                <w:tcPr>
                  <w:tcW w:w="1537" w:type="dxa"/>
                  <w:vAlign w:val="bottom"/>
                </w:tcPr>
                <w:p w14:paraId="311424F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0.05%</w:t>
                  </w:r>
                </w:p>
              </w:tc>
              <w:tc>
                <w:tcPr>
                  <w:tcW w:w="1504" w:type="dxa"/>
                  <w:vAlign w:val="bottom"/>
                </w:tcPr>
                <w:p w14:paraId="446A651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0.05%</w:t>
                  </w:r>
                </w:p>
              </w:tc>
            </w:tr>
            <w:tr w14:paraId="757FF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030" w:type="dxa"/>
                  <w:vAlign w:val="center"/>
                </w:tcPr>
                <w:p w14:paraId="1BFC8A8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1000000以上</w:t>
                  </w:r>
                </w:p>
              </w:tc>
              <w:tc>
                <w:tcPr>
                  <w:tcW w:w="1441" w:type="dxa"/>
                  <w:vAlign w:val="bottom"/>
                </w:tcPr>
                <w:p w14:paraId="59F8573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0.01%</w:t>
                  </w:r>
                </w:p>
              </w:tc>
              <w:tc>
                <w:tcPr>
                  <w:tcW w:w="1537" w:type="dxa"/>
                  <w:vAlign w:val="bottom"/>
                </w:tcPr>
                <w:p w14:paraId="7287E35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0.01%</w:t>
                  </w:r>
                </w:p>
              </w:tc>
              <w:tc>
                <w:tcPr>
                  <w:tcW w:w="1504" w:type="dxa"/>
                  <w:vAlign w:val="bottom"/>
                </w:tcPr>
                <w:p w14:paraId="4497959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0.01%</w:t>
                  </w:r>
                </w:p>
              </w:tc>
            </w:tr>
          </w:tbl>
          <w:p w14:paraId="4EFE5FA3">
            <w:pPr>
              <w:pStyle w:val="18"/>
              <w:spacing w:line="360" w:lineRule="auto"/>
              <w:rPr>
                <w:rFonts w:hint="eastAsia" w:ascii="宋体" w:hAnsi="宋体" w:eastAsia="宋体" w:cs="宋体"/>
                <w:color w:val="auto"/>
                <w:sz w:val="24"/>
                <w:szCs w:val="24"/>
                <w:highlight w:val="none"/>
              </w:rPr>
            </w:pPr>
          </w:p>
          <w:p w14:paraId="23C4A1AC">
            <w:pPr>
              <w:pStyle w:val="1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注：采购代理服务收费按差额定率累进法计算。</w:t>
            </w:r>
          </w:p>
          <w:p w14:paraId="7451910D">
            <w:pPr>
              <w:pStyle w:val="18"/>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例如：某货物招标代理业务中标金额为500万元，计算招标代理服务收费额如下：</w:t>
            </w:r>
          </w:p>
          <w:p w14:paraId="0EC48538">
            <w:pPr>
              <w:pStyle w:val="18"/>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 万元×1.50%=1.5万元</w:t>
            </w:r>
          </w:p>
          <w:p w14:paraId="48468587">
            <w:pPr>
              <w:pStyle w:val="18"/>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（500-100）万元×1.10%= 4.4万元</w:t>
            </w:r>
          </w:p>
          <w:p w14:paraId="1CCCB9D5">
            <w:pPr>
              <w:spacing w:line="360" w:lineRule="auto"/>
              <w:rPr>
                <w:rFonts w:ascii="宋体" w:hAnsi="宋体"/>
                <w:color w:val="auto"/>
                <w:sz w:val="24"/>
                <w:szCs w:val="24"/>
                <w:highlight w:val="none"/>
              </w:rPr>
            </w:pPr>
            <w:r>
              <w:rPr>
                <w:rFonts w:hint="eastAsia" w:ascii="宋体" w:hAnsi="宋体" w:eastAsia="宋体" w:cs="宋体"/>
                <w:bCs/>
                <w:color w:val="auto"/>
                <w:sz w:val="24"/>
                <w:szCs w:val="24"/>
                <w:highlight w:val="none"/>
              </w:rPr>
              <w:t>合计收费=1.5+4.4=5.9（万元）</w:t>
            </w:r>
          </w:p>
        </w:tc>
      </w:tr>
      <w:tr w14:paraId="5536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8" w:type="dxa"/>
            <w:vAlign w:val="center"/>
          </w:tcPr>
          <w:p w14:paraId="22F9CA65">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14:paraId="7A624217">
            <w:pPr>
              <w:spacing w:line="360" w:lineRule="auto"/>
              <w:rPr>
                <w:rFonts w:hint="eastAsia" w:hAnsi="宋体"/>
                <w:color w:val="auto"/>
                <w:sz w:val="24"/>
                <w:szCs w:val="24"/>
                <w:highlight w:val="none"/>
              </w:rPr>
            </w:pPr>
            <w:r>
              <w:rPr>
                <w:rFonts w:ascii="宋体" w:hAnsi="宋体" w:cs="宋体"/>
                <w:bCs/>
                <w:color w:val="auto"/>
                <w:sz w:val="24"/>
                <w:szCs w:val="24"/>
                <w:highlight w:val="none"/>
              </w:rPr>
              <w:t xml:space="preserve">自成交通知书发出之日起 </w:t>
            </w:r>
            <w:r>
              <w:rPr>
                <w:rFonts w:hint="eastAsia" w:ascii="宋体" w:hAnsi="宋体" w:cs="宋体"/>
                <w:bCs/>
                <w:color w:val="auto"/>
                <w:sz w:val="24"/>
                <w:szCs w:val="24"/>
                <w:highlight w:val="none"/>
              </w:rPr>
              <w:t>15</w:t>
            </w:r>
            <w:r>
              <w:rPr>
                <w:rFonts w:ascii="宋体" w:hAnsi="宋体" w:cs="宋体"/>
                <w:bCs/>
                <w:color w:val="auto"/>
                <w:sz w:val="24"/>
                <w:szCs w:val="24"/>
                <w:highlight w:val="none"/>
              </w:rPr>
              <w:t>日历天内凭成交通知书与采购人签订采购合同，延期自误。（采购合同必须与本采购文件中的合同书格式(包括内容和结构)相一致，不能改变主要条款。</w:t>
            </w:r>
          </w:p>
        </w:tc>
      </w:tr>
      <w:tr w14:paraId="3201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8" w:type="dxa"/>
            <w:vAlign w:val="center"/>
          </w:tcPr>
          <w:p w14:paraId="68CE26AC">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14:paraId="041659A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成交供应商签订合同所需证明材料：</w:t>
            </w:r>
          </w:p>
          <w:p w14:paraId="0F3E5CC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1.按</w:t>
            </w:r>
            <w:r>
              <w:rPr>
                <w:rFonts w:hint="eastAsia" w:ascii="宋体" w:hAnsi="宋体" w:eastAsia="宋体" w:cs="宋体"/>
                <w:bCs/>
                <w:color w:val="auto"/>
                <w:sz w:val="24"/>
                <w:szCs w:val="24"/>
                <w:highlight w:val="none"/>
                <w:lang w:eastAsia="zh-CN"/>
              </w:rPr>
              <w:t>谈判</w:t>
            </w:r>
            <w:r>
              <w:rPr>
                <w:rFonts w:hint="eastAsia" w:ascii="宋体" w:hAnsi="宋体" w:eastAsia="宋体" w:cs="宋体"/>
                <w:bCs/>
                <w:color w:val="auto"/>
                <w:sz w:val="24"/>
                <w:szCs w:val="24"/>
                <w:highlight w:val="none"/>
              </w:rPr>
              <w:t>文件中的采购合同格式制作合同</w:t>
            </w:r>
          </w:p>
          <w:p w14:paraId="04318FD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2.廉洁承诺书</w:t>
            </w:r>
          </w:p>
          <w:p w14:paraId="67F4DA7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3.商务、技术偏离表</w:t>
            </w:r>
          </w:p>
          <w:p w14:paraId="7D7B233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4.成交通知书</w:t>
            </w:r>
          </w:p>
          <w:p w14:paraId="024A5BC5">
            <w:pPr>
              <w:spacing w:line="360" w:lineRule="auto"/>
              <w:rPr>
                <w:rFonts w:ascii="宋体" w:hAnsi="宋体" w:cs="宋体"/>
                <w:bCs/>
                <w:color w:val="auto"/>
                <w:sz w:val="24"/>
                <w:szCs w:val="24"/>
                <w:highlight w:val="none"/>
              </w:rPr>
            </w:pPr>
            <w:r>
              <w:rPr>
                <w:rFonts w:hint="eastAsia" w:ascii="宋体" w:hAnsi="宋体" w:eastAsia="宋体" w:cs="宋体"/>
                <w:bCs/>
                <w:color w:val="auto"/>
                <w:sz w:val="24"/>
                <w:szCs w:val="24"/>
                <w:highlight w:val="none"/>
              </w:rPr>
              <w:t>经采购人核验合格后方可签订合同。</w:t>
            </w:r>
          </w:p>
        </w:tc>
      </w:tr>
      <w:tr w14:paraId="5625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8" w:type="dxa"/>
            <w:vAlign w:val="center"/>
          </w:tcPr>
          <w:p w14:paraId="16F1D32B">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14:paraId="207D158A">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质疑联系部门及联系方式</w:t>
            </w:r>
            <w:r>
              <w:rPr>
                <w:rFonts w:hint="eastAsia" w:ascii="宋体" w:hAnsi="宋体" w:eastAsia="宋体" w:cs="宋体"/>
                <w:bCs/>
                <w:color w:val="auto"/>
                <w:sz w:val="24"/>
                <w:szCs w:val="24"/>
                <w:highlight w:val="none"/>
                <w:lang w:eastAsia="zh-CN"/>
              </w:rPr>
              <w:t>：</w:t>
            </w:r>
          </w:p>
          <w:p w14:paraId="157EE52D">
            <w:pPr>
              <w:pStyle w:val="18"/>
              <w:snapToGrid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接收质疑函方式：以书面形式</w:t>
            </w:r>
          </w:p>
          <w:p w14:paraId="2B872F41">
            <w:pPr>
              <w:pStyle w:val="18"/>
              <w:snapToGrid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质疑联系部门及联系方式：广西中信恒泰工程顾问有限公司</w:t>
            </w:r>
          </w:p>
          <w:p w14:paraId="07E50755">
            <w:pPr>
              <w:pStyle w:val="18"/>
              <w:snapToGrid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联系电话：0774-5826268，</w:t>
            </w:r>
          </w:p>
          <w:p w14:paraId="3B63832A">
            <w:pPr>
              <w:pStyle w:val="18"/>
              <w:snapToGrid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通讯地址：梧州市三龙大道15号金湖湾小区2栋2单元203号房</w:t>
            </w:r>
          </w:p>
          <w:p w14:paraId="36BD19B7">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bidi="ar-SA"/>
              </w:rPr>
              <w:t>现场提交质疑办理业务时间：每天8时00分到12时00分，15时00分到18时00分，双休日和法定节假日不办理业务。</w:t>
            </w:r>
          </w:p>
        </w:tc>
      </w:tr>
      <w:tr w14:paraId="71C9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8" w:type="dxa"/>
            <w:vAlign w:val="center"/>
          </w:tcPr>
          <w:p w14:paraId="345FA099">
            <w:pPr>
              <w:numPr>
                <w:ilvl w:val="0"/>
                <w:numId w:val="4"/>
              </w:numPr>
              <w:ind w:left="425" w:leftChars="0" w:hanging="425" w:firstLineChars="0"/>
              <w:jc w:val="center"/>
              <w:rPr>
                <w:rFonts w:ascii="宋体" w:hAnsi="宋体"/>
                <w:b/>
                <w:color w:val="auto"/>
                <w:sz w:val="24"/>
                <w:szCs w:val="24"/>
                <w:highlight w:val="none"/>
              </w:rPr>
            </w:pPr>
          </w:p>
        </w:tc>
        <w:tc>
          <w:tcPr>
            <w:tcW w:w="7741" w:type="dxa"/>
            <w:vAlign w:val="center"/>
          </w:tcPr>
          <w:p w14:paraId="2D849819">
            <w:pPr>
              <w:autoSpaceDE w:val="0"/>
              <w:autoSpaceDN w:val="0"/>
              <w:adjustRightInd w:val="0"/>
              <w:spacing w:line="360" w:lineRule="auto"/>
              <w:jc w:val="left"/>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本</w:t>
            </w:r>
            <w:r>
              <w:rPr>
                <w:rFonts w:hint="eastAsia" w:hAnsi="宋体"/>
                <w:color w:val="auto"/>
                <w:sz w:val="24"/>
                <w:szCs w:val="24"/>
                <w:highlight w:val="none"/>
                <w:lang w:eastAsia="zh-CN"/>
              </w:rPr>
              <w:t>谈判</w:t>
            </w:r>
            <w:r>
              <w:rPr>
                <w:rFonts w:hint="eastAsia" w:hAnsi="宋体"/>
                <w:color w:val="auto"/>
                <w:sz w:val="24"/>
                <w:szCs w:val="24"/>
                <w:highlight w:val="none"/>
              </w:rPr>
              <w:t>中描述供应商的“公章”是指根据我国对公章的管理规定，用供应商法定主体行为名称制作的印章，除本</w:t>
            </w:r>
            <w:r>
              <w:rPr>
                <w:rFonts w:hint="eastAsia" w:hAnsi="宋体"/>
                <w:color w:val="auto"/>
                <w:sz w:val="24"/>
                <w:szCs w:val="24"/>
                <w:highlight w:val="none"/>
                <w:lang w:eastAsia="zh-CN"/>
              </w:rPr>
              <w:t>谈判</w:t>
            </w:r>
            <w:r>
              <w:rPr>
                <w:rFonts w:hint="eastAsia" w:hAnsi="宋体"/>
                <w:color w:val="auto"/>
                <w:sz w:val="24"/>
                <w:szCs w:val="24"/>
                <w:highlight w:val="none"/>
              </w:rPr>
              <w:t>有特殊规定外，供应商的财务章、部门章、分公司章、工会章、合同章、投标专用章、业务专用章等其它形式印章均不能代替公章。</w:t>
            </w:r>
          </w:p>
          <w:p w14:paraId="74C117CD">
            <w:pPr>
              <w:autoSpaceDE w:val="0"/>
              <w:autoSpaceDN w:val="0"/>
              <w:adjustRightInd w:val="0"/>
              <w:spacing w:line="360" w:lineRule="auto"/>
              <w:jc w:val="left"/>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本</w:t>
            </w:r>
            <w:r>
              <w:rPr>
                <w:rFonts w:hint="eastAsia" w:hAnsi="宋体"/>
                <w:color w:val="auto"/>
                <w:sz w:val="24"/>
                <w:szCs w:val="24"/>
                <w:highlight w:val="none"/>
                <w:lang w:eastAsia="zh-CN"/>
              </w:rPr>
              <w:t>谈判</w:t>
            </w:r>
            <w:r>
              <w:rPr>
                <w:rFonts w:hint="eastAsia" w:hAnsi="宋体"/>
                <w:color w:val="auto"/>
                <w:sz w:val="24"/>
                <w:szCs w:val="24"/>
                <w:highlight w:val="none"/>
              </w:rPr>
              <w:t>中描述供应商的“签字”是指供应商的法定代表人（负责人或自然人）或委托代理人亲自在</w:t>
            </w:r>
            <w:r>
              <w:rPr>
                <w:rFonts w:hint="eastAsia" w:hAnsi="宋体"/>
                <w:color w:val="auto"/>
                <w:sz w:val="24"/>
                <w:szCs w:val="24"/>
                <w:highlight w:val="none"/>
                <w:lang w:eastAsia="zh-CN"/>
              </w:rPr>
              <w:t>谈判</w:t>
            </w:r>
            <w:r>
              <w:rPr>
                <w:rFonts w:hint="eastAsia" w:hAnsi="宋体"/>
                <w:color w:val="auto"/>
                <w:sz w:val="24"/>
                <w:szCs w:val="24"/>
                <w:highlight w:val="none"/>
              </w:rPr>
              <w:t>规定签字处亲笔写上个人名字的行为，私章、签字章、印鉴、影印等其它形式均不能代替亲笔签字。如</w:t>
            </w:r>
            <w:r>
              <w:rPr>
                <w:rFonts w:hint="eastAsia" w:hAnsi="宋体"/>
                <w:color w:val="auto"/>
                <w:sz w:val="24"/>
                <w:szCs w:val="24"/>
                <w:highlight w:val="none"/>
                <w:lang w:eastAsia="zh-CN"/>
              </w:rPr>
              <w:t>谈判</w:t>
            </w:r>
            <w:r>
              <w:rPr>
                <w:rFonts w:hint="eastAsia" w:hAnsi="宋体"/>
                <w:color w:val="auto"/>
                <w:sz w:val="24"/>
                <w:szCs w:val="24"/>
                <w:highlight w:val="none"/>
              </w:rPr>
              <w:t>规定签字处不得以法人私章代替。</w:t>
            </w:r>
          </w:p>
          <w:p w14:paraId="56737BA3">
            <w:pPr>
              <w:autoSpaceDE w:val="0"/>
              <w:autoSpaceDN w:val="0"/>
              <w:adjustRightInd w:val="0"/>
              <w:spacing w:line="360" w:lineRule="auto"/>
              <w:jc w:val="left"/>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自然人投标的，</w:t>
            </w:r>
            <w:r>
              <w:rPr>
                <w:rFonts w:hint="eastAsia" w:hAnsi="宋体"/>
                <w:color w:val="auto"/>
                <w:sz w:val="24"/>
                <w:szCs w:val="24"/>
                <w:highlight w:val="none"/>
                <w:lang w:eastAsia="zh-CN"/>
              </w:rPr>
              <w:t>谈判</w:t>
            </w:r>
            <w:r>
              <w:rPr>
                <w:rFonts w:hint="eastAsia" w:hAnsi="宋体"/>
                <w:color w:val="auto"/>
                <w:sz w:val="24"/>
                <w:szCs w:val="24"/>
                <w:highlight w:val="none"/>
              </w:rPr>
              <w:t>规定盖章的地方自然人可以加盖手指指印。</w:t>
            </w:r>
          </w:p>
          <w:p w14:paraId="38770767">
            <w:pPr>
              <w:autoSpaceDE w:val="0"/>
              <w:autoSpaceDN w:val="0"/>
              <w:adjustRightInd w:val="0"/>
              <w:spacing w:line="360" w:lineRule="auto"/>
              <w:jc w:val="left"/>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电子</w:t>
            </w:r>
            <w:r>
              <w:rPr>
                <w:rFonts w:hint="eastAsia" w:hAnsi="宋体"/>
                <w:color w:val="auto"/>
                <w:sz w:val="24"/>
                <w:szCs w:val="24"/>
                <w:highlight w:val="none"/>
                <w:lang w:eastAsia="zh-CN"/>
              </w:rPr>
              <w:t>响应文件</w:t>
            </w:r>
            <w:r>
              <w:rPr>
                <w:rFonts w:hint="eastAsia" w:hAnsi="宋体"/>
                <w:color w:val="auto"/>
                <w:sz w:val="24"/>
                <w:szCs w:val="24"/>
                <w:highlight w:val="none"/>
              </w:rPr>
              <w:t>中须加盖供应商公章部分均采用</w:t>
            </w:r>
            <w:r>
              <w:rPr>
                <w:rFonts w:hAnsi="宋体"/>
                <w:color w:val="auto"/>
                <w:sz w:val="24"/>
                <w:szCs w:val="24"/>
                <w:highlight w:val="none"/>
              </w:rPr>
              <w:t xml:space="preserve">CA </w:t>
            </w:r>
            <w:r>
              <w:rPr>
                <w:rFonts w:hint="eastAsia" w:hAnsi="宋体"/>
                <w:color w:val="auto"/>
                <w:sz w:val="24"/>
                <w:szCs w:val="24"/>
                <w:highlight w:val="none"/>
              </w:rPr>
              <w:t>签章，并根据“政府采购项目电子交易管理操作指南</w:t>
            </w:r>
            <w:r>
              <w:rPr>
                <w:rFonts w:hAnsi="宋体"/>
                <w:color w:val="auto"/>
                <w:sz w:val="24"/>
                <w:szCs w:val="24"/>
                <w:highlight w:val="none"/>
              </w:rPr>
              <w:t>-</w:t>
            </w:r>
            <w:r>
              <w:rPr>
                <w:rFonts w:hint="eastAsia" w:hAnsi="宋体"/>
                <w:color w:val="auto"/>
                <w:sz w:val="24"/>
                <w:szCs w:val="24"/>
                <w:highlight w:val="none"/>
              </w:rPr>
              <w:t>供应商”</w:t>
            </w:r>
            <w:r>
              <w:rPr>
                <w:rFonts w:hAnsi="宋体"/>
                <w:color w:val="auto"/>
                <w:sz w:val="24"/>
                <w:szCs w:val="24"/>
                <w:highlight w:val="none"/>
              </w:rPr>
              <w:t xml:space="preserve"> </w:t>
            </w:r>
            <w:r>
              <w:rPr>
                <w:rFonts w:hint="eastAsia" w:hAnsi="宋体"/>
                <w:color w:val="auto"/>
                <w:sz w:val="24"/>
                <w:szCs w:val="24"/>
                <w:highlight w:val="none"/>
              </w:rPr>
              <w:t>及本</w:t>
            </w:r>
            <w:r>
              <w:rPr>
                <w:rFonts w:hint="eastAsia" w:hAnsi="宋体"/>
                <w:color w:val="auto"/>
                <w:sz w:val="24"/>
                <w:szCs w:val="24"/>
                <w:highlight w:val="none"/>
                <w:lang w:eastAsia="zh-CN"/>
              </w:rPr>
              <w:t>谈判</w:t>
            </w:r>
            <w:r>
              <w:rPr>
                <w:rFonts w:hint="eastAsia" w:hAnsi="宋体"/>
                <w:color w:val="auto"/>
                <w:sz w:val="24"/>
                <w:szCs w:val="24"/>
                <w:highlight w:val="none"/>
              </w:rPr>
              <w:t>规定的格式和顺序编制电子</w:t>
            </w:r>
            <w:r>
              <w:rPr>
                <w:rFonts w:hint="eastAsia" w:hAnsi="宋体"/>
                <w:color w:val="auto"/>
                <w:sz w:val="24"/>
                <w:szCs w:val="24"/>
                <w:highlight w:val="none"/>
                <w:lang w:eastAsia="zh-CN"/>
              </w:rPr>
              <w:t>响应文件</w:t>
            </w:r>
            <w:r>
              <w:rPr>
                <w:rFonts w:hint="eastAsia" w:hAnsi="宋体"/>
                <w:color w:val="auto"/>
                <w:sz w:val="24"/>
                <w:szCs w:val="24"/>
                <w:highlight w:val="none"/>
              </w:rPr>
              <w:t>并进行关联定位，以便评</w:t>
            </w:r>
            <w:r>
              <w:rPr>
                <w:rFonts w:hint="eastAsia" w:hAnsi="宋体"/>
                <w:color w:val="auto"/>
                <w:sz w:val="24"/>
                <w:szCs w:val="24"/>
                <w:highlight w:val="none"/>
                <w:lang w:eastAsia="zh-CN"/>
              </w:rPr>
              <w:t>谈判</w:t>
            </w:r>
            <w:r>
              <w:rPr>
                <w:rFonts w:hint="eastAsia" w:hAnsi="宋体"/>
                <w:color w:val="auto"/>
                <w:sz w:val="24"/>
                <w:szCs w:val="24"/>
                <w:highlight w:val="none"/>
              </w:rPr>
              <w:t>小组在评审时，点击评分项可直接定位到该评分项内容。如对</w:t>
            </w:r>
            <w:r>
              <w:rPr>
                <w:rFonts w:hint="eastAsia" w:hAnsi="宋体"/>
                <w:color w:val="auto"/>
                <w:sz w:val="24"/>
                <w:szCs w:val="24"/>
                <w:highlight w:val="none"/>
                <w:lang w:eastAsia="zh-CN"/>
              </w:rPr>
              <w:t>谈判</w:t>
            </w:r>
            <w:r>
              <w:rPr>
                <w:rFonts w:hint="eastAsia" w:hAnsi="宋体"/>
                <w:color w:val="auto"/>
                <w:sz w:val="24"/>
                <w:szCs w:val="24"/>
                <w:highlight w:val="none"/>
              </w:rPr>
              <w:t>的某项要求，供应商的电子</w:t>
            </w:r>
            <w:r>
              <w:rPr>
                <w:rFonts w:hint="eastAsia" w:hAnsi="宋体"/>
                <w:color w:val="auto"/>
                <w:sz w:val="24"/>
                <w:szCs w:val="24"/>
                <w:highlight w:val="none"/>
                <w:lang w:eastAsia="zh-CN"/>
              </w:rPr>
              <w:t>响应文件</w:t>
            </w:r>
            <w:r>
              <w:rPr>
                <w:rFonts w:hint="eastAsia" w:hAnsi="宋体"/>
                <w:color w:val="auto"/>
                <w:sz w:val="24"/>
                <w:szCs w:val="24"/>
                <w:highlight w:val="none"/>
              </w:rPr>
              <w:t>未能关联定位提供相应的内容与其对应，则</w:t>
            </w:r>
            <w:r>
              <w:rPr>
                <w:rFonts w:hint="eastAsia" w:hAnsi="宋体"/>
                <w:color w:val="auto"/>
                <w:sz w:val="24"/>
                <w:szCs w:val="24"/>
                <w:highlight w:val="none"/>
                <w:lang w:eastAsia="zh-CN"/>
              </w:rPr>
              <w:t>谈判</w:t>
            </w:r>
            <w:r>
              <w:rPr>
                <w:rFonts w:hint="eastAsia" w:hAnsi="宋体"/>
                <w:color w:val="auto"/>
                <w:sz w:val="24"/>
                <w:szCs w:val="24"/>
                <w:highlight w:val="none"/>
              </w:rPr>
              <w:t>小组在评审时如做出对供应商不利的评审由供应商自行承担。电子</w:t>
            </w:r>
            <w:r>
              <w:rPr>
                <w:rFonts w:hint="eastAsia" w:hAnsi="宋体"/>
                <w:color w:val="auto"/>
                <w:sz w:val="24"/>
                <w:szCs w:val="24"/>
                <w:highlight w:val="none"/>
                <w:lang w:eastAsia="zh-CN"/>
              </w:rPr>
              <w:t>响应文件</w:t>
            </w:r>
            <w:r>
              <w:rPr>
                <w:rFonts w:hint="eastAsia" w:hAnsi="宋体"/>
                <w:color w:val="auto"/>
                <w:sz w:val="24"/>
                <w:szCs w:val="24"/>
                <w:highlight w:val="none"/>
              </w:rPr>
              <w:t>如内容不完整、编排混乱导致</w:t>
            </w:r>
            <w:r>
              <w:rPr>
                <w:rFonts w:hint="eastAsia" w:hAnsi="宋体"/>
                <w:color w:val="auto"/>
                <w:sz w:val="24"/>
                <w:szCs w:val="24"/>
                <w:highlight w:val="none"/>
                <w:lang w:eastAsia="zh-CN"/>
              </w:rPr>
              <w:t>响应文件</w:t>
            </w:r>
            <w:r>
              <w:rPr>
                <w:rFonts w:hint="eastAsia" w:hAnsi="宋体"/>
                <w:color w:val="auto"/>
                <w:sz w:val="24"/>
                <w:szCs w:val="24"/>
                <w:highlight w:val="none"/>
              </w:rPr>
              <w:t>被误读、漏读，或者在按采购文件规定的部位查找不到相关内容的，由供应商自行承担。</w:t>
            </w:r>
          </w:p>
          <w:p w14:paraId="4E3A6610">
            <w:pPr>
              <w:spacing w:line="360" w:lineRule="auto"/>
              <w:rPr>
                <w:rFonts w:hAnsi="宋体"/>
                <w:color w:val="auto"/>
                <w:sz w:val="24"/>
                <w:szCs w:val="24"/>
                <w:highlight w:val="none"/>
              </w:rPr>
            </w:pPr>
            <w:r>
              <w:rPr>
                <w:rFonts w:hAnsi="宋体"/>
                <w:color w:val="auto"/>
                <w:sz w:val="24"/>
                <w:szCs w:val="24"/>
                <w:highlight w:val="none"/>
              </w:rPr>
              <w:t xml:space="preserve">5.CA </w:t>
            </w:r>
            <w:r>
              <w:rPr>
                <w:rFonts w:hint="eastAsia" w:hAnsi="宋体"/>
                <w:color w:val="auto"/>
                <w:sz w:val="24"/>
                <w:szCs w:val="24"/>
                <w:highlight w:val="none"/>
              </w:rPr>
              <w:t>签章上目前没有法定代表人（负责人）或授权代表签字信息，供应商在响应文件中涉及到签字的位置线下签好字然后扫描或者拍照做成</w:t>
            </w:r>
            <w:r>
              <w:rPr>
                <w:rFonts w:hAnsi="宋体"/>
                <w:color w:val="auto"/>
                <w:sz w:val="24"/>
                <w:szCs w:val="24"/>
                <w:highlight w:val="none"/>
              </w:rPr>
              <w:t xml:space="preserve">PDF </w:t>
            </w:r>
            <w:r>
              <w:rPr>
                <w:rFonts w:hint="eastAsia" w:hAnsi="宋体"/>
                <w:color w:val="auto"/>
                <w:sz w:val="24"/>
                <w:szCs w:val="24"/>
                <w:highlight w:val="none"/>
              </w:rPr>
              <w:t>的格式亦可。</w:t>
            </w:r>
            <w:r>
              <w:rPr>
                <w:rFonts w:hint="eastAsia" w:hAnsi="宋体"/>
                <w:color w:val="auto"/>
                <w:sz w:val="24"/>
                <w:szCs w:val="24"/>
                <w:highlight w:val="none"/>
                <w:lang w:eastAsia="zh-CN"/>
              </w:rPr>
              <w:t>响应文件</w:t>
            </w:r>
            <w:r>
              <w:rPr>
                <w:rFonts w:hint="eastAsia" w:hAnsi="宋体"/>
                <w:color w:val="auto"/>
                <w:sz w:val="24"/>
                <w:szCs w:val="24"/>
                <w:highlight w:val="none"/>
              </w:rPr>
              <w:t>中涉及到签字的位置未按要求签字的，提供的材料视为无效。</w:t>
            </w:r>
          </w:p>
        </w:tc>
      </w:tr>
    </w:tbl>
    <w:p w14:paraId="1319A53A">
      <w:pPr>
        <w:jc w:val="center"/>
        <w:rPr>
          <w:b/>
          <w:color w:val="auto"/>
          <w:spacing w:val="70"/>
          <w:sz w:val="40"/>
          <w:highlight w:val="none"/>
        </w:rPr>
      </w:pPr>
      <w:r>
        <w:rPr>
          <w:color w:val="auto"/>
          <w:highlight w:val="none"/>
        </w:rPr>
        <w:br w:type="page"/>
      </w:r>
      <w:r>
        <w:rPr>
          <w:rFonts w:hint="eastAsia"/>
          <w:b/>
          <w:color w:val="auto"/>
          <w:spacing w:val="70"/>
          <w:sz w:val="40"/>
          <w:highlight w:val="none"/>
        </w:rPr>
        <w:t>谈判须知</w:t>
      </w:r>
    </w:p>
    <w:p w14:paraId="54ADB875">
      <w:pPr>
        <w:spacing w:line="400" w:lineRule="atLeast"/>
        <w:jc w:val="center"/>
        <w:rPr>
          <w:rFonts w:ascii="宋体" w:hAnsi="宋体"/>
          <w:b/>
          <w:color w:val="auto"/>
          <w:highlight w:val="none"/>
        </w:rPr>
      </w:pPr>
    </w:p>
    <w:p w14:paraId="1D94825F">
      <w:pPr>
        <w:spacing w:line="40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一   总  则</w:t>
      </w:r>
    </w:p>
    <w:p w14:paraId="17B79DEF">
      <w:pPr>
        <w:spacing w:line="420" w:lineRule="atLeast"/>
        <w:rPr>
          <w:rFonts w:ascii="宋体" w:hAnsi="宋体" w:cs="宋体"/>
          <w:bCs/>
          <w:color w:val="auto"/>
          <w:sz w:val="24"/>
          <w:szCs w:val="24"/>
          <w:highlight w:val="none"/>
        </w:rPr>
      </w:pPr>
      <w:r>
        <w:rPr>
          <w:rFonts w:hint="eastAsia" w:ascii="宋体" w:hAnsi="宋体" w:cs="宋体"/>
          <w:b/>
          <w:color w:val="auto"/>
          <w:sz w:val="24"/>
          <w:szCs w:val="24"/>
          <w:highlight w:val="none"/>
        </w:rPr>
        <w:t>1．项目名称与编号：</w:t>
      </w:r>
      <w:r>
        <w:rPr>
          <w:rFonts w:hint="eastAsia" w:ascii="宋体" w:hAnsi="宋体" w:cs="宋体"/>
          <w:color w:val="auto"/>
          <w:sz w:val="24"/>
          <w:szCs w:val="24"/>
          <w:highlight w:val="none"/>
        </w:rPr>
        <w:t>见谈判须知前附表</w:t>
      </w:r>
    </w:p>
    <w:p w14:paraId="36342906">
      <w:pPr>
        <w:pStyle w:val="18"/>
        <w:spacing w:line="420" w:lineRule="atLeast"/>
        <w:rPr>
          <w:rFonts w:hint="default" w:hAnsi="宋体" w:cs="宋体"/>
          <w:b/>
          <w:color w:val="auto"/>
          <w:sz w:val="24"/>
          <w:szCs w:val="24"/>
          <w:highlight w:val="none"/>
        </w:rPr>
      </w:pPr>
      <w:r>
        <w:rPr>
          <w:rFonts w:hAnsi="宋体" w:cs="宋体"/>
          <w:b/>
          <w:color w:val="auto"/>
          <w:sz w:val="24"/>
          <w:szCs w:val="24"/>
          <w:highlight w:val="none"/>
        </w:rPr>
        <w:t>2．合格谈判供应商的基本条件：</w:t>
      </w:r>
    </w:p>
    <w:p w14:paraId="2DB539FD">
      <w:pPr>
        <w:pStyle w:val="18"/>
        <w:spacing w:line="420" w:lineRule="atLeast"/>
        <w:rPr>
          <w:rFonts w:hint="default" w:hAnsi="宋体" w:cs="宋体"/>
          <w:color w:val="auto"/>
          <w:sz w:val="24"/>
          <w:szCs w:val="24"/>
          <w:highlight w:val="none"/>
        </w:rPr>
      </w:pPr>
      <w:r>
        <w:rPr>
          <w:rFonts w:hAnsi="宋体" w:cs="宋体"/>
          <w:color w:val="auto"/>
          <w:sz w:val="24"/>
          <w:szCs w:val="24"/>
          <w:highlight w:val="none"/>
        </w:rPr>
        <w:t>2.1谈判供应商应符合谈判须知前附表规定的基本条件。</w:t>
      </w:r>
    </w:p>
    <w:p w14:paraId="365A4A04">
      <w:pPr>
        <w:pStyle w:val="18"/>
        <w:spacing w:line="420" w:lineRule="atLeast"/>
        <w:rPr>
          <w:rFonts w:hint="default" w:hAnsi="宋体" w:cs="宋体"/>
          <w:color w:val="auto"/>
          <w:sz w:val="24"/>
          <w:szCs w:val="24"/>
          <w:highlight w:val="none"/>
        </w:rPr>
      </w:pPr>
      <w:r>
        <w:rPr>
          <w:rFonts w:hAnsi="宋体" w:cs="宋体"/>
          <w:color w:val="auto"/>
          <w:sz w:val="24"/>
          <w:szCs w:val="24"/>
          <w:highlight w:val="none"/>
        </w:rPr>
        <w:t>2.2符合合格供应商基本条件的供应商必须承担竞标及履约中应承担的全部责任与义务。</w:t>
      </w:r>
    </w:p>
    <w:p w14:paraId="53FDD907">
      <w:pPr>
        <w:tabs>
          <w:tab w:val="left" w:pos="5625"/>
        </w:tabs>
        <w:spacing w:line="420" w:lineRule="atLeast"/>
        <w:rPr>
          <w:rFonts w:ascii="宋体" w:hAnsi="宋体" w:cs="宋体"/>
          <w:b/>
          <w:color w:val="auto"/>
          <w:sz w:val="24"/>
          <w:szCs w:val="24"/>
          <w:highlight w:val="none"/>
        </w:rPr>
      </w:pPr>
      <w:r>
        <w:rPr>
          <w:rFonts w:hint="eastAsia" w:ascii="宋体" w:hAnsi="宋体" w:cs="宋体"/>
          <w:b/>
          <w:color w:val="auto"/>
          <w:sz w:val="24"/>
          <w:szCs w:val="24"/>
          <w:highlight w:val="none"/>
        </w:rPr>
        <w:t>3．谈判费用</w:t>
      </w:r>
      <w:r>
        <w:rPr>
          <w:rFonts w:hint="eastAsia" w:ascii="宋体" w:hAnsi="宋体" w:cs="宋体"/>
          <w:b/>
          <w:color w:val="auto"/>
          <w:sz w:val="24"/>
          <w:szCs w:val="24"/>
          <w:highlight w:val="none"/>
        </w:rPr>
        <w:tab/>
      </w:r>
    </w:p>
    <w:p w14:paraId="009EFD05">
      <w:pPr>
        <w:spacing w:line="420" w:lineRule="atLeast"/>
        <w:rPr>
          <w:rFonts w:ascii="宋体" w:hAnsi="宋体" w:cs="宋体"/>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1</w:t>
      </w:r>
      <w:r>
        <w:rPr>
          <w:rFonts w:hint="eastAsia" w:ascii="宋体" w:hAnsi="宋体" w:cs="宋体"/>
          <w:color w:val="auto"/>
          <w:sz w:val="24"/>
          <w:szCs w:val="24"/>
          <w:highlight w:val="none"/>
        </w:rPr>
        <w:t>谈判供应商应自行承担所有与编写和提交竞争性谈判响应文件有关的费用。</w:t>
      </w:r>
    </w:p>
    <w:p w14:paraId="56FE8541">
      <w:pPr>
        <w:spacing w:line="420" w:lineRule="atLeast"/>
        <w:rPr>
          <w:rFonts w:ascii="宋体" w:hAnsi="宋体" w:cs="宋体"/>
          <w:color w:val="auto"/>
          <w:sz w:val="24"/>
          <w:szCs w:val="24"/>
          <w:highlight w:val="none"/>
        </w:rPr>
      </w:pPr>
    </w:p>
    <w:p w14:paraId="3308DC1C">
      <w:pPr>
        <w:spacing w:line="42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二  竞争性谈判采购文件（简称谈判采购文件）</w:t>
      </w:r>
    </w:p>
    <w:p w14:paraId="4214CE99">
      <w:pPr>
        <w:spacing w:line="420" w:lineRule="atLeast"/>
        <w:rPr>
          <w:rFonts w:ascii="宋体" w:hAnsi="宋体" w:cs="宋体"/>
          <w:b/>
          <w:color w:val="auto"/>
          <w:sz w:val="24"/>
          <w:szCs w:val="24"/>
          <w:highlight w:val="none"/>
        </w:rPr>
      </w:pPr>
      <w:r>
        <w:rPr>
          <w:rFonts w:hint="eastAsia" w:ascii="宋体" w:hAnsi="宋体" w:cs="宋体"/>
          <w:b/>
          <w:color w:val="auto"/>
          <w:sz w:val="24"/>
          <w:szCs w:val="24"/>
          <w:highlight w:val="none"/>
        </w:rPr>
        <w:t>4．谈判采购文件构成</w:t>
      </w:r>
    </w:p>
    <w:p w14:paraId="61D61A93">
      <w:pPr>
        <w:pStyle w:val="18"/>
        <w:spacing w:line="420" w:lineRule="atLeast"/>
        <w:rPr>
          <w:rFonts w:hint="default" w:hAnsi="宋体" w:cs="宋体"/>
          <w:color w:val="auto"/>
          <w:sz w:val="24"/>
          <w:szCs w:val="24"/>
          <w:highlight w:val="none"/>
        </w:rPr>
      </w:pPr>
      <w:r>
        <w:rPr>
          <w:rFonts w:hAnsi="宋体" w:cs="宋体"/>
          <w:color w:val="auto"/>
          <w:sz w:val="24"/>
          <w:szCs w:val="24"/>
          <w:highlight w:val="none"/>
        </w:rPr>
        <w:t>4.1谈判采购文件包括：</w:t>
      </w:r>
    </w:p>
    <w:p w14:paraId="377E91E6">
      <w:pPr>
        <w:pStyle w:val="18"/>
        <w:spacing w:line="420" w:lineRule="atLeast"/>
        <w:ind w:firstLine="480" w:firstLineChars="200"/>
        <w:rPr>
          <w:rFonts w:hint="default" w:hAnsi="宋体" w:cs="宋体"/>
          <w:color w:val="auto"/>
          <w:sz w:val="24"/>
          <w:szCs w:val="24"/>
          <w:highlight w:val="none"/>
        </w:rPr>
      </w:pPr>
      <w:r>
        <w:rPr>
          <w:rFonts w:hAnsi="宋体" w:cs="宋体"/>
          <w:color w:val="auto"/>
          <w:sz w:val="24"/>
          <w:szCs w:val="24"/>
          <w:highlight w:val="none"/>
        </w:rPr>
        <w:t>⑴竞争性谈判公告；</w:t>
      </w:r>
    </w:p>
    <w:p w14:paraId="61F295B5">
      <w:pPr>
        <w:pStyle w:val="18"/>
        <w:spacing w:line="420" w:lineRule="atLeast"/>
        <w:ind w:firstLine="480" w:firstLineChars="200"/>
        <w:rPr>
          <w:rFonts w:hint="default" w:hAnsi="宋体" w:cs="宋体"/>
          <w:color w:val="auto"/>
          <w:sz w:val="24"/>
          <w:szCs w:val="24"/>
          <w:highlight w:val="none"/>
        </w:rPr>
      </w:pPr>
      <w:r>
        <w:rPr>
          <w:rFonts w:hAnsi="宋体" w:cs="宋体"/>
          <w:color w:val="auto"/>
          <w:sz w:val="24"/>
          <w:szCs w:val="24"/>
          <w:highlight w:val="none"/>
        </w:rPr>
        <w:t>⑵谈判须知及前附表；</w:t>
      </w:r>
    </w:p>
    <w:p w14:paraId="4AAB709A">
      <w:pPr>
        <w:pStyle w:val="18"/>
        <w:spacing w:line="420" w:lineRule="atLeast"/>
        <w:ind w:firstLine="480" w:firstLineChars="200"/>
        <w:rPr>
          <w:rFonts w:hint="default" w:hAnsi="宋体" w:cs="宋体"/>
          <w:color w:val="auto"/>
          <w:sz w:val="24"/>
          <w:szCs w:val="24"/>
          <w:highlight w:val="none"/>
        </w:rPr>
      </w:pPr>
      <w:r>
        <w:rPr>
          <w:rFonts w:hAnsi="宋体" w:cs="宋体"/>
          <w:color w:val="auto"/>
          <w:sz w:val="24"/>
          <w:szCs w:val="24"/>
          <w:highlight w:val="none"/>
        </w:rPr>
        <w:t>⑶项目需求；</w:t>
      </w:r>
    </w:p>
    <w:p w14:paraId="7A666A89">
      <w:pPr>
        <w:pStyle w:val="18"/>
        <w:spacing w:line="420" w:lineRule="atLeast"/>
        <w:ind w:firstLine="480" w:firstLineChars="200"/>
        <w:rPr>
          <w:rFonts w:hint="default" w:hAnsi="宋体" w:cs="宋体"/>
          <w:color w:val="auto"/>
          <w:sz w:val="24"/>
          <w:szCs w:val="24"/>
          <w:highlight w:val="none"/>
        </w:rPr>
      </w:pPr>
      <w:r>
        <w:rPr>
          <w:rFonts w:hAnsi="宋体" w:cs="宋体"/>
          <w:color w:val="auto"/>
          <w:sz w:val="24"/>
          <w:szCs w:val="24"/>
          <w:highlight w:val="none"/>
        </w:rPr>
        <w:t>⑷采购合同书（格式）；</w:t>
      </w:r>
    </w:p>
    <w:p w14:paraId="4DCD6136">
      <w:pPr>
        <w:pStyle w:val="18"/>
        <w:spacing w:line="420" w:lineRule="atLeast"/>
        <w:ind w:firstLine="480" w:firstLineChars="200"/>
        <w:rPr>
          <w:rFonts w:hint="default" w:hAnsi="宋体" w:cs="宋体"/>
          <w:color w:val="auto"/>
          <w:sz w:val="24"/>
          <w:szCs w:val="24"/>
          <w:highlight w:val="none"/>
        </w:rPr>
      </w:pPr>
      <w:r>
        <w:rPr>
          <w:rFonts w:hAnsi="宋体" w:cs="宋体"/>
          <w:color w:val="auto"/>
          <w:sz w:val="24"/>
          <w:szCs w:val="24"/>
          <w:highlight w:val="none"/>
        </w:rPr>
        <w:t>⑸竞争性谈判响应文件（格式）；</w:t>
      </w:r>
    </w:p>
    <w:p w14:paraId="389328A5">
      <w:pPr>
        <w:pStyle w:val="18"/>
        <w:spacing w:line="420" w:lineRule="atLeast"/>
        <w:ind w:firstLine="480" w:firstLineChars="200"/>
        <w:rPr>
          <w:rFonts w:hint="default" w:hAnsi="宋体" w:cs="宋体"/>
          <w:color w:val="auto"/>
          <w:sz w:val="24"/>
          <w:szCs w:val="24"/>
          <w:highlight w:val="none"/>
        </w:rPr>
      </w:pPr>
      <w:r>
        <w:rPr>
          <w:rFonts w:hAnsi="宋体" w:cs="宋体"/>
          <w:color w:val="auto"/>
          <w:sz w:val="24"/>
          <w:szCs w:val="24"/>
          <w:highlight w:val="none"/>
        </w:rPr>
        <w:t>⑹成交评审方法。</w:t>
      </w:r>
    </w:p>
    <w:p w14:paraId="23CB33E4">
      <w:pPr>
        <w:pStyle w:val="18"/>
        <w:spacing w:line="42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4.2供应商应认真阅读谈判采购文件中所有的事项、格式、条款和规范等要求，从而对谈判采购文件做出实质性的响应。如果没有按照谈判采购文件要求提交全部竞争性谈判文件或者资料，没有对谈判采购文件做出实质性响应，其风险应当由谈判供应商自行承担。根据有关规定，该竞标有可能被拒绝。</w:t>
      </w:r>
    </w:p>
    <w:p w14:paraId="2F3BE1FD">
      <w:pPr>
        <w:spacing w:line="420" w:lineRule="atLeast"/>
        <w:rPr>
          <w:rFonts w:ascii="宋体" w:hAnsi="宋体" w:cs="宋体"/>
          <w:b/>
          <w:color w:val="auto"/>
          <w:sz w:val="24"/>
          <w:szCs w:val="24"/>
          <w:highlight w:val="none"/>
        </w:rPr>
      </w:pPr>
      <w:r>
        <w:rPr>
          <w:rFonts w:hint="eastAsia" w:ascii="宋体" w:hAnsi="宋体" w:cs="宋体"/>
          <w:b/>
          <w:color w:val="auto"/>
          <w:sz w:val="24"/>
          <w:szCs w:val="24"/>
          <w:highlight w:val="none"/>
        </w:rPr>
        <w:t>5．谈判采购文件的澄清</w:t>
      </w:r>
    </w:p>
    <w:p w14:paraId="35E555A8">
      <w:pPr>
        <w:pStyle w:val="18"/>
        <w:spacing w:line="42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5.1任何要求对谈判文件进行澄清的响应供应商，均应以书面形式在谈判文件规定的谈判响应文件递交截止日期前通知采购代理机构,在规定时间以后提出的澄清要求将不予受理。采购代理机构将组织采购人对响应供应商所要求澄清的内容进行答复，必要时，采购代理机构将组织相关专家召开答疑会。澄清答复以网上公告的形式发布，供应商未及时关注采购人在网站上发布的澄清答复造成的损失，由供应商自行负责（答复中不包括问题的来源）。</w:t>
      </w:r>
    </w:p>
    <w:p w14:paraId="24028579">
      <w:pPr>
        <w:pStyle w:val="18"/>
        <w:spacing w:line="42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5.2响应供应商在规定的时间内未要求对谈判文件澄清或提出疑问的，采购代理机构将视其为无异议。对谈判文件中描述有歧意或前后不一致的地方，谈判小组有权进行评判，但对同一条款的评判应适用于每个响应供应商。</w:t>
      </w:r>
    </w:p>
    <w:p w14:paraId="365C214E">
      <w:pPr>
        <w:spacing w:line="420" w:lineRule="atLeast"/>
        <w:rPr>
          <w:rFonts w:ascii="宋体" w:hAnsi="宋体" w:cs="宋体"/>
          <w:b/>
          <w:color w:val="auto"/>
          <w:sz w:val="24"/>
          <w:szCs w:val="24"/>
          <w:highlight w:val="none"/>
        </w:rPr>
      </w:pPr>
      <w:r>
        <w:rPr>
          <w:rFonts w:hint="eastAsia" w:ascii="宋体" w:hAnsi="宋体" w:cs="宋体"/>
          <w:b/>
          <w:color w:val="auto"/>
          <w:sz w:val="24"/>
          <w:szCs w:val="24"/>
          <w:highlight w:val="none"/>
        </w:rPr>
        <w:t>6．谈判采购文件的修改</w:t>
      </w:r>
    </w:p>
    <w:p w14:paraId="3E5F8051">
      <w:pPr>
        <w:pStyle w:val="18"/>
        <w:spacing w:line="42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6.1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公告形式通知所有接收谈判文件的供应商，不足3个工作日的，应当顺延提交首次响应文件截止之日。澄清修改将在谈判公告发布媒体上发布更正（或澄清）公告，发布之日起视为供应商已收到该澄清（更正/更改）。供应商未及时关注采购人在网站上发布的澄清或更正、更改文件造成的损失，由供应商自行负责。</w:t>
      </w:r>
    </w:p>
    <w:p w14:paraId="3BA1CEDD">
      <w:pPr>
        <w:pStyle w:val="18"/>
        <w:spacing w:line="420" w:lineRule="atLeast"/>
        <w:ind w:firstLine="420"/>
        <w:rPr>
          <w:rFonts w:hint="default" w:hAnsi="宋体" w:cs="宋体"/>
          <w:color w:val="auto"/>
          <w:sz w:val="24"/>
          <w:szCs w:val="24"/>
          <w:highlight w:val="none"/>
        </w:rPr>
      </w:pPr>
    </w:p>
    <w:p w14:paraId="708CC619">
      <w:pPr>
        <w:spacing w:line="44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三  竞争性谈判响应文件的编制</w:t>
      </w:r>
    </w:p>
    <w:p w14:paraId="5A921FF1">
      <w:pPr>
        <w:pStyle w:val="18"/>
        <w:spacing w:line="440" w:lineRule="atLeast"/>
        <w:rPr>
          <w:rFonts w:hint="default" w:hAnsi="宋体" w:cs="宋体"/>
          <w:b/>
          <w:color w:val="auto"/>
          <w:sz w:val="24"/>
          <w:szCs w:val="24"/>
          <w:highlight w:val="none"/>
        </w:rPr>
      </w:pPr>
      <w:r>
        <w:rPr>
          <w:rFonts w:hAnsi="宋体" w:cs="宋体"/>
          <w:b/>
          <w:color w:val="auto"/>
          <w:sz w:val="24"/>
          <w:szCs w:val="24"/>
          <w:highlight w:val="none"/>
        </w:rPr>
        <w:t>7.竞争性谈判响应文件编写注意事项</w:t>
      </w:r>
    </w:p>
    <w:p w14:paraId="4DE8B8BC">
      <w:pPr>
        <w:pStyle w:val="18"/>
        <w:spacing w:line="44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7.1供应商应仔细阅读谈判采购文件，了解谈判采购文件的要求。在完全了解采购的内容、要求（详见项目需求）和商务条件后，编写竞争性谈判响应文件。</w:t>
      </w:r>
    </w:p>
    <w:p w14:paraId="6096AB47">
      <w:pPr>
        <w:pStyle w:val="18"/>
        <w:spacing w:line="440" w:lineRule="atLeast"/>
        <w:rPr>
          <w:rFonts w:hint="default" w:hAnsi="宋体" w:cs="宋体"/>
          <w:color w:val="auto"/>
          <w:sz w:val="24"/>
          <w:szCs w:val="24"/>
          <w:highlight w:val="none"/>
        </w:rPr>
      </w:pPr>
      <w:r>
        <w:rPr>
          <w:rFonts w:hAnsi="宋体" w:cs="宋体"/>
          <w:b/>
          <w:color w:val="auto"/>
          <w:sz w:val="24"/>
          <w:szCs w:val="24"/>
          <w:highlight w:val="none"/>
        </w:rPr>
        <w:t>8.谈判的语言及计量单位</w:t>
      </w:r>
    </w:p>
    <w:p w14:paraId="3DC38F76">
      <w:pPr>
        <w:pStyle w:val="18"/>
        <w:spacing w:line="44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8.1谈判供应商的竞争性谈判响应文件以及谈判供应商与采购代理机构就有关竞标的所有来往函电统一使用中文（特别规定除外）。</w:t>
      </w:r>
    </w:p>
    <w:p w14:paraId="52BA2BCD">
      <w:pPr>
        <w:pStyle w:val="18"/>
        <w:spacing w:line="440" w:lineRule="atLeast"/>
        <w:rPr>
          <w:rFonts w:hint="default" w:hAnsi="宋体" w:cs="宋体"/>
          <w:color w:val="auto"/>
          <w:sz w:val="24"/>
          <w:szCs w:val="24"/>
          <w:highlight w:val="none"/>
        </w:rPr>
      </w:pPr>
      <w:r>
        <w:rPr>
          <w:rFonts w:hAnsi="宋体" w:cs="宋体"/>
          <w:color w:val="auto"/>
          <w:sz w:val="24"/>
          <w:szCs w:val="24"/>
          <w:highlight w:val="none"/>
        </w:rPr>
        <w:t>8.2竞争性谈判响应文件中使用的计量单位除谈判采购文件中有特殊规定外，一律使用法定计量单位。</w:t>
      </w:r>
    </w:p>
    <w:p w14:paraId="4FCBF4B4">
      <w:pPr>
        <w:pStyle w:val="18"/>
        <w:spacing w:line="440" w:lineRule="atLeast"/>
        <w:rPr>
          <w:rFonts w:hint="default" w:hAnsi="宋体" w:cs="宋体"/>
          <w:color w:val="auto"/>
          <w:sz w:val="24"/>
          <w:szCs w:val="24"/>
          <w:highlight w:val="none"/>
        </w:rPr>
      </w:pPr>
      <w:r>
        <w:rPr>
          <w:rFonts w:hAnsi="宋体" w:cs="宋体"/>
          <w:b/>
          <w:color w:val="auto"/>
          <w:sz w:val="24"/>
          <w:szCs w:val="24"/>
          <w:highlight w:val="none"/>
        </w:rPr>
        <w:t>9.竞争性谈判响应文件构成</w:t>
      </w:r>
    </w:p>
    <w:p w14:paraId="6D494176">
      <w:pPr>
        <w:pStyle w:val="18"/>
        <w:spacing w:line="440" w:lineRule="atLeast"/>
        <w:ind w:left="342" w:hanging="410" w:hangingChars="171"/>
        <w:rPr>
          <w:rFonts w:hint="default" w:hAnsi="宋体" w:cs="宋体"/>
          <w:color w:val="auto"/>
          <w:sz w:val="24"/>
          <w:szCs w:val="24"/>
          <w:highlight w:val="none"/>
        </w:rPr>
      </w:pPr>
      <w:r>
        <w:rPr>
          <w:rFonts w:hAnsi="宋体" w:cs="宋体"/>
          <w:color w:val="auto"/>
          <w:sz w:val="24"/>
          <w:szCs w:val="24"/>
          <w:highlight w:val="none"/>
        </w:rPr>
        <w:t>9.1谈判供应商编写的竞争性谈判响应文件应包括下列内容（谈判供应商必须按下列顺序自编目录及页码分别装订成册，否则，因文件失散而导致文件无效的后果由谈判供应商自负）：</w:t>
      </w:r>
    </w:p>
    <w:p w14:paraId="49DEB92E">
      <w:pPr>
        <w:pStyle w:val="18"/>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1) 谈判书（按谈判采购文件第五章的“谈判书格式”要求填写) （</w:t>
      </w:r>
      <w:r>
        <w:rPr>
          <w:rFonts w:hint="default" w:hAnsi="宋体" w:cs="宋体"/>
          <w:b/>
          <w:bCs/>
          <w:color w:val="auto"/>
          <w:sz w:val="24"/>
          <w:szCs w:val="24"/>
          <w:highlight w:val="none"/>
        </w:rPr>
        <w:t>必须提供</w:t>
      </w:r>
      <w:r>
        <w:rPr>
          <w:rFonts w:hint="default" w:hAnsi="宋体" w:cs="宋体"/>
          <w:color w:val="auto"/>
          <w:sz w:val="24"/>
          <w:szCs w:val="24"/>
          <w:highlight w:val="none"/>
        </w:rPr>
        <w:t>）；</w:t>
      </w:r>
    </w:p>
    <w:p w14:paraId="2D3C6A79">
      <w:pPr>
        <w:pStyle w:val="18"/>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2) 谈判报价表（按谈判采购文件第五章的“谈判报价表格式”要求填写) （</w:t>
      </w:r>
      <w:r>
        <w:rPr>
          <w:rFonts w:hint="default" w:hAnsi="宋体" w:cs="宋体"/>
          <w:b/>
          <w:bCs/>
          <w:color w:val="auto"/>
          <w:sz w:val="24"/>
          <w:szCs w:val="24"/>
          <w:highlight w:val="none"/>
        </w:rPr>
        <w:t>必须提供</w:t>
      </w:r>
      <w:r>
        <w:rPr>
          <w:rFonts w:hint="default" w:hAnsi="宋体" w:cs="宋体"/>
          <w:color w:val="auto"/>
          <w:sz w:val="24"/>
          <w:szCs w:val="24"/>
          <w:highlight w:val="none"/>
        </w:rPr>
        <w:t>）；</w:t>
      </w:r>
    </w:p>
    <w:p w14:paraId="6A0BC84B">
      <w:pPr>
        <w:pStyle w:val="18"/>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3）谈判保证金声明（附转账底单复印件加盖公章）或保证金支票/汇票/本票/保函复印件（</w:t>
      </w:r>
      <w:r>
        <w:rPr>
          <w:rFonts w:hint="default" w:hAnsi="宋体" w:cs="宋体"/>
          <w:b/>
          <w:bCs/>
          <w:color w:val="auto"/>
          <w:sz w:val="24"/>
          <w:szCs w:val="24"/>
          <w:highlight w:val="none"/>
        </w:rPr>
        <w:t>必须提供</w:t>
      </w:r>
      <w:r>
        <w:rPr>
          <w:rFonts w:hint="default" w:hAnsi="宋体" w:cs="宋体"/>
          <w:color w:val="auto"/>
          <w:sz w:val="24"/>
          <w:szCs w:val="24"/>
          <w:highlight w:val="none"/>
        </w:rPr>
        <w:t>）；</w:t>
      </w:r>
    </w:p>
    <w:p w14:paraId="29867DBE">
      <w:pPr>
        <w:pStyle w:val="18"/>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4）法定代表人（负责人）身份证明书原件及身份证复印件（</w:t>
      </w:r>
      <w:r>
        <w:rPr>
          <w:rFonts w:hint="default" w:hAnsi="宋体" w:cs="宋体"/>
          <w:b/>
          <w:bCs/>
          <w:color w:val="auto"/>
          <w:sz w:val="24"/>
          <w:szCs w:val="24"/>
          <w:highlight w:val="none"/>
        </w:rPr>
        <w:t>必须提供</w:t>
      </w:r>
      <w:r>
        <w:rPr>
          <w:rFonts w:hint="default" w:hAnsi="宋体" w:cs="宋体"/>
          <w:color w:val="auto"/>
          <w:sz w:val="24"/>
          <w:szCs w:val="24"/>
          <w:highlight w:val="none"/>
        </w:rPr>
        <w:t>，身份证如为第二代身份证，必须提供正反两面复印件）；</w:t>
      </w:r>
    </w:p>
    <w:p w14:paraId="0992F451">
      <w:pPr>
        <w:pStyle w:val="18"/>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5）授权委托书原件和委托代理人身份证复印件（委托代理时必须提供，身份证如为第二代身份证，必须提供正反两面复印件）；</w:t>
      </w:r>
    </w:p>
    <w:p w14:paraId="504EF12D">
      <w:pPr>
        <w:pStyle w:val="18"/>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6）谈判供应商资格证明文件（按本须知第10条要求提供）；</w:t>
      </w:r>
    </w:p>
    <w:p w14:paraId="0966B21C">
      <w:pPr>
        <w:pStyle w:val="18"/>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7）技术规格偏离表（按谈判采购文件第五章的“技术规格偏离表格式”要求填写）（</w:t>
      </w:r>
      <w:r>
        <w:rPr>
          <w:rFonts w:hint="default" w:hAnsi="宋体" w:cs="宋体"/>
          <w:b/>
          <w:bCs/>
          <w:color w:val="auto"/>
          <w:sz w:val="24"/>
          <w:szCs w:val="24"/>
          <w:highlight w:val="none"/>
        </w:rPr>
        <w:t>必须提供</w:t>
      </w:r>
      <w:r>
        <w:rPr>
          <w:rFonts w:hint="default" w:hAnsi="宋体" w:cs="宋体"/>
          <w:color w:val="auto"/>
          <w:sz w:val="24"/>
          <w:szCs w:val="24"/>
          <w:highlight w:val="none"/>
        </w:rPr>
        <w:t xml:space="preserve">）； </w:t>
      </w:r>
    </w:p>
    <w:p w14:paraId="265E5F87">
      <w:pPr>
        <w:pStyle w:val="18"/>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8）商务条款偏离表（按谈判采购文件第五章的“商务条款偏离表”要求填写）（</w:t>
      </w:r>
      <w:r>
        <w:rPr>
          <w:rFonts w:hint="default" w:hAnsi="宋体" w:cs="宋体"/>
          <w:b/>
          <w:bCs/>
          <w:color w:val="auto"/>
          <w:sz w:val="24"/>
          <w:szCs w:val="24"/>
          <w:highlight w:val="none"/>
        </w:rPr>
        <w:t>必须提供</w:t>
      </w:r>
      <w:r>
        <w:rPr>
          <w:rFonts w:hint="default" w:hAnsi="宋体" w:cs="宋体"/>
          <w:color w:val="auto"/>
          <w:sz w:val="24"/>
          <w:szCs w:val="24"/>
          <w:highlight w:val="none"/>
        </w:rPr>
        <w:t>）；</w:t>
      </w:r>
    </w:p>
    <w:p w14:paraId="09B9DAFD">
      <w:pPr>
        <w:pStyle w:val="18"/>
        <w:spacing w:line="440" w:lineRule="atLeast"/>
        <w:ind w:firstLine="420"/>
        <w:rPr>
          <w:rFonts w:hint="default" w:hAnsi="宋体" w:cs="宋体"/>
          <w:color w:val="auto"/>
          <w:sz w:val="24"/>
          <w:szCs w:val="24"/>
          <w:highlight w:val="none"/>
        </w:rPr>
      </w:pPr>
      <w:r>
        <w:rPr>
          <w:rFonts w:hint="eastAsia" w:hAnsi="宋体" w:cs="宋体"/>
          <w:color w:val="auto"/>
          <w:sz w:val="24"/>
          <w:szCs w:val="24"/>
          <w:highlight w:val="none"/>
          <w:lang w:val="en-US" w:eastAsia="zh-CN"/>
        </w:rPr>
        <w:t>9）</w:t>
      </w:r>
      <w:r>
        <w:rPr>
          <w:rFonts w:hint="default" w:hAnsi="宋体" w:cs="宋体"/>
          <w:color w:val="auto"/>
          <w:sz w:val="24"/>
          <w:szCs w:val="24"/>
          <w:highlight w:val="none"/>
        </w:rPr>
        <w:t>中小企业声明函或残疾人福利性单位声明函或省级以上监狱管理局、戒毒管理局（含新疆生产建设兵团）出具的属于监狱企业的证明文件。必须提供。</w:t>
      </w:r>
    </w:p>
    <w:p w14:paraId="05635C67">
      <w:pPr>
        <w:pStyle w:val="18"/>
        <w:spacing w:line="440" w:lineRule="atLeast"/>
        <w:ind w:firstLine="420"/>
        <w:rPr>
          <w:rFonts w:hint="default" w:hAnsi="宋体" w:cs="宋体"/>
          <w:color w:val="auto"/>
          <w:sz w:val="24"/>
          <w:szCs w:val="24"/>
          <w:highlight w:val="none"/>
        </w:rPr>
      </w:pPr>
      <w:r>
        <w:rPr>
          <w:rFonts w:hint="eastAsia" w:hAnsi="宋体" w:cs="宋体"/>
          <w:color w:val="auto"/>
          <w:sz w:val="24"/>
          <w:szCs w:val="24"/>
          <w:highlight w:val="none"/>
          <w:lang w:val="en-US" w:eastAsia="zh-CN"/>
        </w:rPr>
        <w:t>10</w:t>
      </w:r>
      <w:r>
        <w:rPr>
          <w:rFonts w:hint="default" w:hAnsi="宋体" w:cs="宋体"/>
          <w:color w:val="auto"/>
          <w:sz w:val="24"/>
          <w:szCs w:val="24"/>
          <w:highlight w:val="none"/>
        </w:rPr>
        <w:t>）售后服务承诺书（</w:t>
      </w:r>
      <w:r>
        <w:rPr>
          <w:rFonts w:hint="default" w:hAnsi="宋体" w:cs="宋体"/>
          <w:b/>
          <w:bCs/>
          <w:color w:val="auto"/>
          <w:sz w:val="24"/>
          <w:szCs w:val="24"/>
          <w:highlight w:val="none"/>
        </w:rPr>
        <w:t>必须提供</w:t>
      </w:r>
      <w:r>
        <w:rPr>
          <w:rFonts w:hint="default" w:hAnsi="宋体" w:cs="宋体"/>
          <w:color w:val="auto"/>
          <w:sz w:val="24"/>
          <w:szCs w:val="24"/>
          <w:highlight w:val="none"/>
        </w:rPr>
        <w:t>）；</w:t>
      </w:r>
    </w:p>
    <w:p w14:paraId="6347AF1A">
      <w:pPr>
        <w:pStyle w:val="18"/>
        <w:spacing w:line="440" w:lineRule="atLeast"/>
        <w:ind w:firstLine="420"/>
        <w:rPr>
          <w:rFonts w:hint="default" w:hAnsi="宋体" w:cs="宋体"/>
          <w:color w:val="auto"/>
          <w:sz w:val="24"/>
          <w:szCs w:val="24"/>
          <w:highlight w:val="none"/>
        </w:rPr>
      </w:pPr>
      <w:r>
        <w:rPr>
          <w:rFonts w:hint="eastAsia" w:hAnsi="宋体" w:cs="宋体"/>
          <w:color w:val="auto"/>
          <w:sz w:val="24"/>
          <w:szCs w:val="24"/>
          <w:highlight w:val="none"/>
          <w:lang w:val="en-US" w:eastAsia="zh-CN"/>
        </w:rPr>
        <w:t>11</w:t>
      </w:r>
      <w:r>
        <w:rPr>
          <w:rFonts w:hint="default" w:hAnsi="宋体" w:cs="宋体"/>
          <w:color w:val="auto"/>
          <w:sz w:val="24"/>
          <w:szCs w:val="24"/>
          <w:highlight w:val="none"/>
        </w:rPr>
        <w:t>）本地化服务机构，具有售后服务保障能力；（如有，请提供）</w:t>
      </w:r>
    </w:p>
    <w:p w14:paraId="36EBAA3A">
      <w:pPr>
        <w:pStyle w:val="18"/>
        <w:spacing w:line="440" w:lineRule="atLeast"/>
        <w:ind w:firstLine="420"/>
        <w:rPr>
          <w:rFonts w:hint="default" w:hAnsi="宋体" w:cs="宋体"/>
          <w:color w:val="auto"/>
          <w:sz w:val="24"/>
          <w:szCs w:val="24"/>
          <w:highlight w:val="none"/>
        </w:rPr>
      </w:pPr>
      <w:r>
        <w:rPr>
          <w:rFonts w:hint="default" w:hAnsi="宋体" w:cs="宋体"/>
          <w:color w:val="auto"/>
          <w:sz w:val="24"/>
          <w:szCs w:val="24"/>
          <w:highlight w:val="none"/>
        </w:rPr>
        <w:t>1</w:t>
      </w:r>
      <w:r>
        <w:rPr>
          <w:rFonts w:hint="eastAsia" w:hAnsi="宋体" w:cs="宋体"/>
          <w:color w:val="auto"/>
          <w:sz w:val="24"/>
          <w:szCs w:val="24"/>
          <w:highlight w:val="none"/>
          <w:lang w:val="en-US" w:eastAsia="zh-CN"/>
        </w:rPr>
        <w:t>2</w:t>
      </w:r>
      <w:r>
        <w:rPr>
          <w:rFonts w:hint="default" w:hAnsi="宋体" w:cs="宋体"/>
          <w:color w:val="auto"/>
          <w:sz w:val="24"/>
          <w:szCs w:val="24"/>
          <w:highlight w:val="none"/>
        </w:rPr>
        <w:t>）谈判供应商认为有必要提交的其他资料。</w:t>
      </w:r>
    </w:p>
    <w:p w14:paraId="098B6391">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10．谈判供应商资格证明文件</w:t>
      </w:r>
    </w:p>
    <w:p w14:paraId="3949B87C">
      <w:pPr>
        <w:pStyle w:val="18"/>
        <w:spacing w:line="440" w:lineRule="exact"/>
        <w:rPr>
          <w:rFonts w:hint="default" w:hAnsi="宋体" w:cs="宋体"/>
          <w:color w:val="auto"/>
          <w:sz w:val="24"/>
          <w:szCs w:val="24"/>
          <w:highlight w:val="none"/>
        </w:rPr>
      </w:pPr>
      <w:r>
        <w:rPr>
          <w:rFonts w:hAnsi="宋体" w:cs="宋体"/>
          <w:color w:val="auto"/>
          <w:sz w:val="24"/>
          <w:szCs w:val="24"/>
          <w:highlight w:val="none"/>
        </w:rPr>
        <w:t>10.1谈判供应商应提交证明谈判供应商合格性和具备谈判资格的文件及资料（</w:t>
      </w:r>
      <w:r>
        <w:rPr>
          <w:rFonts w:hAnsi="宋体" w:cs="宋体"/>
          <w:b/>
          <w:color w:val="auto"/>
          <w:sz w:val="24"/>
          <w:szCs w:val="24"/>
          <w:highlight w:val="none"/>
        </w:rPr>
        <w:t>其中，注明“必须提供”的资料，谈判供应商必须按要求提供，否则其竞标无效</w:t>
      </w:r>
      <w:r>
        <w:rPr>
          <w:rFonts w:hAnsi="宋体" w:cs="宋体"/>
          <w:color w:val="auto"/>
          <w:sz w:val="24"/>
          <w:szCs w:val="24"/>
          <w:highlight w:val="none"/>
        </w:rPr>
        <w:t>）：</w:t>
      </w:r>
    </w:p>
    <w:p w14:paraId="6623E3BE">
      <w:pPr>
        <w:pStyle w:val="18"/>
        <w:spacing w:line="440" w:lineRule="atLeast"/>
        <w:rPr>
          <w:rFonts w:hint="eastAsia" w:hAnsi="宋体" w:cs="宋体"/>
          <w:b/>
          <w:color w:val="auto"/>
          <w:sz w:val="24"/>
          <w:szCs w:val="24"/>
          <w:highlight w:val="none"/>
        </w:rPr>
      </w:pPr>
      <w:r>
        <w:rPr>
          <w:rFonts w:hint="eastAsia" w:hAnsi="宋体" w:cs="宋体"/>
          <w:b/>
          <w:color w:val="auto"/>
          <w:sz w:val="24"/>
          <w:szCs w:val="24"/>
          <w:highlight w:val="none"/>
        </w:rPr>
        <w:t>（1）谈判供应商有效的“营业执照”副本内页复印件</w:t>
      </w:r>
      <w:r>
        <w:rPr>
          <w:rFonts w:hint="eastAsia"/>
          <w:color w:val="auto"/>
          <w:highlight w:val="none"/>
          <w:lang w:eastAsia="zh-CN"/>
        </w:rPr>
        <w:t>，</w:t>
      </w:r>
      <w:r>
        <w:rPr>
          <w:rFonts w:hint="eastAsia" w:hAnsi="宋体" w:cs="宋体"/>
          <w:b/>
          <w:color w:val="auto"/>
          <w:sz w:val="24"/>
          <w:szCs w:val="24"/>
          <w:highlight w:val="none"/>
          <w:lang w:eastAsia="zh-CN"/>
        </w:rPr>
        <w:t>如供应商为自然人的，提供身份证复印件；</w:t>
      </w:r>
      <w:r>
        <w:rPr>
          <w:rFonts w:hint="eastAsia" w:hAnsi="宋体" w:cs="宋体"/>
          <w:b/>
          <w:color w:val="auto"/>
          <w:sz w:val="24"/>
          <w:szCs w:val="24"/>
          <w:highlight w:val="none"/>
        </w:rPr>
        <w:t>（必须提供，须清晰反映证件有效期，同时要加盖单位公章</w:t>
      </w:r>
      <w:r>
        <w:rPr>
          <w:rFonts w:hint="eastAsia" w:hAnsi="宋体" w:cs="宋体"/>
          <w:b/>
          <w:color w:val="auto"/>
          <w:sz w:val="24"/>
          <w:szCs w:val="24"/>
          <w:highlight w:val="none"/>
          <w:lang w:val="en-US" w:eastAsia="zh-CN"/>
        </w:rPr>
        <w:t>；如为自然人须签字</w:t>
      </w:r>
      <w:r>
        <w:rPr>
          <w:rFonts w:hint="eastAsia" w:hAnsi="宋体" w:cs="宋体"/>
          <w:b/>
          <w:color w:val="auto"/>
          <w:sz w:val="24"/>
          <w:szCs w:val="24"/>
          <w:highlight w:val="none"/>
        </w:rPr>
        <w:t>）；</w:t>
      </w:r>
    </w:p>
    <w:p w14:paraId="274EBD95">
      <w:pPr>
        <w:pStyle w:val="18"/>
        <w:spacing w:line="440" w:lineRule="atLeast"/>
        <w:rPr>
          <w:rFonts w:hint="eastAsia" w:hAnsi="宋体" w:cs="宋体"/>
          <w:b/>
          <w:color w:val="auto"/>
          <w:sz w:val="24"/>
          <w:szCs w:val="24"/>
          <w:highlight w:val="none"/>
        </w:rPr>
      </w:pPr>
      <w:r>
        <w:rPr>
          <w:rFonts w:hint="eastAsia" w:hAnsi="宋体" w:cs="宋体"/>
          <w:b/>
          <w:color w:val="auto"/>
          <w:sz w:val="24"/>
          <w:szCs w:val="24"/>
          <w:highlight w:val="none"/>
        </w:rPr>
        <w:t>（2）供应商直接控股、管理关系信息表（按谈判采购文件第五章格式要求填写）（必须提供）；</w:t>
      </w:r>
    </w:p>
    <w:p w14:paraId="78314BC4">
      <w:pPr>
        <w:pStyle w:val="18"/>
        <w:spacing w:line="440" w:lineRule="atLeast"/>
        <w:rPr>
          <w:rFonts w:hint="eastAsia" w:hAnsi="宋体" w:cs="宋体"/>
          <w:b/>
          <w:color w:val="auto"/>
          <w:sz w:val="24"/>
          <w:szCs w:val="24"/>
          <w:highlight w:val="none"/>
        </w:rPr>
      </w:pPr>
      <w:r>
        <w:rPr>
          <w:rFonts w:hint="eastAsia" w:hAnsi="宋体" w:cs="宋体"/>
          <w:b/>
          <w:color w:val="auto"/>
          <w:sz w:val="24"/>
          <w:szCs w:val="24"/>
          <w:highlight w:val="none"/>
        </w:rPr>
        <w:t>（3）《中华人民共和国政府采购法》第二十二条的规定要求提供的证明，包括：</w:t>
      </w:r>
    </w:p>
    <w:p w14:paraId="601F27D1">
      <w:pPr>
        <w:pStyle w:val="18"/>
        <w:spacing w:line="440" w:lineRule="atLeas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①、谈判供应商（谈判截止时间前半年内任意</w:t>
      </w:r>
      <w:r>
        <w:rPr>
          <w:rFonts w:hint="eastAsia" w:hAnsi="宋体" w:cs="宋体"/>
          <w:b/>
          <w:color w:val="auto"/>
          <w:sz w:val="24"/>
          <w:szCs w:val="24"/>
          <w:highlight w:val="none"/>
          <w:lang w:val="en-US" w:eastAsia="zh-CN"/>
        </w:rPr>
        <w:t>1</w:t>
      </w:r>
      <w:r>
        <w:rPr>
          <w:rFonts w:hint="eastAsia" w:hAnsi="宋体" w:cs="宋体"/>
          <w:b/>
          <w:color w:val="auto"/>
          <w:sz w:val="24"/>
          <w:szCs w:val="24"/>
          <w:highlight w:val="none"/>
        </w:rPr>
        <w:t xml:space="preserve">个月）的依法缴纳社会保险凭证复印件，（必须提供，新成立不足三个月的供应商按实际提供如社保主管部门开具的证明、收款收据等，如为非社保主管部门开具的凭证或回单的，应清晰反映：缴款单位名称、社保单位名称、保险名称等内容）。无缴费记录的，应提供供应商所在地社保主管部门出具的《依法缴纳或依法免缴社保费证明(若为新成立的公司请供应商位出具相关证明文件）（格式自拟）； </w:t>
      </w:r>
    </w:p>
    <w:p w14:paraId="7AB2AA30">
      <w:pPr>
        <w:pStyle w:val="18"/>
        <w:spacing w:line="440" w:lineRule="atLeas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②、谈判供应商依法纳税或报税证明文件复印件（谈判截止时间前半年内任意</w:t>
      </w:r>
      <w:r>
        <w:rPr>
          <w:rFonts w:hint="eastAsia" w:hAnsi="宋体" w:cs="宋体"/>
          <w:b/>
          <w:color w:val="auto"/>
          <w:sz w:val="24"/>
          <w:szCs w:val="24"/>
          <w:highlight w:val="none"/>
          <w:lang w:val="en-US" w:eastAsia="zh-CN"/>
        </w:rPr>
        <w:t>1</w:t>
      </w:r>
      <w:r>
        <w:rPr>
          <w:rFonts w:hint="eastAsia" w:hAnsi="宋体" w:cs="宋体"/>
          <w:b/>
          <w:color w:val="auto"/>
          <w:sz w:val="24"/>
          <w:szCs w:val="24"/>
          <w:highlight w:val="none"/>
        </w:rPr>
        <w:t xml:space="preserve">个月），若为新成立的公司请供应商单位出具相关证明文件（必须提供）新成立不足三个月的供应商按实际提供； </w:t>
      </w:r>
    </w:p>
    <w:p w14:paraId="5636E7C8">
      <w:pPr>
        <w:pStyle w:val="18"/>
        <w:spacing w:line="440" w:lineRule="atLeas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③、供应商财务状况报告[</w:t>
      </w:r>
      <w:r>
        <w:rPr>
          <w:rFonts w:hint="eastAsia" w:hAnsi="宋体" w:cs="宋体"/>
          <w:b/>
          <w:color w:val="auto"/>
          <w:sz w:val="24"/>
          <w:szCs w:val="24"/>
          <w:highlight w:val="none"/>
          <w:lang w:eastAsia="zh-CN"/>
        </w:rPr>
        <w:t>2024年度财务状况报告复印件</w:t>
      </w:r>
      <w:r>
        <w:rPr>
          <w:rFonts w:hint="eastAsia" w:hAnsi="宋体" w:cs="宋体"/>
          <w:b/>
          <w:color w:val="auto"/>
          <w:sz w:val="24"/>
          <w:szCs w:val="24"/>
          <w:highlight w:val="none"/>
        </w:rPr>
        <w:t>，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必须提供，否则响应文件按无效响应处理)（必须提供）；</w:t>
      </w:r>
    </w:p>
    <w:p w14:paraId="25C003F1">
      <w:pPr>
        <w:pStyle w:val="18"/>
        <w:spacing w:line="440" w:lineRule="atLeast"/>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④、参加政府采购活动前3年内在经营活动中没有重大违法记录的书面声明原件（必须提供）。</w:t>
      </w:r>
    </w:p>
    <w:p w14:paraId="07CE8BAC">
      <w:pPr>
        <w:pStyle w:val="18"/>
        <w:spacing w:line="440" w:lineRule="atLeast"/>
        <w:rPr>
          <w:rFonts w:hint="eastAsia" w:hAnsi="宋体" w:cs="宋体"/>
          <w:b/>
          <w:color w:val="auto"/>
          <w:sz w:val="24"/>
          <w:szCs w:val="24"/>
          <w:highlight w:val="none"/>
        </w:rPr>
      </w:pPr>
      <w:r>
        <w:rPr>
          <w:rFonts w:hint="eastAsia" w:hAnsi="宋体" w:cs="宋体"/>
          <w:b/>
          <w:color w:val="auto"/>
          <w:sz w:val="24"/>
          <w:szCs w:val="24"/>
          <w:highlight w:val="none"/>
        </w:rPr>
        <w:t>（4）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如为一类医疗器械，竞标供应商为生产厂商时须提供备案证明，若供应商为代理商，无需提供备案证明；如为二类医疗器械，供应商必须提供有效的医疗器械生产许可证（供应商为制造厂商时）或第二类医疗器械经营备案凭证复印件，无须提供医疗器械经营许可证复印件（供应商为代理商时）；如为三类医疗器械，供应商必须提供有效的医疗器械生产许可证复印件（供应商为制造厂商时）或医疗器械经营许可证复印件（供应商为代理商时），必须提供；</w:t>
      </w:r>
    </w:p>
    <w:p w14:paraId="4ADA680B">
      <w:pPr>
        <w:pStyle w:val="18"/>
        <w:spacing w:line="440" w:lineRule="atLeast"/>
        <w:rPr>
          <w:rFonts w:hint="default" w:hAnsi="宋体" w:cs="宋体"/>
          <w:b/>
          <w:color w:val="auto"/>
          <w:sz w:val="24"/>
          <w:szCs w:val="24"/>
          <w:highlight w:val="none"/>
        </w:rPr>
      </w:pPr>
      <w:r>
        <w:rPr>
          <w:rFonts w:hAnsi="宋体" w:cs="宋体"/>
          <w:b/>
          <w:color w:val="auto"/>
          <w:sz w:val="24"/>
          <w:szCs w:val="24"/>
          <w:highlight w:val="none"/>
        </w:rPr>
        <w:t>11.竞争性谈判响应文件格式</w:t>
      </w:r>
    </w:p>
    <w:p w14:paraId="0957B963">
      <w:pPr>
        <w:pStyle w:val="18"/>
        <w:spacing w:line="440" w:lineRule="atLeast"/>
        <w:ind w:left="514" w:hanging="616" w:hangingChars="257"/>
        <w:rPr>
          <w:rFonts w:hint="default" w:hAnsi="宋体" w:cs="宋体"/>
          <w:color w:val="auto"/>
          <w:sz w:val="24"/>
          <w:szCs w:val="24"/>
          <w:highlight w:val="none"/>
        </w:rPr>
      </w:pPr>
      <w:r>
        <w:rPr>
          <w:rFonts w:hAnsi="宋体" w:cs="宋体"/>
          <w:color w:val="auto"/>
          <w:sz w:val="24"/>
          <w:szCs w:val="24"/>
          <w:highlight w:val="none"/>
        </w:rPr>
        <w:t>11.1谈判供应商应按谈判响应文件所附谈判报价说明完整地填写谈判采购文件中的谈判书和谈判报价表，标明所提供的产品名称、规格型号、产地、数量及技术参数等内容。</w:t>
      </w:r>
    </w:p>
    <w:p w14:paraId="76C78376">
      <w:pPr>
        <w:spacing w:line="440" w:lineRule="atLeast"/>
        <w:rPr>
          <w:rFonts w:ascii="宋体" w:hAnsi="宋体" w:cs="宋体"/>
          <w:b/>
          <w:color w:val="auto"/>
          <w:sz w:val="24"/>
          <w:szCs w:val="24"/>
          <w:highlight w:val="none"/>
        </w:rPr>
      </w:pPr>
      <w:r>
        <w:rPr>
          <w:rFonts w:hint="eastAsia" w:ascii="宋体" w:hAnsi="宋体" w:cs="宋体"/>
          <w:b/>
          <w:color w:val="auto"/>
          <w:sz w:val="24"/>
          <w:szCs w:val="24"/>
          <w:highlight w:val="none"/>
        </w:rPr>
        <w:t>12．谈判报价</w:t>
      </w:r>
    </w:p>
    <w:p w14:paraId="02ABB97B">
      <w:pPr>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rPr>
        <w:t>12.1竞标报价方式：谈判供应商必须就项目需求的内容作完整的唯一报价。</w:t>
      </w:r>
    </w:p>
    <w:p w14:paraId="692AC864">
      <w:pPr>
        <w:pStyle w:val="18"/>
        <w:spacing w:line="440" w:lineRule="atLeast"/>
        <w:ind w:left="514" w:hanging="616" w:hangingChars="257"/>
        <w:rPr>
          <w:rFonts w:hint="default" w:hAnsi="宋体" w:cs="宋体"/>
          <w:color w:val="auto"/>
          <w:sz w:val="24"/>
          <w:szCs w:val="24"/>
          <w:highlight w:val="none"/>
        </w:rPr>
      </w:pPr>
      <w:r>
        <w:rPr>
          <w:rFonts w:hAnsi="宋体" w:cs="宋体"/>
          <w:color w:val="auto"/>
          <w:sz w:val="24"/>
          <w:szCs w:val="24"/>
          <w:highlight w:val="none"/>
        </w:rPr>
        <w:t>12.2谈判供应商应在谈判报价表上标明单价和总价。如单价和总价不符，以单价累计为准，小写与大写不符的，以大写为准。</w:t>
      </w:r>
    </w:p>
    <w:p w14:paraId="2A43F0E6">
      <w:pPr>
        <w:pStyle w:val="18"/>
        <w:spacing w:line="440" w:lineRule="atLeast"/>
        <w:ind w:left="514" w:hanging="616" w:hangingChars="257"/>
        <w:rPr>
          <w:rFonts w:hint="default" w:hAnsi="宋体" w:cs="宋体"/>
          <w:color w:val="auto"/>
          <w:sz w:val="24"/>
          <w:szCs w:val="24"/>
          <w:highlight w:val="none"/>
        </w:rPr>
      </w:pPr>
      <w:r>
        <w:rPr>
          <w:rFonts w:hAnsi="宋体" w:cs="宋体"/>
          <w:color w:val="auto"/>
          <w:sz w:val="24"/>
          <w:szCs w:val="24"/>
          <w:highlight w:val="none"/>
        </w:rPr>
        <w:t>12.3谈判报价包含货物、装卸费、运费、安装调试、售后服务、人员培训、第三方检测验收费用（如有）、税金及其它完成本项目的所有费用。对于采购文件中未列明，而供应商认为必需的费用也需列入总报价。在合同实施时，采购人将不予支付成交供应商没有列入的项目费用，并认为此项目的费用已包括在总报价中</w:t>
      </w:r>
      <w:r>
        <w:rPr>
          <w:rFonts w:hAnsi="宋体" w:cs="宋体"/>
          <w:bCs/>
          <w:color w:val="auto"/>
          <w:sz w:val="24"/>
          <w:szCs w:val="24"/>
          <w:highlight w:val="none"/>
        </w:rPr>
        <w:t>。</w:t>
      </w:r>
    </w:p>
    <w:p w14:paraId="689B9C84">
      <w:pPr>
        <w:spacing w:line="440" w:lineRule="atLeast"/>
        <w:rPr>
          <w:rFonts w:ascii="宋体" w:hAnsi="宋体" w:cs="宋体"/>
          <w:b/>
          <w:color w:val="auto"/>
          <w:sz w:val="24"/>
          <w:szCs w:val="24"/>
          <w:highlight w:val="none"/>
        </w:rPr>
      </w:pPr>
      <w:r>
        <w:rPr>
          <w:rFonts w:hint="eastAsia" w:ascii="宋体" w:hAnsi="宋体" w:cs="宋体"/>
          <w:b/>
          <w:color w:val="auto"/>
          <w:sz w:val="24"/>
          <w:szCs w:val="24"/>
          <w:highlight w:val="none"/>
        </w:rPr>
        <w:t>13．谈判货币</w:t>
      </w:r>
    </w:p>
    <w:p w14:paraId="139ABD19">
      <w:pPr>
        <w:pStyle w:val="18"/>
        <w:spacing w:line="440" w:lineRule="atLeast"/>
        <w:ind w:firstLine="420"/>
        <w:rPr>
          <w:rFonts w:hint="default" w:hAnsi="宋体" w:cs="宋体"/>
          <w:color w:val="auto"/>
          <w:sz w:val="24"/>
          <w:szCs w:val="24"/>
          <w:highlight w:val="none"/>
        </w:rPr>
      </w:pPr>
      <w:r>
        <w:rPr>
          <w:rFonts w:hAnsi="宋体" w:cs="宋体"/>
          <w:color w:val="auto"/>
          <w:sz w:val="24"/>
          <w:szCs w:val="24"/>
          <w:highlight w:val="none"/>
        </w:rPr>
        <w:t>谈判应以人民币报价。</w:t>
      </w:r>
    </w:p>
    <w:p w14:paraId="069A271F">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14．竞标有效期；</w:t>
      </w:r>
    </w:p>
    <w:p w14:paraId="75145BB3">
      <w:pPr>
        <w:pStyle w:val="18"/>
        <w:spacing w:line="440" w:lineRule="atLeast"/>
        <w:rPr>
          <w:rFonts w:hint="default" w:hAnsi="宋体" w:cs="宋体"/>
          <w:color w:val="auto"/>
          <w:sz w:val="24"/>
          <w:szCs w:val="24"/>
          <w:highlight w:val="none"/>
        </w:rPr>
      </w:pPr>
      <w:r>
        <w:rPr>
          <w:rFonts w:hAnsi="宋体" w:cs="宋体"/>
          <w:color w:val="auto"/>
          <w:sz w:val="24"/>
          <w:szCs w:val="24"/>
          <w:highlight w:val="none"/>
        </w:rPr>
        <w:t>14.1竞争性谈判响应文件从竞标截止期结束后60天内有效。</w:t>
      </w:r>
    </w:p>
    <w:p w14:paraId="741A045E">
      <w:pPr>
        <w:pStyle w:val="18"/>
        <w:spacing w:line="440" w:lineRule="atLeast"/>
        <w:ind w:left="400" w:hanging="480" w:hangingChars="200"/>
        <w:rPr>
          <w:rFonts w:hint="default" w:hAnsi="宋体" w:cs="宋体"/>
          <w:color w:val="auto"/>
          <w:sz w:val="24"/>
          <w:szCs w:val="24"/>
          <w:highlight w:val="none"/>
        </w:rPr>
      </w:pPr>
      <w:r>
        <w:rPr>
          <w:rFonts w:hAnsi="宋体" w:cs="宋体"/>
          <w:color w:val="auto"/>
          <w:sz w:val="24"/>
          <w:szCs w:val="24"/>
          <w:highlight w:val="none"/>
        </w:rPr>
        <w:t>14.2在特殊情况下，采购代理机构可酌情延长竞标有效期。谈判供应商可同意或不同意延长竞标有效期，不同意延长竞标有效期的谈判供应商，其竞标保证金（如有）将在原竞标有效期满后</w:t>
      </w:r>
      <w:r>
        <w:rPr>
          <w:rFonts w:hint="eastAsia" w:hAnsi="宋体" w:cs="宋体"/>
          <w:color w:val="auto"/>
          <w:sz w:val="24"/>
          <w:szCs w:val="24"/>
          <w:highlight w:val="none"/>
          <w:lang w:val="en-US" w:eastAsia="zh-CN"/>
        </w:rPr>
        <w:t>5</w:t>
      </w:r>
      <w:r>
        <w:rPr>
          <w:rFonts w:hAnsi="宋体" w:cs="宋体"/>
          <w:color w:val="auto"/>
          <w:sz w:val="24"/>
          <w:szCs w:val="24"/>
          <w:highlight w:val="none"/>
        </w:rPr>
        <w:t>个工作日内予以退还，不计利息；同意延长竞标有效期的谈判供应商不能要求对原竞争性谈判响应文件（经谈判小组确认有效，且没有超出竞争性谈判响应文件的范围或改变谈判的实质内容的澄清或说明，均作为竞争性谈判响应文件的组成部分）作任何改变，并同意在延长的竞标有效期内遵循本竞争性谈判响应文件，在延长的竞标有效期满之前继续具有约束力。</w:t>
      </w:r>
    </w:p>
    <w:p w14:paraId="583DB50C">
      <w:pPr>
        <w:spacing w:line="440" w:lineRule="atLeast"/>
        <w:rPr>
          <w:rFonts w:ascii="宋体" w:hAnsi="宋体"/>
          <w:b/>
          <w:color w:val="auto"/>
          <w:sz w:val="24"/>
          <w:szCs w:val="24"/>
          <w:highlight w:val="none"/>
        </w:rPr>
      </w:pPr>
      <w:r>
        <w:rPr>
          <w:rFonts w:hint="eastAsia" w:ascii="宋体" w:hAnsi="宋体"/>
          <w:b/>
          <w:color w:val="auto"/>
          <w:sz w:val="24"/>
          <w:szCs w:val="24"/>
          <w:highlight w:val="none"/>
        </w:rPr>
        <w:t>15．竞争性谈判响应文件的份数、上传、提交、修改、撤回、解密</w:t>
      </w:r>
    </w:p>
    <w:p w14:paraId="39946429">
      <w:pPr>
        <w:spacing w:line="400" w:lineRule="exact"/>
        <w:ind w:firstLine="420"/>
        <w:rPr>
          <w:rFonts w:ascii="宋体" w:hAnsi="宋体"/>
          <w:color w:val="auto"/>
          <w:sz w:val="24"/>
          <w:szCs w:val="24"/>
          <w:highlight w:val="none"/>
        </w:rPr>
      </w:pPr>
      <w:r>
        <w:rPr>
          <w:rFonts w:hint="eastAsia" w:ascii="宋体" w:hAnsi="宋体"/>
          <w:color w:val="auto"/>
          <w:sz w:val="24"/>
          <w:szCs w:val="24"/>
          <w:highlight w:val="none"/>
        </w:rPr>
        <w:t>15.1. 竞争性谈判响应文件的份数、上传、提交、解密</w:t>
      </w:r>
    </w:p>
    <w:p w14:paraId="06010EE4">
      <w:pPr>
        <w:pStyle w:val="18"/>
        <w:spacing w:line="440" w:lineRule="exact"/>
        <w:ind w:firstLine="420"/>
        <w:rPr>
          <w:color w:val="auto"/>
          <w:sz w:val="24"/>
          <w:szCs w:val="24"/>
          <w:highlight w:val="none"/>
        </w:rPr>
      </w:pPr>
      <w:r>
        <w:rPr>
          <w:rFonts w:hint="eastAsia"/>
          <w:color w:val="auto"/>
          <w:sz w:val="24"/>
          <w:szCs w:val="24"/>
          <w:highlight w:val="none"/>
        </w:rPr>
        <w:t>见须知前附表</w:t>
      </w:r>
    </w:p>
    <w:p w14:paraId="112FB285">
      <w:pPr>
        <w:spacing w:line="440" w:lineRule="exact"/>
        <w:ind w:firstLine="480" w:firstLineChars="200"/>
        <w:rPr>
          <w:rFonts w:hint="default" w:hAnsi="宋体" w:cs="宋体"/>
          <w:color w:val="auto"/>
          <w:sz w:val="24"/>
          <w:szCs w:val="24"/>
          <w:highlight w:val="none"/>
        </w:rPr>
      </w:pPr>
      <w:r>
        <w:rPr>
          <w:rFonts w:hint="eastAsia" w:ascii="宋体" w:hAnsi="宋体"/>
          <w:color w:val="auto"/>
          <w:sz w:val="24"/>
          <w:szCs w:val="24"/>
          <w:highlight w:val="none"/>
        </w:rPr>
        <w:t>15.2. 竞争性谈判响应文件的修改和撤回：</w:t>
      </w:r>
      <w:r>
        <w:rPr>
          <w:rFonts w:hint="eastAsia" w:ascii="宋体" w:hAnsi="宋体"/>
          <w:color w:val="auto"/>
          <w:sz w:val="24"/>
          <w:szCs w:val="24"/>
          <w:highlight w:val="none"/>
          <w:lang w:val="zh-CN"/>
        </w:rPr>
        <w:t>供应商应当在截止时间前完成响应文件的上传、提交，并可以补充、修改或者撤回响应文件。补充或者修改响应文件的，应当先行撤回原文件，补充、修改后重新上传、提交。截止时间前未完成上传、提交的，视为撤回响应文件。截止时间后提交的响应文件，“广西政府采购云平台”将予以拒收。截止时间后，供应商不得撤回、修改响应文件。</w:t>
      </w:r>
    </w:p>
    <w:p w14:paraId="15B911CD">
      <w:pPr>
        <w:spacing w:line="440" w:lineRule="atLeast"/>
        <w:rPr>
          <w:rFonts w:ascii="宋体" w:hAnsi="宋体"/>
          <w:b/>
          <w:color w:val="auto"/>
          <w:sz w:val="24"/>
          <w:szCs w:val="24"/>
          <w:highlight w:val="none"/>
        </w:rPr>
      </w:pPr>
      <w:r>
        <w:rPr>
          <w:rFonts w:hint="eastAsia" w:ascii="宋体" w:hAnsi="宋体"/>
          <w:b/>
          <w:color w:val="auto"/>
          <w:sz w:val="24"/>
          <w:szCs w:val="24"/>
          <w:highlight w:val="none"/>
        </w:rPr>
        <w:t>16．谈判保证金（如有）</w:t>
      </w:r>
    </w:p>
    <w:p w14:paraId="2AB2DCCC">
      <w:pPr>
        <w:pStyle w:val="18"/>
        <w:spacing w:line="440" w:lineRule="atLeast"/>
        <w:rPr>
          <w:rFonts w:hAnsi="宋体"/>
          <w:color w:val="auto"/>
          <w:sz w:val="24"/>
          <w:szCs w:val="24"/>
          <w:highlight w:val="none"/>
        </w:rPr>
      </w:pPr>
      <w:r>
        <w:rPr>
          <w:rFonts w:hint="eastAsia" w:hAnsi="宋体"/>
          <w:color w:val="auto"/>
          <w:sz w:val="24"/>
          <w:szCs w:val="24"/>
          <w:highlight w:val="none"/>
        </w:rPr>
        <w:t>16.1谈判保证金金额：见谈判须知前附表。</w:t>
      </w:r>
    </w:p>
    <w:p w14:paraId="539774EE">
      <w:pPr>
        <w:pStyle w:val="18"/>
        <w:spacing w:line="440" w:lineRule="atLeast"/>
        <w:ind w:left="420" w:hanging="480" w:hangingChars="200"/>
        <w:rPr>
          <w:rFonts w:hAnsi="宋体"/>
          <w:color w:val="auto"/>
          <w:sz w:val="24"/>
          <w:szCs w:val="24"/>
          <w:highlight w:val="none"/>
        </w:rPr>
      </w:pPr>
      <w:r>
        <w:rPr>
          <w:rFonts w:hint="eastAsia" w:hAnsi="宋体"/>
          <w:color w:val="auto"/>
          <w:sz w:val="24"/>
          <w:szCs w:val="24"/>
          <w:highlight w:val="none"/>
        </w:rPr>
        <w:t>16.2交款方式：见谈判须知前附表。</w:t>
      </w:r>
    </w:p>
    <w:p w14:paraId="70B8617D">
      <w:pPr>
        <w:pStyle w:val="18"/>
        <w:spacing w:line="420" w:lineRule="atLeast"/>
        <w:rPr>
          <w:rFonts w:hAnsi="宋体"/>
          <w:color w:val="auto"/>
          <w:sz w:val="24"/>
          <w:szCs w:val="24"/>
          <w:highlight w:val="none"/>
        </w:rPr>
      </w:pPr>
      <w:r>
        <w:rPr>
          <w:rFonts w:hint="eastAsia" w:hAnsi="宋体"/>
          <w:color w:val="auto"/>
          <w:sz w:val="24"/>
          <w:szCs w:val="24"/>
          <w:highlight w:val="none"/>
        </w:rPr>
        <w:t>16.3对未按规定提交竞标保证金的竞争性谈判响应文件，采购代理机构将视其为不响应谈判条件而予以拒绝。</w:t>
      </w:r>
    </w:p>
    <w:p w14:paraId="1199E9BB">
      <w:pPr>
        <w:pStyle w:val="18"/>
        <w:spacing w:line="420" w:lineRule="atLeast"/>
        <w:ind w:left="540" w:hanging="616" w:hangingChars="257"/>
        <w:rPr>
          <w:color w:val="auto"/>
          <w:sz w:val="24"/>
          <w:szCs w:val="24"/>
          <w:highlight w:val="none"/>
        </w:rPr>
      </w:pPr>
      <w:r>
        <w:rPr>
          <w:rFonts w:hint="eastAsia"/>
          <w:color w:val="auto"/>
          <w:sz w:val="24"/>
          <w:szCs w:val="24"/>
          <w:highlight w:val="none"/>
        </w:rPr>
        <w:t>16.4成交供应商的保证金，除本章第16.6项规定的不予退还的情形外，由采购代理机构在成交通知书发出后</w:t>
      </w:r>
      <w:r>
        <w:rPr>
          <w:rFonts w:hint="eastAsia"/>
          <w:color w:val="auto"/>
          <w:sz w:val="24"/>
          <w:szCs w:val="24"/>
          <w:highlight w:val="none"/>
          <w:lang w:eastAsia="zh-CN"/>
        </w:rPr>
        <w:t>五</w:t>
      </w:r>
      <w:r>
        <w:rPr>
          <w:rFonts w:hint="eastAsia"/>
          <w:color w:val="auto"/>
          <w:sz w:val="24"/>
          <w:szCs w:val="24"/>
          <w:highlight w:val="none"/>
        </w:rPr>
        <w:t>个工作日内以转账或电汇方式无息退还（注：办理退付保证金时只退回到供应商的对公账户，代理机构将根据谈判保证金声明中提供的账户信息退回，请供应商提供正确的账户信息）。采用支票/汇票/本票/保函方式缴纳谈判保证金的，采购代理机构将通知供应商代表领回票据原件。</w:t>
      </w:r>
    </w:p>
    <w:p w14:paraId="3DAF8720">
      <w:pPr>
        <w:pStyle w:val="18"/>
        <w:spacing w:line="420" w:lineRule="atLeast"/>
        <w:ind w:left="540" w:hanging="616" w:hangingChars="257"/>
        <w:rPr>
          <w:color w:val="auto"/>
          <w:sz w:val="24"/>
          <w:szCs w:val="24"/>
          <w:highlight w:val="none"/>
        </w:rPr>
      </w:pPr>
      <w:r>
        <w:rPr>
          <w:rFonts w:hint="eastAsia"/>
          <w:color w:val="auto"/>
          <w:sz w:val="24"/>
          <w:szCs w:val="24"/>
          <w:highlight w:val="none"/>
        </w:rPr>
        <w:t>16.5涉及质疑和投诉的供应商，在质疑和投诉调查处理结束前其保证金暂不退还。</w:t>
      </w:r>
    </w:p>
    <w:p w14:paraId="312A5604">
      <w:pPr>
        <w:pStyle w:val="18"/>
        <w:spacing w:line="420" w:lineRule="atLeast"/>
        <w:ind w:left="540" w:hanging="616" w:hangingChars="257"/>
        <w:rPr>
          <w:color w:val="auto"/>
          <w:sz w:val="24"/>
          <w:szCs w:val="24"/>
          <w:highlight w:val="none"/>
        </w:rPr>
      </w:pPr>
      <w:r>
        <w:rPr>
          <w:rFonts w:hint="eastAsia"/>
          <w:color w:val="auto"/>
          <w:sz w:val="24"/>
          <w:szCs w:val="24"/>
          <w:highlight w:val="none"/>
        </w:rPr>
        <w:t>16.6供应商有下列情形之一的，采购代理机构不予退还其交纳的保证金：</w:t>
      </w:r>
    </w:p>
    <w:p w14:paraId="471142C6">
      <w:pPr>
        <w:pStyle w:val="18"/>
        <w:spacing w:line="420" w:lineRule="atLeast"/>
        <w:ind w:left="540" w:hanging="616" w:hangingChars="257"/>
        <w:rPr>
          <w:color w:val="auto"/>
          <w:sz w:val="24"/>
          <w:szCs w:val="24"/>
          <w:highlight w:val="none"/>
        </w:rPr>
      </w:pPr>
      <w:r>
        <w:rPr>
          <w:rFonts w:hint="eastAsia"/>
          <w:color w:val="auto"/>
          <w:sz w:val="24"/>
          <w:szCs w:val="24"/>
          <w:highlight w:val="none"/>
        </w:rPr>
        <w:t>（1）供应商在谈判有效期内撤回响应文件的；</w:t>
      </w:r>
    </w:p>
    <w:p w14:paraId="39420E82">
      <w:pPr>
        <w:pStyle w:val="18"/>
        <w:spacing w:line="420" w:lineRule="atLeast"/>
        <w:ind w:left="540" w:hanging="616" w:hangingChars="257"/>
        <w:rPr>
          <w:color w:val="auto"/>
          <w:sz w:val="24"/>
          <w:szCs w:val="24"/>
          <w:highlight w:val="none"/>
        </w:rPr>
      </w:pPr>
      <w:r>
        <w:rPr>
          <w:rFonts w:hint="eastAsia"/>
          <w:color w:val="auto"/>
          <w:sz w:val="24"/>
          <w:szCs w:val="24"/>
          <w:highlight w:val="none"/>
        </w:rPr>
        <w:t>（2）未按规定提交履约保证金的；</w:t>
      </w:r>
    </w:p>
    <w:p w14:paraId="0E97BA91">
      <w:pPr>
        <w:pStyle w:val="18"/>
        <w:spacing w:line="420" w:lineRule="atLeast"/>
        <w:ind w:left="540" w:hanging="616" w:hangingChars="257"/>
        <w:rPr>
          <w:color w:val="auto"/>
          <w:sz w:val="24"/>
          <w:szCs w:val="24"/>
          <w:highlight w:val="none"/>
        </w:rPr>
      </w:pPr>
      <w:r>
        <w:rPr>
          <w:rFonts w:hint="eastAsia"/>
          <w:color w:val="auto"/>
          <w:sz w:val="24"/>
          <w:szCs w:val="24"/>
          <w:highlight w:val="none"/>
        </w:rPr>
        <w:t>（3）供应商在谈判过程中弄虚作假，提供虚假材料的；</w:t>
      </w:r>
    </w:p>
    <w:p w14:paraId="2319B2D9">
      <w:pPr>
        <w:pStyle w:val="18"/>
        <w:spacing w:line="420" w:lineRule="atLeast"/>
        <w:ind w:left="540" w:hanging="616" w:hangingChars="257"/>
        <w:rPr>
          <w:color w:val="auto"/>
          <w:sz w:val="24"/>
          <w:szCs w:val="24"/>
          <w:highlight w:val="none"/>
        </w:rPr>
      </w:pPr>
      <w:r>
        <w:rPr>
          <w:rFonts w:hint="eastAsia"/>
          <w:color w:val="auto"/>
          <w:sz w:val="24"/>
          <w:szCs w:val="24"/>
          <w:highlight w:val="none"/>
        </w:rPr>
        <w:t>（4）供应商无正当理由不与采购人签订合同的；</w:t>
      </w:r>
    </w:p>
    <w:p w14:paraId="19DBFF9A">
      <w:pPr>
        <w:pStyle w:val="18"/>
        <w:spacing w:line="420" w:lineRule="atLeast"/>
        <w:ind w:left="540" w:hanging="616" w:hangingChars="257"/>
        <w:rPr>
          <w:color w:val="auto"/>
          <w:sz w:val="24"/>
          <w:szCs w:val="24"/>
          <w:highlight w:val="none"/>
        </w:rPr>
      </w:pPr>
      <w:r>
        <w:rPr>
          <w:rFonts w:hint="eastAsia"/>
          <w:color w:val="auto"/>
          <w:sz w:val="24"/>
          <w:szCs w:val="24"/>
          <w:highlight w:val="none"/>
        </w:rPr>
        <w:t>（5）将成交项目转让给他人或者在响应文件中未说明且未经采购人同意，将成交项目分包给他人的；</w:t>
      </w:r>
    </w:p>
    <w:p w14:paraId="651D09E5">
      <w:pPr>
        <w:pStyle w:val="18"/>
        <w:spacing w:line="420" w:lineRule="atLeast"/>
        <w:ind w:left="540" w:hanging="616" w:hangingChars="257"/>
        <w:rPr>
          <w:color w:val="auto"/>
          <w:sz w:val="24"/>
          <w:szCs w:val="24"/>
          <w:highlight w:val="none"/>
        </w:rPr>
      </w:pPr>
      <w:r>
        <w:rPr>
          <w:rFonts w:hint="eastAsia"/>
          <w:color w:val="auto"/>
          <w:sz w:val="24"/>
          <w:szCs w:val="24"/>
          <w:highlight w:val="none"/>
        </w:rPr>
        <w:t>（6）拒绝履行合同义务的；</w:t>
      </w:r>
    </w:p>
    <w:p w14:paraId="5ACBC547">
      <w:pPr>
        <w:pStyle w:val="18"/>
        <w:spacing w:line="420" w:lineRule="atLeast"/>
        <w:ind w:left="540" w:hanging="616" w:hangingChars="257"/>
        <w:rPr>
          <w:color w:val="auto"/>
          <w:sz w:val="24"/>
          <w:szCs w:val="24"/>
          <w:highlight w:val="none"/>
        </w:rPr>
      </w:pPr>
      <w:r>
        <w:rPr>
          <w:rFonts w:hint="eastAsia"/>
          <w:color w:val="auto"/>
          <w:sz w:val="24"/>
          <w:szCs w:val="24"/>
          <w:highlight w:val="none"/>
        </w:rPr>
        <w:t>（7）其他严重扰乱招</w:t>
      </w:r>
      <w:r>
        <w:rPr>
          <w:rFonts w:hint="eastAsia"/>
          <w:color w:val="auto"/>
          <w:sz w:val="24"/>
          <w:szCs w:val="24"/>
          <w:highlight w:val="none"/>
          <w:lang w:eastAsia="zh-CN"/>
        </w:rPr>
        <w:t>谈判</w:t>
      </w:r>
      <w:r>
        <w:rPr>
          <w:rFonts w:hint="eastAsia"/>
          <w:color w:val="auto"/>
          <w:sz w:val="24"/>
          <w:szCs w:val="24"/>
          <w:highlight w:val="none"/>
        </w:rPr>
        <w:t>程序的；</w:t>
      </w:r>
    </w:p>
    <w:p w14:paraId="6E1516F0">
      <w:pPr>
        <w:pStyle w:val="18"/>
        <w:spacing w:line="420" w:lineRule="atLeast"/>
        <w:ind w:left="514" w:hanging="616" w:hangingChars="257"/>
        <w:rPr>
          <w:rFonts w:hint="default" w:hAnsi="宋体" w:cs="宋体"/>
          <w:color w:val="auto"/>
          <w:sz w:val="24"/>
          <w:szCs w:val="24"/>
          <w:highlight w:val="none"/>
        </w:rPr>
      </w:pPr>
    </w:p>
    <w:p w14:paraId="40331B36">
      <w:pPr>
        <w:pStyle w:val="18"/>
        <w:spacing w:line="420" w:lineRule="atLeast"/>
        <w:jc w:val="center"/>
        <w:rPr>
          <w:rFonts w:hAnsi="宋体"/>
          <w:b/>
          <w:color w:val="auto"/>
          <w:sz w:val="24"/>
          <w:szCs w:val="24"/>
          <w:highlight w:val="none"/>
        </w:rPr>
      </w:pPr>
      <w:r>
        <w:rPr>
          <w:rFonts w:hint="eastAsia" w:hAnsi="宋体"/>
          <w:b/>
          <w:color w:val="auto"/>
          <w:sz w:val="24"/>
          <w:szCs w:val="24"/>
          <w:highlight w:val="none"/>
        </w:rPr>
        <w:t>四    谈判与评审</w:t>
      </w:r>
    </w:p>
    <w:p w14:paraId="523C5F00">
      <w:pPr>
        <w:spacing w:line="380" w:lineRule="exact"/>
        <w:ind w:firstLine="420"/>
        <w:rPr>
          <w:color w:val="auto"/>
          <w:sz w:val="24"/>
          <w:szCs w:val="24"/>
          <w:highlight w:val="none"/>
        </w:rPr>
      </w:pPr>
      <w:r>
        <w:rPr>
          <w:rFonts w:hint="eastAsia"/>
          <w:color w:val="auto"/>
          <w:sz w:val="24"/>
          <w:szCs w:val="24"/>
          <w:highlight w:val="none"/>
        </w:rPr>
        <w:t>17在谈判正式开始前由谈判小组对竞争性</w:t>
      </w:r>
      <w:r>
        <w:rPr>
          <w:rFonts w:hint="eastAsia"/>
          <w:color w:val="auto"/>
          <w:sz w:val="24"/>
          <w:szCs w:val="24"/>
          <w:highlight w:val="none"/>
          <w:lang w:eastAsia="zh-CN"/>
        </w:rPr>
        <w:t>响应文件</w:t>
      </w:r>
      <w:r>
        <w:rPr>
          <w:rFonts w:hint="eastAsia"/>
          <w:color w:val="auto"/>
          <w:sz w:val="24"/>
          <w:szCs w:val="24"/>
          <w:highlight w:val="none"/>
        </w:rPr>
        <w:t>进行确认，认可竞争性</w:t>
      </w:r>
      <w:r>
        <w:rPr>
          <w:rFonts w:hint="eastAsia"/>
          <w:color w:val="auto"/>
          <w:sz w:val="24"/>
          <w:szCs w:val="24"/>
          <w:highlight w:val="none"/>
          <w:lang w:eastAsia="zh-CN"/>
        </w:rPr>
        <w:t>响应文件</w:t>
      </w:r>
      <w:r>
        <w:rPr>
          <w:rFonts w:hint="eastAsia"/>
          <w:color w:val="auto"/>
          <w:sz w:val="24"/>
          <w:szCs w:val="24"/>
          <w:highlight w:val="none"/>
        </w:rPr>
        <w:t>的内容符合法律法规的规定、不存在歧视性或排他性内容。</w:t>
      </w:r>
    </w:p>
    <w:p w14:paraId="335D23AB">
      <w:pPr>
        <w:spacing w:line="380" w:lineRule="exact"/>
        <w:ind w:firstLine="420"/>
        <w:rPr>
          <w:color w:val="auto"/>
          <w:sz w:val="24"/>
          <w:szCs w:val="24"/>
          <w:highlight w:val="none"/>
        </w:rPr>
      </w:pPr>
      <w:r>
        <w:rPr>
          <w:rFonts w:hint="eastAsia"/>
          <w:color w:val="auto"/>
          <w:sz w:val="24"/>
          <w:szCs w:val="24"/>
          <w:highlight w:val="none"/>
        </w:rPr>
        <w:t>18竞争性谈判响应文件无效的情形：</w:t>
      </w:r>
    </w:p>
    <w:p w14:paraId="0C240442">
      <w:pPr>
        <w:spacing w:line="380" w:lineRule="exact"/>
        <w:ind w:firstLine="420"/>
        <w:rPr>
          <w:color w:val="auto"/>
          <w:sz w:val="24"/>
          <w:szCs w:val="24"/>
          <w:highlight w:val="none"/>
        </w:rPr>
      </w:pPr>
      <w:r>
        <w:rPr>
          <w:rFonts w:hint="eastAsia"/>
          <w:color w:val="auto"/>
          <w:sz w:val="24"/>
          <w:szCs w:val="24"/>
          <w:highlight w:val="none"/>
        </w:rPr>
        <w:t>18.1.未实质性响应竞争性</w:t>
      </w:r>
      <w:r>
        <w:rPr>
          <w:rFonts w:hint="eastAsia"/>
          <w:color w:val="auto"/>
          <w:sz w:val="24"/>
          <w:szCs w:val="24"/>
          <w:highlight w:val="none"/>
          <w:lang w:eastAsia="zh-CN"/>
        </w:rPr>
        <w:t>响应文件</w:t>
      </w:r>
      <w:r>
        <w:rPr>
          <w:rFonts w:hint="eastAsia"/>
          <w:color w:val="auto"/>
          <w:sz w:val="24"/>
          <w:szCs w:val="24"/>
          <w:highlight w:val="none"/>
        </w:rPr>
        <w:t>的竞争性谈判响应文件按无效处理。</w:t>
      </w:r>
    </w:p>
    <w:p w14:paraId="34886EDF">
      <w:pPr>
        <w:spacing w:line="380" w:lineRule="exact"/>
        <w:ind w:firstLine="420"/>
        <w:rPr>
          <w:color w:val="auto"/>
          <w:sz w:val="24"/>
          <w:szCs w:val="24"/>
          <w:highlight w:val="none"/>
        </w:rPr>
      </w:pPr>
      <w:r>
        <w:rPr>
          <w:rFonts w:hint="eastAsia"/>
          <w:color w:val="auto"/>
          <w:sz w:val="24"/>
          <w:szCs w:val="24"/>
          <w:highlight w:val="none"/>
        </w:rPr>
        <w:t>18.2.有下列情形之一的视为供应商相互串通参与谈判活动，竞争性谈判响应文件将被视为无效：</w:t>
      </w:r>
    </w:p>
    <w:p w14:paraId="23C58E15">
      <w:pPr>
        <w:spacing w:line="380" w:lineRule="exact"/>
        <w:ind w:firstLine="420"/>
        <w:rPr>
          <w:color w:val="auto"/>
          <w:sz w:val="24"/>
          <w:szCs w:val="24"/>
          <w:highlight w:val="none"/>
        </w:rPr>
      </w:pPr>
      <w:r>
        <w:rPr>
          <w:rFonts w:hint="eastAsia"/>
          <w:color w:val="auto"/>
          <w:sz w:val="24"/>
          <w:szCs w:val="24"/>
          <w:highlight w:val="none"/>
        </w:rPr>
        <w:t>（1）不同供应商的竞争性谈判响应文件由同一单位或者个人编制；或不同供应商报名的IP地址一致的；</w:t>
      </w:r>
    </w:p>
    <w:p w14:paraId="3ABC5A11">
      <w:pPr>
        <w:spacing w:line="380" w:lineRule="exact"/>
        <w:ind w:firstLine="420"/>
        <w:rPr>
          <w:color w:val="auto"/>
          <w:sz w:val="24"/>
          <w:szCs w:val="24"/>
          <w:highlight w:val="none"/>
        </w:rPr>
      </w:pPr>
      <w:r>
        <w:rPr>
          <w:rFonts w:hint="eastAsia"/>
          <w:color w:val="auto"/>
          <w:sz w:val="24"/>
          <w:szCs w:val="24"/>
          <w:highlight w:val="none"/>
        </w:rPr>
        <w:t>（2）不同供应商委托同一单位或者个人办理谈判活动事宜；</w:t>
      </w:r>
    </w:p>
    <w:p w14:paraId="37A0C7C2">
      <w:pPr>
        <w:spacing w:line="380" w:lineRule="exact"/>
        <w:ind w:firstLine="420"/>
        <w:rPr>
          <w:color w:val="auto"/>
          <w:sz w:val="24"/>
          <w:szCs w:val="24"/>
          <w:highlight w:val="none"/>
        </w:rPr>
      </w:pPr>
      <w:r>
        <w:rPr>
          <w:rFonts w:hint="eastAsia"/>
          <w:color w:val="auto"/>
          <w:sz w:val="24"/>
          <w:szCs w:val="24"/>
          <w:highlight w:val="none"/>
        </w:rPr>
        <w:t>（3）不同的供应商的竞争性谈判响应文件载明的项目管理员为同一个人；</w:t>
      </w:r>
    </w:p>
    <w:p w14:paraId="168F2940">
      <w:pPr>
        <w:spacing w:line="380" w:lineRule="exact"/>
        <w:ind w:firstLine="420"/>
        <w:rPr>
          <w:color w:val="auto"/>
          <w:sz w:val="24"/>
          <w:szCs w:val="24"/>
          <w:highlight w:val="none"/>
        </w:rPr>
      </w:pPr>
      <w:r>
        <w:rPr>
          <w:rFonts w:hint="eastAsia"/>
          <w:color w:val="auto"/>
          <w:sz w:val="24"/>
          <w:szCs w:val="24"/>
          <w:highlight w:val="none"/>
        </w:rPr>
        <w:t>（4）不同供应商的竞争性谈判响应文件异常一致或谈判报价呈规律性差异；</w:t>
      </w:r>
    </w:p>
    <w:p w14:paraId="39B9F6EB">
      <w:pPr>
        <w:spacing w:line="380" w:lineRule="exact"/>
        <w:ind w:firstLine="420"/>
        <w:rPr>
          <w:color w:val="auto"/>
          <w:sz w:val="24"/>
          <w:szCs w:val="24"/>
          <w:highlight w:val="none"/>
        </w:rPr>
      </w:pPr>
      <w:r>
        <w:rPr>
          <w:rFonts w:hint="eastAsia"/>
          <w:color w:val="auto"/>
          <w:sz w:val="24"/>
          <w:szCs w:val="24"/>
          <w:highlight w:val="none"/>
        </w:rPr>
        <w:t>（5）不同供应商的竞争性谈判响应文件相互混装；</w:t>
      </w:r>
    </w:p>
    <w:p w14:paraId="6EED85F8">
      <w:pPr>
        <w:spacing w:line="380" w:lineRule="exact"/>
        <w:ind w:firstLine="420"/>
        <w:rPr>
          <w:color w:val="auto"/>
          <w:sz w:val="24"/>
          <w:szCs w:val="24"/>
          <w:highlight w:val="none"/>
        </w:rPr>
      </w:pPr>
      <w:r>
        <w:rPr>
          <w:rFonts w:hint="eastAsia"/>
          <w:color w:val="auto"/>
          <w:sz w:val="24"/>
          <w:szCs w:val="24"/>
          <w:highlight w:val="none"/>
        </w:rPr>
        <w:t>（6）不同供应商的保证金从同一单位或者个人账户转出。</w:t>
      </w:r>
    </w:p>
    <w:p w14:paraId="1F518EE1">
      <w:pPr>
        <w:spacing w:line="380" w:lineRule="exact"/>
        <w:ind w:firstLine="420"/>
        <w:rPr>
          <w:color w:val="auto"/>
          <w:sz w:val="24"/>
          <w:szCs w:val="24"/>
          <w:highlight w:val="none"/>
        </w:rPr>
      </w:pPr>
      <w:r>
        <w:rPr>
          <w:rFonts w:hint="eastAsia"/>
          <w:color w:val="auto"/>
          <w:sz w:val="24"/>
          <w:szCs w:val="24"/>
          <w:highlight w:val="none"/>
        </w:rPr>
        <w:t>18.3.有下列情形之一的视为关联供应商参加同一合同项下政府采购活动，竞争性谈判响应文件将被视为无效：</w:t>
      </w:r>
    </w:p>
    <w:p w14:paraId="58ECFFC3">
      <w:pPr>
        <w:spacing w:line="380" w:lineRule="exact"/>
        <w:ind w:firstLine="420"/>
        <w:rPr>
          <w:color w:val="auto"/>
          <w:sz w:val="24"/>
          <w:szCs w:val="24"/>
          <w:highlight w:val="none"/>
        </w:rPr>
      </w:pPr>
      <w:r>
        <w:rPr>
          <w:rFonts w:hint="eastAsia"/>
          <w:color w:val="auto"/>
          <w:sz w:val="24"/>
          <w:szCs w:val="24"/>
          <w:highlight w:val="none"/>
        </w:rPr>
        <w:t>（1）单位负责人为同一人或者存在直接控股、管理关系的不同供应商，参加同一合同项下政府采购活动；</w:t>
      </w:r>
    </w:p>
    <w:p w14:paraId="6AF9EFCF">
      <w:pPr>
        <w:spacing w:line="380" w:lineRule="exact"/>
        <w:ind w:firstLine="420"/>
        <w:rPr>
          <w:color w:val="auto"/>
          <w:sz w:val="24"/>
          <w:szCs w:val="24"/>
          <w:highlight w:val="none"/>
        </w:rPr>
      </w:pPr>
      <w:r>
        <w:rPr>
          <w:rFonts w:hint="eastAsia"/>
          <w:color w:val="auto"/>
          <w:sz w:val="24"/>
          <w:szCs w:val="24"/>
          <w:highlight w:val="none"/>
        </w:rPr>
        <w:t>（2）生产厂商授权给供应商后又参加同一合同项下的政府采购活动；生产厂商对同一品牌同一型号的货物委托多个代理商参加谈判活动。</w:t>
      </w:r>
    </w:p>
    <w:p w14:paraId="3C79B41B">
      <w:pPr>
        <w:widowControl/>
        <w:spacing w:line="400" w:lineRule="exact"/>
        <w:ind w:firstLine="480" w:firstLineChars="200"/>
        <w:jc w:val="left"/>
        <w:rPr>
          <w:rFonts w:ascii="宋体" w:hAnsi="宋体"/>
          <w:bCs/>
          <w:color w:val="auto"/>
          <w:kern w:val="0"/>
          <w:sz w:val="24"/>
          <w:szCs w:val="24"/>
          <w:highlight w:val="none"/>
        </w:rPr>
      </w:pPr>
      <w:r>
        <w:rPr>
          <w:rFonts w:hint="eastAsia" w:ascii="宋体" w:hAnsi="宋体"/>
          <w:bCs/>
          <w:color w:val="auto"/>
          <w:kern w:val="0"/>
          <w:sz w:val="24"/>
          <w:szCs w:val="24"/>
          <w:highlight w:val="none"/>
        </w:rPr>
        <w:t>18.4.其他竞标无效的情形：</w:t>
      </w:r>
    </w:p>
    <w:p w14:paraId="0735CBAD">
      <w:pPr>
        <w:widowControl/>
        <w:spacing w:line="400" w:lineRule="exact"/>
        <w:ind w:firstLine="482" w:firstLineChars="200"/>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（1）竞争性谈判响应文件未按竞争性</w:t>
      </w:r>
      <w:r>
        <w:rPr>
          <w:rFonts w:hint="eastAsia" w:ascii="宋体" w:hAnsi="宋体"/>
          <w:b/>
          <w:bCs/>
          <w:color w:val="auto"/>
          <w:kern w:val="0"/>
          <w:sz w:val="24"/>
          <w:szCs w:val="24"/>
          <w:highlight w:val="none"/>
          <w:lang w:eastAsia="zh-CN"/>
        </w:rPr>
        <w:t>响应文件</w:t>
      </w:r>
      <w:r>
        <w:rPr>
          <w:rFonts w:hint="eastAsia" w:ascii="宋体" w:hAnsi="宋体"/>
          <w:b/>
          <w:bCs/>
          <w:color w:val="auto"/>
          <w:kern w:val="0"/>
          <w:sz w:val="24"/>
          <w:szCs w:val="24"/>
          <w:highlight w:val="none"/>
        </w:rPr>
        <w:t>要求签署或CA电子签章的；</w:t>
      </w:r>
    </w:p>
    <w:p w14:paraId="1EA39A6C">
      <w:pPr>
        <w:widowControl/>
        <w:spacing w:line="400" w:lineRule="exact"/>
        <w:ind w:firstLine="482" w:firstLineChars="200"/>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（2）供应商提交两份或两份以上内容不同的竞争性谈判响应文件；</w:t>
      </w:r>
    </w:p>
    <w:p w14:paraId="6CDABA25">
      <w:pPr>
        <w:widowControl/>
        <w:spacing w:line="400" w:lineRule="exact"/>
        <w:ind w:firstLine="482" w:firstLineChars="200"/>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（3）谈判</w:t>
      </w:r>
      <w:r>
        <w:rPr>
          <w:rFonts w:ascii="宋体" w:hAnsi="宋体"/>
          <w:b/>
          <w:bCs/>
          <w:color w:val="auto"/>
          <w:kern w:val="0"/>
          <w:sz w:val="24"/>
          <w:szCs w:val="24"/>
          <w:highlight w:val="none"/>
        </w:rPr>
        <w:t>供应商在线制作</w:t>
      </w:r>
      <w:r>
        <w:rPr>
          <w:rFonts w:hint="eastAsia" w:ascii="宋体" w:hAnsi="宋体"/>
          <w:b/>
          <w:bCs/>
          <w:color w:val="auto"/>
          <w:kern w:val="0"/>
          <w:sz w:val="24"/>
          <w:szCs w:val="24"/>
          <w:highlight w:val="none"/>
        </w:rPr>
        <w:t>竞争性谈判响应文件</w:t>
      </w:r>
      <w:r>
        <w:rPr>
          <w:rFonts w:ascii="宋体" w:hAnsi="宋体"/>
          <w:b/>
          <w:bCs/>
          <w:color w:val="auto"/>
          <w:kern w:val="0"/>
          <w:sz w:val="24"/>
          <w:szCs w:val="24"/>
          <w:highlight w:val="none"/>
        </w:rPr>
        <w:t>时填写的</w:t>
      </w:r>
      <w:r>
        <w:rPr>
          <w:rFonts w:hint="eastAsia" w:ascii="宋体" w:hAnsi="宋体"/>
          <w:b/>
          <w:bCs/>
          <w:color w:val="auto"/>
          <w:kern w:val="0"/>
          <w:sz w:val="24"/>
          <w:szCs w:val="24"/>
          <w:highlight w:val="none"/>
        </w:rPr>
        <w:t>报价</w:t>
      </w:r>
      <w:r>
        <w:rPr>
          <w:rFonts w:ascii="宋体" w:hAnsi="宋体"/>
          <w:b/>
          <w:bCs/>
          <w:color w:val="auto"/>
          <w:kern w:val="0"/>
          <w:sz w:val="24"/>
          <w:szCs w:val="24"/>
          <w:highlight w:val="none"/>
        </w:rPr>
        <w:t>金额与解密后“电子加密</w:t>
      </w:r>
      <w:r>
        <w:rPr>
          <w:rFonts w:hint="eastAsia" w:ascii="宋体" w:hAnsi="宋体"/>
          <w:b/>
          <w:bCs/>
          <w:color w:val="auto"/>
          <w:kern w:val="0"/>
          <w:sz w:val="24"/>
          <w:szCs w:val="24"/>
          <w:highlight w:val="none"/>
        </w:rPr>
        <w:t>响应</w:t>
      </w:r>
      <w:r>
        <w:rPr>
          <w:rFonts w:ascii="宋体" w:hAnsi="宋体"/>
          <w:b/>
          <w:bCs/>
          <w:color w:val="auto"/>
          <w:kern w:val="0"/>
          <w:sz w:val="24"/>
          <w:szCs w:val="24"/>
          <w:highlight w:val="none"/>
        </w:rPr>
        <w:t>文件”中《</w:t>
      </w:r>
      <w:r>
        <w:rPr>
          <w:rFonts w:hint="eastAsia" w:ascii="宋体" w:hAnsi="宋体"/>
          <w:b/>
          <w:bCs/>
          <w:color w:val="auto"/>
          <w:kern w:val="0"/>
          <w:sz w:val="24"/>
          <w:szCs w:val="24"/>
          <w:highlight w:val="none"/>
        </w:rPr>
        <w:t>报价文件</w:t>
      </w:r>
      <w:r>
        <w:rPr>
          <w:rFonts w:ascii="宋体" w:hAnsi="宋体"/>
          <w:b/>
          <w:bCs/>
          <w:color w:val="auto"/>
          <w:kern w:val="0"/>
          <w:sz w:val="24"/>
          <w:szCs w:val="24"/>
          <w:highlight w:val="none"/>
        </w:rPr>
        <w:t>》填写的金额不一致并拒绝按</w:t>
      </w:r>
      <w:r>
        <w:rPr>
          <w:rFonts w:hint="eastAsia" w:ascii="宋体" w:hAnsi="宋体"/>
          <w:b/>
          <w:bCs/>
          <w:color w:val="auto"/>
          <w:kern w:val="0"/>
          <w:sz w:val="24"/>
          <w:szCs w:val="24"/>
          <w:highlight w:val="none"/>
        </w:rPr>
        <w:t>采购</w:t>
      </w:r>
      <w:r>
        <w:rPr>
          <w:rFonts w:ascii="宋体" w:hAnsi="宋体"/>
          <w:b/>
          <w:bCs/>
          <w:color w:val="auto"/>
          <w:kern w:val="0"/>
          <w:sz w:val="24"/>
          <w:szCs w:val="24"/>
          <w:highlight w:val="none"/>
        </w:rPr>
        <w:t>文件要求接受调整的；</w:t>
      </w:r>
    </w:p>
    <w:p w14:paraId="10306899">
      <w:pPr>
        <w:widowControl/>
        <w:spacing w:line="400" w:lineRule="exact"/>
        <w:ind w:firstLine="482" w:firstLineChars="200"/>
        <w:jc w:val="left"/>
        <w:rPr>
          <w:rFonts w:ascii="宋体" w:hAnsi="宋体"/>
          <w:color w:val="auto"/>
          <w:kern w:val="0"/>
          <w:sz w:val="24"/>
          <w:szCs w:val="24"/>
          <w:highlight w:val="none"/>
        </w:rPr>
      </w:pPr>
      <w:r>
        <w:rPr>
          <w:rFonts w:hint="eastAsia" w:ascii="宋体" w:hAnsi="宋体"/>
          <w:b/>
          <w:bCs/>
          <w:color w:val="auto"/>
          <w:kern w:val="0"/>
          <w:sz w:val="24"/>
          <w:szCs w:val="24"/>
          <w:highlight w:val="none"/>
        </w:rPr>
        <w:t>（4）</w:t>
      </w:r>
      <w:r>
        <w:rPr>
          <w:rFonts w:ascii="宋体" w:hAnsi="宋体"/>
          <w:b/>
          <w:bCs/>
          <w:color w:val="auto"/>
          <w:kern w:val="0"/>
          <w:sz w:val="24"/>
          <w:szCs w:val="24"/>
          <w:highlight w:val="none"/>
        </w:rPr>
        <w:t>法律、法规和</w:t>
      </w:r>
      <w:r>
        <w:rPr>
          <w:rFonts w:hint="eastAsia" w:ascii="宋体" w:hAnsi="宋体"/>
          <w:b/>
          <w:bCs/>
          <w:color w:val="auto"/>
          <w:kern w:val="0"/>
          <w:sz w:val="24"/>
          <w:szCs w:val="24"/>
          <w:highlight w:val="none"/>
        </w:rPr>
        <w:t>采购</w:t>
      </w:r>
      <w:r>
        <w:rPr>
          <w:rFonts w:ascii="宋体" w:hAnsi="宋体"/>
          <w:b/>
          <w:bCs/>
          <w:color w:val="auto"/>
          <w:kern w:val="0"/>
          <w:sz w:val="24"/>
          <w:szCs w:val="24"/>
          <w:highlight w:val="none"/>
        </w:rPr>
        <w:t>文件规定的其他无效情形（或出现重大偏差）。</w:t>
      </w:r>
    </w:p>
    <w:p w14:paraId="110D714B">
      <w:pPr>
        <w:spacing w:line="380" w:lineRule="exact"/>
        <w:ind w:firstLine="420"/>
        <w:rPr>
          <w:color w:val="auto"/>
          <w:sz w:val="24"/>
          <w:szCs w:val="24"/>
          <w:highlight w:val="none"/>
        </w:rPr>
      </w:pPr>
      <w:r>
        <w:rPr>
          <w:rFonts w:hint="eastAsia"/>
          <w:color w:val="auto"/>
          <w:sz w:val="24"/>
          <w:szCs w:val="24"/>
          <w:highlight w:val="none"/>
        </w:rPr>
        <w:t>18.5.被拒绝的响应文件为无效。</w:t>
      </w:r>
    </w:p>
    <w:p w14:paraId="29553E50">
      <w:pPr>
        <w:spacing w:line="380" w:lineRule="exact"/>
        <w:ind w:firstLine="422"/>
        <w:rPr>
          <w:b/>
          <w:color w:val="auto"/>
          <w:sz w:val="24"/>
          <w:szCs w:val="24"/>
          <w:highlight w:val="none"/>
        </w:rPr>
      </w:pPr>
      <w:r>
        <w:rPr>
          <w:rFonts w:hint="eastAsia"/>
          <w:b/>
          <w:color w:val="auto"/>
          <w:sz w:val="24"/>
          <w:szCs w:val="24"/>
          <w:highlight w:val="none"/>
        </w:rPr>
        <w:t xml:space="preserve">  谈判供应商竞争性谈判响应文件无效的，谈判小组应当告知有关供应商。</w:t>
      </w:r>
    </w:p>
    <w:p w14:paraId="5BBD32A3">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19.1</w:t>
      </w:r>
      <w:r>
        <w:rPr>
          <w:rFonts w:hint="eastAsia" w:ascii="宋体" w:hAnsi="宋体"/>
          <w:b/>
          <w:color w:val="auto"/>
          <w:kern w:val="0"/>
          <w:sz w:val="24"/>
          <w:szCs w:val="24"/>
          <w:highlight w:val="none"/>
        </w:rPr>
        <w:t>第一轮谈判</w:t>
      </w:r>
    </w:p>
    <w:p w14:paraId="6CD47115">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（一）</w:t>
      </w:r>
      <w:r>
        <w:rPr>
          <w:rFonts w:hint="eastAsia" w:ascii="宋体" w:hAnsi="宋体"/>
          <w:b/>
          <w:color w:val="auto"/>
          <w:kern w:val="0"/>
          <w:sz w:val="24"/>
          <w:szCs w:val="24"/>
          <w:highlight w:val="none"/>
        </w:rPr>
        <w:t>谈判准备</w:t>
      </w:r>
    </w:p>
    <w:p w14:paraId="11C07774">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本机构将在规定的时间和地点进行电子谈判，谈判供应商的法定代表人或其委托代理人应做好谈判准备，准时在线参加电子谈判会议，随时关注谈判进度。</w:t>
      </w:r>
    </w:p>
    <w:p w14:paraId="7E17F947">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（二）</w:t>
      </w:r>
      <w:r>
        <w:rPr>
          <w:rFonts w:hint="eastAsia" w:ascii="宋体" w:hAnsi="宋体"/>
          <w:b/>
          <w:color w:val="auto"/>
          <w:kern w:val="0"/>
          <w:sz w:val="24"/>
          <w:szCs w:val="24"/>
          <w:highlight w:val="none"/>
        </w:rPr>
        <w:t xml:space="preserve"> 第一轮谈判程序：</w:t>
      </w:r>
    </w:p>
    <w:p w14:paraId="3295F4CB">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1.谈判会由本机构主持，主持人宣布谈判会议开始；</w:t>
      </w:r>
    </w:p>
    <w:p w14:paraId="59FE21FE">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2.主持人介绍参加谈判会的人员名单； </w:t>
      </w:r>
    </w:p>
    <w:p w14:paraId="6A23773C">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3.主持人宣布谈判会议纪律及评审期间的有关事项；告知应当回避的情形,提请有关人员回避；</w:t>
      </w:r>
    </w:p>
    <w:p w14:paraId="2C5B2978">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4.谈判及评审程序</w:t>
      </w:r>
    </w:p>
    <w:p w14:paraId="2CD7C539">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（1）在谈判开始时间截止后30分钟内由各供应商自行对谈判响应文件进行解密；</w:t>
      </w:r>
    </w:p>
    <w:p w14:paraId="09D7E499">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（2）由谈判小组进行资格审查和符合性审查，审查结束后，在线通知无效谈判供应商谈判响应文件无效理由，有效谈判供应商进入谈判程序。</w:t>
      </w:r>
    </w:p>
    <w:p w14:paraId="3AADEC85">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（3）系统对各供应商的商务技术进行汇总；</w:t>
      </w:r>
    </w:p>
    <w:p w14:paraId="2EC3C448">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（4）谈判小组所有成员应当集中与单一供应商分别进行在线谈判，并给予所有参加谈判的供应商平等的谈判机会。</w:t>
      </w:r>
    </w:p>
    <w:p w14:paraId="5C4D48AA">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（5）当谈判小组一致确定供应商的竞争性谈判响应文件能够详细列明采购标的的技术、服务要求且符合竞争性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要求，无需再谈判的，谈判小组按竞争性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设定的19.4、19.6程序和评标方法确定成交候选供应商。第一轮谈判后竞争性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有实质性变动或仍需谈判的，谈判小组对竞争性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变动或提出谈判意见后进行第二轮谈判。</w:t>
      </w:r>
    </w:p>
    <w:p w14:paraId="7615ED93">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19.2竞争性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变动</w:t>
      </w:r>
    </w:p>
    <w:p w14:paraId="4ADAFB48">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⑴第一轮谈判结束后，由谈判小组组长主持，根据竞争性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和谈判情况结合第一轮谈判整体情况，可以对竞争性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采购需求中已事先明确的可能实质性变动采购需求中的技术、服务要求以及合同草案条款进行统一变动，但不得变动竞争性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中的其他内容。实质性变动的内容，须经采购人代表确认。</w:t>
      </w:r>
    </w:p>
    <w:p w14:paraId="64AD4350">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对竞争性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作出的实质性变动是竞争性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的有效组成部分，谈判小组应当在询标规定时间内及时通知所有参加谈判的供应商，并要求供应商做出响应（需盖CA电子签章）。</w:t>
      </w:r>
    </w:p>
    <w:p w14:paraId="49888D5E">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19.3第二轮谈判</w:t>
      </w:r>
    </w:p>
    <w:p w14:paraId="096BED6F">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谈判小组集中就重新提交的响应材料或谈判小组提出的谈判意见与单一响应供应商分别进行在线谈判。</w:t>
      </w:r>
    </w:p>
    <w:p w14:paraId="20F8DBB6">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谈判后，在询标规定时间内供应商根据谈判小组统一整理的谈判记录要求做出承诺（需盖CA电子签章）。</w:t>
      </w:r>
    </w:p>
    <w:p w14:paraId="73F48A90">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当谈判小组一致确定供应商的竞争性谈判响应文件能够详细列明采购标的的技术、服务要求且符合竞争性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要求，无需再谈判的，谈判小组按竞争性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设定的19.4、19.6程序和评标方法确定成交候选供应商。第二轮谈判后竞争性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仍有实质性变动的或仍需谈判的，谈判小组对竞争性</w:t>
      </w:r>
      <w:r>
        <w:rPr>
          <w:rFonts w:hint="eastAsia" w:ascii="宋体" w:hAnsi="宋体"/>
          <w:color w:val="auto"/>
          <w:kern w:val="0"/>
          <w:sz w:val="24"/>
          <w:szCs w:val="24"/>
          <w:highlight w:val="none"/>
          <w:lang w:eastAsia="zh-CN"/>
        </w:rPr>
        <w:t>响应文件</w:t>
      </w:r>
      <w:r>
        <w:rPr>
          <w:rFonts w:hint="eastAsia" w:ascii="宋体" w:hAnsi="宋体"/>
          <w:color w:val="auto"/>
          <w:kern w:val="0"/>
          <w:sz w:val="24"/>
          <w:szCs w:val="24"/>
          <w:highlight w:val="none"/>
        </w:rPr>
        <w:t>变动或提出谈判意见后进行第三轮谈判。以此类推。</w:t>
      </w:r>
    </w:p>
    <w:p w14:paraId="3B234A58">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特别说明：</w:t>
      </w:r>
    </w:p>
    <w:p w14:paraId="432819E1">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政采云公司如对电子化开标及评审程序有调整的，按调整后的程序操作。</w:t>
      </w:r>
    </w:p>
    <w:p w14:paraId="5A3F90A0">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谈判评审在严格保密的情况下进行，谈判的任何一方不得透露与谈判有关的其他供应商的技术资料、价格和其他信息。</w:t>
      </w:r>
    </w:p>
    <w:p w14:paraId="5B0AB22A">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电子谈判过程中需要供应商在线确认的所有内容，供应商不予确认的应说明理由，超过规定时间未确认的，将被视为放弃确认或者无异议。</w:t>
      </w:r>
    </w:p>
    <w:p w14:paraId="243B2E5D">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澄清问题的形式：对响应文件中含义不明确、同类问题表述不一致或者有明显文字和计算错误的内容，谈判小组可要求供应商作出必要的澄清、说明或者纠正，供应商应在询标规定时间内进行澄清或说明（需盖CA电子签章），并不得超出采购文件的范围或者改变谈判响应文件的实质性内容。</w:t>
      </w:r>
    </w:p>
    <w:p w14:paraId="3FFDBB80">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19.4最后报价及成交候选供应商推荐</w:t>
      </w:r>
    </w:p>
    <w:p w14:paraId="42F24E13">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谈判结束后，谈判小组要求所有继续参加谈判的供应商在规定时间内在线提交最后报价。继续参加谈判的供应商作最后报价，由其法定代表人(负责人)或授权代表CA电子签章后提交。</w:t>
      </w:r>
    </w:p>
    <w:p w14:paraId="03D11516">
      <w:pPr>
        <w:pStyle w:val="18"/>
        <w:spacing w:line="380" w:lineRule="exact"/>
        <w:ind w:firstLine="480" w:firstLineChars="200"/>
        <w:rPr>
          <w:color w:val="auto"/>
          <w:sz w:val="24"/>
          <w:szCs w:val="24"/>
          <w:highlight w:val="none"/>
        </w:rPr>
      </w:pPr>
      <w:r>
        <w:rPr>
          <w:rFonts w:hint="eastAsia" w:hAnsi="宋体" w:cs="宋体"/>
          <w:color w:val="auto"/>
          <w:kern w:val="0"/>
          <w:sz w:val="24"/>
          <w:szCs w:val="24"/>
          <w:highlight w:val="none"/>
        </w:rPr>
        <w:t>谈判小组从质量和服务均能满足谈判文件全部实质性响应要求的供应商中，按照评审报价（最后报价及享受政府采购政策的优惠扣除）由低到高的顺序推荐3名成交候选供应商，</w:t>
      </w:r>
      <w:r>
        <w:rPr>
          <w:rFonts w:hint="eastAsia" w:hAnsi="宋体" w:cs="宋体"/>
          <w:color w:val="auto"/>
          <w:sz w:val="24"/>
          <w:szCs w:val="24"/>
          <w:highlight w:val="none"/>
        </w:rPr>
        <w:t>评审价格相同的，按最后报价由低到高顺序排序；当评审价格且最后报价相同的，则依次按节能和环境标志产品优先（适用于《节能产品政府采购品目清单》范围内非“★”标注的和《环境标志产品政府采购品目清单》范围内产品）。同为节能产品、环境标志产品的，</w:t>
      </w:r>
      <w:r>
        <w:rPr>
          <w:rFonts w:hint="eastAsia"/>
          <w:color w:val="auto"/>
          <w:sz w:val="24"/>
          <w:szCs w:val="24"/>
          <w:highlight w:val="none"/>
        </w:rPr>
        <w:t>则依次按技术指标高优先、售后服务优先原则排序。</w:t>
      </w:r>
    </w:p>
    <w:p w14:paraId="6EFD0AFA">
      <w:pPr>
        <w:pStyle w:val="18"/>
        <w:spacing w:line="38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供应商以明显低于行业平均水平的价格报价的，应当在响应文件中主动提交相关说明及证据。谈判小组认为供应商</w:t>
      </w:r>
      <w:r>
        <w:rPr>
          <w:rFonts w:hint="eastAsia" w:hAnsi="宋体"/>
          <w:bCs/>
          <w:color w:val="auto"/>
          <w:sz w:val="24"/>
          <w:szCs w:val="24"/>
          <w:highlight w:val="none"/>
          <w:lang w:eastAsia="zh-CN"/>
        </w:rPr>
        <w:t>谈判</w:t>
      </w:r>
      <w:r>
        <w:rPr>
          <w:rFonts w:hint="eastAsia" w:hAnsi="宋体"/>
          <w:bCs/>
          <w:color w:val="auto"/>
          <w:sz w:val="24"/>
          <w:szCs w:val="24"/>
          <w:highlight w:val="none"/>
        </w:rPr>
        <w:t>报价明显低于其他</w:t>
      </w:r>
      <w:r>
        <w:rPr>
          <w:rFonts w:hint="eastAsia" w:hAnsi="宋体"/>
          <w:bCs/>
          <w:color w:val="auto"/>
          <w:sz w:val="24"/>
          <w:szCs w:val="24"/>
          <w:highlight w:val="none"/>
          <w:lang w:eastAsia="zh-CN"/>
        </w:rPr>
        <w:t>谈判</w:t>
      </w:r>
      <w:r>
        <w:rPr>
          <w:rFonts w:hint="eastAsia" w:hAnsi="宋体"/>
          <w:bCs/>
          <w:color w:val="auto"/>
          <w:sz w:val="24"/>
          <w:szCs w:val="24"/>
          <w:highlight w:val="none"/>
        </w:rPr>
        <w:t>报价可能影响质量或履约的，可以要求供应商提交书面材料。包含但不限于材料、工艺、流水线、质检、运输等环节的详细技术说明及价格分项说明，并附相关真实有效的书面支持资料，以说明其过低的</w:t>
      </w:r>
      <w:r>
        <w:rPr>
          <w:rFonts w:hint="eastAsia" w:hAnsi="宋体"/>
          <w:bCs/>
          <w:color w:val="auto"/>
          <w:sz w:val="24"/>
          <w:szCs w:val="24"/>
          <w:highlight w:val="none"/>
          <w:lang w:eastAsia="zh-CN"/>
        </w:rPr>
        <w:t>谈判</w:t>
      </w:r>
      <w:r>
        <w:rPr>
          <w:rFonts w:hint="eastAsia" w:hAnsi="宋体"/>
          <w:bCs/>
          <w:color w:val="auto"/>
          <w:sz w:val="24"/>
          <w:szCs w:val="24"/>
          <w:highlight w:val="none"/>
        </w:rPr>
        <w:t>报价不影响质量、服务或者履约。在限定的时限内不能提交证明材料或其提交的资料不能证明其报价合理性的，其响应文件将被谈判小组作为无效响应文件处理。</w:t>
      </w:r>
    </w:p>
    <w:p w14:paraId="06BAFF7B">
      <w:pPr>
        <w:widowControl/>
        <w:spacing w:line="40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谈判小组按照少数服从多数的原则推荐成交候选供应商，采购程序继续进行。对评审报告有异议的谈判小组成员，应当明确不同意见并说明理由。谈判小组成员拒绝提出理由的，视为同意评审结果。</w:t>
      </w:r>
    </w:p>
    <w:p w14:paraId="2A2E7AFE">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19.5供应商的报价均超过了政府采购最高限价，采购人不能支付的，谈判活动终止。</w:t>
      </w:r>
    </w:p>
    <w:p w14:paraId="406CD4B9">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19.6</w:t>
      </w:r>
      <w:r>
        <w:rPr>
          <w:rFonts w:hint="eastAsia"/>
          <w:color w:val="auto"/>
          <w:sz w:val="24"/>
          <w:szCs w:val="24"/>
          <w:highlight w:val="none"/>
        </w:rPr>
        <w:t>本采购项目的评审依据为竞争性</w:t>
      </w:r>
      <w:r>
        <w:rPr>
          <w:rFonts w:hint="eastAsia"/>
          <w:color w:val="auto"/>
          <w:sz w:val="24"/>
          <w:szCs w:val="24"/>
          <w:highlight w:val="none"/>
          <w:lang w:eastAsia="zh-CN"/>
        </w:rPr>
        <w:t>响应文件</w:t>
      </w:r>
      <w:r>
        <w:rPr>
          <w:rFonts w:hint="eastAsia"/>
          <w:color w:val="auto"/>
          <w:sz w:val="24"/>
          <w:szCs w:val="24"/>
          <w:highlight w:val="none"/>
        </w:rPr>
        <w:t>和竞争性谈判响应文件，采用的评标方法为</w:t>
      </w:r>
      <w:r>
        <w:rPr>
          <w:rFonts w:hint="eastAsia"/>
          <w:b/>
          <w:color w:val="auto"/>
          <w:sz w:val="24"/>
          <w:szCs w:val="24"/>
          <w:highlight w:val="none"/>
        </w:rPr>
        <w:t>最低评标价法</w:t>
      </w:r>
      <w:r>
        <w:rPr>
          <w:rFonts w:hint="eastAsia"/>
          <w:color w:val="auto"/>
          <w:sz w:val="24"/>
          <w:szCs w:val="24"/>
          <w:highlight w:val="none"/>
        </w:rPr>
        <w:t>。</w:t>
      </w:r>
    </w:p>
    <w:p w14:paraId="1B1964E9">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19.7可中止电子交易活动的情形</w:t>
      </w:r>
    </w:p>
    <w:p w14:paraId="6700E7B6">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采购过程中出现以下情形，导致电子交易平台无法正常运行，或者无法保证电子交易的公平、公正和安全时，本机构可中止电子标活动：</w:t>
      </w:r>
    </w:p>
    <w:p w14:paraId="32E8C804">
      <w:pPr>
        <w:widowControl/>
        <w:spacing w:line="40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w:t>
      </w:r>
      <w:r>
        <w:rPr>
          <w:rFonts w:hint="eastAsia" w:ascii="宋体" w:hAnsi="宋体"/>
          <w:color w:val="auto"/>
          <w:kern w:val="0"/>
          <w:sz w:val="24"/>
          <w:szCs w:val="24"/>
          <w:highlight w:val="none"/>
        </w:rPr>
        <w:t>电子交易平台发生故障而无法登录访问的；</w:t>
      </w:r>
    </w:p>
    <w:p w14:paraId="12B52C81">
      <w:pPr>
        <w:widowControl/>
        <w:spacing w:line="40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(2)</w:t>
      </w:r>
      <w:r>
        <w:rPr>
          <w:rFonts w:hint="eastAsia" w:ascii="宋体" w:hAnsi="宋体"/>
          <w:color w:val="auto"/>
          <w:kern w:val="0"/>
          <w:sz w:val="24"/>
          <w:szCs w:val="24"/>
          <w:highlight w:val="none"/>
        </w:rPr>
        <w:t>电子交易平台应用或数据库出现错误，不能进行正常操作的；</w:t>
      </w:r>
    </w:p>
    <w:p w14:paraId="46351DDC">
      <w:pPr>
        <w:widowControl/>
        <w:spacing w:line="40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(3)</w:t>
      </w:r>
      <w:r>
        <w:rPr>
          <w:rFonts w:hint="eastAsia" w:ascii="宋体" w:hAnsi="宋体"/>
          <w:color w:val="auto"/>
          <w:kern w:val="0"/>
          <w:sz w:val="24"/>
          <w:szCs w:val="24"/>
          <w:highlight w:val="none"/>
        </w:rPr>
        <w:t>电子交易平台发现严重安全漏洞，有潜在泄密危险的；</w:t>
      </w:r>
    </w:p>
    <w:p w14:paraId="532AD158">
      <w:pPr>
        <w:widowControl/>
        <w:spacing w:line="40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(4)</w:t>
      </w:r>
      <w:r>
        <w:rPr>
          <w:rFonts w:hint="eastAsia" w:ascii="宋体" w:hAnsi="宋体"/>
          <w:color w:val="auto"/>
          <w:kern w:val="0"/>
          <w:sz w:val="24"/>
          <w:szCs w:val="24"/>
          <w:highlight w:val="none"/>
        </w:rPr>
        <w:t>病毒发作导致不能进行正常操作的；</w:t>
      </w:r>
    </w:p>
    <w:p w14:paraId="6461E8E4">
      <w:pPr>
        <w:widowControl/>
        <w:spacing w:line="40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(5)</w:t>
      </w:r>
      <w:r>
        <w:rPr>
          <w:rFonts w:hint="eastAsia" w:ascii="宋体" w:hAnsi="宋体"/>
          <w:color w:val="auto"/>
          <w:kern w:val="0"/>
          <w:sz w:val="24"/>
          <w:szCs w:val="24"/>
          <w:highlight w:val="none"/>
        </w:rPr>
        <w:t>其他无法保证电子交易的公平、公正和安全的情况。</w:t>
      </w:r>
    </w:p>
    <w:p w14:paraId="1CF4925D">
      <w:pPr>
        <w:widowControl/>
        <w:spacing w:line="400" w:lineRule="exact"/>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出现前款规定情形，不影响采购公平、公正性的，本机构待上述情形消除后继续组织电子交易活动；影响或可能影响采购公平、公正性的，重新组织采购活动。</w:t>
      </w:r>
    </w:p>
    <w:p w14:paraId="7252181B">
      <w:pPr>
        <w:pStyle w:val="18"/>
        <w:spacing w:line="440" w:lineRule="exact"/>
        <w:ind w:firstLine="480" w:firstLineChars="200"/>
        <w:rPr>
          <w:rFonts w:hAnsi="宋体"/>
          <w:color w:val="auto"/>
          <w:sz w:val="24"/>
          <w:szCs w:val="24"/>
          <w:highlight w:val="none"/>
        </w:rPr>
      </w:pPr>
    </w:p>
    <w:p w14:paraId="0F15361C">
      <w:pPr>
        <w:spacing w:line="420" w:lineRule="atLeast"/>
        <w:jc w:val="center"/>
        <w:rPr>
          <w:rFonts w:ascii="宋体" w:hAnsi="宋体"/>
          <w:b/>
          <w:color w:val="auto"/>
          <w:sz w:val="24"/>
          <w:szCs w:val="24"/>
          <w:highlight w:val="none"/>
        </w:rPr>
      </w:pPr>
      <w:r>
        <w:rPr>
          <w:rFonts w:hint="eastAsia" w:ascii="宋体" w:hAnsi="宋体"/>
          <w:b/>
          <w:color w:val="auto"/>
          <w:sz w:val="24"/>
          <w:szCs w:val="24"/>
          <w:highlight w:val="none"/>
        </w:rPr>
        <w:t>五  签订合同</w:t>
      </w:r>
    </w:p>
    <w:p w14:paraId="3251F080">
      <w:pPr>
        <w:pStyle w:val="18"/>
        <w:spacing w:line="420" w:lineRule="atLeast"/>
        <w:rPr>
          <w:rFonts w:hAnsi="宋体"/>
          <w:color w:val="auto"/>
          <w:sz w:val="24"/>
          <w:szCs w:val="24"/>
          <w:highlight w:val="none"/>
        </w:rPr>
      </w:pPr>
      <w:r>
        <w:rPr>
          <w:rFonts w:hint="eastAsia" w:hAnsi="宋体"/>
          <w:b/>
          <w:color w:val="auto"/>
          <w:sz w:val="24"/>
          <w:szCs w:val="24"/>
          <w:highlight w:val="none"/>
        </w:rPr>
        <w:t>20.成交通知</w:t>
      </w:r>
    </w:p>
    <w:p w14:paraId="5989CADC">
      <w:pPr>
        <w:pStyle w:val="18"/>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20.1采购代理机构应当在评审结束后2个工作日内将评审报告在广西采购云平台上报送采购人确认。采购人应当在收到报送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434BA93D">
      <w:pPr>
        <w:pStyle w:val="18"/>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20.2采购代理机构应当在成交供应商确定后2个工作日内，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成交供应商享受《政府采购促进中小企业发展管理办法》（财库〔2020〕46号）规定的中小企业扶持政策的，采购人、采购代理机构应当随成交结果公开成交供应商的《中小企业声明函》。</w:t>
      </w:r>
    </w:p>
    <w:p w14:paraId="2F6CFF37">
      <w:pPr>
        <w:pStyle w:val="18"/>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20.3出现下列情形之一的，采购人或者采购代理机构应当终止竞争性谈判采购活动，发布项目终止公告并说明原因，重新开展采购活动：</w:t>
      </w:r>
    </w:p>
    <w:p w14:paraId="0947A041">
      <w:pPr>
        <w:pStyle w:val="18"/>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（1）因情况变化，不再符合规定的竞争性谈判采购方式适用情形的；</w:t>
      </w:r>
    </w:p>
    <w:p w14:paraId="7465B461">
      <w:pPr>
        <w:pStyle w:val="18"/>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（2）出现影响采购公正的违法、违规行为的；</w:t>
      </w:r>
    </w:p>
    <w:p w14:paraId="33B079B6">
      <w:pPr>
        <w:pStyle w:val="18"/>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（3）在采购过程中符合竞争要求的供应商或者报价未超过采购预算的供应商不足3家的。</w:t>
      </w:r>
    </w:p>
    <w:p w14:paraId="22E1578D">
      <w:pPr>
        <w:pStyle w:val="18"/>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20.3在采购活动中因重大变故，采购任务取消的，采购人或者采购代理机构应当终止采购活动，通知所有参加采购活动的供应商，并将项目实施情况和采购任务取消原因报送梧州市财政部门。</w:t>
      </w:r>
    </w:p>
    <w:p w14:paraId="1641522F">
      <w:pPr>
        <w:pStyle w:val="18"/>
        <w:keepNext w:val="0"/>
        <w:keepLines w:val="0"/>
        <w:pageBreakBefore w:val="0"/>
        <w:widowControl w:val="0"/>
        <w:kinsoku/>
        <w:wordWrap w:val="0"/>
        <w:overflowPunct/>
        <w:topLinePunct w:val="0"/>
        <w:autoSpaceDE/>
        <w:autoSpaceDN/>
        <w:bidi w:val="0"/>
        <w:adjustRightInd/>
        <w:snapToGrid/>
        <w:spacing w:line="460" w:lineRule="exact"/>
        <w:ind w:left="19" w:leftChars="9" w:firstLine="458" w:firstLineChars="191"/>
        <w:textAlignment w:val="auto"/>
        <w:rPr>
          <w:rFonts w:hAnsi="宋体"/>
          <w:color w:val="auto"/>
          <w:sz w:val="24"/>
          <w:szCs w:val="24"/>
          <w:highlight w:val="none"/>
        </w:rPr>
      </w:pPr>
      <w:r>
        <w:rPr>
          <w:rFonts w:hint="eastAsia" w:hAnsi="宋体"/>
          <w:color w:val="auto"/>
          <w:sz w:val="24"/>
          <w:szCs w:val="24"/>
          <w:highlight w:val="none"/>
        </w:rPr>
        <w:t>20.</w:t>
      </w:r>
      <w:r>
        <w:rPr>
          <w:rFonts w:hint="eastAsia" w:hAnsi="宋体"/>
          <w:color w:val="auto"/>
          <w:sz w:val="24"/>
          <w:szCs w:val="24"/>
          <w:highlight w:val="none"/>
          <w:lang w:val="en-US" w:eastAsia="zh-CN"/>
        </w:rPr>
        <w:t>4</w:t>
      </w:r>
      <w:r>
        <w:rPr>
          <w:rFonts w:hint="eastAsia" w:hAnsi="宋体"/>
          <w:color w:val="auto"/>
          <w:sz w:val="24"/>
          <w:szCs w:val="24"/>
          <w:highlight w:val="none"/>
        </w:rPr>
        <w:t>采购代理机构根据谈判小组的评审结果，在竞标有效期内向成交人发出成交通知书，并在中国政府采购网（http://www.ccgp.gov.cn）、广西壮族自治区政府采购网（http://zfcg.gxzf.gov.cn/</w:t>
      </w:r>
      <w:r>
        <w:rPr>
          <w:rFonts w:hint="eastAsia" w:hAnsi="宋体"/>
          <w:color w:val="auto"/>
          <w:sz w:val="24"/>
          <w:szCs w:val="24"/>
          <w:highlight w:val="none"/>
          <w:lang w:val="en-US" w:eastAsia="zh-CN"/>
        </w:rPr>
        <w:t>)、</w:t>
      </w:r>
      <w:r>
        <w:rPr>
          <w:rFonts w:hint="eastAsia" w:hAnsi="宋体"/>
          <w:color w:val="auto"/>
          <w:sz w:val="24"/>
          <w:szCs w:val="24"/>
          <w:highlight w:val="none"/>
        </w:rPr>
        <w:t>梧州市政府采购网（http://117.141.250.58:10030/web/cgw/index.ptl）发布成交结果公告。</w:t>
      </w:r>
    </w:p>
    <w:p w14:paraId="4DD840FB">
      <w:pPr>
        <w:pStyle w:val="18"/>
        <w:spacing w:line="420" w:lineRule="atLeast"/>
        <w:ind w:left="19" w:leftChars="9" w:firstLine="458" w:firstLineChars="191"/>
        <w:rPr>
          <w:rFonts w:hAnsi="宋体"/>
          <w:color w:val="auto"/>
          <w:sz w:val="24"/>
          <w:szCs w:val="24"/>
          <w:highlight w:val="none"/>
        </w:rPr>
      </w:pPr>
      <w:r>
        <w:rPr>
          <w:rFonts w:hint="eastAsia" w:hAnsi="宋体"/>
          <w:color w:val="auto"/>
          <w:sz w:val="24"/>
          <w:szCs w:val="24"/>
          <w:highlight w:val="none"/>
        </w:rPr>
        <w:t>20.</w:t>
      </w:r>
      <w:r>
        <w:rPr>
          <w:rFonts w:hint="eastAsia" w:hAnsi="宋体"/>
          <w:color w:val="auto"/>
          <w:sz w:val="24"/>
          <w:szCs w:val="24"/>
          <w:highlight w:val="none"/>
          <w:lang w:val="en-US" w:eastAsia="zh-CN"/>
        </w:rPr>
        <w:t>5</w:t>
      </w:r>
      <w:r>
        <w:rPr>
          <w:rFonts w:hint="eastAsia" w:hAnsi="宋体"/>
          <w:color w:val="auto"/>
          <w:sz w:val="24"/>
          <w:szCs w:val="24"/>
          <w:highlight w:val="none"/>
        </w:rPr>
        <w:t>谈判供应商认为权益受到损害的，必须首先以书面形式向本机构提出质疑，质疑书必须是由质疑人法定代表人、主要负责人或者其授权代表签字或盖章同时加盖单位公章，由法定代表人或其委托代理人持法定代表人授权委托书递交。本机构将在收到书面质疑后七个工作日内做出答复，但答复的内容不得涉及商业秘密；如本机构未在规定时间内做出答复或谈判供应商对答复不满意的，可以在答复期满后十五个工作日内书面向有关政府采购监督管理部门投诉。</w:t>
      </w:r>
    </w:p>
    <w:p w14:paraId="283221E9">
      <w:pPr>
        <w:spacing w:line="420" w:lineRule="atLeast"/>
        <w:rPr>
          <w:rFonts w:ascii="宋体" w:hAnsi="宋体"/>
          <w:b/>
          <w:color w:val="auto"/>
          <w:sz w:val="24"/>
          <w:szCs w:val="24"/>
          <w:highlight w:val="none"/>
        </w:rPr>
      </w:pPr>
      <w:r>
        <w:rPr>
          <w:rFonts w:hint="eastAsia" w:ascii="宋体" w:hAnsi="宋体"/>
          <w:b/>
          <w:color w:val="auto"/>
          <w:sz w:val="24"/>
          <w:szCs w:val="24"/>
          <w:highlight w:val="none"/>
        </w:rPr>
        <w:t>21.合同授予标准</w:t>
      </w:r>
    </w:p>
    <w:p w14:paraId="5F4275C8">
      <w:pPr>
        <w:pStyle w:val="18"/>
        <w:spacing w:line="420" w:lineRule="atLeast"/>
        <w:rPr>
          <w:rFonts w:hAnsi="宋体"/>
          <w:color w:val="auto"/>
          <w:sz w:val="24"/>
          <w:szCs w:val="24"/>
          <w:highlight w:val="none"/>
        </w:rPr>
      </w:pPr>
      <w:r>
        <w:rPr>
          <w:rFonts w:hint="eastAsia" w:hAnsi="宋体"/>
          <w:color w:val="auto"/>
          <w:sz w:val="24"/>
          <w:szCs w:val="24"/>
          <w:highlight w:val="none"/>
        </w:rPr>
        <w:t>21.1合同将授予被确定为实质上响应谈判采购文件要求，具备履行合同能力，最后报价最低的谈判供应商。</w:t>
      </w:r>
    </w:p>
    <w:p w14:paraId="2A3F7E5F">
      <w:pPr>
        <w:pStyle w:val="18"/>
        <w:spacing w:line="420" w:lineRule="atLeast"/>
        <w:rPr>
          <w:rFonts w:hAnsi="宋体"/>
          <w:b/>
          <w:color w:val="auto"/>
          <w:sz w:val="24"/>
          <w:szCs w:val="24"/>
          <w:highlight w:val="none"/>
        </w:rPr>
      </w:pPr>
      <w:r>
        <w:rPr>
          <w:rFonts w:hint="eastAsia" w:hAnsi="宋体"/>
          <w:b/>
          <w:color w:val="auto"/>
          <w:sz w:val="24"/>
          <w:szCs w:val="24"/>
          <w:highlight w:val="none"/>
        </w:rPr>
        <w:t>22.签订合同</w:t>
      </w:r>
    </w:p>
    <w:p w14:paraId="4567A937">
      <w:pPr>
        <w:spacing w:line="340" w:lineRule="exact"/>
        <w:ind w:firstLine="480" w:firstLineChars="200"/>
        <w:rPr>
          <w:rFonts w:hAnsi="宋体"/>
          <w:color w:val="auto"/>
          <w:sz w:val="24"/>
          <w:szCs w:val="24"/>
          <w:highlight w:val="none"/>
        </w:rPr>
      </w:pPr>
      <w:r>
        <w:rPr>
          <w:rFonts w:hint="eastAsia" w:ascii="宋体" w:hAnsi="宋体"/>
          <w:color w:val="auto"/>
          <w:sz w:val="24"/>
          <w:szCs w:val="24"/>
          <w:highlight w:val="none"/>
        </w:rPr>
        <w:t>22.1成交供应商自成交通知书发出之日起：15日内与采购人签订合同（采购需求中另有要求的，按要求执行）。与采购单位签订合同后,并在合同签订之日起2个工作日内送合同副本到本机构进行公示。</w:t>
      </w:r>
    </w:p>
    <w:p w14:paraId="2CCD0DB5">
      <w:pPr>
        <w:pStyle w:val="18"/>
        <w:spacing w:line="420" w:lineRule="atLeast"/>
        <w:ind w:left="479" w:leftChars="228" w:firstLine="0" w:firstLineChars="0"/>
        <w:rPr>
          <w:rFonts w:hAnsi="宋体"/>
          <w:color w:val="auto"/>
          <w:sz w:val="24"/>
          <w:szCs w:val="24"/>
          <w:highlight w:val="none"/>
        </w:rPr>
      </w:pPr>
      <w:r>
        <w:rPr>
          <w:rFonts w:hint="eastAsia" w:hAnsi="宋体"/>
          <w:color w:val="auto"/>
          <w:sz w:val="24"/>
          <w:szCs w:val="24"/>
          <w:highlight w:val="none"/>
        </w:rPr>
        <w:t>22.2成交供应商不按采购代理机构规定时间、地点按时签约的，按成交供应商违约处理。采购代理机构将没收成交供应商谈判的全部谈判保证金（如有）。</w:t>
      </w:r>
    </w:p>
    <w:p w14:paraId="448B74ED">
      <w:pPr>
        <w:pStyle w:val="18"/>
        <w:spacing w:line="420" w:lineRule="atLeast"/>
        <w:ind w:firstLine="480" w:firstLineChars="200"/>
        <w:rPr>
          <w:rFonts w:hAnsi="宋体"/>
          <w:color w:val="auto"/>
          <w:sz w:val="24"/>
          <w:szCs w:val="24"/>
          <w:highlight w:val="none"/>
        </w:rPr>
      </w:pPr>
      <w:r>
        <w:rPr>
          <w:rFonts w:hint="eastAsia" w:hAnsi="宋体"/>
          <w:color w:val="auto"/>
          <w:sz w:val="24"/>
          <w:szCs w:val="24"/>
          <w:highlight w:val="none"/>
        </w:rPr>
        <w:t>22.3</w:t>
      </w:r>
      <w:r>
        <w:rPr>
          <w:rFonts w:hint="eastAsia" w:hAnsi="宋体" w:cs="宋体"/>
          <w:color w:val="auto"/>
          <w:sz w:val="24"/>
          <w:szCs w:val="24"/>
          <w:highlight w:val="none"/>
        </w:rPr>
        <w:t>成交供应商拒绝签订政府采购合同的</w:t>
      </w:r>
      <w:r>
        <w:rPr>
          <w:rFonts w:hint="eastAsia" w:hAnsi="宋体"/>
          <w:color w:val="auto"/>
          <w:sz w:val="24"/>
          <w:szCs w:val="24"/>
          <w:highlight w:val="none"/>
        </w:rPr>
        <w:t>，采购人可以根据谈判评审报告确定排名第二的成交候选人</w:t>
      </w:r>
      <w:r>
        <w:rPr>
          <w:rFonts w:hint="eastAsia" w:hAnsi="宋体" w:cs="宋体"/>
          <w:color w:val="auto"/>
          <w:sz w:val="24"/>
          <w:szCs w:val="24"/>
          <w:highlight w:val="none"/>
        </w:rPr>
        <w:t>作为</w:t>
      </w:r>
      <w:r>
        <w:rPr>
          <w:rFonts w:hint="eastAsia" w:hAnsi="宋体"/>
          <w:color w:val="auto"/>
          <w:sz w:val="24"/>
          <w:szCs w:val="24"/>
          <w:highlight w:val="none"/>
        </w:rPr>
        <w:t>成交供应商</w:t>
      </w:r>
      <w:r>
        <w:rPr>
          <w:rFonts w:hint="eastAsia" w:hAnsi="宋体" w:cs="宋体"/>
          <w:color w:val="auto"/>
          <w:sz w:val="24"/>
          <w:szCs w:val="24"/>
          <w:highlight w:val="none"/>
        </w:rPr>
        <w:t>并签订政府采购合同，以此类推。拒绝签订政府采购合同的成交供应商不得参加对该项目重新开展的采购活动</w:t>
      </w:r>
      <w:r>
        <w:rPr>
          <w:rFonts w:hint="eastAsia" w:hAnsi="宋体"/>
          <w:color w:val="auto"/>
          <w:sz w:val="24"/>
          <w:szCs w:val="24"/>
          <w:highlight w:val="none"/>
        </w:rPr>
        <w:t>。</w:t>
      </w:r>
    </w:p>
    <w:p w14:paraId="7810B9CC">
      <w:pPr>
        <w:pStyle w:val="18"/>
        <w:spacing w:line="420" w:lineRule="atLeast"/>
        <w:ind w:left="0" w:leftChars="0" w:firstLine="480" w:firstLineChars="200"/>
        <w:rPr>
          <w:rFonts w:hAnsi="宋体"/>
          <w:color w:val="auto"/>
          <w:sz w:val="24"/>
          <w:szCs w:val="24"/>
          <w:highlight w:val="none"/>
        </w:rPr>
      </w:pPr>
      <w:r>
        <w:rPr>
          <w:rFonts w:hint="eastAsia" w:hAnsi="宋体"/>
          <w:color w:val="auto"/>
          <w:sz w:val="24"/>
          <w:szCs w:val="24"/>
          <w:highlight w:val="none"/>
        </w:rPr>
        <w:t>22.4成交通知书发出后，成交供应商放弃成交项目的，无正当理由不与采购人签订合同的，在签订合同时向采购人提出附加条件或者更改合同实质性内容的，或者拒不提交所要求的履约保证金（如有）的，采购人可取消其成交资格，没收其谈判保证金。</w:t>
      </w:r>
    </w:p>
    <w:p w14:paraId="53C2B6EE">
      <w:pPr>
        <w:spacing w:line="420" w:lineRule="atLeast"/>
        <w:jc w:val="center"/>
        <w:rPr>
          <w:rFonts w:ascii="宋体" w:hAnsi="宋体"/>
          <w:b/>
          <w:color w:val="auto"/>
          <w:sz w:val="24"/>
          <w:szCs w:val="24"/>
          <w:highlight w:val="none"/>
        </w:rPr>
      </w:pPr>
      <w:r>
        <w:rPr>
          <w:rFonts w:hint="eastAsia" w:ascii="宋体" w:hAnsi="宋体"/>
          <w:b/>
          <w:color w:val="auto"/>
          <w:sz w:val="24"/>
          <w:szCs w:val="24"/>
          <w:highlight w:val="none"/>
        </w:rPr>
        <w:t>六  其他事项</w:t>
      </w:r>
    </w:p>
    <w:p w14:paraId="32F81625">
      <w:pPr>
        <w:pStyle w:val="18"/>
        <w:spacing w:line="360" w:lineRule="exact"/>
        <w:ind w:firstLine="480" w:firstLineChars="200"/>
        <w:rPr>
          <w:color w:val="auto"/>
          <w:sz w:val="24"/>
          <w:szCs w:val="24"/>
          <w:highlight w:val="none"/>
        </w:rPr>
      </w:pPr>
      <w:r>
        <w:rPr>
          <w:rFonts w:hint="eastAsia" w:hAnsi="宋体"/>
          <w:color w:val="auto"/>
          <w:sz w:val="24"/>
          <w:szCs w:val="24"/>
          <w:highlight w:val="none"/>
        </w:rPr>
        <w:t>23.本项目代理服务收费按</w:t>
      </w:r>
      <w:r>
        <w:rPr>
          <w:rFonts w:hint="eastAsia" w:hAnsi="宋体"/>
          <w:color w:val="auto"/>
          <w:sz w:val="24"/>
          <w:szCs w:val="24"/>
          <w:highlight w:val="none"/>
          <w:lang w:eastAsia="zh-CN"/>
        </w:rPr>
        <w:t>货物类</w:t>
      </w:r>
      <w:r>
        <w:rPr>
          <w:rFonts w:hint="eastAsia" w:hAnsi="宋体"/>
          <w:color w:val="auto"/>
          <w:sz w:val="24"/>
          <w:szCs w:val="24"/>
          <w:highlight w:val="none"/>
        </w:rPr>
        <w:t>收费标准向成交供应商收取。在成交通知书发出前，成交供应商应向采购代理机构一次付清代理服务费。</w:t>
      </w:r>
      <w:r>
        <w:rPr>
          <w:rFonts w:hint="eastAsia"/>
          <w:color w:val="auto"/>
          <w:sz w:val="24"/>
          <w:szCs w:val="24"/>
          <w:highlight w:val="none"/>
        </w:rPr>
        <w:t>供应商的</w:t>
      </w:r>
      <w:r>
        <w:rPr>
          <w:rFonts w:hint="eastAsia"/>
          <w:color w:val="auto"/>
          <w:sz w:val="24"/>
          <w:szCs w:val="24"/>
          <w:highlight w:val="none"/>
          <w:lang w:eastAsia="zh-CN"/>
        </w:rPr>
        <w:t>竞标报价</w:t>
      </w:r>
      <w:r>
        <w:rPr>
          <w:rFonts w:hint="eastAsia"/>
          <w:color w:val="auto"/>
          <w:sz w:val="24"/>
          <w:szCs w:val="24"/>
          <w:highlight w:val="none"/>
        </w:rPr>
        <w:t>应包含此项费用。</w:t>
      </w:r>
    </w:p>
    <w:p w14:paraId="33C7E98E">
      <w:pPr>
        <w:pStyle w:val="18"/>
        <w:spacing w:line="360" w:lineRule="exact"/>
        <w:ind w:firstLine="480" w:firstLineChars="200"/>
        <w:rPr>
          <w:rFonts w:hint="eastAsia"/>
          <w:color w:val="auto"/>
          <w:sz w:val="24"/>
          <w:szCs w:val="24"/>
          <w:highlight w:val="none"/>
        </w:rPr>
      </w:pPr>
    </w:p>
    <w:p w14:paraId="447DD10E">
      <w:pPr>
        <w:pStyle w:val="18"/>
        <w:spacing w:line="360" w:lineRule="exact"/>
        <w:ind w:firstLine="480" w:firstLineChars="200"/>
        <w:rPr>
          <w:color w:val="auto"/>
          <w:sz w:val="24"/>
          <w:szCs w:val="24"/>
          <w:highlight w:val="none"/>
        </w:rPr>
      </w:pPr>
      <w:r>
        <w:rPr>
          <w:rFonts w:hint="eastAsia"/>
          <w:color w:val="auto"/>
          <w:sz w:val="24"/>
          <w:szCs w:val="24"/>
          <w:highlight w:val="none"/>
        </w:rPr>
        <w:t>代理服务收费标准：</w:t>
      </w:r>
    </w:p>
    <w:p w14:paraId="2DE65022">
      <w:pPr>
        <w:pStyle w:val="18"/>
        <w:spacing w:line="360" w:lineRule="exact"/>
        <w:ind w:firstLine="480" w:firstLineChars="200"/>
        <w:rPr>
          <w:color w:val="auto"/>
          <w:sz w:val="24"/>
          <w:szCs w:val="24"/>
          <w:highlight w:val="none"/>
        </w:rPr>
      </w:pPr>
    </w:p>
    <w:tbl>
      <w:tblPr>
        <w:tblStyle w:val="35"/>
        <w:tblW w:w="71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9"/>
        <w:gridCol w:w="1399"/>
        <w:gridCol w:w="1245"/>
        <w:gridCol w:w="2550"/>
      </w:tblGrid>
      <w:tr w14:paraId="2D9A7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1909" w:type="dxa"/>
            <w:noWrap/>
            <w:vAlign w:val="bottom"/>
          </w:tcPr>
          <w:p w14:paraId="067874F3">
            <w:pPr>
              <w:widowControl/>
              <w:ind w:left="1200" w:leftChars="400" w:hanging="360" w:hangingChars="150"/>
              <w:jc w:val="left"/>
              <w:rPr>
                <w:rFonts w:ascii="宋体" w:hAnsi="宋体" w:cs="宋体"/>
                <w:color w:val="auto"/>
                <w:kern w:val="0"/>
                <w:sz w:val="24"/>
                <w:szCs w:val="24"/>
                <w:highlight w:val="none"/>
              </w:rPr>
            </w:pPr>
            <w:r>
              <w:rPr>
                <w:rFonts w:ascii="宋体" w:hAnsi="宋体" w:cs="宋体"/>
                <w:color w:val="auto"/>
                <w:kern w:val="0"/>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334010</wp:posOffset>
                      </wp:positionH>
                      <wp:positionV relativeFrom="paragraph">
                        <wp:posOffset>4445</wp:posOffset>
                      </wp:positionV>
                      <wp:extent cx="799465" cy="848995"/>
                      <wp:effectExtent l="3175" t="3175" r="5080" b="16510"/>
                      <wp:wrapNone/>
                      <wp:docPr id="2" name="AutoShape 3"/>
                      <wp:cNvGraphicFramePr/>
                      <a:graphic xmlns:a="http://schemas.openxmlformats.org/drawingml/2006/main">
                        <a:graphicData uri="http://schemas.microsoft.com/office/word/2010/wordprocessingShape">
                          <wps:wsp>
                            <wps:cNvCnPr/>
                            <wps:spPr>
                              <a:xfrm flipH="1" flipV="1">
                                <a:off x="0" y="0"/>
                                <a:ext cx="799465" cy="848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3" o:spid="_x0000_s1026" o:spt="32" type="#_x0000_t32" style="position:absolute;left:0pt;flip:x y;margin-left:26.3pt;margin-top:0.35pt;height:66.85pt;width:62.95pt;z-index:251663360;mso-width-relative:page;mso-height-relative:page;" filled="f" stroked="t" coordsize="21600,21600" o:gfxdata="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vyJfYAAAABwEAAA8AAAAAAAAAAQAgAAAAIgAAAGRycy9kb3ducmV2LnhtbFBLAQIUABQAAAAI&#10;AIdO4kBObw7/7QEAAPgDAAAOAAAAAAAAAAEAIAAAACcBAABkcnMvZTJvRG9jLnhtbFBLBQYAAAAA&#10;BgAGAFkBAACGBQAAAAA=&#10;">
                      <v:fill on="f" focussize="0,0"/>
                      <v:stroke color="#000000" joinstyle="round"/>
                      <v:imagedata o:title=""/>
                      <o:lock v:ext="edit" aspectratio="f"/>
                    </v:shape>
                  </w:pict>
                </mc:Fallback>
              </mc:AlternateContent>
            </w:r>
            <w:r>
              <w:rPr>
                <w:rFonts w:hint="eastAsia" w:ascii="宋体" w:hAnsi="宋体" w:cs="宋体"/>
                <w:color w:val="auto"/>
                <w:kern w:val="0"/>
                <w:sz w:val="24"/>
                <w:szCs w:val="24"/>
                <w:highlight w:val="none"/>
              </w:rPr>
              <w:t>服务类型</w:t>
            </w:r>
          </w:p>
          <w:p w14:paraId="0BE8D0C3">
            <w:pPr>
              <w:widowControl/>
              <w:ind w:left="1155" w:hanging="1320" w:hangingChars="5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费率           </w:t>
            </w:r>
          </w:p>
          <w:p w14:paraId="09F7D80D">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-73660</wp:posOffset>
                      </wp:positionH>
                      <wp:positionV relativeFrom="paragraph">
                        <wp:posOffset>90805</wp:posOffset>
                      </wp:positionV>
                      <wp:extent cx="1207135" cy="416560"/>
                      <wp:effectExtent l="1270" t="4445" r="10795" b="5715"/>
                      <wp:wrapNone/>
                      <wp:docPr id="3" name="自选图形 4"/>
                      <wp:cNvGraphicFramePr/>
                      <a:graphic xmlns:a="http://schemas.openxmlformats.org/drawingml/2006/main">
                        <a:graphicData uri="http://schemas.microsoft.com/office/word/2010/wordprocessingShape">
                          <wps:wsp>
                            <wps:cNvCnPr/>
                            <wps:spPr>
                              <a:xfrm>
                                <a:off x="0" y="0"/>
                                <a:ext cx="1207135" cy="4165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5.8pt;margin-top:7.15pt;height:32.8pt;width:95.05pt;z-index:251664384;mso-width-relative:page;mso-height-relative:page;" filled="f" stroked="t" coordsize="21600,21600" o:gfxdata="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0HFztgAAAAJAQAADwAAAAAAAAABACAAAAAiAAAAZHJzL2Rvd25yZXYu&#10;eG1sUEsBAhQAFAAAAAgAh07iQKP4KPr7AQAA6AMAAA4AAAAAAAAAAQAgAAAAJwEAAGRycy9lMm9E&#10;b2MueG1sUEsFBgAAAAAGAAYAWQEAAJQFAAAAAA==&#10;">
                      <v:fill on="f" focussize="0,0"/>
                      <v:stroke color="#000000" joinstyle="round"/>
                      <v:imagedata o:title=""/>
                      <o:lock v:ext="edit" aspectratio="f"/>
                    </v:shape>
                  </w:pict>
                </mc:Fallback>
              </mc:AlternateContent>
            </w:r>
          </w:p>
          <w:p w14:paraId="0868F16D">
            <w:pPr>
              <w:widowControl/>
              <w:jc w:val="left"/>
              <w:rPr>
                <w:rFonts w:ascii="宋体" w:hAnsi="宋体" w:cs="宋体"/>
                <w:color w:val="auto"/>
                <w:kern w:val="0"/>
                <w:sz w:val="24"/>
                <w:szCs w:val="24"/>
                <w:highlight w:val="none"/>
              </w:rPr>
            </w:pPr>
          </w:p>
          <w:p w14:paraId="2696A482">
            <w:pPr>
              <w:widowControl/>
              <w:jc w:val="left"/>
              <w:rPr>
                <w:rFonts w:ascii="宋体" w:hAnsi="宋体" w:cs="宋体"/>
                <w:color w:val="auto"/>
                <w:kern w:val="0"/>
                <w:sz w:val="24"/>
                <w:szCs w:val="24"/>
                <w:highlight w:val="none"/>
              </w:rPr>
            </w:pPr>
          </w:p>
          <w:p w14:paraId="46D2E507">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中标金额（万元）</w:t>
            </w:r>
          </w:p>
        </w:tc>
        <w:tc>
          <w:tcPr>
            <w:tcW w:w="1399" w:type="dxa"/>
            <w:noWrap/>
            <w:vAlign w:val="center"/>
          </w:tcPr>
          <w:p w14:paraId="0374340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货物</w:t>
            </w:r>
          </w:p>
          <w:p w14:paraId="16F96314">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w:t>
            </w:r>
          </w:p>
        </w:tc>
        <w:tc>
          <w:tcPr>
            <w:tcW w:w="1245" w:type="dxa"/>
            <w:noWrap/>
            <w:vAlign w:val="center"/>
          </w:tcPr>
          <w:p w14:paraId="408F0958">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服务</w:t>
            </w:r>
          </w:p>
          <w:p w14:paraId="2FFA8E0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w:t>
            </w:r>
          </w:p>
        </w:tc>
        <w:tc>
          <w:tcPr>
            <w:tcW w:w="2550" w:type="dxa"/>
            <w:noWrap/>
            <w:vAlign w:val="center"/>
          </w:tcPr>
          <w:p w14:paraId="61A7531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w:t>
            </w:r>
          </w:p>
          <w:p w14:paraId="29D77297">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w:t>
            </w:r>
          </w:p>
        </w:tc>
      </w:tr>
      <w:tr w14:paraId="5C957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909" w:type="dxa"/>
            <w:noWrap/>
            <w:vAlign w:val="center"/>
          </w:tcPr>
          <w:p w14:paraId="0A65E0C2">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100</w:t>
            </w:r>
            <w:r>
              <w:rPr>
                <w:rFonts w:hint="eastAsia" w:ascii="宋体" w:hAnsi="宋体" w:cs="宋体"/>
                <w:color w:val="auto"/>
                <w:kern w:val="0"/>
                <w:sz w:val="24"/>
                <w:szCs w:val="24"/>
                <w:highlight w:val="none"/>
              </w:rPr>
              <w:t>以下</w:t>
            </w:r>
          </w:p>
        </w:tc>
        <w:tc>
          <w:tcPr>
            <w:tcW w:w="1399" w:type="dxa"/>
            <w:noWrap/>
            <w:vAlign w:val="bottom"/>
          </w:tcPr>
          <w:p w14:paraId="01D1D6C0">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1.50%</w:t>
            </w:r>
          </w:p>
        </w:tc>
        <w:tc>
          <w:tcPr>
            <w:tcW w:w="1245" w:type="dxa"/>
            <w:noWrap/>
            <w:vAlign w:val="bottom"/>
          </w:tcPr>
          <w:p w14:paraId="022F79A8">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1.50%</w:t>
            </w:r>
          </w:p>
        </w:tc>
        <w:tc>
          <w:tcPr>
            <w:tcW w:w="2550" w:type="dxa"/>
            <w:noWrap/>
            <w:vAlign w:val="bottom"/>
          </w:tcPr>
          <w:p w14:paraId="1D9F64A5">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1.00%</w:t>
            </w:r>
          </w:p>
        </w:tc>
      </w:tr>
      <w:tr w14:paraId="11FD0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909" w:type="dxa"/>
            <w:noWrap/>
            <w:vAlign w:val="center"/>
          </w:tcPr>
          <w:p w14:paraId="0B512E40">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500</w:t>
            </w:r>
          </w:p>
        </w:tc>
        <w:tc>
          <w:tcPr>
            <w:tcW w:w="1399" w:type="dxa"/>
            <w:noWrap/>
            <w:vAlign w:val="bottom"/>
          </w:tcPr>
          <w:p w14:paraId="7A29EEE0">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1.10%</w:t>
            </w:r>
          </w:p>
        </w:tc>
        <w:tc>
          <w:tcPr>
            <w:tcW w:w="1245" w:type="dxa"/>
            <w:noWrap/>
            <w:vAlign w:val="bottom"/>
          </w:tcPr>
          <w:p w14:paraId="62951AE6">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0.80%</w:t>
            </w:r>
          </w:p>
        </w:tc>
        <w:tc>
          <w:tcPr>
            <w:tcW w:w="2550" w:type="dxa"/>
            <w:noWrap/>
            <w:vAlign w:val="bottom"/>
          </w:tcPr>
          <w:p w14:paraId="17BBAA3D">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0.70%</w:t>
            </w:r>
          </w:p>
        </w:tc>
      </w:tr>
      <w:tr w14:paraId="08CF5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1909" w:type="dxa"/>
            <w:noWrap/>
            <w:vAlign w:val="center"/>
          </w:tcPr>
          <w:p w14:paraId="679ABF13">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500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1000</w:t>
            </w:r>
          </w:p>
        </w:tc>
        <w:tc>
          <w:tcPr>
            <w:tcW w:w="1399" w:type="dxa"/>
            <w:noWrap/>
            <w:vAlign w:val="bottom"/>
          </w:tcPr>
          <w:p w14:paraId="68982F06">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0.80%</w:t>
            </w:r>
          </w:p>
        </w:tc>
        <w:tc>
          <w:tcPr>
            <w:tcW w:w="1245" w:type="dxa"/>
            <w:noWrap/>
            <w:vAlign w:val="bottom"/>
          </w:tcPr>
          <w:p w14:paraId="0372841D">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0.45%</w:t>
            </w:r>
          </w:p>
        </w:tc>
        <w:tc>
          <w:tcPr>
            <w:tcW w:w="2550" w:type="dxa"/>
            <w:noWrap/>
            <w:vAlign w:val="bottom"/>
          </w:tcPr>
          <w:p w14:paraId="19575DC6">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0.55%</w:t>
            </w:r>
          </w:p>
        </w:tc>
      </w:tr>
      <w:tr w14:paraId="2CE1D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909" w:type="dxa"/>
            <w:noWrap/>
            <w:vAlign w:val="center"/>
          </w:tcPr>
          <w:p w14:paraId="0E5EE713">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5000</w:t>
            </w:r>
          </w:p>
        </w:tc>
        <w:tc>
          <w:tcPr>
            <w:tcW w:w="1399" w:type="dxa"/>
            <w:noWrap/>
            <w:vAlign w:val="bottom"/>
          </w:tcPr>
          <w:p w14:paraId="09497131">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0.50%</w:t>
            </w:r>
          </w:p>
        </w:tc>
        <w:tc>
          <w:tcPr>
            <w:tcW w:w="1245" w:type="dxa"/>
            <w:noWrap/>
            <w:vAlign w:val="bottom"/>
          </w:tcPr>
          <w:p w14:paraId="0687979E">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0.25%</w:t>
            </w:r>
          </w:p>
        </w:tc>
        <w:tc>
          <w:tcPr>
            <w:tcW w:w="2550" w:type="dxa"/>
            <w:noWrap/>
            <w:vAlign w:val="bottom"/>
          </w:tcPr>
          <w:p w14:paraId="4ADB262A">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0.35%</w:t>
            </w:r>
          </w:p>
        </w:tc>
      </w:tr>
      <w:tr w14:paraId="33E7E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1909" w:type="dxa"/>
            <w:noWrap/>
            <w:vAlign w:val="center"/>
          </w:tcPr>
          <w:p w14:paraId="5FDF3E99">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5000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10000</w:t>
            </w:r>
          </w:p>
        </w:tc>
        <w:tc>
          <w:tcPr>
            <w:tcW w:w="1399" w:type="dxa"/>
            <w:noWrap/>
            <w:vAlign w:val="bottom"/>
          </w:tcPr>
          <w:p w14:paraId="2210E7E0">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0.25%</w:t>
            </w:r>
          </w:p>
        </w:tc>
        <w:tc>
          <w:tcPr>
            <w:tcW w:w="1245" w:type="dxa"/>
            <w:noWrap/>
            <w:vAlign w:val="bottom"/>
          </w:tcPr>
          <w:p w14:paraId="1259E23F">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0.10%</w:t>
            </w:r>
          </w:p>
        </w:tc>
        <w:tc>
          <w:tcPr>
            <w:tcW w:w="2550" w:type="dxa"/>
            <w:noWrap/>
            <w:vAlign w:val="bottom"/>
          </w:tcPr>
          <w:p w14:paraId="564C5EC1">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0.20%</w:t>
            </w:r>
          </w:p>
        </w:tc>
      </w:tr>
      <w:tr w14:paraId="7D346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909" w:type="dxa"/>
            <w:noWrap/>
            <w:vAlign w:val="center"/>
          </w:tcPr>
          <w:p w14:paraId="2C8DAB10">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10000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100000</w:t>
            </w:r>
          </w:p>
        </w:tc>
        <w:tc>
          <w:tcPr>
            <w:tcW w:w="1399" w:type="dxa"/>
            <w:noWrap/>
            <w:vAlign w:val="bottom"/>
          </w:tcPr>
          <w:p w14:paraId="4F85B88C">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0.05%</w:t>
            </w:r>
          </w:p>
        </w:tc>
        <w:tc>
          <w:tcPr>
            <w:tcW w:w="1245" w:type="dxa"/>
            <w:noWrap/>
            <w:vAlign w:val="bottom"/>
          </w:tcPr>
          <w:p w14:paraId="3CF729DE">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0.05%</w:t>
            </w:r>
          </w:p>
        </w:tc>
        <w:tc>
          <w:tcPr>
            <w:tcW w:w="2550" w:type="dxa"/>
            <w:noWrap/>
            <w:vAlign w:val="bottom"/>
          </w:tcPr>
          <w:p w14:paraId="4C35DB27">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0.05%</w:t>
            </w:r>
          </w:p>
        </w:tc>
      </w:tr>
      <w:tr w14:paraId="57D7E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909" w:type="dxa"/>
            <w:noWrap/>
            <w:vAlign w:val="center"/>
          </w:tcPr>
          <w:p w14:paraId="5912DA68">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1000000</w:t>
            </w:r>
            <w:r>
              <w:rPr>
                <w:rFonts w:hint="eastAsia" w:ascii="宋体" w:hAnsi="宋体" w:cs="宋体"/>
                <w:color w:val="auto"/>
                <w:kern w:val="0"/>
                <w:sz w:val="24"/>
                <w:szCs w:val="24"/>
                <w:highlight w:val="none"/>
              </w:rPr>
              <w:t>以上</w:t>
            </w:r>
          </w:p>
        </w:tc>
        <w:tc>
          <w:tcPr>
            <w:tcW w:w="1399" w:type="dxa"/>
            <w:noWrap/>
            <w:vAlign w:val="bottom"/>
          </w:tcPr>
          <w:p w14:paraId="39BA7E64">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0.01%</w:t>
            </w:r>
          </w:p>
        </w:tc>
        <w:tc>
          <w:tcPr>
            <w:tcW w:w="1245" w:type="dxa"/>
            <w:noWrap/>
            <w:vAlign w:val="bottom"/>
          </w:tcPr>
          <w:p w14:paraId="76326677">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0.01%</w:t>
            </w:r>
          </w:p>
        </w:tc>
        <w:tc>
          <w:tcPr>
            <w:tcW w:w="2550" w:type="dxa"/>
            <w:noWrap/>
            <w:vAlign w:val="bottom"/>
          </w:tcPr>
          <w:p w14:paraId="2A02A637">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0.01%</w:t>
            </w:r>
          </w:p>
        </w:tc>
      </w:tr>
    </w:tbl>
    <w:p w14:paraId="5C2AB6C4">
      <w:pPr>
        <w:pStyle w:val="18"/>
        <w:spacing w:line="360" w:lineRule="auto"/>
        <w:rPr>
          <w:color w:val="auto"/>
          <w:sz w:val="24"/>
          <w:szCs w:val="24"/>
          <w:highlight w:val="none"/>
        </w:rPr>
      </w:pPr>
      <w:r>
        <w:rPr>
          <w:rFonts w:hint="eastAsia"/>
          <w:color w:val="auto"/>
          <w:sz w:val="24"/>
          <w:szCs w:val="24"/>
          <w:highlight w:val="none"/>
        </w:rPr>
        <w:t>注：采购代理服务收费按差额定率累进法计算。</w:t>
      </w:r>
    </w:p>
    <w:p w14:paraId="2DF59C65">
      <w:pPr>
        <w:pStyle w:val="18"/>
        <w:spacing w:line="360" w:lineRule="auto"/>
        <w:rPr>
          <w:bCs/>
          <w:color w:val="auto"/>
          <w:sz w:val="24"/>
          <w:szCs w:val="24"/>
          <w:highlight w:val="none"/>
        </w:rPr>
      </w:pPr>
      <w:r>
        <w:rPr>
          <w:rFonts w:hint="eastAsia"/>
          <w:bCs/>
          <w:color w:val="auto"/>
          <w:sz w:val="24"/>
          <w:szCs w:val="24"/>
          <w:highlight w:val="none"/>
        </w:rPr>
        <w:t>例如：某货物招标代理业务中标金额为500万元，计算招标代理服务收费额如下：</w:t>
      </w:r>
    </w:p>
    <w:p w14:paraId="2F54DF49">
      <w:pPr>
        <w:pStyle w:val="18"/>
        <w:spacing w:line="360" w:lineRule="auto"/>
        <w:rPr>
          <w:bCs/>
          <w:color w:val="auto"/>
          <w:sz w:val="24"/>
          <w:szCs w:val="24"/>
          <w:highlight w:val="none"/>
        </w:rPr>
      </w:pPr>
      <w:r>
        <w:rPr>
          <w:rFonts w:hint="eastAsia"/>
          <w:bCs/>
          <w:color w:val="auto"/>
          <w:sz w:val="24"/>
          <w:szCs w:val="24"/>
          <w:highlight w:val="none"/>
        </w:rPr>
        <w:t>100 万元×1.50%=1.5万元</w:t>
      </w:r>
    </w:p>
    <w:p w14:paraId="5C44DB39">
      <w:pPr>
        <w:pStyle w:val="18"/>
        <w:spacing w:line="360" w:lineRule="auto"/>
        <w:rPr>
          <w:bCs/>
          <w:color w:val="auto"/>
          <w:sz w:val="24"/>
          <w:szCs w:val="24"/>
          <w:highlight w:val="none"/>
        </w:rPr>
      </w:pPr>
      <w:r>
        <w:rPr>
          <w:rFonts w:hint="eastAsia"/>
          <w:bCs/>
          <w:color w:val="auto"/>
          <w:sz w:val="24"/>
          <w:szCs w:val="24"/>
          <w:highlight w:val="none"/>
        </w:rPr>
        <w:t>（500-100）万元×1.10%= 4.4万元</w:t>
      </w:r>
    </w:p>
    <w:p w14:paraId="3C6D0AD3">
      <w:pPr>
        <w:pStyle w:val="18"/>
        <w:spacing w:line="360" w:lineRule="exact"/>
        <w:rPr>
          <w:rFonts w:hAnsi="宋体"/>
          <w:color w:val="auto"/>
          <w:sz w:val="24"/>
          <w:szCs w:val="24"/>
          <w:highlight w:val="none"/>
        </w:rPr>
      </w:pPr>
      <w:r>
        <w:rPr>
          <w:rFonts w:hint="eastAsia"/>
          <w:bCs/>
          <w:color w:val="auto"/>
          <w:sz w:val="24"/>
          <w:szCs w:val="24"/>
          <w:highlight w:val="none"/>
        </w:rPr>
        <w:t>合计收费=1.5+4.4=5.9（万元）</w:t>
      </w:r>
    </w:p>
    <w:p w14:paraId="7ABE625A">
      <w:pPr>
        <w:pStyle w:val="18"/>
        <w:spacing w:line="420" w:lineRule="atLeast"/>
        <w:ind w:left="422" w:hanging="482" w:hangingChars="200"/>
        <w:rPr>
          <w:rFonts w:hAnsi="宋体"/>
          <w:b/>
          <w:color w:val="auto"/>
          <w:sz w:val="24"/>
          <w:szCs w:val="24"/>
          <w:highlight w:val="none"/>
        </w:rPr>
      </w:pPr>
      <w:r>
        <w:rPr>
          <w:rFonts w:hint="eastAsia" w:hAnsi="宋体"/>
          <w:b/>
          <w:color w:val="auto"/>
          <w:sz w:val="24"/>
          <w:szCs w:val="24"/>
          <w:highlight w:val="none"/>
        </w:rPr>
        <w:t>24.解释权</w:t>
      </w:r>
    </w:p>
    <w:p w14:paraId="6A7FF879">
      <w:pPr>
        <w:pStyle w:val="18"/>
        <w:spacing w:line="420" w:lineRule="atLeast"/>
        <w:ind w:left="420" w:hanging="480" w:hangingChars="200"/>
        <w:rPr>
          <w:rFonts w:hAnsi="宋体"/>
          <w:color w:val="auto"/>
          <w:sz w:val="24"/>
          <w:szCs w:val="24"/>
          <w:highlight w:val="none"/>
        </w:rPr>
      </w:pPr>
      <w:r>
        <w:rPr>
          <w:rFonts w:hint="eastAsia" w:hAnsi="宋体"/>
          <w:color w:val="auto"/>
          <w:sz w:val="24"/>
          <w:szCs w:val="24"/>
          <w:highlight w:val="none"/>
        </w:rPr>
        <w:t>24.1本谈判采购文件是根据国家相关法律及有关政策、法规和参照国际惯例编制，解释权属本采购代理机构。</w:t>
      </w:r>
    </w:p>
    <w:p w14:paraId="0FA87D57">
      <w:pPr>
        <w:pStyle w:val="18"/>
        <w:spacing w:line="420" w:lineRule="atLeast"/>
        <w:ind w:left="420" w:hanging="480" w:hangingChars="200"/>
        <w:rPr>
          <w:rFonts w:hAnsi="宋体"/>
          <w:color w:val="auto"/>
          <w:sz w:val="24"/>
          <w:szCs w:val="24"/>
          <w:highlight w:val="none"/>
        </w:rPr>
      </w:pPr>
    </w:p>
    <w:p w14:paraId="77459C7F">
      <w:pPr>
        <w:pStyle w:val="18"/>
        <w:spacing w:line="420" w:lineRule="atLeast"/>
        <w:rPr>
          <w:rFonts w:hAnsi="宋体"/>
          <w:b/>
          <w:color w:val="auto"/>
          <w:sz w:val="24"/>
          <w:szCs w:val="24"/>
          <w:highlight w:val="none"/>
        </w:rPr>
      </w:pPr>
      <w:r>
        <w:rPr>
          <w:rFonts w:hint="eastAsia" w:hAnsi="宋体"/>
          <w:b/>
          <w:color w:val="auto"/>
          <w:sz w:val="24"/>
          <w:szCs w:val="24"/>
          <w:highlight w:val="none"/>
        </w:rPr>
        <w:t>2</w:t>
      </w:r>
      <w:r>
        <w:rPr>
          <w:rFonts w:hint="eastAsia" w:hAnsi="宋体"/>
          <w:b/>
          <w:color w:val="auto"/>
          <w:sz w:val="24"/>
          <w:szCs w:val="24"/>
          <w:highlight w:val="none"/>
          <w:lang w:val="en-US" w:eastAsia="zh-CN"/>
        </w:rPr>
        <w:t>5</w:t>
      </w:r>
      <w:r>
        <w:rPr>
          <w:rFonts w:hint="eastAsia" w:hAnsi="宋体"/>
          <w:b/>
          <w:color w:val="auto"/>
          <w:sz w:val="24"/>
          <w:szCs w:val="24"/>
          <w:highlight w:val="none"/>
        </w:rPr>
        <w:t>.通讯地址</w:t>
      </w:r>
    </w:p>
    <w:p w14:paraId="4F9D5C29">
      <w:pPr>
        <w:pStyle w:val="18"/>
        <w:spacing w:line="420" w:lineRule="atLeast"/>
        <w:rPr>
          <w:rFonts w:hAnsi="宋体"/>
          <w:color w:val="auto"/>
          <w:sz w:val="24"/>
          <w:szCs w:val="24"/>
          <w:highlight w:val="none"/>
        </w:rPr>
      </w:pPr>
      <w:r>
        <w:rPr>
          <w:rFonts w:hint="eastAsia" w:hAnsi="宋体"/>
          <w:color w:val="auto"/>
          <w:sz w:val="24"/>
          <w:szCs w:val="24"/>
          <w:highlight w:val="none"/>
        </w:rPr>
        <w:t>2</w:t>
      </w:r>
      <w:r>
        <w:rPr>
          <w:rFonts w:hint="eastAsia" w:hAnsi="宋体"/>
          <w:color w:val="auto"/>
          <w:sz w:val="24"/>
          <w:szCs w:val="24"/>
          <w:highlight w:val="none"/>
          <w:lang w:val="en-US" w:eastAsia="zh-CN"/>
        </w:rPr>
        <w:t>5</w:t>
      </w:r>
      <w:r>
        <w:rPr>
          <w:rFonts w:hint="eastAsia" w:hAnsi="宋体"/>
          <w:color w:val="auto"/>
          <w:sz w:val="24"/>
          <w:szCs w:val="24"/>
          <w:highlight w:val="none"/>
        </w:rPr>
        <w:t>.1所有与本谈判采购文件有关的函电请按下列通讯地址联系：</w:t>
      </w:r>
    </w:p>
    <w:p w14:paraId="0BF98582">
      <w:pPr>
        <w:pStyle w:val="18"/>
        <w:spacing w:line="420" w:lineRule="atLeast"/>
        <w:ind w:firstLine="480" w:firstLineChars="200"/>
        <w:rPr>
          <w:rFonts w:hAnsi="宋体"/>
          <w:color w:val="auto"/>
          <w:sz w:val="24"/>
          <w:szCs w:val="24"/>
          <w:highlight w:val="none"/>
        </w:rPr>
      </w:pPr>
      <w:r>
        <w:rPr>
          <w:rFonts w:hint="eastAsia" w:hAnsi="宋体"/>
          <w:color w:val="auto"/>
          <w:sz w:val="24"/>
          <w:szCs w:val="24"/>
          <w:highlight w:val="none"/>
        </w:rPr>
        <w:t>采购代理机构：</w:t>
      </w:r>
      <w:r>
        <w:rPr>
          <w:rFonts w:hAnsi="宋体"/>
          <w:color w:val="auto"/>
          <w:sz w:val="24"/>
          <w:szCs w:val="24"/>
          <w:highlight w:val="none"/>
        </w:rPr>
        <w:t>广西中信恒泰工程顾问有限公司</w:t>
      </w:r>
    </w:p>
    <w:p w14:paraId="504DCBCA">
      <w:pPr>
        <w:pStyle w:val="18"/>
        <w:spacing w:line="420" w:lineRule="atLeast"/>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地    址：</w:t>
      </w:r>
      <w:r>
        <w:rPr>
          <w:rFonts w:hint="eastAsia" w:hAnsi="宋体"/>
          <w:color w:val="auto"/>
          <w:sz w:val="24"/>
          <w:szCs w:val="24"/>
          <w:highlight w:val="none"/>
          <w:lang w:eastAsia="zh-CN"/>
        </w:rPr>
        <w:t>梧州市三龙大道15号金湖湾小区2栋2单元203号房</w:t>
      </w:r>
    </w:p>
    <w:p w14:paraId="643C9CF1">
      <w:pPr>
        <w:pStyle w:val="18"/>
        <w:spacing w:line="420" w:lineRule="atLeast"/>
        <w:ind w:firstLine="480" w:firstLineChars="200"/>
        <w:rPr>
          <w:rFonts w:hAnsi="宋体"/>
          <w:color w:val="auto"/>
          <w:sz w:val="24"/>
          <w:szCs w:val="24"/>
          <w:highlight w:val="none"/>
        </w:rPr>
      </w:pPr>
      <w:r>
        <w:rPr>
          <w:rFonts w:hint="eastAsia" w:hAnsi="宋体"/>
          <w:color w:val="auto"/>
          <w:sz w:val="24"/>
          <w:szCs w:val="24"/>
          <w:highlight w:val="none"/>
        </w:rPr>
        <w:t>联 系 人：</w:t>
      </w:r>
      <w:r>
        <w:rPr>
          <w:rFonts w:hint="eastAsia" w:hAnsi="宋体" w:cs="宋体"/>
          <w:bCs/>
          <w:color w:val="auto"/>
          <w:sz w:val="24"/>
          <w:szCs w:val="24"/>
          <w:highlight w:val="none"/>
        </w:rPr>
        <w:t>林工</w:t>
      </w:r>
    </w:p>
    <w:p w14:paraId="340A1289">
      <w:pPr>
        <w:snapToGrid w:val="0"/>
        <w:spacing w:line="380" w:lineRule="exact"/>
        <w:ind w:firstLine="480" w:firstLineChars="200"/>
        <w:jc w:val="left"/>
        <w:outlineLvl w:val="4"/>
        <w:rPr>
          <w:rFonts w:ascii="宋体" w:hAnsi="宋体"/>
          <w:b/>
          <w:color w:val="auto"/>
          <w:sz w:val="24"/>
          <w:szCs w:val="24"/>
          <w:highlight w:val="none"/>
        </w:rPr>
      </w:pPr>
      <w:r>
        <w:rPr>
          <w:rFonts w:hint="eastAsia"/>
          <w:color w:val="auto"/>
          <w:sz w:val="24"/>
          <w:szCs w:val="24"/>
          <w:highlight w:val="none"/>
        </w:rPr>
        <w:t>电    话</w:t>
      </w:r>
      <w:r>
        <w:rPr>
          <w:rFonts w:hint="eastAsia" w:ascii="宋体" w:hAnsi="宋体"/>
          <w:color w:val="auto"/>
          <w:sz w:val="24"/>
          <w:szCs w:val="24"/>
          <w:highlight w:val="none"/>
        </w:rPr>
        <w:t>：</w:t>
      </w:r>
      <w:r>
        <w:rPr>
          <w:rFonts w:ascii="宋体" w:hAnsi="宋体" w:cs="宋体"/>
          <w:color w:val="auto"/>
          <w:sz w:val="24"/>
          <w:szCs w:val="24"/>
          <w:highlight w:val="none"/>
        </w:rPr>
        <w:t>0774-5826268</w:t>
      </w:r>
    </w:p>
    <w:p w14:paraId="5DADF2ED">
      <w:pPr>
        <w:pStyle w:val="18"/>
        <w:spacing w:line="420" w:lineRule="atLeast"/>
        <w:ind w:firstLine="480" w:firstLineChars="200"/>
        <w:rPr>
          <w:rFonts w:hint="default" w:hAnsi="宋体" w:cs="宋体"/>
          <w:color w:val="auto"/>
          <w:sz w:val="24"/>
          <w:szCs w:val="24"/>
          <w:highlight w:val="none"/>
        </w:rPr>
      </w:pPr>
    </w:p>
    <w:p w14:paraId="3932C02E">
      <w:pPr>
        <w:pStyle w:val="18"/>
        <w:rPr>
          <w:rFonts w:hint="default" w:hAnsi="宋体" w:cs="宋体"/>
          <w:b/>
          <w:color w:val="auto"/>
          <w:szCs w:val="20"/>
          <w:highlight w:val="none"/>
        </w:rPr>
      </w:pPr>
    </w:p>
    <w:p w14:paraId="315608BA">
      <w:pPr>
        <w:pStyle w:val="13"/>
        <w:kinsoku w:val="0"/>
        <w:overflowPunct w:val="0"/>
        <w:jc w:val="center"/>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七</w:t>
      </w:r>
      <w:r>
        <w:rPr>
          <w:rFonts w:hint="eastAsia" w:ascii="宋体" w:hAnsi="宋体" w:eastAsia="宋体" w:cs="宋体"/>
          <w:b/>
          <w:color w:val="auto"/>
          <w:kern w:val="0"/>
          <w:sz w:val="24"/>
          <w:szCs w:val="24"/>
          <w:highlight w:val="none"/>
          <w:lang w:val="en-US" w:eastAsia="zh-CN" w:bidi="ar-SA"/>
        </w:rPr>
        <w:t>、询问、质疑和投诉</w:t>
      </w:r>
    </w:p>
    <w:p w14:paraId="6A11560F">
      <w:pPr>
        <w:pStyle w:val="13"/>
        <w:kinsoku w:val="0"/>
        <w:overflowPunct w:val="0"/>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26. </w:t>
      </w:r>
      <w:r>
        <w:rPr>
          <w:rFonts w:hint="eastAsia" w:ascii="宋体" w:hAnsi="宋体"/>
          <w:color w:val="auto"/>
          <w:sz w:val="24"/>
          <w:szCs w:val="24"/>
          <w:highlight w:val="none"/>
        </w:rPr>
        <w:t>供应商对采购活动事项有疑问的，可以向采购人、采购代理机构提出询问。</w:t>
      </w:r>
    </w:p>
    <w:p w14:paraId="7ED3C9A6">
      <w:pPr>
        <w:pStyle w:val="13"/>
        <w:kinsoku w:val="0"/>
        <w:overflowPunct w:val="0"/>
        <w:spacing w:before="17" w:line="360" w:lineRule="auto"/>
        <w:ind w:right="228"/>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27. </w:t>
      </w:r>
      <w:r>
        <w:rPr>
          <w:rFonts w:hint="eastAsia" w:ascii="宋体" w:hAnsi="宋体"/>
          <w:color w:val="auto"/>
          <w:sz w:val="24"/>
          <w:szCs w:val="24"/>
          <w:highlight w:val="none"/>
        </w:rPr>
        <w:t>供应商认为采购文件、采购过程或成交结果使自己的合法权益受到损害的，应当在知道或者应知其权益受到损害之日起七个工作日内，以书面形式向采购人、采购代理机构提出质疑。具体计算时间如下：</w:t>
      </w:r>
    </w:p>
    <w:p w14:paraId="3EF43636">
      <w:pPr>
        <w:pStyle w:val="13"/>
        <w:kinsoku w:val="0"/>
        <w:overflowPunct w:val="0"/>
        <w:spacing w:before="9"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（1）对可以质疑的采购文件提出质疑的，为收到采购文件之日；</w:t>
      </w:r>
    </w:p>
    <w:p w14:paraId="49C32755">
      <w:pPr>
        <w:pStyle w:val="13"/>
        <w:kinsoku w:val="0"/>
        <w:overflowPunct w:val="0"/>
        <w:spacing w:before="9"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（2）对采购过程提出质疑的，为各采购程序环节结束之日；</w:t>
      </w:r>
    </w:p>
    <w:p w14:paraId="0DBC0476">
      <w:pPr>
        <w:pStyle w:val="13"/>
        <w:kinsoku w:val="0"/>
        <w:overflowPunct w:val="0"/>
        <w:spacing w:before="12"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（3）对成交结果提出质疑的，为成交结果公告期限届满之日。 供应商对采购人或采购代理机构的质疑答复不满意或者采购人或采购代理机构未在规定时间内作出答复的，可以在答复期满后十五个工作日内向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监管部门投诉。</w:t>
      </w:r>
    </w:p>
    <w:p w14:paraId="1C27A436">
      <w:pPr>
        <w:pStyle w:val="13"/>
        <w:kinsoku w:val="0"/>
        <w:overflowPunct w:val="0"/>
        <w:spacing w:before="12" w:line="360" w:lineRule="auto"/>
        <w:ind w:right="216"/>
        <w:rPr>
          <w:rFonts w:hint="eastAsia" w:ascii="宋体" w:hAnsi="宋体"/>
          <w:color w:val="auto"/>
          <w:sz w:val="24"/>
          <w:szCs w:val="24"/>
          <w:highlight w:val="none"/>
        </w:rPr>
      </w:pP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 xml:space="preserve"> 除</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须知表另行约定外，质疑、投诉应当采用书面形式，质疑书、投诉书均应明 确阐述采购文件、采购过程、成交结果中使自己合法权益受到损害的实质性内容，提供相关 事实、明确的请求、必要的证明材料，便于有关单位调查、答复和处理。</w:t>
      </w:r>
    </w:p>
    <w:p w14:paraId="767E60E9">
      <w:pPr>
        <w:pStyle w:val="13"/>
        <w:kinsoku w:val="0"/>
        <w:overflowPunct w:val="0"/>
        <w:spacing w:before="5" w:line="360" w:lineRule="auto"/>
        <w:ind w:left="220" w:firstLine="422"/>
        <w:rPr>
          <w:rFonts w:hint="eastAsia" w:ascii="宋体" w:hAnsi="宋体"/>
          <w:color w:val="auto"/>
          <w:sz w:val="24"/>
          <w:szCs w:val="24"/>
          <w:highlight w:val="none"/>
        </w:rPr>
      </w:pPr>
      <w:r>
        <w:rPr>
          <w:rFonts w:hint="eastAsia" w:ascii="宋体" w:hAnsi="宋体"/>
          <w:color w:val="auto"/>
          <w:sz w:val="24"/>
          <w:szCs w:val="24"/>
          <w:highlight w:val="none"/>
        </w:rPr>
        <w:t>供应商提出质疑应当提交质疑函和必要的证明材料，针对同一采购程序环节的质疑必须 在法定质疑期内一次性提出。质疑函应当包括下列内容：</w:t>
      </w:r>
    </w:p>
    <w:p w14:paraId="5721539D">
      <w:pPr>
        <w:pStyle w:val="13"/>
        <w:kinsoku w:val="0"/>
        <w:overflowPunct w:val="0"/>
        <w:spacing w:before="3"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（1）供应商的姓名或者名称、地址、邮编、联系人及联系电话；</w:t>
      </w:r>
    </w:p>
    <w:p w14:paraId="5CCC236A">
      <w:pPr>
        <w:pStyle w:val="13"/>
        <w:kinsoku w:val="0"/>
        <w:overflowPunct w:val="0"/>
        <w:spacing w:before="12"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（2）质疑项目的名称、编号；</w:t>
      </w:r>
    </w:p>
    <w:p w14:paraId="06306BAE">
      <w:pPr>
        <w:pStyle w:val="13"/>
        <w:kinsoku w:val="0"/>
        <w:overflowPunct w:val="0"/>
        <w:spacing w:before="9"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（3）具体、明确的质疑事项和与质疑事项相关的请求；</w:t>
      </w:r>
    </w:p>
    <w:p w14:paraId="05C3F069">
      <w:pPr>
        <w:pStyle w:val="13"/>
        <w:kinsoku w:val="0"/>
        <w:overflowPunct w:val="0"/>
        <w:spacing w:before="9"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（4）事实依据；</w:t>
      </w:r>
    </w:p>
    <w:p w14:paraId="483FFFD1">
      <w:pPr>
        <w:pStyle w:val="13"/>
        <w:kinsoku w:val="0"/>
        <w:overflowPunct w:val="0"/>
        <w:spacing w:before="12"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（5）必要的法律依据；</w:t>
      </w:r>
    </w:p>
    <w:p w14:paraId="06676C0C">
      <w:pPr>
        <w:pStyle w:val="13"/>
        <w:kinsoku w:val="0"/>
        <w:overflowPunct w:val="0"/>
        <w:spacing w:before="9" w:line="360" w:lineRule="auto"/>
        <w:ind w:left="642"/>
        <w:rPr>
          <w:rFonts w:hint="eastAsia" w:ascii="宋体" w:hAnsi="宋体"/>
          <w:color w:val="auto"/>
          <w:sz w:val="24"/>
          <w:szCs w:val="24"/>
          <w:highlight w:val="none"/>
        </w:rPr>
      </w:pPr>
      <w:r>
        <w:rPr>
          <w:rFonts w:hint="eastAsia" w:ascii="宋体" w:hAnsi="宋体"/>
          <w:color w:val="auto"/>
          <w:sz w:val="24"/>
          <w:szCs w:val="24"/>
          <w:highlight w:val="none"/>
        </w:rPr>
        <w:t xml:space="preserve">（6）提出质疑的日期。供应商为自然人的，应当由本人签字；供应商为法人或者其他组织的，应当由法定代表人、主要负责人，或者其授权代表签字或者盖章，并加盖公章。 </w:t>
      </w:r>
    </w:p>
    <w:p w14:paraId="2D1141A9">
      <w:pPr>
        <w:pStyle w:val="13"/>
        <w:kinsoku w:val="0"/>
        <w:overflowPunct w:val="0"/>
        <w:spacing w:before="5" w:line="360" w:lineRule="auto"/>
        <w:ind w:right="2698"/>
        <w:rPr>
          <w:rFonts w:hint="eastAsia" w:ascii="宋体" w:hAnsi="宋体"/>
          <w:color w:val="auto"/>
          <w:sz w:val="24"/>
          <w:szCs w:val="24"/>
          <w:highlight w:val="none"/>
        </w:rPr>
      </w:pPr>
      <w:r>
        <w:rPr>
          <w:rFonts w:hint="eastAsia" w:ascii="宋体" w:hAnsi="宋体"/>
          <w:color w:val="auto"/>
          <w:sz w:val="24"/>
          <w:szCs w:val="24"/>
          <w:highlight w:val="none"/>
          <w:lang w:val="en-US" w:eastAsia="zh-CN"/>
        </w:rPr>
        <w:t>29.</w:t>
      </w:r>
      <w:r>
        <w:rPr>
          <w:rFonts w:hint="eastAsia" w:ascii="宋体" w:hAnsi="宋体"/>
          <w:color w:val="auto"/>
          <w:sz w:val="24"/>
          <w:szCs w:val="24"/>
          <w:highlight w:val="none"/>
        </w:rPr>
        <w:t xml:space="preserve"> 质疑联系部门及联系方式</w:t>
      </w:r>
    </w:p>
    <w:p w14:paraId="3FA715B7">
      <w:pPr>
        <w:pStyle w:val="13"/>
        <w:kinsoku w:val="0"/>
        <w:overflowPunct w:val="0"/>
        <w:spacing w:before="3" w:line="360" w:lineRule="auto"/>
        <w:ind w:left="642" w:right="6374"/>
        <w:rPr>
          <w:rFonts w:hint="eastAsia" w:ascii="宋体" w:hAnsi="宋体"/>
          <w:color w:val="auto"/>
          <w:sz w:val="24"/>
          <w:szCs w:val="24"/>
          <w:highlight w:val="none"/>
        </w:rPr>
      </w:pPr>
      <w:r>
        <w:rPr>
          <w:rFonts w:hint="eastAsia" w:ascii="宋体" w:hAnsi="宋体"/>
          <w:color w:val="auto"/>
          <w:sz w:val="24"/>
          <w:szCs w:val="24"/>
          <w:highlight w:val="none"/>
        </w:rPr>
        <w:t xml:space="preserve">详见本须知前附表。 </w:t>
      </w:r>
    </w:p>
    <w:p w14:paraId="40F224FE">
      <w:pPr>
        <w:pStyle w:val="13"/>
        <w:kinsoku w:val="0"/>
        <w:overflowPunct w:val="0"/>
        <w:spacing w:before="3" w:line="360" w:lineRule="auto"/>
        <w:ind w:right="6374"/>
        <w:rPr>
          <w:rFonts w:hint="eastAsia" w:ascii="宋体" w:hAnsi="宋体"/>
          <w:color w:val="auto"/>
          <w:sz w:val="24"/>
          <w:szCs w:val="24"/>
          <w:highlight w:val="none"/>
        </w:rPr>
      </w:pP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 xml:space="preserve">名词解释 </w:t>
      </w:r>
    </w:p>
    <w:p w14:paraId="41BA12B6">
      <w:pPr>
        <w:pStyle w:val="3"/>
        <w:ind w:firstLine="480" w:firstLineChars="200"/>
        <w:jc w:val="left"/>
        <w:rPr>
          <w:b w:val="0"/>
          <w:bCs w:val="0"/>
          <w:color w:val="auto"/>
          <w:highlight w:val="none"/>
        </w:rPr>
        <w:sectPr>
          <w:footerReference r:id="rId10" w:type="first"/>
          <w:pgSz w:w="11906" w:h="16838"/>
          <w:pgMar w:top="851" w:right="849" w:bottom="1134" w:left="993" w:header="720" w:footer="720" w:gutter="0"/>
          <w:pgBorders>
            <w:top w:val="none" w:sz="0" w:space="0"/>
            <w:left w:val="none" w:sz="0" w:space="0"/>
            <w:bottom w:val="none" w:sz="0" w:space="0"/>
            <w:right w:val="none" w:sz="0" w:space="0"/>
          </w:pgBorders>
          <w:cols w:space="720" w:num="1"/>
          <w:titlePg/>
          <w:docGrid w:linePitch="312" w:charSpace="0"/>
        </w:sectPr>
      </w:pPr>
      <w:bookmarkStart w:id="12" w:name="_Toc16177"/>
      <w:r>
        <w:rPr>
          <w:rFonts w:hint="eastAsia" w:ascii="宋体" w:hAnsi="宋体"/>
          <w:b w:val="0"/>
          <w:bCs w:val="0"/>
          <w:color w:val="auto"/>
          <w:sz w:val="24"/>
          <w:szCs w:val="24"/>
          <w:highlight w:val="none"/>
        </w:rPr>
        <w:t>详见本须知前附表。</w:t>
      </w:r>
      <w:bookmarkEnd w:id="12"/>
    </w:p>
    <w:p w14:paraId="52C5D592">
      <w:pPr>
        <w:pStyle w:val="3"/>
        <w:spacing w:before="0" w:after="0" w:line="240" w:lineRule="auto"/>
        <w:rPr>
          <w:color w:val="auto"/>
          <w:highlight w:val="none"/>
        </w:rPr>
      </w:pPr>
      <w:bookmarkStart w:id="13" w:name="_Toc1719470"/>
      <w:bookmarkStart w:id="14" w:name="_Toc3199"/>
      <w:bookmarkStart w:id="15" w:name="_Toc22840"/>
      <w:bookmarkStart w:id="16" w:name="_Toc18238"/>
      <w:bookmarkStart w:id="17" w:name="_Toc32342"/>
      <w:r>
        <w:rPr>
          <w:rFonts w:hint="eastAsia"/>
          <w:color w:val="auto"/>
          <w:highlight w:val="none"/>
        </w:rPr>
        <w:t>第三章  项目需求</w:t>
      </w:r>
      <w:bookmarkEnd w:id="13"/>
      <w:bookmarkEnd w:id="14"/>
      <w:bookmarkEnd w:id="15"/>
      <w:bookmarkEnd w:id="16"/>
      <w:bookmarkEnd w:id="17"/>
    </w:p>
    <w:p w14:paraId="16E9541F">
      <w:pPr>
        <w:spacing w:line="360" w:lineRule="auto"/>
        <w:ind w:left="-10" w:leftChars="-5" w:right="2" w:rightChars="1" w:firstLine="480" w:firstLineChars="200"/>
        <w:rPr>
          <w:color w:val="auto"/>
          <w:sz w:val="24"/>
          <w:szCs w:val="24"/>
          <w:highlight w:val="none"/>
        </w:rPr>
      </w:pPr>
      <w:bookmarkStart w:id="18" w:name="_Toc19037"/>
      <w:bookmarkStart w:id="19" w:name="_Toc1719471"/>
      <w:bookmarkStart w:id="20" w:name="_Toc6983"/>
      <w:bookmarkStart w:id="21" w:name="_Toc29668"/>
      <w:r>
        <w:rPr>
          <w:rFonts w:hint="eastAsia"/>
          <w:color w:val="auto"/>
          <w:sz w:val="24"/>
          <w:szCs w:val="24"/>
          <w:highlight w:val="none"/>
          <w:lang w:eastAsia="zh-CN"/>
        </w:rPr>
        <w:t>一、</w:t>
      </w:r>
      <w:r>
        <w:rPr>
          <w:rFonts w:hint="eastAsia"/>
          <w:color w:val="auto"/>
          <w:sz w:val="24"/>
          <w:szCs w:val="24"/>
          <w:highlight w:val="none"/>
        </w:rPr>
        <w:t>说明：</w:t>
      </w:r>
    </w:p>
    <w:p w14:paraId="1614A46F">
      <w:pPr>
        <w:spacing w:line="360" w:lineRule="auto"/>
        <w:ind w:left="-10" w:leftChars="-5" w:right="2" w:rightChars="1"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本一览表中参考品牌型号及技术参数性能（配置）不明确或有误的，或</w:t>
      </w:r>
      <w:r>
        <w:rPr>
          <w:rFonts w:hint="eastAsia"/>
          <w:color w:val="auto"/>
          <w:sz w:val="24"/>
          <w:szCs w:val="24"/>
          <w:highlight w:val="none"/>
        </w:rPr>
        <w:t>谈判供应商</w:t>
      </w:r>
      <w:r>
        <w:rPr>
          <w:color w:val="auto"/>
          <w:sz w:val="24"/>
          <w:szCs w:val="24"/>
          <w:highlight w:val="none"/>
        </w:rPr>
        <w:t>选用其他品牌型号替代的，请以详细、正确的品牌型号、技术参数性能（配置）同时填写</w:t>
      </w:r>
      <w:r>
        <w:rPr>
          <w:rFonts w:hint="eastAsia"/>
          <w:color w:val="auto"/>
          <w:sz w:val="24"/>
          <w:szCs w:val="24"/>
          <w:highlight w:val="none"/>
        </w:rPr>
        <w:t>谈判</w:t>
      </w:r>
      <w:r>
        <w:rPr>
          <w:color w:val="auto"/>
          <w:sz w:val="24"/>
          <w:szCs w:val="24"/>
          <w:highlight w:val="none"/>
        </w:rPr>
        <w:t>报价表和技术规格</w:t>
      </w:r>
      <w:r>
        <w:rPr>
          <w:rFonts w:hint="eastAsia"/>
          <w:color w:val="auto"/>
          <w:sz w:val="24"/>
          <w:szCs w:val="24"/>
          <w:highlight w:val="none"/>
        </w:rPr>
        <w:t>偏离</w:t>
      </w:r>
      <w:r>
        <w:rPr>
          <w:color w:val="auto"/>
          <w:sz w:val="24"/>
          <w:szCs w:val="24"/>
          <w:highlight w:val="none"/>
        </w:rPr>
        <w:t>表。</w:t>
      </w:r>
    </w:p>
    <w:p w14:paraId="7CEC53E8">
      <w:pPr>
        <w:spacing w:line="360" w:lineRule="auto"/>
        <w:ind w:left="-10" w:leftChars="-5" w:right="2" w:rightChars="1" w:firstLine="480" w:firstLineChars="200"/>
        <w:rPr>
          <w:color w:val="auto"/>
          <w:sz w:val="24"/>
          <w:szCs w:val="24"/>
          <w:highlight w:val="none"/>
        </w:rPr>
      </w:pPr>
      <w:r>
        <w:rPr>
          <w:rFonts w:hint="eastAsia"/>
          <w:color w:val="auto"/>
          <w:sz w:val="24"/>
          <w:szCs w:val="24"/>
          <w:highlight w:val="none"/>
        </w:rPr>
        <w:t>2、小型、微型企业提供中、大型企业制造货物的，视同为中、大型企业。</w:t>
      </w:r>
    </w:p>
    <w:p w14:paraId="5077D778">
      <w:pPr>
        <w:spacing w:line="360" w:lineRule="auto"/>
        <w:ind w:left="-10" w:leftChars="-5" w:right="2" w:rightChars="1" w:firstLine="480" w:firstLineChars="200"/>
        <w:rPr>
          <w:color w:val="auto"/>
          <w:sz w:val="24"/>
          <w:szCs w:val="24"/>
          <w:highlight w:val="none"/>
        </w:rPr>
      </w:pPr>
      <w:r>
        <w:rPr>
          <w:rFonts w:hint="eastAsia"/>
          <w:color w:val="auto"/>
          <w:sz w:val="24"/>
          <w:szCs w:val="24"/>
          <w:highlight w:val="none"/>
        </w:rPr>
        <w:t>3、《节能产品政府采购品目清单》见《关于印发节能产品政府采购品目清单的通知》（财库〔2019〕19号）附件。采购人采购的产品属于清单中品目的，在技术、服务等指标满足采购需求的前提下，品目清单中非标注“</w:t>
      </w:r>
      <w:r>
        <w:rPr>
          <w:rFonts w:hint="eastAsia" w:asciiTheme="minorEastAsia" w:hAnsiTheme="minorEastAsia" w:eastAsiaTheme="minorEastAsia" w:cstheme="minorBidi"/>
          <w:b/>
          <w:color w:val="auto"/>
          <w:sz w:val="24"/>
          <w:szCs w:val="24"/>
          <w:highlight w:val="none"/>
        </w:rPr>
        <w:t>★</w:t>
      </w:r>
      <w:r>
        <w:rPr>
          <w:rFonts w:hint="eastAsia"/>
          <w:color w:val="auto"/>
          <w:sz w:val="24"/>
          <w:szCs w:val="24"/>
          <w:highlight w:val="none"/>
        </w:rPr>
        <w:t>”的项目为优先采购的节能产品，品目清单中标注“</w:t>
      </w:r>
      <w:r>
        <w:rPr>
          <w:rFonts w:hint="eastAsia" w:asciiTheme="minorEastAsia" w:hAnsiTheme="minorEastAsia" w:eastAsiaTheme="minorEastAsia" w:cstheme="minorBidi"/>
          <w:b/>
          <w:color w:val="auto"/>
          <w:sz w:val="24"/>
          <w:szCs w:val="24"/>
          <w:highlight w:val="none"/>
        </w:rPr>
        <w:t>★</w:t>
      </w:r>
      <w:r>
        <w:rPr>
          <w:rFonts w:hint="eastAsia"/>
          <w:color w:val="auto"/>
          <w:sz w:val="24"/>
          <w:szCs w:val="24"/>
          <w:highlight w:val="none"/>
        </w:rPr>
        <w:t>”的项目为政府强制采购节能产品。</w:t>
      </w:r>
    </w:p>
    <w:p w14:paraId="46F3DFFE">
      <w:pPr>
        <w:spacing w:line="360" w:lineRule="auto"/>
        <w:ind w:left="-10" w:leftChars="-5" w:right="2" w:rightChars="1" w:firstLine="480" w:firstLineChars="200"/>
        <w:rPr>
          <w:color w:val="auto"/>
          <w:sz w:val="24"/>
          <w:szCs w:val="24"/>
          <w:highlight w:val="none"/>
        </w:rPr>
      </w:pPr>
      <w:r>
        <w:rPr>
          <w:rFonts w:hint="eastAsia"/>
          <w:color w:val="auto"/>
          <w:sz w:val="24"/>
          <w:szCs w:val="24"/>
          <w:highlight w:val="none"/>
        </w:rPr>
        <w:t>《环境标志产品政府采购品目清单》见《关于印发环境标志产品政府采购品目清单的通知》（财库〔2019〕18号）附件。采购人采购的产品属于清单中品目的，在性能、技术、服务等指标同等条件下，优先采购环境标志产品。</w:t>
      </w:r>
    </w:p>
    <w:p w14:paraId="3B84C530">
      <w:pPr>
        <w:spacing w:line="360" w:lineRule="auto"/>
        <w:ind w:left="-10" w:leftChars="-5" w:right="2" w:rightChars="1" w:firstLine="482" w:firstLineChars="200"/>
        <w:rPr>
          <w:b/>
          <w:color w:val="auto"/>
          <w:sz w:val="24"/>
          <w:szCs w:val="24"/>
          <w:highlight w:val="none"/>
        </w:rPr>
      </w:pPr>
      <w:r>
        <w:rPr>
          <w:rFonts w:hint="eastAsia"/>
          <w:b/>
          <w:color w:val="auto"/>
          <w:sz w:val="24"/>
          <w:szCs w:val="24"/>
          <w:highlight w:val="none"/>
        </w:rPr>
        <w:t>4、特别说明：</w:t>
      </w:r>
    </w:p>
    <w:p w14:paraId="1BD46D4A">
      <w:pPr>
        <w:spacing w:line="360" w:lineRule="auto"/>
        <w:ind w:left="-10" w:leftChars="-5" w:right="2" w:rightChars="1" w:firstLine="482" w:firstLineChars="200"/>
        <w:rPr>
          <w:b/>
          <w:color w:val="auto"/>
          <w:sz w:val="24"/>
          <w:szCs w:val="24"/>
          <w:highlight w:val="none"/>
        </w:rPr>
      </w:pPr>
      <w:r>
        <w:rPr>
          <w:rFonts w:hint="eastAsia"/>
          <w:b/>
          <w:color w:val="auto"/>
          <w:sz w:val="24"/>
          <w:szCs w:val="24"/>
          <w:highlight w:val="none"/>
        </w:rPr>
        <w:t>4</w:t>
      </w:r>
      <w:r>
        <w:rPr>
          <w:b/>
          <w:color w:val="auto"/>
          <w:sz w:val="24"/>
          <w:szCs w:val="24"/>
          <w:highlight w:val="none"/>
        </w:rPr>
        <w:t>.1</w:t>
      </w:r>
      <w:r>
        <w:rPr>
          <w:rFonts w:hint="eastAsia"/>
          <w:b/>
          <w:color w:val="auto"/>
          <w:sz w:val="24"/>
          <w:szCs w:val="24"/>
          <w:highlight w:val="none"/>
        </w:rPr>
        <w:t>采用最低评标价法的采购项目，提供相同品牌产品的不同供应商参加同一合同项下谈判的，以其中通过资格审查、符合性审查且报价最低的参加评审；报价相同的，由采购人或者采购人委托谈判小组按照谈判采购文件规定的方式确定一个参加评审的供应商，谈判采购文件未规定的采取随机抽取方式确定，其他竞标无效</w:t>
      </w:r>
      <w:r>
        <w:rPr>
          <w:b/>
          <w:color w:val="auto"/>
          <w:sz w:val="24"/>
          <w:szCs w:val="24"/>
          <w:highlight w:val="none"/>
        </w:rPr>
        <w:t>;</w:t>
      </w:r>
    </w:p>
    <w:p w14:paraId="20F5684B">
      <w:pPr>
        <w:spacing w:line="360" w:lineRule="auto"/>
        <w:ind w:left="-10" w:leftChars="-5" w:right="2" w:rightChars="1" w:firstLine="482" w:firstLineChars="200"/>
        <w:rPr>
          <w:b/>
          <w:color w:val="auto"/>
          <w:sz w:val="24"/>
          <w:szCs w:val="24"/>
          <w:highlight w:val="none"/>
        </w:rPr>
      </w:pPr>
      <w:r>
        <w:rPr>
          <w:rFonts w:hint="eastAsia"/>
          <w:b/>
          <w:color w:val="auto"/>
          <w:sz w:val="24"/>
          <w:szCs w:val="24"/>
          <w:highlight w:val="none"/>
        </w:rPr>
        <w:t>4</w:t>
      </w:r>
      <w:r>
        <w:rPr>
          <w:b/>
          <w:color w:val="auto"/>
          <w:sz w:val="24"/>
          <w:szCs w:val="24"/>
          <w:highlight w:val="none"/>
        </w:rPr>
        <w:t>.2</w:t>
      </w:r>
      <w:r>
        <w:rPr>
          <w:rFonts w:hint="eastAsia"/>
          <w:b/>
          <w:color w:val="auto"/>
          <w:sz w:val="24"/>
          <w:szCs w:val="24"/>
          <w:highlight w:val="none"/>
        </w:rPr>
        <w:t>非单一产品采购项目，采购人应当根据采购项目技术构成、产品价格比重等合理确定核心产品，并在招标文件中载明。多家供应商提供的核心产品品牌相同的，按前款规定处理。</w:t>
      </w:r>
    </w:p>
    <w:p w14:paraId="380DDFF9">
      <w:pPr>
        <w:spacing w:line="360" w:lineRule="auto"/>
        <w:ind w:left="-10" w:leftChars="-5" w:right="2" w:rightChars="1" w:firstLine="482" w:firstLineChars="200"/>
        <w:rPr>
          <w:b/>
          <w:color w:val="auto"/>
          <w:sz w:val="24"/>
          <w:szCs w:val="24"/>
          <w:highlight w:val="none"/>
        </w:rPr>
      </w:pPr>
      <w:r>
        <w:rPr>
          <w:rFonts w:hint="eastAsia"/>
          <w:b/>
          <w:color w:val="auto"/>
          <w:sz w:val="24"/>
          <w:szCs w:val="24"/>
          <w:highlight w:val="none"/>
        </w:rPr>
        <w:t>4</w:t>
      </w:r>
      <w:r>
        <w:rPr>
          <w:b/>
          <w:color w:val="auto"/>
          <w:sz w:val="24"/>
          <w:szCs w:val="24"/>
          <w:highlight w:val="none"/>
        </w:rPr>
        <w:t>.3</w:t>
      </w:r>
      <w:r>
        <w:rPr>
          <w:rFonts w:hint="eastAsia"/>
          <w:b/>
          <w:color w:val="auto"/>
          <w:sz w:val="24"/>
          <w:szCs w:val="24"/>
          <w:highlight w:val="none"/>
        </w:rPr>
        <w:t>供应商谈判所使用的资格、信誉、荣誉、业绩与企业认证必须为本法人所拥有。供应商竞标所使用的采购项目实施人员必须为本法人员工（或必须为本法人或控股公司正式员工）。</w:t>
      </w:r>
    </w:p>
    <w:p w14:paraId="5084AC70">
      <w:pPr>
        <w:numPr>
          <w:ilvl w:val="0"/>
          <w:numId w:val="5"/>
        </w:numPr>
        <w:spacing w:line="276" w:lineRule="auto"/>
        <w:ind w:left="-10" w:leftChars="-5" w:right="2" w:rightChars="1" w:firstLine="482" w:firstLineChars="200"/>
        <w:rPr>
          <w:rFonts w:hint="eastAsia"/>
          <w:b/>
          <w:color w:val="auto"/>
          <w:sz w:val="24"/>
          <w:szCs w:val="24"/>
          <w:highlight w:val="none"/>
        </w:rPr>
      </w:pPr>
      <w:r>
        <w:rPr>
          <w:rFonts w:hint="eastAsia"/>
          <w:b/>
          <w:color w:val="auto"/>
          <w:sz w:val="24"/>
          <w:szCs w:val="24"/>
          <w:highlight w:val="none"/>
        </w:rPr>
        <w:t>技术参数及要求</w:t>
      </w:r>
      <w:r>
        <w:rPr>
          <w:rFonts w:hint="eastAsia"/>
          <w:b/>
          <w:color w:val="auto"/>
          <w:sz w:val="24"/>
          <w:szCs w:val="24"/>
          <w:highlight w:val="none"/>
          <w:lang w:eastAsia="zh-CN"/>
        </w:rPr>
        <w:t>标注“▲”的项</w:t>
      </w:r>
      <w:r>
        <w:rPr>
          <w:rFonts w:hint="eastAsia"/>
          <w:b/>
          <w:color w:val="auto"/>
          <w:sz w:val="24"/>
          <w:szCs w:val="24"/>
          <w:highlight w:val="none"/>
        </w:rPr>
        <w:t>供应商必须全部满足或优于，</w:t>
      </w:r>
      <w:r>
        <w:rPr>
          <w:rFonts w:hint="eastAsia"/>
          <w:b/>
          <w:color w:val="auto"/>
          <w:sz w:val="24"/>
          <w:szCs w:val="24"/>
          <w:highlight w:val="none"/>
          <w:lang w:val="en-US" w:eastAsia="zh-CN"/>
        </w:rPr>
        <w:t>非</w:t>
      </w:r>
      <w:r>
        <w:rPr>
          <w:rFonts w:hint="eastAsia"/>
          <w:b/>
          <w:color w:val="auto"/>
          <w:sz w:val="24"/>
          <w:szCs w:val="24"/>
          <w:highlight w:val="none"/>
          <w:lang w:eastAsia="zh-CN"/>
        </w:rPr>
        <w:t>标注“▲”项，允许</w:t>
      </w:r>
      <w:r>
        <w:rPr>
          <w:rFonts w:hint="eastAsia"/>
          <w:b/>
          <w:color w:val="auto"/>
          <w:sz w:val="24"/>
          <w:szCs w:val="24"/>
          <w:highlight w:val="none"/>
          <w:lang w:val="en-US" w:eastAsia="zh-CN"/>
        </w:rPr>
        <w:t>3项负偏离，</w:t>
      </w:r>
      <w:r>
        <w:rPr>
          <w:rFonts w:hint="eastAsia"/>
          <w:b/>
          <w:color w:val="auto"/>
          <w:sz w:val="24"/>
          <w:szCs w:val="24"/>
          <w:highlight w:val="none"/>
        </w:rPr>
        <w:t>否则竞标无效。</w:t>
      </w:r>
    </w:p>
    <w:p w14:paraId="383A07AE">
      <w:pPr>
        <w:numPr>
          <w:ilvl w:val="0"/>
          <w:numId w:val="5"/>
        </w:numPr>
        <w:spacing w:line="276" w:lineRule="auto"/>
        <w:ind w:left="-10" w:leftChars="-5" w:right="2" w:rightChars="1" w:firstLine="482" w:firstLineChars="200"/>
        <w:rPr>
          <w:rFonts w:hint="eastAsia"/>
          <w:b/>
          <w:color w:val="auto"/>
          <w:sz w:val="24"/>
          <w:szCs w:val="24"/>
          <w:highlight w:val="none"/>
        </w:rPr>
      </w:pPr>
      <w:r>
        <w:rPr>
          <w:rFonts w:hint="eastAsia"/>
          <w:b/>
          <w:color w:val="auto"/>
          <w:sz w:val="24"/>
          <w:szCs w:val="24"/>
          <w:highlight w:val="none"/>
        </w:rPr>
        <w:t>项目所属行业：</w:t>
      </w:r>
      <w:r>
        <w:rPr>
          <w:rFonts w:hint="eastAsia"/>
          <w:b/>
          <w:color w:val="auto"/>
          <w:sz w:val="24"/>
          <w:szCs w:val="24"/>
          <w:highlight w:val="none"/>
          <w:lang w:eastAsia="zh-CN"/>
        </w:rPr>
        <w:t>工业</w:t>
      </w:r>
    </w:p>
    <w:p w14:paraId="446AC2F1">
      <w:pPr>
        <w:rPr>
          <w:rFonts w:ascii="宋体" w:hAnsi="宋体" w:cs="宋体"/>
          <w:b/>
          <w:bCs/>
          <w:color w:val="auto"/>
          <w:sz w:val="24"/>
          <w:szCs w:val="24"/>
          <w:highlight w:val="none"/>
        </w:rPr>
      </w:pPr>
    </w:p>
    <w:p w14:paraId="68F6153F">
      <w:pPr>
        <w:rPr>
          <w:rFonts w:ascii="宋体" w:hAnsi="宋体" w:cs="宋体"/>
          <w:b/>
          <w:bCs/>
          <w:color w:val="auto"/>
          <w:sz w:val="28"/>
          <w:szCs w:val="28"/>
          <w:highlight w:val="none"/>
        </w:rPr>
      </w:pPr>
      <w:r>
        <w:rPr>
          <w:rFonts w:hint="eastAsia" w:ascii="宋体" w:hAnsi="宋体" w:cs="宋体"/>
          <w:b/>
          <w:bCs/>
          <w:color w:val="auto"/>
          <w:sz w:val="28"/>
          <w:szCs w:val="28"/>
          <w:highlight w:val="none"/>
        </w:rPr>
        <w:t>（一）技术要求</w:t>
      </w:r>
    </w:p>
    <w:tbl>
      <w:tblPr>
        <w:tblStyle w:val="35"/>
        <w:tblpPr w:leftFromText="180" w:rightFromText="180" w:vertAnchor="text" w:horzAnchor="page" w:tblpX="1435" w:tblpY="386"/>
        <w:tblOverlap w:val="never"/>
        <w:tblW w:w="89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546"/>
        <w:gridCol w:w="457"/>
        <w:gridCol w:w="7484"/>
      </w:tblGrid>
      <w:tr w14:paraId="2E78C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7" w:type="dxa"/>
            <w:vAlign w:val="center"/>
          </w:tcPr>
          <w:p w14:paraId="67522218">
            <w:pPr>
              <w:jc w:val="center"/>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序号</w:t>
            </w:r>
          </w:p>
        </w:tc>
        <w:tc>
          <w:tcPr>
            <w:tcW w:w="546" w:type="dxa"/>
            <w:vAlign w:val="center"/>
          </w:tcPr>
          <w:p w14:paraId="50C8AC97">
            <w:pPr>
              <w:jc w:val="center"/>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货物名称</w:t>
            </w:r>
          </w:p>
        </w:tc>
        <w:tc>
          <w:tcPr>
            <w:tcW w:w="457" w:type="dxa"/>
            <w:vAlign w:val="center"/>
          </w:tcPr>
          <w:p w14:paraId="7888C6B7">
            <w:pPr>
              <w:jc w:val="center"/>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数量</w:t>
            </w:r>
          </w:p>
        </w:tc>
        <w:tc>
          <w:tcPr>
            <w:tcW w:w="7484" w:type="dxa"/>
            <w:tcBorders>
              <w:left w:val="single" w:color="auto" w:sz="4" w:space="0"/>
              <w:right w:val="single" w:color="auto" w:sz="4" w:space="0"/>
            </w:tcBorders>
            <w:vAlign w:val="center"/>
          </w:tcPr>
          <w:p w14:paraId="04CC30D1">
            <w:pPr>
              <w:jc w:val="center"/>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技术指标要求</w:t>
            </w:r>
          </w:p>
        </w:tc>
      </w:tr>
      <w:tr w14:paraId="5CCB7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7" w:type="dxa"/>
            <w:vAlign w:val="center"/>
          </w:tcPr>
          <w:p w14:paraId="0686D45B">
            <w:pPr>
              <w:jc w:val="center"/>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w:t>
            </w:r>
          </w:p>
        </w:tc>
        <w:tc>
          <w:tcPr>
            <w:tcW w:w="546" w:type="dxa"/>
            <w:vAlign w:val="center"/>
          </w:tcPr>
          <w:p w14:paraId="18DF7ECA">
            <w:pPr>
              <w:jc w:val="center"/>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全自动染色体核型分析及扫描设备</w:t>
            </w:r>
          </w:p>
        </w:tc>
        <w:tc>
          <w:tcPr>
            <w:tcW w:w="457" w:type="dxa"/>
            <w:vAlign w:val="center"/>
          </w:tcPr>
          <w:p w14:paraId="7FAC2744">
            <w:pPr>
              <w:jc w:val="center"/>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1套</w:t>
            </w:r>
          </w:p>
        </w:tc>
        <w:tc>
          <w:tcPr>
            <w:tcW w:w="7484" w:type="dxa"/>
            <w:tcBorders>
              <w:left w:val="single" w:color="auto" w:sz="4" w:space="0"/>
              <w:right w:val="single" w:color="auto" w:sz="4" w:space="0"/>
            </w:tcBorders>
            <w:vAlign w:val="center"/>
          </w:tcPr>
          <w:p w14:paraId="6D130F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一、显微镜部分</w:t>
            </w:r>
          </w:p>
          <w:p w14:paraId="2BC428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光学系统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无限远校正光学系统，保证光通过目镜到物镜整个光路中的所有棱镜及镜片时的绝对平行；</w:t>
            </w:r>
          </w:p>
          <w:p w14:paraId="686CAC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具有明场/具有顶部摄像出口；</w:t>
            </w:r>
          </w:p>
          <w:p w14:paraId="554D72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电动七位物镜转换器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提供相关证明材料</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包括但不限于彩页、官网和功能截图等）</w:t>
            </w:r>
          </w:p>
          <w:p w14:paraId="5BA78D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放大倍数：10X-100X；</w:t>
            </w:r>
          </w:p>
          <w:p w14:paraId="7786FC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透射光照明：可选卤素光源或专用LED光源。选用LED 光源时，无需调节就</w:t>
            </w:r>
            <w:r>
              <w:rPr>
                <w:rFonts w:hint="eastAsia" w:asciiTheme="minorEastAsia" w:hAnsiTheme="minorEastAsia" w:eastAsiaTheme="minorEastAsia" w:cstheme="minorEastAsia"/>
                <w:color w:val="auto"/>
                <w:sz w:val="24"/>
                <w:szCs w:val="24"/>
                <w:highlight w:val="none"/>
                <w:lang w:val="en-US" w:eastAsia="zh-CN"/>
              </w:rPr>
              <w:t>能为</w:t>
            </w:r>
            <w:r>
              <w:rPr>
                <w:rFonts w:hint="eastAsia" w:asciiTheme="minorEastAsia" w:hAnsiTheme="minorEastAsia" w:eastAsiaTheme="minorEastAsia" w:cstheme="minorEastAsia"/>
                <w:color w:val="auto"/>
                <w:sz w:val="24"/>
                <w:szCs w:val="24"/>
                <w:highlight w:val="none"/>
              </w:rPr>
              <w:t>整个视场</w:t>
            </w: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rPr>
              <w:t>均匀的照明</w:t>
            </w:r>
            <w:r>
              <w:rPr>
                <w:rFonts w:hint="eastAsia" w:asciiTheme="minorEastAsia" w:hAnsiTheme="minorEastAsia" w:eastAsiaTheme="minorEastAsia" w:cstheme="minorEastAsia"/>
                <w:color w:val="auto"/>
                <w:sz w:val="24"/>
                <w:szCs w:val="24"/>
                <w:highlight w:val="none"/>
                <w:lang w:eastAsia="zh-CN"/>
              </w:rPr>
              <w:t>；</w:t>
            </w:r>
          </w:p>
          <w:p w14:paraId="5A7069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电动调焦</w:t>
            </w:r>
          </w:p>
          <w:p w14:paraId="21AE32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三目镜筒：视野≥22mm</w:t>
            </w:r>
          </w:p>
          <w:p w14:paraId="2FA0F7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 xml:space="preserve">电动载物台，载物台最大速度：100mm/S </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载物台定位精度：±3μm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载物台运动重复性：＜1μm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自动对焦精度：≤0.015μm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显微镜自动对焦重复性：≤0.01μm；</w:t>
            </w:r>
          </w:p>
          <w:p w14:paraId="7D2FB3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阿贝聚光镜, N.A. 1.1</w:t>
            </w:r>
          </w:p>
          <w:p w14:paraId="5D7BE8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物镜：10X (NA=0.25) 工作距离≥10.6mm；100X(NA=1.30) 工作距离≥0.2mm；</w:t>
            </w:r>
          </w:p>
          <w:p w14:paraId="1273C9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10X宽视野目镜</w:t>
            </w:r>
          </w:p>
          <w:p w14:paraId="228E0F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目镜屈光度可调</w:t>
            </w:r>
          </w:p>
          <w:p w14:paraId="698EC0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自动进样系统</w:t>
            </w:r>
          </w:p>
          <w:p w14:paraId="6BD54D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高精度电动扫描载物台：全自动扫描台，同时可放置玻片≥6片，通过软件全自动控制，保证长时间扫描焦距不变；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提供相关证明材料</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包括但不限于彩页、官网和功能截图等）</w:t>
            </w:r>
          </w:p>
          <w:p w14:paraId="0F91B2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单张玻片扫描时间（每张玻片拍摄50个中期分裂项）≤6</w:t>
            </w:r>
            <w:r>
              <w:rPr>
                <w:rFonts w:hint="eastAsia" w:asciiTheme="minorEastAsia" w:hAnsiTheme="minorEastAsia" w:eastAsiaTheme="minorEastAsia" w:cstheme="minorEastAsia"/>
                <w:color w:val="auto"/>
                <w:sz w:val="24"/>
                <w:szCs w:val="24"/>
                <w:highlight w:val="none"/>
                <w:lang w:eastAsia="zh-CN"/>
              </w:rPr>
              <w:t>分钟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提供相关证明材料</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包括但不限于彩页、官网和功能截图等）</w:t>
            </w:r>
          </w:p>
          <w:p w14:paraId="3CD112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自动调用10x物镜预扫描，自动检测盖玻片边缘和滴片区域，进行准确、快速的对焦；</w:t>
            </w:r>
          </w:p>
          <w:p w14:paraId="191AF5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具有自动加油功能：油镜下自动滴加镜油，保证镜油能均匀覆盖在玻片表面；</w:t>
            </w:r>
          </w:p>
          <w:p w14:paraId="249039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自动转换调用100x物镜拍摄中期分裂相图片，数量可自行设定；</w:t>
            </w:r>
          </w:p>
          <w:p w14:paraId="394767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14.具备</w:t>
            </w:r>
            <w:r>
              <w:rPr>
                <w:rFonts w:hint="eastAsia" w:asciiTheme="minorEastAsia" w:hAnsiTheme="minorEastAsia" w:eastAsiaTheme="minorEastAsia" w:cstheme="minorEastAsia"/>
                <w:color w:val="auto"/>
                <w:sz w:val="24"/>
                <w:szCs w:val="24"/>
                <w:highlight w:val="none"/>
              </w:rPr>
              <w:t>图像采集系统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曝光时间：0.15ms-3600s</w:t>
            </w:r>
          </w:p>
          <w:p w14:paraId="44E091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全帧摄取图像</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710万像素，分辨率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3200*2200</w:t>
            </w:r>
            <w:r>
              <w:rPr>
                <w:rFonts w:hint="eastAsia" w:asciiTheme="minorEastAsia" w:hAnsiTheme="minorEastAsia" w:eastAsiaTheme="minorEastAsia" w:cstheme="minorEastAsia"/>
                <w:color w:val="auto"/>
                <w:sz w:val="24"/>
                <w:szCs w:val="24"/>
                <w:highlight w:val="none"/>
                <w:lang w:eastAsia="zh-CN"/>
              </w:rPr>
              <w:t>。</w:t>
            </w:r>
          </w:p>
          <w:p w14:paraId="47DCBF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支持USB3.0图像高速传输接口</w:t>
            </w:r>
          </w:p>
          <w:p w14:paraId="6F9B49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二、核型分析系统功能</w:t>
            </w:r>
          </w:p>
          <w:p w14:paraId="54901C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自动分析性能</w:t>
            </w:r>
          </w:p>
          <w:p w14:paraId="31CEAA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使用智能分析辅助功能，对原始中期分裂相图片进行一键分析操作后，直接提供的染色体排列正确完成度≥98%且耗时≤2秒；</w:t>
            </w:r>
          </w:p>
          <w:p w14:paraId="519C77BB">
            <w:pPr>
              <w:pStyle w:val="1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染色单体识别准确率≥98%；</w:t>
            </w:r>
            <w:r>
              <w:rPr>
                <w:rFonts w:hint="eastAsia" w:asciiTheme="minorEastAsia" w:hAnsiTheme="minorEastAsia" w:eastAsiaTheme="minorEastAsia" w:cstheme="minorEastAsia"/>
                <w:b w:val="0"/>
                <w:bCs w:val="0"/>
                <w:color w:val="auto"/>
                <w:sz w:val="24"/>
                <w:szCs w:val="24"/>
                <w:highlight w:val="none"/>
                <w:lang w:val="en-US" w:eastAsia="zh-CN"/>
              </w:rPr>
              <w:t>需提供</w:t>
            </w:r>
            <w:r>
              <w:rPr>
                <w:rFonts w:hint="eastAsia" w:asciiTheme="minorEastAsia" w:hAnsiTheme="minorEastAsia" w:eastAsiaTheme="minorEastAsia" w:cstheme="minorEastAsia"/>
                <w:b w:val="0"/>
                <w:bCs w:val="0"/>
                <w:color w:val="auto"/>
                <w:sz w:val="24"/>
                <w:szCs w:val="24"/>
                <w:highlight w:val="none"/>
                <w:lang w:val="en-US" w:eastAsia="zh-CN"/>
              </w:rPr>
              <w:t>国家认定的第三方认证机构出具的认证证书或报告作为证明材料</w:t>
            </w:r>
          </w:p>
          <w:p w14:paraId="0694CE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具备</w:t>
            </w:r>
            <w:r>
              <w:rPr>
                <w:rFonts w:hint="eastAsia" w:asciiTheme="minorEastAsia" w:hAnsiTheme="minorEastAsia" w:eastAsiaTheme="minorEastAsia" w:cstheme="minorEastAsia"/>
                <w:color w:val="auto"/>
                <w:sz w:val="24"/>
                <w:szCs w:val="24"/>
                <w:highlight w:val="none"/>
              </w:rPr>
              <w:t>自动化清除染色体图像背景中杂质和污点的功能；</w:t>
            </w:r>
          </w:p>
          <w:p w14:paraId="521264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智能带纹增强，确保分离出的染色体带纹清晰可辨；</w:t>
            </w:r>
          </w:p>
          <w:p w14:paraId="70CDB5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系统采用客户端/服务器架构，在医院授权的局域网内通过客户端软件访问；</w:t>
            </w:r>
          </w:p>
          <w:p w14:paraId="48EBF9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每个终端有独立的U盾密码狗，</w:t>
            </w:r>
            <w:r>
              <w:rPr>
                <w:rFonts w:hint="eastAsia" w:asciiTheme="minorEastAsia" w:hAnsiTheme="minorEastAsia" w:eastAsiaTheme="minorEastAsia" w:cstheme="minorEastAsia"/>
                <w:color w:val="auto"/>
                <w:sz w:val="24"/>
                <w:szCs w:val="24"/>
                <w:highlight w:val="none"/>
                <w:lang w:eastAsia="zh-CN"/>
              </w:rPr>
              <w:t>终端数≥</w:t>
            </w:r>
            <w:r>
              <w:rPr>
                <w:rFonts w:hint="eastAsia" w:asciiTheme="minorEastAsia" w:hAnsiTheme="minorEastAsia" w:eastAsiaTheme="minorEastAsia" w:cstheme="minorEastAsia"/>
                <w:color w:val="auto"/>
                <w:sz w:val="24"/>
                <w:szCs w:val="24"/>
                <w:highlight w:val="none"/>
                <w:lang w:val="en-US" w:eastAsia="zh-CN"/>
              </w:rPr>
              <w:t>2个</w:t>
            </w:r>
          </w:p>
          <w:p w14:paraId="4EB1B0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为方便用户操作和后期维护，服务器系统采用支持</w:t>
            </w:r>
            <w:r>
              <w:rPr>
                <w:rFonts w:hint="eastAsia" w:asciiTheme="minorEastAsia" w:hAnsiTheme="minorEastAsia" w:eastAsiaTheme="minorEastAsia" w:cstheme="minorEastAsia"/>
                <w:color w:val="auto"/>
                <w:sz w:val="24"/>
                <w:szCs w:val="24"/>
                <w:highlight w:val="none"/>
                <w:lang w:val="en-US" w:eastAsia="zh-CN"/>
              </w:rPr>
              <w:t>常规</w:t>
            </w:r>
            <w:r>
              <w:rPr>
                <w:rFonts w:hint="eastAsia" w:asciiTheme="minorEastAsia" w:hAnsiTheme="minorEastAsia" w:eastAsiaTheme="minorEastAsia" w:cstheme="minorEastAsia"/>
                <w:color w:val="auto"/>
                <w:sz w:val="24"/>
                <w:szCs w:val="24"/>
                <w:highlight w:val="none"/>
              </w:rPr>
              <w:t>操作系统。</w:t>
            </w:r>
          </w:p>
          <w:p w14:paraId="58A60C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操作方式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集成化操作方式：从病例数据管理、自动化图像高低质量排序、自动化计数、自动化识别排列、人工确认染色体计数和排列、到最终出具报告（支持全打印或 XN 打印），全部在一个软件系统内完成。</w:t>
            </w:r>
          </w:p>
          <w:p w14:paraId="499089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在全屏幕同一窗口下，列表展示多幅核型图，不同核型图间可随意切换，同时提供大视窗工作区供用户进行工作处理；</w:t>
            </w:r>
          </w:p>
          <w:p w14:paraId="3AD2F8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每张核型图都支持实时状态标注更新，包括未处理、自动分析、计数确认、排列确认等状态；</w:t>
            </w:r>
          </w:p>
          <w:p w14:paraId="2245D8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全功能图标化示意；</w:t>
            </w:r>
          </w:p>
          <w:p w14:paraId="489BDB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支持对比度、亮度等调节，以呈现最佳的染色体条带信息，正向作用于染色体分析；</w:t>
            </w:r>
          </w:p>
          <w:p w14:paraId="1435FB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提供操作记忆能力，可以撤销恢复所执行过的操作过程，</w:t>
            </w:r>
            <w:r>
              <w:rPr>
                <w:rFonts w:hint="eastAsia" w:asciiTheme="minorEastAsia" w:hAnsiTheme="minorEastAsia" w:eastAsiaTheme="minorEastAsia" w:cstheme="minorEastAsia"/>
                <w:strike w:val="0"/>
                <w:dstrike w:val="0"/>
                <w:color w:val="auto"/>
                <w:sz w:val="24"/>
                <w:szCs w:val="24"/>
                <w:highlight w:val="none"/>
                <w:lang w:eastAsia="zh-CN"/>
              </w:rPr>
              <w:t>可</w:t>
            </w:r>
            <w:r>
              <w:rPr>
                <w:rFonts w:hint="eastAsia" w:asciiTheme="minorEastAsia" w:hAnsiTheme="minorEastAsia" w:eastAsiaTheme="minorEastAsia" w:cstheme="minorEastAsia"/>
                <w:color w:val="auto"/>
                <w:sz w:val="24"/>
                <w:szCs w:val="24"/>
                <w:highlight w:val="none"/>
              </w:rPr>
              <w:t>在不同的工作结果间切换；</w:t>
            </w:r>
          </w:p>
          <w:p w14:paraId="3B25C8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核型图病例数据储存在数据库中，可建立医院的病历库，可进行病例搜索、查看和管理等操作；</w:t>
            </w:r>
          </w:p>
          <w:p w14:paraId="3CD42B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在全屏列表展示多幅核型图情况下，具备自动提示染色体核型嵌合体功能。</w:t>
            </w:r>
          </w:p>
          <w:p w14:paraId="129B24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染色体编辑和比对</w:t>
            </w:r>
          </w:p>
          <w:p w14:paraId="2087B2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支持十字交叉染色体的一键点击切割；</w:t>
            </w:r>
          </w:p>
          <w:p w14:paraId="7CE442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支持在排列图中对粘连染色体一键划线切割；</w:t>
            </w:r>
          </w:p>
          <w:p w14:paraId="34F0CF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能对交叉、粘连和重叠的染色体进行自动和手工切割，支持边缘划分、骨架划分等方式</w:t>
            </w:r>
            <w:r>
              <w:rPr>
                <w:rFonts w:hint="eastAsia" w:asciiTheme="minorEastAsia" w:hAnsiTheme="minorEastAsia" w:eastAsiaTheme="minorEastAsia" w:cstheme="minorEastAsia"/>
                <w:strike w:val="0"/>
                <w:dstrike w:val="0"/>
                <w:color w:val="auto"/>
                <w:sz w:val="24"/>
                <w:szCs w:val="24"/>
                <w:highlight w:val="none"/>
              </w:rPr>
              <w:t>；</w:t>
            </w:r>
          </w:p>
          <w:p w14:paraId="299DFB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染色体操作功能多样：能对染色体进行任意角度旋转、缩放、擦除、移动等编辑操作，还可进行单个或全部同号染色体标准图谱比对；</w:t>
            </w:r>
          </w:p>
          <w:p w14:paraId="6EDCD1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支持排列图整体缩放、及单条染色体的缩放；</w:t>
            </w:r>
          </w:p>
          <w:p w14:paraId="39DACE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具备自动染色体计数汇总功能</w:t>
            </w:r>
          </w:p>
          <w:p w14:paraId="672DB7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支持场景</w:t>
            </w:r>
          </w:p>
          <w:p w14:paraId="40FF29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可以支持多种图像格式：BMP、TIF、JPE、PNG、RAW 等图像文件；</w:t>
            </w:r>
          </w:p>
          <w:p w14:paraId="29BEDC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个性化场景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支持对接院方 LIS 或 HIS 系统；</w:t>
            </w:r>
          </w:p>
          <w:p w14:paraId="4E87EB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支持根据用户的个性化需求，定制设计报告项目和检验项目，以及报告的样式风格；</w:t>
            </w:r>
          </w:p>
          <w:p w14:paraId="57EF01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支持多种打印模式；</w:t>
            </w:r>
          </w:p>
          <w:p w14:paraId="01ADAC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支持自动导入病例并自动分析、手动导入病例并自动分析；</w:t>
            </w:r>
          </w:p>
          <w:p w14:paraId="64B716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trike w:val="0"/>
                <w:dstrike w:val="0"/>
                <w:color w:val="auto"/>
                <w:sz w:val="24"/>
                <w:szCs w:val="24"/>
                <w:highlight w:val="none"/>
                <w:lang w:eastAsia="zh-CN"/>
              </w:rPr>
              <w:t>具有</w:t>
            </w:r>
            <w:r>
              <w:rPr>
                <w:rFonts w:hint="eastAsia" w:asciiTheme="minorEastAsia" w:hAnsiTheme="minorEastAsia" w:eastAsiaTheme="minorEastAsia" w:cstheme="minorEastAsia"/>
                <w:color w:val="auto"/>
                <w:sz w:val="24"/>
                <w:szCs w:val="24"/>
                <w:highlight w:val="none"/>
              </w:rPr>
              <w:t>确保医疗信息数据安全</w:t>
            </w:r>
            <w:r>
              <w:rPr>
                <w:rFonts w:hint="eastAsia" w:asciiTheme="minorEastAsia" w:hAnsiTheme="minorEastAsia" w:eastAsiaTheme="minorEastAsia" w:cstheme="minorEastAsia"/>
                <w:color w:val="auto"/>
                <w:sz w:val="24"/>
                <w:szCs w:val="24"/>
                <w:highlight w:val="none"/>
                <w:lang w:eastAsia="zh-CN"/>
              </w:rPr>
              <w:t>功能</w:t>
            </w:r>
            <w:r>
              <w:rPr>
                <w:rFonts w:hint="eastAsia" w:asciiTheme="minorEastAsia" w:hAnsiTheme="minorEastAsia" w:eastAsiaTheme="minorEastAsia" w:cstheme="minorEastAsia"/>
                <w:color w:val="auto"/>
                <w:sz w:val="24"/>
                <w:szCs w:val="24"/>
                <w:highlight w:val="none"/>
              </w:rPr>
              <w:t>；</w:t>
            </w:r>
          </w:p>
          <w:p w14:paraId="0B29FB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 300、400、550、700 和 850 条带水平的染色体核型分析，并可根据需要创建新的染色体分析模型，持续更新；</w:t>
            </w:r>
          </w:p>
          <w:p w14:paraId="67033A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对于实验室自己特定条带水平的染色体核型，支持AI智能再学习训练，提高准确性。</w:t>
            </w:r>
          </w:p>
          <w:p w14:paraId="1B190E34">
            <w:pPr>
              <w:keepNext w:val="0"/>
              <w:keepLines w:val="0"/>
              <w:pageBreakBefore w:val="0"/>
              <w:widowControl w:val="0"/>
              <w:numPr>
                <w:ilvl w:val="0"/>
                <w:numId w:val="0"/>
              </w:numPr>
              <w:kinsoku/>
              <w:wordWrap/>
              <w:overflowPunct/>
              <w:topLinePunct w:val="0"/>
              <w:autoSpaceDE/>
              <w:autoSpaceDN/>
              <w:bidi w:val="0"/>
              <w:adjustRightInd/>
              <w:snapToGrid/>
              <w:spacing w:before="120" w:after="120" w:line="4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可以云端连到人类染色体在线诊断联盟等国内跨省级遗传学会。</w:t>
            </w:r>
          </w:p>
          <w:p w14:paraId="531782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rPr>
              <w:t>染色体分散仪</w:t>
            </w:r>
          </w:p>
          <w:p w14:paraId="67D5726A">
            <w:pPr>
              <w:pStyle w:val="76"/>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用途和功能</w:t>
            </w:r>
          </w:p>
          <w:p w14:paraId="34281313">
            <w:pPr>
              <w:pStyle w:val="76"/>
              <w:keepNext w:val="0"/>
              <w:keepLines w:val="0"/>
              <w:pageBreakBefore w:val="0"/>
              <w:widowControl w:val="0"/>
              <w:kinsoku/>
              <w:wordWrap/>
              <w:overflowPunct/>
              <w:topLinePunct w:val="0"/>
              <w:autoSpaceDE/>
              <w:autoSpaceDN/>
              <w:bidi w:val="0"/>
              <w:adjustRightInd/>
              <w:snapToGrid/>
              <w:spacing w:line="400" w:lineRule="exact"/>
              <w:ind w:left="42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主要用途：用于细胞遗传实验室染色体滴片。适用于原位培养和非原位培养的收获制片过程，可以处理外周血、骨髓、羊水细胞、绒毛组织细胞等。</w:t>
            </w:r>
          </w:p>
          <w:p w14:paraId="10D7D4A7">
            <w:pPr>
              <w:pStyle w:val="76"/>
              <w:keepNext w:val="0"/>
              <w:keepLines w:val="0"/>
              <w:pageBreakBefore w:val="0"/>
              <w:widowControl w:val="0"/>
              <w:kinsoku/>
              <w:wordWrap/>
              <w:overflowPunct/>
              <w:topLinePunct w:val="0"/>
              <w:autoSpaceDE/>
              <w:autoSpaceDN/>
              <w:bidi w:val="0"/>
              <w:adjustRightInd/>
              <w:snapToGrid/>
              <w:spacing w:line="400" w:lineRule="exact"/>
              <w:ind w:left="42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主要功能：提供稳定的温度和湿度环境条件。</w:t>
            </w:r>
          </w:p>
          <w:p w14:paraId="3B2F05CE">
            <w:pPr>
              <w:pStyle w:val="76"/>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技术要求：</w:t>
            </w:r>
          </w:p>
          <w:p w14:paraId="0D2ABC0C">
            <w:pPr>
              <w:pStyle w:val="76"/>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vanish/>
                <w:color w:val="auto"/>
                <w:sz w:val="24"/>
                <w:szCs w:val="24"/>
                <w:highlight w:val="none"/>
              </w:rPr>
            </w:pPr>
          </w:p>
          <w:p w14:paraId="1F8F6439">
            <w:pPr>
              <w:pStyle w:val="76"/>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vanish/>
                <w:color w:val="auto"/>
                <w:sz w:val="24"/>
                <w:szCs w:val="24"/>
                <w:highlight w:val="none"/>
              </w:rPr>
            </w:pPr>
          </w:p>
          <w:p w14:paraId="0C02D3C7">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rPr>
              <w:t>温度控制范围： +20℃ 至 +40℃</w:t>
            </w:r>
          </w:p>
          <w:p w14:paraId="14A4FECA">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温度控制精度： ±0.25℃</w:t>
            </w:r>
          </w:p>
          <w:p w14:paraId="76B62A75">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温度控制</w:t>
            </w:r>
            <w:r>
              <w:rPr>
                <w:rFonts w:hint="eastAsia" w:asciiTheme="minorEastAsia" w:hAnsiTheme="minorEastAsia" w:eastAsiaTheme="minorEastAsia" w:cstheme="minorEastAsia"/>
                <w:color w:val="auto"/>
                <w:sz w:val="24"/>
                <w:szCs w:val="24"/>
                <w:highlight w:val="none"/>
                <w:lang w:eastAsia="zh-CN"/>
              </w:rPr>
              <w:t>均匀</w:t>
            </w:r>
            <w:r>
              <w:rPr>
                <w:rFonts w:hint="eastAsia" w:asciiTheme="minorEastAsia" w:hAnsiTheme="minorEastAsia" w:eastAsiaTheme="minorEastAsia" w:cstheme="minorEastAsia"/>
                <w:color w:val="auto"/>
                <w:sz w:val="24"/>
                <w:szCs w:val="24"/>
                <w:highlight w:val="none"/>
              </w:rPr>
              <w:t>度： ±0.</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p>
          <w:p w14:paraId="08B08CED">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rPr>
              <w:t xml:space="preserve">湿度控制范围： 25% </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75% RH, </w:t>
            </w:r>
          </w:p>
          <w:p w14:paraId="30099C36">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露点温度范围： +5℃ 至 +23℃</w:t>
            </w:r>
          </w:p>
          <w:p w14:paraId="04B7E796">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湿度控制精度： ±2% RH</w:t>
            </w:r>
          </w:p>
          <w:p w14:paraId="675CF1CB">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湿度均匀度： ±1% RH</w:t>
            </w:r>
          </w:p>
          <w:p w14:paraId="14408752">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分散时间：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3分钟</w:t>
            </w:r>
          </w:p>
          <w:p w14:paraId="3E486EDD">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可存储程序：≥10个。</w:t>
            </w:r>
          </w:p>
          <w:p w14:paraId="26A1EAFB">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密闭操作环境，避免有害气体伤害。</w:t>
            </w:r>
          </w:p>
          <w:p w14:paraId="57F83E10">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精确控制温度、湿度和气流，提供稳定理想的染色体分散结果。</w:t>
            </w:r>
          </w:p>
          <w:p w14:paraId="7D305ED7">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双向控制湿度。</w:t>
            </w:r>
          </w:p>
          <w:p w14:paraId="0BEE8C02">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采用压缩机制冷控制温度。</w:t>
            </w:r>
          </w:p>
          <w:p w14:paraId="325E9BEB">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z w:val="24"/>
                <w:szCs w:val="24"/>
                <w:highlight w:val="none"/>
              </w:rPr>
              <w:t>手套箱式滴片操作，滴片速度和标本处理通量不受限制。</w:t>
            </w:r>
          </w:p>
          <w:p w14:paraId="4DFDCE7F">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可设定预约启动时间并提前达到预设条件</w:t>
            </w:r>
            <w:r>
              <w:rPr>
                <w:rFonts w:hint="eastAsia" w:asciiTheme="minorEastAsia" w:hAnsiTheme="minorEastAsia" w:eastAsiaTheme="minorEastAsia" w:cstheme="minorEastAsia"/>
                <w:color w:val="auto"/>
                <w:sz w:val="24"/>
                <w:szCs w:val="24"/>
                <w:highlight w:val="none"/>
                <w:lang w:eastAsia="zh-CN"/>
              </w:rPr>
              <w:t>，达到预设条件≤</w:t>
            </w:r>
            <w:r>
              <w:rPr>
                <w:rFonts w:hint="eastAsia" w:asciiTheme="minorEastAsia" w:hAnsiTheme="minorEastAsia" w:eastAsiaTheme="minorEastAsia" w:cstheme="minorEastAsia"/>
                <w:color w:val="auto"/>
                <w:sz w:val="24"/>
                <w:szCs w:val="24"/>
                <w:highlight w:val="none"/>
                <w:lang w:val="en-US" w:eastAsia="zh-CN"/>
              </w:rPr>
              <w:t>30分钟</w:t>
            </w:r>
            <w:r>
              <w:rPr>
                <w:rFonts w:hint="eastAsia" w:asciiTheme="minorEastAsia" w:hAnsiTheme="minorEastAsia" w:eastAsiaTheme="minorEastAsia" w:cstheme="minorEastAsia"/>
                <w:color w:val="auto"/>
                <w:sz w:val="24"/>
                <w:szCs w:val="24"/>
                <w:highlight w:val="none"/>
              </w:rPr>
              <w:t>。</w:t>
            </w:r>
          </w:p>
          <w:p w14:paraId="03FABAAB">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可对接实验室排风排气管道。</w:t>
            </w:r>
          </w:p>
          <w:p w14:paraId="6BA3529F">
            <w:pPr>
              <w:pStyle w:val="76"/>
              <w:keepNext w:val="0"/>
              <w:keepLines w:val="0"/>
              <w:pageBreakBefore w:val="0"/>
              <w:widowControl w:val="0"/>
              <w:numPr>
                <w:ilvl w:val="1"/>
                <w:numId w:val="7"/>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人机界面控制面板用于控制和显示实验参数。</w:t>
            </w:r>
          </w:p>
          <w:p w14:paraId="1E09F6D2">
            <w:pPr>
              <w:pStyle w:val="7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5" w:leftChars="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四、配置清单</w:t>
            </w:r>
          </w:p>
          <w:tbl>
            <w:tblPr>
              <w:tblStyle w:val="35"/>
              <w:tblW w:w="7260"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10" w:type="dxa"/>
                <w:bottom w:w="0" w:type="dxa"/>
                <w:right w:w="10" w:type="dxa"/>
              </w:tblCellMar>
            </w:tblPr>
            <w:tblGrid>
              <w:gridCol w:w="1615"/>
              <w:gridCol w:w="4548"/>
              <w:gridCol w:w="1097"/>
            </w:tblGrid>
            <w:tr w14:paraId="6D325329">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 w:type="dxa"/>
                  <w:bottom w:w="0" w:type="dxa"/>
                  <w:right w:w="10" w:type="dxa"/>
                </w:tblCellMar>
              </w:tblPrEx>
              <w:trPr>
                <w:jc w:val="center"/>
              </w:trPr>
              <w:tc>
                <w:tcPr>
                  <w:tcW w:w="1615" w:type="dxa"/>
                  <w:tcBorders>
                    <w:tl2br w:val="nil"/>
                    <w:tr2bl w:val="nil"/>
                  </w:tcBorders>
                  <w:noWrap w:val="0"/>
                  <w:tcMar>
                    <w:top w:w="60" w:type="dxa"/>
                    <w:left w:w="120" w:type="dxa"/>
                    <w:bottom w:w="30" w:type="dxa"/>
                    <w:right w:w="120" w:type="dxa"/>
                  </w:tcMar>
                  <w:vAlign w:val="top"/>
                </w:tcPr>
                <w:p w14:paraId="301A04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548" w:type="dxa"/>
                  <w:tcBorders>
                    <w:tl2br w:val="nil"/>
                    <w:tr2bl w:val="nil"/>
                  </w:tcBorders>
                  <w:noWrap w:val="0"/>
                  <w:tcMar>
                    <w:top w:w="60" w:type="dxa"/>
                    <w:left w:w="120" w:type="dxa"/>
                    <w:bottom w:w="30" w:type="dxa"/>
                    <w:right w:w="120" w:type="dxa"/>
                  </w:tcMar>
                  <w:vAlign w:val="top"/>
                </w:tcPr>
                <w:p w14:paraId="457223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设备名称</w:t>
                  </w:r>
                </w:p>
              </w:tc>
              <w:tc>
                <w:tcPr>
                  <w:tcW w:w="1097" w:type="dxa"/>
                  <w:tcBorders>
                    <w:tl2br w:val="nil"/>
                    <w:tr2bl w:val="nil"/>
                  </w:tcBorders>
                  <w:noWrap w:val="0"/>
                  <w:tcMar>
                    <w:top w:w="60" w:type="dxa"/>
                    <w:left w:w="120" w:type="dxa"/>
                    <w:bottom w:w="30" w:type="dxa"/>
                    <w:right w:w="120" w:type="dxa"/>
                  </w:tcMar>
                  <w:vAlign w:val="top"/>
                </w:tcPr>
                <w:p w14:paraId="2A0FBF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r>
            <w:tr w14:paraId="591D1F4A">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 w:type="dxa"/>
                  <w:bottom w:w="0" w:type="dxa"/>
                  <w:right w:w="10" w:type="dxa"/>
                </w:tblCellMar>
              </w:tblPrEx>
              <w:trPr>
                <w:trHeight w:val="482" w:hRule="atLeast"/>
                <w:jc w:val="center"/>
              </w:trPr>
              <w:tc>
                <w:tcPr>
                  <w:tcW w:w="1615" w:type="dxa"/>
                  <w:tcBorders>
                    <w:tl2br w:val="nil"/>
                    <w:tr2bl w:val="nil"/>
                  </w:tcBorders>
                  <w:noWrap w:val="0"/>
                  <w:tcMar>
                    <w:top w:w="60" w:type="dxa"/>
                    <w:left w:w="120" w:type="dxa"/>
                    <w:bottom w:w="30" w:type="dxa"/>
                    <w:right w:w="120" w:type="dxa"/>
                  </w:tcMar>
                  <w:vAlign w:val="top"/>
                </w:tcPr>
                <w:p w14:paraId="4F197F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4548" w:type="dxa"/>
                  <w:tcBorders>
                    <w:tl2br w:val="nil"/>
                    <w:tr2bl w:val="nil"/>
                  </w:tcBorders>
                  <w:noWrap w:val="0"/>
                  <w:tcMar>
                    <w:top w:w="60" w:type="dxa"/>
                    <w:left w:w="120" w:type="dxa"/>
                    <w:bottom w:w="30" w:type="dxa"/>
                    <w:right w:w="120" w:type="dxa"/>
                  </w:tcMar>
                  <w:vAlign w:val="top"/>
                </w:tcPr>
                <w:p w14:paraId="35A81E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自动细胞显微图像扫描系统</w:t>
                  </w:r>
                </w:p>
              </w:tc>
              <w:tc>
                <w:tcPr>
                  <w:tcW w:w="1097" w:type="dxa"/>
                  <w:tcBorders>
                    <w:tl2br w:val="nil"/>
                    <w:tr2bl w:val="nil"/>
                  </w:tcBorders>
                  <w:noWrap w:val="0"/>
                  <w:tcMar>
                    <w:top w:w="60" w:type="dxa"/>
                    <w:left w:w="120" w:type="dxa"/>
                    <w:bottom w:w="30" w:type="dxa"/>
                    <w:right w:w="120" w:type="dxa"/>
                  </w:tcMar>
                  <w:vAlign w:val="top"/>
                </w:tcPr>
                <w:p w14:paraId="799EF7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套</w:t>
                  </w:r>
                </w:p>
              </w:tc>
            </w:tr>
            <w:tr w14:paraId="0FDA1C22">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 w:type="dxa"/>
                  <w:bottom w:w="0" w:type="dxa"/>
                  <w:right w:w="10" w:type="dxa"/>
                </w:tblCellMar>
              </w:tblPrEx>
              <w:trPr>
                <w:jc w:val="center"/>
              </w:trPr>
              <w:tc>
                <w:tcPr>
                  <w:tcW w:w="1615" w:type="dxa"/>
                  <w:tcBorders>
                    <w:tl2br w:val="nil"/>
                    <w:tr2bl w:val="nil"/>
                  </w:tcBorders>
                  <w:noWrap w:val="0"/>
                  <w:tcMar>
                    <w:top w:w="60" w:type="dxa"/>
                    <w:left w:w="120" w:type="dxa"/>
                    <w:bottom w:w="30" w:type="dxa"/>
                    <w:right w:w="120" w:type="dxa"/>
                  </w:tcMar>
                  <w:vAlign w:val="top"/>
                </w:tcPr>
                <w:p w14:paraId="1D3BAF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4548" w:type="dxa"/>
                  <w:tcBorders>
                    <w:tl2br w:val="nil"/>
                    <w:tr2bl w:val="nil"/>
                  </w:tcBorders>
                  <w:noWrap w:val="0"/>
                  <w:tcMar>
                    <w:top w:w="60" w:type="dxa"/>
                    <w:left w:w="120" w:type="dxa"/>
                    <w:bottom w:w="30" w:type="dxa"/>
                    <w:right w:w="120" w:type="dxa"/>
                  </w:tcMar>
                  <w:vAlign w:val="top"/>
                </w:tcPr>
                <w:p w14:paraId="30CDAB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 倍物镜</w:t>
                  </w:r>
                </w:p>
              </w:tc>
              <w:tc>
                <w:tcPr>
                  <w:tcW w:w="1097" w:type="dxa"/>
                  <w:tcBorders>
                    <w:tl2br w:val="nil"/>
                    <w:tr2bl w:val="nil"/>
                  </w:tcBorders>
                  <w:noWrap w:val="0"/>
                  <w:tcMar>
                    <w:top w:w="60" w:type="dxa"/>
                    <w:left w:w="120" w:type="dxa"/>
                    <w:bottom w:w="30" w:type="dxa"/>
                    <w:right w:w="120" w:type="dxa"/>
                  </w:tcMar>
                  <w:vAlign w:val="top"/>
                </w:tcPr>
                <w:p w14:paraId="56ABA9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个</w:t>
                  </w:r>
                </w:p>
              </w:tc>
            </w:tr>
            <w:tr w14:paraId="12920CED">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 w:type="dxa"/>
                  <w:bottom w:w="0" w:type="dxa"/>
                  <w:right w:w="10" w:type="dxa"/>
                </w:tblCellMar>
              </w:tblPrEx>
              <w:trPr>
                <w:jc w:val="center"/>
              </w:trPr>
              <w:tc>
                <w:tcPr>
                  <w:tcW w:w="1615" w:type="dxa"/>
                  <w:tcBorders>
                    <w:tl2br w:val="nil"/>
                    <w:tr2bl w:val="nil"/>
                  </w:tcBorders>
                  <w:noWrap w:val="0"/>
                  <w:tcMar>
                    <w:top w:w="60" w:type="dxa"/>
                    <w:left w:w="120" w:type="dxa"/>
                    <w:bottom w:w="30" w:type="dxa"/>
                    <w:right w:w="120" w:type="dxa"/>
                  </w:tcMar>
                  <w:vAlign w:val="top"/>
                </w:tcPr>
                <w:p w14:paraId="2384D1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4548" w:type="dxa"/>
                  <w:tcBorders>
                    <w:tl2br w:val="nil"/>
                    <w:tr2bl w:val="nil"/>
                  </w:tcBorders>
                  <w:noWrap w:val="0"/>
                  <w:tcMar>
                    <w:top w:w="60" w:type="dxa"/>
                    <w:left w:w="120" w:type="dxa"/>
                    <w:bottom w:w="30" w:type="dxa"/>
                    <w:right w:w="120" w:type="dxa"/>
                  </w:tcMar>
                  <w:vAlign w:val="top"/>
                </w:tcPr>
                <w:p w14:paraId="6B47A7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 倍物镜</w:t>
                  </w:r>
                </w:p>
              </w:tc>
              <w:tc>
                <w:tcPr>
                  <w:tcW w:w="1097" w:type="dxa"/>
                  <w:tcBorders>
                    <w:tl2br w:val="nil"/>
                    <w:tr2bl w:val="nil"/>
                  </w:tcBorders>
                  <w:noWrap w:val="0"/>
                  <w:tcMar>
                    <w:top w:w="60" w:type="dxa"/>
                    <w:left w:w="120" w:type="dxa"/>
                    <w:bottom w:w="30" w:type="dxa"/>
                    <w:right w:w="120" w:type="dxa"/>
                  </w:tcMar>
                  <w:vAlign w:val="top"/>
                </w:tcPr>
                <w:p w14:paraId="5FDDE8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个</w:t>
                  </w:r>
                </w:p>
              </w:tc>
            </w:tr>
            <w:tr w14:paraId="17EF42D6">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 w:type="dxa"/>
                  <w:bottom w:w="0" w:type="dxa"/>
                  <w:right w:w="10" w:type="dxa"/>
                </w:tblCellMar>
              </w:tblPrEx>
              <w:trPr>
                <w:jc w:val="center"/>
              </w:trPr>
              <w:tc>
                <w:tcPr>
                  <w:tcW w:w="1615" w:type="dxa"/>
                  <w:tcBorders>
                    <w:tl2br w:val="nil"/>
                    <w:tr2bl w:val="nil"/>
                  </w:tcBorders>
                  <w:noWrap w:val="0"/>
                  <w:tcMar>
                    <w:top w:w="60" w:type="dxa"/>
                    <w:left w:w="120" w:type="dxa"/>
                    <w:bottom w:w="30" w:type="dxa"/>
                    <w:right w:w="120" w:type="dxa"/>
                  </w:tcMar>
                  <w:vAlign w:val="top"/>
                </w:tcPr>
                <w:p w14:paraId="6A73E4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4548" w:type="dxa"/>
                  <w:tcBorders>
                    <w:tl2br w:val="nil"/>
                    <w:tr2bl w:val="nil"/>
                  </w:tcBorders>
                  <w:noWrap w:val="0"/>
                  <w:tcMar>
                    <w:top w:w="60" w:type="dxa"/>
                    <w:left w:w="120" w:type="dxa"/>
                    <w:bottom w:w="30" w:type="dxa"/>
                    <w:right w:w="120" w:type="dxa"/>
                  </w:tcMar>
                  <w:vAlign w:val="top"/>
                </w:tcPr>
                <w:p w14:paraId="268496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电动载物台</w:t>
                  </w:r>
                </w:p>
              </w:tc>
              <w:tc>
                <w:tcPr>
                  <w:tcW w:w="1097" w:type="dxa"/>
                  <w:tcBorders>
                    <w:tl2br w:val="nil"/>
                    <w:tr2bl w:val="nil"/>
                  </w:tcBorders>
                  <w:noWrap w:val="0"/>
                  <w:tcMar>
                    <w:top w:w="60" w:type="dxa"/>
                    <w:left w:w="120" w:type="dxa"/>
                    <w:bottom w:w="30" w:type="dxa"/>
                    <w:right w:w="120" w:type="dxa"/>
                  </w:tcMar>
                  <w:vAlign w:val="top"/>
                </w:tcPr>
                <w:p w14:paraId="2180D3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个</w:t>
                  </w:r>
                </w:p>
              </w:tc>
            </w:tr>
            <w:tr w14:paraId="051AE886">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 w:type="dxa"/>
                  <w:bottom w:w="0" w:type="dxa"/>
                  <w:right w:w="10" w:type="dxa"/>
                </w:tblCellMar>
              </w:tblPrEx>
              <w:trPr>
                <w:trHeight w:val="314" w:hRule="atLeast"/>
                <w:jc w:val="center"/>
              </w:trPr>
              <w:tc>
                <w:tcPr>
                  <w:tcW w:w="1615" w:type="dxa"/>
                  <w:tcBorders>
                    <w:tl2br w:val="nil"/>
                    <w:tr2bl w:val="nil"/>
                  </w:tcBorders>
                  <w:noWrap w:val="0"/>
                  <w:tcMar>
                    <w:top w:w="60" w:type="dxa"/>
                    <w:left w:w="120" w:type="dxa"/>
                    <w:bottom w:w="30" w:type="dxa"/>
                    <w:right w:w="120" w:type="dxa"/>
                  </w:tcMar>
                  <w:vAlign w:val="top"/>
                </w:tcPr>
                <w:p w14:paraId="6CB5FF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4548" w:type="dxa"/>
                  <w:tcBorders>
                    <w:tl2br w:val="nil"/>
                    <w:tr2bl w:val="nil"/>
                  </w:tcBorders>
                  <w:noWrap w:val="0"/>
                  <w:tcMar>
                    <w:top w:w="60" w:type="dxa"/>
                    <w:left w:w="120" w:type="dxa"/>
                    <w:bottom w:w="30" w:type="dxa"/>
                    <w:right w:w="120" w:type="dxa"/>
                  </w:tcMar>
                  <w:vAlign w:val="top"/>
                </w:tcPr>
                <w:p w14:paraId="3E15D9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图像采集系统</w:t>
                  </w:r>
                </w:p>
              </w:tc>
              <w:tc>
                <w:tcPr>
                  <w:tcW w:w="1097" w:type="dxa"/>
                  <w:tcBorders>
                    <w:tl2br w:val="nil"/>
                    <w:tr2bl w:val="nil"/>
                  </w:tcBorders>
                  <w:noWrap w:val="0"/>
                  <w:tcMar>
                    <w:top w:w="60" w:type="dxa"/>
                    <w:left w:w="120" w:type="dxa"/>
                    <w:bottom w:w="30" w:type="dxa"/>
                    <w:right w:w="120" w:type="dxa"/>
                  </w:tcMar>
                  <w:vAlign w:val="top"/>
                </w:tcPr>
                <w:p w14:paraId="3FB95A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个</w:t>
                  </w:r>
                </w:p>
              </w:tc>
            </w:tr>
            <w:tr w14:paraId="1E555B42">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 w:type="dxa"/>
                  <w:bottom w:w="0" w:type="dxa"/>
                  <w:right w:w="10" w:type="dxa"/>
                </w:tblCellMar>
              </w:tblPrEx>
              <w:trPr>
                <w:jc w:val="center"/>
              </w:trPr>
              <w:tc>
                <w:tcPr>
                  <w:tcW w:w="1615" w:type="dxa"/>
                  <w:tcBorders>
                    <w:tl2br w:val="nil"/>
                    <w:tr2bl w:val="nil"/>
                  </w:tcBorders>
                  <w:noWrap w:val="0"/>
                  <w:tcMar>
                    <w:top w:w="60" w:type="dxa"/>
                    <w:left w:w="120" w:type="dxa"/>
                    <w:bottom w:w="30" w:type="dxa"/>
                    <w:right w:w="120" w:type="dxa"/>
                  </w:tcMar>
                  <w:vAlign w:val="top"/>
                </w:tcPr>
                <w:p w14:paraId="0A1CB8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4548" w:type="dxa"/>
                  <w:tcBorders>
                    <w:tl2br w:val="nil"/>
                    <w:tr2bl w:val="nil"/>
                  </w:tcBorders>
                  <w:noWrap w:val="0"/>
                  <w:tcMar>
                    <w:top w:w="60" w:type="dxa"/>
                    <w:left w:w="120" w:type="dxa"/>
                    <w:bottom w:w="30" w:type="dxa"/>
                    <w:right w:w="120" w:type="dxa"/>
                  </w:tcMar>
                  <w:vAlign w:val="top"/>
                </w:tcPr>
                <w:p w14:paraId="08D1BD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扫描</w:t>
                  </w:r>
                  <w:r>
                    <w:rPr>
                      <w:rFonts w:hint="eastAsia" w:asciiTheme="minorEastAsia" w:hAnsiTheme="minorEastAsia" w:eastAsiaTheme="minorEastAsia" w:cstheme="minorEastAsia"/>
                      <w:color w:val="auto"/>
                      <w:sz w:val="24"/>
                      <w:szCs w:val="24"/>
                      <w:highlight w:val="none"/>
                      <w:lang w:val="en-US" w:eastAsia="zh-CN"/>
                    </w:rPr>
                    <w:t>设备装置</w:t>
                  </w:r>
                </w:p>
              </w:tc>
              <w:tc>
                <w:tcPr>
                  <w:tcW w:w="1097" w:type="dxa"/>
                  <w:tcBorders>
                    <w:tl2br w:val="nil"/>
                    <w:tr2bl w:val="nil"/>
                  </w:tcBorders>
                  <w:noWrap w:val="0"/>
                  <w:tcMar>
                    <w:top w:w="60" w:type="dxa"/>
                    <w:left w:w="120" w:type="dxa"/>
                    <w:bottom w:w="30" w:type="dxa"/>
                    <w:right w:w="120" w:type="dxa"/>
                  </w:tcMar>
                  <w:vAlign w:val="top"/>
                </w:tcPr>
                <w:p w14:paraId="57EE62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 套</w:t>
                  </w:r>
                </w:p>
              </w:tc>
            </w:tr>
            <w:tr w14:paraId="550D1B0D">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 w:type="dxa"/>
                  <w:bottom w:w="0" w:type="dxa"/>
                  <w:right w:w="10" w:type="dxa"/>
                </w:tblCellMar>
              </w:tblPrEx>
              <w:trPr>
                <w:jc w:val="center"/>
              </w:trPr>
              <w:tc>
                <w:tcPr>
                  <w:tcW w:w="1615" w:type="dxa"/>
                  <w:tcBorders>
                    <w:tl2br w:val="nil"/>
                    <w:tr2bl w:val="nil"/>
                  </w:tcBorders>
                  <w:noWrap w:val="0"/>
                  <w:tcMar>
                    <w:top w:w="60" w:type="dxa"/>
                    <w:left w:w="120" w:type="dxa"/>
                    <w:bottom w:w="30" w:type="dxa"/>
                    <w:right w:w="120" w:type="dxa"/>
                  </w:tcMar>
                  <w:vAlign w:val="top"/>
                </w:tcPr>
                <w:p w14:paraId="777D56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4548" w:type="dxa"/>
                  <w:tcBorders>
                    <w:tl2br w:val="nil"/>
                    <w:tr2bl w:val="nil"/>
                  </w:tcBorders>
                  <w:noWrap w:val="0"/>
                  <w:tcMar>
                    <w:top w:w="60" w:type="dxa"/>
                    <w:left w:w="120" w:type="dxa"/>
                    <w:bottom w:w="30" w:type="dxa"/>
                    <w:right w:w="120" w:type="dxa"/>
                  </w:tcMar>
                  <w:vAlign w:val="top"/>
                </w:tcPr>
                <w:p w14:paraId="5053AD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图像处理设备</w:t>
                  </w:r>
                </w:p>
              </w:tc>
              <w:tc>
                <w:tcPr>
                  <w:tcW w:w="1097" w:type="dxa"/>
                  <w:tcBorders>
                    <w:tl2br w:val="nil"/>
                    <w:tr2bl w:val="nil"/>
                  </w:tcBorders>
                  <w:noWrap w:val="0"/>
                  <w:tcMar>
                    <w:top w:w="60" w:type="dxa"/>
                    <w:left w:w="120" w:type="dxa"/>
                    <w:bottom w:w="30" w:type="dxa"/>
                    <w:right w:w="120" w:type="dxa"/>
                  </w:tcMar>
                  <w:vAlign w:val="top"/>
                </w:tcPr>
                <w:p w14:paraId="6C1489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1套</w:t>
                  </w:r>
                </w:p>
              </w:tc>
            </w:tr>
            <w:tr w14:paraId="4275D28C">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 w:type="dxa"/>
                  <w:bottom w:w="0" w:type="dxa"/>
                  <w:right w:w="10" w:type="dxa"/>
                </w:tblCellMar>
              </w:tblPrEx>
              <w:trPr>
                <w:jc w:val="center"/>
              </w:trPr>
              <w:tc>
                <w:tcPr>
                  <w:tcW w:w="1615" w:type="dxa"/>
                  <w:tcBorders>
                    <w:tl2br w:val="nil"/>
                    <w:tr2bl w:val="nil"/>
                  </w:tcBorders>
                  <w:noWrap w:val="0"/>
                  <w:tcMar>
                    <w:top w:w="60" w:type="dxa"/>
                    <w:left w:w="120" w:type="dxa"/>
                    <w:bottom w:w="30" w:type="dxa"/>
                    <w:right w:w="120" w:type="dxa"/>
                  </w:tcMar>
                  <w:vAlign w:val="top"/>
                </w:tcPr>
                <w:p w14:paraId="4B3585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4548" w:type="dxa"/>
                  <w:tcBorders>
                    <w:tl2br w:val="nil"/>
                    <w:tr2bl w:val="nil"/>
                  </w:tcBorders>
                  <w:noWrap w:val="0"/>
                  <w:tcMar>
                    <w:top w:w="60" w:type="dxa"/>
                    <w:left w:w="120" w:type="dxa"/>
                    <w:bottom w:w="30" w:type="dxa"/>
                    <w:right w:w="120" w:type="dxa"/>
                  </w:tcMar>
                  <w:vAlign w:val="top"/>
                </w:tcPr>
                <w:p w14:paraId="214C8C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图像处理系统</w:t>
                  </w:r>
                </w:p>
              </w:tc>
              <w:tc>
                <w:tcPr>
                  <w:tcW w:w="1097" w:type="dxa"/>
                  <w:tcBorders>
                    <w:tl2br w:val="nil"/>
                    <w:tr2bl w:val="nil"/>
                  </w:tcBorders>
                  <w:noWrap w:val="0"/>
                  <w:tcMar>
                    <w:top w:w="60" w:type="dxa"/>
                    <w:left w:w="120" w:type="dxa"/>
                    <w:bottom w:w="30" w:type="dxa"/>
                    <w:right w:w="120" w:type="dxa"/>
                  </w:tcMar>
                  <w:vAlign w:val="top"/>
                </w:tcPr>
                <w:p w14:paraId="14DF88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 套</w:t>
                  </w:r>
                </w:p>
              </w:tc>
            </w:tr>
            <w:tr w14:paraId="645CD57C">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 w:type="dxa"/>
                  <w:bottom w:w="0" w:type="dxa"/>
                  <w:right w:w="10" w:type="dxa"/>
                </w:tblCellMar>
              </w:tblPrEx>
              <w:trPr>
                <w:jc w:val="center"/>
              </w:trPr>
              <w:tc>
                <w:tcPr>
                  <w:tcW w:w="1615" w:type="dxa"/>
                  <w:tcBorders>
                    <w:tl2br w:val="nil"/>
                    <w:tr2bl w:val="nil"/>
                  </w:tcBorders>
                  <w:noWrap w:val="0"/>
                  <w:tcMar>
                    <w:top w:w="60" w:type="dxa"/>
                    <w:left w:w="120" w:type="dxa"/>
                    <w:bottom w:w="30" w:type="dxa"/>
                    <w:right w:w="120" w:type="dxa"/>
                  </w:tcMar>
                  <w:vAlign w:val="top"/>
                </w:tcPr>
                <w:p w14:paraId="56DB0C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4548" w:type="dxa"/>
                  <w:tcBorders>
                    <w:tl2br w:val="nil"/>
                    <w:tr2bl w:val="nil"/>
                  </w:tcBorders>
                  <w:noWrap w:val="0"/>
                  <w:tcMar>
                    <w:top w:w="60" w:type="dxa"/>
                    <w:left w:w="120" w:type="dxa"/>
                    <w:bottom w:w="30" w:type="dxa"/>
                    <w:right w:w="120" w:type="dxa"/>
                  </w:tcMar>
                  <w:vAlign w:val="top"/>
                </w:tcPr>
                <w:p w14:paraId="2103B5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染色体分散仪</w:t>
                  </w:r>
                </w:p>
              </w:tc>
              <w:tc>
                <w:tcPr>
                  <w:tcW w:w="1097" w:type="dxa"/>
                  <w:tcBorders>
                    <w:tl2br w:val="nil"/>
                    <w:tr2bl w:val="nil"/>
                  </w:tcBorders>
                  <w:noWrap w:val="0"/>
                  <w:tcMar>
                    <w:top w:w="60" w:type="dxa"/>
                    <w:left w:w="120" w:type="dxa"/>
                    <w:bottom w:w="30" w:type="dxa"/>
                    <w:right w:w="120" w:type="dxa"/>
                  </w:tcMar>
                  <w:vAlign w:val="top"/>
                </w:tcPr>
                <w:p w14:paraId="63B6C3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1套</w:t>
                  </w:r>
                </w:p>
              </w:tc>
            </w:tr>
          </w:tbl>
          <w:p w14:paraId="235111CB">
            <w:pPr>
              <w:rPr>
                <w:rFonts w:hint="eastAsia" w:asciiTheme="minorEastAsia" w:hAnsiTheme="minorEastAsia" w:eastAsiaTheme="minorEastAsia" w:cstheme="minorEastAsia"/>
                <w:color w:val="auto"/>
                <w:spacing w:val="0"/>
                <w:sz w:val="24"/>
                <w:szCs w:val="24"/>
                <w:highlight w:val="none"/>
              </w:rPr>
            </w:pPr>
          </w:p>
        </w:tc>
      </w:tr>
    </w:tbl>
    <w:p w14:paraId="36B21E3E">
      <w:pPr>
        <w:widowControl/>
        <w:snapToGrid w:val="0"/>
        <w:spacing w:line="400" w:lineRule="exact"/>
        <w:rPr>
          <w:rFonts w:ascii="宋体" w:hAnsi="宋体" w:cs="宋体"/>
          <w:b/>
          <w:bCs/>
          <w:color w:val="auto"/>
          <w:sz w:val="24"/>
          <w:szCs w:val="24"/>
          <w:highlight w:val="none"/>
        </w:rPr>
      </w:pPr>
    </w:p>
    <w:p w14:paraId="772B5E36">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6CECA43E">
      <w:pPr>
        <w:rPr>
          <w:rFonts w:ascii="宋体" w:hAnsi="宋体" w:cs="宋体"/>
          <w:b/>
          <w:bCs/>
          <w:color w:val="auto"/>
          <w:sz w:val="24"/>
          <w:szCs w:val="24"/>
          <w:highlight w:val="none"/>
        </w:rPr>
      </w:pPr>
    </w:p>
    <w:p w14:paraId="200C9B08">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（二）、</w:t>
      </w:r>
      <w:r>
        <w:rPr>
          <w:rFonts w:hint="eastAsia" w:ascii="仿宋" w:hAnsi="仿宋" w:eastAsia="仿宋" w:cs="仿宋"/>
          <w:color w:val="auto"/>
          <w:spacing w:val="0"/>
          <w:sz w:val="28"/>
          <w:szCs w:val="28"/>
          <w:highlight w:val="none"/>
        </w:rPr>
        <w:t>▲</w:t>
      </w:r>
      <w:r>
        <w:rPr>
          <w:rFonts w:hint="eastAsia" w:ascii="宋体" w:hAnsi="宋体" w:cs="宋体"/>
          <w:b/>
          <w:bCs/>
          <w:color w:val="auto"/>
          <w:sz w:val="28"/>
          <w:szCs w:val="28"/>
          <w:highlight w:val="none"/>
        </w:rPr>
        <w:t>商务服务要求</w:t>
      </w:r>
    </w:p>
    <w:tbl>
      <w:tblPr>
        <w:tblStyle w:val="35"/>
        <w:tblpPr w:leftFromText="180" w:rightFromText="180" w:vertAnchor="text" w:horzAnchor="page" w:tblpX="1777" w:tblpY="551"/>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17"/>
        <w:gridCol w:w="6601"/>
      </w:tblGrid>
      <w:tr w14:paraId="5C53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3" w:type="dxa"/>
            <w:tcBorders>
              <w:top w:val="single" w:color="auto" w:sz="4" w:space="0"/>
              <w:left w:val="single" w:color="auto" w:sz="4" w:space="0"/>
              <w:bottom w:val="single" w:color="auto" w:sz="4" w:space="0"/>
              <w:right w:val="single" w:color="auto" w:sz="4" w:space="0"/>
            </w:tcBorders>
            <w:vAlign w:val="center"/>
          </w:tcPr>
          <w:p w14:paraId="073B6464">
            <w:pPr>
              <w:widowControl/>
              <w:snapToGrid w:val="0"/>
              <w:ind w:left="-105" w:leftChars="-50" w:right="-105" w:rightChars="-5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617" w:type="dxa"/>
            <w:tcBorders>
              <w:top w:val="single" w:color="auto" w:sz="4" w:space="0"/>
              <w:left w:val="single" w:color="auto" w:sz="4" w:space="0"/>
              <w:bottom w:val="single" w:color="auto" w:sz="4" w:space="0"/>
              <w:right w:val="single" w:color="auto" w:sz="4" w:space="0"/>
            </w:tcBorders>
            <w:vAlign w:val="center"/>
          </w:tcPr>
          <w:p w14:paraId="389E72EE">
            <w:pPr>
              <w:widowControl/>
              <w:snapToGrid w:val="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内容</w:t>
            </w:r>
          </w:p>
        </w:tc>
        <w:tc>
          <w:tcPr>
            <w:tcW w:w="6601" w:type="dxa"/>
            <w:tcBorders>
              <w:top w:val="single" w:color="auto" w:sz="4" w:space="0"/>
              <w:left w:val="single" w:color="auto" w:sz="4" w:space="0"/>
              <w:bottom w:val="single" w:color="auto" w:sz="4" w:space="0"/>
              <w:right w:val="single" w:color="auto" w:sz="4" w:space="0"/>
            </w:tcBorders>
            <w:vAlign w:val="center"/>
          </w:tcPr>
          <w:p w14:paraId="625793BF">
            <w:pPr>
              <w:widowControl/>
              <w:snapToGrid w:val="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要求</w:t>
            </w:r>
          </w:p>
        </w:tc>
      </w:tr>
      <w:tr w14:paraId="1B44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23" w:type="dxa"/>
            <w:tcBorders>
              <w:top w:val="single" w:color="auto" w:sz="4" w:space="0"/>
              <w:left w:val="single" w:color="auto" w:sz="4" w:space="0"/>
              <w:bottom w:val="single" w:color="auto" w:sz="4" w:space="0"/>
              <w:right w:val="single" w:color="auto" w:sz="4" w:space="0"/>
            </w:tcBorders>
            <w:vAlign w:val="center"/>
          </w:tcPr>
          <w:p w14:paraId="2438F168">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17" w:type="dxa"/>
            <w:tcBorders>
              <w:top w:val="single" w:color="auto" w:sz="4" w:space="0"/>
              <w:left w:val="single" w:color="auto" w:sz="4" w:space="0"/>
              <w:bottom w:val="single" w:color="auto" w:sz="4" w:space="0"/>
              <w:right w:val="single" w:color="auto" w:sz="4" w:space="0"/>
            </w:tcBorders>
            <w:vAlign w:val="center"/>
          </w:tcPr>
          <w:p w14:paraId="4B75236A">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响应要求</w:t>
            </w:r>
          </w:p>
        </w:tc>
        <w:tc>
          <w:tcPr>
            <w:tcW w:w="6601" w:type="dxa"/>
            <w:tcBorders>
              <w:top w:val="single" w:color="auto" w:sz="4" w:space="0"/>
              <w:left w:val="single" w:color="auto" w:sz="4" w:space="0"/>
              <w:bottom w:val="single" w:color="auto" w:sz="4" w:space="0"/>
              <w:right w:val="single" w:color="auto" w:sz="4" w:space="0"/>
            </w:tcBorders>
            <w:vAlign w:val="center"/>
          </w:tcPr>
          <w:p w14:paraId="2317144A">
            <w:pPr>
              <w:pStyle w:val="18"/>
              <w:spacing w:line="360" w:lineRule="auto"/>
              <w:rPr>
                <w:rFonts w:hint="default" w:ascii="Times New Roman" w:hAnsi="宋体"/>
                <w:color w:val="auto"/>
                <w:kern w:val="2"/>
                <w:sz w:val="24"/>
                <w:szCs w:val="24"/>
                <w:highlight w:val="none"/>
              </w:rPr>
            </w:pPr>
            <w:r>
              <w:rPr>
                <w:rFonts w:ascii="Times New Roman" w:hAnsi="宋体"/>
                <w:color w:val="auto"/>
                <w:kern w:val="2"/>
                <w:sz w:val="24"/>
                <w:szCs w:val="24"/>
                <w:highlight w:val="none"/>
              </w:rPr>
              <w:t>1、供应商必须提供厂商原装、全新的、近1-2年内生产的、符合行业、国家及用户提出的有关质量标准的货物；应标产品的生产、制造、安装等，各项技术标准应当符合国家（强制性）标准和各项规范要求；国家没有相应标准、规范的，可使用行业标准、规定；非标产品按采购约定的技术要求和规范。</w:t>
            </w:r>
          </w:p>
          <w:p w14:paraId="4C39BC51">
            <w:pPr>
              <w:pStyle w:val="18"/>
              <w:spacing w:line="360" w:lineRule="auto"/>
              <w:rPr>
                <w:rFonts w:hint="eastAsia" w:ascii="Times New Roman" w:hAnsi="宋体"/>
                <w:color w:val="auto"/>
                <w:kern w:val="2"/>
                <w:sz w:val="24"/>
                <w:szCs w:val="24"/>
                <w:highlight w:val="none"/>
              </w:rPr>
            </w:pPr>
            <w:r>
              <w:rPr>
                <w:rFonts w:ascii="Times New Roman" w:hAnsi="宋体"/>
                <w:color w:val="auto"/>
                <w:kern w:val="2"/>
                <w:sz w:val="24"/>
                <w:szCs w:val="24"/>
                <w:highlight w:val="none"/>
              </w:rPr>
              <w:t>2、</w:t>
            </w:r>
            <w:r>
              <w:rPr>
                <w:rFonts w:hint="eastAsia" w:ascii="Times New Roman" w:hAnsi="宋体"/>
                <w:color w:val="auto"/>
                <w:kern w:val="2"/>
                <w:sz w:val="24"/>
                <w:szCs w:val="24"/>
                <w:highlight w:val="none"/>
              </w:rPr>
              <w:t>竞报价包含但不限于货物及货物运抵指定交付地点的各种费用、随配附件、备品备件、易损件、专用工具、安装调试、技术培训、技术资料、包装、售后服务、保险费、税金、验收检验及其他所有成本费用的总和，如涉及系统对接的由成交供应商负责完成。对于本文件中未列明，而供应商认为必须的费用也需列入总报价。在合同实施时，采购人将不予支付成交供应商没有列入的项目费用，并认为此项目的费用已包括在响应总报价中。</w:t>
            </w:r>
          </w:p>
          <w:p w14:paraId="1B75AED6">
            <w:pPr>
              <w:pStyle w:val="18"/>
              <w:spacing w:line="360" w:lineRule="auto"/>
              <w:rPr>
                <w:rFonts w:hint="default" w:ascii="Times New Roman" w:hAnsi="宋体"/>
                <w:color w:val="auto"/>
                <w:kern w:val="2"/>
                <w:sz w:val="24"/>
                <w:szCs w:val="24"/>
                <w:highlight w:val="none"/>
              </w:rPr>
            </w:pPr>
            <w:r>
              <w:rPr>
                <w:rFonts w:hint="eastAsia" w:ascii="Times New Roman" w:hAnsi="宋体"/>
                <w:color w:val="auto"/>
                <w:kern w:val="2"/>
                <w:sz w:val="24"/>
                <w:szCs w:val="24"/>
                <w:highlight w:val="none"/>
              </w:rPr>
              <w:t>本项目需在云端连到人类染色体在线诊断联盟等国内跨省级遗传学会，对接费用由成交供应商承担。</w:t>
            </w:r>
          </w:p>
        </w:tc>
      </w:tr>
      <w:tr w14:paraId="3864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3" w:type="dxa"/>
            <w:tcBorders>
              <w:top w:val="single" w:color="auto" w:sz="4" w:space="0"/>
              <w:left w:val="single" w:color="auto" w:sz="4" w:space="0"/>
              <w:bottom w:val="single" w:color="auto" w:sz="4" w:space="0"/>
              <w:right w:val="single" w:color="auto" w:sz="4" w:space="0"/>
            </w:tcBorders>
            <w:vAlign w:val="center"/>
          </w:tcPr>
          <w:p w14:paraId="7E0F4C98">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617" w:type="dxa"/>
            <w:tcBorders>
              <w:top w:val="single" w:color="auto" w:sz="4" w:space="0"/>
              <w:left w:val="single" w:color="auto" w:sz="4" w:space="0"/>
              <w:bottom w:val="single" w:color="auto" w:sz="4" w:space="0"/>
              <w:right w:val="single" w:color="auto" w:sz="4" w:space="0"/>
            </w:tcBorders>
            <w:vAlign w:val="center"/>
          </w:tcPr>
          <w:p w14:paraId="797884F9">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质保期</w:t>
            </w:r>
          </w:p>
        </w:tc>
        <w:tc>
          <w:tcPr>
            <w:tcW w:w="6601" w:type="dxa"/>
            <w:tcBorders>
              <w:top w:val="single" w:color="auto" w:sz="4" w:space="0"/>
              <w:left w:val="single" w:color="auto" w:sz="4" w:space="0"/>
              <w:bottom w:val="single" w:color="auto" w:sz="4" w:space="0"/>
              <w:right w:val="single" w:color="auto" w:sz="4" w:space="0"/>
            </w:tcBorders>
            <w:vAlign w:val="center"/>
          </w:tcPr>
          <w:p w14:paraId="61F1944B">
            <w:pPr>
              <w:pStyle w:val="18"/>
              <w:spacing w:line="360" w:lineRule="auto"/>
              <w:rPr>
                <w:rFonts w:hint="default" w:ascii="Times New Roman" w:hAnsi="宋体"/>
                <w:color w:val="auto"/>
                <w:kern w:val="2"/>
                <w:sz w:val="24"/>
                <w:szCs w:val="24"/>
                <w:highlight w:val="none"/>
                <w:lang w:val="zh-CN"/>
              </w:rPr>
            </w:pPr>
            <w:r>
              <w:rPr>
                <w:rFonts w:ascii="Times New Roman" w:hAnsi="宋体"/>
                <w:color w:val="auto"/>
                <w:kern w:val="2"/>
                <w:sz w:val="24"/>
                <w:szCs w:val="24"/>
                <w:highlight w:val="none"/>
              </w:rPr>
              <w:t>质量保证期</w:t>
            </w:r>
            <w:r>
              <w:rPr>
                <w:rFonts w:hint="eastAsia" w:ascii="Times New Roman" w:hAnsi="宋体"/>
                <w:color w:val="auto"/>
                <w:kern w:val="2"/>
                <w:sz w:val="24"/>
                <w:szCs w:val="24"/>
                <w:highlight w:val="none"/>
              </w:rPr>
              <w:t>：</w:t>
            </w:r>
            <w:r>
              <w:rPr>
                <w:rFonts w:hint="eastAsia" w:ascii="Times New Roman" w:hAnsi="宋体"/>
                <w:color w:val="auto"/>
                <w:kern w:val="2"/>
                <w:sz w:val="24"/>
                <w:szCs w:val="24"/>
                <w:highlight w:val="none"/>
                <w:lang w:val="en-US" w:eastAsia="zh-CN"/>
              </w:rPr>
              <w:t>不少于</w:t>
            </w:r>
            <w:r>
              <w:rPr>
                <w:rFonts w:hint="eastAsia" w:ascii="Times New Roman" w:hAnsi="宋体"/>
                <w:color w:val="auto"/>
                <w:kern w:val="2"/>
                <w:sz w:val="24"/>
                <w:szCs w:val="24"/>
                <w:highlight w:val="none"/>
              </w:rPr>
              <w:t>3年，从验收合格之日起计算，因人为因素出现的故障不在保修范围内。质保期内，出现故障，须派出有相应资格的技术工程师到达现场处理故障，并承担一切费用。质保期外不收维修或人工费，只收零件费，并保证备件如期供应。</w:t>
            </w:r>
          </w:p>
        </w:tc>
      </w:tr>
      <w:tr w14:paraId="4F3B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3" w:type="dxa"/>
            <w:tcBorders>
              <w:top w:val="single" w:color="auto" w:sz="4" w:space="0"/>
              <w:left w:val="single" w:color="auto" w:sz="4" w:space="0"/>
              <w:bottom w:val="single" w:color="auto" w:sz="4" w:space="0"/>
              <w:right w:val="single" w:color="auto" w:sz="4" w:space="0"/>
            </w:tcBorders>
            <w:vAlign w:val="center"/>
          </w:tcPr>
          <w:p w14:paraId="38D998C9">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617" w:type="dxa"/>
            <w:tcBorders>
              <w:top w:val="single" w:color="auto" w:sz="4" w:space="0"/>
              <w:left w:val="single" w:color="auto" w:sz="4" w:space="0"/>
              <w:bottom w:val="single" w:color="auto" w:sz="4" w:space="0"/>
              <w:right w:val="single" w:color="auto" w:sz="4" w:space="0"/>
            </w:tcBorders>
            <w:vAlign w:val="center"/>
          </w:tcPr>
          <w:p w14:paraId="783DCD82">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售后服务要求</w:t>
            </w:r>
          </w:p>
        </w:tc>
        <w:tc>
          <w:tcPr>
            <w:tcW w:w="6601" w:type="dxa"/>
            <w:tcBorders>
              <w:top w:val="single" w:color="auto" w:sz="4" w:space="0"/>
              <w:left w:val="single" w:color="auto" w:sz="4" w:space="0"/>
              <w:bottom w:val="single" w:color="auto" w:sz="4" w:space="0"/>
              <w:right w:val="single" w:color="auto" w:sz="4" w:space="0"/>
            </w:tcBorders>
          </w:tcPr>
          <w:p w14:paraId="1C387D4E">
            <w:pPr>
              <w:spacing w:line="500" w:lineRule="exact"/>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（1）竞标产品必须是按厂家标准配置的整套全新产品，按国家规定实行“三包”，免费送货上门、免费安装调试（附安装说明书）及人员培训，培训后采购人可熟悉基本操作；</w:t>
            </w:r>
          </w:p>
          <w:p w14:paraId="5CD40758">
            <w:pPr>
              <w:spacing w:line="500" w:lineRule="exact"/>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2）故障处理：提供7×24小时维修服务，并提供售后服务电话，出现故障应在接到故障通知起30分钟内响应，一般问题2小时内通过远程方式解决；遇到大的问题，在接到报修通知后12小时内派技术人员到达现场维修，故障修复时限不超过24小时，如超过时限无法排除故障，免费提供同等质量的产品作为备用品供采购人使用，直到修复完成；</w:t>
            </w:r>
          </w:p>
          <w:p w14:paraId="07CA11D5">
            <w:pPr>
              <w:spacing w:line="500" w:lineRule="exact"/>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（3）质量保证期内免费提供维修服务（含人工费、配件费、差旅费等各项费用），所更换的所有零配件全部使用原厂配件；保修期以外一律按竞标文件承诺的优惠价收费，提供终身上门维修服务；</w:t>
            </w:r>
          </w:p>
          <w:p w14:paraId="6D994C32">
            <w:pPr>
              <w:spacing w:line="500" w:lineRule="exact"/>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（4）原厂3年保修（节假日不休），终身400或800呼叫中心热线7×24小时免费技术支持服务，保修服务可以通过机器序列号与原厂服务中心确认。</w:t>
            </w:r>
          </w:p>
          <w:p w14:paraId="77DE11A2">
            <w:pPr>
              <w:pStyle w:val="18"/>
              <w:spacing w:line="360" w:lineRule="auto"/>
              <w:rPr>
                <w:rFonts w:hint="default"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（5）售后服务要求以上内容的费用已包括在响应总报价中。</w:t>
            </w:r>
          </w:p>
        </w:tc>
      </w:tr>
      <w:tr w14:paraId="5BD3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23" w:type="dxa"/>
            <w:tcBorders>
              <w:top w:val="single" w:color="auto" w:sz="4" w:space="0"/>
              <w:left w:val="single" w:color="auto" w:sz="4" w:space="0"/>
              <w:bottom w:val="single" w:color="auto" w:sz="4" w:space="0"/>
              <w:right w:val="single" w:color="auto" w:sz="4" w:space="0"/>
            </w:tcBorders>
            <w:vAlign w:val="center"/>
          </w:tcPr>
          <w:p w14:paraId="4C376FC6">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617" w:type="dxa"/>
            <w:tcBorders>
              <w:top w:val="single" w:color="auto" w:sz="4" w:space="0"/>
              <w:left w:val="single" w:color="auto" w:sz="4" w:space="0"/>
              <w:bottom w:val="single" w:color="auto" w:sz="4" w:space="0"/>
              <w:right w:val="single" w:color="auto" w:sz="4" w:space="0"/>
            </w:tcBorders>
            <w:vAlign w:val="center"/>
          </w:tcPr>
          <w:p w14:paraId="5E27A18F">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项目完成时间和地点</w:t>
            </w:r>
          </w:p>
        </w:tc>
        <w:tc>
          <w:tcPr>
            <w:tcW w:w="6601" w:type="dxa"/>
            <w:tcBorders>
              <w:top w:val="single" w:color="auto" w:sz="4" w:space="0"/>
              <w:left w:val="single" w:color="auto" w:sz="4" w:space="0"/>
              <w:bottom w:val="single" w:color="auto" w:sz="4" w:space="0"/>
              <w:right w:val="single" w:color="auto" w:sz="4" w:space="0"/>
            </w:tcBorders>
            <w:vAlign w:val="center"/>
          </w:tcPr>
          <w:p w14:paraId="3C993B54">
            <w:pPr>
              <w:pStyle w:val="18"/>
              <w:spacing w:line="360" w:lineRule="auto"/>
              <w:rPr>
                <w:rFonts w:hint="default" w:ascii="Times New Roman" w:hAnsi="宋体"/>
                <w:color w:val="auto"/>
                <w:kern w:val="2"/>
                <w:sz w:val="24"/>
                <w:szCs w:val="24"/>
                <w:highlight w:val="none"/>
              </w:rPr>
            </w:pPr>
            <w:r>
              <w:rPr>
                <w:rFonts w:ascii="Times New Roman" w:hAnsi="宋体"/>
                <w:color w:val="auto"/>
                <w:kern w:val="2"/>
                <w:sz w:val="24"/>
                <w:szCs w:val="24"/>
                <w:highlight w:val="none"/>
              </w:rPr>
              <w:t>4.1.项目完成时间：</w:t>
            </w:r>
            <w:r>
              <w:rPr>
                <w:rFonts w:hint="eastAsia" w:ascii="Times New Roman" w:hAnsi="宋体"/>
                <w:color w:val="auto"/>
                <w:kern w:val="2"/>
                <w:sz w:val="24"/>
                <w:szCs w:val="24"/>
                <w:highlight w:val="none"/>
                <w:lang w:eastAsia="zh-CN"/>
              </w:rPr>
              <w:t>合同签订后30天内交货并安装验收完毕</w:t>
            </w:r>
            <w:r>
              <w:rPr>
                <w:rFonts w:ascii="Times New Roman" w:hAnsi="宋体"/>
                <w:color w:val="auto"/>
                <w:kern w:val="2"/>
                <w:sz w:val="24"/>
                <w:szCs w:val="24"/>
                <w:highlight w:val="none"/>
              </w:rPr>
              <w:t>。</w:t>
            </w:r>
          </w:p>
          <w:p w14:paraId="6AA06025">
            <w:pPr>
              <w:pStyle w:val="18"/>
              <w:spacing w:line="360" w:lineRule="auto"/>
              <w:rPr>
                <w:rFonts w:hint="default" w:ascii="Times New Roman" w:hAnsi="宋体"/>
                <w:color w:val="auto"/>
                <w:kern w:val="2"/>
                <w:sz w:val="24"/>
                <w:szCs w:val="24"/>
                <w:highlight w:val="none"/>
              </w:rPr>
            </w:pPr>
            <w:r>
              <w:rPr>
                <w:rFonts w:ascii="Times New Roman" w:hAnsi="宋体"/>
                <w:color w:val="auto"/>
                <w:kern w:val="2"/>
                <w:sz w:val="24"/>
                <w:szCs w:val="24"/>
                <w:highlight w:val="none"/>
              </w:rPr>
              <w:t>4.2.项目完成地点：</w:t>
            </w:r>
            <w:r>
              <w:rPr>
                <w:rFonts w:hint="eastAsia" w:ascii="Times New Roman" w:hAnsi="宋体"/>
                <w:color w:val="auto"/>
                <w:kern w:val="2"/>
                <w:sz w:val="24"/>
                <w:szCs w:val="24"/>
                <w:highlight w:val="none"/>
                <w:lang w:eastAsia="zh-CN"/>
              </w:rPr>
              <w:t>梧州市人民医院，采购人指定地点</w:t>
            </w:r>
          </w:p>
        </w:tc>
      </w:tr>
      <w:tr w14:paraId="7B39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3" w:type="dxa"/>
            <w:tcBorders>
              <w:top w:val="single" w:color="auto" w:sz="4" w:space="0"/>
              <w:left w:val="single" w:color="auto" w:sz="4" w:space="0"/>
              <w:bottom w:val="single" w:color="auto" w:sz="4" w:space="0"/>
              <w:right w:val="single" w:color="auto" w:sz="4" w:space="0"/>
            </w:tcBorders>
            <w:vAlign w:val="center"/>
          </w:tcPr>
          <w:p w14:paraId="5454F64E">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617" w:type="dxa"/>
            <w:tcBorders>
              <w:top w:val="single" w:color="auto" w:sz="4" w:space="0"/>
              <w:left w:val="single" w:color="auto" w:sz="4" w:space="0"/>
              <w:bottom w:val="single" w:color="auto" w:sz="4" w:space="0"/>
              <w:right w:val="single" w:color="auto" w:sz="4" w:space="0"/>
            </w:tcBorders>
            <w:vAlign w:val="center"/>
          </w:tcPr>
          <w:p w14:paraId="39793A68">
            <w:pPr>
              <w:widowControl/>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付款方式</w:t>
            </w:r>
          </w:p>
        </w:tc>
        <w:tc>
          <w:tcPr>
            <w:tcW w:w="6601" w:type="dxa"/>
            <w:tcBorders>
              <w:top w:val="single" w:color="auto" w:sz="4" w:space="0"/>
              <w:left w:val="single" w:color="auto" w:sz="4" w:space="0"/>
              <w:bottom w:val="single" w:color="auto" w:sz="4" w:space="0"/>
              <w:right w:val="single" w:color="auto" w:sz="4" w:space="0"/>
            </w:tcBorders>
            <w:vAlign w:val="center"/>
          </w:tcPr>
          <w:p w14:paraId="7BEAE7B3">
            <w:pPr>
              <w:pStyle w:val="18"/>
              <w:spacing w:line="400" w:lineRule="exact"/>
              <w:rPr>
                <w:rFonts w:hint="default" w:hAnsi="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成交供应商所有货物交货安装调试完毕并验收合格后，采购人凭成交供应商开具的合法有效的全额发票及请款函，于收到发票及请款函后</w:t>
            </w:r>
            <w:r>
              <w:rPr>
                <w:rFonts w:hint="eastAsia" w:hAnsi="宋体" w:cs="宋体"/>
                <w:color w:val="auto"/>
                <w:kern w:val="0"/>
                <w:sz w:val="24"/>
                <w:szCs w:val="24"/>
                <w:highlight w:val="none"/>
                <w:lang w:val="en-US" w:eastAsia="zh-CN" w:bidi="ar-SA"/>
              </w:rPr>
              <w:t>一年</w:t>
            </w:r>
            <w:r>
              <w:rPr>
                <w:rFonts w:hint="eastAsia" w:ascii="宋体" w:hAnsi="宋体" w:eastAsia="宋体" w:cs="宋体"/>
                <w:color w:val="auto"/>
                <w:kern w:val="0"/>
                <w:sz w:val="24"/>
                <w:szCs w:val="24"/>
                <w:highlight w:val="none"/>
                <w:lang w:val="en-US" w:eastAsia="zh-CN" w:bidi="ar-SA"/>
              </w:rPr>
              <w:t>内支付合同</w:t>
            </w:r>
            <w:r>
              <w:rPr>
                <w:rFonts w:hint="eastAsia" w:hAnsi="宋体" w:cs="宋体"/>
                <w:color w:val="auto"/>
                <w:kern w:val="0"/>
                <w:sz w:val="24"/>
                <w:szCs w:val="24"/>
                <w:highlight w:val="none"/>
                <w:lang w:val="en-US" w:eastAsia="zh-CN" w:bidi="ar-SA"/>
              </w:rPr>
              <w:t>总价款100%</w:t>
            </w:r>
            <w:r>
              <w:rPr>
                <w:rFonts w:hint="eastAsia" w:ascii="宋体" w:hAnsi="宋体" w:eastAsia="宋体" w:cs="宋体"/>
                <w:color w:val="auto"/>
                <w:kern w:val="0"/>
                <w:sz w:val="24"/>
                <w:szCs w:val="24"/>
                <w:highlight w:val="none"/>
                <w:lang w:val="en-US" w:eastAsia="zh-CN" w:bidi="ar-SA"/>
              </w:rPr>
              <w:t>。成交供应商未开具全额发票的，采购人有权不支付合同款。</w:t>
            </w:r>
          </w:p>
        </w:tc>
      </w:tr>
      <w:tr w14:paraId="5C0B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23" w:type="dxa"/>
            <w:tcBorders>
              <w:top w:val="single" w:color="auto" w:sz="4" w:space="0"/>
              <w:left w:val="single" w:color="auto" w:sz="4" w:space="0"/>
              <w:bottom w:val="single" w:color="auto" w:sz="4" w:space="0"/>
              <w:right w:val="single" w:color="auto" w:sz="4" w:space="0"/>
            </w:tcBorders>
            <w:vAlign w:val="center"/>
          </w:tcPr>
          <w:p w14:paraId="6659AB50">
            <w:pPr>
              <w:widowControl/>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617" w:type="dxa"/>
            <w:tcBorders>
              <w:top w:val="single" w:color="auto" w:sz="4" w:space="0"/>
              <w:left w:val="single" w:color="auto" w:sz="4" w:space="0"/>
              <w:bottom w:val="single" w:color="auto" w:sz="4" w:space="0"/>
              <w:right w:val="single" w:color="auto" w:sz="4" w:space="0"/>
            </w:tcBorders>
            <w:vAlign w:val="center"/>
          </w:tcPr>
          <w:p w14:paraId="140C70C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签订合同时间</w:t>
            </w:r>
          </w:p>
        </w:tc>
        <w:tc>
          <w:tcPr>
            <w:tcW w:w="6601" w:type="dxa"/>
            <w:tcBorders>
              <w:top w:val="single" w:color="auto" w:sz="4" w:space="0"/>
              <w:left w:val="single" w:color="auto" w:sz="4" w:space="0"/>
              <w:bottom w:val="single" w:color="auto" w:sz="4" w:space="0"/>
              <w:right w:val="single" w:color="auto" w:sz="4" w:space="0"/>
            </w:tcBorders>
            <w:vAlign w:val="center"/>
          </w:tcPr>
          <w:p w14:paraId="3F83B691">
            <w:pPr>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自成交通知书发出之日起15日内凭成交通知书与采购人签订政府采购合同，延期自误。</w:t>
            </w:r>
          </w:p>
        </w:tc>
      </w:tr>
      <w:tr w14:paraId="561F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3" w:type="dxa"/>
            <w:tcBorders>
              <w:top w:val="single" w:color="auto" w:sz="4" w:space="0"/>
              <w:left w:val="single" w:color="auto" w:sz="4" w:space="0"/>
              <w:bottom w:val="single" w:color="auto" w:sz="4" w:space="0"/>
              <w:right w:val="single" w:color="auto" w:sz="4" w:space="0"/>
            </w:tcBorders>
            <w:vAlign w:val="center"/>
          </w:tcPr>
          <w:p w14:paraId="773BFB6B">
            <w:pPr>
              <w:widowControl/>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617" w:type="dxa"/>
            <w:tcBorders>
              <w:top w:val="single" w:color="auto" w:sz="4" w:space="0"/>
              <w:left w:val="single" w:color="auto" w:sz="4" w:space="0"/>
              <w:bottom w:val="single" w:color="auto" w:sz="4" w:space="0"/>
              <w:right w:val="single" w:color="auto" w:sz="4" w:space="0"/>
            </w:tcBorders>
            <w:vAlign w:val="center"/>
          </w:tcPr>
          <w:p w14:paraId="65E60A9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验收标准</w:t>
            </w:r>
          </w:p>
        </w:tc>
        <w:tc>
          <w:tcPr>
            <w:tcW w:w="6601" w:type="dxa"/>
            <w:tcBorders>
              <w:top w:val="single" w:color="auto" w:sz="4" w:space="0"/>
              <w:left w:val="single" w:color="auto" w:sz="4" w:space="0"/>
              <w:bottom w:val="single" w:color="auto" w:sz="4" w:space="0"/>
              <w:right w:val="single" w:color="auto" w:sz="4" w:space="0"/>
            </w:tcBorders>
            <w:vAlign w:val="center"/>
          </w:tcPr>
          <w:p w14:paraId="4AF12825">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（1）成交供应商提供不符合公告规定的、采购文件、响应文件承诺的或本合同规定的货物，采购人有权拒绝接受。</w:t>
            </w:r>
          </w:p>
          <w:p w14:paraId="48026292">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（2）成交供应商应将所提供货物的装箱清单、用户手册、原厂保修卡、随机资料、工具和备品、备件等交付给采购人，如有缺失应在采购人要求的期限内及时补齐，否则视为逾期交货。</w:t>
            </w:r>
          </w:p>
          <w:p w14:paraId="7830F111">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（3）采购人应当在到货并安装、调试完后进行验收。验收合格后由双方签署货物验收单并加盖采购单位公章，双方各执一份。</w:t>
            </w:r>
          </w:p>
          <w:p w14:paraId="16E402FE">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采购人委托第三方组织的验收项目，其验收时间以该项目验收方案确定的验收时间为准，验收结果以该项目验收报告结论为准。在验收过程中发现成交供应商有违约问题，可暂缓资金结算，待违约问题解决后，方可办理资金结算事宜，在此期间，采购人不承担逾期付款责任。</w:t>
            </w:r>
          </w:p>
          <w:p w14:paraId="657630D0">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（5）采购人对验收有异议的，在验收后以书面形式向成交供应商提出，成交供应商应自收到采购人书面异议后五日内及时予以解决，成交供应商不予答复或未予以实质解决的，视为认可采购人异议及处置意见。</w:t>
            </w:r>
          </w:p>
          <w:p w14:paraId="3B474933">
            <w:pPr>
              <w:spacing w:line="400" w:lineRule="exact"/>
              <w:jc w:val="left"/>
              <w:rPr>
                <w:rFonts w:ascii="宋体" w:hAnsi="宋体" w:cs="宋体"/>
                <w:color w:val="auto"/>
                <w:sz w:val="24"/>
                <w:szCs w:val="24"/>
                <w:highlight w:val="none"/>
              </w:rPr>
            </w:pPr>
            <w:r>
              <w:rPr>
                <w:rFonts w:hint="eastAsia" w:ascii="宋体" w:hAnsi="宋体" w:eastAsia="宋体" w:cs="宋体"/>
                <w:color w:val="auto"/>
                <w:sz w:val="24"/>
                <w:szCs w:val="24"/>
                <w:highlight w:val="none"/>
              </w:rPr>
              <w:t>（6）验收产生的费用由成交供应商负责。</w:t>
            </w:r>
          </w:p>
        </w:tc>
      </w:tr>
      <w:tr w14:paraId="7376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23" w:type="dxa"/>
            <w:tcBorders>
              <w:top w:val="single" w:color="auto" w:sz="4" w:space="0"/>
              <w:left w:val="single" w:color="auto" w:sz="4" w:space="0"/>
              <w:bottom w:val="single" w:color="auto" w:sz="4" w:space="0"/>
              <w:right w:val="single" w:color="auto" w:sz="4" w:space="0"/>
            </w:tcBorders>
            <w:vAlign w:val="center"/>
          </w:tcPr>
          <w:p w14:paraId="7FD15DD4">
            <w:pPr>
              <w:widowControl/>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617" w:type="dxa"/>
            <w:tcBorders>
              <w:top w:val="single" w:color="auto" w:sz="4" w:space="0"/>
              <w:left w:val="single" w:color="auto" w:sz="4" w:space="0"/>
              <w:bottom w:val="single" w:color="auto" w:sz="4" w:space="0"/>
              <w:right w:val="single" w:color="auto" w:sz="4" w:space="0"/>
            </w:tcBorders>
            <w:vAlign w:val="center"/>
          </w:tcPr>
          <w:p w14:paraId="0810115E">
            <w:pPr>
              <w:pStyle w:val="31"/>
              <w:widowControl w:val="0"/>
              <w:spacing w:before="0" w:beforeAutospacing="0" w:after="120" w:afterAutospacing="0"/>
              <w:jc w:val="both"/>
              <w:rPr>
                <w:color w:val="auto"/>
                <w:sz w:val="24"/>
                <w:szCs w:val="24"/>
                <w:highlight w:val="none"/>
              </w:rPr>
            </w:pPr>
            <w:r>
              <w:rPr>
                <w:rFonts w:hint="eastAsia"/>
                <w:color w:val="auto"/>
                <w:sz w:val="24"/>
                <w:szCs w:val="24"/>
                <w:highlight w:val="none"/>
              </w:rPr>
              <w:t>备品备件及耗材等要求</w:t>
            </w:r>
          </w:p>
        </w:tc>
        <w:tc>
          <w:tcPr>
            <w:tcW w:w="6601" w:type="dxa"/>
            <w:tcBorders>
              <w:top w:val="single" w:color="auto" w:sz="4" w:space="0"/>
              <w:left w:val="single" w:color="auto" w:sz="4" w:space="0"/>
              <w:bottom w:val="single" w:color="auto" w:sz="4" w:space="0"/>
              <w:right w:val="single" w:color="auto" w:sz="4" w:space="0"/>
            </w:tcBorders>
          </w:tcPr>
          <w:p w14:paraId="170D1295">
            <w:pPr>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成交供应商所提供零部件、配件及安装材料必须是符合国家规定质量安全标准的全新、合格产品；该项费用应包含在报价中；成交供应商所提供完整的全套设备须包括必备的易损耗备件和专用工具。</w:t>
            </w:r>
          </w:p>
        </w:tc>
      </w:tr>
      <w:tr w14:paraId="6144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23" w:type="dxa"/>
            <w:tcBorders>
              <w:top w:val="single" w:color="auto" w:sz="4" w:space="0"/>
              <w:left w:val="single" w:color="auto" w:sz="4" w:space="0"/>
              <w:bottom w:val="single" w:color="auto" w:sz="4" w:space="0"/>
              <w:right w:val="single" w:color="auto" w:sz="4" w:space="0"/>
            </w:tcBorders>
            <w:vAlign w:val="center"/>
          </w:tcPr>
          <w:p w14:paraId="072CCEE2">
            <w:pPr>
              <w:widowControl/>
              <w:snapToGrid w:val="0"/>
              <w:spacing w:line="360" w:lineRule="auto"/>
              <w:jc w:val="center"/>
              <w:rPr>
                <w:rFonts w:hint="eastAsia" w:ascii="宋体" w:hAnsi="宋体" w:cs="宋体"/>
                <w:color w:val="auto"/>
                <w:sz w:val="24"/>
                <w:szCs w:val="24"/>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3B6665E2">
            <w:pPr>
              <w:pStyle w:val="31"/>
              <w:widowControl w:val="0"/>
              <w:spacing w:before="0" w:beforeAutospacing="0" w:after="120" w:afterAutospacing="0"/>
              <w:jc w:val="center"/>
              <w:rPr>
                <w:rFonts w:hint="eastAsia"/>
                <w:color w:val="auto"/>
                <w:sz w:val="24"/>
                <w:szCs w:val="24"/>
                <w:highlight w:val="none"/>
              </w:rPr>
            </w:pPr>
            <w:r>
              <w:rPr>
                <w:rFonts w:hint="eastAsia"/>
                <w:color w:val="auto"/>
                <w:sz w:val="24"/>
                <w:szCs w:val="24"/>
                <w:highlight w:val="none"/>
              </w:rPr>
              <w:t>包装和运输</w:t>
            </w:r>
          </w:p>
        </w:tc>
        <w:tc>
          <w:tcPr>
            <w:tcW w:w="6601" w:type="dxa"/>
            <w:tcBorders>
              <w:top w:val="single" w:color="auto" w:sz="4" w:space="0"/>
              <w:left w:val="single" w:color="auto" w:sz="4" w:space="0"/>
              <w:bottom w:val="single" w:color="auto" w:sz="4" w:space="0"/>
              <w:right w:val="single" w:color="auto" w:sz="4" w:space="0"/>
            </w:tcBorders>
          </w:tcPr>
          <w:p w14:paraId="767A0E4B">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在货物发运前对其进行满足运输距离、防潮、防震、防锈和防破损装卸等要求包装，以保证货物安全运达采购人指定地点。中文使用说明书、质量检验证明书、保修单据、随配附件和工具以及清单一并附于货物内。</w:t>
            </w:r>
          </w:p>
          <w:p w14:paraId="25F0DA0F">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（2）货物的运输方式：由成交供应商自行安排。</w:t>
            </w:r>
          </w:p>
          <w:p w14:paraId="4A53C3B3">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（3）成交供应商负责货物运输，货物运输合理损耗及计算方法：本项目不接受损耗。</w:t>
            </w:r>
          </w:p>
        </w:tc>
      </w:tr>
      <w:tr w14:paraId="68ED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23" w:type="dxa"/>
            <w:tcBorders>
              <w:top w:val="single" w:color="auto" w:sz="4" w:space="0"/>
              <w:left w:val="single" w:color="auto" w:sz="4" w:space="0"/>
              <w:bottom w:val="single" w:color="auto" w:sz="4" w:space="0"/>
              <w:right w:val="single" w:color="auto" w:sz="4" w:space="0"/>
            </w:tcBorders>
            <w:vAlign w:val="center"/>
          </w:tcPr>
          <w:p w14:paraId="2A29B155">
            <w:pPr>
              <w:widowControl/>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617" w:type="dxa"/>
            <w:tcBorders>
              <w:top w:val="single" w:color="auto" w:sz="4" w:space="0"/>
              <w:left w:val="single" w:color="auto" w:sz="4" w:space="0"/>
              <w:bottom w:val="single" w:color="auto" w:sz="4" w:space="0"/>
              <w:right w:val="single" w:color="auto" w:sz="4" w:space="0"/>
            </w:tcBorders>
            <w:vAlign w:val="center"/>
          </w:tcPr>
          <w:p w14:paraId="79FD2112">
            <w:pPr>
              <w:pStyle w:val="31"/>
              <w:widowControl w:val="0"/>
              <w:spacing w:before="0" w:beforeAutospacing="0" w:after="120" w:afterAutospacing="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保险</w:t>
            </w:r>
          </w:p>
        </w:tc>
        <w:tc>
          <w:tcPr>
            <w:tcW w:w="6601" w:type="dxa"/>
            <w:tcBorders>
              <w:top w:val="single" w:color="auto" w:sz="4" w:space="0"/>
              <w:left w:val="single" w:color="auto" w:sz="4" w:space="0"/>
              <w:bottom w:val="single" w:color="auto" w:sz="4" w:space="0"/>
              <w:right w:val="single" w:color="auto" w:sz="4" w:space="0"/>
            </w:tcBorders>
          </w:tcPr>
          <w:p w14:paraId="2D6F6CA6">
            <w:pPr>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成交供应商负责办理运输和保险，将货物运抵交货地点。与运输、保险相关的费用由成交供应商承担。</w:t>
            </w:r>
          </w:p>
        </w:tc>
      </w:tr>
      <w:tr w14:paraId="1875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3" w:type="dxa"/>
            <w:tcBorders>
              <w:top w:val="single" w:color="auto" w:sz="4" w:space="0"/>
              <w:left w:val="single" w:color="auto" w:sz="4" w:space="0"/>
              <w:bottom w:val="single" w:color="auto" w:sz="4" w:space="0"/>
              <w:right w:val="single" w:color="auto" w:sz="4" w:space="0"/>
            </w:tcBorders>
            <w:vAlign w:val="center"/>
          </w:tcPr>
          <w:p w14:paraId="4BB24964">
            <w:pPr>
              <w:spacing w:line="360" w:lineRule="auto"/>
              <w:jc w:val="center"/>
              <w:rPr>
                <w:rFonts w:hint="default" w:ascii="宋体" w:hAnsi="宋体" w:eastAsia="宋体" w:cs="Courier New"/>
                <w:color w:val="auto"/>
                <w:sz w:val="24"/>
                <w:szCs w:val="24"/>
                <w:highlight w:val="none"/>
                <w:lang w:val="en-US" w:eastAsia="zh-CN"/>
              </w:rPr>
            </w:pPr>
            <w:r>
              <w:rPr>
                <w:rFonts w:hint="eastAsia" w:ascii="宋体" w:hAnsi="宋体" w:cs="Courier New"/>
                <w:color w:val="auto"/>
                <w:sz w:val="24"/>
                <w:szCs w:val="24"/>
                <w:highlight w:val="none"/>
                <w:lang w:val="en-US" w:eastAsia="zh-CN"/>
              </w:rPr>
              <w:t>11</w:t>
            </w:r>
          </w:p>
        </w:tc>
        <w:tc>
          <w:tcPr>
            <w:tcW w:w="1617" w:type="dxa"/>
            <w:tcBorders>
              <w:top w:val="single" w:color="auto" w:sz="4" w:space="0"/>
              <w:left w:val="single" w:color="auto" w:sz="4" w:space="0"/>
              <w:bottom w:val="single" w:color="auto" w:sz="4" w:space="0"/>
              <w:right w:val="single" w:color="auto" w:sz="4" w:space="0"/>
            </w:tcBorders>
            <w:vAlign w:val="center"/>
          </w:tcPr>
          <w:p w14:paraId="18541AB4">
            <w:pPr>
              <w:spacing w:line="360" w:lineRule="auto"/>
              <w:jc w:val="center"/>
              <w:rPr>
                <w:rFonts w:ascii="宋体" w:hAnsi="宋体" w:cs="Courier New"/>
                <w:color w:val="auto"/>
                <w:sz w:val="24"/>
                <w:szCs w:val="24"/>
                <w:highlight w:val="none"/>
              </w:rPr>
            </w:pPr>
            <w:r>
              <w:rPr>
                <w:rFonts w:hint="eastAsia" w:ascii="宋体" w:hAnsi="宋体" w:cs="Courier New"/>
                <w:color w:val="auto"/>
                <w:sz w:val="24"/>
                <w:szCs w:val="24"/>
                <w:highlight w:val="none"/>
              </w:rPr>
              <w:t>采购人的特殊要求及说明</w:t>
            </w:r>
          </w:p>
        </w:tc>
        <w:tc>
          <w:tcPr>
            <w:tcW w:w="6601" w:type="dxa"/>
            <w:tcBorders>
              <w:top w:val="single" w:color="auto" w:sz="4" w:space="0"/>
              <w:left w:val="single" w:color="auto" w:sz="4" w:space="0"/>
              <w:bottom w:val="single" w:color="auto" w:sz="4" w:space="0"/>
              <w:right w:val="single" w:color="auto" w:sz="4" w:space="0"/>
            </w:tcBorders>
            <w:vAlign w:val="center"/>
          </w:tcPr>
          <w:p w14:paraId="6368DF0B">
            <w:pPr>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竞标产品不可选用进口产品</w:t>
            </w:r>
          </w:p>
        </w:tc>
      </w:tr>
    </w:tbl>
    <w:p w14:paraId="20DED32A">
      <w:pPr>
        <w:rPr>
          <w:rFonts w:hint="eastAsia"/>
          <w:color w:val="auto"/>
          <w:sz w:val="24"/>
          <w:szCs w:val="24"/>
          <w:highlight w:val="none"/>
        </w:rPr>
      </w:pPr>
    </w:p>
    <w:p w14:paraId="7878ACC4">
      <w:pPr>
        <w:rPr>
          <w:rFonts w:hint="eastAsia"/>
          <w:color w:val="auto"/>
          <w:highlight w:val="none"/>
        </w:rPr>
      </w:pPr>
      <w:r>
        <w:rPr>
          <w:rFonts w:hint="eastAsia"/>
          <w:color w:val="auto"/>
          <w:sz w:val="24"/>
          <w:szCs w:val="24"/>
          <w:highlight w:val="none"/>
        </w:rPr>
        <w:br w:type="page"/>
      </w:r>
    </w:p>
    <w:p w14:paraId="430FF750">
      <w:pPr>
        <w:rPr>
          <w:rFonts w:hint="eastAsia" w:ascii="宋体" w:hAnsi="宋体" w:cs="宋体"/>
          <w:color w:val="auto"/>
          <w:sz w:val="32"/>
          <w:szCs w:val="32"/>
          <w:highlight w:val="none"/>
        </w:rPr>
      </w:pPr>
      <w:r>
        <w:rPr>
          <w:rFonts w:hint="eastAsia" w:ascii="宋体" w:hAnsi="宋体" w:cs="宋体"/>
          <w:color w:val="auto"/>
          <w:sz w:val="32"/>
          <w:szCs w:val="32"/>
          <w:highlight w:val="none"/>
        </w:rPr>
        <w:t>附件1：</w:t>
      </w:r>
    </w:p>
    <w:p w14:paraId="47242A7D">
      <w:pPr>
        <w:widowControl/>
        <w:rPr>
          <w:rFonts w:ascii="宋体" w:hAnsi="宋体" w:cs="宋体"/>
          <w:color w:val="auto"/>
          <w:sz w:val="20"/>
          <w:szCs w:val="20"/>
          <w:highlight w:val="none"/>
        </w:rPr>
      </w:pPr>
    </w:p>
    <w:p w14:paraId="30ABAF23">
      <w:pPr>
        <w:pStyle w:val="13"/>
        <w:rPr>
          <w:rFonts w:ascii="宋体" w:hAnsi="宋体" w:cs="宋体"/>
          <w:color w:val="auto"/>
          <w:sz w:val="20"/>
          <w:szCs w:val="20"/>
          <w:highlight w:val="none"/>
        </w:rPr>
      </w:pPr>
    </w:p>
    <w:p w14:paraId="4AA43571">
      <w:pPr>
        <w:spacing w:line="528"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节能产品政府采购品目清单</w:t>
      </w:r>
    </w:p>
    <w:tbl>
      <w:tblPr>
        <w:tblStyle w:val="35"/>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14:paraId="14A787BF">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3FD7B844">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5539CF50">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335" w:type="dxa"/>
            <w:tcBorders>
              <w:top w:val="single" w:color="000000" w:sz="8" w:space="0"/>
              <w:left w:val="nil"/>
              <w:bottom w:val="single" w:color="000000" w:sz="8" w:space="0"/>
              <w:right w:val="single" w:color="000000" w:sz="8" w:space="0"/>
            </w:tcBorders>
            <w:noWrap w:val="0"/>
            <w:vAlign w:val="center"/>
          </w:tcPr>
          <w:p w14:paraId="7F92B0B3">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2CEFC30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410EB2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F757D5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7C8C208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4C53AF8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6CF9F11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91EF9E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4E9A69F">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6DE1740">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CE022C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44047FE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223D55F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773E4A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4177189">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4532480">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49DA79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5056702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2DD0676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352A174">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2418F8F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961748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532464B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22F3732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335" w:type="dxa"/>
            <w:tcBorders>
              <w:top w:val="nil"/>
              <w:left w:val="nil"/>
              <w:bottom w:val="single" w:color="000000" w:sz="8" w:space="0"/>
              <w:right w:val="single" w:color="000000" w:sz="8" w:space="0"/>
            </w:tcBorders>
            <w:noWrap w:val="0"/>
            <w:vAlign w:val="center"/>
          </w:tcPr>
          <w:p w14:paraId="5981AAA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B98845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26C0506">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FBFC29E">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8C87A5E">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A39438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335" w:type="dxa"/>
            <w:tcBorders>
              <w:top w:val="nil"/>
              <w:left w:val="nil"/>
              <w:bottom w:val="single" w:color="000000" w:sz="8" w:space="0"/>
              <w:right w:val="single" w:color="000000" w:sz="8" w:space="0"/>
            </w:tcBorders>
            <w:noWrap w:val="0"/>
            <w:vAlign w:val="center"/>
          </w:tcPr>
          <w:p w14:paraId="1074371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490711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C1257CC">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F979EC3">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AFD9A6A">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0BC656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335" w:type="dxa"/>
            <w:tcBorders>
              <w:top w:val="nil"/>
              <w:left w:val="nil"/>
              <w:bottom w:val="single" w:color="000000" w:sz="8" w:space="0"/>
              <w:right w:val="single" w:color="000000" w:sz="8" w:space="0"/>
            </w:tcBorders>
            <w:noWrap w:val="0"/>
            <w:vAlign w:val="center"/>
          </w:tcPr>
          <w:p w14:paraId="3EF27A9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DFC60B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0A6190F">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9B89C15">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EDCC89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7D85B92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335" w:type="dxa"/>
            <w:tcBorders>
              <w:top w:val="nil"/>
              <w:left w:val="nil"/>
              <w:bottom w:val="single" w:color="000000" w:sz="8" w:space="0"/>
              <w:right w:val="single" w:color="000000" w:sz="8" w:space="0"/>
            </w:tcBorders>
            <w:noWrap w:val="0"/>
            <w:vAlign w:val="center"/>
          </w:tcPr>
          <w:p w14:paraId="051D3DF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2DE4F17E">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234A98E">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0C99B84">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B91053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6F67F7F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335" w:type="dxa"/>
            <w:tcBorders>
              <w:top w:val="nil"/>
              <w:left w:val="nil"/>
              <w:bottom w:val="single" w:color="000000" w:sz="8" w:space="0"/>
              <w:right w:val="single" w:color="000000" w:sz="8" w:space="0"/>
            </w:tcBorders>
            <w:noWrap w:val="0"/>
            <w:vAlign w:val="center"/>
          </w:tcPr>
          <w:p w14:paraId="013EA62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61B4778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FB460D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4B2A1ED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2F85D3A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1E3B4A7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7A4C1E8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1511C2B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52E1D1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0594F26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400E627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FE5060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6CDE964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50EBE2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D1BB66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5A516A6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2A4F59F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60786F9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7A6E16C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2F68923E">
        <w:tblPrEx>
          <w:tblCellMar>
            <w:top w:w="0" w:type="dxa"/>
            <w:left w:w="108" w:type="dxa"/>
            <w:bottom w:w="0" w:type="dxa"/>
            <w:right w:w="108" w:type="dxa"/>
          </w:tblCellMar>
        </w:tblPrEx>
        <w:trPr>
          <w:trHeight w:val="735" w:hRule="atLeast"/>
        </w:trPr>
        <w:tc>
          <w:tcPr>
            <w:tcW w:w="641" w:type="dxa"/>
            <w:vMerge w:val="restart"/>
            <w:tcBorders>
              <w:top w:val="nil"/>
              <w:left w:val="single" w:color="auto" w:sz="4" w:space="0"/>
              <w:bottom w:val="single" w:color="000000" w:sz="8" w:space="0"/>
              <w:right w:val="single" w:color="000000" w:sz="8" w:space="0"/>
            </w:tcBorders>
            <w:noWrap w:val="0"/>
            <w:vAlign w:val="center"/>
          </w:tcPr>
          <w:p w14:paraId="46AF441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0C6483F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32B32CE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3BFD5DA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335" w:type="dxa"/>
            <w:tcBorders>
              <w:top w:val="nil"/>
              <w:left w:val="nil"/>
              <w:bottom w:val="single" w:color="000000" w:sz="8" w:space="0"/>
              <w:right w:val="single" w:color="000000" w:sz="8" w:space="0"/>
            </w:tcBorders>
            <w:noWrap w:val="0"/>
            <w:vAlign w:val="center"/>
          </w:tcPr>
          <w:p w14:paraId="31C0A3E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2412FA1">
        <w:tblPrEx>
          <w:tblCellMar>
            <w:top w:w="0" w:type="dxa"/>
            <w:left w:w="108" w:type="dxa"/>
            <w:bottom w:w="0" w:type="dxa"/>
            <w:right w:w="108" w:type="dxa"/>
          </w:tblCellMar>
        </w:tblPrEx>
        <w:trPr>
          <w:trHeight w:val="495" w:hRule="atLeast"/>
        </w:trPr>
        <w:tc>
          <w:tcPr>
            <w:tcW w:w="641" w:type="dxa"/>
            <w:vMerge w:val="continue"/>
            <w:tcBorders>
              <w:top w:val="nil"/>
              <w:left w:val="single" w:color="auto" w:sz="4" w:space="0"/>
              <w:bottom w:val="single" w:color="000000" w:sz="8" w:space="0"/>
              <w:right w:val="single" w:color="000000" w:sz="8" w:space="0"/>
            </w:tcBorders>
            <w:noWrap w:val="0"/>
            <w:vAlign w:val="center"/>
          </w:tcPr>
          <w:p w14:paraId="7B82A1BE">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D80746C">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EF43008">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83774E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335" w:type="dxa"/>
            <w:tcBorders>
              <w:top w:val="nil"/>
              <w:left w:val="nil"/>
              <w:bottom w:val="single" w:color="000000" w:sz="8" w:space="0"/>
              <w:right w:val="single" w:color="000000" w:sz="8" w:space="0"/>
            </w:tcBorders>
            <w:noWrap w:val="0"/>
            <w:vAlign w:val="center"/>
          </w:tcPr>
          <w:p w14:paraId="2C10C19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2B00C1D8">
        <w:tblPrEx>
          <w:tblCellMar>
            <w:top w:w="0" w:type="dxa"/>
            <w:left w:w="108" w:type="dxa"/>
            <w:bottom w:w="0" w:type="dxa"/>
            <w:right w:w="108" w:type="dxa"/>
          </w:tblCellMar>
        </w:tblPrEx>
        <w:trPr>
          <w:trHeight w:val="495" w:hRule="atLeast"/>
        </w:trPr>
        <w:tc>
          <w:tcPr>
            <w:tcW w:w="641" w:type="dxa"/>
            <w:vMerge w:val="continue"/>
            <w:tcBorders>
              <w:top w:val="nil"/>
              <w:left w:val="single" w:color="auto" w:sz="4" w:space="0"/>
              <w:bottom w:val="single" w:color="000000" w:sz="8" w:space="0"/>
              <w:right w:val="single" w:color="000000" w:sz="8" w:space="0"/>
            </w:tcBorders>
            <w:noWrap w:val="0"/>
            <w:vAlign w:val="center"/>
          </w:tcPr>
          <w:p w14:paraId="644E21D9">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CA158F1">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082F2E9">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0CE016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335" w:type="dxa"/>
            <w:tcBorders>
              <w:top w:val="nil"/>
              <w:left w:val="nil"/>
              <w:bottom w:val="single" w:color="000000" w:sz="8" w:space="0"/>
              <w:right w:val="single" w:color="000000" w:sz="8" w:space="0"/>
            </w:tcBorders>
            <w:noWrap w:val="0"/>
            <w:vAlign w:val="center"/>
          </w:tcPr>
          <w:p w14:paraId="45F486D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0A899214">
        <w:tblPrEx>
          <w:tblCellMar>
            <w:top w:w="0" w:type="dxa"/>
            <w:left w:w="108" w:type="dxa"/>
            <w:bottom w:w="0" w:type="dxa"/>
            <w:right w:w="108" w:type="dxa"/>
          </w:tblCellMar>
        </w:tblPrEx>
        <w:trPr>
          <w:trHeight w:val="735" w:hRule="atLeast"/>
        </w:trPr>
        <w:tc>
          <w:tcPr>
            <w:tcW w:w="641" w:type="dxa"/>
            <w:vMerge w:val="continue"/>
            <w:tcBorders>
              <w:top w:val="nil"/>
              <w:left w:val="single" w:color="auto" w:sz="4" w:space="0"/>
              <w:bottom w:val="single" w:color="000000" w:sz="8" w:space="0"/>
              <w:right w:val="single" w:color="000000" w:sz="8" w:space="0"/>
            </w:tcBorders>
            <w:noWrap w:val="0"/>
            <w:vAlign w:val="center"/>
          </w:tcPr>
          <w:p w14:paraId="338187A3">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2D297C7">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35BC07E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14D3963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335" w:type="dxa"/>
            <w:tcBorders>
              <w:top w:val="nil"/>
              <w:left w:val="nil"/>
              <w:bottom w:val="single" w:color="000000" w:sz="8" w:space="0"/>
              <w:right w:val="single" w:color="000000" w:sz="8" w:space="0"/>
            </w:tcBorders>
            <w:noWrap w:val="0"/>
            <w:vAlign w:val="center"/>
          </w:tcPr>
          <w:p w14:paraId="2D967EB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58AABB3">
        <w:tblPrEx>
          <w:tblCellMar>
            <w:top w:w="0" w:type="dxa"/>
            <w:left w:w="108" w:type="dxa"/>
            <w:bottom w:w="0" w:type="dxa"/>
            <w:right w:w="108" w:type="dxa"/>
          </w:tblCellMar>
        </w:tblPrEx>
        <w:trPr>
          <w:trHeight w:val="735" w:hRule="atLeast"/>
        </w:trPr>
        <w:tc>
          <w:tcPr>
            <w:tcW w:w="641" w:type="dxa"/>
            <w:vMerge w:val="continue"/>
            <w:tcBorders>
              <w:top w:val="nil"/>
              <w:left w:val="single" w:color="auto" w:sz="4" w:space="0"/>
              <w:bottom w:val="single" w:color="000000" w:sz="8" w:space="0"/>
              <w:right w:val="single" w:color="000000" w:sz="8" w:space="0"/>
            </w:tcBorders>
            <w:noWrap w:val="0"/>
            <w:vAlign w:val="center"/>
          </w:tcPr>
          <w:p w14:paraId="4FD53BB2">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305E910">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EE385DB">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0E102A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335" w:type="dxa"/>
            <w:tcBorders>
              <w:top w:val="nil"/>
              <w:left w:val="nil"/>
              <w:bottom w:val="single" w:color="000000" w:sz="8" w:space="0"/>
              <w:right w:val="single" w:color="000000" w:sz="8" w:space="0"/>
            </w:tcBorders>
            <w:noWrap w:val="0"/>
            <w:vAlign w:val="center"/>
          </w:tcPr>
          <w:p w14:paraId="4858456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6A0A427F">
        <w:tblPrEx>
          <w:tblCellMar>
            <w:top w:w="0" w:type="dxa"/>
            <w:left w:w="108" w:type="dxa"/>
            <w:bottom w:w="0" w:type="dxa"/>
            <w:right w:w="108" w:type="dxa"/>
          </w:tblCellMar>
        </w:tblPrEx>
        <w:trPr>
          <w:trHeight w:val="735" w:hRule="atLeast"/>
        </w:trPr>
        <w:tc>
          <w:tcPr>
            <w:tcW w:w="641" w:type="dxa"/>
            <w:vMerge w:val="continue"/>
            <w:tcBorders>
              <w:top w:val="nil"/>
              <w:left w:val="single" w:color="auto" w:sz="4" w:space="0"/>
              <w:bottom w:val="single" w:color="auto" w:sz="4" w:space="0"/>
              <w:right w:val="single" w:color="000000" w:sz="8" w:space="0"/>
            </w:tcBorders>
            <w:noWrap w:val="0"/>
            <w:vAlign w:val="center"/>
          </w:tcPr>
          <w:p w14:paraId="71D0FC45">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auto" w:sz="4" w:space="0"/>
              <w:right w:val="single" w:color="000000" w:sz="8" w:space="0"/>
            </w:tcBorders>
            <w:noWrap w:val="0"/>
            <w:vAlign w:val="center"/>
          </w:tcPr>
          <w:p w14:paraId="44CD0DAB">
            <w:pPr>
              <w:widowControl/>
              <w:jc w:val="left"/>
              <w:rPr>
                <w:rFonts w:ascii="宋体" w:hAnsi="宋体" w:cs="宋体"/>
                <w:color w:val="auto"/>
                <w:kern w:val="0"/>
                <w:sz w:val="20"/>
                <w:szCs w:val="20"/>
                <w:highlight w:val="none"/>
              </w:rPr>
            </w:pPr>
          </w:p>
        </w:tc>
        <w:tc>
          <w:tcPr>
            <w:tcW w:w="1516" w:type="dxa"/>
            <w:tcBorders>
              <w:top w:val="nil"/>
              <w:left w:val="nil"/>
              <w:bottom w:val="single" w:color="auto" w:sz="4" w:space="0"/>
              <w:right w:val="single" w:color="000000" w:sz="8" w:space="0"/>
            </w:tcBorders>
            <w:noWrap w:val="0"/>
            <w:vAlign w:val="center"/>
          </w:tcPr>
          <w:p w14:paraId="6AABC59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12" w:type="dxa"/>
            <w:tcBorders>
              <w:top w:val="nil"/>
              <w:left w:val="nil"/>
              <w:bottom w:val="single" w:color="auto" w:sz="4" w:space="0"/>
              <w:right w:val="single" w:color="000000" w:sz="8" w:space="0"/>
            </w:tcBorders>
            <w:noWrap w:val="0"/>
            <w:vAlign w:val="center"/>
          </w:tcPr>
          <w:p w14:paraId="5128864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335" w:type="dxa"/>
            <w:tcBorders>
              <w:top w:val="nil"/>
              <w:left w:val="nil"/>
              <w:bottom w:val="single" w:color="auto" w:sz="4" w:space="0"/>
              <w:right w:val="single" w:color="000000" w:sz="8" w:space="0"/>
            </w:tcBorders>
            <w:noWrap w:val="0"/>
            <w:vAlign w:val="center"/>
          </w:tcPr>
          <w:p w14:paraId="33C906F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71404E6F">
        <w:tblPrEx>
          <w:tblCellMar>
            <w:top w:w="0" w:type="dxa"/>
            <w:left w:w="108" w:type="dxa"/>
            <w:bottom w:w="0" w:type="dxa"/>
            <w:right w:w="108" w:type="dxa"/>
          </w:tblCellMar>
        </w:tblPrEx>
        <w:trPr>
          <w:trHeight w:val="870" w:hRule="atLeast"/>
        </w:trPr>
        <w:tc>
          <w:tcPr>
            <w:tcW w:w="641" w:type="dxa"/>
            <w:vMerge w:val="continue"/>
            <w:tcBorders>
              <w:top w:val="single" w:color="auto" w:sz="4" w:space="0"/>
              <w:left w:val="single" w:color="auto" w:sz="4" w:space="0"/>
              <w:bottom w:val="single" w:color="auto" w:sz="4" w:space="0"/>
              <w:right w:val="single" w:color="000000" w:sz="8" w:space="0"/>
            </w:tcBorders>
            <w:noWrap w:val="0"/>
            <w:vAlign w:val="center"/>
          </w:tcPr>
          <w:p w14:paraId="1C60E395">
            <w:pPr>
              <w:widowControl/>
              <w:jc w:val="left"/>
              <w:rPr>
                <w:rFonts w:ascii="宋体" w:hAnsi="宋体" w:cs="宋体"/>
                <w:color w:val="auto"/>
                <w:kern w:val="0"/>
                <w:sz w:val="20"/>
                <w:szCs w:val="20"/>
                <w:highlight w:val="none"/>
              </w:rPr>
            </w:pPr>
          </w:p>
        </w:tc>
        <w:tc>
          <w:tcPr>
            <w:tcW w:w="1116" w:type="dxa"/>
            <w:vMerge w:val="continue"/>
            <w:tcBorders>
              <w:top w:val="single" w:color="auto" w:sz="4" w:space="0"/>
              <w:left w:val="single" w:color="000000" w:sz="8" w:space="0"/>
              <w:bottom w:val="single" w:color="auto" w:sz="4" w:space="0"/>
              <w:right w:val="single" w:color="auto" w:sz="4" w:space="0"/>
            </w:tcBorders>
            <w:noWrap w:val="0"/>
            <w:vAlign w:val="center"/>
          </w:tcPr>
          <w:p w14:paraId="4887859C">
            <w:pPr>
              <w:widowControl/>
              <w:jc w:val="left"/>
              <w:rPr>
                <w:rFonts w:ascii="宋体" w:hAnsi="宋体" w:cs="宋体"/>
                <w:color w:val="auto"/>
                <w:kern w:val="0"/>
                <w:sz w:val="20"/>
                <w:szCs w:val="20"/>
                <w:highlight w:val="none"/>
              </w:rPr>
            </w:pPr>
          </w:p>
        </w:tc>
        <w:tc>
          <w:tcPr>
            <w:tcW w:w="1516" w:type="dxa"/>
            <w:tcBorders>
              <w:top w:val="single" w:color="auto" w:sz="4" w:space="0"/>
              <w:left w:val="single" w:color="auto" w:sz="4" w:space="0"/>
              <w:bottom w:val="single" w:color="auto" w:sz="4" w:space="0"/>
              <w:right w:val="single" w:color="000000" w:sz="8" w:space="0"/>
            </w:tcBorders>
            <w:noWrap w:val="0"/>
            <w:vAlign w:val="center"/>
          </w:tcPr>
          <w:p w14:paraId="54AED24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12" w:type="dxa"/>
            <w:tcBorders>
              <w:top w:val="single" w:color="auto" w:sz="4" w:space="0"/>
              <w:left w:val="nil"/>
              <w:bottom w:val="single" w:color="auto" w:sz="4" w:space="0"/>
              <w:right w:val="single" w:color="000000" w:sz="8" w:space="0"/>
            </w:tcBorders>
            <w:noWrap w:val="0"/>
            <w:vAlign w:val="center"/>
          </w:tcPr>
          <w:p w14:paraId="0C5D1F7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335" w:type="dxa"/>
            <w:tcBorders>
              <w:top w:val="single" w:color="auto" w:sz="4" w:space="0"/>
              <w:left w:val="nil"/>
              <w:bottom w:val="single" w:color="auto" w:sz="4" w:space="0"/>
              <w:right w:val="single" w:color="auto" w:sz="4" w:space="0"/>
            </w:tcBorders>
            <w:noWrap w:val="0"/>
            <w:vAlign w:val="center"/>
          </w:tcPr>
          <w:p w14:paraId="1DF7BEC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2542FFAC">
        <w:tblPrEx>
          <w:tblCellMar>
            <w:top w:w="0" w:type="dxa"/>
            <w:left w:w="108" w:type="dxa"/>
            <w:bottom w:w="0" w:type="dxa"/>
            <w:right w:w="108" w:type="dxa"/>
          </w:tblCellMar>
        </w:tblPrEx>
        <w:trPr>
          <w:trHeight w:val="495"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14:paraId="02FD23B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1FA013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DD1A5C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205D6BA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noWrap w:val="0"/>
            <w:vAlign w:val="center"/>
          </w:tcPr>
          <w:p w14:paraId="043CDA5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2E912FE3">
        <w:tblPrEx>
          <w:tblCellMar>
            <w:top w:w="0" w:type="dxa"/>
            <w:left w:w="108" w:type="dxa"/>
            <w:bottom w:w="0" w:type="dxa"/>
            <w:right w:w="108" w:type="dxa"/>
          </w:tblCellMar>
        </w:tblPrEx>
        <w:trPr>
          <w:trHeight w:val="495" w:hRule="atLeast"/>
        </w:trPr>
        <w:tc>
          <w:tcPr>
            <w:tcW w:w="641" w:type="dxa"/>
            <w:tcBorders>
              <w:top w:val="single" w:color="auto" w:sz="4" w:space="0"/>
              <w:left w:val="single" w:color="000000" w:sz="8" w:space="0"/>
              <w:bottom w:val="single" w:color="000000" w:sz="8" w:space="0"/>
              <w:right w:val="single" w:color="000000" w:sz="8" w:space="0"/>
            </w:tcBorders>
            <w:noWrap w:val="0"/>
            <w:vAlign w:val="center"/>
          </w:tcPr>
          <w:p w14:paraId="526752B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16" w:type="dxa"/>
            <w:tcBorders>
              <w:top w:val="single" w:color="auto" w:sz="4" w:space="0"/>
              <w:left w:val="nil"/>
              <w:bottom w:val="single" w:color="000000" w:sz="8" w:space="0"/>
              <w:right w:val="single" w:color="000000" w:sz="8" w:space="0"/>
            </w:tcBorders>
            <w:noWrap w:val="0"/>
            <w:vAlign w:val="center"/>
          </w:tcPr>
          <w:p w14:paraId="7ACA2AA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16" w:type="dxa"/>
            <w:tcBorders>
              <w:top w:val="single" w:color="auto" w:sz="4" w:space="0"/>
              <w:left w:val="nil"/>
              <w:bottom w:val="single" w:color="000000" w:sz="8" w:space="0"/>
              <w:right w:val="single" w:color="000000" w:sz="8" w:space="0"/>
            </w:tcBorders>
            <w:noWrap w:val="0"/>
            <w:vAlign w:val="center"/>
          </w:tcPr>
          <w:p w14:paraId="548761D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12" w:type="dxa"/>
            <w:tcBorders>
              <w:top w:val="single" w:color="auto" w:sz="4" w:space="0"/>
              <w:left w:val="nil"/>
              <w:bottom w:val="single" w:color="000000" w:sz="8" w:space="0"/>
              <w:right w:val="single" w:color="000000" w:sz="8" w:space="0"/>
            </w:tcBorders>
            <w:noWrap w:val="0"/>
            <w:vAlign w:val="center"/>
          </w:tcPr>
          <w:p w14:paraId="019A0AE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nil"/>
              <w:bottom w:val="single" w:color="000000" w:sz="8" w:space="0"/>
              <w:right w:val="single" w:color="000000" w:sz="8" w:space="0"/>
            </w:tcBorders>
            <w:noWrap w:val="0"/>
            <w:vAlign w:val="center"/>
          </w:tcPr>
          <w:p w14:paraId="2F1F445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4AF58CD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54E321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2BAD037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3F1D9F1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6D9A2AF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79216B2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68FB3DB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121284C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2340DD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2E0AC4C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2934A5E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6508C98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27604B85">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A2923D0">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4E483A0">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2ABBA54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2784E32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335" w:type="dxa"/>
            <w:tcBorders>
              <w:top w:val="nil"/>
              <w:left w:val="nil"/>
              <w:bottom w:val="single" w:color="000000" w:sz="8" w:space="0"/>
              <w:right w:val="single" w:color="000000" w:sz="8" w:space="0"/>
            </w:tcBorders>
            <w:noWrap w:val="0"/>
            <w:vAlign w:val="center"/>
          </w:tcPr>
          <w:p w14:paraId="543DD72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10F641B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39FFDE5">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C2F84C1">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4D00700">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E785AB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335" w:type="dxa"/>
            <w:tcBorders>
              <w:top w:val="nil"/>
              <w:left w:val="nil"/>
              <w:bottom w:val="single" w:color="000000" w:sz="8" w:space="0"/>
              <w:right w:val="single" w:color="000000" w:sz="8" w:space="0"/>
            </w:tcBorders>
            <w:noWrap w:val="0"/>
            <w:vAlign w:val="center"/>
          </w:tcPr>
          <w:p w14:paraId="1C5C8AF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0FE934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F4DA615">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7B778E4">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6918482">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532FFA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335" w:type="dxa"/>
            <w:tcBorders>
              <w:top w:val="nil"/>
              <w:left w:val="nil"/>
              <w:bottom w:val="single" w:color="000000" w:sz="8" w:space="0"/>
              <w:right w:val="single" w:color="000000" w:sz="8" w:space="0"/>
            </w:tcBorders>
            <w:noWrap w:val="0"/>
            <w:vAlign w:val="center"/>
          </w:tcPr>
          <w:p w14:paraId="587C0AD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5B81921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246443B">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2D39402">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A523E8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24A12E3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732A699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7FD1AE5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C99B649">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D2EBFDD">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180D4B9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1F98ECC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335" w:type="dxa"/>
            <w:tcBorders>
              <w:top w:val="nil"/>
              <w:left w:val="nil"/>
              <w:bottom w:val="single" w:color="000000" w:sz="8" w:space="0"/>
              <w:right w:val="single" w:color="000000" w:sz="8" w:space="0"/>
            </w:tcBorders>
            <w:noWrap w:val="0"/>
            <w:vAlign w:val="center"/>
          </w:tcPr>
          <w:p w14:paraId="096CFF9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2482E39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2603C3A">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9AFE5AD">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F0E350C">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903C29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335" w:type="dxa"/>
            <w:tcBorders>
              <w:top w:val="nil"/>
              <w:left w:val="nil"/>
              <w:bottom w:val="single" w:color="000000" w:sz="8" w:space="0"/>
              <w:right w:val="single" w:color="000000" w:sz="8" w:space="0"/>
            </w:tcBorders>
            <w:noWrap w:val="0"/>
            <w:vAlign w:val="center"/>
          </w:tcPr>
          <w:p w14:paraId="6298A22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5B60866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F59B265">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DADF52C">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6D9AA14">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EBB1F2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335" w:type="dxa"/>
            <w:tcBorders>
              <w:top w:val="nil"/>
              <w:left w:val="nil"/>
              <w:bottom w:val="single" w:color="000000" w:sz="8" w:space="0"/>
              <w:right w:val="single" w:color="000000" w:sz="8" w:space="0"/>
            </w:tcBorders>
            <w:noWrap w:val="0"/>
            <w:vAlign w:val="center"/>
          </w:tcPr>
          <w:p w14:paraId="6D85449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50F99AA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D057CED">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6031BEC">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0D6BD43">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92AB78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335" w:type="dxa"/>
            <w:tcBorders>
              <w:top w:val="nil"/>
              <w:left w:val="nil"/>
              <w:bottom w:val="single" w:color="000000" w:sz="8" w:space="0"/>
              <w:right w:val="single" w:color="000000" w:sz="8" w:space="0"/>
            </w:tcBorders>
            <w:noWrap w:val="0"/>
            <w:vAlign w:val="center"/>
          </w:tcPr>
          <w:p w14:paraId="2AC9F2C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3E745FC5">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60EFE3B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1E9524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0DF74A2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1AE0B9F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10AF947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22D5D7A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BBE385E">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51B820C">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AEA967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7615141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0A8F0AF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52827E7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2B44A69">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42BD68B">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050363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2E41E23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79477FB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7101A6E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19F838E">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F661AE0">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F3471F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12" w:type="dxa"/>
            <w:tcBorders>
              <w:top w:val="nil"/>
              <w:left w:val="nil"/>
              <w:bottom w:val="single" w:color="000000" w:sz="8" w:space="0"/>
              <w:right w:val="single" w:color="000000" w:sz="8" w:space="0"/>
            </w:tcBorders>
            <w:noWrap w:val="0"/>
            <w:vAlign w:val="center"/>
          </w:tcPr>
          <w:p w14:paraId="3BD479E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0B7D733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5C8E495E">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0FACB81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14:paraId="0E2773C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5E84781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70C6FC2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7C03E2D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61E21750">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2509675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14:paraId="7827F80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53D3A8D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35EF728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335" w:type="dxa"/>
            <w:tcBorders>
              <w:top w:val="nil"/>
              <w:left w:val="nil"/>
              <w:bottom w:val="single" w:color="000000" w:sz="8" w:space="0"/>
              <w:right w:val="single" w:color="000000" w:sz="8" w:space="0"/>
            </w:tcBorders>
            <w:noWrap w:val="0"/>
            <w:vAlign w:val="center"/>
          </w:tcPr>
          <w:p w14:paraId="534A69A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7DF00C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E0C72C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14:paraId="6D9C944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4AE4686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225D6C7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618A5A4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02FE30C8">
        <w:tblPrEx>
          <w:tblCellMar>
            <w:top w:w="0" w:type="dxa"/>
            <w:left w:w="108" w:type="dxa"/>
            <w:bottom w:w="0" w:type="dxa"/>
            <w:right w:w="108" w:type="dxa"/>
          </w:tblCellMar>
        </w:tblPrEx>
        <w:trPr>
          <w:trHeight w:val="285" w:hRule="atLeast"/>
        </w:trPr>
        <w:tc>
          <w:tcPr>
            <w:tcW w:w="641" w:type="dxa"/>
            <w:vMerge w:val="restart"/>
            <w:tcBorders>
              <w:top w:val="nil"/>
              <w:left w:val="single" w:color="auto" w:sz="4" w:space="0"/>
              <w:bottom w:val="single" w:color="000000" w:sz="8" w:space="0"/>
              <w:right w:val="single" w:color="000000" w:sz="8" w:space="0"/>
            </w:tcBorders>
            <w:noWrap w:val="0"/>
            <w:vAlign w:val="center"/>
          </w:tcPr>
          <w:p w14:paraId="62AE28A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B9127A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38094BB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4700203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59259BF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5795693E">
        <w:tblPrEx>
          <w:tblCellMar>
            <w:top w:w="0" w:type="dxa"/>
            <w:left w:w="108" w:type="dxa"/>
            <w:bottom w:w="0" w:type="dxa"/>
            <w:right w:w="108" w:type="dxa"/>
          </w:tblCellMar>
        </w:tblPrEx>
        <w:trPr>
          <w:trHeight w:val="495" w:hRule="atLeast"/>
        </w:trPr>
        <w:tc>
          <w:tcPr>
            <w:tcW w:w="641" w:type="dxa"/>
            <w:vMerge w:val="continue"/>
            <w:tcBorders>
              <w:top w:val="nil"/>
              <w:left w:val="single" w:color="auto" w:sz="4" w:space="0"/>
              <w:bottom w:val="single" w:color="auto" w:sz="4" w:space="0"/>
              <w:right w:val="single" w:color="000000" w:sz="8" w:space="0"/>
            </w:tcBorders>
            <w:noWrap w:val="0"/>
            <w:vAlign w:val="center"/>
          </w:tcPr>
          <w:p w14:paraId="22A17873">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auto" w:sz="4" w:space="0"/>
              <w:right w:val="single" w:color="000000" w:sz="8" w:space="0"/>
            </w:tcBorders>
            <w:noWrap w:val="0"/>
            <w:vAlign w:val="center"/>
          </w:tcPr>
          <w:p w14:paraId="6CD3C108">
            <w:pPr>
              <w:widowControl/>
              <w:jc w:val="left"/>
              <w:rPr>
                <w:rFonts w:ascii="宋体" w:hAnsi="宋体" w:cs="宋体"/>
                <w:color w:val="auto"/>
                <w:kern w:val="0"/>
                <w:sz w:val="20"/>
                <w:szCs w:val="20"/>
                <w:highlight w:val="none"/>
              </w:rPr>
            </w:pPr>
          </w:p>
        </w:tc>
        <w:tc>
          <w:tcPr>
            <w:tcW w:w="1516" w:type="dxa"/>
            <w:tcBorders>
              <w:top w:val="nil"/>
              <w:left w:val="nil"/>
              <w:bottom w:val="single" w:color="auto" w:sz="4" w:space="0"/>
              <w:right w:val="single" w:color="000000" w:sz="8" w:space="0"/>
            </w:tcBorders>
            <w:noWrap w:val="0"/>
            <w:vAlign w:val="center"/>
          </w:tcPr>
          <w:p w14:paraId="05E47E0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12" w:type="dxa"/>
            <w:tcBorders>
              <w:top w:val="nil"/>
              <w:left w:val="nil"/>
              <w:bottom w:val="single" w:color="auto" w:sz="4" w:space="0"/>
              <w:right w:val="single" w:color="000000" w:sz="8" w:space="0"/>
            </w:tcBorders>
            <w:noWrap w:val="0"/>
            <w:vAlign w:val="center"/>
          </w:tcPr>
          <w:p w14:paraId="66E1701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auto" w:sz="4" w:space="0"/>
              <w:right w:val="single" w:color="000000" w:sz="8" w:space="0"/>
            </w:tcBorders>
            <w:noWrap w:val="0"/>
            <w:vAlign w:val="center"/>
          </w:tcPr>
          <w:p w14:paraId="3ABBAF3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51ECEA93">
        <w:tblPrEx>
          <w:tblCellMar>
            <w:top w:w="0" w:type="dxa"/>
            <w:left w:w="108" w:type="dxa"/>
            <w:bottom w:w="0" w:type="dxa"/>
            <w:right w:w="108" w:type="dxa"/>
          </w:tblCellMar>
        </w:tblPrEx>
        <w:trPr>
          <w:trHeight w:val="495" w:hRule="atLeast"/>
        </w:trPr>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14:paraId="7B14F4B5">
            <w:pPr>
              <w:widowControl/>
              <w:jc w:val="left"/>
              <w:rPr>
                <w:rFonts w:ascii="宋体" w:hAnsi="宋体" w:cs="宋体"/>
                <w:color w:val="auto"/>
                <w:kern w:val="0"/>
                <w:sz w:val="20"/>
                <w:szCs w:val="20"/>
                <w:highlight w:val="none"/>
              </w:rPr>
            </w:pPr>
          </w:p>
        </w:tc>
        <w:tc>
          <w:tcPr>
            <w:tcW w:w="1116" w:type="dxa"/>
            <w:vMerge w:val="continue"/>
            <w:tcBorders>
              <w:top w:val="single" w:color="auto" w:sz="4" w:space="0"/>
              <w:left w:val="single" w:color="auto" w:sz="4" w:space="0"/>
              <w:bottom w:val="single" w:color="auto" w:sz="4" w:space="0"/>
              <w:right w:val="single" w:color="auto" w:sz="4" w:space="0"/>
            </w:tcBorders>
            <w:noWrap w:val="0"/>
            <w:vAlign w:val="center"/>
          </w:tcPr>
          <w:p w14:paraId="50A0DF94">
            <w:pPr>
              <w:widowControl/>
              <w:jc w:val="left"/>
              <w:rPr>
                <w:rFonts w:ascii="宋体" w:hAnsi="宋体" w:cs="宋体"/>
                <w:color w:val="auto"/>
                <w:kern w:val="0"/>
                <w:sz w:val="20"/>
                <w:szCs w:val="20"/>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97CF9A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4A4BC4B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noWrap w:val="0"/>
            <w:vAlign w:val="center"/>
          </w:tcPr>
          <w:p w14:paraId="1AC954F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44D12FEC">
        <w:tblPrEx>
          <w:tblCellMar>
            <w:top w:w="0" w:type="dxa"/>
            <w:left w:w="108" w:type="dxa"/>
            <w:bottom w:w="0" w:type="dxa"/>
            <w:right w:w="108" w:type="dxa"/>
          </w:tblCellMar>
        </w:tblPrEx>
        <w:trPr>
          <w:trHeight w:val="495"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14:paraId="684F367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FB9F91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CEC19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65D6295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noWrap w:val="0"/>
            <w:vAlign w:val="center"/>
          </w:tcPr>
          <w:p w14:paraId="191E0C0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69318F41">
        <w:tblPrEx>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14:paraId="5D6AAE6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3AEDD5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719DFE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08DD19C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noWrap w:val="0"/>
            <w:vAlign w:val="center"/>
          </w:tcPr>
          <w:p w14:paraId="41A056E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EBDAD2B">
        <w:tblPrEx>
          <w:tblCellMar>
            <w:top w:w="0" w:type="dxa"/>
            <w:left w:w="108" w:type="dxa"/>
            <w:bottom w:w="0" w:type="dxa"/>
            <w:right w:w="108" w:type="dxa"/>
          </w:tblCellMar>
        </w:tblPrEx>
        <w:trPr>
          <w:trHeight w:val="495"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14:paraId="69BD208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CBA93B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3008F6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7277AC4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single" w:color="auto" w:sz="4" w:space="0"/>
              <w:left w:val="single" w:color="auto" w:sz="4" w:space="0"/>
              <w:bottom w:val="single" w:color="auto" w:sz="4" w:space="0"/>
              <w:right w:val="single" w:color="auto" w:sz="4" w:space="0"/>
            </w:tcBorders>
            <w:noWrap w:val="0"/>
            <w:vAlign w:val="center"/>
          </w:tcPr>
          <w:p w14:paraId="2B18A7B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3D00F163">
      <w:pPr>
        <w:pStyle w:val="13"/>
        <w:spacing w:line="360" w:lineRule="auto"/>
        <w:rPr>
          <w:rFonts w:hint="eastAsia"/>
          <w:color w:val="auto"/>
          <w:spacing w:val="-3"/>
          <w:szCs w:val="21"/>
          <w:highlight w:val="none"/>
        </w:rPr>
      </w:pPr>
    </w:p>
    <w:p w14:paraId="5156A87D">
      <w:pPr>
        <w:pStyle w:val="13"/>
        <w:spacing w:line="360" w:lineRule="auto"/>
        <w:rPr>
          <w:rFonts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3B05EEC5">
      <w:pPr>
        <w:pStyle w:val="13"/>
        <w:spacing w:line="360" w:lineRule="auto"/>
        <w:rPr>
          <w:rFonts w:hint="eastAsia"/>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5EC8720C">
      <w:pPr>
        <w:jc w:val="center"/>
        <w:outlineLvl w:val="9"/>
        <w:rPr>
          <w:rFonts w:hint="eastAsia" w:ascii="宋体" w:hAnsi="宋体" w:cs="宋体"/>
          <w:b/>
          <w:color w:val="auto"/>
          <w:sz w:val="36"/>
          <w:szCs w:val="20"/>
          <w:highlight w:val="none"/>
        </w:rPr>
      </w:pPr>
    </w:p>
    <w:p w14:paraId="2D357193">
      <w:pPr>
        <w:pStyle w:val="13"/>
        <w:rPr>
          <w:rFonts w:hint="eastAsia" w:ascii="宋体" w:hAnsi="宋体" w:cs="宋体"/>
          <w:b/>
          <w:color w:val="auto"/>
          <w:sz w:val="36"/>
          <w:szCs w:val="20"/>
          <w:highlight w:val="none"/>
        </w:rPr>
      </w:pPr>
    </w:p>
    <w:p w14:paraId="7A97E811">
      <w:pPr>
        <w:pStyle w:val="15"/>
        <w:ind w:firstLine="1126"/>
        <w:rPr>
          <w:rFonts w:hint="eastAsia"/>
          <w:color w:val="auto"/>
          <w:highlight w:val="none"/>
        </w:rPr>
      </w:pPr>
    </w:p>
    <w:p w14:paraId="4DB35DF4">
      <w:pPr>
        <w:jc w:val="center"/>
        <w:outlineLvl w:val="9"/>
        <w:rPr>
          <w:rFonts w:hint="eastAsia" w:ascii="宋体" w:hAnsi="宋体" w:cs="宋体"/>
          <w:b/>
          <w:color w:val="auto"/>
          <w:sz w:val="36"/>
          <w:szCs w:val="20"/>
          <w:highlight w:val="none"/>
        </w:rPr>
      </w:pPr>
    </w:p>
    <w:p w14:paraId="0B985FF9">
      <w:pPr>
        <w:pStyle w:val="13"/>
        <w:rPr>
          <w:rFonts w:hint="eastAsia" w:ascii="宋体" w:hAnsi="宋体" w:cs="宋体"/>
          <w:b/>
          <w:color w:val="auto"/>
          <w:sz w:val="36"/>
          <w:szCs w:val="20"/>
          <w:highlight w:val="none"/>
        </w:rPr>
      </w:pPr>
    </w:p>
    <w:p w14:paraId="6F074D60">
      <w:pPr>
        <w:pStyle w:val="122"/>
        <w:rPr>
          <w:rFonts w:hint="eastAsia" w:hAnsi="宋体"/>
          <w:b/>
          <w:color w:val="auto"/>
          <w:sz w:val="36"/>
          <w:szCs w:val="20"/>
          <w:highlight w:val="none"/>
        </w:rPr>
      </w:pPr>
    </w:p>
    <w:p w14:paraId="2939B44F">
      <w:pPr>
        <w:pStyle w:val="123"/>
        <w:rPr>
          <w:rFonts w:hint="eastAsia" w:hAnsi="宋体" w:cs="宋体"/>
          <w:color w:val="auto"/>
          <w:sz w:val="36"/>
          <w:szCs w:val="20"/>
          <w:highlight w:val="none"/>
        </w:rPr>
      </w:pPr>
    </w:p>
    <w:p w14:paraId="35C5A9B3">
      <w:pPr>
        <w:rPr>
          <w:rFonts w:hint="eastAsia" w:ascii="宋体" w:hAnsi="宋体" w:cs="宋体"/>
          <w:b/>
          <w:color w:val="auto"/>
          <w:sz w:val="36"/>
          <w:szCs w:val="20"/>
          <w:highlight w:val="none"/>
        </w:rPr>
      </w:pPr>
    </w:p>
    <w:p w14:paraId="7C63B9AF">
      <w:pPr>
        <w:pStyle w:val="13"/>
        <w:rPr>
          <w:rFonts w:hint="eastAsia" w:ascii="宋体" w:hAnsi="宋体" w:cs="宋体"/>
          <w:b/>
          <w:color w:val="auto"/>
          <w:sz w:val="36"/>
          <w:szCs w:val="20"/>
          <w:highlight w:val="none"/>
        </w:rPr>
      </w:pPr>
    </w:p>
    <w:p w14:paraId="34070DD1">
      <w:pPr>
        <w:pStyle w:val="122"/>
        <w:rPr>
          <w:rFonts w:hint="eastAsia" w:hAnsi="宋体"/>
          <w:b/>
          <w:color w:val="auto"/>
          <w:sz w:val="36"/>
          <w:szCs w:val="20"/>
          <w:highlight w:val="none"/>
        </w:rPr>
      </w:pPr>
    </w:p>
    <w:p w14:paraId="612F7C75">
      <w:pPr>
        <w:pStyle w:val="123"/>
        <w:rPr>
          <w:rFonts w:hint="eastAsia" w:hAnsi="宋体" w:cs="宋体"/>
          <w:color w:val="auto"/>
          <w:sz w:val="36"/>
          <w:szCs w:val="20"/>
          <w:highlight w:val="none"/>
        </w:rPr>
      </w:pPr>
    </w:p>
    <w:p w14:paraId="6DEEFB3A">
      <w:pPr>
        <w:rPr>
          <w:rFonts w:hint="eastAsia" w:ascii="宋体" w:hAnsi="宋体" w:cs="宋体"/>
          <w:b/>
          <w:color w:val="auto"/>
          <w:sz w:val="36"/>
          <w:szCs w:val="20"/>
          <w:highlight w:val="none"/>
        </w:rPr>
      </w:pPr>
    </w:p>
    <w:p w14:paraId="788BF329">
      <w:pPr>
        <w:pStyle w:val="13"/>
        <w:rPr>
          <w:rFonts w:hint="eastAsia" w:ascii="宋体" w:hAnsi="宋体" w:cs="宋体"/>
          <w:b/>
          <w:color w:val="auto"/>
          <w:sz w:val="36"/>
          <w:szCs w:val="20"/>
          <w:highlight w:val="none"/>
        </w:rPr>
      </w:pPr>
    </w:p>
    <w:p w14:paraId="24C59075">
      <w:pPr>
        <w:pStyle w:val="122"/>
        <w:rPr>
          <w:rFonts w:hint="eastAsia" w:hAnsi="宋体"/>
          <w:b/>
          <w:color w:val="auto"/>
          <w:sz w:val="36"/>
          <w:szCs w:val="20"/>
          <w:highlight w:val="none"/>
        </w:rPr>
      </w:pPr>
    </w:p>
    <w:p w14:paraId="48579D27">
      <w:pPr>
        <w:pStyle w:val="123"/>
        <w:rPr>
          <w:rFonts w:hint="eastAsia" w:hAnsi="宋体" w:cs="宋体"/>
          <w:color w:val="auto"/>
          <w:sz w:val="36"/>
          <w:szCs w:val="20"/>
          <w:highlight w:val="none"/>
        </w:rPr>
      </w:pPr>
    </w:p>
    <w:p w14:paraId="71A38404">
      <w:pPr>
        <w:rPr>
          <w:rFonts w:hint="eastAsia" w:ascii="宋体" w:hAnsi="宋体" w:cs="宋体"/>
          <w:b/>
          <w:color w:val="auto"/>
          <w:sz w:val="36"/>
          <w:szCs w:val="20"/>
          <w:highlight w:val="none"/>
        </w:rPr>
      </w:pPr>
    </w:p>
    <w:p w14:paraId="71225809">
      <w:pPr>
        <w:pStyle w:val="13"/>
        <w:rPr>
          <w:rFonts w:hint="eastAsia" w:ascii="宋体" w:hAnsi="宋体" w:cs="宋体"/>
          <w:b/>
          <w:color w:val="auto"/>
          <w:sz w:val="36"/>
          <w:szCs w:val="20"/>
          <w:highlight w:val="none"/>
        </w:rPr>
      </w:pPr>
    </w:p>
    <w:p w14:paraId="4A8ED3AC">
      <w:pPr>
        <w:pStyle w:val="122"/>
        <w:rPr>
          <w:rFonts w:hint="eastAsia" w:hAnsi="宋体"/>
          <w:b/>
          <w:color w:val="auto"/>
          <w:sz w:val="36"/>
          <w:szCs w:val="20"/>
          <w:highlight w:val="none"/>
        </w:rPr>
      </w:pPr>
    </w:p>
    <w:p w14:paraId="41C013C3">
      <w:pPr>
        <w:pStyle w:val="123"/>
        <w:rPr>
          <w:rFonts w:hint="eastAsia" w:hAnsi="宋体" w:cs="宋体"/>
          <w:color w:val="auto"/>
          <w:sz w:val="36"/>
          <w:szCs w:val="20"/>
          <w:highlight w:val="none"/>
        </w:rPr>
      </w:pPr>
    </w:p>
    <w:p w14:paraId="5686B264">
      <w:pPr>
        <w:rPr>
          <w:rFonts w:hint="eastAsia" w:ascii="宋体" w:hAnsi="宋体" w:cs="宋体"/>
          <w:b/>
          <w:color w:val="auto"/>
          <w:sz w:val="36"/>
          <w:szCs w:val="20"/>
          <w:highlight w:val="none"/>
        </w:rPr>
      </w:pPr>
    </w:p>
    <w:p w14:paraId="3B5214F2">
      <w:pPr>
        <w:pStyle w:val="13"/>
        <w:rPr>
          <w:rFonts w:hint="eastAsia" w:ascii="宋体" w:hAnsi="宋体" w:cs="宋体"/>
          <w:b/>
          <w:color w:val="auto"/>
          <w:sz w:val="36"/>
          <w:szCs w:val="20"/>
          <w:highlight w:val="none"/>
        </w:rPr>
      </w:pPr>
    </w:p>
    <w:p w14:paraId="1C8FA339">
      <w:pPr>
        <w:pStyle w:val="122"/>
        <w:rPr>
          <w:rFonts w:hint="eastAsia" w:hAnsi="宋体"/>
          <w:b/>
          <w:color w:val="auto"/>
          <w:sz w:val="36"/>
          <w:szCs w:val="20"/>
          <w:highlight w:val="none"/>
        </w:rPr>
      </w:pPr>
    </w:p>
    <w:p w14:paraId="3954E6F1">
      <w:pPr>
        <w:pStyle w:val="123"/>
        <w:rPr>
          <w:rFonts w:hint="eastAsia" w:hAnsi="宋体" w:cs="宋体"/>
          <w:color w:val="auto"/>
          <w:sz w:val="36"/>
          <w:szCs w:val="20"/>
          <w:highlight w:val="none"/>
        </w:rPr>
      </w:pPr>
    </w:p>
    <w:p w14:paraId="622F9656">
      <w:pPr>
        <w:rPr>
          <w:rFonts w:hint="eastAsia"/>
          <w:color w:val="auto"/>
          <w:highlight w:val="none"/>
        </w:rPr>
      </w:pPr>
    </w:p>
    <w:p w14:paraId="2FE20E70">
      <w:pPr>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附件2：</w:t>
      </w:r>
    </w:p>
    <w:p w14:paraId="1C5E2390">
      <w:pPr>
        <w:spacing w:line="528"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中小微企业划型标准</w:t>
      </w:r>
    </w:p>
    <w:tbl>
      <w:tblPr>
        <w:tblStyle w:val="35"/>
        <w:tblW w:w="9638" w:type="dxa"/>
        <w:jc w:val="center"/>
        <w:tblLayout w:type="fixed"/>
        <w:tblCellMar>
          <w:top w:w="0" w:type="dxa"/>
          <w:left w:w="108" w:type="dxa"/>
          <w:bottom w:w="0" w:type="dxa"/>
          <w:right w:w="108" w:type="dxa"/>
        </w:tblCellMar>
      </w:tblPr>
      <w:tblGrid>
        <w:gridCol w:w="2027"/>
        <w:gridCol w:w="1474"/>
        <w:gridCol w:w="972"/>
        <w:gridCol w:w="2093"/>
        <w:gridCol w:w="1856"/>
        <w:gridCol w:w="1216"/>
      </w:tblGrid>
      <w:tr w14:paraId="794BBE05">
        <w:tblPrEx>
          <w:tblCellMar>
            <w:top w:w="0" w:type="dxa"/>
            <w:left w:w="108" w:type="dxa"/>
            <w:bottom w:w="0" w:type="dxa"/>
            <w:right w:w="108" w:type="dxa"/>
          </w:tblCellMar>
        </w:tblPrEx>
        <w:trPr>
          <w:trHeight w:val="285" w:hRule="atLeast"/>
          <w:jc w:val="center"/>
        </w:trPr>
        <w:tc>
          <w:tcPr>
            <w:tcW w:w="2027" w:type="dxa"/>
            <w:tcBorders>
              <w:top w:val="single" w:color="auto" w:sz="4" w:space="0"/>
              <w:left w:val="single" w:color="auto" w:sz="4" w:space="0"/>
              <w:bottom w:val="single" w:color="auto" w:sz="4" w:space="0"/>
              <w:right w:val="single" w:color="auto" w:sz="4" w:space="0"/>
            </w:tcBorders>
            <w:noWrap w:val="0"/>
            <w:vAlign w:val="center"/>
          </w:tcPr>
          <w:p w14:paraId="3DF0F9B1">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474" w:type="dxa"/>
            <w:tcBorders>
              <w:top w:val="single" w:color="auto" w:sz="4" w:space="0"/>
              <w:left w:val="nil"/>
              <w:bottom w:val="single" w:color="auto" w:sz="4" w:space="0"/>
              <w:right w:val="single" w:color="auto" w:sz="4" w:space="0"/>
            </w:tcBorders>
            <w:noWrap w:val="0"/>
            <w:vAlign w:val="center"/>
          </w:tcPr>
          <w:p w14:paraId="48077C26">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72" w:type="dxa"/>
            <w:tcBorders>
              <w:top w:val="single" w:color="auto" w:sz="4" w:space="0"/>
              <w:left w:val="nil"/>
              <w:bottom w:val="single" w:color="auto" w:sz="4" w:space="0"/>
              <w:right w:val="single" w:color="auto" w:sz="4" w:space="0"/>
            </w:tcBorders>
            <w:noWrap w:val="0"/>
            <w:vAlign w:val="center"/>
          </w:tcPr>
          <w:p w14:paraId="6D4F7E7F">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2093" w:type="dxa"/>
            <w:tcBorders>
              <w:top w:val="single" w:color="auto" w:sz="4" w:space="0"/>
              <w:left w:val="nil"/>
              <w:bottom w:val="single" w:color="auto" w:sz="4" w:space="0"/>
              <w:right w:val="single" w:color="auto" w:sz="4" w:space="0"/>
            </w:tcBorders>
            <w:noWrap w:val="0"/>
            <w:vAlign w:val="center"/>
          </w:tcPr>
          <w:p w14:paraId="260D588B">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856" w:type="dxa"/>
            <w:tcBorders>
              <w:top w:val="single" w:color="auto" w:sz="4" w:space="0"/>
              <w:left w:val="nil"/>
              <w:bottom w:val="single" w:color="auto" w:sz="4" w:space="0"/>
              <w:right w:val="single" w:color="auto" w:sz="4" w:space="0"/>
            </w:tcBorders>
            <w:noWrap w:val="0"/>
            <w:vAlign w:val="center"/>
          </w:tcPr>
          <w:p w14:paraId="03EF3ADA">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216" w:type="dxa"/>
            <w:tcBorders>
              <w:top w:val="single" w:color="auto" w:sz="4" w:space="0"/>
              <w:left w:val="nil"/>
              <w:bottom w:val="single" w:color="auto" w:sz="4" w:space="0"/>
              <w:right w:val="single" w:color="auto" w:sz="4" w:space="0"/>
            </w:tcBorders>
            <w:noWrap w:val="0"/>
            <w:vAlign w:val="center"/>
          </w:tcPr>
          <w:p w14:paraId="5000B456">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4DCC280A">
        <w:tblPrEx>
          <w:tblCellMar>
            <w:top w:w="0" w:type="dxa"/>
            <w:left w:w="108" w:type="dxa"/>
            <w:bottom w:w="0" w:type="dxa"/>
            <w:right w:w="108" w:type="dxa"/>
          </w:tblCellMar>
        </w:tblPrEx>
        <w:trPr>
          <w:trHeight w:val="225" w:hRule="atLeast"/>
          <w:jc w:val="center"/>
        </w:trPr>
        <w:tc>
          <w:tcPr>
            <w:tcW w:w="2027" w:type="dxa"/>
            <w:tcBorders>
              <w:top w:val="nil"/>
              <w:left w:val="single" w:color="auto" w:sz="4" w:space="0"/>
              <w:bottom w:val="single" w:color="auto" w:sz="4" w:space="0"/>
              <w:right w:val="single" w:color="auto" w:sz="4" w:space="0"/>
            </w:tcBorders>
            <w:noWrap w:val="0"/>
            <w:vAlign w:val="center"/>
          </w:tcPr>
          <w:p w14:paraId="3C1A49F2">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474" w:type="dxa"/>
            <w:tcBorders>
              <w:top w:val="nil"/>
              <w:left w:val="nil"/>
              <w:bottom w:val="single" w:color="auto" w:sz="4" w:space="0"/>
              <w:right w:val="single" w:color="auto" w:sz="4" w:space="0"/>
            </w:tcBorders>
            <w:noWrap w:val="0"/>
            <w:vAlign w:val="center"/>
          </w:tcPr>
          <w:p w14:paraId="2E946C1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554D67C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5F2D279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856" w:type="dxa"/>
            <w:tcBorders>
              <w:top w:val="nil"/>
              <w:left w:val="nil"/>
              <w:bottom w:val="single" w:color="auto" w:sz="4" w:space="0"/>
              <w:right w:val="single" w:color="auto" w:sz="4" w:space="0"/>
            </w:tcBorders>
            <w:noWrap w:val="0"/>
            <w:vAlign w:val="center"/>
          </w:tcPr>
          <w:p w14:paraId="7136FBA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50≤Y＜500</w:t>
            </w:r>
          </w:p>
        </w:tc>
        <w:tc>
          <w:tcPr>
            <w:tcW w:w="1216" w:type="dxa"/>
            <w:tcBorders>
              <w:top w:val="nil"/>
              <w:left w:val="nil"/>
              <w:bottom w:val="single" w:color="auto" w:sz="4" w:space="0"/>
              <w:right w:val="single" w:color="auto" w:sz="4" w:space="0"/>
            </w:tcBorders>
            <w:noWrap w:val="0"/>
            <w:vAlign w:val="center"/>
          </w:tcPr>
          <w:p w14:paraId="0C03395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14:paraId="6FC9AF13">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69792F11">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474" w:type="dxa"/>
            <w:tcBorders>
              <w:top w:val="nil"/>
              <w:left w:val="nil"/>
              <w:bottom w:val="single" w:color="auto" w:sz="4" w:space="0"/>
              <w:right w:val="single" w:color="auto" w:sz="4" w:space="0"/>
            </w:tcBorders>
            <w:noWrap w:val="0"/>
            <w:vAlign w:val="center"/>
          </w:tcPr>
          <w:p w14:paraId="1D5A77C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03CFFDF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24910FF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856" w:type="dxa"/>
            <w:tcBorders>
              <w:top w:val="nil"/>
              <w:left w:val="nil"/>
              <w:bottom w:val="single" w:color="auto" w:sz="4" w:space="0"/>
              <w:right w:val="single" w:color="auto" w:sz="4" w:space="0"/>
            </w:tcBorders>
            <w:noWrap w:val="0"/>
            <w:vAlign w:val="center"/>
          </w:tcPr>
          <w:p w14:paraId="268553E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16" w:type="dxa"/>
            <w:tcBorders>
              <w:top w:val="nil"/>
              <w:left w:val="nil"/>
              <w:bottom w:val="single" w:color="auto" w:sz="4" w:space="0"/>
              <w:right w:val="single" w:color="auto" w:sz="4" w:space="0"/>
            </w:tcBorders>
            <w:noWrap w:val="0"/>
            <w:vAlign w:val="center"/>
          </w:tcPr>
          <w:p w14:paraId="0629C45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14:paraId="4ACFF1D5">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5AFE402F">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2B06573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3BAF687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428A510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856" w:type="dxa"/>
            <w:tcBorders>
              <w:top w:val="nil"/>
              <w:left w:val="nil"/>
              <w:bottom w:val="single" w:color="auto" w:sz="4" w:space="0"/>
              <w:right w:val="single" w:color="auto" w:sz="4" w:space="0"/>
            </w:tcBorders>
            <w:noWrap w:val="0"/>
            <w:vAlign w:val="center"/>
          </w:tcPr>
          <w:p w14:paraId="1FE11F9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216" w:type="dxa"/>
            <w:tcBorders>
              <w:top w:val="nil"/>
              <w:left w:val="nil"/>
              <w:bottom w:val="single" w:color="auto" w:sz="4" w:space="0"/>
              <w:right w:val="single" w:color="auto" w:sz="4" w:space="0"/>
            </w:tcBorders>
            <w:noWrap w:val="0"/>
            <w:vAlign w:val="center"/>
          </w:tcPr>
          <w:p w14:paraId="0FABAE6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14:paraId="18770324">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31516841">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474" w:type="dxa"/>
            <w:tcBorders>
              <w:top w:val="nil"/>
              <w:left w:val="nil"/>
              <w:bottom w:val="single" w:color="auto" w:sz="4" w:space="0"/>
              <w:right w:val="single" w:color="auto" w:sz="4" w:space="0"/>
            </w:tcBorders>
            <w:noWrap w:val="0"/>
            <w:vAlign w:val="center"/>
          </w:tcPr>
          <w:p w14:paraId="57DD619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1921A65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477A801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856" w:type="dxa"/>
            <w:tcBorders>
              <w:top w:val="nil"/>
              <w:left w:val="nil"/>
              <w:bottom w:val="single" w:color="auto" w:sz="4" w:space="0"/>
              <w:right w:val="single" w:color="auto" w:sz="4" w:space="0"/>
            </w:tcBorders>
            <w:noWrap w:val="0"/>
            <w:vAlign w:val="center"/>
          </w:tcPr>
          <w:p w14:paraId="3F925AD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216" w:type="dxa"/>
            <w:tcBorders>
              <w:top w:val="nil"/>
              <w:left w:val="nil"/>
              <w:bottom w:val="single" w:color="auto" w:sz="4" w:space="0"/>
              <w:right w:val="single" w:color="auto" w:sz="4" w:space="0"/>
            </w:tcBorders>
            <w:noWrap w:val="0"/>
            <w:vAlign w:val="center"/>
          </w:tcPr>
          <w:p w14:paraId="5DBE18C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14:paraId="26C5CF17">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2A4AC736">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0F9FB14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972" w:type="dxa"/>
            <w:tcBorders>
              <w:top w:val="nil"/>
              <w:left w:val="nil"/>
              <w:bottom w:val="single" w:color="auto" w:sz="4" w:space="0"/>
              <w:right w:val="single" w:color="auto" w:sz="4" w:space="0"/>
            </w:tcBorders>
            <w:noWrap w:val="0"/>
            <w:vAlign w:val="center"/>
          </w:tcPr>
          <w:p w14:paraId="511907F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750D906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856" w:type="dxa"/>
            <w:tcBorders>
              <w:top w:val="nil"/>
              <w:left w:val="nil"/>
              <w:bottom w:val="single" w:color="auto" w:sz="4" w:space="0"/>
              <w:right w:val="single" w:color="auto" w:sz="4" w:space="0"/>
            </w:tcBorders>
            <w:noWrap w:val="0"/>
            <w:vAlign w:val="center"/>
          </w:tcPr>
          <w:p w14:paraId="3F9751B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216" w:type="dxa"/>
            <w:tcBorders>
              <w:top w:val="nil"/>
              <w:left w:val="nil"/>
              <w:bottom w:val="single" w:color="auto" w:sz="4" w:space="0"/>
              <w:right w:val="single" w:color="auto" w:sz="4" w:space="0"/>
            </w:tcBorders>
            <w:noWrap w:val="0"/>
            <w:vAlign w:val="center"/>
          </w:tcPr>
          <w:p w14:paraId="126DA16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Z＜300</w:t>
            </w:r>
          </w:p>
        </w:tc>
      </w:tr>
      <w:tr w14:paraId="27AA87EF">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7C0E2CC8">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474" w:type="dxa"/>
            <w:tcBorders>
              <w:top w:val="nil"/>
              <w:left w:val="nil"/>
              <w:bottom w:val="single" w:color="auto" w:sz="4" w:space="0"/>
              <w:right w:val="single" w:color="auto" w:sz="4" w:space="0"/>
            </w:tcBorders>
            <w:noWrap w:val="0"/>
            <w:vAlign w:val="center"/>
          </w:tcPr>
          <w:p w14:paraId="25C36D7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3AF9007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7C7681E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20≤X＜200</w:t>
            </w:r>
          </w:p>
        </w:tc>
        <w:tc>
          <w:tcPr>
            <w:tcW w:w="1856" w:type="dxa"/>
            <w:tcBorders>
              <w:top w:val="nil"/>
              <w:left w:val="nil"/>
              <w:bottom w:val="single" w:color="auto" w:sz="4" w:space="0"/>
              <w:right w:val="single" w:color="auto" w:sz="4" w:space="0"/>
            </w:tcBorders>
            <w:noWrap w:val="0"/>
            <w:vAlign w:val="center"/>
          </w:tcPr>
          <w:p w14:paraId="2780F8A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5≤X＜20</w:t>
            </w:r>
          </w:p>
        </w:tc>
        <w:tc>
          <w:tcPr>
            <w:tcW w:w="1216" w:type="dxa"/>
            <w:tcBorders>
              <w:top w:val="nil"/>
              <w:left w:val="nil"/>
              <w:bottom w:val="single" w:color="auto" w:sz="4" w:space="0"/>
              <w:right w:val="single" w:color="auto" w:sz="4" w:space="0"/>
            </w:tcBorders>
            <w:noWrap w:val="0"/>
            <w:vAlign w:val="center"/>
          </w:tcPr>
          <w:p w14:paraId="2B0ADA2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X＜5</w:t>
            </w:r>
          </w:p>
        </w:tc>
      </w:tr>
      <w:tr w14:paraId="18C29745">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6C8FF866">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1EB1D59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39665CB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09E7949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856" w:type="dxa"/>
            <w:tcBorders>
              <w:top w:val="nil"/>
              <w:left w:val="nil"/>
              <w:bottom w:val="single" w:color="auto" w:sz="4" w:space="0"/>
              <w:right w:val="single" w:color="auto" w:sz="4" w:space="0"/>
            </w:tcBorders>
            <w:noWrap w:val="0"/>
            <w:vAlign w:val="center"/>
          </w:tcPr>
          <w:p w14:paraId="6050695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216" w:type="dxa"/>
            <w:tcBorders>
              <w:top w:val="nil"/>
              <w:left w:val="nil"/>
              <w:bottom w:val="single" w:color="auto" w:sz="4" w:space="0"/>
              <w:right w:val="single" w:color="auto" w:sz="4" w:space="0"/>
            </w:tcBorders>
            <w:noWrap w:val="0"/>
            <w:vAlign w:val="center"/>
          </w:tcPr>
          <w:p w14:paraId="203AB14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w:t>
            </w:r>
          </w:p>
        </w:tc>
      </w:tr>
      <w:tr w14:paraId="0C20DAD2">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477B1118">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474" w:type="dxa"/>
            <w:tcBorders>
              <w:top w:val="nil"/>
              <w:left w:val="nil"/>
              <w:bottom w:val="single" w:color="auto" w:sz="4" w:space="0"/>
              <w:right w:val="single" w:color="auto" w:sz="4" w:space="0"/>
            </w:tcBorders>
            <w:noWrap w:val="0"/>
            <w:vAlign w:val="center"/>
          </w:tcPr>
          <w:p w14:paraId="44260F2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7ECC49F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4118E1E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50≤X＜300</w:t>
            </w:r>
          </w:p>
        </w:tc>
        <w:tc>
          <w:tcPr>
            <w:tcW w:w="1856" w:type="dxa"/>
            <w:tcBorders>
              <w:top w:val="nil"/>
              <w:left w:val="nil"/>
              <w:bottom w:val="single" w:color="auto" w:sz="4" w:space="0"/>
              <w:right w:val="single" w:color="auto" w:sz="4" w:space="0"/>
            </w:tcBorders>
            <w:noWrap w:val="0"/>
            <w:vAlign w:val="center"/>
          </w:tcPr>
          <w:p w14:paraId="076CCF1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10≤X＜50</w:t>
            </w:r>
          </w:p>
        </w:tc>
        <w:tc>
          <w:tcPr>
            <w:tcW w:w="1216" w:type="dxa"/>
            <w:tcBorders>
              <w:top w:val="nil"/>
              <w:left w:val="nil"/>
              <w:bottom w:val="single" w:color="auto" w:sz="4" w:space="0"/>
              <w:right w:val="single" w:color="auto" w:sz="4" w:space="0"/>
            </w:tcBorders>
            <w:noWrap w:val="0"/>
            <w:vAlign w:val="center"/>
          </w:tcPr>
          <w:p w14:paraId="5D12EDB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4A9EB3DE">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4D16B51F">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5A0CDCA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730C9C7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6BA6D7C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856" w:type="dxa"/>
            <w:tcBorders>
              <w:top w:val="nil"/>
              <w:left w:val="nil"/>
              <w:bottom w:val="single" w:color="auto" w:sz="4" w:space="0"/>
              <w:right w:val="single" w:color="auto" w:sz="4" w:space="0"/>
            </w:tcBorders>
            <w:noWrap w:val="0"/>
            <w:vAlign w:val="center"/>
          </w:tcPr>
          <w:p w14:paraId="5C31732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216" w:type="dxa"/>
            <w:tcBorders>
              <w:top w:val="nil"/>
              <w:left w:val="nil"/>
              <w:bottom w:val="single" w:color="auto" w:sz="4" w:space="0"/>
              <w:right w:val="single" w:color="auto" w:sz="4" w:space="0"/>
            </w:tcBorders>
            <w:noWrap w:val="0"/>
            <w:vAlign w:val="center"/>
          </w:tcPr>
          <w:p w14:paraId="7B5B81D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2DD3A04B">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755F8BD9">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474" w:type="dxa"/>
            <w:tcBorders>
              <w:top w:val="nil"/>
              <w:left w:val="nil"/>
              <w:bottom w:val="single" w:color="auto" w:sz="4" w:space="0"/>
              <w:right w:val="single" w:color="auto" w:sz="4" w:space="0"/>
            </w:tcBorders>
            <w:noWrap w:val="0"/>
            <w:vAlign w:val="center"/>
          </w:tcPr>
          <w:p w14:paraId="7FDA433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5115D3F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66977B4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856" w:type="dxa"/>
            <w:tcBorders>
              <w:top w:val="nil"/>
              <w:left w:val="nil"/>
              <w:bottom w:val="single" w:color="auto" w:sz="4" w:space="0"/>
              <w:right w:val="single" w:color="auto" w:sz="4" w:space="0"/>
            </w:tcBorders>
            <w:noWrap w:val="0"/>
            <w:vAlign w:val="center"/>
          </w:tcPr>
          <w:p w14:paraId="6A19E8C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16" w:type="dxa"/>
            <w:tcBorders>
              <w:top w:val="nil"/>
              <w:left w:val="nil"/>
              <w:bottom w:val="single" w:color="auto" w:sz="4" w:space="0"/>
              <w:right w:val="single" w:color="auto" w:sz="4" w:space="0"/>
            </w:tcBorders>
            <w:noWrap w:val="0"/>
            <w:vAlign w:val="center"/>
          </w:tcPr>
          <w:p w14:paraId="630C4AE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14:paraId="180C9424">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67A8FC66">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22CAE73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03713DB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1F0465C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856" w:type="dxa"/>
            <w:tcBorders>
              <w:top w:val="nil"/>
              <w:left w:val="nil"/>
              <w:bottom w:val="single" w:color="auto" w:sz="4" w:space="0"/>
              <w:right w:val="single" w:color="auto" w:sz="4" w:space="0"/>
            </w:tcBorders>
            <w:noWrap w:val="0"/>
            <w:vAlign w:val="center"/>
          </w:tcPr>
          <w:p w14:paraId="205E6F7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216" w:type="dxa"/>
            <w:tcBorders>
              <w:top w:val="nil"/>
              <w:left w:val="nil"/>
              <w:bottom w:val="single" w:color="auto" w:sz="4" w:space="0"/>
              <w:right w:val="single" w:color="auto" w:sz="4" w:space="0"/>
            </w:tcBorders>
            <w:noWrap w:val="0"/>
            <w:vAlign w:val="center"/>
          </w:tcPr>
          <w:p w14:paraId="256C2C5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w:t>
            </w:r>
          </w:p>
        </w:tc>
      </w:tr>
      <w:tr w14:paraId="1444ACEB">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3FF33BF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474" w:type="dxa"/>
            <w:tcBorders>
              <w:top w:val="nil"/>
              <w:left w:val="nil"/>
              <w:bottom w:val="single" w:color="auto" w:sz="4" w:space="0"/>
              <w:right w:val="single" w:color="auto" w:sz="4" w:space="0"/>
            </w:tcBorders>
            <w:noWrap w:val="0"/>
            <w:vAlign w:val="center"/>
          </w:tcPr>
          <w:p w14:paraId="1E44CA9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6B3D29B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0A02691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856" w:type="dxa"/>
            <w:tcBorders>
              <w:top w:val="nil"/>
              <w:left w:val="nil"/>
              <w:bottom w:val="single" w:color="auto" w:sz="4" w:space="0"/>
              <w:right w:val="single" w:color="auto" w:sz="4" w:space="0"/>
            </w:tcBorders>
            <w:noWrap w:val="0"/>
            <w:vAlign w:val="center"/>
          </w:tcPr>
          <w:p w14:paraId="6CB8A72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20≤X＜100</w:t>
            </w:r>
          </w:p>
        </w:tc>
        <w:tc>
          <w:tcPr>
            <w:tcW w:w="1216" w:type="dxa"/>
            <w:tcBorders>
              <w:top w:val="nil"/>
              <w:left w:val="nil"/>
              <w:bottom w:val="single" w:color="auto" w:sz="4" w:space="0"/>
              <w:right w:val="single" w:color="auto" w:sz="4" w:space="0"/>
            </w:tcBorders>
            <w:noWrap w:val="0"/>
            <w:vAlign w:val="center"/>
          </w:tcPr>
          <w:p w14:paraId="0EEA7A1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14:paraId="44ACA857">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3112A860">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730D9AF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5A78D25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06DEDEE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856" w:type="dxa"/>
            <w:tcBorders>
              <w:top w:val="nil"/>
              <w:left w:val="nil"/>
              <w:bottom w:val="single" w:color="auto" w:sz="4" w:space="0"/>
              <w:right w:val="single" w:color="auto" w:sz="4" w:space="0"/>
            </w:tcBorders>
            <w:noWrap w:val="0"/>
            <w:vAlign w:val="center"/>
          </w:tcPr>
          <w:p w14:paraId="3C19856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16" w:type="dxa"/>
            <w:tcBorders>
              <w:top w:val="nil"/>
              <w:left w:val="nil"/>
              <w:bottom w:val="single" w:color="auto" w:sz="4" w:space="0"/>
              <w:right w:val="single" w:color="auto" w:sz="4" w:space="0"/>
            </w:tcBorders>
            <w:noWrap w:val="0"/>
            <w:vAlign w:val="center"/>
          </w:tcPr>
          <w:p w14:paraId="5C8C339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4981F587">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0346D97F">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474" w:type="dxa"/>
            <w:tcBorders>
              <w:top w:val="nil"/>
              <w:left w:val="nil"/>
              <w:bottom w:val="single" w:color="auto" w:sz="4" w:space="0"/>
              <w:right w:val="single" w:color="auto" w:sz="4" w:space="0"/>
            </w:tcBorders>
            <w:noWrap w:val="0"/>
            <w:vAlign w:val="center"/>
          </w:tcPr>
          <w:p w14:paraId="5EA52A1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6B81222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4223DB7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856" w:type="dxa"/>
            <w:tcBorders>
              <w:top w:val="nil"/>
              <w:left w:val="nil"/>
              <w:bottom w:val="single" w:color="auto" w:sz="4" w:space="0"/>
              <w:right w:val="single" w:color="auto" w:sz="4" w:space="0"/>
            </w:tcBorders>
            <w:noWrap w:val="0"/>
            <w:vAlign w:val="center"/>
          </w:tcPr>
          <w:p w14:paraId="284605E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16" w:type="dxa"/>
            <w:tcBorders>
              <w:top w:val="nil"/>
              <w:left w:val="nil"/>
              <w:bottom w:val="single" w:color="auto" w:sz="4" w:space="0"/>
              <w:right w:val="single" w:color="auto" w:sz="4" w:space="0"/>
            </w:tcBorders>
            <w:noWrap w:val="0"/>
            <w:vAlign w:val="center"/>
          </w:tcPr>
          <w:p w14:paraId="1EBAAA4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14:paraId="5F11D5E4">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41E35C34">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0518BE3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018993D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5EB47FE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856" w:type="dxa"/>
            <w:tcBorders>
              <w:top w:val="nil"/>
              <w:left w:val="nil"/>
              <w:bottom w:val="single" w:color="auto" w:sz="4" w:space="0"/>
              <w:right w:val="single" w:color="auto" w:sz="4" w:space="0"/>
            </w:tcBorders>
            <w:noWrap w:val="0"/>
            <w:vAlign w:val="center"/>
          </w:tcPr>
          <w:p w14:paraId="4CDFAD7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16" w:type="dxa"/>
            <w:tcBorders>
              <w:top w:val="nil"/>
              <w:left w:val="nil"/>
              <w:bottom w:val="single" w:color="auto" w:sz="4" w:space="0"/>
              <w:right w:val="single" w:color="auto" w:sz="4" w:space="0"/>
            </w:tcBorders>
            <w:noWrap w:val="0"/>
            <w:vAlign w:val="center"/>
          </w:tcPr>
          <w:p w14:paraId="2ACD964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3707090E">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4A203891">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474" w:type="dxa"/>
            <w:tcBorders>
              <w:top w:val="nil"/>
              <w:left w:val="nil"/>
              <w:bottom w:val="single" w:color="auto" w:sz="4" w:space="0"/>
              <w:right w:val="single" w:color="auto" w:sz="4" w:space="0"/>
            </w:tcBorders>
            <w:noWrap w:val="0"/>
            <w:vAlign w:val="center"/>
          </w:tcPr>
          <w:p w14:paraId="7ED6981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31BDEA2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6B466A9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56" w:type="dxa"/>
            <w:tcBorders>
              <w:top w:val="nil"/>
              <w:left w:val="nil"/>
              <w:bottom w:val="single" w:color="auto" w:sz="4" w:space="0"/>
              <w:right w:val="single" w:color="auto" w:sz="4" w:space="0"/>
            </w:tcBorders>
            <w:noWrap w:val="0"/>
            <w:vAlign w:val="center"/>
          </w:tcPr>
          <w:p w14:paraId="368E21B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16" w:type="dxa"/>
            <w:tcBorders>
              <w:top w:val="nil"/>
              <w:left w:val="nil"/>
              <w:bottom w:val="single" w:color="auto" w:sz="4" w:space="0"/>
              <w:right w:val="single" w:color="auto" w:sz="4" w:space="0"/>
            </w:tcBorders>
            <w:noWrap w:val="0"/>
            <w:vAlign w:val="center"/>
          </w:tcPr>
          <w:p w14:paraId="3940F17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5CC646E3">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311BF58B">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6F97F04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0F14DF5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7054AD6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856" w:type="dxa"/>
            <w:tcBorders>
              <w:top w:val="nil"/>
              <w:left w:val="nil"/>
              <w:bottom w:val="single" w:color="auto" w:sz="4" w:space="0"/>
              <w:right w:val="single" w:color="auto" w:sz="4" w:space="0"/>
            </w:tcBorders>
            <w:noWrap w:val="0"/>
            <w:vAlign w:val="center"/>
          </w:tcPr>
          <w:p w14:paraId="03E197E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16" w:type="dxa"/>
            <w:tcBorders>
              <w:top w:val="nil"/>
              <w:left w:val="nil"/>
              <w:bottom w:val="single" w:color="auto" w:sz="4" w:space="0"/>
              <w:right w:val="single" w:color="auto" w:sz="4" w:space="0"/>
            </w:tcBorders>
            <w:noWrap w:val="0"/>
            <w:vAlign w:val="center"/>
          </w:tcPr>
          <w:p w14:paraId="14EC899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326ECC43">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408A4BF5">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474" w:type="dxa"/>
            <w:tcBorders>
              <w:top w:val="nil"/>
              <w:left w:val="nil"/>
              <w:bottom w:val="single" w:color="auto" w:sz="4" w:space="0"/>
              <w:right w:val="single" w:color="auto" w:sz="4" w:space="0"/>
            </w:tcBorders>
            <w:noWrap w:val="0"/>
            <w:vAlign w:val="center"/>
          </w:tcPr>
          <w:p w14:paraId="6575B71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35BB75D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19F7E48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56" w:type="dxa"/>
            <w:tcBorders>
              <w:top w:val="nil"/>
              <w:left w:val="nil"/>
              <w:bottom w:val="single" w:color="auto" w:sz="4" w:space="0"/>
              <w:right w:val="single" w:color="auto" w:sz="4" w:space="0"/>
            </w:tcBorders>
            <w:noWrap w:val="0"/>
            <w:vAlign w:val="center"/>
          </w:tcPr>
          <w:p w14:paraId="0769711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16" w:type="dxa"/>
            <w:tcBorders>
              <w:top w:val="nil"/>
              <w:left w:val="nil"/>
              <w:bottom w:val="single" w:color="auto" w:sz="4" w:space="0"/>
              <w:right w:val="single" w:color="auto" w:sz="4" w:space="0"/>
            </w:tcBorders>
            <w:noWrap w:val="0"/>
            <w:vAlign w:val="center"/>
          </w:tcPr>
          <w:p w14:paraId="310FD50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761B6A50">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05C35493">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60AB989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326D22C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1B54A8F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856" w:type="dxa"/>
            <w:tcBorders>
              <w:top w:val="nil"/>
              <w:left w:val="nil"/>
              <w:bottom w:val="single" w:color="auto" w:sz="4" w:space="0"/>
              <w:right w:val="single" w:color="auto" w:sz="4" w:space="0"/>
            </w:tcBorders>
            <w:noWrap w:val="0"/>
            <w:vAlign w:val="center"/>
          </w:tcPr>
          <w:p w14:paraId="6CD120B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16" w:type="dxa"/>
            <w:tcBorders>
              <w:top w:val="nil"/>
              <w:left w:val="nil"/>
              <w:bottom w:val="single" w:color="auto" w:sz="4" w:space="0"/>
              <w:right w:val="single" w:color="auto" w:sz="4" w:space="0"/>
            </w:tcBorders>
            <w:noWrap w:val="0"/>
            <w:vAlign w:val="center"/>
          </w:tcPr>
          <w:p w14:paraId="06E98B7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239ACA72">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575951B9">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474" w:type="dxa"/>
            <w:tcBorders>
              <w:top w:val="nil"/>
              <w:left w:val="nil"/>
              <w:bottom w:val="single" w:color="auto" w:sz="4" w:space="0"/>
              <w:right w:val="single" w:color="auto" w:sz="4" w:space="0"/>
            </w:tcBorders>
            <w:noWrap w:val="0"/>
            <w:vAlign w:val="center"/>
          </w:tcPr>
          <w:p w14:paraId="2469F05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64E897F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6389863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856" w:type="dxa"/>
            <w:tcBorders>
              <w:top w:val="nil"/>
              <w:left w:val="nil"/>
              <w:bottom w:val="single" w:color="auto" w:sz="4" w:space="0"/>
              <w:right w:val="single" w:color="auto" w:sz="4" w:space="0"/>
            </w:tcBorders>
            <w:noWrap w:val="0"/>
            <w:vAlign w:val="center"/>
          </w:tcPr>
          <w:p w14:paraId="3B9D2CD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16" w:type="dxa"/>
            <w:tcBorders>
              <w:top w:val="nil"/>
              <w:left w:val="nil"/>
              <w:bottom w:val="single" w:color="auto" w:sz="4" w:space="0"/>
              <w:right w:val="single" w:color="auto" w:sz="4" w:space="0"/>
            </w:tcBorders>
            <w:noWrap w:val="0"/>
            <w:vAlign w:val="center"/>
          </w:tcPr>
          <w:p w14:paraId="40D338D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4678FF3F">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5C8173D7">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517E3CD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794A170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6BD33CB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856" w:type="dxa"/>
            <w:tcBorders>
              <w:top w:val="nil"/>
              <w:left w:val="nil"/>
              <w:bottom w:val="single" w:color="auto" w:sz="4" w:space="0"/>
              <w:right w:val="single" w:color="auto" w:sz="4" w:space="0"/>
            </w:tcBorders>
            <w:noWrap w:val="0"/>
            <w:vAlign w:val="center"/>
          </w:tcPr>
          <w:p w14:paraId="7691CBD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16" w:type="dxa"/>
            <w:tcBorders>
              <w:top w:val="nil"/>
              <w:left w:val="nil"/>
              <w:bottom w:val="single" w:color="auto" w:sz="4" w:space="0"/>
              <w:right w:val="single" w:color="auto" w:sz="4" w:space="0"/>
            </w:tcBorders>
            <w:noWrap w:val="0"/>
            <w:vAlign w:val="center"/>
          </w:tcPr>
          <w:p w14:paraId="74065BD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0B0E117F">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63EF39FE">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474" w:type="dxa"/>
            <w:tcBorders>
              <w:top w:val="nil"/>
              <w:left w:val="nil"/>
              <w:bottom w:val="single" w:color="auto" w:sz="4" w:space="0"/>
              <w:right w:val="single" w:color="auto" w:sz="4" w:space="0"/>
            </w:tcBorders>
            <w:noWrap w:val="0"/>
            <w:vAlign w:val="center"/>
          </w:tcPr>
          <w:p w14:paraId="216219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067218E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6D54DE9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56" w:type="dxa"/>
            <w:tcBorders>
              <w:top w:val="nil"/>
              <w:left w:val="nil"/>
              <w:bottom w:val="single" w:color="auto" w:sz="4" w:space="0"/>
              <w:right w:val="single" w:color="auto" w:sz="4" w:space="0"/>
            </w:tcBorders>
            <w:noWrap w:val="0"/>
            <w:vAlign w:val="center"/>
          </w:tcPr>
          <w:p w14:paraId="19AB9B9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16" w:type="dxa"/>
            <w:tcBorders>
              <w:top w:val="nil"/>
              <w:left w:val="nil"/>
              <w:bottom w:val="single" w:color="auto" w:sz="4" w:space="0"/>
              <w:right w:val="single" w:color="auto" w:sz="4" w:space="0"/>
            </w:tcBorders>
            <w:noWrap w:val="0"/>
            <w:vAlign w:val="center"/>
          </w:tcPr>
          <w:p w14:paraId="342BCC7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245171EB">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79067F90">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41CE50B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6375A83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4CD8AE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856" w:type="dxa"/>
            <w:tcBorders>
              <w:top w:val="nil"/>
              <w:left w:val="nil"/>
              <w:bottom w:val="single" w:color="auto" w:sz="4" w:space="0"/>
              <w:right w:val="single" w:color="auto" w:sz="4" w:space="0"/>
            </w:tcBorders>
            <w:noWrap w:val="0"/>
            <w:vAlign w:val="center"/>
          </w:tcPr>
          <w:p w14:paraId="14CFA98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216" w:type="dxa"/>
            <w:tcBorders>
              <w:top w:val="nil"/>
              <w:left w:val="nil"/>
              <w:bottom w:val="single" w:color="auto" w:sz="4" w:space="0"/>
              <w:right w:val="single" w:color="auto" w:sz="4" w:space="0"/>
            </w:tcBorders>
            <w:noWrap w:val="0"/>
            <w:vAlign w:val="center"/>
          </w:tcPr>
          <w:p w14:paraId="6EA8852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14:paraId="6AF12AB8">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4A666A0C">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474" w:type="dxa"/>
            <w:tcBorders>
              <w:top w:val="nil"/>
              <w:left w:val="nil"/>
              <w:bottom w:val="single" w:color="auto" w:sz="4" w:space="0"/>
              <w:right w:val="single" w:color="auto" w:sz="4" w:space="0"/>
            </w:tcBorders>
            <w:noWrap w:val="0"/>
            <w:vAlign w:val="center"/>
          </w:tcPr>
          <w:p w14:paraId="2C35190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54E6384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2CF5E02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856" w:type="dxa"/>
            <w:tcBorders>
              <w:top w:val="nil"/>
              <w:left w:val="nil"/>
              <w:bottom w:val="single" w:color="auto" w:sz="4" w:space="0"/>
              <w:right w:val="single" w:color="auto" w:sz="4" w:space="0"/>
            </w:tcBorders>
            <w:noWrap w:val="0"/>
            <w:vAlign w:val="center"/>
          </w:tcPr>
          <w:p w14:paraId="3CD916E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216" w:type="dxa"/>
            <w:tcBorders>
              <w:top w:val="nil"/>
              <w:left w:val="nil"/>
              <w:bottom w:val="single" w:color="auto" w:sz="4" w:space="0"/>
              <w:right w:val="single" w:color="auto" w:sz="4" w:space="0"/>
            </w:tcBorders>
            <w:noWrap w:val="0"/>
            <w:vAlign w:val="center"/>
          </w:tcPr>
          <w:p w14:paraId="2E11D9A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14:paraId="34F8C206">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4B41C904">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3BBD9B2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972" w:type="dxa"/>
            <w:tcBorders>
              <w:top w:val="nil"/>
              <w:left w:val="nil"/>
              <w:bottom w:val="single" w:color="auto" w:sz="4" w:space="0"/>
              <w:right w:val="single" w:color="auto" w:sz="4" w:space="0"/>
            </w:tcBorders>
            <w:noWrap w:val="0"/>
            <w:vAlign w:val="center"/>
          </w:tcPr>
          <w:p w14:paraId="78D1756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231294F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856" w:type="dxa"/>
            <w:tcBorders>
              <w:top w:val="nil"/>
              <w:left w:val="nil"/>
              <w:bottom w:val="single" w:color="auto" w:sz="4" w:space="0"/>
              <w:right w:val="single" w:color="auto" w:sz="4" w:space="0"/>
            </w:tcBorders>
            <w:noWrap w:val="0"/>
            <w:vAlign w:val="center"/>
          </w:tcPr>
          <w:p w14:paraId="4180972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216" w:type="dxa"/>
            <w:tcBorders>
              <w:top w:val="nil"/>
              <w:left w:val="nil"/>
              <w:bottom w:val="single" w:color="auto" w:sz="4" w:space="0"/>
              <w:right w:val="single" w:color="auto" w:sz="4" w:space="0"/>
            </w:tcBorders>
            <w:noWrap w:val="0"/>
            <w:vAlign w:val="center"/>
          </w:tcPr>
          <w:p w14:paraId="0D4EA13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w:t>
            </w:r>
          </w:p>
        </w:tc>
      </w:tr>
      <w:tr w14:paraId="38D05066">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38867BF9">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474" w:type="dxa"/>
            <w:tcBorders>
              <w:top w:val="nil"/>
              <w:left w:val="nil"/>
              <w:bottom w:val="single" w:color="auto" w:sz="4" w:space="0"/>
              <w:right w:val="single" w:color="auto" w:sz="4" w:space="0"/>
            </w:tcBorders>
            <w:noWrap w:val="0"/>
            <w:vAlign w:val="center"/>
          </w:tcPr>
          <w:p w14:paraId="1DE696C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65F85BC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2BC33CA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856" w:type="dxa"/>
            <w:tcBorders>
              <w:top w:val="nil"/>
              <w:left w:val="nil"/>
              <w:bottom w:val="single" w:color="auto" w:sz="4" w:space="0"/>
              <w:right w:val="single" w:color="auto" w:sz="4" w:space="0"/>
            </w:tcBorders>
            <w:noWrap w:val="0"/>
            <w:vAlign w:val="center"/>
          </w:tcPr>
          <w:p w14:paraId="3B5091D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216" w:type="dxa"/>
            <w:tcBorders>
              <w:top w:val="nil"/>
              <w:left w:val="nil"/>
              <w:bottom w:val="single" w:color="auto" w:sz="4" w:space="0"/>
              <w:right w:val="single" w:color="auto" w:sz="4" w:space="0"/>
            </w:tcBorders>
            <w:noWrap w:val="0"/>
            <w:vAlign w:val="center"/>
          </w:tcPr>
          <w:p w14:paraId="638775E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14:paraId="265CE6A5">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2B0C9AEE">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6C37F29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72" w:type="dxa"/>
            <w:tcBorders>
              <w:top w:val="nil"/>
              <w:left w:val="nil"/>
              <w:bottom w:val="single" w:color="auto" w:sz="4" w:space="0"/>
              <w:right w:val="single" w:color="auto" w:sz="4" w:space="0"/>
            </w:tcBorders>
            <w:noWrap w:val="0"/>
            <w:vAlign w:val="center"/>
          </w:tcPr>
          <w:p w14:paraId="6AED3B5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4E6C5D9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856" w:type="dxa"/>
            <w:tcBorders>
              <w:top w:val="nil"/>
              <w:left w:val="nil"/>
              <w:bottom w:val="single" w:color="auto" w:sz="4" w:space="0"/>
              <w:right w:val="single" w:color="auto" w:sz="4" w:space="0"/>
            </w:tcBorders>
            <w:noWrap w:val="0"/>
            <w:vAlign w:val="center"/>
          </w:tcPr>
          <w:p w14:paraId="3683445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216" w:type="dxa"/>
            <w:tcBorders>
              <w:top w:val="nil"/>
              <w:left w:val="nil"/>
              <w:bottom w:val="single" w:color="auto" w:sz="4" w:space="0"/>
              <w:right w:val="single" w:color="auto" w:sz="4" w:space="0"/>
            </w:tcBorders>
            <w:noWrap w:val="0"/>
            <w:vAlign w:val="center"/>
          </w:tcPr>
          <w:p w14:paraId="50F01AC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Y＜500</w:t>
            </w:r>
          </w:p>
        </w:tc>
      </w:tr>
      <w:tr w14:paraId="5B0C2904">
        <w:tblPrEx>
          <w:tblCellMar>
            <w:top w:w="0" w:type="dxa"/>
            <w:left w:w="108" w:type="dxa"/>
            <w:bottom w:w="0" w:type="dxa"/>
            <w:right w:w="108" w:type="dxa"/>
          </w:tblCellMar>
        </w:tblPrEx>
        <w:trPr>
          <w:trHeight w:val="225" w:hRule="atLeast"/>
          <w:jc w:val="center"/>
        </w:trPr>
        <w:tc>
          <w:tcPr>
            <w:tcW w:w="2027" w:type="dxa"/>
            <w:vMerge w:val="restart"/>
            <w:tcBorders>
              <w:top w:val="nil"/>
              <w:left w:val="single" w:color="auto" w:sz="4" w:space="0"/>
              <w:bottom w:val="single" w:color="auto" w:sz="4" w:space="0"/>
              <w:right w:val="single" w:color="auto" w:sz="4" w:space="0"/>
            </w:tcBorders>
            <w:noWrap w:val="0"/>
            <w:vAlign w:val="center"/>
          </w:tcPr>
          <w:p w14:paraId="2CA1A8B0">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租赁和商务服务业</w:t>
            </w:r>
          </w:p>
        </w:tc>
        <w:tc>
          <w:tcPr>
            <w:tcW w:w="1474" w:type="dxa"/>
            <w:tcBorders>
              <w:top w:val="nil"/>
              <w:left w:val="nil"/>
              <w:bottom w:val="single" w:color="auto" w:sz="4" w:space="0"/>
              <w:right w:val="single" w:color="auto" w:sz="4" w:space="0"/>
            </w:tcBorders>
            <w:noWrap w:val="0"/>
            <w:vAlign w:val="center"/>
          </w:tcPr>
          <w:p w14:paraId="4F1A4D0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5E49874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1EE5224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56" w:type="dxa"/>
            <w:tcBorders>
              <w:top w:val="nil"/>
              <w:left w:val="nil"/>
              <w:bottom w:val="single" w:color="auto" w:sz="4" w:space="0"/>
              <w:right w:val="single" w:color="auto" w:sz="4" w:space="0"/>
            </w:tcBorders>
            <w:noWrap w:val="0"/>
            <w:vAlign w:val="center"/>
          </w:tcPr>
          <w:p w14:paraId="7A69B90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16" w:type="dxa"/>
            <w:tcBorders>
              <w:top w:val="nil"/>
              <w:left w:val="nil"/>
              <w:bottom w:val="single" w:color="auto" w:sz="4" w:space="0"/>
              <w:right w:val="single" w:color="auto" w:sz="4" w:space="0"/>
            </w:tcBorders>
            <w:noWrap w:val="0"/>
            <w:vAlign w:val="center"/>
          </w:tcPr>
          <w:p w14:paraId="4468A22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7FB205E3">
        <w:tblPrEx>
          <w:tblCellMar>
            <w:top w:w="0" w:type="dxa"/>
            <w:left w:w="108" w:type="dxa"/>
            <w:bottom w:w="0" w:type="dxa"/>
            <w:right w:w="108" w:type="dxa"/>
          </w:tblCellMar>
        </w:tblPrEx>
        <w:trPr>
          <w:trHeight w:val="225" w:hRule="atLeast"/>
          <w:jc w:val="center"/>
        </w:trPr>
        <w:tc>
          <w:tcPr>
            <w:tcW w:w="2027" w:type="dxa"/>
            <w:vMerge w:val="continue"/>
            <w:tcBorders>
              <w:top w:val="nil"/>
              <w:left w:val="single" w:color="auto" w:sz="4" w:space="0"/>
              <w:bottom w:val="single" w:color="auto" w:sz="4" w:space="0"/>
              <w:right w:val="single" w:color="auto" w:sz="4" w:space="0"/>
            </w:tcBorders>
            <w:noWrap w:val="0"/>
            <w:vAlign w:val="center"/>
          </w:tcPr>
          <w:p w14:paraId="4A8B4FA9">
            <w:pPr>
              <w:widowControl/>
              <w:jc w:val="left"/>
              <w:rPr>
                <w:rFonts w:hint="eastAsia" w:ascii="宋体" w:hAnsi="宋体" w:cs="宋体"/>
                <w:b/>
                <w:bCs/>
                <w:color w:val="auto"/>
                <w:kern w:val="0"/>
                <w:szCs w:val="21"/>
                <w:highlight w:val="none"/>
              </w:rPr>
            </w:pPr>
          </w:p>
        </w:tc>
        <w:tc>
          <w:tcPr>
            <w:tcW w:w="1474" w:type="dxa"/>
            <w:tcBorders>
              <w:top w:val="nil"/>
              <w:left w:val="nil"/>
              <w:bottom w:val="single" w:color="auto" w:sz="4" w:space="0"/>
              <w:right w:val="single" w:color="auto" w:sz="4" w:space="0"/>
            </w:tcBorders>
            <w:noWrap w:val="0"/>
            <w:vAlign w:val="center"/>
          </w:tcPr>
          <w:p w14:paraId="48A0C98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972" w:type="dxa"/>
            <w:tcBorders>
              <w:top w:val="nil"/>
              <w:left w:val="nil"/>
              <w:bottom w:val="single" w:color="auto" w:sz="4" w:space="0"/>
              <w:right w:val="single" w:color="auto" w:sz="4" w:space="0"/>
            </w:tcBorders>
            <w:noWrap w:val="0"/>
            <w:vAlign w:val="center"/>
          </w:tcPr>
          <w:p w14:paraId="2B270D0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93" w:type="dxa"/>
            <w:tcBorders>
              <w:top w:val="nil"/>
              <w:left w:val="nil"/>
              <w:bottom w:val="single" w:color="auto" w:sz="4" w:space="0"/>
              <w:right w:val="single" w:color="auto" w:sz="4" w:space="0"/>
            </w:tcBorders>
            <w:noWrap w:val="0"/>
            <w:vAlign w:val="center"/>
          </w:tcPr>
          <w:p w14:paraId="7571C9C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856" w:type="dxa"/>
            <w:tcBorders>
              <w:top w:val="nil"/>
              <w:left w:val="nil"/>
              <w:bottom w:val="single" w:color="auto" w:sz="4" w:space="0"/>
              <w:right w:val="single" w:color="auto" w:sz="4" w:space="0"/>
            </w:tcBorders>
            <w:noWrap w:val="0"/>
            <w:vAlign w:val="center"/>
          </w:tcPr>
          <w:p w14:paraId="27BA27A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216" w:type="dxa"/>
            <w:tcBorders>
              <w:top w:val="nil"/>
              <w:left w:val="nil"/>
              <w:bottom w:val="single" w:color="auto" w:sz="4" w:space="0"/>
              <w:right w:val="single" w:color="auto" w:sz="4" w:space="0"/>
            </w:tcBorders>
            <w:noWrap w:val="0"/>
            <w:vAlign w:val="center"/>
          </w:tcPr>
          <w:p w14:paraId="65C201B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0B341FEE">
        <w:tblPrEx>
          <w:tblCellMar>
            <w:top w:w="0" w:type="dxa"/>
            <w:left w:w="108" w:type="dxa"/>
            <w:bottom w:w="0" w:type="dxa"/>
            <w:right w:w="108" w:type="dxa"/>
          </w:tblCellMar>
        </w:tblPrEx>
        <w:trPr>
          <w:trHeight w:val="225" w:hRule="atLeast"/>
          <w:jc w:val="center"/>
        </w:trPr>
        <w:tc>
          <w:tcPr>
            <w:tcW w:w="2027" w:type="dxa"/>
            <w:tcBorders>
              <w:top w:val="nil"/>
              <w:left w:val="single" w:color="auto" w:sz="4" w:space="0"/>
              <w:bottom w:val="single" w:color="auto" w:sz="4" w:space="0"/>
              <w:right w:val="single" w:color="auto" w:sz="4" w:space="0"/>
            </w:tcBorders>
            <w:noWrap w:val="0"/>
            <w:vAlign w:val="center"/>
          </w:tcPr>
          <w:p w14:paraId="393DA4C8">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474" w:type="dxa"/>
            <w:tcBorders>
              <w:top w:val="nil"/>
              <w:left w:val="nil"/>
              <w:bottom w:val="single" w:color="auto" w:sz="4" w:space="0"/>
              <w:right w:val="single" w:color="auto" w:sz="4" w:space="0"/>
            </w:tcBorders>
            <w:noWrap w:val="0"/>
            <w:vAlign w:val="center"/>
          </w:tcPr>
          <w:p w14:paraId="7549158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72" w:type="dxa"/>
            <w:tcBorders>
              <w:top w:val="nil"/>
              <w:left w:val="nil"/>
              <w:bottom w:val="single" w:color="auto" w:sz="4" w:space="0"/>
              <w:right w:val="single" w:color="auto" w:sz="4" w:space="0"/>
            </w:tcBorders>
            <w:noWrap w:val="0"/>
            <w:vAlign w:val="center"/>
          </w:tcPr>
          <w:p w14:paraId="1B13284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2093" w:type="dxa"/>
            <w:tcBorders>
              <w:top w:val="nil"/>
              <w:left w:val="nil"/>
              <w:bottom w:val="single" w:color="auto" w:sz="4" w:space="0"/>
              <w:right w:val="single" w:color="auto" w:sz="4" w:space="0"/>
            </w:tcBorders>
            <w:noWrap w:val="0"/>
            <w:vAlign w:val="center"/>
          </w:tcPr>
          <w:p w14:paraId="2BC058F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56" w:type="dxa"/>
            <w:tcBorders>
              <w:top w:val="nil"/>
              <w:left w:val="nil"/>
              <w:bottom w:val="single" w:color="auto" w:sz="4" w:space="0"/>
              <w:right w:val="single" w:color="auto" w:sz="4" w:space="0"/>
            </w:tcBorders>
            <w:noWrap w:val="0"/>
            <w:vAlign w:val="center"/>
          </w:tcPr>
          <w:p w14:paraId="340D9D4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16" w:type="dxa"/>
            <w:tcBorders>
              <w:top w:val="nil"/>
              <w:left w:val="nil"/>
              <w:bottom w:val="single" w:color="auto" w:sz="4" w:space="0"/>
              <w:right w:val="single" w:color="auto" w:sz="4" w:space="0"/>
            </w:tcBorders>
            <w:noWrap w:val="0"/>
            <w:vAlign w:val="center"/>
          </w:tcPr>
          <w:p w14:paraId="6EB2874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bl>
    <w:p w14:paraId="42E4AA68">
      <w:pPr>
        <w:spacing w:line="360" w:lineRule="auto"/>
        <w:ind w:firstLine="525" w:firstLineChars="250"/>
        <w:jc w:val="left"/>
        <w:rPr>
          <w:color w:val="auto"/>
          <w:highlight w:val="none"/>
        </w:rPr>
        <w:sectPr>
          <w:headerReference r:id="rId11" w:type="first"/>
          <w:footerReference r:id="rId13" w:type="first"/>
          <w:footerReference r:id="rId12" w:type="default"/>
          <w:pgSz w:w="11910" w:h="16840"/>
          <w:pgMar w:top="1134" w:right="1500" w:bottom="1134" w:left="1680" w:header="720" w:footer="720" w:gutter="0"/>
          <w:pgBorders>
            <w:top w:val="none" w:sz="0" w:space="0"/>
            <w:left w:val="none" w:sz="0" w:space="0"/>
            <w:bottom w:val="none" w:sz="0" w:space="0"/>
            <w:right w:val="none" w:sz="0" w:space="0"/>
          </w:pgBorders>
          <w:cols w:space="720" w:num="1"/>
          <w:titlePg/>
          <w:docGrid w:linePitch="286"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AB6E7AE">
      <w:pPr>
        <w:rPr>
          <w:rFonts w:hint="eastAsia"/>
          <w:color w:val="auto"/>
          <w:highlight w:val="none"/>
        </w:rPr>
      </w:pPr>
    </w:p>
    <w:p w14:paraId="08111048">
      <w:pPr>
        <w:pStyle w:val="3"/>
        <w:ind w:firstLine="2209" w:firstLineChars="500"/>
        <w:jc w:val="both"/>
        <w:outlineLvl w:val="9"/>
        <w:rPr>
          <w:color w:val="auto"/>
          <w:highlight w:val="none"/>
        </w:rPr>
      </w:pPr>
    </w:p>
    <w:p w14:paraId="448CA591">
      <w:pPr>
        <w:pStyle w:val="3"/>
        <w:ind w:firstLine="2209" w:firstLineChars="500"/>
        <w:jc w:val="both"/>
        <w:outlineLvl w:val="9"/>
        <w:rPr>
          <w:color w:val="auto"/>
          <w:highlight w:val="none"/>
        </w:rPr>
      </w:pPr>
    </w:p>
    <w:p w14:paraId="216E0971">
      <w:pPr>
        <w:pStyle w:val="3"/>
        <w:ind w:firstLine="2209" w:firstLineChars="500"/>
        <w:jc w:val="both"/>
        <w:rPr>
          <w:color w:val="auto"/>
          <w:highlight w:val="none"/>
        </w:rPr>
      </w:pPr>
      <w:bookmarkStart w:id="22" w:name="_Toc19693"/>
      <w:r>
        <w:rPr>
          <w:rFonts w:hint="eastAsia"/>
          <w:color w:val="auto"/>
          <w:highlight w:val="none"/>
        </w:rPr>
        <w:t>第四章  采购合同书（格式）</w:t>
      </w:r>
      <w:bookmarkEnd w:id="22"/>
    </w:p>
    <w:p w14:paraId="17D87393">
      <w:pPr>
        <w:pStyle w:val="75"/>
        <w:ind w:firstLine="480"/>
        <w:jc w:val="center"/>
        <w:rPr>
          <w:color w:val="auto"/>
          <w:highlight w:val="none"/>
        </w:rPr>
      </w:pPr>
      <w:r>
        <w:rPr>
          <w:rFonts w:hint="eastAsia"/>
          <w:color w:val="auto"/>
          <w:highlight w:val="none"/>
        </w:rPr>
        <w:cr/>
      </w:r>
      <w:r>
        <w:rPr>
          <w:rFonts w:hint="eastAsia"/>
          <w:color w:val="auto"/>
          <w:highlight w:val="none"/>
        </w:rPr>
        <w:cr/>
      </w:r>
      <w:r>
        <w:rPr>
          <w:rFonts w:hint="eastAsia"/>
          <w:color w:val="auto"/>
          <w:highlight w:val="none"/>
        </w:rPr>
        <w:cr/>
      </w:r>
    </w:p>
    <w:p w14:paraId="3232E494">
      <w:pPr>
        <w:pStyle w:val="75"/>
        <w:ind w:firstLine="480"/>
        <w:jc w:val="center"/>
        <w:rPr>
          <w:color w:val="auto"/>
          <w:highlight w:val="none"/>
        </w:rPr>
      </w:pPr>
    </w:p>
    <w:p w14:paraId="136DE830">
      <w:pPr>
        <w:pStyle w:val="75"/>
        <w:ind w:firstLine="480"/>
        <w:jc w:val="center"/>
        <w:rPr>
          <w:color w:val="auto"/>
          <w:highlight w:val="none"/>
        </w:rPr>
      </w:pPr>
    </w:p>
    <w:p w14:paraId="2B5F084A">
      <w:pPr>
        <w:pStyle w:val="75"/>
        <w:ind w:firstLine="480"/>
        <w:jc w:val="center"/>
        <w:rPr>
          <w:color w:val="auto"/>
          <w:highlight w:val="none"/>
        </w:rPr>
      </w:pPr>
    </w:p>
    <w:p w14:paraId="79112E7D">
      <w:pPr>
        <w:pStyle w:val="75"/>
        <w:ind w:firstLine="480"/>
        <w:jc w:val="center"/>
        <w:rPr>
          <w:color w:val="auto"/>
          <w:highlight w:val="none"/>
        </w:rPr>
      </w:pPr>
    </w:p>
    <w:p w14:paraId="20F12D51">
      <w:pPr>
        <w:pStyle w:val="75"/>
        <w:ind w:firstLine="480"/>
        <w:jc w:val="center"/>
        <w:rPr>
          <w:color w:val="auto"/>
          <w:highlight w:val="none"/>
        </w:rPr>
      </w:pPr>
    </w:p>
    <w:p w14:paraId="3B4A1259">
      <w:pPr>
        <w:pStyle w:val="75"/>
        <w:ind w:firstLine="0" w:firstLineChars="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采购合同</w:t>
      </w:r>
    </w:p>
    <w:p w14:paraId="04F60F11">
      <w:pPr>
        <w:jc w:val="center"/>
        <w:rPr>
          <w:rFonts w:ascii="黑体" w:eastAsia="黑体"/>
          <w:b/>
          <w:color w:val="auto"/>
          <w:sz w:val="32"/>
          <w:highlight w:val="none"/>
        </w:rPr>
      </w:pPr>
    </w:p>
    <w:p w14:paraId="77B3BB0B">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（注：本合同样本仅供参考，具体内容由采购人和成交供应商协商确定，但补充和修改不得造成与本章格式内容有实质性的违背。）</w:t>
      </w:r>
    </w:p>
    <w:p w14:paraId="1581971D">
      <w:pPr>
        <w:jc w:val="center"/>
        <w:rPr>
          <w:color w:val="auto"/>
          <w:sz w:val="28"/>
          <w:highlight w:val="none"/>
        </w:rPr>
      </w:pPr>
    </w:p>
    <w:p w14:paraId="521DD739">
      <w:pPr>
        <w:jc w:val="center"/>
        <w:rPr>
          <w:color w:val="auto"/>
          <w:sz w:val="28"/>
          <w:highlight w:val="none"/>
        </w:rPr>
      </w:pPr>
    </w:p>
    <w:p w14:paraId="62D900CA">
      <w:pPr>
        <w:jc w:val="center"/>
        <w:rPr>
          <w:color w:val="auto"/>
          <w:sz w:val="28"/>
          <w:highlight w:val="none"/>
        </w:rPr>
      </w:pPr>
    </w:p>
    <w:p w14:paraId="6881241A">
      <w:pPr>
        <w:rPr>
          <w:color w:val="auto"/>
          <w:sz w:val="32"/>
          <w:highlight w:val="none"/>
        </w:rPr>
      </w:pPr>
    </w:p>
    <w:p w14:paraId="70982C40">
      <w:pPr>
        <w:ind w:firstLine="1760" w:firstLineChars="550"/>
        <w:rPr>
          <w:color w:val="auto"/>
          <w:sz w:val="32"/>
          <w:highlight w:val="none"/>
        </w:rPr>
      </w:pPr>
    </w:p>
    <w:p w14:paraId="72833895">
      <w:pPr>
        <w:ind w:firstLine="1760" w:firstLineChars="550"/>
        <w:rPr>
          <w:color w:val="auto"/>
          <w:sz w:val="32"/>
          <w:highlight w:val="none"/>
        </w:rPr>
      </w:pPr>
    </w:p>
    <w:p w14:paraId="0880FCFC">
      <w:pPr>
        <w:ind w:firstLine="1760" w:firstLineChars="550"/>
        <w:rPr>
          <w:color w:val="auto"/>
          <w:sz w:val="32"/>
          <w:highlight w:val="none"/>
        </w:rPr>
      </w:pPr>
    </w:p>
    <w:p w14:paraId="29647730">
      <w:pPr>
        <w:ind w:firstLine="1760" w:firstLineChars="550"/>
        <w:rPr>
          <w:color w:val="auto"/>
          <w:sz w:val="32"/>
          <w:highlight w:val="none"/>
        </w:rPr>
      </w:pPr>
    </w:p>
    <w:p w14:paraId="36DC30F7">
      <w:pPr>
        <w:ind w:firstLine="1760" w:firstLineChars="550"/>
        <w:rPr>
          <w:color w:val="auto"/>
          <w:sz w:val="32"/>
          <w:highlight w:val="none"/>
        </w:rPr>
      </w:pPr>
      <w:r>
        <w:rPr>
          <w:rFonts w:hint="eastAsia"/>
          <w:color w:val="auto"/>
          <w:sz w:val="32"/>
          <w:highlight w:val="none"/>
        </w:rPr>
        <w:t>合同名称：</w:t>
      </w:r>
    </w:p>
    <w:p w14:paraId="6A5AA517">
      <w:pPr>
        <w:ind w:firstLine="1760" w:firstLineChars="550"/>
        <w:rPr>
          <w:color w:val="auto"/>
          <w:sz w:val="32"/>
          <w:highlight w:val="none"/>
        </w:rPr>
      </w:pPr>
    </w:p>
    <w:p w14:paraId="5A44A649">
      <w:pPr>
        <w:ind w:firstLine="1760" w:firstLineChars="550"/>
        <w:rPr>
          <w:color w:val="auto"/>
          <w:sz w:val="32"/>
          <w:highlight w:val="none"/>
        </w:rPr>
      </w:pPr>
      <w:r>
        <w:rPr>
          <w:rFonts w:hint="eastAsia"/>
          <w:color w:val="auto"/>
          <w:sz w:val="32"/>
          <w:highlight w:val="none"/>
        </w:rPr>
        <w:t>合同编号：</w:t>
      </w:r>
    </w:p>
    <w:p w14:paraId="0DB3948D">
      <w:pPr>
        <w:rPr>
          <w:color w:val="auto"/>
          <w:sz w:val="32"/>
          <w:highlight w:val="none"/>
        </w:rPr>
      </w:pPr>
    </w:p>
    <w:p w14:paraId="1075A679">
      <w:pPr>
        <w:ind w:firstLine="1760" w:firstLineChars="550"/>
        <w:rPr>
          <w:color w:val="auto"/>
          <w:sz w:val="32"/>
          <w:highlight w:val="none"/>
        </w:rPr>
      </w:pPr>
      <w:r>
        <w:rPr>
          <w:rFonts w:hint="eastAsia"/>
          <w:color w:val="auto"/>
          <w:sz w:val="32"/>
          <w:highlight w:val="none"/>
        </w:rPr>
        <w:t>签订合同地点：</w:t>
      </w:r>
    </w:p>
    <w:p w14:paraId="194C976F">
      <w:pPr>
        <w:ind w:firstLine="1760" w:firstLineChars="550"/>
        <w:rPr>
          <w:color w:val="auto"/>
          <w:sz w:val="32"/>
          <w:highlight w:val="none"/>
        </w:rPr>
      </w:pPr>
    </w:p>
    <w:p w14:paraId="0CD51F8D">
      <w:pPr>
        <w:ind w:firstLine="1760" w:firstLineChars="550"/>
        <w:rPr>
          <w:rFonts w:hAnsi="宋体"/>
          <w:color w:val="auto"/>
          <w:highlight w:val="none"/>
        </w:rPr>
      </w:pPr>
      <w:r>
        <w:rPr>
          <w:rFonts w:hint="eastAsia"/>
          <w:color w:val="auto"/>
          <w:sz w:val="32"/>
          <w:highlight w:val="none"/>
        </w:rPr>
        <w:t xml:space="preserve">签订合同时间：  </w:t>
      </w:r>
    </w:p>
    <w:p w14:paraId="07FCC0E8">
      <w:pPr>
        <w:pStyle w:val="18"/>
        <w:rPr>
          <w:rFonts w:hint="default" w:hAnsi="宋体"/>
          <w:b/>
          <w:color w:val="auto"/>
          <w:sz w:val="24"/>
          <w:highlight w:val="none"/>
        </w:rPr>
      </w:pPr>
    </w:p>
    <w:p w14:paraId="61B7A278">
      <w:pPr>
        <w:snapToGrid w:val="0"/>
        <w:spacing w:line="480" w:lineRule="exact"/>
        <w:jc w:val="center"/>
        <w:rPr>
          <w:rFonts w:hint="eastAsia" w:ascii="宋体" w:hAnsi="宋体"/>
          <w:b/>
          <w:bCs/>
          <w:color w:val="auto"/>
          <w:sz w:val="32"/>
          <w:szCs w:val="32"/>
          <w:highlight w:val="none"/>
        </w:rPr>
      </w:pPr>
      <w:r>
        <w:rPr>
          <w:rFonts w:hAnsi="宋体"/>
          <w:b/>
          <w:color w:val="auto"/>
          <w:sz w:val="24"/>
          <w:highlight w:val="none"/>
        </w:rPr>
        <w:br w:type="page"/>
      </w:r>
      <w:bookmarkEnd w:id="18"/>
      <w:bookmarkEnd w:id="19"/>
      <w:bookmarkEnd w:id="20"/>
      <w:bookmarkEnd w:id="21"/>
      <w:bookmarkStart w:id="23" w:name="_Toc10176"/>
      <w:bookmarkStart w:id="24" w:name="_Toc15733"/>
      <w:bookmarkStart w:id="25" w:name="_Toc21291"/>
      <w:bookmarkStart w:id="26" w:name="_Toc1719472"/>
      <w:r>
        <w:rPr>
          <w:rFonts w:hint="eastAsia" w:ascii="宋体" w:hAnsi="宋体"/>
          <w:b/>
          <w:bCs/>
          <w:color w:val="auto"/>
          <w:sz w:val="32"/>
          <w:szCs w:val="32"/>
          <w:highlight w:val="none"/>
        </w:rPr>
        <w:t>政府采购合同</w:t>
      </w:r>
    </w:p>
    <w:p w14:paraId="1BE7A5D7">
      <w:pPr>
        <w:spacing w:line="5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合同编</w:t>
      </w:r>
      <w:r>
        <w:rPr>
          <w:rFonts w:hint="eastAsia" w:ascii="宋体" w:hAnsi="宋体" w:cs="宋体"/>
          <w:color w:val="auto"/>
          <w:kern w:val="0"/>
          <w:szCs w:val="21"/>
          <w:highlight w:val="none"/>
        </w:rPr>
        <w:t>号：</w:t>
      </w:r>
    </w:p>
    <w:p w14:paraId="0B360ADE">
      <w:pPr>
        <w:spacing w:line="560" w:lineRule="exact"/>
        <w:ind w:firstLine="420"/>
        <w:rPr>
          <w:rFonts w:ascii="宋体" w:hAnsi="宋体" w:cs="宋体"/>
          <w:color w:val="auto"/>
          <w:kern w:val="0"/>
          <w:szCs w:val="21"/>
          <w:highlight w:val="none"/>
        </w:rPr>
      </w:pPr>
      <w:r>
        <w:rPr>
          <w:rFonts w:ascii="宋体" w:hAnsi="宋体" w:cs="宋体"/>
          <w:color w:val="auto"/>
          <w:kern w:val="0"/>
          <w:szCs w:val="21"/>
          <w:highlight w:val="none"/>
        </w:rPr>
        <w:t xml:space="preserve">项目名称：           </w:t>
      </w:r>
      <w:r>
        <w:rPr>
          <w:rFonts w:hint="eastAsia" w:ascii="宋体" w:hAnsi="宋体" w:cs="宋体"/>
          <w:color w:val="auto"/>
          <w:kern w:val="0"/>
          <w:szCs w:val="21"/>
          <w:highlight w:val="none"/>
          <w:lang w:val="en-US" w:eastAsia="zh-CN"/>
        </w:rPr>
        <w:t xml:space="preserve">            </w:t>
      </w:r>
      <w:r>
        <w:rPr>
          <w:rFonts w:ascii="宋体" w:hAnsi="宋体" w:cs="宋体"/>
          <w:color w:val="auto"/>
          <w:kern w:val="0"/>
          <w:szCs w:val="21"/>
          <w:highlight w:val="none"/>
        </w:rPr>
        <w:t xml:space="preserve"> 项目编号：</w:t>
      </w:r>
    </w:p>
    <w:p w14:paraId="62B0BCE1">
      <w:pPr>
        <w:spacing w:line="560" w:lineRule="exact"/>
        <w:ind w:firstLine="420"/>
        <w:rPr>
          <w:rFonts w:ascii="宋体" w:hAnsi="宋体" w:cs="宋体"/>
          <w:color w:val="auto"/>
          <w:kern w:val="0"/>
          <w:szCs w:val="21"/>
          <w:highlight w:val="none"/>
        </w:rPr>
      </w:pPr>
      <w:r>
        <w:rPr>
          <w:rFonts w:ascii="宋体" w:hAnsi="宋体" w:cs="宋体"/>
          <w:color w:val="auto"/>
          <w:kern w:val="0"/>
          <w:szCs w:val="21"/>
          <w:highlight w:val="none"/>
        </w:rPr>
        <w:t>甲方（采购人）：                   乙方（成交人）：</w:t>
      </w:r>
    </w:p>
    <w:p w14:paraId="554EF809">
      <w:pPr>
        <w:spacing w:line="360" w:lineRule="exact"/>
        <w:rPr>
          <w:rFonts w:ascii="宋体" w:hAnsi="宋体" w:cs="宋体"/>
          <w:color w:val="auto"/>
          <w:kern w:val="0"/>
          <w:szCs w:val="21"/>
          <w:highlight w:val="none"/>
        </w:rPr>
      </w:pPr>
      <w:r>
        <w:rPr>
          <w:rFonts w:ascii="宋体" w:hAnsi="宋体" w:cs="宋体"/>
          <w:color w:val="auto"/>
          <w:kern w:val="0"/>
          <w:szCs w:val="21"/>
          <w:highlight w:val="none"/>
        </w:rPr>
        <w:t xml:space="preserve">   </w:t>
      </w:r>
    </w:p>
    <w:p w14:paraId="4CE827C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根据《中华人民共和国政府采购法》、《中华人民共和国民法典》等法律、法规规定，按照</w:t>
      </w:r>
      <w:r>
        <w:rPr>
          <w:rFonts w:hint="eastAsia" w:ascii="宋体" w:hAnsi="宋体" w:cs="宋体"/>
          <w:color w:val="auto"/>
          <w:kern w:val="0"/>
          <w:szCs w:val="21"/>
          <w:highlight w:val="none"/>
          <w:lang w:eastAsia="zh-CN"/>
        </w:rPr>
        <w:t>项目采购</w:t>
      </w:r>
      <w:r>
        <w:rPr>
          <w:rFonts w:hint="eastAsia" w:ascii="宋体" w:hAnsi="宋体" w:cs="宋体"/>
          <w:color w:val="auto"/>
          <w:kern w:val="0"/>
          <w:szCs w:val="21"/>
          <w:highlight w:val="none"/>
        </w:rPr>
        <w:t>文件规定条款和乙方响应文件及其承诺，甲乙双方签订本合同。</w:t>
      </w:r>
    </w:p>
    <w:p w14:paraId="0DF27460">
      <w:pPr>
        <w:spacing w:line="360" w:lineRule="auto"/>
        <w:ind w:firstLine="42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一、</w:t>
      </w:r>
      <w:r>
        <w:rPr>
          <w:rFonts w:hint="eastAsia" w:ascii="宋体" w:hAnsi="宋体" w:cs="宋体"/>
          <w:b/>
          <w:bCs/>
          <w:color w:val="auto"/>
          <w:kern w:val="0"/>
          <w:szCs w:val="21"/>
          <w:highlight w:val="none"/>
        </w:rPr>
        <w:t>合同文件</w:t>
      </w:r>
    </w:p>
    <w:p w14:paraId="1AA6830B">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本合同所附下列文件是构成本合同不可分割的部分：</w:t>
      </w:r>
    </w:p>
    <w:p w14:paraId="51E77EAD">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⑴ 合同基本条款</w:t>
      </w:r>
    </w:p>
    <w:p w14:paraId="1EBB7792">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⑵ 乙方提交的</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、报价表和售后服务承诺等全部响应文件</w:t>
      </w:r>
    </w:p>
    <w:p w14:paraId="38E254B9">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⑶ 项目需求</w:t>
      </w:r>
    </w:p>
    <w:p w14:paraId="76CBB22F">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⑷ 成交通知书</w:t>
      </w:r>
    </w:p>
    <w:p w14:paraId="2771CEF7">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⑸ 甲、乙双方商定的补充协议</w:t>
      </w:r>
    </w:p>
    <w:p w14:paraId="5ABB861C">
      <w:pPr>
        <w:spacing w:line="360" w:lineRule="auto"/>
        <w:ind w:firstLine="42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二、</w:t>
      </w:r>
      <w:r>
        <w:rPr>
          <w:rFonts w:hint="eastAsia" w:ascii="宋体" w:hAnsi="宋体" w:cs="宋体"/>
          <w:b/>
          <w:bCs/>
          <w:color w:val="auto"/>
          <w:kern w:val="0"/>
          <w:szCs w:val="21"/>
          <w:highlight w:val="none"/>
        </w:rPr>
        <w:t>合同范围和条件</w:t>
      </w:r>
    </w:p>
    <w:p w14:paraId="28F9B70B">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rPr>
        <w:t>本合同的范围和条件应与上述合同文件的规定相一致。</w:t>
      </w:r>
    </w:p>
    <w:p w14:paraId="58AE5B08">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甲、乙双方应将</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文件、响应文件及</w:t>
      </w:r>
      <w:r>
        <w:rPr>
          <w:rFonts w:hint="eastAsia" w:ascii="宋体" w:hAnsi="宋体" w:cs="宋体"/>
          <w:color w:val="auto"/>
          <w:kern w:val="0"/>
          <w:szCs w:val="21"/>
          <w:highlight w:val="none"/>
          <w:lang w:eastAsia="zh-CN"/>
        </w:rPr>
        <w:t>评审</w:t>
      </w:r>
      <w:r>
        <w:rPr>
          <w:rFonts w:hint="eastAsia" w:ascii="宋体" w:hAnsi="宋体" w:cs="宋体"/>
          <w:color w:val="auto"/>
          <w:kern w:val="0"/>
          <w:szCs w:val="21"/>
          <w:highlight w:val="none"/>
        </w:rPr>
        <w:t>小组确认的货物名称、规格型号、技术要求、质量标准、数量、交货日期、交货地点和售后服务内容等作为本条款的基础。</w:t>
      </w:r>
    </w:p>
    <w:p w14:paraId="3E163FFB">
      <w:pPr>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三、</w:t>
      </w:r>
      <w:r>
        <w:rPr>
          <w:rFonts w:hint="eastAsia" w:ascii="宋体" w:hAnsi="宋体" w:cs="宋体"/>
          <w:b/>
          <w:bCs/>
          <w:color w:val="auto"/>
          <w:kern w:val="0"/>
          <w:szCs w:val="21"/>
          <w:highlight w:val="none"/>
        </w:rPr>
        <w:t>货物采购和服务内容</w:t>
      </w:r>
    </w:p>
    <w:tbl>
      <w:tblPr>
        <w:tblStyle w:val="35"/>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0"/>
        <w:gridCol w:w="830"/>
        <w:gridCol w:w="1875"/>
        <w:gridCol w:w="1830"/>
        <w:gridCol w:w="885"/>
        <w:gridCol w:w="1440"/>
        <w:gridCol w:w="530"/>
      </w:tblGrid>
      <w:tr w14:paraId="3C41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18C6A962">
            <w:pPr>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序号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E5862F2">
            <w:pPr>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货物名称</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5EC9BBF">
            <w:pPr>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数量及单位</w:t>
            </w:r>
          </w:p>
          <w:p w14:paraId="19A728A6">
            <w:pPr>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①</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68C29A23">
            <w:pPr>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品牌、生产厂家及国别</w:t>
            </w:r>
          </w:p>
        </w:tc>
        <w:tc>
          <w:tcPr>
            <w:tcW w:w="1830" w:type="dxa"/>
            <w:tcBorders>
              <w:top w:val="single" w:color="auto" w:sz="4" w:space="0"/>
              <w:left w:val="single" w:color="auto" w:sz="4" w:space="0"/>
              <w:right w:val="single" w:color="auto" w:sz="4" w:space="0"/>
            </w:tcBorders>
            <w:noWrap w:val="0"/>
            <w:vAlign w:val="center"/>
          </w:tcPr>
          <w:p w14:paraId="7E483E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型号规格、详细技术参数、性能配置</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7DBDA10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单价</w:t>
            </w:r>
          </w:p>
          <w:p w14:paraId="772B4C0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(元)</w:t>
            </w:r>
          </w:p>
          <w:p w14:paraId="12250E8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②</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E30519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单项合价</w:t>
            </w:r>
          </w:p>
          <w:p w14:paraId="0B4A1DA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（元）</w:t>
            </w:r>
          </w:p>
          <w:p w14:paraId="26F1CB7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③=①×②</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619495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1DA6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BDB14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0DFB155">
            <w:pPr>
              <w:spacing w:line="360" w:lineRule="auto"/>
              <w:jc w:val="center"/>
              <w:rPr>
                <w:rFonts w:hint="eastAsia" w:ascii="宋体" w:hAnsi="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F8B286A">
            <w:pPr>
              <w:spacing w:line="360" w:lineRule="auto"/>
              <w:jc w:val="center"/>
              <w:rPr>
                <w:rFonts w:hint="eastAsia" w:ascii="宋体" w:hAnsi="宋体" w:cs="宋体"/>
                <w:color w:val="auto"/>
                <w:szCs w:val="21"/>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AA6DAFF">
            <w:pPr>
              <w:spacing w:line="360" w:lineRule="auto"/>
              <w:rPr>
                <w:rFonts w:hint="eastAsia"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150FE7B2">
            <w:pPr>
              <w:spacing w:line="360" w:lineRule="auto"/>
              <w:rPr>
                <w:rFonts w:hint="eastAsia" w:ascii="宋体" w:hAnsi="宋体" w:cs="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DEC56B6">
            <w:pPr>
              <w:spacing w:line="360" w:lineRule="auto"/>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DCC0C9A">
            <w:pPr>
              <w:spacing w:line="360" w:lineRule="auto"/>
              <w:rPr>
                <w:rFonts w:hint="eastAsia" w:ascii="宋体" w:hAnsi="宋体" w:cs="宋体"/>
                <w:color w:val="auto"/>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1F779117">
            <w:pPr>
              <w:spacing w:line="360" w:lineRule="auto"/>
              <w:rPr>
                <w:rFonts w:hint="eastAsia" w:ascii="宋体" w:hAnsi="宋体" w:cs="宋体"/>
                <w:color w:val="auto"/>
                <w:spacing w:val="-6"/>
                <w:szCs w:val="21"/>
                <w:highlight w:val="none"/>
              </w:rPr>
            </w:pPr>
          </w:p>
        </w:tc>
      </w:tr>
      <w:tr w14:paraId="13AE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78829B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013CA57">
            <w:pPr>
              <w:spacing w:line="360" w:lineRule="auto"/>
              <w:jc w:val="center"/>
              <w:rPr>
                <w:rFonts w:hint="eastAsia" w:ascii="宋体" w:hAnsi="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0BF8F781">
            <w:pPr>
              <w:spacing w:line="360" w:lineRule="auto"/>
              <w:jc w:val="center"/>
              <w:rPr>
                <w:rFonts w:hint="eastAsia" w:ascii="宋体" w:hAnsi="宋体" w:cs="宋体"/>
                <w:color w:val="auto"/>
                <w:szCs w:val="21"/>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598D1BCB">
            <w:pPr>
              <w:spacing w:line="360" w:lineRule="auto"/>
              <w:rPr>
                <w:rFonts w:hint="eastAsia"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B8DCC80">
            <w:pPr>
              <w:spacing w:line="360" w:lineRule="auto"/>
              <w:rPr>
                <w:rFonts w:hint="eastAsia" w:ascii="宋体" w:hAnsi="宋体" w:cs="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9A33DAF">
            <w:pPr>
              <w:spacing w:line="360" w:lineRule="auto"/>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43187B3">
            <w:pPr>
              <w:spacing w:line="360" w:lineRule="auto"/>
              <w:rPr>
                <w:rFonts w:hint="eastAsia" w:ascii="宋体" w:hAnsi="宋体" w:cs="宋体"/>
                <w:color w:val="auto"/>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36788652">
            <w:pPr>
              <w:spacing w:line="360" w:lineRule="auto"/>
              <w:rPr>
                <w:rFonts w:hint="eastAsia" w:ascii="宋体" w:hAnsi="宋体" w:cs="宋体"/>
                <w:color w:val="auto"/>
                <w:spacing w:val="-6"/>
                <w:szCs w:val="21"/>
                <w:highlight w:val="none"/>
              </w:rPr>
            </w:pPr>
          </w:p>
        </w:tc>
      </w:tr>
      <w:tr w14:paraId="7FF5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7F008192">
            <w:pPr>
              <w:spacing w:line="360" w:lineRule="auto"/>
              <w:jc w:val="center"/>
              <w:rPr>
                <w:rFonts w:hint="eastAsia" w:ascii="宋体" w:hAnsi="宋体"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17447A2F">
            <w:pPr>
              <w:spacing w:line="360" w:lineRule="auto"/>
              <w:jc w:val="center"/>
              <w:rPr>
                <w:rFonts w:hint="eastAsia" w:ascii="宋体" w:hAnsi="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DED056E">
            <w:pPr>
              <w:spacing w:line="360" w:lineRule="auto"/>
              <w:jc w:val="center"/>
              <w:rPr>
                <w:rFonts w:hint="eastAsia" w:ascii="宋体" w:hAnsi="宋体" w:cs="宋体"/>
                <w:color w:val="auto"/>
                <w:szCs w:val="21"/>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767228D">
            <w:pPr>
              <w:spacing w:line="360" w:lineRule="auto"/>
              <w:rPr>
                <w:rFonts w:hint="eastAsia"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3FC8A41">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6E54AD0D">
            <w:pPr>
              <w:spacing w:line="360" w:lineRule="auto"/>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24ACAE2">
            <w:pPr>
              <w:spacing w:line="360" w:lineRule="auto"/>
              <w:rPr>
                <w:rFonts w:hint="eastAsia" w:ascii="宋体" w:hAnsi="宋体" w:cs="宋体"/>
                <w:color w:val="auto"/>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3D273192">
            <w:pPr>
              <w:spacing w:line="360" w:lineRule="auto"/>
              <w:rPr>
                <w:rFonts w:hint="eastAsia" w:ascii="宋体" w:hAnsi="宋体" w:cs="宋体"/>
                <w:color w:val="auto"/>
                <w:spacing w:val="-6"/>
                <w:szCs w:val="21"/>
                <w:highlight w:val="none"/>
              </w:rPr>
            </w:pPr>
          </w:p>
        </w:tc>
      </w:tr>
    </w:tbl>
    <w:p w14:paraId="3BAEE23D">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3.1乙方应按</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文件规定的时间向甲方提供安装使用货物配套件所属装置等有关技术文件资料。</w:t>
      </w:r>
    </w:p>
    <w:p w14:paraId="7113F6EC">
      <w:pPr>
        <w:spacing w:line="360" w:lineRule="auto"/>
        <w:ind w:firstLine="420"/>
        <w:rPr>
          <w:rFonts w:hint="eastAsia" w:ascii="宋体" w:hAnsi="宋体" w:cs="宋体"/>
          <w:b/>
          <w:bCs/>
          <w:color w:val="auto"/>
          <w:kern w:val="0"/>
          <w:szCs w:val="21"/>
          <w:highlight w:val="none"/>
        </w:rPr>
      </w:pPr>
      <w:r>
        <w:rPr>
          <w:rFonts w:hint="eastAsia" w:ascii="宋体" w:hAnsi="宋体" w:cs="宋体"/>
          <w:color w:val="auto"/>
          <w:kern w:val="0"/>
          <w:szCs w:val="21"/>
          <w:highlight w:val="none"/>
        </w:rPr>
        <w:t>3.2乙方提供的货物应有符合国家标准以及本产品的出厂标准的质量检验证明。</w:t>
      </w:r>
    </w:p>
    <w:p w14:paraId="702CD178">
      <w:pPr>
        <w:spacing w:line="360" w:lineRule="auto"/>
        <w:ind w:firstLine="42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四、</w:t>
      </w:r>
      <w:r>
        <w:rPr>
          <w:rFonts w:hint="eastAsia" w:ascii="宋体" w:hAnsi="宋体" w:cs="宋体"/>
          <w:b/>
          <w:bCs/>
          <w:color w:val="auto"/>
          <w:kern w:val="0"/>
          <w:szCs w:val="21"/>
          <w:highlight w:val="none"/>
        </w:rPr>
        <w:t>合同金额</w:t>
      </w:r>
    </w:p>
    <w:p w14:paraId="54F3D715">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根据成交通知书的成交内容，合同的总金额为：</w:t>
      </w:r>
      <w:r>
        <w:rPr>
          <w:rFonts w:hint="eastAsia" w:ascii="宋体" w:hAnsi="宋体" w:cs="宋体"/>
          <w:color w:val="auto"/>
          <w:kern w:val="0"/>
          <w:szCs w:val="21"/>
          <w:highlight w:val="none"/>
          <w:u w:val="single"/>
        </w:rPr>
        <w:t>人民币（大写）（¥  元）</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Hans"/>
        </w:rPr>
        <w:t>合同金额包括但不限于货物、零配件、运输、安装、调试、培训、质保期内的维护</w:t>
      </w:r>
      <w:r>
        <w:rPr>
          <w:rFonts w:hint="eastAsia" w:ascii="宋体" w:hAnsi="宋体" w:cs="宋体"/>
          <w:color w:val="auto"/>
          <w:kern w:val="0"/>
          <w:szCs w:val="21"/>
          <w:highlight w:val="none"/>
        </w:rPr>
        <w:t>。</w:t>
      </w:r>
    </w:p>
    <w:p w14:paraId="7D01F2EF">
      <w:pPr>
        <w:spacing w:line="360" w:lineRule="auto"/>
        <w:ind w:firstLine="42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五、</w:t>
      </w:r>
      <w:r>
        <w:rPr>
          <w:rFonts w:hint="eastAsia" w:ascii="宋体" w:hAnsi="宋体" w:cs="宋体"/>
          <w:b/>
          <w:bCs/>
          <w:color w:val="auto"/>
          <w:kern w:val="0"/>
          <w:szCs w:val="21"/>
          <w:highlight w:val="none"/>
        </w:rPr>
        <w:t>付款条件</w:t>
      </w:r>
    </w:p>
    <w:p w14:paraId="4AFE3539">
      <w:pPr>
        <w:spacing w:line="360" w:lineRule="auto"/>
        <w:ind w:firstLine="420"/>
        <w:rPr>
          <w:rFonts w:hint="eastAsia" w:ascii="宋体" w:hAnsi="宋体" w:cs="宋体"/>
          <w:color w:val="auto"/>
          <w:szCs w:val="21"/>
          <w:highlight w:val="none"/>
        </w:rPr>
      </w:pPr>
      <w:r>
        <w:rPr>
          <w:rFonts w:hint="eastAsia" w:ascii="宋体" w:hAnsi="宋体" w:cs="宋体"/>
          <w:color w:val="auto"/>
          <w:kern w:val="0"/>
          <w:szCs w:val="21"/>
          <w:highlight w:val="none"/>
        </w:rPr>
        <w:t>5.1、付款方式：</w:t>
      </w:r>
      <w:r>
        <w:rPr>
          <w:rFonts w:hint="eastAsia" w:ascii="宋体" w:hAnsi="宋体" w:cs="宋体"/>
          <w:color w:val="auto"/>
          <w:szCs w:val="21"/>
          <w:highlight w:val="none"/>
          <w:lang w:eastAsia="zh-Hans"/>
        </w:rPr>
        <w:t>双方签订合同后，</w:t>
      </w:r>
      <w:r>
        <w:rPr>
          <w:rFonts w:hint="eastAsia" w:ascii="宋体" w:hAnsi="宋体" w:cs="宋体"/>
          <w:color w:val="auto"/>
          <w:szCs w:val="21"/>
          <w:highlight w:val="none"/>
        </w:rPr>
        <w:t>乙方在甲方指定地点交货、安装、调试，经甲方验收合格后，甲方一年内支付合同总价款</w:t>
      </w:r>
      <w:r>
        <w:rPr>
          <w:rFonts w:hint="eastAsia" w:ascii="宋体" w:hAnsi="宋体" w:cs="宋体"/>
          <w:color w:val="auto"/>
          <w:szCs w:val="21"/>
          <w:highlight w:val="none"/>
          <w:lang w:val="en-US" w:eastAsia="zh-CN"/>
        </w:rPr>
        <w:t>的100%</w:t>
      </w:r>
      <w:r>
        <w:rPr>
          <w:rFonts w:hint="eastAsia" w:ascii="宋体" w:hAnsi="宋体" w:cs="宋体"/>
          <w:color w:val="auto"/>
          <w:szCs w:val="21"/>
          <w:highlight w:val="none"/>
        </w:rPr>
        <w:t>。（注：甲方在付款前，通知乙方提供经甲方核定的合同标的金额的增值税发票（符合税法规定），乙方未按时提供增值税发票导致支付延时的责任自负，且乙方应在付款前向甲方提供合同标的金额的增值税发票，否则甲方有权拒绝付款，由此产生的责任由乙方承担。）</w:t>
      </w:r>
    </w:p>
    <w:p w14:paraId="7C53E47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5.2、乙方不得随意改变对公交易开户名称、开户银行、账号，若随意变动的，属于违反相关财务制度和税收制度，由此产生的后果由乙方自负。</w:t>
      </w:r>
    </w:p>
    <w:p w14:paraId="0ED3E602">
      <w:pPr>
        <w:spacing w:line="360" w:lineRule="auto"/>
        <w:ind w:firstLine="422" w:firstLineChars="200"/>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eastAsia="zh-CN"/>
        </w:rPr>
        <w:t>六、质量保证</w:t>
      </w:r>
    </w:p>
    <w:p w14:paraId="7F0BFA98">
      <w:pPr>
        <w:spacing w:line="360" w:lineRule="auto"/>
        <w:ind w:firstLine="422" w:firstLineChars="200"/>
        <w:rPr>
          <w:rFonts w:hint="eastAsia" w:ascii="宋体" w:hAnsi="宋体" w:cs="宋体"/>
          <w:bCs/>
          <w:color w:val="auto"/>
          <w:kern w:val="0"/>
          <w:szCs w:val="21"/>
          <w:highlight w:val="none"/>
        </w:rPr>
      </w:pPr>
      <w:r>
        <w:rPr>
          <w:rFonts w:hint="eastAsia" w:ascii="宋体" w:hAnsi="宋体" w:cs="宋体"/>
          <w:b/>
          <w:bCs/>
          <w:color w:val="auto"/>
          <w:kern w:val="0"/>
          <w:szCs w:val="21"/>
          <w:highlight w:val="none"/>
          <w:lang w:val="en-US" w:eastAsia="zh-CN"/>
        </w:rPr>
        <w:t>6.1</w:t>
      </w:r>
      <w:r>
        <w:rPr>
          <w:rFonts w:hint="eastAsia" w:ascii="宋体" w:hAnsi="宋体" w:cs="宋体"/>
          <w:b/>
          <w:bCs/>
          <w:color w:val="auto"/>
          <w:kern w:val="0"/>
          <w:szCs w:val="21"/>
          <w:highlight w:val="none"/>
        </w:rPr>
        <w:t xml:space="preserve">质保期: </w:t>
      </w:r>
      <w:r>
        <w:rPr>
          <w:rFonts w:hint="eastAsia" w:ascii="宋体" w:hAnsi="宋体" w:cs="宋体"/>
          <w:bCs/>
          <w:color w:val="auto"/>
          <w:kern w:val="0"/>
          <w:szCs w:val="21"/>
          <w:highlight w:val="none"/>
        </w:rPr>
        <w:t xml:space="preserve">自货物验收合格之日起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p>
    <w:p w14:paraId="4BF11D60">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6.2</w:t>
      </w:r>
      <w:r>
        <w:rPr>
          <w:rFonts w:hint="eastAsia" w:ascii="宋体" w:hAnsi="宋体" w:cs="宋体"/>
          <w:color w:val="auto"/>
          <w:kern w:val="0"/>
          <w:szCs w:val="21"/>
          <w:highlight w:val="none"/>
        </w:rPr>
        <w:t>乙方应按</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文件及响应文件的货物性能、技术要求、质量标准向甲方提供未经使用的且是近1-2年生产的全新的产品。</w:t>
      </w:r>
    </w:p>
    <w:p w14:paraId="15AC79EC">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6.3</w:t>
      </w:r>
      <w:r>
        <w:rPr>
          <w:rFonts w:hint="eastAsia" w:ascii="宋体" w:hAnsi="宋体" w:cs="宋体"/>
          <w:color w:val="auto"/>
          <w:kern w:val="0"/>
          <w:szCs w:val="21"/>
          <w:highlight w:val="none"/>
        </w:rPr>
        <w:t>乙方提供货物的质量保证期按交货验收合格之日起计（期限见《项目需求》中的要求）。在保证期内因货物本身的质量问题发生故障，乙方应负责免费修理和更换零部件。对达不到技术要求者，根据实际情况，经双方协商，可按以下办法处理：</w:t>
      </w:r>
    </w:p>
    <w:p w14:paraId="0AAC1C1D">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（1）更换：由乙方承担所发生的全部费用。</w:t>
      </w:r>
    </w:p>
    <w:p w14:paraId="42CB6CCE">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（2）退货处理：乙方应退还甲方支付的货物款，同时应承担该货物的直接费用(运输、保险、检验、货款利息及银行手续费等)。</w:t>
      </w:r>
    </w:p>
    <w:p w14:paraId="7C80E39F">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6.4</w:t>
      </w:r>
      <w:r>
        <w:rPr>
          <w:rFonts w:hint="eastAsia" w:ascii="宋体" w:hAnsi="宋体" w:cs="宋体"/>
          <w:color w:val="auto"/>
          <w:kern w:val="0"/>
          <w:szCs w:val="21"/>
          <w:highlight w:val="none"/>
        </w:rPr>
        <w:t>如在使用过程中发生质量问题，乙方在接到甲方通知后按《项目需求》中要求的时间内到达甲方现场。</w:t>
      </w:r>
    </w:p>
    <w:p w14:paraId="5A05F720">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6.5</w:t>
      </w:r>
      <w:r>
        <w:rPr>
          <w:rFonts w:hint="eastAsia" w:ascii="宋体" w:hAnsi="宋体" w:cs="宋体"/>
          <w:color w:val="auto"/>
          <w:kern w:val="0"/>
          <w:szCs w:val="21"/>
          <w:highlight w:val="none"/>
        </w:rPr>
        <w:t>在质保期内，乙方应对货物出现的质量及安全问题负责处理解决并承担一切费用。</w:t>
      </w:r>
    </w:p>
    <w:p w14:paraId="2017B625">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6.6</w:t>
      </w:r>
      <w:r>
        <w:rPr>
          <w:rFonts w:hint="eastAsia" w:ascii="宋体" w:hAnsi="宋体" w:cs="宋体"/>
          <w:color w:val="auto"/>
          <w:kern w:val="0"/>
          <w:szCs w:val="21"/>
          <w:highlight w:val="none"/>
        </w:rPr>
        <w:t>设备如有需要，乙方需配备与之相适应的不间断稳压电源（UPS），保障特殊断电情况下设备的临时电源供应。</w:t>
      </w:r>
    </w:p>
    <w:p w14:paraId="229BEEEC">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6.7</w:t>
      </w:r>
      <w:r>
        <w:rPr>
          <w:rFonts w:hint="eastAsia" w:ascii="宋体" w:hAnsi="宋体" w:cs="宋体"/>
          <w:color w:val="auto"/>
          <w:kern w:val="0"/>
          <w:szCs w:val="21"/>
          <w:highlight w:val="none"/>
        </w:rPr>
        <w:t>设备所用软件需提供终身免费升级。</w:t>
      </w:r>
    </w:p>
    <w:p w14:paraId="5733B39C">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6.8</w:t>
      </w:r>
      <w:r>
        <w:rPr>
          <w:rFonts w:hint="eastAsia" w:ascii="宋体" w:hAnsi="宋体" w:cs="宋体"/>
          <w:color w:val="auto"/>
          <w:kern w:val="0"/>
          <w:szCs w:val="21"/>
          <w:highlight w:val="none"/>
        </w:rPr>
        <w:t>设备如有需要，乙方需免费提供与甲方系统的对接服务。</w:t>
      </w:r>
    </w:p>
    <w:p w14:paraId="02DD1C8E">
      <w:pPr>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七、</w:t>
      </w:r>
      <w:r>
        <w:rPr>
          <w:rFonts w:hint="eastAsia" w:ascii="宋体" w:hAnsi="宋体" w:cs="宋体"/>
          <w:b/>
          <w:bCs/>
          <w:color w:val="auto"/>
          <w:kern w:val="0"/>
          <w:szCs w:val="21"/>
          <w:highlight w:val="none"/>
        </w:rPr>
        <w:t>项目完成时间</w:t>
      </w:r>
    </w:p>
    <w:p w14:paraId="2987436E">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Hans"/>
        </w:rPr>
        <w:t>自签订合同之日起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eastAsia="zh-Hans"/>
        </w:rPr>
        <w:t>日内安装调试完毕并交付使用。</w:t>
      </w:r>
    </w:p>
    <w:p w14:paraId="32B6CA5F">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bCs/>
          <w:color w:val="auto"/>
          <w:kern w:val="0"/>
          <w:szCs w:val="21"/>
          <w:highlight w:val="none"/>
          <w:lang w:eastAsia="zh-CN"/>
        </w:rPr>
        <w:t>八、</w:t>
      </w:r>
      <w:r>
        <w:rPr>
          <w:rFonts w:hint="eastAsia" w:ascii="宋体" w:hAnsi="宋体" w:cs="宋体"/>
          <w:b/>
          <w:color w:val="auto"/>
          <w:kern w:val="0"/>
          <w:szCs w:val="21"/>
          <w:highlight w:val="none"/>
        </w:rPr>
        <w:t>验收、安装和培训</w:t>
      </w:r>
    </w:p>
    <w:p w14:paraId="4ED2E0CF">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8.1</w:t>
      </w:r>
      <w:r>
        <w:rPr>
          <w:rFonts w:hint="eastAsia" w:ascii="宋体" w:hAnsi="宋体" w:cs="宋体"/>
          <w:color w:val="auto"/>
          <w:kern w:val="0"/>
          <w:szCs w:val="21"/>
          <w:highlight w:val="none"/>
        </w:rPr>
        <w:t>乙方交货前应对产品作出全面检查和对验收文件进行整理列出清单，作为甲方收货验收和使用的技术条件依据，检验的结果应随货物交甲方。</w:t>
      </w:r>
    </w:p>
    <w:p w14:paraId="74CF4F2E">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8.2</w:t>
      </w:r>
      <w:r>
        <w:rPr>
          <w:rFonts w:hint="eastAsia" w:ascii="宋体" w:hAnsi="宋体" w:cs="仿宋"/>
          <w:bCs/>
          <w:color w:val="auto"/>
          <w:szCs w:val="21"/>
          <w:highlight w:val="none"/>
        </w:rPr>
        <w:t>甲方自行组织或委托政府采购代理机构组织初步验收及最终（安装）验收，由甲方或政府采购代理机构组织相关专业专家到场参与验收。如项目属于技术复杂的货物，甲方聘请国家认可的专业检测机构参与初步验收及最终（安装）验收，与甲方或政府采购代理机构组织的相关专业专家共同组成验收小组。验收时乙方必须在现场，验收完毕后出具验收结果报告；验收所产生的费用（包含但不限于聘请专家、检测机构费用）由乙方承担。</w:t>
      </w:r>
    </w:p>
    <w:p w14:paraId="713C390C">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8.3</w:t>
      </w:r>
      <w:r>
        <w:rPr>
          <w:rFonts w:hint="eastAsia" w:ascii="宋体" w:hAnsi="宋体" w:cs="仿宋"/>
          <w:bCs/>
          <w:color w:val="auto"/>
          <w:szCs w:val="21"/>
          <w:highlight w:val="none"/>
        </w:rPr>
        <w:t>验收时间以本项目验收方案约定的验收时间为准，验收结果以本项目验收报告结论为准。</w:t>
      </w:r>
    </w:p>
    <w:p w14:paraId="3073AFAC">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8.4</w:t>
      </w:r>
      <w:r>
        <w:rPr>
          <w:rFonts w:hint="eastAsia" w:ascii="宋体" w:hAnsi="宋体" w:cs="仿宋"/>
          <w:bCs/>
          <w:color w:val="auto"/>
          <w:szCs w:val="21"/>
          <w:highlight w:val="none"/>
        </w:rPr>
        <w:t>初步验收：</w:t>
      </w:r>
    </w:p>
    <w:p w14:paraId="6AF33FFE">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8.4.1</w:t>
      </w:r>
      <w:r>
        <w:rPr>
          <w:rFonts w:hint="eastAsia" w:ascii="宋体" w:hAnsi="宋体" w:cs="仿宋"/>
          <w:bCs/>
          <w:color w:val="auto"/>
          <w:szCs w:val="21"/>
          <w:highlight w:val="none"/>
        </w:rPr>
        <w:t>甲方（或验收小组）对乙方提交的货物，依据招标文件上的技术规格要求和国家有关质量标准进行现场初步验收，产品外观、说明书符合招标文件技术要求的，给予签收；对不符合要求的货物视为初步验收不合格不予签收，可立即要求退换，乙方不得拒绝和延误。</w:t>
      </w:r>
    </w:p>
    <w:p w14:paraId="4AE03F63">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8.4.</w:t>
      </w:r>
      <w:r>
        <w:rPr>
          <w:rFonts w:hint="eastAsia" w:ascii="宋体" w:hAnsi="宋体" w:cs="仿宋"/>
          <w:bCs/>
          <w:color w:val="auto"/>
          <w:szCs w:val="21"/>
          <w:highlight w:val="none"/>
        </w:rPr>
        <w:t>2乙方应将所提供货物的装箱清单、用户手册、原厂保修卡、随机资料、工具和备品、备件、合格证明、医疗器械注册证及医疗器械登记表（如有）、生产许可证、经营许可证复印件加盖公章交付给甲方（或验收小组）,并列出清单,作为甲方（或验收小组）收货验收和使用的技术条件依据，检验的结果应随货物交甲方（或验收小组）。如有缺失应及时补齐，否则视为逾期交货。</w:t>
      </w:r>
    </w:p>
    <w:p w14:paraId="2A358F8A">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8.4.</w:t>
      </w:r>
      <w:r>
        <w:rPr>
          <w:rFonts w:hint="eastAsia" w:ascii="宋体" w:hAnsi="宋体" w:cs="仿宋"/>
          <w:bCs/>
          <w:color w:val="auto"/>
          <w:szCs w:val="21"/>
          <w:highlight w:val="none"/>
        </w:rPr>
        <w:t>3乙方应按投标文件要求提供设备纸质版或电子版的操作规程和维护保养流程。提供设备维护手册、维修手册、软件备份、故障代码表、备件清单、零部件、维修密码、软件光盘及软件安装流程等维护维修必需的材料和信息。</w:t>
      </w:r>
    </w:p>
    <w:p w14:paraId="591D48EA">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8.4.</w:t>
      </w:r>
      <w:r>
        <w:rPr>
          <w:rFonts w:hint="eastAsia" w:ascii="宋体" w:hAnsi="宋体" w:cs="仿宋"/>
          <w:bCs/>
          <w:color w:val="auto"/>
          <w:szCs w:val="21"/>
          <w:highlight w:val="none"/>
        </w:rPr>
        <w:t>4甲方（或验收小组）应当在到货后15个工作日内进行初步验收，逾期不验收的，乙方可视同初步验收合格。初步验收合格后由甲乙双方签署货物初步验收单并加盖采购单位公章，甲乙双方各执一份。</w:t>
      </w:r>
    </w:p>
    <w:p w14:paraId="185B32AB">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8.5</w:t>
      </w:r>
      <w:r>
        <w:rPr>
          <w:rFonts w:hint="eastAsia" w:ascii="宋体" w:hAnsi="宋体" w:cs="仿宋"/>
          <w:bCs/>
          <w:color w:val="auto"/>
          <w:szCs w:val="21"/>
          <w:highlight w:val="none"/>
        </w:rPr>
        <w:t>最终（安装后）验收：</w:t>
      </w:r>
    </w:p>
    <w:p w14:paraId="42E278D8">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8.5.</w:t>
      </w:r>
      <w:r>
        <w:rPr>
          <w:rFonts w:hint="eastAsia" w:ascii="宋体" w:hAnsi="宋体" w:cs="仿宋"/>
          <w:bCs/>
          <w:color w:val="auto"/>
          <w:szCs w:val="21"/>
          <w:highlight w:val="none"/>
        </w:rPr>
        <w:t>1初步验收合格并安装完成后，甲方对乙方提供的货物在使用运行前进行调试时，乙方需负责培训甲方的使用操作人员，并协助甲方一起调试，直到符合技术要求，甲方（或验收小组）开展最终（安装后）验收活动。</w:t>
      </w:r>
    </w:p>
    <w:p w14:paraId="4276BD9C">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8.5</w:t>
      </w:r>
      <w:r>
        <w:rPr>
          <w:rFonts w:hint="eastAsia" w:ascii="宋体" w:hAnsi="宋体" w:cs="仿宋"/>
          <w:bCs/>
          <w:color w:val="auto"/>
          <w:szCs w:val="21"/>
          <w:highlight w:val="none"/>
        </w:rPr>
        <w:t>.2由甲方（或验收小组）进行最终（安装后）验收，验收内容包括采购项目的每一项技术要求和商务要求（含乙方投标文件响应的技术和商务内容）、合同与补充合同的约定，并按照招标文件上的技术规格要求和国家有关质量标准验收。</w:t>
      </w:r>
    </w:p>
    <w:p w14:paraId="65E1357E">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8.5</w:t>
      </w:r>
      <w:r>
        <w:rPr>
          <w:rFonts w:hint="eastAsia" w:ascii="宋体" w:hAnsi="宋体" w:cs="仿宋"/>
          <w:bCs/>
          <w:color w:val="auto"/>
          <w:szCs w:val="21"/>
          <w:highlight w:val="none"/>
        </w:rPr>
        <w:t>.3验收结束后，应当出具验收报告，列明各项标准的验收情况及项目总体评价，由验收各方共同签署。对不符合要求或有质量问题的货物视为最终（安装后）验收不合格的，可立即要求退换，乙方不得拒绝和延误。</w:t>
      </w:r>
    </w:p>
    <w:p w14:paraId="6E6A2095">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8.6</w:t>
      </w:r>
      <w:r>
        <w:rPr>
          <w:rFonts w:hint="eastAsia" w:ascii="宋体" w:hAnsi="宋体" w:cs="仿宋"/>
          <w:bCs/>
          <w:color w:val="auto"/>
          <w:szCs w:val="21"/>
          <w:highlight w:val="none"/>
        </w:rPr>
        <w:t>甲方对验收有异议的，在验收后五个工作日内以书面形式向乙方提出，乙方应自收到甲方书面异议后五个工作日内及时予以解决。</w:t>
      </w:r>
    </w:p>
    <w:p w14:paraId="742549FB">
      <w:pPr>
        <w:snapToGrid w:val="0"/>
        <w:spacing w:line="36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8.7</w:t>
      </w:r>
      <w:r>
        <w:rPr>
          <w:rFonts w:hint="eastAsia" w:ascii="宋体" w:hAnsi="宋体" w:cs="仿宋"/>
          <w:bCs/>
          <w:color w:val="auto"/>
          <w:szCs w:val="21"/>
          <w:highlight w:val="none"/>
        </w:rPr>
        <w:t>负责免费完成设备的控评和验收报告，免费配合</w:t>
      </w:r>
      <w:r>
        <w:rPr>
          <w:rFonts w:hint="eastAsia" w:ascii="宋体" w:hAnsi="宋体" w:cs="仿宋"/>
          <w:bCs/>
          <w:color w:val="auto"/>
          <w:szCs w:val="21"/>
          <w:highlight w:val="none"/>
          <w:lang w:val="en-US" w:eastAsia="zh-CN"/>
        </w:rPr>
        <w:t>甲方</w:t>
      </w:r>
      <w:r>
        <w:rPr>
          <w:rFonts w:hint="eastAsia" w:ascii="宋体" w:hAnsi="宋体" w:cs="仿宋"/>
          <w:bCs/>
          <w:color w:val="auto"/>
          <w:szCs w:val="21"/>
          <w:highlight w:val="none"/>
        </w:rPr>
        <w:t>完成设备办证工作。如属于计量器具或特种设备的，还需按国家相关要求提供合格检定证书或校准证书（或检验报告）。如设备安装场地需技术安装改造的，乙方应负责免费安装改造至设备正式投入使用。</w:t>
      </w:r>
    </w:p>
    <w:p w14:paraId="73E05991">
      <w:pPr>
        <w:spacing w:line="360" w:lineRule="auto"/>
        <w:ind w:firstLine="420"/>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8.8</w:t>
      </w:r>
      <w:r>
        <w:rPr>
          <w:rFonts w:hint="eastAsia" w:ascii="宋体" w:hAnsi="宋体" w:cs="仿宋"/>
          <w:bCs/>
          <w:color w:val="auto"/>
          <w:szCs w:val="21"/>
          <w:highlight w:val="none"/>
        </w:rPr>
        <w:t>在验收过程中发现乙方有违约问题，可暂缓资金结算，待违约问题解决后，方可办理资金结算事宜。因乙方违约导致甲方迟延付款的，甲方不承担逾期付款违约责任。</w:t>
      </w:r>
    </w:p>
    <w:p w14:paraId="3440B557">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甲方应提供必要的安装条件，乙方负责货物的安装和调试。</w:t>
      </w:r>
    </w:p>
    <w:p w14:paraId="624F93F1">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 xml:space="preserve"> 乙方负责甲方有关人员的培训。培训时间、地点：按甲方规定的时间和地点。</w:t>
      </w:r>
    </w:p>
    <w:p w14:paraId="7D7B5176">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九、</w:t>
      </w:r>
      <w:r>
        <w:rPr>
          <w:rFonts w:hint="eastAsia" w:ascii="宋体" w:hAnsi="宋体" w:cs="宋体"/>
          <w:b/>
          <w:color w:val="auto"/>
          <w:kern w:val="0"/>
          <w:szCs w:val="21"/>
          <w:highlight w:val="none"/>
        </w:rPr>
        <w:t>货物包装、发运及运输</w:t>
      </w:r>
    </w:p>
    <w:p w14:paraId="53A9AF9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.1乙方应在货物发运前对其进行满足于运输距离、防潮、防震、防锈和防破损装卸要求的包装，以保证货物安全运输到达甲方指定地点。</w:t>
      </w:r>
    </w:p>
    <w:p w14:paraId="63420CD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.2使用说明书、质量检验证明书、随配附件和工具以及清单等一并附于货物内。</w:t>
      </w:r>
    </w:p>
    <w:p w14:paraId="748240D1">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.3乙方负责将货物安全运送到甲方指定地点，不另收任何费用。</w:t>
      </w:r>
    </w:p>
    <w:p w14:paraId="2B62CB98">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.4货物在交货前发生的不可预见的风险均由乙方负责。</w:t>
      </w:r>
    </w:p>
    <w:p w14:paraId="29624638">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.5货物在发运手续办理完毕后24小时内或货到甲方前48小时通知甲方，以准备接货。</w:t>
      </w:r>
    </w:p>
    <w:p w14:paraId="49B12481">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十</w:t>
      </w:r>
      <w:r>
        <w:rPr>
          <w:rFonts w:hint="eastAsia" w:ascii="宋体" w:hAnsi="宋体" w:cs="宋体"/>
          <w:b/>
          <w:color w:val="auto"/>
          <w:kern w:val="0"/>
          <w:szCs w:val="21"/>
          <w:highlight w:val="none"/>
        </w:rPr>
        <w:t>、项目完成地点及交货方式</w:t>
      </w:r>
    </w:p>
    <w:p w14:paraId="678F46FB">
      <w:pPr>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.1交货方式：现场免费安装验收。</w:t>
      </w:r>
    </w:p>
    <w:p w14:paraId="052D1358">
      <w:pPr>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项目完成地点：甲方指定地点。</w:t>
      </w:r>
    </w:p>
    <w:p w14:paraId="2A80B649">
      <w:pPr>
        <w:snapToGrid w:val="0"/>
        <w:spacing w:line="360" w:lineRule="exact"/>
        <w:ind w:left="420" w:leftChars="200" w:firstLine="0" w:firstLineChars="0"/>
        <w:rPr>
          <w:rFonts w:ascii="宋体" w:hAnsi="宋体" w:cs="仿宋"/>
          <w:b/>
          <w:color w:val="auto"/>
          <w:szCs w:val="21"/>
          <w:highlight w:val="none"/>
        </w:rPr>
      </w:pPr>
      <w:r>
        <w:rPr>
          <w:rFonts w:hint="eastAsia" w:ascii="宋体" w:hAnsi="宋体" w:cs="仿宋"/>
          <w:b/>
          <w:color w:val="auto"/>
          <w:szCs w:val="21"/>
          <w:highlight w:val="none"/>
          <w:lang w:eastAsia="zh-CN"/>
        </w:rPr>
        <w:t>十一、</w:t>
      </w:r>
      <w:r>
        <w:rPr>
          <w:rFonts w:hint="eastAsia" w:ascii="宋体" w:hAnsi="宋体" w:cs="仿宋"/>
          <w:b/>
          <w:color w:val="auto"/>
          <w:szCs w:val="21"/>
          <w:highlight w:val="none"/>
        </w:rPr>
        <w:t>售后服务、保修期</w:t>
      </w:r>
    </w:p>
    <w:p w14:paraId="76319A1C">
      <w:pPr>
        <w:snapToGrid w:val="0"/>
        <w:spacing w:line="360" w:lineRule="exact"/>
        <w:ind w:firstLine="424" w:firstLineChars="202"/>
        <w:rPr>
          <w:rFonts w:ascii="宋体" w:hAnsi="宋体" w:cs="仿宋"/>
          <w:bCs/>
          <w:color w:val="auto"/>
          <w:szCs w:val="21"/>
          <w:highlight w:val="none"/>
        </w:rPr>
      </w:pPr>
      <w:r>
        <w:rPr>
          <w:rFonts w:hint="eastAsia" w:ascii="宋体" w:hAnsi="宋体" w:cs="仿宋"/>
          <w:bCs/>
          <w:color w:val="auto"/>
          <w:szCs w:val="21"/>
          <w:highlight w:val="none"/>
          <w:lang w:val="en-US" w:eastAsia="zh-CN"/>
        </w:rPr>
        <w:t>11.1</w:t>
      </w:r>
      <w:r>
        <w:rPr>
          <w:rFonts w:hint="eastAsia" w:ascii="宋体" w:hAnsi="宋体" w:cs="仿宋"/>
          <w:bCs/>
          <w:color w:val="auto"/>
          <w:szCs w:val="21"/>
          <w:highlight w:val="none"/>
        </w:rPr>
        <w:t>乙方应按照国家有关法律法规和“三包”规定以及招标文件和本合同所附的《服务承诺》，为甲方提供售后服务。国家法律法规、规章、规范性文件或相关技术标准、规范有更长质保期规定的，从其规定。</w:t>
      </w:r>
    </w:p>
    <w:p w14:paraId="1DBB1ADF">
      <w:pPr>
        <w:snapToGrid w:val="0"/>
        <w:spacing w:line="360" w:lineRule="exact"/>
        <w:ind w:left="420" w:leftChars="200" w:firstLine="0" w:firstLineChars="0"/>
        <w:rPr>
          <w:rFonts w:hint="eastAsia" w:ascii="宋体" w:hAnsi="宋体" w:cs="仿宋"/>
          <w:bCs/>
          <w:color w:val="auto"/>
          <w:szCs w:val="21"/>
          <w:highlight w:val="none"/>
          <w:lang w:eastAsia="zh-CN"/>
        </w:rPr>
      </w:pPr>
      <w:r>
        <w:rPr>
          <w:rFonts w:hint="eastAsia" w:ascii="宋体" w:hAnsi="宋体" w:cs="仿宋"/>
          <w:bCs/>
          <w:color w:val="auto"/>
          <w:szCs w:val="21"/>
          <w:highlight w:val="none"/>
          <w:lang w:val="en-US" w:eastAsia="zh-CN"/>
        </w:rPr>
        <w:t>11.2</w:t>
      </w:r>
      <w:r>
        <w:rPr>
          <w:rFonts w:hint="eastAsia" w:ascii="宋体" w:hAnsi="宋体" w:cs="仿宋"/>
          <w:bCs/>
          <w:color w:val="auto"/>
          <w:szCs w:val="21"/>
          <w:highlight w:val="none"/>
        </w:rPr>
        <w:t>如在使用过程中发生质量问题，乙方在接到甲方通知后在</w:t>
      </w:r>
      <w:r>
        <w:rPr>
          <w:rFonts w:hint="eastAsia" w:ascii="宋体" w:hAnsi="宋体" w:cs="仿宋"/>
          <w:bCs/>
          <w:color w:val="auto"/>
          <w:szCs w:val="21"/>
          <w:highlight w:val="none"/>
          <w:u w:val="single"/>
          <w:lang w:val="en-US" w:eastAsia="zh-CN"/>
        </w:rPr>
        <w:t>24</w:t>
      </w:r>
      <w:r>
        <w:rPr>
          <w:rFonts w:hint="eastAsia" w:ascii="宋体" w:hAnsi="宋体" w:cs="仿宋"/>
          <w:bCs/>
          <w:color w:val="auto"/>
          <w:szCs w:val="21"/>
          <w:highlight w:val="none"/>
        </w:rPr>
        <w:t>小时内到达甲方现场处</w:t>
      </w:r>
      <w:r>
        <w:rPr>
          <w:rFonts w:hint="eastAsia" w:ascii="宋体" w:hAnsi="宋体" w:cs="仿宋"/>
          <w:bCs/>
          <w:color w:val="auto"/>
          <w:szCs w:val="21"/>
          <w:highlight w:val="none"/>
          <w:lang w:eastAsia="zh-CN"/>
        </w:rPr>
        <w:t>置。</w:t>
      </w:r>
    </w:p>
    <w:p w14:paraId="41538B2C">
      <w:pPr>
        <w:snapToGrid w:val="0"/>
        <w:spacing w:line="360" w:lineRule="exact"/>
        <w:ind w:left="420" w:leftChars="200" w:firstLine="0" w:firstLineChars="0"/>
        <w:rPr>
          <w:rFonts w:ascii="宋体" w:hAnsi="宋体" w:cs="仿宋"/>
          <w:bCs/>
          <w:color w:val="auto"/>
          <w:szCs w:val="21"/>
          <w:highlight w:val="none"/>
        </w:rPr>
      </w:pPr>
      <w:r>
        <w:rPr>
          <w:rFonts w:hint="eastAsia" w:ascii="宋体" w:hAnsi="宋体" w:cs="仿宋"/>
          <w:bCs/>
          <w:color w:val="auto"/>
          <w:szCs w:val="21"/>
          <w:highlight w:val="none"/>
          <w:lang w:val="en-US" w:eastAsia="zh-CN"/>
        </w:rPr>
        <w:t>11.3</w:t>
      </w:r>
      <w:r>
        <w:rPr>
          <w:rFonts w:hint="eastAsia" w:ascii="宋体" w:hAnsi="宋体" w:cs="仿宋"/>
          <w:bCs/>
          <w:color w:val="auto"/>
          <w:szCs w:val="21"/>
          <w:highlight w:val="none"/>
        </w:rPr>
        <w:t>在质保期内，乙方应对货物出现的质量问题负责处理解决并承担一切费用。</w:t>
      </w:r>
    </w:p>
    <w:p w14:paraId="4173DC41">
      <w:pPr>
        <w:snapToGrid w:val="0"/>
        <w:spacing w:line="360" w:lineRule="exact"/>
        <w:ind w:firstLine="424" w:firstLineChars="202"/>
        <w:rPr>
          <w:rFonts w:ascii="宋体" w:hAnsi="宋体" w:cs="仿宋"/>
          <w:bCs/>
          <w:color w:val="auto"/>
          <w:szCs w:val="21"/>
          <w:highlight w:val="none"/>
        </w:rPr>
      </w:pPr>
      <w:r>
        <w:rPr>
          <w:rFonts w:hint="eastAsia" w:ascii="宋体" w:hAnsi="宋体" w:cs="仿宋"/>
          <w:bCs/>
          <w:color w:val="auto"/>
          <w:szCs w:val="21"/>
          <w:highlight w:val="none"/>
          <w:lang w:val="en-US" w:eastAsia="zh-CN"/>
        </w:rPr>
        <w:t>11.4</w:t>
      </w:r>
      <w:r>
        <w:rPr>
          <w:rFonts w:hint="eastAsia" w:ascii="宋体" w:hAnsi="宋体" w:cs="仿宋"/>
          <w:bCs/>
          <w:color w:val="auto"/>
          <w:szCs w:val="21"/>
          <w:highlight w:val="none"/>
        </w:rPr>
        <w:t>上述的货物质保期，按本合同</w:t>
      </w:r>
      <w:r>
        <w:rPr>
          <w:rFonts w:hint="eastAsia" w:ascii="宋体" w:hAnsi="宋体" w:cs="仿宋"/>
          <w:bCs/>
          <w:color w:val="auto"/>
          <w:szCs w:val="21"/>
          <w:highlight w:val="none"/>
          <w:lang w:eastAsia="zh-CN"/>
        </w:rPr>
        <w:t>“六、质量保证”</w:t>
      </w:r>
      <w:r>
        <w:rPr>
          <w:rFonts w:hint="eastAsia" w:ascii="宋体" w:hAnsi="宋体" w:cs="仿宋"/>
          <w:bCs/>
          <w:color w:val="auto"/>
          <w:szCs w:val="21"/>
          <w:highlight w:val="none"/>
        </w:rPr>
        <w:t>关于质保期的内容执行，免费保修包含需要更换的零配件的费用。因人为因素出现的故障不在免费保修范围内。超过保修期的机器设备，终生维修，维修时只收部件成本费。</w:t>
      </w:r>
    </w:p>
    <w:p w14:paraId="38FA6C43">
      <w:pPr>
        <w:snapToGrid w:val="0"/>
        <w:spacing w:line="360" w:lineRule="exact"/>
        <w:ind w:firstLine="424" w:firstLineChars="202"/>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11.5</w:t>
      </w:r>
      <w:r>
        <w:rPr>
          <w:rFonts w:hint="eastAsia" w:ascii="宋体" w:hAnsi="宋体" w:cs="仿宋"/>
          <w:bCs/>
          <w:color w:val="auto"/>
          <w:szCs w:val="21"/>
          <w:highlight w:val="none"/>
        </w:rPr>
        <w:t>乙方提供的服务承诺和售后服务及保修期责任等其它具体约定事项。（见合同附件）</w:t>
      </w:r>
    </w:p>
    <w:p w14:paraId="5FB57B05">
      <w:pPr>
        <w:snapToGrid w:val="0"/>
        <w:spacing w:line="360" w:lineRule="exact"/>
        <w:ind w:firstLine="426" w:firstLineChars="202"/>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十二、</w:t>
      </w:r>
      <w:r>
        <w:rPr>
          <w:rFonts w:hint="eastAsia" w:ascii="宋体" w:hAnsi="宋体" w:cs="宋体"/>
          <w:b/>
          <w:bCs/>
          <w:color w:val="auto"/>
          <w:kern w:val="0"/>
          <w:szCs w:val="21"/>
          <w:highlight w:val="none"/>
        </w:rPr>
        <w:t>违约责任</w:t>
      </w:r>
    </w:p>
    <w:p w14:paraId="2BADA320">
      <w:pPr>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逾期交货或无正当理由拒收的，每天按合同额的万分之四支付违约金。</w:t>
      </w:r>
    </w:p>
    <w:p w14:paraId="27DC2871">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.2逾期超过10天仍不能交货、或交付的货物不符合标准的，</w:t>
      </w:r>
      <w:r>
        <w:rPr>
          <w:rFonts w:hint="eastAsia" w:ascii="宋体" w:hAnsi="宋体" w:eastAsia="宋体" w:cs="宋体"/>
          <w:color w:val="auto"/>
          <w:kern w:val="0"/>
          <w:szCs w:val="21"/>
          <w:highlight w:val="none"/>
          <w:lang w:val="en-US" w:eastAsia="zh-CN"/>
        </w:rPr>
        <w:t>甲方有权单方解除合同，</w:t>
      </w:r>
      <w:r>
        <w:rPr>
          <w:rFonts w:hint="eastAsia" w:ascii="宋体" w:hAnsi="宋体" w:cs="宋体"/>
          <w:color w:val="auto"/>
          <w:kern w:val="0"/>
          <w:szCs w:val="21"/>
          <w:highlight w:val="none"/>
        </w:rPr>
        <w:t>造成甲方损失的，由乙方负责赔偿。</w:t>
      </w:r>
    </w:p>
    <w:p w14:paraId="6C359728">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.3乙方提供的货物如侵犯了第三方合法权益而引发的任何纠纷或诉讼，均由乙方负责交涉并承担全部责任。</w:t>
      </w:r>
    </w:p>
    <w:p w14:paraId="66C3A73F">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.4乙方未按本合同和响应文件中规定的服务承诺提供售后服务的，乙方应按本合同合计金额百分之</w:t>
      </w:r>
      <w:r>
        <w:rPr>
          <w:rFonts w:hint="eastAsia" w:ascii="宋体" w:hAnsi="宋体" w:cs="宋体"/>
          <w:color w:val="auto"/>
          <w:kern w:val="0"/>
          <w:szCs w:val="21"/>
          <w:highlight w:val="none"/>
          <w:lang w:val="en-US" w:eastAsia="zh-CN"/>
        </w:rPr>
        <w:t>十</w:t>
      </w:r>
      <w:r>
        <w:rPr>
          <w:rFonts w:hint="eastAsia" w:ascii="宋体" w:hAnsi="宋体" w:cs="宋体"/>
          <w:color w:val="auto"/>
          <w:kern w:val="0"/>
          <w:szCs w:val="21"/>
          <w:highlight w:val="none"/>
        </w:rPr>
        <w:t>向甲方支付违约金。</w:t>
      </w:r>
    </w:p>
    <w:p w14:paraId="439AF70D">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.5乙方提供的货物在质量保证期内，因设计、工艺或材料的缺陷和其他质量原因造成的问题，由乙方负责，费用从余款中扣除，不足另补。</w:t>
      </w:r>
    </w:p>
    <w:p w14:paraId="09CF560B">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.6其他违约行为按违约货款额百分之五收取违约金并赔偿经济损失。</w:t>
      </w:r>
    </w:p>
    <w:p w14:paraId="6C22C30F">
      <w:pPr>
        <w:spacing w:line="360" w:lineRule="auto"/>
        <w:ind w:firstLine="420"/>
        <w:rPr>
          <w:rFonts w:hint="eastAsia" w:ascii="宋体" w:hAnsi="宋体" w:eastAsia="宋体" w:cs="宋体"/>
          <w:b/>
          <w:bCs/>
          <w:color w:val="auto"/>
          <w:kern w:val="0"/>
          <w:szCs w:val="21"/>
          <w:highlight w:val="none"/>
          <w:lang w:eastAsia="zh-CN"/>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.7其它未尽事宜，双方签订合同时按《中华人民共和国民法典》议定。</w:t>
      </w:r>
    </w:p>
    <w:p w14:paraId="15D3DC98">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十三、</w:t>
      </w:r>
      <w:r>
        <w:rPr>
          <w:rFonts w:hint="eastAsia" w:ascii="宋体" w:hAnsi="宋体" w:cs="宋体"/>
          <w:b/>
          <w:color w:val="auto"/>
          <w:kern w:val="0"/>
          <w:szCs w:val="21"/>
          <w:highlight w:val="none"/>
        </w:rPr>
        <w:t>不可抗力事件处理</w:t>
      </w:r>
    </w:p>
    <w:p w14:paraId="4F49F576">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.1在合同有效期限内，任何一方因不可抗力事件导致不能按时履行合同，则合同履行期可延长，其延长期与不可抗力影响期相同。由于不可抗力事件导致合同的根本目的不能实现时，一方可解除合同。</w:t>
      </w:r>
    </w:p>
    <w:p w14:paraId="5A0ECF85">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.2不可抗力事件发生后，应立即通知对方，并寄送有关权威机构出具的证明。</w:t>
      </w:r>
    </w:p>
    <w:p w14:paraId="6D06457D">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.3不可抗力事件延续120天以上，双方应通过友好协商，确定是否继续履行合同。</w:t>
      </w:r>
    </w:p>
    <w:p w14:paraId="1F5B2828">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十四</w:t>
      </w:r>
      <w:r>
        <w:rPr>
          <w:rFonts w:hint="eastAsia" w:ascii="宋体" w:hAnsi="宋体" w:cs="宋体"/>
          <w:b/>
          <w:color w:val="auto"/>
          <w:kern w:val="0"/>
          <w:szCs w:val="21"/>
          <w:highlight w:val="none"/>
        </w:rPr>
        <w:t>、争议解决</w:t>
      </w:r>
    </w:p>
    <w:p w14:paraId="575B514C">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双方在履行合同中所发生的一切争议，应通过协商解决。如协商不成，按合同事先约定的条款，可向甲方所在地人民法院提起诉讼。</w:t>
      </w:r>
    </w:p>
    <w:p w14:paraId="24CE54F9">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十五</w:t>
      </w:r>
      <w:r>
        <w:rPr>
          <w:rFonts w:hint="eastAsia" w:ascii="宋体" w:hAnsi="宋体" w:cs="宋体"/>
          <w:b/>
          <w:color w:val="auto"/>
          <w:kern w:val="0"/>
          <w:szCs w:val="21"/>
          <w:highlight w:val="none"/>
        </w:rPr>
        <w:t>、合同生效及其它</w:t>
      </w:r>
    </w:p>
    <w:p w14:paraId="5A907609">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.1合同经甲、乙双方法定代表人或授权委托代理人签字加盖单位公章后生效。甲乙双方各执贰份，采购代理机构执一份。</w:t>
      </w:r>
    </w:p>
    <w:p w14:paraId="7F2D0A2E">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.2合同履行中，如需修改或补充合同内容，由双方协商另签署书面修改或补充协议作为主合同不可分割的一部分。</w:t>
      </w:r>
    </w:p>
    <w:p w14:paraId="2E4B2D5F">
      <w:pPr>
        <w:spacing w:line="360" w:lineRule="auto"/>
        <w:ind w:firstLine="420"/>
        <w:rPr>
          <w:rFonts w:hint="default" w:ascii="宋体" w:hAnsi="宋体" w:eastAsia="宋体" w:cs="宋体"/>
          <w:b/>
          <w:bCs/>
          <w:i/>
          <w:iCs/>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.3本合同附件：（1）售后服务承诺书；（2）产品配置清单。</w:t>
      </w:r>
      <w:r>
        <w:rPr>
          <w:rFonts w:hint="eastAsia" w:ascii="宋体" w:hAnsi="宋体" w:cs="宋体"/>
          <w:i/>
          <w:iCs/>
          <w:color w:val="auto"/>
          <w:kern w:val="0"/>
          <w:szCs w:val="21"/>
          <w:highlight w:val="none"/>
          <w:lang w:val="en-US" w:eastAsia="zh-CN"/>
        </w:rPr>
        <w:t>(以成交供应商的响应文件内容为准)</w:t>
      </w:r>
    </w:p>
    <w:p w14:paraId="7282B899">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甲方名称及公章：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乙方名称及公章：       </w:t>
      </w:r>
    </w:p>
    <w:p w14:paraId="090E694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法定代表人（负责人）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法</w:t>
      </w:r>
      <w:r>
        <w:rPr>
          <w:rFonts w:hint="eastAsia" w:ascii="宋体" w:hAnsi="宋体" w:cs="宋体"/>
          <w:color w:val="auto"/>
          <w:kern w:val="0"/>
          <w:szCs w:val="21"/>
          <w:highlight w:val="none"/>
        </w:rPr>
        <w:t>定代表人 （负责人）</w:t>
      </w:r>
    </w:p>
    <w:p w14:paraId="18E49ACF">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或授权委托代理人：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或授权委托代理人：</w:t>
      </w:r>
    </w:p>
    <w:p w14:paraId="469E349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邮政编码：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邮政编码：</w:t>
      </w:r>
    </w:p>
    <w:p w14:paraId="1428A67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地    址：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地    址：</w:t>
      </w:r>
    </w:p>
    <w:p w14:paraId="1A0E7C0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联系电话：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联系电话：</w:t>
      </w:r>
    </w:p>
    <w:p w14:paraId="602B9E1C">
      <w:pPr>
        <w:spacing w:line="360" w:lineRule="auto"/>
        <w:ind w:firstLine="1470" w:firstLineChars="7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开户名称：</w:t>
      </w:r>
    </w:p>
    <w:p w14:paraId="7D9C1FAD">
      <w:pPr>
        <w:spacing w:line="360" w:lineRule="auto"/>
        <w:ind w:firstLine="1470" w:firstLineChars="7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开户银行：</w:t>
      </w:r>
    </w:p>
    <w:p w14:paraId="71CFCEF1">
      <w:pPr>
        <w:spacing w:line="360" w:lineRule="auto"/>
        <w:ind w:firstLine="3780" w:firstLineChars="1800"/>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w:t>
      </w:r>
    </w:p>
    <w:p w14:paraId="5FCDC56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经办人：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经办人：    </w:t>
      </w:r>
      <w:r>
        <w:rPr>
          <w:rFonts w:hint="eastAsia" w:ascii="宋体" w:hAnsi="宋体" w:cs="宋体"/>
          <w:color w:val="auto"/>
          <w:kern w:val="0"/>
          <w:szCs w:val="21"/>
          <w:highlight w:val="none"/>
          <w:lang w:val="en-US" w:eastAsia="zh-CN"/>
        </w:rPr>
        <w:t xml:space="preserve">   </w:t>
      </w:r>
    </w:p>
    <w:p w14:paraId="5594AF0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合同签订时间：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合同签订地点：</w:t>
      </w:r>
    </w:p>
    <w:p w14:paraId="7BBD0C4A">
      <w:pPr>
        <w:pStyle w:val="18"/>
        <w:rPr>
          <w:rFonts w:hint="default"/>
          <w:color w:val="auto"/>
          <w:highlight w:val="none"/>
        </w:rPr>
      </w:pPr>
    </w:p>
    <w:p w14:paraId="2AFF46EE">
      <w:pPr>
        <w:pStyle w:val="18"/>
        <w:rPr>
          <w:rFonts w:hint="default"/>
          <w:color w:val="auto"/>
          <w:highlight w:val="none"/>
        </w:rPr>
      </w:pPr>
    </w:p>
    <w:p w14:paraId="18C9F5E2">
      <w:pPr>
        <w:rPr>
          <w:rFonts w:hint="eastAsia" w:ascii="宋体" w:hAnsi="宋体" w:cs="方正小标宋简体"/>
          <w:b/>
          <w:bCs/>
          <w:color w:val="auto"/>
          <w:sz w:val="24"/>
          <w:highlight w:val="none"/>
        </w:rPr>
      </w:pPr>
      <w:bookmarkStart w:id="27" w:name="_Toc24288"/>
      <w:r>
        <w:rPr>
          <w:rFonts w:hint="eastAsia" w:ascii="宋体" w:hAnsi="宋体" w:cs="方正小标宋简体"/>
          <w:b/>
          <w:bCs/>
          <w:color w:val="auto"/>
          <w:sz w:val="24"/>
          <w:highlight w:val="none"/>
        </w:rPr>
        <w:br w:type="page"/>
      </w:r>
    </w:p>
    <w:p w14:paraId="21960CA0">
      <w:pPr>
        <w:widowControl/>
        <w:jc w:val="center"/>
        <w:outlineLvl w:val="0"/>
        <w:rPr>
          <w:rFonts w:ascii="宋体" w:hAnsi="宋体" w:cs="方正小标宋简体"/>
          <w:b/>
          <w:bCs/>
          <w:color w:val="auto"/>
          <w:sz w:val="24"/>
          <w:highlight w:val="none"/>
        </w:rPr>
      </w:pPr>
      <w:r>
        <w:rPr>
          <w:rFonts w:hint="eastAsia" w:ascii="宋体" w:hAnsi="宋体" w:cs="方正小标宋简体"/>
          <w:b/>
          <w:bCs/>
          <w:color w:val="auto"/>
          <w:sz w:val="24"/>
          <w:highlight w:val="none"/>
        </w:rPr>
        <w:t>项目采购（货物、服务类）廉洁协议</w:t>
      </w:r>
      <w:bookmarkEnd w:id="27"/>
    </w:p>
    <w:p w14:paraId="4357DA99">
      <w:pPr>
        <w:autoSpaceDE w:val="0"/>
        <w:autoSpaceDN w:val="0"/>
        <w:adjustRightInd w:val="0"/>
        <w:spacing w:line="590" w:lineRule="exact"/>
        <w:ind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hAnsi="宋体" w:cs="宋体"/>
          <w:color w:val="auto"/>
          <w:sz w:val="24"/>
          <w:highlight w:val="none"/>
        </w:rPr>
        <w:t xml:space="preserve"> </w:t>
      </w:r>
      <w:r>
        <w:rPr>
          <w:rFonts w:hAnsi="宋体" w:cs="宋体"/>
          <w:color w:val="auto"/>
          <w:sz w:val="24"/>
          <w:highlight w:val="none"/>
        </w:rPr>
        <w:t xml:space="preserve"> </w:t>
      </w:r>
    </w:p>
    <w:p w14:paraId="73D81246">
      <w:pPr>
        <w:autoSpaceDE w:val="0"/>
        <w:autoSpaceDN w:val="0"/>
        <w:adjustRightInd w:val="0"/>
        <w:spacing w:line="590" w:lineRule="exact"/>
        <w:ind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项目编号：</w:t>
      </w:r>
      <w:r>
        <w:rPr>
          <w:rFonts w:hint="eastAsia" w:hAnsi="宋体" w:cs="宋体"/>
          <w:color w:val="auto"/>
          <w:sz w:val="24"/>
          <w:highlight w:val="none"/>
        </w:rPr>
        <w:t xml:space="preserve"> </w:t>
      </w:r>
    </w:p>
    <w:p w14:paraId="0F4917F0">
      <w:pPr>
        <w:autoSpaceDE w:val="0"/>
        <w:autoSpaceDN w:val="0"/>
        <w:adjustRightInd w:val="0"/>
        <w:spacing w:line="590" w:lineRule="exact"/>
        <w:ind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甲方（采购单位）： </w:t>
      </w:r>
    </w:p>
    <w:p w14:paraId="251C8CC3">
      <w:pPr>
        <w:autoSpaceDE w:val="0"/>
        <w:autoSpaceDN w:val="0"/>
        <w:adjustRightInd w:val="0"/>
        <w:spacing w:line="590" w:lineRule="exact"/>
        <w:ind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乙方（成交/中标供应商）： </w:t>
      </w:r>
    </w:p>
    <w:p w14:paraId="6B8B014D">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为进一步加强医疗卫生行风建设，规范甲乙双方的购销行为，有效防范商业贿赂，营造公平交易、诚实守信的购销环境，维护医院正常医疗秩序，经甲、乙双方协商，同意签订本协议，并共同遵守：</w:t>
      </w:r>
    </w:p>
    <w:p w14:paraId="70BB1ABF">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一、甲乙双方按照《中华人民共和国民法典》《中华人民共和国政府采购法》及政府采购合同约定履行合同内容。</w:t>
      </w:r>
    </w:p>
    <w:p w14:paraId="43138F07">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二、甲方应当严格执行货物、服务类采购合同的验收、入库等制度，对采购内容及发票进行查验，不得违反有关规定合同外采购、违价采购或从非规定渠道采购。</w:t>
      </w:r>
    </w:p>
    <w:p w14:paraId="3416EA14">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三、甲方严禁接受乙方以任何名义、形式给予的回扣，不得将接受捐赠资助与采购挂钩。甲方工作人员不得参加乙方安排并支付费用的宴请、旅游和营业性娱乐活动等，不得以任何形式向乙方索要现金、有价证券、支付凭证和贵重礼品等。</w:t>
      </w:r>
    </w:p>
    <w:p w14:paraId="786114B0">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四、乙方不得以回扣、宴请等方式影响甲方工作人员的采购工作，不得在学术活动中提供旅游、超标准支付食宿费用。</w:t>
      </w:r>
    </w:p>
    <w:p w14:paraId="4D45ADEC">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五、乙方不得以围标、相互串通投标，或者排挤其他供应商的公平竞争，损害采购人或者其他供应商的合法权益，严禁以他人名义投标或允许他人以自己的名义投标，不得提供虚假资料参与投标或以其他方式弄虚作假、骗取中标。甲方发现乙方违反规定者，按甲方有关管理规定，列入医院招投标不良行为黑名单。</w:t>
      </w:r>
    </w:p>
    <w:p w14:paraId="48242FD5">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六、乙方指定</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作为授权代表对接业务。授权代表必须在工作时间到甲方指定地点联系对接。不得借故到甲方相关领导、部门负责人及相关工作人员家中访谈并提供任何好处费，甲方发现乙方违反规定者，列入医院招投标不良行为黑名单。</w:t>
      </w:r>
    </w:p>
    <w:p w14:paraId="333CE6CF">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七、乙方如违反本协议，一经发现，甲方有权终止采购合同。如乙方被列入政府采购严重违法失信行为记录名单，则严格按照《中华人民共和国政府采购法》相关规定处理。</w:t>
      </w:r>
    </w:p>
    <w:p w14:paraId="144A1B06">
      <w:pPr>
        <w:autoSpaceDE w:val="0"/>
        <w:autoSpaceDN w:val="0"/>
        <w:adjustRightInd w:val="0"/>
        <w:spacing w:line="590" w:lineRule="exact"/>
        <w:ind w:left="-141" w:leftChars="-67"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八、本协议作为采购合同的重要组成部分，与采购合同一并执行，具有同等的法律效力，从签订之日起生效。</w:t>
      </w:r>
    </w:p>
    <w:p w14:paraId="5EBCBB78">
      <w:pPr>
        <w:autoSpaceDE w:val="0"/>
        <w:autoSpaceDN w:val="0"/>
        <w:adjustRightInd w:val="0"/>
        <w:spacing w:line="590" w:lineRule="exact"/>
        <w:ind w:right="-25" w:rightChars="-12"/>
        <w:rPr>
          <w:rFonts w:hAnsi="宋体" w:cs="宋体"/>
          <w:color w:val="auto"/>
          <w:sz w:val="24"/>
          <w:highlight w:val="none"/>
        </w:rPr>
      </w:pPr>
      <w:r>
        <w:rPr>
          <w:rFonts w:hint="eastAsia" w:ascii="宋体" w:hAnsi="宋体" w:cs="仿宋_GB2312"/>
          <w:color w:val="auto"/>
          <w:sz w:val="24"/>
          <w:highlight w:val="none"/>
        </w:rPr>
        <w:t>甲方（盖章）：                     乙方（盖章）：</w:t>
      </w:r>
      <w:r>
        <w:rPr>
          <w:rFonts w:hint="eastAsia" w:hAnsi="宋体" w:cs="宋体"/>
          <w:color w:val="auto"/>
          <w:sz w:val="24"/>
          <w:highlight w:val="none"/>
        </w:rPr>
        <w:t xml:space="preserve"> </w:t>
      </w:r>
    </w:p>
    <w:p w14:paraId="17917F04">
      <w:pPr>
        <w:autoSpaceDE w:val="0"/>
        <w:autoSpaceDN w:val="0"/>
        <w:adjustRightInd w:val="0"/>
        <w:spacing w:line="590" w:lineRule="exact"/>
        <w:ind w:left="4800" w:right="-25" w:rightChars="-12" w:hanging="4800" w:hangingChars="2000"/>
        <w:rPr>
          <w:rFonts w:ascii="宋体" w:hAnsi="宋体" w:cs="仿宋_GB2312"/>
          <w:color w:val="auto"/>
          <w:sz w:val="24"/>
          <w:highlight w:val="none"/>
        </w:rPr>
      </w:pPr>
      <w:r>
        <w:rPr>
          <w:rFonts w:hint="eastAsia" w:ascii="宋体" w:hAnsi="宋体" w:cs="仿宋_GB2312"/>
          <w:color w:val="auto"/>
          <w:sz w:val="24"/>
          <w:highlight w:val="none"/>
        </w:rPr>
        <w:t xml:space="preserve">地址：                           </w:t>
      </w:r>
      <w:r>
        <w:rPr>
          <w:rFonts w:hint="eastAsia" w:hAnsi="宋体" w:cs="宋体"/>
          <w:color w:val="auto"/>
          <w:sz w:val="24"/>
          <w:highlight w:val="none"/>
        </w:rPr>
        <w:t xml:space="preserve"> </w:t>
      </w:r>
      <w:r>
        <w:rPr>
          <w:rFonts w:hint="eastAsia" w:ascii="宋体" w:hAnsi="宋体" w:cs="仿宋_GB2312"/>
          <w:color w:val="auto"/>
          <w:sz w:val="24"/>
          <w:highlight w:val="none"/>
        </w:rPr>
        <w:t xml:space="preserve"> 地址：</w:t>
      </w:r>
    </w:p>
    <w:p w14:paraId="133278BE">
      <w:pPr>
        <w:autoSpaceDE w:val="0"/>
        <w:autoSpaceDN w:val="0"/>
        <w:adjustRightInd w:val="0"/>
        <w:spacing w:line="590" w:lineRule="exact"/>
        <w:ind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法定代表人：                  法定代表人：</w:t>
      </w:r>
    </w:p>
    <w:p w14:paraId="194E29F3">
      <w:pPr>
        <w:autoSpaceDE w:val="0"/>
        <w:autoSpaceDN w:val="0"/>
        <w:adjustRightInd w:val="0"/>
        <w:spacing w:line="590" w:lineRule="exact"/>
        <w:ind w:right="-25" w:rightChars="-12" w:firstLine="480" w:firstLineChars="200"/>
        <w:rPr>
          <w:rFonts w:ascii="宋体" w:hAnsi="宋体" w:cs="仿宋_GB2312"/>
          <w:color w:val="auto"/>
          <w:sz w:val="24"/>
          <w:highlight w:val="none"/>
        </w:rPr>
      </w:pPr>
      <w:r>
        <w:rPr>
          <w:rFonts w:hint="eastAsia" w:ascii="宋体" w:hAnsi="宋体" w:cs="仿宋_GB2312"/>
          <w:color w:val="auto"/>
          <w:sz w:val="24"/>
          <w:highlight w:val="none"/>
        </w:rPr>
        <w:t>经办人签名：                  经办人签名：</w:t>
      </w:r>
    </w:p>
    <w:p w14:paraId="7A3A057E">
      <w:pPr>
        <w:autoSpaceDE w:val="0"/>
        <w:autoSpaceDN w:val="0"/>
        <w:adjustRightInd w:val="0"/>
        <w:spacing w:line="590" w:lineRule="exact"/>
        <w:ind w:right="-25" w:rightChars="-12"/>
        <w:rPr>
          <w:rFonts w:ascii="宋体" w:hAnsi="宋体" w:cs="仿宋_GB2312"/>
          <w:color w:val="auto"/>
          <w:sz w:val="24"/>
          <w:highlight w:val="none"/>
        </w:rPr>
      </w:pPr>
      <w:r>
        <w:rPr>
          <w:rFonts w:hint="eastAsia" w:ascii="宋体" w:hAnsi="宋体" w:cs="仿宋_GB2312"/>
          <w:color w:val="auto"/>
          <w:sz w:val="24"/>
          <w:highlight w:val="none"/>
        </w:rPr>
        <w:t>日期：    年    月    日           日期：    年   月  日</w:t>
      </w:r>
    </w:p>
    <w:p w14:paraId="1748D130">
      <w:pPr>
        <w:autoSpaceDE w:val="0"/>
        <w:autoSpaceDN w:val="0"/>
        <w:adjustRightInd w:val="0"/>
        <w:spacing w:line="590" w:lineRule="exact"/>
        <w:ind w:right="-25" w:rightChars="-12"/>
        <w:rPr>
          <w:rFonts w:ascii="宋体" w:hAnsi="宋体" w:cs="仿宋_GB2312"/>
          <w:color w:val="auto"/>
          <w:sz w:val="24"/>
          <w:highlight w:val="none"/>
        </w:rPr>
      </w:pPr>
    </w:p>
    <w:p w14:paraId="1A1EBC9A">
      <w:pPr>
        <w:pStyle w:val="3"/>
        <w:outlineLvl w:val="9"/>
        <w:rPr>
          <w:color w:val="auto"/>
          <w:highlight w:val="none"/>
        </w:rPr>
      </w:pPr>
    </w:p>
    <w:p w14:paraId="2377D766">
      <w:pPr>
        <w:pStyle w:val="3"/>
        <w:outlineLvl w:val="9"/>
        <w:rPr>
          <w:color w:val="auto"/>
          <w:highlight w:val="none"/>
        </w:rPr>
      </w:pPr>
    </w:p>
    <w:p w14:paraId="6243EE1B">
      <w:pPr>
        <w:pStyle w:val="3"/>
        <w:outlineLvl w:val="9"/>
        <w:rPr>
          <w:color w:val="auto"/>
          <w:highlight w:val="none"/>
        </w:rPr>
      </w:pPr>
    </w:p>
    <w:p w14:paraId="2D092D73">
      <w:pPr>
        <w:rPr>
          <w:color w:val="auto"/>
          <w:highlight w:val="none"/>
        </w:rPr>
      </w:pPr>
      <w:r>
        <w:rPr>
          <w:rFonts w:hint="eastAsia"/>
          <w:color w:val="auto"/>
          <w:highlight w:val="none"/>
        </w:rPr>
        <w:br w:type="page"/>
      </w:r>
    </w:p>
    <w:p w14:paraId="6D6BCC50">
      <w:pPr>
        <w:pStyle w:val="3"/>
        <w:rPr>
          <w:color w:val="auto"/>
          <w:sz w:val="22"/>
          <w:szCs w:val="22"/>
          <w:highlight w:val="none"/>
        </w:rPr>
      </w:pPr>
      <w:bookmarkStart w:id="28" w:name="_Toc2690"/>
      <w:r>
        <w:rPr>
          <w:rFonts w:hint="eastAsia"/>
          <w:color w:val="auto"/>
          <w:highlight w:val="none"/>
        </w:rPr>
        <w:t xml:space="preserve">第五章   </w:t>
      </w:r>
      <w:bookmarkEnd w:id="23"/>
      <w:bookmarkEnd w:id="24"/>
      <w:bookmarkEnd w:id="25"/>
      <w:r>
        <w:rPr>
          <w:rFonts w:hint="eastAsia"/>
          <w:color w:val="auto"/>
          <w:sz w:val="48"/>
          <w:szCs w:val="32"/>
          <w:highlight w:val="none"/>
        </w:rPr>
        <w:t>竞争性谈判响应文件格式</w:t>
      </w:r>
      <w:bookmarkEnd w:id="26"/>
      <w:bookmarkEnd w:id="28"/>
    </w:p>
    <w:p w14:paraId="5BC78CE6">
      <w:pPr>
        <w:pStyle w:val="7"/>
        <w:ind w:firstLine="0"/>
        <w:jc w:val="left"/>
        <w:rPr>
          <w:color w:val="auto"/>
          <w:highlight w:val="none"/>
        </w:rPr>
      </w:pPr>
      <w:r>
        <w:rPr>
          <w:rFonts w:hint="eastAsia"/>
          <w:color w:val="auto"/>
          <w:highlight w:val="none"/>
        </w:rPr>
        <w:t>竞争性谈判响应文件封面格式：</w:t>
      </w:r>
    </w:p>
    <w:p w14:paraId="651A2087">
      <w:pPr>
        <w:pStyle w:val="7"/>
        <w:ind w:right="600" w:firstLine="0"/>
        <w:jc w:val="right"/>
        <w:outlineLvl w:val="9"/>
        <w:rPr>
          <w:color w:val="auto"/>
          <w:sz w:val="24"/>
          <w:szCs w:val="18"/>
          <w:highlight w:val="none"/>
        </w:rPr>
      </w:pPr>
    </w:p>
    <w:p w14:paraId="7CE796B2">
      <w:pPr>
        <w:pStyle w:val="7"/>
        <w:ind w:right="600" w:firstLine="0"/>
        <w:jc w:val="right"/>
        <w:rPr>
          <w:color w:val="auto"/>
          <w:sz w:val="32"/>
          <w:szCs w:val="32"/>
          <w:highlight w:val="none"/>
        </w:rPr>
      </w:pPr>
      <w:r>
        <w:rPr>
          <w:rFonts w:hint="eastAsia"/>
          <w:color w:val="auto"/>
          <w:sz w:val="32"/>
          <w:szCs w:val="32"/>
          <w:highlight w:val="none"/>
        </w:rPr>
        <w:t>正/副本</w:t>
      </w:r>
    </w:p>
    <w:p w14:paraId="0399D927">
      <w:pPr>
        <w:pStyle w:val="7"/>
        <w:ind w:firstLine="0"/>
        <w:jc w:val="right"/>
        <w:outlineLvl w:val="9"/>
        <w:rPr>
          <w:color w:val="auto"/>
          <w:highlight w:val="none"/>
        </w:rPr>
      </w:pPr>
    </w:p>
    <w:p w14:paraId="100A0BCA">
      <w:pPr>
        <w:pStyle w:val="7"/>
        <w:ind w:firstLine="0"/>
        <w:jc w:val="center"/>
        <w:outlineLvl w:val="9"/>
        <w:rPr>
          <w:color w:val="auto"/>
          <w:w w:val="150"/>
          <w:sz w:val="36"/>
          <w:szCs w:val="22"/>
          <w:highlight w:val="none"/>
        </w:rPr>
      </w:pPr>
    </w:p>
    <w:p w14:paraId="5AB862AE">
      <w:pPr>
        <w:pStyle w:val="7"/>
        <w:ind w:firstLine="0"/>
        <w:jc w:val="center"/>
        <w:rPr>
          <w:color w:val="auto"/>
          <w:sz w:val="48"/>
          <w:szCs w:val="32"/>
          <w:highlight w:val="none"/>
        </w:rPr>
      </w:pPr>
      <w:r>
        <w:rPr>
          <w:rFonts w:hint="eastAsia"/>
          <w:color w:val="auto"/>
          <w:sz w:val="48"/>
          <w:szCs w:val="32"/>
          <w:highlight w:val="none"/>
        </w:rPr>
        <w:t>竞争性谈判响应文件</w:t>
      </w:r>
    </w:p>
    <w:p w14:paraId="4D23972A">
      <w:pPr>
        <w:pStyle w:val="7"/>
        <w:ind w:firstLine="0"/>
        <w:jc w:val="center"/>
        <w:outlineLvl w:val="9"/>
        <w:rPr>
          <w:color w:val="auto"/>
          <w:sz w:val="40"/>
          <w:szCs w:val="24"/>
          <w:highlight w:val="none"/>
        </w:rPr>
      </w:pPr>
    </w:p>
    <w:p w14:paraId="726F6E83">
      <w:pPr>
        <w:pStyle w:val="7"/>
        <w:ind w:firstLine="0"/>
        <w:jc w:val="center"/>
        <w:outlineLvl w:val="9"/>
        <w:rPr>
          <w:color w:val="auto"/>
          <w:sz w:val="40"/>
          <w:szCs w:val="24"/>
          <w:highlight w:val="none"/>
        </w:rPr>
      </w:pPr>
    </w:p>
    <w:p w14:paraId="40CC26E0">
      <w:pPr>
        <w:pStyle w:val="7"/>
        <w:ind w:firstLine="0"/>
        <w:jc w:val="center"/>
        <w:outlineLvl w:val="9"/>
        <w:rPr>
          <w:color w:val="auto"/>
          <w:sz w:val="40"/>
          <w:szCs w:val="24"/>
          <w:highlight w:val="none"/>
        </w:rPr>
      </w:pPr>
    </w:p>
    <w:p w14:paraId="7C1574AD">
      <w:pPr>
        <w:pStyle w:val="7"/>
        <w:ind w:firstLine="0"/>
        <w:rPr>
          <w:color w:val="auto"/>
          <w:sz w:val="36"/>
          <w:szCs w:val="22"/>
          <w:highlight w:val="none"/>
          <w:u w:val="single"/>
        </w:rPr>
      </w:pPr>
      <w:r>
        <w:rPr>
          <w:rFonts w:hint="eastAsia"/>
          <w:color w:val="auto"/>
          <w:sz w:val="36"/>
          <w:szCs w:val="22"/>
          <w:highlight w:val="none"/>
        </w:rPr>
        <w:t xml:space="preserve">     项目名称：</w:t>
      </w:r>
    </w:p>
    <w:p w14:paraId="153E0748">
      <w:pPr>
        <w:pStyle w:val="7"/>
        <w:ind w:firstLine="0"/>
        <w:rPr>
          <w:color w:val="auto"/>
          <w:sz w:val="36"/>
          <w:szCs w:val="22"/>
          <w:highlight w:val="none"/>
          <w:u w:val="single"/>
        </w:rPr>
      </w:pPr>
      <w:r>
        <w:rPr>
          <w:rFonts w:hint="eastAsia"/>
          <w:color w:val="auto"/>
          <w:sz w:val="36"/>
          <w:szCs w:val="22"/>
          <w:highlight w:val="none"/>
        </w:rPr>
        <w:t xml:space="preserve">     项目编号：</w:t>
      </w:r>
    </w:p>
    <w:p w14:paraId="42C0577A">
      <w:pPr>
        <w:pStyle w:val="7"/>
        <w:ind w:firstLine="0"/>
        <w:outlineLvl w:val="9"/>
        <w:rPr>
          <w:color w:val="auto"/>
          <w:sz w:val="36"/>
          <w:szCs w:val="22"/>
          <w:highlight w:val="none"/>
        </w:rPr>
      </w:pPr>
    </w:p>
    <w:p w14:paraId="51AD8530">
      <w:pPr>
        <w:pStyle w:val="7"/>
        <w:ind w:firstLine="0"/>
        <w:jc w:val="center"/>
        <w:outlineLvl w:val="9"/>
        <w:rPr>
          <w:color w:val="auto"/>
          <w:sz w:val="40"/>
          <w:szCs w:val="24"/>
          <w:highlight w:val="none"/>
        </w:rPr>
      </w:pPr>
    </w:p>
    <w:p w14:paraId="026D62FE">
      <w:pPr>
        <w:pStyle w:val="7"/>
        <w:ind w:firstLine="0"/>
        <w:rPr>
          <w:color w:val="auto"/>
          <w:highlight w:val="none"/>
          <w:u w:val="single"/>
        </w:rPr>
      </w:pPr>
      <w:r>
        <w:rPr>
          <w:rFonts w:hint="eastAsia"/>
          <w:color w:val="auto"/>
          <w:highlight w:val="none"/>
        </w:rPr>
        <w:t xml:space="preserve">      谈判供应商名称（加盖单位公章）：</w:t>
      </w:r>
    </w:p>
    <w:p w14:paraId="117DE5A0">
      <w:pPr>
        <w:pStyle w:val="7"/>
        <w:ind w:firstLine="0"/>
        <w:rPr>
          <w:color w:val="auto"/>
          <w:highlight w:val="none"/>
          <w:u w:val="single"/>
        </w:rPr>
      </w:pPr>
      <w:r>
        <w:rPr>
          <w:rFonts w:hint="eastAsia"/>
          <w:color w:val="auto"/>
          <w:highlight w:val="none"/>
        </w:rPr>
        <w:t xml:space="preserve">      地    址：</w:t>
      </w:r>
    </w:p>
    <w:p w14:paraId="4EEDE9DA">
      <w:pPr>
        <w:pStyle w:val="7"/>
        <w:ind w:firstLine="0"/>
        <w:rPr>
          <w:color w:val="auto"/>
          <w:highlight w:val="none"/>
          <w:u w:val="single"/>
        </w:rPr>
      </w:pPr>
      <w:r>
        <w:rPr>
          <w:rFonts w:hint="eastAsia"/>
          <w:color w:val="auto"/>
          <w:highlight w:val="none"/>
        </w:rPr>
        <w:t xml:space="preserve">      法定代表人（负责人）或委托代理人（签字或签章）：</w:t>
      </w:r>
    </w:p>
    <w:p w14:paraId="5AC89646">
      <w:pPr>
        <w:pStyle w:val="7"/>
        <w:ind w:firstLine="0"/>
        <w:rPr>
          <w:b w:val="0"/>
          <w:bCs/>
          <w:color w:val="auto"/>
          <w:highlight w:val="none"/>
          <w:u w:val="single"/>
        </w:rPr>
      </w:pPr>
      <w:r>
        <w:rPr>
          <w:rFonts w:hint="eastAsia"/>
          <w:color w:val="auto"/>
          <w:highlight w:val="none"/>
        </w:rPr>
        <w:t xml:space="preserve">      联系电话：</w:t>
      </w:r>
    </w:p>
    <w:p w14:paraId="30F42742">
      <w:pPr>
        <w:pStyle w:val="7"/>
        <w:ind w:firstLine="0"/>
        <w:outlineLvl w:val="9"/>
        <w:rPr>
          <w:color w:val="auto"/>
          <w:highlight w:val="none"/>
        </w:rPr>
      </w:pPr>
    </w:p>
    <w:p w14:paraId="23677DEE">
      <w:pPr>
        <w:pStyle w:val="7"/>
        <w:ind w:firstLine="1661" w:firstLineChars="591"/>
        <w:rPr>
          <w:color w:val="auto"/>
          <w:highlight w:val="none"/>
          <w:u w:val="single"/>
        </w:rPr>
      </w:pPr>
      <w:r>
        <w:rPr>
          <w:rFonts w:hint="eastAsia"/>
          <w:color w:val="auto"/>
          <w:highlight w:val="none"/>
        </w:rPr>
        <w:t>谈判日期：</w:t>
      </w:r>
      <w:r>
        <w:rPr>
          <w:rFonts w:hint="eastAsia"/>
          <w:color w:val="auto"/>
          <w:highlight w:val="none"/>
          <w:u w:val="single"/>
        </w:rPr>
        <w:t xml:space="preserve">     年    月    日    时    分</w:t>
      </w:r>
    </w:p>
    <w:p w14:paraId="3F1A84AB">
      <w:pPr>
        <w:pStyle w:val="7"/>
        <w:ind w:firstLine="0"/>
        <w:jc w:val="center"/>
        <w:rPr>
          <w:color w:val="auto"/>
          <w:highlight w:val="none"/>
        </w:rPr>
      </w:pPr>
      <w:r>
        <w:rPr>
          <w:rFonts w:hint="eastAsia"/>
          <w:color w:val="auto"/>
          <w:sz w:val="40"/>
          <w:szCs w:val="24"/>
          <w:highlight w:val="none"/>
        </w:rPr>
        <w:br w:type="page"/>
      </w:r>
      <w:r>
        <w:rPr>
          <w:rFonts w:hint="eastAsia"/>
          <w:color w:val="auto"/>
          <w:highlight w:val="none"/>
        </w:rPr>
        <w:t>1．谈 判 书 格 式</w:t>
      </w:r>
    </w:p>
    <w:p w14:paraId="2FA26FB2">
      <w:pPr>
        <w:pStyle w:val="18"/>
        <w:spacing w:line="360" w:lineRule="auto"/>
        <w:jc w:val="left"/>
        <w:rPr>
          <w:rFonts w:hint="default"/>
          <w:color w:val="auto"/>
          <w:highlight w:val="none"/>
        </w:rPr>
      </w:pPr>
    </w:p>
    <w:p w14:paraId="22C54173">
      <w:pPr>
        <w:pStyle w:val="18"/>
        <w:spacing w:line="360" w:lineRule="auto"/>
        <w:jc w:val="left"/>
        <w:rPr>
          <w:rFonts w:hint="default"/>
          <w:color w:val="auto"/>
          <w:highlight w:val="none"/>
          <w:u w:val="single"/>
        </w:rPr>
      </w:pPr>
      <w:r>
        <w:rPr>
          <w:color w:val="auto"/>
          <w:highlight w:val="none"/>
        </w:rPr>
        <w:t>广西中信恒泰工程顾问有限公司：</w:t>
      </w:r>
    </w:p>
    <w:p w14:paraId="64664A70">
      <w:pPr>
        <w:pStyle w:val="18"/>
        <w:spacing w:line="360" w:lineRule="auto"/>
        <w:ind w:firstLine="420"/>
        <w:rPr>
          <w:rFonts w:hint="default"/>
          <w:color w:val="auto"/>
          <w:highlight w:val="none"/>
        </w:rPr>
      </w:pPr>
      <w:r>
        <w:rPr>
          <w:color w:val="auto"/>
          <w:highlight w:val="none"/>
        </w:rPr>
        <w:t>根据贵方</w:t>
      </w:r>
      <w:r>
        <w:rPr>
          <w:rFonts w:hAnsi="宋体"/>
          <w:color w:val="auto"/>
          <w:highlight w:val="none"/>
          <w:u w:val="single"/>
        </w:rPr>
        <w:t>（项目名称及编号）</w:t>
      </w:r>
      <w:r>
        <w:rPr>
          <w:rFonts w:hAnsi="宋体"/>
          <w:color w:val="auto"/>
          <w:highlight w:val="none"/>
        </w:rPr>
        <w:t>项目政府采购的谈判邀请，我方</w:t>
      </w:r>
      <w:r>
        <w:rPr>
          <w:color w:val="auto"/>
          <w:highlight w:val="none"/>
          <w:u w:val="single"/>
        </w:rPr>
        <w:t>（姓名和职务）</w:t>
      </w:r>
      <w:r>
        <w:rPr>
          <w:color w:val="auto"/>
          <w:highlight w:val="none"/>
        </w:rPr>
        <w:t>经正式授权并代表谈判供应商</w:t>
      </w:r>
      <w:r>
        <w:rPr>
          <w:color w:val="auto"/>
          <w:highlight w:val="none"/>
          <w:u w:val="single"/>
        </w:rPr>
        <w:t>（谈判供应商名称）</w:t>
      </w:r>
      <w:r>
        <w:rPr>
          <w:color w:val="auto"/>
          <w:highlight w:val="none"/>
        </w:rPr>
        <w:t>，提交竞争性谈判响应文件正本一份，副本三份。</w:t>
      </w:r>
    </w:p>
    <w:p w14:paraId="55719175">
      <w:pPr>
        <w:pStyle w:val="18"/>
        <w:spacing w:line="360" w:lineRule="auto"/>
        <w:ind w:firstLine="400" w:firstLineChars="200"/>
        <w:rPr>
          <w:rFonts w:hint="default"/>
          <w:color w:val="auto"/>
          <w:highlight w:val="none"/>
        </w:rPr>
      </w:pPr>
      <w:r>
        <w:rPr>
          <w:color w:val="auto"/>
          <w:highlight w:val="none"/>
        </w:rPr>
        <w:t>据此函，签字人兹宣布同意如下：</w:t>
      </w:r>
    </w:p>
    <w:p w14:paraId="3E872697">
      <w:pPr>
        <w:pStyle w:val="18"/>
        <w:spacing w:line="360" w:lineRule="auto"/>
        <w:ind w:firstLine="420"/>
        <w:jc w:val="left"/>
        <w:rPr>
          <w:rFonts w:hint="default" w:hAnsi="宋体"/>
          <w:color w:val="auto"/>
          <w:spacing w:val="-6"/>
          <w:highlight w:val="none"/>
        </w:rPr>
      </w:pPr>
      <w:r>
        <w:rPr>
          <w:color w:val="auto"/>
          <w:highlight w:val="none"/>
        </w:rPr>
        <w:t>（1）根据谈判采购文件项目需求和谈判报价表，我方愿意以总报价为</w:t>
      </w:r>
      <w:r>
        <w:rPr>
          <w:color w:val="auto"/>
          <w:highlight w:val="none"/>
          <w:u w:val="single"/>
        </w:rPr>
        <w:t>人民币（大写）     (</w:t>
      </w:r>
      <w:r>
        <w:rPr>
          <w:rFonts w:asciiTheme="minorEastAsia" w:hAnsiTheme="minorEastAsia" w:eastAsiaTheme="minorEastAsia"/>
          <w:color w:val="auto"/>
          <w:highlight w:val="none"/>
          <w:u w:val="single"/>
        </w:rPr>
        <w:t>¥</w:t>
      </w:r>
      <w:r>
        <w:rPr>
          <w:color w:val="auto"/>
          <w:highlight w:val="none"/>
          <w:u w:val="single"/>
        </w:rPr>
        <w:t>元)</w:t>
      </w:r>
      <w:r>
        <w:rPr>
          <w:color w:val="auto"/>
          <w:highlight w:val="none"/>
        </w:rPr>
        <w:t>，交货时间</w:t>
      </w:r>
      <w:r>
        <w:rPr>
          <w:rFonts w:hAnsi="宋体"/>
          <w:color w:val="auto"/>
          <w:spacing w:val="-6"/>
          <w:highlight w:val="none"/>
        </w:rPr>
        <w:t>：</w:t>
      </w:r>
      <w:r>
        <w:rPr>
          <w:rFonts w:hAnsi="宋体"/>
          <w:color w:val="auto"/>
          <w:spacing w:val="-6"/>
          <w:highlight w:val="none"/>
          <w:u w:val="single"/>
        </w:rPr>
        <w:t xml:space="preserve">          </w:t>
      </w:r>
      <w:r>
        <w:rPr>
          <w:rFonts w:hAnsi="宋体"/>
          <w:color w:val="auto"/>
          <w:spacing w:val="-6"/>
          <w:highlight w:val="none"/>
        </w:rPr>
        <w:t>，交付地点：</w:t>
      </w:r>
      <w:r>
        <w:rPr>
          <w:rFonts w:hAnsi="宋体"/>
          <w:color w:val="auto"/>
          <w:spacing w:val="-6"/>
          <w:highlight w:val="none"/>
          <w:u w:val="single"/>
        </w:rPr>
        <w:t xml:space="preserve">          </w:t>
      </w:r>
      <w:r>
        <w:rPr>
          <w:rFonts w:hAnsi="宋体"/>
          <w:color w:val="auto"/>
          <w:spacing w:val="-6"/>
          <w:highlight w:val="none"/>
        </w:rPr>
        <w:t>。</w:t>
      </w:r>
    </w:p>
    <w:p w14:paraId="21B37534">
      <w:pPr>
        <w:pStyle w:val="18"/>
        <w:spacing w:line="360" w:lineRule="auto"/>
        <w:ind w:firstLine="420"/>
        <w:rPr>
          <w:rFonts w:hint="default"/>
          <w:color w:val="auto"/>
          <w:highlight w:val="none"/>
        </w:rPr>
      </w:pPr>
      <w:r>
        <w:rPr>
          <w:color w:val="auto"/>
          <w:highlight w:val="none"/>
        </w:rPr>
        <w:t>（2）我们根据谈判采购文件的规定，承担完成合同的责任和义务。</w:t>
      </w:r>
    </w:p>
    <w:p w14:paraId="00A24C08">
      <w:pPr>
        <w:pStyle w:val="18"/>
        <w:spacing w:line="360" w:lineRule="auto"/>
        <w:ind w:firstLine="420"/>
        <w:rPr>
          <w:rFonts w:hint="default"/>
          <w:color w:val="auto"/>
          <w:highlight w:val="none"/>
        </w:rPr>
      </w:pPr>
      <w:r>
        <w:rPr>
          <w:color w:val="auto"/>
          <w:highlight w:val="none"/>
        </w:rPr>
        <w:t>（3）我们已详细审核谈判采购文件，我们知道必须放弃提出含糊不清或容易导致误解的问题的权利。</w:t>
      </w:r>
    </w:p>
    <w:p w14:paraId="2F917531">
      <w:pPr>
        <w:pStyle w:val="18"/>
        <w:spacing w:line="360" w:lineRule="auto"/>
        <w:ind w:firstLine="400" w:firstLineChars="200"/>
        <w:rPr>
          <w:rFonts w:hint="default"/>
          <w:color w:val="auto"/>
          <w:highlight w:val="none"/>
        </w:rPr>
      </w:pPr>
      <w:r>
        <w:rPr>
          <w:color w:val="auto"/>
          <w:highlight w:val="none"/>
        </w:rPr>
        <w:t>（4）我们已详细审查全部“谈判采购文件”，包括修改文件（如有的话）以及全部参考资料和有关附件，已经了解我方对于谈判采购文件、采购过程、采购结果有依法进行询问、质疑、投诉的权利及相关渠道和要求。</w:t>
      </w:r>
    </w:p>
    <w:p w14:paraId="0BB00B30">
      <w:pPr>
        <w:pStyle w:val="18"/>
        <w:spacing w:line="360" w:lineRule="auto"/>
        <w:ind w:firstLine="400" w:firstLineChars="200"/>
        <w:rPr>
          <w:rFonts w:hint="default"/>
          <w:color w:val="auto"/>
          <w:highlight w:val="none"/>
        </w:rPr>
      </w:pPr>
      <w:r>
        <w:rPr>
          <w:color w:val="auto"/>
          <w:highlight w:val="none"/>
        </w:rPr>
        <w:t>（5）我们在竞标之前已经与贵方进行了充分的沟通，完全理解并接受谈判采购文件的各项规定和要求，对谈判采购文件的合理性、合法性不再有异议。</w:t>
      </w:r>
    </w:p>
    <w:p w14:paraId="0AB93EB7">
      <w:pPr>
        <w:pStyle w:val="18"/>
        <w:spacing w:line="360" w:lineRule="auto"/>
        <w:ind w:firstLine="420"/>
        <w:rPr>
          <w:rFonts w:hint="default"/>
          <w:color w:val="auto"/>
          <w:highlight w:val="none"/>
        </w:rPr>
      </w:pPr>
      <w:r>
        <w:rPr>
          <w:color w:val="auto"/>
          <w:highlight w:val="none"/>
        </w:rPr>
        <w:t>（6）我们同意在谈判须知规定的截标日期起遵循本竞争性谈判响应文件，并在谈判须知第14条规定的竞标有效期满之前均具有约束力，并有可能成交。</w:t>
      </w:r>
    </w:p>
    <w:p w14:paraId="0A0ECFB2">
      <w:pPr>
        <w:pStyle w:val="18"/>
        <w:spacing w:line="360" w:lineRule="auto"/>
        <w:ind w:firstLine="420"/>
        <w:rPr>
          <w:rFonts w:hint="default"/>
          <w:color w:val="auto"/>
          <w:highlight w:val="none"/>
        </w:rPr>
      </w:pPr>
      <w:r>
        <w:rPr>
          <w:color w:val="auto"/>
          <w:highlight w:val="none"/>
        </w:rPr>
        <w:t>（7）如果在竞标截止时间后的竞标有效期内撤回竞标或者有其他违约行为，我们的谈判保证金可被贵方全部没收。</w:t>
      </w:r>
    </w:p>
    <w:p w14:paraId="7E9A4089">
      <w:pPr>
        <w:pStyle w:val="18"/>
        <w:spacing w:line="360" w:lineRule="auto"/>
        <w:ind w:firstLine="420"/>
        <w:rPr>
          <w:rFonts w:hint="default"/>
          <w:color w:val="auto"/>
          <w:highlight w:val="none"/>
        </w:rPr>
      </w:pPr>
      <w:r>
        <w:rPr>
          <w:color w:val="auto"/>
          <w:highlight w:val="none"/>
        </w:rPr>
        <w:t>（8）同意向贵方提供贵方可能要求的与本竞标有关的任何数据或资料。</w:t>
      </w:r>
    </w:p>
    <w:p w14:paraId="6BFB33C4">
      <w:pPr>
        <w:pStyle w:val="18"/>
        <w:spacing w:line="360" w:lineRule="auto"/>
        <w:ind w:firstLine="420"/>
        <w:rPr>
          <w:rFonts w:hint="default"/>
          <w:color w:val="auto"/>
          <w:highlight w:val="none"/>
        </w:rPr>
      </w:pPr>
      <w:r>
        <w:rPr>
          <w:color w:val="auto"/>
          <w:highlight w:val="none"/>
        </w:rPr>
        <w:t>（9）我们完全理解贵方不一定要接受最低报价的谈判供应商为成交供应商。</w:t>
      </w:r>
    </w:p>
    <w:p w14:paraId="2CF01090">
      <w:pPr>
        <w:pStyle w:val="18"/>
        <w:spacing w:line="360" w:lineRule="auto"/>
        <w:ind w:firstLine="420"/>
        <w:rPr>
          <w:rFonts w:hint="default"/>
          <w:color w:val="auto"/>
          <w:highlight w:val="none"/>
        </w:rPr>
      </w:pPr>
    </w:p>
    <w:p w14:paraId="4B8D41C4">
      <w:pPr>
        <w:pStyle w:val="18"/>
        <w:spacing w:line="360" w:lineRule="auto"/>
        <w:ind w:firstLine="420"/>
        <w:rPr>
          <w:rFonts w:hint="default"/>
          <w:color w:val="auto"/>
          <w:highlight w:val="none"/>
        </w:rPr>
      </w:pPr>
      <w:r>
        <w:rPr>
          <w:color w:val="auto"/>
          <w:highlight w:val="none"/>
        </w:rPr>
        <w:t>与本谈判有关的正式通讯地址如下：</w:t>
      </w:r>
    </w:p>
    <w:p w14:paraId="67E0A07B">
      <w:pPr>
        <w:pStyle w:val="18"/>
        <w:spacing w:line="360" w:lineRule="auto"/>
        <w:ind w:firstLine="420"/>
        <w:rPr>
          <w:rFonts w:hint="default"/>
          <w:color w:val="auto"/>
          <w:highlight w:val="none"/>
        </w:rPr>
      </w:pPr>
      <w:r>
        <w:rPr>
          <w:color w:val="auto"/>
          <w:highlight w:val="none"/>
        </w:rPr>
        <w:t xml:space="preserve">地址：                       </w:t>
      </w:r>
    </w:p>
    <w:p w14:paraId="5D353943">
      <w:pPr>
        <w:pStyle w:val="18"/>
        <w:spacing w:line="360" w:lineRule="auto"/>
        <w:ind w:firstLine="420"/>
        <w:rPr>
          <w:rFonts w:hint="default"/>
          <w:color w:val="auto"/>
          <w:highlight w:val="none"/>
        </w:rPr>
      </w:pPr>
      <w:r>
        <w:rPr>
          <w:color w:val="auto"/>
          <w:highlight w:val="none"/>
        </w:rPr>
        <w:t>邮政编码：</w:t>
      </w:r>
    </w:p>
    <w:p w14:paraId="50CFA8C6">
      <w:pPr>
        <w:pStyle w:val="18"/>
        <w:spacing w:line="360" w:lineRule="auto"/>
        <w:ind w:firstLine="420"/>
        <w:rPr>
          <w:rFonts w:hint="default"/>
          <w:color w:val="auto"/>
          <w:highlight w:val="none"/>
          <w:u w:val="single"/>
        </w:rPr>
      </w:pPr>
      <w:r>
        <w:rPr>
          <w:color w:val="auto"/>
          <w:highlight w:val="none"/>
        </w:rPr>
        <w:t>电话、传真：</w:t>
      </w:r>
    </w:p>
    <w:p w14:paraId="6A6172CB">
      <w:pPr>
        <w:pStyle w:val="18"/>
        <w:spacing w:line="360" w:lineRule="auto"/>
        <w:ind w:firstLine="420"/>
        <w:rPr>
          <w:rFonts w:hint="default"/>
          <w:color w:val="auto"/>
          <w:highlight w:val="none"/>
          <w:u w:val="single"/>
        </w:rPr>
      </w:pPr>
      <w:r>
        <w:rPr>
          <w:color w:val="auto"/>
          <w:highlight w:val="none"/>
        </w:rPr>
        <w:t>开户名称：</w:t>
      </w:r>
    </w:p>
    <w:p w14:paraId="50ED0325">
      <w:pPr>
        <w:pStyle w:val="18"/>
        <w:spacing w:line="360" w:lineRule="auto"/>
        <w:ind w:firstLine="420"/>
        <w:rPr>
          <w:rFonts w:hint="default"/>
          <w:color w:val="auto"/>
          <w:highlight w:val="none"/>
          <w:u w:val="single"/>
        </w:rPr>
      </w:pPr>
      <w:r>
        <w:rPr>
          <w:color w:val="auto"/>
          <w:highlight w:val="none"/>
        </w:rPr>
        <w:t>开户银行：</w:t>
      </w:r>
    </w:p>
    <w:p w14:paraId="7D504968">
      <w:pPr>
        <w:pStyle w:val="18"/>
        <w:spacing w:line="360" w:lineRule="auto"/>
        <w:ind w:firstLine="420"/>
        <w:rPr>
          <w:rFonts w:hint="default"/>
          <w:color w:val="auto"/>
          <w:highlight w:val="none"/>
          <w:u w:val="single"/>
        </w:rPr>
      </w:pPr>
      <w:r>
        <w:rPr>
          <w:color w:val="auto"/>
          <w:highlight w:val="none"/>
        </w:rPr>
        <w:t>帐号：</w:t>
      </w:r>
    </w:p>
    <w:p w14:paraId="5A7544E3">
      <w:pPr>
        <w:pStyle w:val="18"/>
        <w:spacing w:line="360" w:lineRule="auto"/>
        <w:ind w:firstLine="420"/>
        <w:rPr>
          <w:rFonts w:hint="default"/>
          <w:color w:val="auto"/>
          <w:highlight w:val="none"/>
        </w:rPr>
      </w:pPr>
      <w:r>
        <w:rPr>
          <w:color w:val="auto"/>
          <w:highlight w:val="none"/>
        </w:rPr>
        <w:t>法定代表人（负责人）或委托代理人（签字或签章）：</w:t>
      </w:r>
    </w:p>
    <w:p w14:paraId="3A39A4F3">
      <w:pPr>
        <w:pStyle w:val="18"/>
        <w:spacing w:line="360" w:lineRule="auto"/>
        <w:ind w:firstLine="420"/>
        <w:rPr>
          <w:rFonts w:hint="default"/>
          <w:color w:val="auto"/>
          <w:highlight w:val="none"/>
        </w:rPr>
      </w:pPr>
      <w:r>
        <w:rPr>
          <w:color w:val="auto"/>
          <w:highlight w:val="none"/>
        </w:rPr>
        <w:t>谈判供应商名称（加盖公章）：</w:t>
      </w:r>
    </w:p>
    <w:p w14:paraId="6ECAB1A3">
      <w:pPr>
        <w:pStyle w:val="18"/>
        <w:spacing w:line="360" w:lineRule="auto"/>
        <w:ind w:firstLine="420"/>
        <w:rPr>
          <w:rFonts w:hint="default"/>
          <w:color w:val="auto"/>
          <w:highlight w:val="none"/>
          <w:u w:val="single"/>
        </w:rPr>
      </w:pPr>
      <w:r>
        <w:rPr>
          <w:color w:val="auto"/>
          <w:highlight w:val="none"/>
        </w:rPr>
        <w:t>日期：</w:t>
      </w:r>
    </w:p>
    <w:p w14:paraId="0B313EA6">
      <w:pPr>
        <w:pStyle w:val="7"/>
        <w:ind w:firstLine="0"/>
        <w:outlineLvl w:val="9"/>
        <w:rPr>
          <w:color w:val="auto"/>
          <w:highlight w:val="none"/>
        </w:rPr>
        <w:sectPr>
          <w:footerReference r:id="rId14" w:type="first"/>
          <w:pgSz w:w="11906" w:h="16838"/>
          <w:pgMar w:top="851"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14:paraId="3A67BE34">
      <w:pPr>
        <w:pStyle w:val="7"/>
        <w:numPr>
          <w:ilvl w:val="0"/>
          <w:numId w:val="8"/>
        </w:numPr>
        <w:ind w:firstLine="0"/>
        <w:jc w:val="center"/>
        <w:rPr>
          <w:color w:val="auto"/>
          <w:highlight w:val="none"/>
        </w:rPr>
      </w:pPr>
      <w:r>
        <w:rPr>
          <w:rFonts w:hint="eastAsia"/>
          <w:color w:val="auto"/>
          <w:highlight w:val="none"/>
        </w:rPr>
        <w:t>谈判报价表格式</w:t>
      </w:r>
    </w:p>
    <w:p w14:paraId="1D978A4A">
      <w:pPr>
        <w:rPr>
          <w:color w:val="auto"/>
          <w:highlight w:val="none"/>
        </w:rPr>
      </w:pPr>
    </w:p>
    <w:p w14:paraId="5B1CB2C2">
      <w:pPr>
        <w:jc w:val="left"/>
        <w:rPr>
          <w:b/>
          <w:bCs/>
          <w:color w:val="auto"/>
          <w:szCs w:val="21"/>
          <w:highlight w:val="none"/>
        </w:rPr>
      </w:pPr>
      <w:r>
        <w:rPr>
          <w:rFonts w:hint="eastAsia"/>
          <w:b/>
          <w:bCs/>
          <w:color w:val="auto"/>
          <w:szCs w:val="21"/>
          <w:highlight w:val="none"/>
        </w:rPr>
        <w:t>项目名称：</w:t>
      </w:r>
    </w:p>
    <w:p w14:paraId="73DEC0E1">
      <w:pPr>
        <w:pStyle w:val="6"/>
        <w:ind w:firstLine="0"/>
        <w:jc w:val="left"/>
        <w:rPr>
          <w:b/>
          <w:bCs/>
          <w:color w:val="auto"/>
          <w:szCs w:val="21"/>
          <w:highlight w:val="none"/>
        </w:rPr>
      </w:pPr>
      <w:r>
        <w:rPr>
          <w:rFonts w:hint="eastAsia"/>
          <w:b/>
          <w:bCs/>
          <w:color w:val="auto"/>
          <w:sz w:val="21"/>
          <w:szCs w:val="21"/>
          <w:highlight w:val="none"/>
        </w:rPr>
        <w:t>项目编号：</w:t>
      </w:r>
      <w:r>
        <w:rPr>
          <w:rFonts w:hint="eastAsia"/>
          <w:b/>
          <w:bCs/>
          <w:color w:val="auto"/>
          <w:szCs w:val="21"/>
          <w:highlight w:val="none"/>
        </w:rPr>
        <w:t xml:space="preserve">      </w:t>
      </w:r>
    </w:p>
    <w:tbl>
      <w:tblPr>
        <w:tblStyle w:val="35"/>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348"/>
        <w:gridCol w:w="1134"/>
        <w:gridCol w:w="2249"/>
        <w:gridCol w:w="1485"/>
        <w:gridCol w:w="826"/>
        <w:gridCol w:w="1419"/>
        <w:gridCol w:w="1080"/>
      </w:tblGrid>
      <w:tr w14:paraId="1DD4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440" w:type="dxa"/>
            <w:tcBorders>
              <w:top w:val="single" w:color="auto" w:sz="4" w:space="0"/>
              <w:left w:val="single" w:color="auto" w:sz="4" w:space="0"/>
              <w:bottom w:val="single" w:color="auto" w:sz="4" w:space="0"/>
              <w:right w:val="single" w:color="auto" w:sz="4" w:space="0"/>
            </w:tcBorders>
            <w:vAlign w:val="center"/>
          </w:tcPr>
          <w:p w14:paraId="0914038B">
            <w:pPr>
              <w:pStyle w:val="18"/>
              <w:jc w:val="center"/>
              <w:rPr>
                <w:rFonts w:hint="default"/>
                <w:color w:val="auto"/>
                <w:spacing w:val="-20"/>
                <w:highlight w:val="none"/>
              </w:rPr>
            </w:pPr>
            <w:r>
              <w:rPr>
                <w:color w:val="auto"/>
                <w:spacing w:val="-20"/>
                <w:highlight w:val="none"/>
              </w:rPr>
              <w:t>序号</w:t>
            </w:r>
          </w:p>
        </w:tc>
        <w:tc>
          <w:tcPr>
            <w:tcW w:w="1348" w:type="dxa"/>
            <w:tcBorders>
              <w:top w:val="single" w:color="auto" w:sz="4" w:space="0"/>
              <w:left w:val="single" w:color="auto" w:sz="4" w:space="0"/>
              <w:bottom w:val="single" w:color="auto" w:sz="4" w:space="0"/>
              <w:right w:val="single" w:color="auto" w:sz="4" w:space="0"/>
            </w:tcBorders>
            <w:vAlign w:val="center"/>
          </w:tcPr>
          <w:p w14:paraId="202EF9F9">
            <w:pPr>
              <w:pStyle w:val="18"/>
              <w:jc w:val="center"/>
              <w:rPr>
                <w:rFonts w:hint="default"/>
                <w:color w:val="auto"/>
                <w:spacing w:val="-20"/>
                <w:highlight w:val="none"/>
              </w:rPr>
            </w:pPr>
            <w:r>
              <w:rPr>
                <w:color w:val="auto"/>
                <w:spacing w:val="-20"/>
                <w:highlight w:val="none"/>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57A8E174">
            <w:pPr>
              <w:pStyle w:val="18"/>
              <w:jc w:val="center"/>
              <w:rPr>
                <w:rFonts w:hint="default"/>
                <w:color w:val="auto"/>
                <w:spacing w:val="-20"/>
                <w:highlight w:val="none"/>
              </w:rPr>
            </w:pPr>
            <w:r>
              <w:rPr>
                <w:color w:val="auto"/>
                <w:spacing w:val="-20"/>
                <w:highlight w:val="none"/>
              </w:rPr>
              <w:t>数量及单位</w:t>
            </w:r>
          </w:p>
          <w:p w14:paraId="0C8096BD">
            <w:pPr>
              <w:pStyle w:val="18"/>
              <w:jc w:val="center"/>
              <w:rPr>
                <w:rFonts w:hint="default"/>
                <w:color w:val="auto"/>
                <w:spacing w:val="-20"/>
                <w:highlight w:val="none"/>
              </w:rPr>
            </w:pPr>
            <w:r>
              <w:rPr>
                <w:color w:val="auto"/>
                <w:spacing w:val="-20"/>
                <w:highlight w:val="none"/>
              </w:rPr>
              <w:t>①</w:t>
            </w:r>
          </w:p>
        </w:tc>
        <w:tc>
          <w:tcPr>
            <w:tcW w:w="2249" w:type="dxa"/>
            <w:tcBorders>
              <w:top w:val="single" w:color="auto" w:sz="4" w:space="0"/>
              <w:left w:val="single" w:color="auto" w:sz="4" w:space="0"/>
              <w:bottom w:val="single" w:color="auto" w:sz="4" w:space="0"/>
              <w:right w:val="single" w:color="auto" w:sz="4" w:space="0"/>
            </w:tcBorders>
            <w:vAlign w:val="center"/>
          </w:tcPr>
          <w:p w14:paraId="49FA83D4">
            <w:pPr>
              <w:pStyle w:val="18"/>
              <w:jc w:val="center"/>
              <w:rPr>
                <w:rFonts w:hint="default"/>
                <w:color w:val="auto"/>
                <w:spacing w:val="-20"/>
                <w:highlight w:val="none"/>
              </w:rPr>
            </w:pPr>
            <w:r>
              <w:rPr>
                <w:color w:val="auto"/>
                <w:spacing w:val="-20"/>
                <w:highlight w:val="none"/>
              </w:rPr>
              <w:t>品牌、生产厂家及国别</w:t>
            </w:r>
          </w:p>
        </w:tc>
        <w:tc>
          <w:tcPr>
            <w:tcW w:w="1485" w:type="dxa"/>
            <w:tcBorders>
              <w:top w:val="single" w:color="auto" w:sz="4" w:space="0"/>
              <w:left w:val="single" w:color="auto" w:sz="4" w:space="0"/>
              <w:right w:val="single" w:color="auto" w:sz="4" w:space="0"/>
            </w:tcBorders>
            <w:vAlign w:val="center"/>
          </w:tcPr>
          <w:p w14:paraId="540BA994">
            <w:pPr>
              <w:pStyle w:val="18"/>
              <w:jc w:val="center"/>
              <w:rPr>
                <w:rFonts w:hint="default"/>
                <w:color w:val="auto"/>
                <w:highlight w:val="none"/>
              </w:rPr>
            </w:pPr>
            <w:r>
              <w:rPr>
                <w:color w:val="auto"/>
                <w:highlight w:val="none"/>
              </w:rPr>
              <w:t>型号规格、详细技术参数、性能配置</w:t>
            </w:r>
          </w:p>
        </w:tc>
        <w:tc>
          <w:tcPr>
            <w:tcW w:w="826" w:type="dxa"/>
            <w:tcBorders>
              <w:top w:val="single" w:color="auto" w:sz="4" w:space="0"/>
              <w:left w:val="single" w:color="auto" w:sz="4" w:space="0"/>
              <w:bottom w:val="single" w:color="auto" w:sz="4" w:space="0"/>
              <w:right w:val="single" w:color="auto" w:sz="4" w:space="0"/>
            </w:tcBorders>
            <w:vAlign w:val="center"/>
          </w:tcPr>
          <w:p w14:paraId="7CC3DCE0">
            <w:pPr>
              <w:pStyle w:val="18"/>
              <w:jc w:val="center"/>
              <w:rPr>
                <w:rFonts w:hint="default"/>
                <w:color w:val="auto"/>
                <w:highlight w:val="none"/>
              </w:rPr>
            </w:pPr>
            <w:r>
              <w:rPr>
                <w:color w:val="auto"/>
                <w:highlight w:val="none"/>
              </w:rPr>
              <w:t>单价</w:t>
            </w:r>
          </w:p>
          <w:p w14:paraId="2CE790C9">
            <w:pPr>
              <w:pStyle w:val="18"/>
              <w:jc w:val="center"/>
              <w:rPr>
                <w:rFonts w:hint="default"/>
                <w:color w:val="auto"/>
                <w:highlight w:val="none"/>
              </w:rPr>
            </w:pPr>
            <w:r>
              <w:rPr>
                <w:color w:val="auto"/>
                <w:highlight w:val="none"/>
              </w:rPr>
              <w:t>(元)</w:t>
            </w:r>
          </w:p>
          <w:p w14:paraId="2DE0A776">
            <w:pPr>
              <w:pStyle w:val="18"/>
              <w:jc w:val="center"/>
              <w:rPr>
                <w:rFonts w:hint="default"/>
                <w:color w:val="auto"/>
                <w:highlight w:val="none"/>
              </w:rPr>
            </w:pPr>
            <w:r>
              <w:rPr>
                <w:rFonts w:hAnsi="宋体"/>
                <w:color w:val="auto"/>
                <w:highlight w:val="none"/>
              </w:rPr>
              <w:t>②</w:t>
            </w:r>
          </w:p>
        </w:tc>
        <w:tc>
          <w:tcPr>
            <w:tcW w:w="1419" w:type="dxa"/>
            <w:tcBorders>
              <w:top w:val="single" w:color="auto" w:sz="4" w:space="0"/>
              <w:left w:val="single" w:color="auto" w:sz="4" w:space="0"/>
              <w:bottom w:val="single" w:color="auto" w:sz="4" w:space="0"/>
              <w:right w:val="single" w:color="auto" w:sz="4" w:space="0"/>
            </w:tcBorders>
            <w:vAlign w:val="center"/>
          </w:tcPr>
          <w:p w14:paraId="161CF13B">
            <w:pPr>
              <w:pStyle w:val="18"/>
              <w:jc w:val="center"/>
              <w:rPr>
                <w:rFonts w:hint="default"/>
                <w:color w:val="auto"/>
                <w:highlight w:val="none"/>
              </w:rPr>
            </w:pPr>
            <w:r>
              <w:rPr>
                <w:color w:val="auto"/>
                <w:highlight w:val="none"/>
              </w:rPr>
              <w:t>单项合价</w:t>
            </w:r>
          </w:p>
          <w:p w14:paraId="0CBE7145">
            <w:pPr>
              <w:pStyle w:val="18"/>
              <w:jc w:val="center"/>
              <w:rPr>
                <w:rFonts w:hint="default"/>
                <w:color w:val="auto"/>
                <w:highlight w:val="none"/>
              </w:rPr>
            </w:pPr>
            <w:r>
              <w:rPr>
                <w:color w:val="auto"/>
                <w:highlight w:val="none"/>
              </w:rPr>
              <w:t>（元）</w:t>
            </w:r>
          </w:p>
          <w:p w14:paraId="794552BC">
            <w:pPr>
              <w:pStyle w:val="18"/>
              <w:jc w:val="center"/>
              <w:rPr>
                <w:rFonts w:hint="default"/>
                <w:color w:val="auto"/>
                <w:highlight w:val="none"/>
              </w:rPr>
            </w:pPr>
            <w:r>
              <w:rPr>
                <w:rFonts w:hAnsi="宋体"/>
                <w:color w:val="auto"/>
                <w:highlight w:val="none"/>
              </w:rPr>
              <w:t>③</w:t>
            </w:r>
            <w:r>
              <w:rPr>
                <w:color w:val="auto"/>
                <w:highlight w:val="none"/>
              </w:rPr>
              <w:t>=</w:t>
            </w:r>
            <w:r>
              <w:rPr>
                <w:rFonts w:hAnsi="宋体"/>
                <w:color w:val="auto"/>
                <w:highlight w:val="none"/>
              </w:rPr>
              <w:t>①×②</w:t>
            </w:r>
          </w:p>
        </w:tc>
        <w:tc>
          <w:tcPr>
            <w:tcW w:w="1080" w:type="dxa"/>
            <w:tcBorders>
              <w:top w:val="single" w:color="auto" w:sz="4" w:space="0"/>
              <w:left w:val="single" w:color="auto" w:sz="4" w:space="0"/>
              <w:bottom w:val="single" w:color="auto" w:sz="4" w:space="0"/>
              <w:right w:val="single" w:color="auto" w:sz="4" w:space="0"/>
            </w:tcBorders>
            <w:vAlign w:val="center"/>
          </w:tcPr>
          <w:p w14:paraId="34DB2615">
            <w:pPr>
              <w:pStyle w:val="18"/>
              <w:jc w:val="center"/>
              <w:rPr>
                <w:rFonts w:hint="default"/>
                <w:color w:val="auto"/>
                <w:highlight w:val="none"/>
              </w:rPr>
            </w:pPr>
            <w:r>
              <w:rPr>
                <w:color w:val="auto"/>
                <w:highlight w:val="none"/>
              </w:rPr>
              <w:t>备注</w:t>
            </w:r>
          </w:p>
        </w:tc>
      </w:tr>
      <w:tr w14:paraId="3A5D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0" w:type="dxa"/>
            <w:tcBorders>
              <w:top w:val="single" w:color="auto" w:sz="4" w:space="0"/>
              <w:left w:val="single" w:color="auto" w:sz="4" w:space="0"/>
              <w:bottom w:val="single" w:color="auto" w:sz="4" w:space="0"/>
              <w:right w:val="single" w:color="auto" w:sz="4" w:space="0"/>
            </w:tcBorders>
            <w:vAlign w:val="center"/>
          </w:tcPr>
          <w:p w14:paraId="55613D44">
            <w:pPr>
              <w:jc w:val="center"/>
              <w:rPr>
                <w:rFonts w:ascii="宋体" w:hAnsi="Courier New"/>
                <w:color w:val="auto"/>
                <w:szCs w:val="21"/>
                <w:highlight w:val="none"/>
              </w:rPr>
            </w:pPr>
            <w:r>
              <w:rPr>
                <w:rFonts w:hint="eastAsia"/>
                <w:color w:val="auto"/>
                <w:szCs w:val="21"/>
                <w:highlight w:val="none"/>
              </w:rPr>
              <w:t>1</w:t>
            </w:r>
          </w:p>
        </w:tc>
        <w:tc>
          <w:tcPr>
            <w:tcW w:w="1348" w:type="dxa"/>
            <w:tcBorders>
              <w:top w:val="single" w:color="auto" w:sz="4" w:space="0"/>
              <w:left w:val="single" w:color="auto" w:sz="4" w:space="0"/>
              <w:bottom w:val="single" w:color="auto" w:sz="4" w:space="0"/>
              <w:right w:val="single" w:color="auto" w:sz="4" w:space="0"/>
            </w:tcBorders>
            <w:vAlign w:val="center"/>
          </w:tcPr>
          <w:p w14:paraId="39726084">
            <w:pPr>
              <w:jc w:val="center"/>
              <w:rPr>
                <w:rFonts w:ascii="宋体" w:hAnsi="Courier New"/>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AC74C9">
            <w:pPr>
              <w:jc w:val="center"/>
              <w:rPr>
                <w:rFonts w:ascii="宋体" w:hAnsi="Courier New"/>
                <w:color w:val="auto"/>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14:paraId="7F7E9724">
            <w:pPr>
              <w:pStyle w:val="18"/>
              <w:rPr>
                <w:rFonts w:hint="default"/>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6ADDC221">
            <w:pPr>
              <w:pStyle w:val="18"/>
              <w:rPr>
                <w:rFonts w:hint="default"/>
                <w:color w:val="auto"/>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14:paraId="3B1A2F4D">
            <w:pPr>
              <w:pStyle w:val="18"/>
              <w:rPr>
                <w:rFonts w:hint="default"/>
                <w:color w:val="auto"/>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73CE8F1A">
            <w:pPr>
              <w:pStyle w:val="18"/>
              <w:rPr>
                <w:rFonts w:hint="default"/>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8DA7706">
            <w:pPr>
              <w:pStyle w:val="18"/>
              <w:rPr>
                <w:rFonts w:hint="default"/>
                <w:color w:val="auto"/>
                <w:spacing w:val="-6"/>
                <w:highlight w:val="none"/>
              </w:rPr>
            </w:pPr>
          </w:p>
        </w:tc>
      </w:tr>
      <w:tr w14:paraId="16BE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0" w:type="dxa"/>
            <w:tcBorders>
              <w:top w:val="single" w:color="auto" w:sz="4" w:space="0"/>
              <w:left w:val="single" w:color="auto" w:sz="4" w:space="0"/>
              <w:bottom w:val="single" w:color="auto" w:sz="4" w:space="0"/>
              <w:right w:val="single" w:color="auto" w:sz="4" w:space="0"/>
            </w:tcBorders>
            <w:vAlign w:val="center"/>
          </w:tcPr>
          <w:p w14:paraId="5F8665B5">
            <w:pPr>
              <w:jc w:val="center"/>
              <w:rPr>
                <w:rFonts w:ascii="宋体" w:hAnsi="Courier New"/>
                <w:color w:val="auto"/>
                <w:szCs w:val="21"/>
                <w:highlight w:val="none"/>
              </w:rPr>
            </w:pPr>
            <w:r>
              <w:rPr>
                <w:rFonts w:hint="eastAsia"/>
                <w:color w:val="auto"/>
                <w:szCs w:val="21"/>
                <w:highlight w:val="none"/>
              </w:rPr>
              <w:t>2</w:t>
            </w:r>
          </w:p>
        </w:tc>
        <w:tc>
          <w:tcPr>
            <w:tcW w:w="1348" w:type="dxa"/>
            <w:tcBorders>
              <w:top w:val="single" w:color="auto" w:sz="4" w:space="0"/>
              <w:left w:val="single" w:color="auto" w:sz="4" w:space="0"/>
              <w:bottom w:val="single" w:color="auto" w:sz="4" w:space="0"/>
              <w:right w:val="single" w:color="auto" w:sz="4" w:space="0"/>
            </w:tcBorders>
            <w:vAlign w:val="center"/>
          </w:tcPr>
          <w:p w14:paraId="203342B7">
            <w:pPr>
              <w:jc w:val="center"/>
              <w:rPr>
                <w:rFonts w:ascii="宋体" w:hAnsi="Courier New"/>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C4DEB0C">
            <w:pPr>
              <w:jc w:val="center"/>
              <w:rPr>
                <w:rFonts w:ascii="宋体" w:hAnsi="Courier New"/>
                <w:color w:val="auto"/>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14:paraId="20F44C98">
            <w:pPr>
              <w:pStyle w:val="18"/>
              <w:rPr>
                <w:rFonts w:hint="default"/>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29132385">
            <w:pPr>
              <w:pStyle w:val="18"/>
              <w:rPr>
                <w:rFonts w:hint="default"/>
                <w:color w:val="auto"/>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14:paraId="2F9AE62A">
            <w:pPr>
              <w:pStyle w:val="18"/>
              <w:rPr>
                <w:rFonts w:hint="default"/>
                <w:color w:val="auto"/>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77AC7C05">
            <w:pPr>
              <w:pStyle w:val="18"/>
              <w:rPr>
                <w:rFonts w:hint="default"/>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DEC8EEC">
            <w:pPr>
              <w:pStyle w:val="18"/>
              <w:rPr>
                <w:rFonts w:hint="default"/>
                <w:color w:val="auto"/>
                <w:spacing w:val="-6"/>
                <w:highlight w:val="none"/>
              </w:rPr>
            </w:pPr>
          </w:p>
        </w:tc>
      </w:tr>
      <w:tr w14:paraId="6BB2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0" w:type="dxa"/>
            <w:tcBorders>
              <w:top w:val="single" w:color="auto" w:sz="4" w:space="0"/>
              <w:left w:val="single" w:color="auto" w:sz="4" w:space="0"/>
              <w:bottom w:val="single" w:color="auto" w:sz="4" w:space="0"/>
              <w:right w:val="single" w:color="auto" w:sz="4" w:space="0"/>
            </w:tcBorders>
            <w:vAlign w:val="center"/>
          </w:tcPr>
          <w:p w14:paraId="057281FA">
            <w:pPr>
              <w:jc w:val="center"/>
              <w:rPr>
                <w:color w:val="auto"/>
                <w:szCs w:val="21"/>
                <w:highlight w:val="none"/>
              </w:rPr>
            </w:pPr>
            <w:r>
              <w:rPr>
                <w:rFonts w:hint="eastAsia"/>
                <w:color w:val="auto"/>
                <w:szCs w:val="21"/>
                <w:highlight w:val="none"/>
              </w:rPr>
              <w:t>3</w:t>
            </w:r>
          </w:p>
        </w:tc>
        <w:tc>
          <w:tcPr>
            <w:tcW w:w="1348" w:type="dxa"/>
            <w:tcBorders>
              <w:top w:val="single" w:color="auto" w:sz="4" w:space="0"/>
              <w:left w:val="single" w:color="auto" w:sz="4" w:space="0"/>
              <w:bottom w:val="single" w:color="auto" w:sz="4" w:space="0"/>
              <w:right w:val="single" w:color="auto" w:sz="4" w:space="0"/>
            </w:tcBorders>
            <w:vAlign w:val="center"/>
          </w:tcPr>
          <w:p w14:paraId="5003C549">
            <w:pPr>
              <w:jc w:val="center"/>
              <w:rPr>
                <w:rFonts w:ascii="宋体" w:hAnsi="Courier New"/>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481BE7C">
            <w:pPr>
              <w:jc w:val="center"/>
              <w:rPr>
                <w:rFonts w:ascii="宋体" w:hAnsi="Courier New"/>
                <w:color w:val="auto"/>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14:paraId="21AA634E">
            <w:pPr>
              <w:pStyle w:val="18"/>
              <w:rPr>
                <w:rFonts w:hint="default"/>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57B25A9A">
            <w:pPr>
              <w:pStyle w:val="18"/>
              <w:rPr>
                <w:rFonts w:hint="default"/>
                <w:color w:val="auto"/>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14:paraId="4C3A9548">
            <w:pPr>
              <w:pStyle w:val="18"/>
              <w:rPr>
                <w:rFonts w:hint="default"/>
                <w:color w:val="auto"/>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7331670C">
            <w:pPr>
              <w:pStyle w:val="18"/>
              <w:rPr>
                <w:rFonts w:hint="default"/>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F41DBDE">
            <w:pPr>
              <w:pStyle w:val="18"/>
              <w:rPr>
                <w:rFonts w:hint="default"/>
                <w:color w:val="auto"/>
                <w:spacing w:val="-6"/>
                <w:highlight w:val="none"/>
              </w:rPr>
            </w:pPr>
          </w:p>
        </w:tc>
      </w:tr>
      <w:tr w14:paraId="0094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0" w:type="dxa"/>
            <w:tcBorders>
              <w:top w:val="single" w:color="auto" w:sz="4" w:space="0"/>
              <w:left w:val="single" w:color="auto" w:sz="4" w:space="0"/>
              <w:bottom w:val="single" w:color="auto" w:sz="4" w:space="0"/>
              <w:right w:val="single" w:color="auto" w:sz="4" w:space="0"/>
            </w:tcBorders>
            <w:vAlign w:val="center"/>
          </w:tcPr>
          <w:p w14:paraId="01CFB9D2">
            <w:pPr>
              <w:jc w:val="center"/>
              <w:rPr>
                <w:rFonts w:ascii="宋体" w:hAnsi="Courier New"/>
                <w:color w:val="auto"/>
                <w:szCs w:val="21"/>
                <w:highlight w:val="none"/>
              </w:rPr>
            </w:pPr>
            <w:r>
              <w:rPr>
                <w:rFonts w:hint="eastAsia"/>
                <w:color w:val="auto"/>
                <w:szCs w:val="21"/>
                <w:highlight w:val="none"/>
              </w:rPr>
              <w:t>…</w:t>
            </w:r>
          </w:p>
        </w:tc>
        <w:tc>
          <w:tcPr>
            <w:tcW w:w="1348" w:type="dxa"/>
            <w:tcBorders>
              <w:top w:val="single" w:color="auto" w:sz="4" w:space="0"/>
              <w:left w:val="single" w:color="auto" w:sz="4" w:space="0"/>
              <w:bottom w:val="single" w:color="auto" w:sz="4" w:space="0"/>
              <w:right w:val="single" w:color="auto" w:sz="4" w:space="0"/>
            </w:tcBorders>
            <w:vAlign w:val="center"/>
          </w:tcPr>
          <w:p w14:paraId="109FDCCB">
            <w:pPr>
              <w:jc w:val="center"/>
              <w:rPr>
                <w:rFonts w:ascii="宋体" w:hAnsi="Courier New"/>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4AF107">
            <w:pPr>
              <w:jc w:val="center"/>
              <w:rPr>
                <w:rFonts w:ascii="宋体" w:hAnsi="Courier New"/>
                <w:color w:val="auto"/>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14:paraId="2F307802">
            <w:pPr>
              <w:pStyle w:val="18"/>
              <w:rPr>
                <w:rFonts w:hint="default"/>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113C7256">
            <w:pPr>
              <w:pStyle w:val="18"/>
              <w:rPr>
                <w:rFonts w:hint="default"/>
                <w:color w:val="auto"/>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14:paraId="3EAEE86A">
            <w:pPr>
              <w:pStyle w:val="18"/>
              <w:rPr>
                <w:rFonts w:hint="default"/>
                <w:color w:val="auto"/>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136A43FF">
            <w:pPr>
              <w:pStyle w:val="18"/>
              <w:tabs>
                <w:tab w:val="left" w:pos="617"/>
              </w:tabs>
              <w:rPr>
                <w:rFonts w:hint="default"/>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587F867">
            <w:pPr>
              <w:pStyle w:val="18"/>
              <w:rPr>
                <w:rFonts w:hint="default"/>
                <w:color w:val="auto"/>
                <w:spacing w:val="-6"/>
                <w:highlight w:val="none"/>
              </w:rPr>
            </w:pPr>
          </w:p>
        </w:tc>
      </w:tr>
      <w:tr w14:paraId="1D40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0" w:type="dxa"/>
            <w:tcBorders>
              <w:top w:val="single" w:color="auto" w:sz="4" w:space="0"/>
              <w:left w:val="single" w:color="auto" w:sz="4" w:space="0"/>
              <w:bottom w:val="single" w:color="auto" w:sz="4" w:space="0"/>
              <w:right w:val="single" w:color="auto" w:sz="4" w:space="0"/>
            </w:tcBorders>
            <w:vAlign w:val="center"/>
          </w:tcPr>
          <w:p w14:paraId="08D06FF9">
            <w:pPr>
              <w:jc w:val="center"/>
              <w:rPr>
                <w:rFonts w:ascii="宋体" w:hAnsi="Courier New"/>
                <w:color w:val="auto"/>
                <w:szCs w:val="21"/>
                <w:highlight w:val="none"/>
              </w:rPr>
            </w:pPr>
            <w:r>
              <w:rPr>
                <w:rFonts w:hint="eastAsia"/>
                <w:color w:val="auto"/>
                <w:szCs w:val="21"/>
                <w:highlight w:val="none"/>
              </w:rPr>
              <w:t>N</w:t>
            </w:r>
          </w:p>
        </w:tc>
        <w:tc>
          <w:tcPr>
            <w:tcW w:w="1348" w:type="dxa"/>
            <w:tcBorders>
              <w:top w:val="single" w:color="auto" w:sz="4" w:space="0"/>
              <w:left w:val="single" w:color="auto" w:sz="4" w:space="0"/>
              <w:bottom w:val="single" w:color="auto" w:sz="4" w:space="0"/>
              <w:right w:val="single" w:color="auto" w:sz="4" w:space="0"/>
            </w:tcBorders>
            <w:vAlign w:val="center"/>
          </w:tcPr>
          <w:p w14:paraId="0DF7C310">
            <w:pPr>
              <w:jc w:val="center"/>
              <w:rPr>
                <w:rFonts w:ascii="宋体" w:hAnsi="Courier New"/>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6AF0F20">
            <w:pPr>
              <w:jc w:val="center"/>
              <w:rPr>
                <w:rFonts w:ascii="宋体" w:hAnsi="Courier New"/>
                <w:color w:val="auto"/>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14:paraId="0DCA3670">
            <w:pPr>
              <w:pStyle w:val="18"/>
              <w:rPr>
                <w:rFonts w:hint="default"/>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43DE8B8F">
            <w:pPr>
              <w:pStyle w:val="18"/>
              <w:rPr>
                <w:rFonts w:hint="default"/>
                <w:color w:val="auto"/>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14:paraId="76EA8301">
            <w:pPr>
              <w:pStyle w:val="18"/>
              <w:rPr>
                <w:rFonts w:hint="default"/>
                <w:color w:val="auto"/>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0269AAB3">
            <w:pPr>
              <w:pStyle w:val="18"/>
              <w:rPr>
                <w:rFonts w:hint="default"/>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E3D73BB">
            <w:pPr>
              <w:pStyle w:val="18"/>
              <w:rPr>
                <w:rFonts w:hint="default"/>
                <w:color w:val="auto"/>
                <w:spacing w:val="-6"/>
                <w:highlight w:val="none"/>
              </w:rPr>
            </w:pPr>
          </w:p>
        </w:tc>
      </w:tr>
      <w:tr w14:paraId="6B26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81" w:type="dxa"/>
            <w:gridSpan w:val="8"/>
            <w:tcBorders>
              <w:top w:val="single" w:color="auto" w:sz="4" w:space="0"/>
              <w:left w:val="single" w:color="auto" w:sz="4" w:space="0"/>
              <w:bottom w:val="single" w:color="auto" w:sz="4" w:space="0"/>
              <w:right w:val="single" w:color="auto" w:sz="4" w:space="0"/>
            </w:tcBorders>
            <w:vAlign w:val="center"/>
          </w:tcPr>
          <w:p w14:paraId="3276626B">
            <w:pPr>
              <w:pStyle w:val="18"/>
              <w:rPr>
                <w:rFonts w:hint="default"/>
                <w:color w:val="auto"/>
                <w:spacing w:val="-6"/>
                <w:highlight w:val="none"/>
              </w:rPr>
            </w:pPr>
            <w:r>
              <w:rPr>
                <w:color w:val="auto"/>
                <w:spacing w:val="-6"/>
                <w:highlight w:val="none"/>
              </w:rPr>
              <w:t>总报价（人民币大写）：</w:t>
            </w:r>
            <w:r>
              <w:rPr>
                <w:color w:val="auto"/>
                <w:spacing w:val="-6"/>
                <w:highlight w:val="none"/>
                <w:u w:val="single"/>
              </w:rPr>
              <w:t xml:space="preserve">                          </w:t>
            </w:r>
            <w:r>
              <w:rPr>
                <w:color w:val="auto"/>
                <w:spacing w:val="-6"/>
                <w:highlight w:val="none"/>
              </w:rPr>
              <w:t>（</w:t>
            </w:r>
            <w:r>
              <w:rPr>
                <w:rFonts w:asciiTheme="minorEastAsia" w:hAnsiTheme="minorEastAsia" w:eastAsiaTheme="minorEastAsia"/>
                <w:color w:val="auto"/>
                <w:spacing w:val="-6"/>
                <w:highlight w:val="none"/>
              </w:rPr>
              <w:t xml:space="preserve">¥ </w:t>
            </w:r>
            <w:r>
              <w:rPr>
                <w:rFonts w:asciiTheme="minorEastAsia" w:hAnsiTheme="minorEastAsia" w:eastAsiaTheme="minorEastAsia"/>
                <w:color w:val="auto"/>
                <w:spacing w:val="-6"/>
                <w:highlight w:val="none"/>
                <w:u w:val="single"/>
              </w:rPr>
              <w:t xml:space="preserve">     </w:t>
            </w:r>
            <w:r>
              <w:rPr>
                <w:rFonts w:asciiTheme="minorEastAsia" w:hAnsiTheme="minorEastAsia" w:eastAsiaTheme="minorEastAsia"/>
                <w:color w:val="auto"/>
                <w:spacing w:val="-6"/>
                <w:highlight w:val="none"/>
              </w:rPr>
              <w:t xml:space="preserve"> </w:t>
            </w:r>
            <w:r>
              <w:rPr>
                <w:color w:val="auto"/>
                <w:spacing w:val="-6"/>
                <w:highlight w:val="none"/>
              </w:rPr>
              <w:t>）</w:t>
            </w:r>
          </w:p>
        </w:tc>
      </w:tr>
      <w:tr w14:paraId="2A26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81" w:type="dxa"/>
            <w:gridSpan w:val="8"/>
            <w:tcBorders>
              <w:top w:val="single" w:color="auto" w:sz="4" w:space="0"/>
              <w:left w:val="single" w:color="auto" w:sz="4" w:space="0"/>
              <w:bottom w:val="single" w:color="auto" w:sz="4" w:space="0"/>
              <w:right w:val="single" w:color="auto" w:sz="4" w:space="0"/>
            </w:tcBorders>
            <w:vAlign w:val="center"/>
          </w:tcPr>
          <w:p w14:paraId="4B61966D">
            <w:pPr>
              <w:pStyle w:val="18"/>
              <w:rPr>
                <w:rFonts w:hint="default"/>
                <w:color w:val="auto"/>
                <w:spacing w:val="-6"/>
                <w:highlight w:val="none"/>
              </w:rPr>
            </w:pPr>
            <w:r>
              <w:rPr>
                <w:rFonts w:hAnsi="宋体"/>
                <w:color w:val="auto"/>
                <w:highlight w:val="none"/>
              </w:rPr>
              <w:t>交货时间</w:t>
            </w:r>
            <w:r>
              <w:rPr>
                <w:color w:val="auto"/>
                <w:spacing w:val="-6"/>
                <w:highlight w:val="none"/>
              </w:rPr>
              <w:t>：</w:t>
            </w:r>
          </w:p>
        </w:tc>
      </w:tr>
      <w:tr w14:paraId="48E6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81" w:type="dxa"/>
            <w:gridSpan w:val="8"/>
            <w:tcBorders>
              <w:top w:val="single" w:color="auto" w:sz="4" w:space="0"/>
              <w:left w:val="single" w:color="auto" w:sz="4" w:space="0"/>
              <w:bottom w:val="single" w:color="auto" w:sz="4" w:space="0"/>
              <w:right w:val="single" w:color="auto" w:sz="4" w:space="0"/>
            </w:tcBorders>
            <w:vAlign w:val="center"/>
          </w:tcPr>
          <w:p w14:paraId="55AC10C0">
            <w:pPr>
              <w:pStyle w:val="18"/>
              <w:rPr>
                <w:rFonts w:hint="default"/>
                <w:color w:val="auto"/>
                <w:spacing w:val="-6"/>
                <w:highlight w:val="none"/>
              </w:rPr>
            </w:pPr>
            <w:r>
              <w:rPr>
                <w:color w:val="auto"/>
                <w:spacing w:val="-6"/>
                <w:highlight w:val="none"/>
              </w:rPr>
              <w:t>交付地点：</w:t>
            </w:r>
          </w:p>
        </w:tc>
      </w:tr>
    </w:tbl>
    <w:p w14:paraId="58D50563">
      <w:pPr>
        <w:pStyle w:val="18"/>
        <w:rPr>
          <w:rFonts w:hint="default"/>
          <w:color w:val="auto"/>
          <w:highlight w:val="none"/>
        </w:rPr>
      </w:pPr>
    </w:p>
    <w:p w14:paraId="1D373674">
      <w:pPr>
        <w:pStyle w:val="18"/>
        <w:rPr>
          <w:rFonts w:hint="default"/>
          <w:color w:val="auto"/>
          <w:highlight w:val="none"/>
        </w:rPr>
      </w:pPr>
      <w:r>
        <w:rPr>
          <w:color w:val="auto"/>
          <w:highlight w:val="none"/>
        </w:rPr>
        <w:t>备注：</w:t>
      </w:r>
    </w:p>
    <w:p w14:paraId="1E50A0C7">
      <w:pPr>
        <w:pStyle w:val="18"/>
        <w:spacing w:line="360" w:lineRule="auto"/>
        <w:rPr>
          <w:rFonts w:hint="default" w:hAnsi="宋体"/>
          <w:color w:val="auto"/>
          <w:highlight w:val="none"/>
        </w:rPr>
      </w:pPr>
      <w:r>
        <w:rPr>
          <w:rFonts w:hAnsi="宋体"/>
          <w:color w:val="auto"/>
          <w:highlight w:val="none"/>
        </w:rPr>
        <w:t>1、谈判报价包含货物、装卸费、运费、售后服务、税金及其它完成本项目的所有费用。</w:t>
      </w:r>
      <w:r>
        <w:rPr>
          <w:color w:val="auto"/>
          <w:highlight w:val="none"/>
        </w:rPr>
        <w:t>对于采购文件中未列明，而供应商认为必需的费用也需列入总报价。在合同实施时，采购人将不予支付成交供应商没有列入的项目费用，并认为此项目的费用已包括在总报价中</w:t>
      </w:r>
      <w:r>
        <w:rPr>
          <w:rFonts w:hAnsi="宋体" w:cs="宋体"/>
          <w:bCs/>
          <w:color w:val="auto"/>
          <w:highlight w:val="none"/>
        </w:rPr>
        <w:t>。</w:t>
      </w:r>
    </w:p>
    <w:p w14:paraId="3203150B">
      <w:pPr>
        <w:pStyle w:val="18"/>
        <w:spacing w:line="360" w:lineRule="auto"/>
        <w:rPr>
          <w:rFonts w:hAnsi="宋体"/>
          <w:color w:val="auto"/>
          <w:highlight w:val="none"/>
        </w:rPr>
      </w:pPr>
      <w:r>
        <w:rPr>
          <w:rFonts w:hAnsi="宋体"/>
          <w:color w:val="auto"/>
          <w:highlight w:val="none"/>
        </w:rPr>
        <w:t>2、表格内容均需按要求如实填写，否则作无效响应处理；</w:t>
      </w:r>
    </w:p>
    <w:p w14:paraId="2CA2869C">
      <w:pPr>
        <w:pStyle w:val="18"/>
        <w:spacing w:line="360" w:lineRule="auto"/>
        <w:rPr>
          <w:rFonts w:hint="eastAsia" w:hAnsi="宋体" w:eastAsia="宋体"/>
          <w:color w:val="auto"/>
          <w:highlight w:val="none"/>
          <w:lang w:val="en-US" w:eastAsia="zh-CN"/>
        </w:rPr>
      </w:pPr>
      <w:r>
        <w:rPr>
          <w:rFonts w:hint="eastAsia" w:hAnsi="宋体"/>
          <w:color w:val="auto"/>
          <w:highlight w:val="none"/>
          <w:lang w:val="en-US" w:eastAsia="zh-CN"/>
        </w:rPr>
        <w:t>3、附件货物配置单必须提供并如实填写，</w:t>
      </w:r>
      <w:r>
        <w:rPr>
          <w:rFonts w:hAnsi="宋体"/>
          <w:color w:val="auto"/>
          <w:highlight w:val="none"/>
        </w:rPr>
        <w:t>否则作无效响应处理</w:t>
      </w:r>
      <w:r>
        <w:rPr>
          <w:rFonts w:hint="eastAsia" w:hAnsi="宋体"/>
          <w:color w:val="auto"/>
          <w:highlight w:val="none"/>
          <w:lang w:eastAsia="zh-CN"/>
        </w:rPr>
        <w:t>。</w:t>
      </w:r>
    </w:p>
    <w:p w14:paraId="47BCBA52">
      <w:pPr>
        <w:pStyle w:val="18"/>
        <w:spacing w:line="560" w:lineRule="exact"/>
        <w:ind w:firstLine="3240" w:firstLineChars="1620"/>
        <w:rPr>
          <w:rFonts w:hint="default"/>
          <w:color w:val="auto"/>
          <w:highlight w:val="none"/>
        </w:rPr>
      </w:pPr>
    </w:p>
    <w:p w14:paraId="712A128F">
      <w:pPr>
        <w:pStyle w:val="18"/>
        <w:spacing w:line="560" w:lineRule="exact"/>
        <w:ind w:firstLine="3240" w:firstLineChars="1620"/>
        <w:rPr>
          <w:rFonts w:hint="default"/>
          <w:color w:val="auto"/>
          <w:highlight w:val="none"/>
        </w:rPr>
      </w:pPr>
    </w:p>
    <w:p w14:paraId="47BACB8E">
      <w:pPr>
        <w:pStyle w:val="18"/>
        <w:spacing w:line="560" w:lineRule="exact"/>
        <w:ind w:firstLine="3240" w:firstLineChars="1620"/>
        <w:rPr>
          <w:rFonts w:hint="default"/>
          <w:color w:val="auto"/>
          <w:highlight w:val="none"/>
          <w:u w:val="single"/>
        </w:rPr>
      </w:pPr>
      <w:r>
        <w:rPr>
          <w:color w:val="auto"/>
          <w:highlight w:val="none"/>
        </w:rPr>
        <w:t>谈判供应商名称（加盖单位公章）：</w:t>
      </w:r>
    </w:p>
    <w:p w14:paraId="17A69A8F">
      <w:pPr>
        <w:pStyle w:val="18"/>
        <w:spacing w:line="560" w:lineRule="exact"/>
        <w:ind w:firstLine="3240" w:firstLineChars="1620"/>
        <w:rPr>
          <w:rFonts w:hint="default"/>
          <w:color w:val="auto"/>
          <w:highlight w:val="none"/>
          <w:u w:val="single"/>
        </w:rPr>
      </w:pPr>
      <w:r>
        <w:rPr>
          <w:color w:val="auto"/>
          <w:highlight w:val="none"/>
        </w:rPr>
        <w:t>法定代表人（负责人）或委托代理人（签字或签章）：</w:t>
      </w:r>
    </w:p>
    <w:p w14:paraId="60726FA2">
      <w:pPr>
        <w:pStyle w:val="18"/>
        <w:spacing w:line="440" w:lineRule="exact"/>
        <w:ind w:firstLine="4111"/>
        <w:rPr>
          <w:rFonts w:hint="default" w:hAnsi="宋体"/>
          <w:bCs/>
          <w:color w:val="auto"/>
          <w:highlight w:val="none"/>
        </w:rPr>
      </w:pPr>
      <w:r>
        <w:rPr>
          <w:rFonts w:hAnsi="宋体"/>
          <w:bCs/>
          <w:color w:val="auto"/>
          <w:highlight w:val="none"/>
        </w:rPr>
        <w:t>日期：    年   月   日</w:t>
      </w:r>
    </w:p>
    <w:p w14:paraId="65EAC6F8">
      <w:pPr>
        <w:rPr>
          <w:rFonts w:hint="default" w:hAnsi="宋体"/>
          <w:bCs/>
          <w:color w:val="auto"/>
          <w:highlight w:val="none"/>
        </w:rPr>
      </w:pPr>
      <w:r>
        <w:rPr>
          <w:rFonts w:hint="default" w:hAnsi="宋体"/>
          <w:bCs/>
          <w:color w:val="auto"/>
          <w:highlight w:val="none"/>
        </w:rPr>
        <w:br w:type="page"/>
      </w:r>
    </w:p>
    <w:p w14:paraId="3B5111A7">
      <w:pPr>
        <w:jc w:val="left"/>
        <w:rPr>
          <w:rFonts w:hint="eastAsia" w:hAnsi="宋体"/>
          <w:b/>
          <w:bCs w:val="0"/>
          <w:color w:val="auto"/>
          <w:sz w:val="24"/>
          <w:szCs w:val="24"/>
          <w:highlight w:val="none"/>
          <w:lang w:eastAsia="zh-CN"/>
        </w:rPr>
      </w:pPr>
      <w:r>
        <w:rPr>
          <w:rFonts w:hint="eastAsia" w:hAnsi="宋体"/>
          <w:b/>
          <w:bCs w:val="0"/>
          <w:color w:val="auto"/>
          <w:sz w:val="24"/>
          <w:szCs w:val="24"/>
          <w:highlight w:val="none"/>
          <w:lang w:eastAsia="zh-CN"/>
        </w:rPr>
        <w:t>附件：</w:t>
      </w:r>
    </w:p>
    <w:p w14:paraId="293ABD2D">
      <w:pPr>
        <w:jc w:val="center"/>
        <w:rPr>
          <w:rFonts w:hint="eastAsia" w:hAnsi="宋体"/>
          <w:b/>
          <w:bCs w:val="0"/>
          <w:color w:val="auto"/>
          <w:sz w:val="24"/>
          <w:szCs w:val="24"/>
          <w:highlight w:val="none"/>
          <w:lang w:eastAsia="zh-CN"/>
        </w:rPr>
      </w:pPr>
      <w:r>
        <w:rPr>
          <w:rFonts w:hint="eastAsia" w:hAnsi="宋体"/>
          <w:b/>
          <w:bCs w:val="0"/>
          <w:color w:val="auto"/>
          <w:sz w:val="24"/>
          <w:szCs w:val="24"/>
          <w:highlight w:val="none"/>
          <w:lang w:eastAsia="zh-CN"/>
        </w:rPr>
        <w:t>货物配置清单</w:t>
      </w:r>
    </w:p>
    <w:p w14:paraId="587E73A5">
      <w:pPr>
        <w:pStyle w:val="33"/>
        <w:rPr>
          <w:rFonts w:hint="eastAsia" w:hAnsi="宋体"/>
          <w:b/>
          <w:bCs w:val="0"/>
          <w:color w:val="auto"/>
          <w:sz w:val="24"/>
          <w:szCs w:val="24"/>
          <w:highlight w:val="none"/>
          <w:lang w:eastAsia="zh-CN"/>
        </w:rPr>
      </w:pPr>
    </w:p>
    <w:p w14:paraId="19CC03E6">
      <w:pPr>
        <w:jc w:val="left"/>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项目编号：</w:t>
      </w:r>
    </w:p>
    <w:p w14:paraId="4AAC2947">
      <w:pPr>
        <w:jc w:val="left"/>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项目名称：</w:t>
      </w:r>
    </w:p>
    <w:p w14:paraId="6101E991">
      <w:pPr>
        <w:pStyle w:val="33"/>
        <w:ind w:left="0" w:leftChars="0" w:firstLine="0" w:firstLineChars="0"/>
        <w:rPr>
          <w:rFonts w:hint="eastAsia" w:hAnsi="宋体"/>
          <w:b/>
          <w:bCs w:val="0"/>
          <w:color w:val="auto"/>
          <w:sz w:val="24"/>
          <w:szCs w:val="24"/>
          <w:highlight w:val="none"/>
          <w:lang w:eastAsia="zh-CN"/>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820"/>
        <w:gridCol w:w="907"/>
        <w:gridCol w:w="1286"/>
        <w:gridCol w:w="1286"/>
        <w:gridCol w:w="1081"/>
        <w:gridCol w:w="1045"/>
        <w:gridCol w:w="1917"/>
      </w:tblGrid>
      <w:tr w14:paraId="57C7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40" w:type="pct"/>
            <w:vAlign w:val="center"/>
          </w:tcPr>
          <w:p w14:paraId="0FB0CD1E">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序号</w:t>
            </w:r>
          </w:p>
        </w:tc>
        <w:tc>
          <w:tcPr>
            <w:tcW w:w="907" w:type="pct"/>
            <w:vAlign w:val="center"/>
          </w:tcPr>
          <w:p w14:paraId="1EA3760A">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货物名称</w:t>
            </w:r>
          </w:p>
        </w:tc>
        <w:tc>
          <w:tcPr>
            <w:tcW w:w="452" w:type="pct"/>
            <w:vAlign w:val="center"/>
          </w:tcPr>
          <w:p w14:paraId="0C9ACCE5">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数量及单位</w:t>
            </w:r>
          </w:p>
        </w:tc>
        <w:tc>
          <w:tcPr>
            <w:tcW w:w="641" w:type="pct"/>
            <w:vAlign w:val="center"/>
          </w:tcPr>
          <w:p w14:paraId="745F28FD">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品牌</w:t>
            </w:r>
          </w:p>
        </w:tc>
        <w:tc>
          <w:tcPr>
            <w:tcW w:w="641" w:type="pct"/>
            <w:vAlign w:val="center"/>
          </w:tcPr>
          <w:p w14:paraId="47038B16">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规格型号</w:t>
            </w:r>
          </w:p>
        </w:tc>
        <w:tc>
          <w:tcPr>
            <w:tcW w:w="539" w:type="pct"/>
            <w:vAlign w:val="center"/>
          </w:tcPr>
          <w:p w14:paraId="6D7E717F">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制造商</w:t>
            </w:r>
          </w:p>
        </w:tc>
        <w:tc>
          <w:tcPr>
            <w:tcW w:w="521" w:type="pct"/>
            <w:vAlign w:val="center"/>
          </w:tcPr>
          <w:p w14:paraId="3FE12A92">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原产地</w:t>
            </w:r>
          </w:p>
        </w:tc>
        <w:tc>
          <w:tcPr>
            <w:tcW w:w="955" w:type="pct"/>
            <w:vAlign w:val="center"/>
          </w:tcPr>
          <w:p w14:paraId="699B4E1D">
            <w:pPr>
              <w:jc w:val="center"/>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参数性能、指标及配置</w:t>
            </w:r>
          </w:p>
        </w:tc>
      </w:tr>
      <w:tr w14:paraId="265E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0" w:type="pct"/>
          </w:tcPr>
          <w:p w14:paraId="1406B8A7">
            <w:pPr>
              <w:pStyle w:val="33"/>
              <w:rPr>
                <w:rFonts w:hint="eastAsia" w:hAnsi="宋体"/>
                <w:b/>
                <w:bCs w:val="0"/>
                <w:color w:val="auto"/>
                <w:sz w:val="24"/>
                <w:szCs w:val="24"/>
                <w:highlight w:val="none"/>
                <w:vertAlign w:val="baseline"/>
                <w:lang w:eastAsia="zh-CN"/>
              </w:rPr>
            </w:pPr>
          </w:p>
        </w:tc>
        <w:tc>
          <w:tcPr>
            <w:tcW w:w="907" w:type="pct"/>
          </w:tcPr>
          <w:p w14:paraId="303EA266">
            <w:pPr>
              <w:pStyle w:val="33"/>
              <w:rPr>
                <w:rFonts w:hint="eastAsia" w:hAnsi="宋体"/>
                <w:b/>
                <w:bCs w:val="0"/>
                <w:color w:val="auto"/>
                <w:sz w:val="24"/>
                <w:szCs w:val="24"/>
                <w:highlight w:val="none"/>
                <w:vertAlign w:val="baseline"/>
                <w:lang w:eastAsia="zh-CN"/>
              </w:rPr>
            </w:pPr>
          </w:p>
        </w:tc>
        <w:tc>
          <w:tcPr>
            <w:tcW w:w="452" w:type="pct"/>
          </w:tcPr>
          <w:p w14:paraId="35E3C579">
            <w:pPr>
              <w:pStyle w:val="33"/>
              <w:rPr>
                <w:rFonts w:hint="eastAsia" w:hAnsi="宋体"/>
                <w:b/>
                <w:bCs w:val="0"/>
                <w:color w:val="auto"/>
                <w:sz w:val="24"/>
                <w:szCs w:val="24"/>
                <w:highlight w:val="none"/>
                <w:vertAlign w:val="baseline"/>
                <w:lang w:eastAsia="zh-CN"/>
              </w:rPr>
            </w:pPr>
          </w:p>
        </w:tc>
        <w:tc>
          <w:tcPr>
            <w:tcW w:w="641" w:type="pct"/>
          </w:tcPr>
          <w:p w14:paraId="24846217">
            <w:pPr>
              <w:pStyle w:val="33"/>
              <w:rPr>
                <w:rFonts w:hint="eastAsia" w:hAnsi="宋体"/>
                <w:b/>
                <w:bCs w:val="0"/>
                <w:color w:val="auto"/>
                <w:sz w:val="24"/>
                <w:szCs w:val="24"/>
                <w:highlight w:val="none"/>
                <w:vertAlign w:val="baseline"/>
                <w:lang w:eastAsia="zh-CN"/>
              </w:rPr>
            </w:pPr>
          </w:p>
        </w:tc>
        <w:tc>
          <w:tcPr>
            <w:tcW w:w="641" w:type="pct"/>
          </w:tcPr>
          <w:p w14:paraId="52AC78D5">
            <w:pPr>
              <w:pStyle w:val="33"/>
              <w:rPr>
                <w:rFonts w:hint="eastAsia" w:hAnsi="宋体"/>
                <w:b/>
                <w:bCs w:val="0"/>
                <w:color w:val="auto"/>
                <w:sz w:val="24"/>
                <w:szCs w:val="24"/>
                <w:highlight w:val="none"/>
                <w:vertAlign w:val="baseline"/>
                <w:lang w:eastAsia="zh-CN"/>
              </w:rPr>
            </w:pPr>
          </w:p>
        </w:tc>
        <w:tc>
          <w:tcPr>
            <w:tcW w:w="539" w:type="pct"/>
          </w:tcPr>
          <w:p w14:paraId="07C216EB">
            <w:pPr>
              <w:pStyle w:val="33"/>
              <w:rPr>
                <w:rFonts w:hint="eastAsia" w:hAnsi="宋体"/>
                <w:b/>
                <w:bCs w:val="0"/>
                <w:color w:val="auto"/>
                <w:sz w:val="24"/>
                <w:szCs w:val="24"/>
                <w:highlight w:val="none"/>
                <w:vertAlign w:val="baseline"/>
                <w:lang w:eastAsia="zh-CN"/>
              </w:rPr>
            </w:pPr>
          </w:p>
        </w:tc>
        <w:tc>
          <w:tcPr>
            <w:tcW w:w="521" w:type="pct"/>
          </w:tcPr>
          <w:p w14:paraId="5ADCC81B">
            <w:pPr>
              <w:pStyle w:val="33"/>
              <w:rPr>
                <w:rFonts w:hint="eastAsia" w:hAnsi="宋体"/>
                <w:b/>
                <w:bCs w:val="0"/>
                <w:color w:val="auto"/>
                <w:sz w:val="24"/>
                <w:szCs w:val="24"/>
                <w:highlight w:val="none"/>
                <w:vertAlign w:val="baseline"/>
                <w:lang w:eastAsia="zh-CN"/>
              </w:rPr>
            </w:pPr>
          </w:p>
        </w:tc>
        <w:tc>
          <w:tcPr>
            <w:tcW w:w="955" w:type="pct"/>
          </w:tcPr>
          <w:p w14:paraId="2BA12B35">
            <w:pPr>
              <w:pStyle w:val="33"/>
              <w:rPr>
                <w:rFonts w:hint="eastAsia" w:hAnsi="宋体"/>
                <w:b/>
                <w:bCs w:val="0"/>
                <w:color w:val="auto"/>
                <w:sz w:val="24"/>
                <w:szCs w:val="24"/>
                <w:highlight w:val="none"/>
                <w:vertAlign w:val="baseline"/>
                <w:lang w:eastAsia="zh-CN"/>
              </w:rPr>
            </w:pPr>
          </w:p>
        </w:tc>
      </w:tr>
      <w:tr w14:paraId="6A83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0" w:type="pct"/>
          </w:tcPr>
          <w:p w14:paraId="1474D5B1">
            <w:pPr>
              <w:pStyle w:val="33"/>
              <w:rPr>
                <w:rFonts w:hint="eastAsia" w:hAnsi="宋体"/>
                <w:b/>
                <w:bCs w:val="0"/>
                <w:color w:val="auto"/>
                <w:sz w:val="24"/>
                <w:szCs w:val="24"/>
                <w:highlight w:val="none"/>
                <w:vertAlign w:val="baseline"/>
                <w:lang w:eastAsia="zh-CN"/>
              </w:rPr>
            </w:pPr>
          </w:p>
        </w:tc>
        <w:tc>
          <w:tcPr>
            <w:tcW w:w="907" w:type="pct"/>
          </w:tcPr>
          <w:p w14:paraId="7722A9C8">
            <w:pPr>
              <w:pStyle w:val="33"/>
              <w:rPr>
                <w:rFonts w:hint="eastAsia" w:hAnsi="宋体"/>
                <w:b/>
                <w:bCs w:val="0"/>
                <w:color w:val="auto"/>
                <w:sz w:val="24"/>
                <w:szCs w:val="24"/>
                <w:highlight w:val="none"/>
                <w:vertAlign w:val="baseline"/>
                <w:lang w:eastAsia="zh-CN"/>
              </w:rPr>
            </w:pPr>
          </w:p>
        </w:tc>
        <w:tc>
          <w:tcPr>
            <w:tcW w:w="452" w:type="pct"/>
          </w:tcPr>
          <w:p w14:paraId="3687BE1F">
            <w:pPr>
              <w:pStyle w:val="33"/>
              <w:rPr>
                <w:rFonts w:hint="eastAsia" w:hAnsi="宋体"/>
                <w:b/>
                <w:bCs w:val="0"/>
                <w:color w:val="auto"/>
                <w:sz w:val="24"/>
                <w:szCs w:val="24"/>
                <w:highlight w:val="none"/>
                <w:vertAlign w:val="baseline"/>
                <w:lang w:eastAsia="zh-CN"/>
              </w:rPr>
            </w:pPr>
          </w:p>
        </w:tc>
        <w:tc>
          <w:tcPr>
            <w:tcW w:w="641" w:type="pct"/>
          </w:tcPr>
          <w:p w14:paraId="24809BE2">
            <w:pPr>
              <w:pStyle w:val="33"/>
              <w:rPr>
                <w:rFonts w:hint="eastAsia" w:hAnsi="宋体"/>
                <w:b/>
                <w:bCs w:val="0"/>
                <w:color w:val="auto"/>
                <w:sz w:val="24"/>
                <w:szCs w:val="24"/>
                <w:highlight w:val="none"/>
                <w:vertAlign w:val="baseline"/>
                <w:lang w:eastAsia="zh-CN"/>
              </w:rPr>
            </w:pPr>
          </w:p>
        </w:tc>
        <w:tc>
          <w:tcPr>
            <w:tcW w:w="641" w:type="pct"/>
          </w:tcPr>
          <w:p w14:paraId="0472BE63">
            <w:pPr>
              <w:pStyle w:val="33"/>
              <w:rPr>
                <w:rFonts w:hint="eastAsia" w:hAnsi="宋体"/>
                <w:b/>
                <w:bCs w:val="0"/>
                <w:color w:val="auto"/>
                <w:sz w:val="24"/>
                <w:szCs w:val="24"/>
                <w:highlight w:val="none"/>
                <w:vertAlign w:val="baseline"/>
                <w:lang w:eastAsia="zh-CN"/>
              </w:rPr>
            </w:pPr>
          </w:p>
        </w:tc>
        <w:tc>
          <w:tcPr>
            <w:tcW w:w="539" w:type="pct"/>
          </w:tcPr>
          <w:p w14:paraId="3385AC97">
            <w:pPr>
              <w:pStyle w:val="33"/>
              <w:rPr>
                <w:rFonts w:hint="eastAsia" w:hAnsi="宋体"/>
                <w:b/>
                <w:bCs w:val="0"/>
                <w:color w:val="auto"/>
                <w:sz w:val="24"/>
                <w:szCs w:val="24"/>
                <w:highlight w:val="none"/>
                <w:vertAlign w:val="baseline"/>
                <w:lang w:eastAsia="zh-CN"/>
              </w:rPr>
            </w:pPr>
          </w:p>
        </w:tc>
        <w:tc>
          <w:tcPr>
            <w:tcW w:w="521" w:type="pct"/>
          </w:tcPr>
          <w:p w14:paraId="203FAECB">
            <w:pPr>
              <w:pStyle w:val="33"/>
              <w:rPr>
                <w:rFonts w:hint="eastAsia" w:hAnsi="宋体"/>
                <w:b/>
                <w:bCs w:val="0"/>
                <w:color w:val="auto"/>
                <w:sz w:val="24"/>
                <w:szCs w:val="24"/>
                <w:highlight w:val="none"/>
                <w:vertAlign w:val="baseline"/>
                <w:lang w:eastAsia="zh-CN"/>
              </w:rPr>
            </w:pPr>
          </w:p>
        </w:tc>
        <w:tc>
          <w:tcPr>
            <w:tcW w:w="955" w:type="pct"/>
          </w:tcPr>
          <w:p w14:paraId="305FAC29">
            <w:pPr>
              <w:pStyle w:val="33"/>
              <w:rPr>
                <w:rFonts w:hint="eastAsia" w:hAnsi="宋体"/>
                <w:b/>
                <w:bCs w:val="0"/>
                <w:color w:val="auto"/>
                <w:sz w:val="24"/>
                <w:szCs w:val="24"/>
                <w:highlight w:val="none"/>
                <w:vertAlign w:val="baseline"/>
                <w:lang w:eastAsia="zh-CN"/>
              </w:rPr>
            </w:pPr>
          </w:p>
        </w:tc>
      </w:tr>
      <w:tr w14:paraId="3B5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0" w:type="pct"/>
          </w:tcPr>
          <w:p w14:paraId="7746AA57">
            <w:pPr>
              <w:pStyle w:val="33"/>
              <w:rPr>
                <w:rFonts w:hint="eastAsia" w:hAnsi="宋体"/>
                <w:b/>
                <w:bCs w:val="0"/>
                <w:color w:val="auto"/>
                <w:sz w:val="24"/>
                <w:szCs w:val="24"/>
                <w:highlight w:val="none"/>
                <w:vertAlign w:val="baseline"/>
                <w:lang w:eastAsia="zh-CN"/>
              </w:rPr>
            </w:pPr>
          </w:p>
        </w:tc>
        <w:tc>
          <w:tcPr>
            <w:tcW w:w="907" w:type="pct"/>
          </w:tcPr>
          <w:p w14:paraId="6D6A5C4C">
            <w:pPr>
              <w:pStyle w:val="33"/>
              <w:rPr>
                <w:rFonts w:hint="eastAsia" w:hAnsi="宋体"/>
                <w:b/>
                <w:bCs w:val="0"/>
                <w:color w:val="auto"/>
                <w:sz w:val="24"/>
                <w:szCs w:val="24"/>
                <w:highlight w:val="none"/>
                <w:vertAlign w:val="baseline"/>
                <w:lang w:eastAsia="zh-CN"/>
              </w:rPr>
            </w:pPr>
          </w:p>
        </w:tc>
        <w:tc>
          <w:tcPr>
            <w:tcW w:w="452" w:type="pct"/>
          </w:tcPr>
          <w:p w14:paraId="66D15138">
            <w:pPr>
              <w:pStyle w:val="33"/>
              <w:rPr>
                <w:rFonts w:hint="eastAsia" w:hAnsi="宋体"/>
                <w:b/>
                <w:bCs w:val="0"/>
                <w:color w:val="auto"/>
                <w:sz w:val="24"/>
                <w:szCs w:val="24"/>
                <w:highlight w:val="none"/>
                <w:vertAlign w:val="baseline"/>
                <w:lang w:eastAsia="zh-CN"/>
              </w:rPr>
            </w:pPr>
          </w:p>
        </w:tc>
        <w:tc>
          <w:tcPr>
            <w:tcW w:w="641" w:type="pct"/>
          </w:tcPr>
          <w:p w14:paraId="6F9032A5">
            <w:pPr>
              <w:pStyle w:val="33"/>
              <w:rPr>
                <w:rFonts w:hint="eastAsia" w:hAnsi="宋体"/>
                <w:b/>
                <w:bCs w:val="0"/>
                <w:color w:val="auto"/>
                <w:sz w:val="24"/>
                <w:szCs w:val="24"/>
                <w:highlight w:val="none"/>
                <w:vertAlign w:val="baseline"/>
                <w:lang w:eastAsia="zh-CN"/>
              </w:rPr>
            </w:pPr>
          </w:p>
        </w:tc>
        <w:tc>
          <w:tcPr>
            <w:tcW w:w="641" w:type="pct"/>
          </w:tcPr>
          <w:p w14:paraId="2B6643AB">
            <w:pPr>
              <w:pStyle w:val="33"/>
              <w:rPr>
                <w:rFonts w:hint="eastAsia" w:hAnsi="宋体"/>
                <w:b/>
                <w:bCs w:val="0"/>
                <w:color w:val="auto"/>
                <w:sz w:val="24"/>
                <w:szCs w:val="24"/>
                <w:highlight w:val="none"/>
                <w:vertAlign w:val="baseline"/>
                <w:lang w:eastAsia="zh-CN"/>
              </w:rPr>
            </w:pPr>
          </w:p>
        </w:tc>
        <w:tc>
          <w:tcPr>
            <w:tcW w:w="539" w:type="pct"/>
          </w:tcPr>
          <w:p w14:paraId="11EB6D08">
            <w:pPr>
              <w:pStyle w:val="33"/>
              <w:rPr>
                <w:rFonts w:hint="eastAsia" w:hAnsi="宋体"/>
                <w:b/>
                <w:bCs w:val="0"/>
                <w:color w:val="auto"/>
                <w:sz w:val="24"/>
                <w:szCs w:val="24"/>
                <w:highlight w:val="none"/>
                <w:vertAlign w:val="baseline"/>
                <w:lang w:eastAsia="zh-CN"/>
              </w:rPr>
            </w:pPr>
          </w:p>
        </w:tc>
        <w:tc>
          <w:tcPr>
            <w:tcW w:w="521" w:type="pct"/>
          </w:tcPr>
          <w:p w14:paraId="1F627458">
            <w:pPr>
              <w:pStyle w:val="33"/>
              <w:rPr>
                <w:rFonts w:hint="eastAsia" w:hAnsi="宋体"/>
                <w:b/>
                <w:bCs w:val="0"/>
                <w:color w:val="auto"/>
                <w:sz w:val="24"/>
                <w:szCs w:val="24"/>
                <w:highlight w:val="none"/>
                <w:vertAlign w:val="baseline"/>
                <w:lang w:eastAsia="zh-CN"/>
              </w:rPr>
            </w:pPr>
          </w:p>
        </w:tc>
        <w:tc>
          <w:tcPr>
            <w:tcW w:w="955" w:type="pct"/>
          </w:tcPr>
          <w:p w14:paraId="19459CA9">
            <w:pPr>
              <w:pStyle w:val="33"/>
              <w:rPr>
                <w:rFonts w:hint="eastAsia" w:hAnsi="宋体"/>
                <w:b/>
                <w:bCs w:val="0"/>
                <w:color w:val="auto"/>
                <w:sz w:val="24"/>
                <w:szCs w:val="24"/>
                <w:highlight w:val="none"/>
                <w:vertAlign w:val="baseline"/>
                <w:lang w:eastAsia="zh-CN"/>
              </w:rPr>
            </w:pPr>
          </w:p>
        </w:tc>
      </w:tr>
    </w:tbl>
    <w:p w14:paraId="28EF7F54">
      <w:pPr>
        <w:pStyle w:val="33"/>
        <w:rPr>
          <w:rFonts w:hint="eastAsia" w:hAnsi="宋体"/>
          <w:b/>
          <w:bCs w:val="0"/>
          <w:color w:val="auto"/>
          <w:sz w:val="24"/>
          <w:szCs w:val="24"/>
          <w:highlight w:val="none"/>
          <w:lang w:eastAsia="zh-CN"/>
        </w:rPr>
      </w:pPr>
    </w:p>
    <w:p w14:paraId="7B3A635B">
      <w:pPr>
        <w:pStyle w:val="33"/>
        <w:rPr>
          <w:rFonts w:hint="eastAsia" w:hAnsi="宋体"/>
          <w:b/>
          <w:bCs w:val="0"/>
          <w:color w:val="auto"/>
          <w:sz w:val="24"/>
          <w:szCs w:val="24"/>
          <w:highlight w:val="none"/>
          <w:lang w:eastAsia="zh-CN"/>
        </w:rPr>
      </w:pPr>
      <w:r>
        <w:rPr>
          <w:rFonts w:hint="eastAsia" w:hAnsi="宋体"/>
          <w:b/>
          <w:bCs w:val="0"/>
          <w:color w:val="auto"/>
          <w:sz w:val="24"/>
          <w:szCs w:val="24"/>
          <w:highlight w:val="none"/>
          <w:lang w:eastAsia="zh-CN"/>
        </w:rPr>
        <w:t>备注：</w:t>
      </w:r>
    </w:p>
    <w:p w14:paraId="690D3CDA">
      <w:pPr>
        <w:pStyle w:val="33"/>
        <w:rPr>
          <w:rFonts w:hint="eastAsia" w:hAnsi="宋体"/>
          <w:b/>
          <w:bCs w:val="0"/>
          <w:color w:val="auto"/>
          <w:sz w:val="24"/>
          <w:szCs w:val="24"/>
          <w:highlight w:val="none"/>
          <w:lang w:eastAsia="zh-CN"/>
        </w:rPr>
      </w:pPr>
      <w:r>
        <w:rPr>
          <w:rFonts w:hint="eastAsia" w:hAnsi="宋体"/>
          <w:b/>
          <w:bCs w:val="0"/>
          <w:color w:val="auto"/>
          <w:sz w:val="24"/>
          <w:szCs w:val="24"/>
          <w:highlight w:val="none"/>
          <w:lang w:eastAsia="zh-CN"/>
        </w:rPr>
        <w:t>以上货物配置清单中的“货物名称、数量及单位、品牌、规格型号、制造商、原产地、参数性能、指标及配置”必须如实填写完整，品牌、规格型号没有则填无，填写有缺漏的，响应文件按无效处理。</w:t>
      </w:r>
    </w:p>
    <w:p w14:paraId="47BDAC40">
      <w:pPr>
        <w:pStyle w:val="33"/>
        <w:rPr>
          <w:rFonts w:hint="eastAsia" w:hAnsi="宋体"/>
          <w:b/>
          <w:bCs w:val="0"/>
          <w:color w:val="auto"/>
          <w:sz w:val="24"/>
          <w:szCs w:val="24"/>
          <w:highlight w:val="none"/>
          <w:lang w:eastAsia="zh-CN"/>
        </w:rPr>
      </w:pPr>
    </w:p>
    <w:p w14:paraId="7CBAF2CD">
      <w:pPr>
        <w:pStyle w:val="33"/>
        <w:rPr>
          <w:rFonts w:hint="eastAsia" w:hAnsi="宋体"/>
          <w:b/>
          <w:bCs w:val="0"/>
          <w:color w:val="auto"/>
          <w:sz w:val="24"/>
          <w:szCs w:val="24"/>
          <w:highlight w:val="none"/>
          <w:lang w:eastAsia="zh-CN"/>
        </w:rPr>
      </w:pPr>
    </w:p>
    <w:p w14:paraId="7C0EBFB3">
      <w:pPr>
        <w:pStyle w:val="18"/>
        <w:spacing w:line="560" w:lineRule="exact"/>
        <w:ind w:firstLine="3240" w:firstLineChars="1620"/>
        <w:rPr>
          <w:rFonts w:hint="default"/>
          <w:color w:val="auto"/>
          <w:highlight w:val="none"/>
          <w:u w:val="single"/>
        </w:rPr>
      </w:pPr>
      <w:r>
        <w:rPr>
          <w:color w:val="auto"/>
          <w:highlight w:val="none"/>
        </w:rPr>
        <w:t>谈判供应商名称（加盖单位公章）：</w:t>
      </w:r>
    </w:p>
    <w:p w14:paraId="7A4BD615">
      <w:pPr>
        <w:pStyle w:val="18"/>
        <w:spacing w:line="560" w:lineRule="exact"/>
        <w:ind w:firstLine="3240" w:firstLineChars="1620"/>
        <w:rPr>
          <w:rFonts w:hint="default"/>
          <w:color w:val="auto"/>
          <w:highlight w:val="none"/>
          <w:u w:val="single"/>
        </w:rPr>
      </w:pPr>
      <w:r>
        <w:rPr>
          <w:color w:val="auto"/>
          <w:highlight w:val="none"/>
        </w:rPr>
        <w:t>法定代表人（负责人）或委托代理人（签字或签章）：</w:t>
      </w:r>
    </w:p>
    <w:p w14:paraId="033C291B">
      <w:pPr>
        <w:pStyle w:val="18"/>
        <w:spacing w:line="440" w:lineRule="exact"/>
        <w:ind w:firstLine="4111"/>
        <w:rPr>
          <w:rFonts w:hint="default" w:hAnsi="宋体"/>
          <w:bCs/>
          <w:color w:val="auto"/>
          <w:highlight w:val="none"/>
        </w:rPr>
      </w:pPr>
      <w:r>
        <w:rPr>
          <w:rFonts w:hAnsi="宋体"/>
          <w:bCs/>
          <w:color w:val="auto"/>
          <w:highlight w:val="none"/>
        </w:rPr>
        <w:t>日期：    年   月   日</w:t>
      </w:r>
    </w:p>
    <w:p w14:paraId="6D198599">
      <w:pPr>
        <w:pStyle w:val="33"/>
        <w:rPr>
          <w:rFonts w:hint="eastAsia" w:hAnsi="宋体"/>
          <w:b/>
          <w:bCs w:val="0"/>
          <w:color w:val="auto"/>
          <w:sz w:val="24"/>
          <w:szCs w:val="24"/>
          <w:highlight w:val="none"/>
          <w:lang w:eastAsia="zh-CN"/>
        </w:rPr>
        <w:sectPr>
          <w:pgSz w:w="11906" w:h="16838"/>
          <w:pgMar w:top="1276"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14:paraId="16166598">
      <w:pPr>
        <w:pStyle w:val="18"/>
        <w:rPr>
          <w:rFonts w:hint="default"/>
          <w:b/>
          <w:color w:val="auto"/>
          <w:sz w:val="30"/>
          <w:highlight w:val="none"/>
        </w:rPr>
      </w:pPr>
    </w:p>
    <w:p w14:paraId="6FA9A1D5">
      <w:pPr>
        <w:pStyle w:val="18"/>
        <w:spacing w:line="360" w:lineRule="auto"/>
        <w:jc w:val="center"/>
        <w:rPr>
          <w:rFonts w:hint="default"/>
          <w:b/>
          <w:color w:val="auto"/>
          <w:sz w:val="28"/>
          <w:szCs w:val="28"/>
          <w:highlight w:val="none"/>
        </w:rPr>
      </w:pPr>
      <w:r>
        <w:rPr>
          <w:b/>
          <w:color w:val="auto"/>
          <w:sz w:val="30"/>
          <w:highlight w:val="none"/>
        </w:rPr>
        <w:t>3、</w:t>
      </w:r>
      <w:r>
        <w:rPr>
          <w:b/>
          <w:color w:val="auto"/>
          <w:sz w:val="28"/>
          <w:szCs w:val="28"/>
          <w:highlight w:val="none"/>
        </w:rPr>
        <w:t>谈判保证金声明（格式，采用转账或电汇形式适用）</w:t>
      </w:r>
    </w:p>
    <w:p w14:paraId="003D5C44">
      <w:pPr>
        <w:pStyle w:val="18"/>
        <w:spacing w:line="360" w:lineRule="auto"/>
        <w:rPr>
          <w:rFonts w:hint="default"/>
          <w:color w:val="auto"/>
          <w:highlight w:val="none"/>
          <w:u w:val="single"/>
        </w:rPr>
      </w:pPr>
    </w:p>
    <w:p w14:paraId="2AFA3157">
      <w:pPr>
        <w:pStyle w:val="18"/>
        <w:spacing w:line="360" w:lineRule="auto"/>
        <w:rPr>
          <w:rFonts w:hint="default"/>
          <w:color w:val="auto"/>
          <w:highlight w:val="none"/>
        </w:rPr>
      </w:pPr>
      <w:r>
        <w:rPr>
          <w:color w:val="auto"/>
          <w:highlight w:val="none"/>
          <w:u w:val="single"/>
        </w:rPr>
        <w:t>广西中信恒泰工程顾问有限公司</w:t>
      </w:r>
      <w:r>
        <w:rPr>
          <w:color w:val="auto"/>
          <w:highlight w:val="none"/>
        </w:rPr>
        <w:t>：</w:t>
      </w:r>
    </w:p>
    <w:p w14:paraId="413EAE49">
      <w:pPr>
        <w:pStyle w:val="18"/>
        <w:spacing w:line="360" w:lineRule="auto"/>
        <w:ind w:firstLine="400" w:firstLineChars="200"/>
        <w:rPr>
          <w:rFonts w:hint="default"/>
          <w:color w:val="auto"/>
          <w:highlight w:val="none"/>
        </w:rPr>
      </w:pPr>
      <w:r>
        <w:rPr>
          <w:color w:val="auto"/>
          <w:highlight w:val="none"/>
        </w:rPr>
        <w:t>我方参加</w:t>
      </w:r>
      <w:r>
        <w:rPr>
          <w:color w:val="auto"/>
          <w:highlight w:val="none"/>
          <w:u w:val="single"/>
        </w:rPr>
        <w:t>（项目名称、项目编号）</w:t>
      </w:r>
      <w:r>
        <w:rPr>
          <w:color w:val="auto"/>
          <w:highlight w:val="none"/>
        </w:rPr>
        <w:t>的竞争性谈判采购活动，缴纳谈判保证金人民币</w:t>
      </w:r>
      <w:r>
        <w:rPr>
          <w:color w:val="auto"/>
          <w:highlight w:val="none"/>
          <w:u w:val="single"/>
        </w:rPr>
        <w:t xml:space="preserve">        （</w:t>
      </w:r>
      <w:r>
        <w:rPr>
          <w:rFonts w:asciiTheme="minorEastAsia" w:hAnsiTheme="minorEastAsia" w:eastAsiaTheme="minorEastAsia"/>
          <w:color w:val="auto"/>
          <w:highlight w:val="none"/>
          <w:u w:val="single"/>
        </w:rPr>
        <w:t>¥</w:t>
      </w:r>
      <w:r>
        <w:rPr>
          <w:color w:val="auto"/>
          <w:highlight w:val="none"/>
          <w:u w:val="single"/>
        </w:rPr>
        <w:t xml:space="preserve">     元）</w:t>
      </w:r>
      <w:r>
        <w:rPr>
          <w:color w:val="auto"/>
          <w:highlight w:val="none"/>
        </w:rPr>
        <w:t>。若没有成交，请贵方在退付谈判保证金时转到以下对公账户：</w:t>
      </w:r>
    </w:p>
    <w:p w14:paraId="7CFC5654">
      <w:pPr>
        <w:pStyle w:val="18"/>
        <w:spacing w:line="360" w:lineRule="auto"/>
        <w:ind w:firstLine="400" w:firstLineChars="200"/>
        <w:rPr>
          <w:rFonts w:hint="default"/>
          <w:color w:val="auto"/>
          <w:highlight w:val="none"/>
          <w:u w:val="single"/>
        </w:rPr>
      </w:pPr>
      <w:r>
        <w:rPr>
          <w:color w:val="auto"/>
          <w:highlight w:val="none"/>
        </w:rPr>
        <w:t>开户名称：</w:t>
      </w:r>
    </w:p>
    <w:p w14:paraId="0A029A8C">
      <w:pPr>
        <w:pStyle w:val="18"/>
        <w:spacing w:line="360" w:lineRule="auto"/>
        <w:ind w:firstLine="400" w:firstLineChars="200"/>
        <w:rPr>
          <w:rFonts w:hint="default"/>
          <w:color w:val="auto"/>
          <w:highlight w:val="none"/>
          <w:u w:val="single"/>
        </w:rPr>
      </w:pPr>
      <w:r>
        <w:rPr>
          <w:color w:val="auto"/>
          <w:highlight w:val="none"/>
        </w:rPr>
        <w:t>开户银行：</w:t>
      </w:r>
    </w:p>
    <w:p w14:paraId="0331A17E">
      <w:pPr>
        <w:pStyle w:val="18"/>
        <w:spacing w:line="360" w:lineRule="auto"/>
        <w:ind w:firstLine="400" w:firstLineChars="200"/>
        <w:rPr>
          <w:rFonts w:hint="default"/>
          <w:color w:val="auto"/>
          <w:highlight w:val="none"/>
          <w:u w:val="single"/>
        </w:rPr>
      </w:pPr>
      <w:r>
        <w:rPr>
          <w:color w:val="auto"/>
          <w:highlight w:val="none"/>
        </w:rPr>
        <w:t>银行账号：</w:t>
      </w:r>
    </w:p>
    <w:p w14:paraId="5FCD694E">
      <w:pPr>
        <w:pStyle w:val="18"/>
        <w:spacing w:line="360" w:lineRule="auto"/>
        <w:ind w:firstLine="400" w:firstLineChars="200"/>
        <w:rPr>
          <w:rFonts w:hint="default"/>
          <w:color w:val="auto"/>
          <w:highlight w:val="none"/>
        </w:rPr>
      </w:pPr>
      <w:r>
        <w:rPr>
          <w:color w:val="auto"/>
          <w:highlight w:val="none"/>
        </w:rPr>
        <w:t>联系人：</w:t>
      </w:r>
    </w:p>
    <w:p w14:paraId="27DBCA32">
      <w:pPr>
        <w:pStyle w:val="18"/>
        <w:spacing w:line="360" w:lineRule="auto"/>
        <w:ind w:firstLine="400" w:firstLineChars="200"/>
        <w:rPr>
          <w:rFonts w:hint="default"/>
          <w:color w:val="auto"/>
          <w:highlight w:val="none"/>
        </w:rPr>
      </w:pPr>
      <w:r>
        <w:rPr>
          <w:color w:val="auto"/>
          <w:highlight w:val="none"/>
        </w:rPr>
        <w:t>联系电话（手机）：</w:t>
      </w:r>
    </w:p>
    <w:p w14:paraId="15E75D08">
      <w:pPr>
        <w:pStyle w:val="18"/>
        <w:spacing w:line="360" w:lineRule="auto"/>
        <w:ind w:firstLine="400" w:firstLineChars="200"/>
        <w:rPr>
          <w:rFonts w:hint="default"/>
          <w:color w:val="auto"/>
          <w:highlight w:val="none"/>
        </w:rPr>
      </w:pPr>
    </w:p>
    <w:p w14:paraId="71E69EDD">
      <w:pPr>
        <w:pStyle w:val="18"/>
        <w:spacing w:line="360" w:lineRule="auto"/>
        <w:ind w:firstLine="400" w:firstLineChars="200"/>
        <w:rPr>
          <w:rFonts w:hint="default"/>
          <w:color w:val="auto"/>
          <w:highlight w:val="none"/>
        </w:rPr>
      </w:pPr>
      <w:r>
        <w:rPr>
          <w:color w:val="auto"/>
          <w:highlight w:val="none"/>
        </w:rPr>
        <w:t>特此声明！</w:t>
      </w:r>
    </w:p>
    <w:p w14:paraId="5669688A">
      <w:pPr>
        <w:pStyle w:val="18"/>
        <w:spacing w:line="360" w:lineRule="auto"/>
        <w:ind w:firstLine="400" w:firstLineChars="200"/>
        <w:rPr>
          <w:rFonts w:hint="default"/>
          <w:color w:val="auto"/>
          <w:highlight w:val="none"/>
        </w:rPr>
      </w:pPr>
    </w:p>
    <w:p w14:paraId="3A406B9C">
      <w:pPr>
        <w:pStyle w:val="18"/>
        <w:spacing w:line="560" w:lineRule="exact"/>
        <w:ind w:firstLine="3240" w:firstLineChars="1620"/>
        <w:rPr>
          <w:rFonts w:hint="default"/>
          <w:color w:val="auto"/>
          <w:highlight w:val="none"/>
          <w:u w:val="single"/>
        </w:rPr>
      </w:pPr>
      <w:r>
        <w:rPr>
          <w:color w:val="auto"/>
          <w:highlight w:val="none"/>
        </w:rPr>
        <w:t>谈判供应商名称（加盖单位公章）：</w:t>
      </w:r>
    </w:p>
    <w:p w14:paraId="113E333F">
      <w:pPr>
        <w:pStyle w:val="18"/>
        <w:spacing w:line="360" w:lineRule="auto"/>
        <w:ind w:firstLine="4860" w:firstLineChars="2430"/>
        <w:rPr>
          <w:rFonts w:hint="default"/>
          <w:color w:val="auto"/>
          <w:highlight w:val="none"/>
        </w:rPr>
      </w:pPr>
      <w:r>
        <w:rPr>
          <w:color w:val="auto"/>
          <w:highlight w:val="none"/>
        </w:rPr>
        <w:t>日期：年月日</w:t>
      </w:r>
    </w:p>
    <w:tbl>
      <w:tblPr>
        <w:tblStyle w:val="3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08AE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8900" w:type="dxa"/>
            <w:vAlign w:val="center"/>
          </w:tcPr>
          <w:p w14:paraId="456131C4">
            <w:pPr>
              <w:pStyle w:val="18"/>
              <w:spacing w:line="560" w:lineRule="exact"/>
              <w:jc w:val="center"/>
              <w:rPr>
                <w:rFonts w:hint="default"/>
                <w:b/>
                <w:color w:val="auto"/>
                <w:sz w:val="28"/>
                <w:szCs w:val="28"/>
                <w:highlight w:val="none"/>
              </w:rPr>
            </w:pPr>
            <w:r>
              <w:rPr>
                <w:color w:val="auto"/>
                <w:highlight w:val="none"/>
              </w:rPr>
              <w:t>（粘贴谈判保证金缴纳凭证复印件）</w:t>
            </w:r>
          </w:p>
          <w:p w14:paraId="78A49AF5">
            <w:pPr>
              <w:pStyle w:val="18"/>
              <w:spacing w:line="560" w:lineRule="exact"/>
              <w:jc w:val="center"/>
              <w:rPr>
                <w:rFonts w:hint="default"/>
                <w:color w:val="auto"/>
                <w:highlight w:val="none"/>
              </w:rPr>
            </w:pPr>
          </w:p>
        </w:tc>
      </w:tr>
    </w:tbl>
    <w:p w14:paraId="46F03129">
      <w:pPr>
        <w:pStyle w:val="18"/>
        <w:spacing w:line="560" w:lineRule="exact"/>
        <w:jc w:val="center"/>
        <w:rPr>
          <w:rFonts w:hint="default"/>
          <w:color w:val="auto"/>
          <w:highlight w:val="none"/>
        </w:rPr>
      </w:pPr>
    </w:p>
    <w:p w14:paraId="1E251B70">
      <w:pPr>
        <w:pStyle w:val="18"/>
        <w:rPr>
          <w:rFonts w:hint="default"/>
          <w:b/>
          <w:color w:val="auto"/>
          <w:sz w:val="30"/>
          <w:highlight w:val="none"/>
        </w:rPr>
      </w:pPr>
    </w:p>
    <w:p w14:paraId="53932E16">
      <w:pPr>
        <w:pStyle w:val="18"/>
        <w:jc w:val="center"/>
        <w:rPr>
          <w:rFonts w:hint="default"/>
          <w:b/>
          <w:color w:val="auto"/>
          <w:highlight w:val="none"/>
        </w:rPr>
      </w:pPr>
      <w:r>
        <w:rPr>
          <w:b/>
          <w:color w:val="auto"/>
          <w:highlight w:val="none"/>
        </w:rPr>
        <w:t>备注：1、供应商应另备一份谈判保证金声明原件，在开标会上备查；</w:t>
      </w:r>
    </w:p>
    <w:p w14:paraId="5D58D8DA">
      <w:pPr>
        <w:pStyle w:val="18"/>
        <w:rPr>
          <w:b/>
          <w:color w:val="auto"/>
          <w:highlight w:val="none"/>
        </w:rPr>
      </w:pPr>
      <w:r>
        <w:rPr>
          <w:b/>
          <w:color w:val="auto"/>
          <w:highlight w:val="none"/>
        </w:rPr>
        <w:t xml:space="preserve">                    2、采用支票、汇票、本票、保函形式缴纳保证金的，不用提供。</w:t>
      </w:r>
    </w:p>
    <w:p w14:paraId="4C3B76B2">
      <w:pPr>
        <w:rPr>
          <w:b/>
          <w:color w:val="auto"/>
          <w:highlight w:val="none"/>
        </w:rPr>
      </w:pPr>
      <w:r>
        <w:rPr>
          <w:b/>
          <w:color w:val="auto"/>
          <w:highlight w:val="none"/>
        </w:rPr>
        <w:br w:type="page"/>
      </w:r>
    </w:p>
    <w:p w14:paraId="0605ACE5">
      <w:pPr>
        <w:pStyle w:val="18"/>
        <w:spacing w:before="240" w:line="560" w:lineRule="exact"/>
        <w:jc w:val="center"/>
        <w:rPr>
          <w:rFonts w:hint="default" w:asciiTheme="minorEastAsia" w:hAnsiTheme="minorEastAsia" w:eastAsiaTheme="minorEastAsia"/>
          <w:bCs/>
          <w:color w:val="auto"/>
          <w:sz w:val="28"/>
          <w:szCs w:val="28"/>
          <w:highlight w:val="none"/>
        </w:rPr>
      </w:pPr>
      <w:r>
        <w:rPr>
          <w:rFonts w:asciiTheme="minorEastAsia" w:hAnsiTheme="minorEastAsia" w:eastAsiaTheme="minorEastAsia"/>
          <w:b/>
          <w:color w:val="auto"/>
          <w:sz w:val="32"/>
          <w:highlight w:val="none"/>
        </w:rPr>
        <w:t>4</w:t>
      </w:r>
      <w:r>
        <w:rPr>
          <w:rFonts w:asciiTheme="minorEastAsia" w:hAnsiTheme="minorEastAsia" w:eastAsiaTheme="minorEastAsia"/>
          <w:b/>
          <w:color w:val="auto"/>
          <w:sz w:val="28"/>
          <w:szCs w:val="28"/>
          <w:highlight w:val="none"/>
        </w:rPr>
        <w:t>法定代表人（负责人）身份证明书（格式）</w:t>
      </w:r>
    </w:p>
    <w:p w14:paraId="10DF9207">
      <w:pPr>
        <w:spacing w:line="740" w:lineRule="exact"/>
        <w:ind w:firstLine="840" w:firstLineChars="400"/>
        <w:rPr>
          <w:color w:val="auto"/>
          <w:szCs w:val="21"/>
          <w:highlight w:val="none"/>
          <w:u w:val="single"/>
        </w:rPr>
      </w:pPr>
    </w:p>
    <w:p w14:paraId="46CC9ECF">
      <w:pPr>
        <w:spacing w:line="600" w:lineRule="exact"/>
        <w:ind w:firstLine="420" w:firstLineChars="200"/>
        <w:rPr>
          <w:rFonts w:hAnsi="宋体"/>
          <w:color w:val="auto"/>
          <w:highlight w:val="none"/>
        </w:rPr>
      </w:pPr>
      <w:r>
        <w:rPr>
          <w:rFonts w:hint="eastAsia" w:hAnsi="宋体"/>
          <w:color w:val="auto"/>
          <w:highlight w:val="none"/>
        </w:rPr>
        <w:t xml:space="preserve">我 </w:t>
      </w:r>
      <w:r>
        <w:rPr>
          <w:rFonts w:hint="eastAsia" w:hAnsi="宋体"/>
          <w:color w:val="auto"/>
          <w:highlight w:val="none"/>
          <w:u w:val="single"/>
        </w:rPr>
        <w:t xml:space="preserve">  （姓名） </w:t>
      </w:r>
      <w:r>
        <w:rPr>
          <w:rFonts w:hint="eastAsia" w:hAnsi="宋体"/>
          <w:color w:val="auto"/>
          <w:highlight w:val="none"/>
        </w:rPr>
        <w:t>系</w:t>
      </w:r>
      <w:r>
        <w:rPr>
          <w:rFonts w:hint="eastAsia" w:hAnsi="宋体"/>
          <w:color w:val="auto"/>
          <w:highlight w:val="none"/>
          <w:u w:val="single"/>
        </w:rPr>
        <w:t xml:space="preserve">（谈判供应商名称）     </w:t>
      </w:r>
      <w:r>
        <w:rPr>
          <w:rFonts w:hint="eastAsia" w:hAnsi="宋体"/>
          <w:color w:val="auto"/>
          <w:highlight w:val="none"/>
        </w:rPr>
        <w:t>的法定代表人（负责人），以本公司的名义参加</w:t>
      </w:r>
      <w:r>
        <w:rPr>
          <w:rFonts w:hint="eastAsia" w:hAnsi="宋体"/>
          <w:color w:val="auto"/>
          <w:highlight w:val="none"/>
          <w:u w:val="single"/>
        </w:rPr>
        <w:t xml:space="preserve">  （项目名称）  </w:t>
      </w:r>
      <w:r>
        <w:rPr>
          <w:rFonts w:hint="eastAsia" w:hAnsi="宋体"/>
          <w:color w:val="auto"/>
          <w:highlight w:val="none"/>
        </w:rPr>
        <w:t>项目的谈判活动。并在竞标和合同谈判过程中签署一切文件和处理与之有关的一切事务。</w:t>
      </w:r>
    </w:p>
    <w:p w14:paraId="2B39E0C8">
      <w:pPr>
        <w:spacing w:line="600" w:lineRule="exact"/>
        <w:ind w:firstLine="420" w:firstLineChars="200"/>
        <w:rPr>
          <w:rFonts w:hAnsi="宋体"/>
          <w:color w:val="auto"/>
          <w:highlight w:val="none"/>
        </w:rPr>
      </w:pPr>
      <w:r>
        <w:rPr>
          <w:rFonts w:hint="eastAsia" w:hAnsi="宋体"/>
          <w:color w:val="auto"/>
          <w:highlight w:val="none"/>
        </w:rPr>
        <w:t>特此证明。</w:t>
      </w:r>
    </w:p>
    <w:p w14:paraId="1C17AAF5">
      <w:pPr>
        <w:spacing w:line="600" w:lineRule="exact"/>
        <w:ind w:firstLine="420" w:firstLineChars="200"/>
        <w:rPr>
          <w:rFonts w:hAnsi="宋体"/>
          <w:color w:val="auto"/>
          <w:highlight w:val="none"/>
        </w:rPr>
      </w:pPr>
      <w:r>
        <w:rPr>
          <w:rFonts w:hint="eastAsia" w:hAnsi="宋体"/>
          <w:color w:val="auto"/>
          <w:highlight w:val="none"/>
        </w:rPr>
        <w:t>谈判供应商：（加盖公章）</w:t>
      </w:r>
    </w:p>
    <w:p w14:paraId="2E8F13B7">
      <w:pPr>
        <w:spacing w:line="600" w:lineRule="exact"/>
        <w:ind w:firstLine="420" w:firstLineChars="200"/>
        <w:rPr>
          <w:rFonts w:hAnsi="宋体"/>
          <w:color w:val="auto"/>
          <w:highlight w:val="none"/>
        </w:rPr>
      </w:pPr>
      <w:r>
        <w:rPr>
          <w:rFonts w:hint="eastAsia" w:hAnsi="宋体"/>
          <w:color w:val="auto"/>
          <w:highlight w:val="none"/>
        </w:rPr>
        <w:t>日期：</w:t>
      </w:r>
      <w:r>
        <w:rPr>
          <w:rFonts w:hint="eastAsia" w:hAnsi="宋体"/>
          <w:color w:val="auto"/>
          <w:highlight w:val="none"/>
          <w:u w:val="single"/>
        </w:rPr>
        <w:t xml:space="preserve">       年    月    日</w:t>
      </w:r>
    </w:p>
    <w:p w14:paraId="01ED81EE">
      <w:pPr>
        <w:spacing w:line="600" w:lineRule="exact"/>
        <w:rPr>
          <w:rFonts w:hAnsi="宋体"/>
          <w:color w:val="auto"/>
          <w:sz w:val="24"/>
          <w:highlight w:val="none"/>
        </w:rPr>
      </w:pPr>
    </w:p>
    <w:p w14:paraId="202307EA">
      <w:pPr>
        <w:spacing w:after="50" w:line="400" w:lineRule="exact"/>
        <w:rPr>
          <w:rFonts w:hAnsi="宋体"/>
          <w:color w:val="auto"/>
          <w:sz w:val="24"/>
          <w:highlight w:val="none"/>
        </w:rPr>
      </w:pPr>
    </w:p>
    <w:p w14:paraId="04BB9D66">
      <w:pPr>
        <w:spacing w:line="600" w:lineRule="exact"/>
        <w:rPr>
          <w:rFonts w:hAnsi="宋体"/>
          <w:color w:val="auto"/>
          <w:highlight w:val="none"/>
        </w:rPr>
      </w:pPr>
      <w:r>
        <w:rPr>
          <w:rFonts w:hint="eastAsia" w:hAnsi="宋体"/>
          <w:color w:val="auto"/>
          <w:highlight w:val="none"/>
        </w:rPr>
        <w:t>附：法定代表人（负责人）身份证复印件。</w:t>
      </w:r>
    </w:p>
    <w:p w14:paraId="44C3BB22">
      <w:pPr>
        <w:pStyle w:val="18"/>
        <w:spacing w:before="240" w:line="560" w:lineRule="exact"/>
        <w:jc w:val="center"/>
        <w:rPr>
          <w:rFonts w:hint="default"/>
          <w:b/>
          <w:color w:val="auto"/>
          <w:highlight w:val="none"/>
          <w:u w:val="single"/>
        </w:rPr>
      </w:pPr>
      <w:r>
        <w:rPr>
          <w:rFonts w:hint="default"/>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384810</wp:posOffset>
                </wp:positionV>
                <wp:extent cx="5871210" cy="3608705"/>
                <wp:effectExtent l="5080" t="5080" r="6350" b="13335"/>
                <wp:wrapNone/>
                <wp:docPr id="6" name="文本框 11"/>
                <wp:cNvGraphicFramePr/>
                <a:graphic xmlns:a="http://schemas.openxmlformats.org/drawingml/2006/main">
                  <a:graphicData uri="http://schemas.microsoft.com/office/word/2010/wordprocessingShape">
                    <wps:wsp>
                      <wps:cNvSpPr txBox="1"/>
                      <wps:spPr>
                        <a:xfrm>
                          <a:off x="0" y="0"/>
                          <a:ext cx="5871210" cy="3608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48F66F">
                            <w:pPr>
                              <w:jc w:val="center"/>
                              <w:rPr>
                                <w:szCs w:val="21"/>
                              </w:rPr>
                            </w:pPr>
                            <w:r>
                              <w:rPr>
                                <w:rFonts w:hint="eastAsia"/>
                                <w:szCs w:val="21"/>
                              </w:rPr>
                              <w:t>法定代表人（负责人）身份证(正、背)面复印件粘贴处</w:t>
                            </w:r>
                          </w:p>
                          <w:p w14:paraId="42D0B3FB">
                            <w:pPr>
                              <w:jc w:val="center"/>
                              <w:rPr>
                                <w:color w:val="0000FF"/>
                              </w:rPr>
                            </w:pPr>
                          </w:p>
                        </w:txbxContent>
                      </wps:txbx>
                      <wps:bodyPr vert="horz" anchor="t" anchorCtr="0" upright="1"/>
                    </wps:wsp>
                  </a:graphicData>
                </a:graphic>
              </wp:anchor>
            </w:drawing>
          </mc:Choice>
          <mc:Fallback>
            <w:pict>
              <v:shape id="文本框 11" o:spid="_x0000_s1026" o:spt="202" type="#_x0000_t202" style="position:absolute;left:0pt;margin-left:9pt;margin-top:30.3pt;height:284.15pt;width:462.3pt;z-index:251661312;mso-width-relative:page;mso-height-relative:page;" fillcolor="#FFFFFF" filled="t" stroked="t" coordsize="21600,21600" o:gfxdata="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ZuZYDXAAAACQEAAA8AAAAAAAAAAQAgAAAAIgAAAGRycy9kb3ducmV2LnhtbFBLAQIUABQAAAAI&#10;AIdO4kCFCRg+JwIAAGsEAAAOAAAAAAAAAAEAIAAAACYBAABkcnMvZTJvRG9jLnhtbFBLBQYAAAAA&#10;BgAGAFkBAAC/BQAAAAA=&#10;">
                <v:fill on="t" focussize="0,0"/>
                <v:stroke color="#000000" joinstyle="miter"/>
                <v:imagedata o:title=""/>
                <o:lock v:ext="edit" aspectratio="f"/>
                <v:textbox>
                  <w:txbxContent>
                    <w:p w14:paraId="3748F66F">
                      <w:pPr>
                        <w:jc w:val="center"/>
                        <w:rPr>
                          <w:szCs w:val="21"/>
                        </w:rPr>
                      </w:pPr>
                      <w:r>
                        <w:rPr>
                          <w:rFonts w:hint="eastAsia"/>
                          <w:szCs w:val="21"/>
                        </w:rPr>
                        <w:t>法定代表人（负责人）身份证(正、背)面复印件粘贴处</w:t>
                      </w:r>
                    </w:p>
                    <w:p w14:paraId="42D0B3FB">
                      <w:pPr>
                        <w:jc w:val="center"/>
                        <w:rPr>
                          <w:color w:val="0000FF"/>
                        </w:rPr>
                      </w:pPr>
                    </w:p>
                  </w:txbxContent>
                </v:textbox>
              </v:shape>
            </w:pict>
          </mc:Fallback>
        </mc:AlternateContent>
      </w:r>
      <w:r>
        <w:rPr>
          <w:color w:val="auto"/>
          <w:highlight w:val="none"/>
        </w:rPr>
        <w:br w:type="page"/>
      </w:r>
      <w:r>
        <w:rPr>
          <w:b/>
          <w:color w:val="auto"/>
          <w:sz w:val="28"/>
          <w:szCs w:val="28"/>
          <w:highlight w:val="none"/>
        </w:rPr>
        <w:t>4.</w:t>
      </w:r>
      <w:r>
        <w:rPr>
          <w:rFonts w:hint="eastAsia"/>
          <w:b/>
          <w:color w:val="auto"/>
          <w:sz w:val="28"/>
          <w:szCs w:val="28"/>
          <w:highlight w:val="none"/>
          <w:lang w:val="en-US" w:eastAsia="zh-CN"/>
        </w:rPr>
        <w:t>1</w:t>
      </w:r>
      <w:r>
        <w:rPr>
          <w:rFonts w:asciiTheme="minorEastAsia" w:hAnsiTheme="minorEastAsia" w:eastAsiaTheme="minorEastAsia"/>
          <w:b/>
          <w:color w:val="auto"/>
          <w:sz w:val="28"/>
          <w:szCs w:val="28"/>
          <w:highlight w:val="none"/>
        </w:rPr>
        <w:t>授权委托书格式（格式）</w:t>
      </w:r>
    </w:p>
    <w:p w14:paraId="1C541EE2">
      <w:pPr>
        <w:pStyle w:val="18"/>
        <w:rPr>
          <w:rFonts w:hint="default"/>
          <w:color w:val="auto"/>
          <w:highlight w:val="none"/>
        </w:rPr>
      </w:pPr>
    </w:p>
    <w:p w14:paraId="4C5AA8EC">
      <w:pPr>
        <w:pStyle w:val="18"/>
        <w:spacing w:line="480" w:lineRule="exact"/>
        <w:rPr>
          <w:rFonts w:hint="default"/>
          <w:color w:val="auto"/>
          <w:highlight w:val="none"/>
        </w:rPr>
      </w:pPr>
      <w:r>
        <w:rPr>
          <w:color w:val="auto"/>
          <w:highlight w:val="none"/>
        </w:rPr>
        <w:t>广西中信恒泰工程顾问有限公司：</w:t>
      </w:r>
    </w:p>
    <w:p w14:paraId="617F9C2C">
      <w:pPr>
        <w:pStyle w:val="18"/>
        <w:spacing w:line="480" w:lineRule="exact"/>
        <w:ind w:firstLine="420"/>
        <w:rPr>
          <w:rFonts w:hint="default"/>
          <w:color w:val="auto"/>
          <w:highlight w:val="none"/>
        </w:rPr>
      </w:pPr>
      <w:r>
        <w:rPr>
          <w:color w:val="auto"/>
          <w:highlight w:val="none"/>
        </w:rPr>
        <w:t>兹授权</w:t>
      </w:r>
      <w:r>
        <w:rPr>
          <w:color w:val="auto"/>
          <w:highlight w:val="none"/>
          <w:u w:val="single"/>
        </w:rPr>
        <w:t>（姓 名）</w:t>
      </w:r>
      <w:r>
        <w:rPr>
          <w:color w:val="auto"/>
          <w:highlight w:val="none"/>
        </w:rPr>
        <w:t>同志为我方参加贵单位组织的</w:t>
      </w:r>
      <w:r>
        <w:rPr>
          <w:color w:val="auto"/>
          <w:highlight w:val="none"/>
          <w:u w:val="single"/>
        </w:rPr>
        <w:t xml:space="preserve">   （项目名称）  </w:t>
      </w:r>
      <w:r>
        <w:rPr>
          <w:color w:val="auto"/>
          <w:highlight w:val="none"/>
        </w:rPr>
        <w:t>项目（项目编号</w:t>
      </w:r>
      <w:r>
        <w:rPr>
          <w:color w:val="auto"/>
          <w:highlight w:val="none"/>
          <w:u w:val="single"/>
        </w:rPr>
        <w:t xml:space="preserve">：      </w:t>
      </w:r>
      <w:r>
        <w:rPr>
          <w:color w:val="auto"/>
          <w:highlight w:val="none"/>
        </w:rPr>
        <w:t>）谈判活动的代理人，全权代表我方处理在该项目活动中的一切事宜。</w:t>
      </w:r>
    </w:p>
    <w:p w14:paraId="7FBE3AA0">
      <w:pPr>
        <w:pStyle w:val="18"/>
        <w:spacing w:line="480" w:lineRule="exact"/>
        <w:ind w:firstLine="420"/>
        <w:rPr>
          <w:rFonts w:hint="default"/>
          <w:color w:val="auto"/>
          <w:highlight w:val="none"/>
        </w:rPr>
      </w:pPr>
      <w:r>
        <w:rPr>
          <w:color w:val="auto"/>
          <w:highlight w:val="none"/>
        </w:rPr>
        <w:t>代理期限从    年    月   日至    年    月    日止</w:t>
      </w:r>
    </w:p>
    <w:p w14:paraId="0A172C62">
      <w:pPr>
        <w:pStyle w:val="18"/>
        <w:spacing w:line="480" w:lineRule="exact"/>
        <w:rPr>
          <w:rFonts w:hint="default"/>
          <w:color w:val="auto"/>
          <w:highlight w:val="none"/>
        </w:rPr>
      </w:pPr>
    </w:p>
    <w:p w14:paraId="5C12C07F">
      <w:pPr>
        <w:pStyle w:val="18"/>
        <w:spacing w:line="480" w:lineRule="exact"/>
        <w:ind w:firstLine="420"/>
        <w:rPr>
          <w:rFonts w:hint="default"/>
          <w:color w:val="auto"/>
          <w:highlight w:val="none"/>
        </w:rPr>
      </w:pPr>
      <w:r>
        <w:rPr>
          <w:color w:val="auto"/>
          <w:highlight w:val="none"/>
        </w:rPr>
        <w:t>授权单位（加盖单位公章）：</w:t>
      </w:r>
    </w:p>
    <w:p w14:paraId="416B74C4">
      <w:pPr>
        <w:pStyle w:val="18"/>
        <w:spacing w:line="480" w:lineRule="exact"/>
        <w:ind w:firstLine="420"/>
        <w:rPr>
          <w:rFonts w:hint="default"/>
          <w:color w:val="auto"/>
          <w:highlight w:val="none"/>
        </w:rPr>
      </w:pPr>
      <w:r>
        <w:rPr>
          <w:color w:val="auto"/>
          <w:highlight w:val="none"/>
        </w:rPr>
        <w:t>法定代表人（负责人）（签字或签章）：</w:t>
      </w:r>
    </w:p>
    <w:p w14:paraId="7DF61064">
      <w:pPr>
        <w:pStyle w:val="18"/>
        <w:spacing w:line="480" w:lineRule="exact"/>
        <w:ind w:firstLine="420"/>
        <w:rPr>
          <w:rFonts w:hint="default"/>
          <w:color w:val="auto"/>
          <w:highlight w:val="none"/>
        </w:rPr>
      </w:pPr>
      <w:r>
        <w:rPr>
          <w:color w:val="auto"/>
          <w:highlight w:val="none"/>
        </w:rPr>
        <w:t>签发日期：    年      月     日</w:t>
      </w:r>
    </w:p>
    <w:p w14:paraId="2029B1AC">
      <w:pPr>
        <w:pStyle w:val="18"/>
        <w:spacing w:line="480" w:lineRule="exact"/>
        <w:rPr>
          <w:rFonts w:hint="default"/>
          <w:color w:val="auto"/>
          <w:highlight w:val="none"/>
        </w:rPr>
      </w:pPr>
    </w:p>
    <w:p w14:paraId="2CC91919">
      <w:pPr>
        <w:pStyle w:val="18"/>
        <w:spacing w:line="480" w:lineRule="exact"/>
        <w:rPr>
          <w:rFonts w:hint="default"/>
          <w:color w:val="auto"/>
          <w:highlight w:val="none"/>
        </w:rPr>
      </w:pPr>
      <w:r>
        <w:rPr>
          <w:rFonts w:hint="default"/>
          <w:color w:val="auto"/>
          <w:highlight w:val="none"/>
        </w:rPr>
        <mc:AlternateContent>
          <mc:Choice Requires="wps">
            <w:drawing>
              <wp:anchor distT="179705"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4445" r="0" b="5080"/>
                <wp:wrapTopAndBottom/>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83pt;mso-wrap-distance-bottom:0pt;mso-wrap-distance-top:14.15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B1T30AAAAAIB&#10;AAAPAAAAAAAAAAEAIAAAACIAAABkcnMvZG93bnJldi54bWxQSwECFAAUAAAACACHTuJAq+bc4eoB&#10;AAC4AwAADgAAAAAAAAABACAAAAAfAQAAZHJzL2Uyb0RvYy54bWxQSwUGAAAAAAYABgBZAQAAewUA&#10;AAAA&#10;">
                <v:fill on="f" focussize="0,0"/>
                <v:stroke color="#000000" joinstyle="round"/>
                <v:imagedata o:title=""/>
                <o:lock v:ext="edit" aspectratio="f"/>
                <w10:wrap type="topAndBottom"/>
              </v:line>
            </w:pict>
          </mc:Fallback>
        </mc:AlternateContent>
      </w:r>
      <w:r>
        <w:rPr>
          <w:color w:val="auto"/>
          <w:highlight w:val="none"/>
        </w:rPr>
        <w:t xml:space="preserve">    附：代理人工作单位：                       职务：</w:t>
      </w:r>
    </w:p>
    <w:p w14:paraId="7C7BD459">
      <w:pPr>
        <w:pStyle w:val="18"/>
        <w:spacing w:line="480" w:lineRule="exact"/>
        <w:ind w:firstLine="420"/>
        <w:rPr>
          <w:rFonts w:hint="default"/>
          <w:color w:val="auto"/>
          <w:highlight w:val="none"/>
        </w:rPr>
      </w:pPr>
      <w:r>
        <w:rPr>
          <w:color w:val="auto"/>
          <w:highlight w:val="none"/>
        </w:rPr>
        <w:t xml:space="preserve">    姓名：         身份证号码：                      性别：           年龄：</w:t>
      </w:r>
    </w:p>
    <w:p w14:paraId="0560331F">
      <w:pPr>
        <w:pStyle w:val="18"/>
        <w:spacing w:line="480" w:lineRule="exact"/>
        <w:rPr>
          <w:rFonts w:hint="default"/>
          <w:color w:val="auto"/>
          <w:highlight w:val="none"/>
        </w:rPr>
      </w:pPr>
    </w:p>
    <w:p w14:paraId="7BED009C">
      <w:pPr>
        <w:pStyle w:val="18"/>
        <w:spacing w:line="480" w:lineRule="exact"/>
        <w:ind w:firstLine="420"/>
        <w:rPr>
          <w:rFonts w:hint="default"/>
          <w:color w:val="auto"/>
          <w:highlight w:val="none"/>
        </w:rPr>
      </w:pPr>
      <w:r>
        <w:rPr>
          <w:color w:val="auto"/>
          <w:highlight w:val="none"/>
        </w:rPr>
        <w:t>说明：</w:t>
      </w:r>
    </w:p>
    <w:p w14:paraId="40D8DE1F">
      <w:pPr>
        <w:pStyle w:val="18"/>
        <w:spacing w:line="480" w:lineRule="exact"/>
        <w:ind w:firstLine="735"/>
        <w:rPr>
          <w:rFonts w:hint="default"/>
          <w:color w:val="auto"/>
          <w:highlight w:val="none"/>
        </w:rPr>
      </w:pPr>
      <w:r>
        <w:rPr>
          <w:color w:val="auto"/>
          <w:highlight w:val="none"/>
        </w:rPr>
        <w:t>1、授权委托书所签发的代理期限必须涵盖代理人所有签字为有效的时间。</w:t>
      </w:r>
    </w:p>
    <w:p w14:paraId="47961F52">
      <w:pPr>
        <w:pStyle w:val="18"/>
        <w:spacing w:line="480" w:lineRule="exact"/>
        <w:ind w:firstLine="735"/>
        <w:rPr>
          <w:rFonts w:hint="default"/>
          <w:color w:val="auto"/>
          <w:highlight w:val="none"/>
        </w:rPr>
      </w:pPr>
      <w:r>
        <w:rPr>
          <w:color w:val="auto"/>
          <w:highlight w:val="none"/>
        </w:rPr>
        <w:t>2、委托书内容填写要明确，文字要工整清楚，涂改无效。</w:t>
      </w:r>
    </w:p>
    <w:p w14:paraId="045CCFA1">
      <w:pPr>
        <w:pStyle w:val="18"/>
        <w:spacing w:line="480" w:lineRule="exact"/>
        <w:ind w:firstLine="735"/>
        <w:rPr>
          <w:rFonts w:hint="default"/>
          <w:color w:val="auto"/>
          <w:highlight w:val="none"/>
        </w:rPr>
      </w:pPr>
      <w:r>
        <w:rPr>
          <w:color w:val="auto"/>
          <w:highlight w:val="none"/>
        </w:rPr>
        <w:t>3、委托书不得转借、转让，不得买卖。</w:t>
      </w:r>
    </w:p>
    <w:p w14:paraId="276BDBDF">
      <w:pPr>
        <w:pStyle w:val="18"/>
        <w:spacing w:line="560" w:lineRule="exact"/>
        <w:ind w:firstLine="600" w:firstLineChars="300"/>
        <w:rPr>
          <w:rFonts w:hint="default"/>
          <w:color w:val="auto"/>
          <w:highlight w:val="none"/>
        </w:rPr>
      </w:pPr>
      <w:r>
        <w:rPr>
          <w:color w:val="auto"/>
          <w:highlight w:val="none"/>
        </w:rPr>
        <w:t>代理人根据授权范围，以委托单位的名义签订合同，并将此委托书提交给对方作为合同附件。</w:t>
      </w:r>
    </w:p>
    <w:tbl>
      <w:tblPr>
        <w:tblStyle w:val="36"/>
        <w:tblW w:w="10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4"/>
      </w:tblGrid>
      <w:tr w14:paraId="6525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trPr>
        <w:tc>
          <w:tcPr>
            <w:tcW w:w="10024" w:type="dxa"/>
          </w:tcPr>
          <w:p w14:paraId="174784E9">
            <w:pPr>
              <w:pStyle w:val="18"/>
              <w:spacing w:line="560" w:lineRule="exact"/>
              <w:rPr>
                <w:rFonts w:hint="default"/>
                <w:color w:val="auto"/>
                <w:highlight w:val="none"/>
              </w:rPr>
            </w:pPr>
            <w:r>
              <w:rPr>
                <w:color w:val="auto"/>
                <w:highlight w:val="none"/>
              </w:rPr>
              <w:t>黏贴代理人身份证（复印件）</w:t>
            </w:r>
          </w:p>
        </w:tc>
      </w:tr>
    </w:tbl>
    <w:p w14:paraId="25C9F921">
      <w:pPr>
        <w:rPr>
          <w:rFonts w:hint="default"/>
          <w:b/>
          <w:color w:val="auto"/>
          <w:sz w:val="30"/>
          <w:highlight w:val="none"/>
        </w:rPr>
      </w:pPr>
      <w:r>
        <w:rPr>
          <w:rFonts w:hint="eastAsia"/>
          <w:b/>
          <w:color w:val="auto"/>
          <w:sz w:val="30"/>
          <w:highlight w:val="none"/>
        </w:rPr>
        <w:br w:type="page"/>
      </w:r>
      <w:r>
        <w:rPr>
          <w:rFonts w:hint="eastAsia"/>
          <w:b/>
          <w:color w:val="auto"/>
          <w:sz w:val="30"/>
          <w:highlight w:val="none"/>
          <w:lang w:val="en-US" w:eastAsia="zh-CN"/>
        </w:rPr>
        <w:t>5</w:t>
      </w:r>
      <w:r>
        <w:rPr>
          <w:b/>
          <w:color w:val="auto"/>
          <w:sz w:val="30"/>
          <w:highlight w:val="none"/>
        </w:rPr>
        <w:t>、证明谈判供应商合格和资格的文件：（谈判供应商按谈判须知第10条要求提供）；</w:t>
      </w:r>
    </w:p>
    <w:p w14:paraId="45E1DF06">
      <w:pPr>
        <w:pStyle w:val="18"/>
        <w:rPr>
          <w:rFonts w:hint="default"/>
          <w:b/>
          <w:color w:val="auto"/>
          <w:sz w:val="28"/>
          <w:szCs w:val="28"/>
          <w:highlight w:val="none"/>
        </w:rPr>
      </w:pPr>
    </w:p>
    <w:p w14:paraId="02CCA9CE">
      <w:pPr>
        <w:pStyle w:val="18"/>
        <w:rPr>
          <w:rFonts w:hint="default"/>
          <w:b/>
          <w:color w:val="auto"/>
          <w:sz w:val="28"/>
          <w:szCs w:val="28"/>
          <w:highlight w:val="none"/>
        </w:rPr>
      </w:pPr>
    </w:p>
    <w:p w14:paraId="64718971">
      <w:pPr>
        <w:pStyle w:val="18"/>
        <w:rPr>
          <w:rFonts w:hint="default"/>
          <w:b/>
          <w:color w:val="auto"/>
          <w:sz w:val="28"/>
          <w:szCs w:val="28"/>
          <w:highlight w:val="none"/>
        </w:rPr>
      </w:pPr>
    </w:p>
    <w:p w14:paraId="6C636F74">
      <w:pPr>
        <w:pStyle w:val="18"/>
        <w:rPr>
          <w:rFonts w:hint="default"/>
          <w:b/>
          <w:color w:val="auto"/>
          <w:sz w:val="28"/>
          <w:szCs w:val="28"/>
          <w:highlight w:val="none"/>
        </w:rPr>
      </w:pPr>
    </w:p>
    <w:p w14:paraId="31A289C4">
      <w:pPr>
        <w:pStyle w:val="18"/>
        <w:rPr>
          <w:rFonts w:hint="default"/>
          <w:b/>
          <w:color w:val="auto"/>
          <w:sz w:val="28"/>
          <w:szCs w:val="28"/>
          <w:highlight w:val="none"/>
        </w:rPr>
      </w:pPr>
    </w:p>
    <w:p w14:paraId="2FEEF42F">
      <w:pPr>
        <w:pStyle w:val="18"/>
        <w:rPr>
          <w:rFonts w:hint="default"/>
          <w:b/>
          <w:color w:val="auto"/>
          <w:sz w:val="28"/>
          <w:szCs w:val="28"/>
          <w:highlight w:val="none"/>
        </w:rPr>
      </w:pPr>
    </w:p>
    <w:p w14:paraId="0262B3D1">
      <w:pPr>
        <w:pStyle w:val="18"/>
        <w:rPr>
          <w:rFonts w:hint="default"/>
          <w:b/>
          <w:color w:val="auto"/>
          <w:sz w:val="28"/>
          <w:szCs w:val="28"/>
          <w:highlight w:val="none"/>
        </w:rPr>
      </w:pPr>
    </w:p>
    <w:p w14:paraId="1C323D81">
      <w:pPr>
        <w:pStyle w:val="18"/>
        <w:rPr>
          <w:rFonts w:hint="default"/>
          <w:b/>
          <w:color w:val="auto"/>
          <w:sz w:val="28"/>
          <w:szCs w:val="28"/>
          <w:highlight w:val="none"/>
        </w:rPr>
      </w:pPr>
    </w:p>
    <w:p w14:paraId="73DA5C7B">
      <w:pPr>
        <w:pStyle w:val="18"/>
        <w:rPr>
          <w:rFonts w:hint="default"/>
          <w:b/>
          <w:color w:val="auto"/>
          <w:sz w:val="28"/>
          <w:szCs w:val="28"/>
          <w:highlight w:val="none"/>
        </w:rPr>
      </w:pPr>
      <w:r>
        <w:rPr>
          <w:rFonts w:hint="eastAsia"/>
          <w:b/>
          <w:color w:val="auto"/>
          <w:sz w:val="28"/>
          <w:szCs w:val="28"/>
          <w:highlight w:val="none"/>
          <w:lang w:val="en-US" w:eastAsia="zh-CN"/>
        </w:rPr>
        <w:t>5</w:t>
      </w:r>
      <w:r>
        <w:rPr>
          <w:b/>
          <w:color w:val="auto"/>
          <w:sz w:val="28"/>
          <w:szCs w:val="28"/>
          <w:highlight w:val="none"/>
        </w:rPr>
        <w:t>.1、营业执照副本复印件</w:t>
      </w:r>
    </w:p>
    <w:p w14:paraId="5B5566EF">
      <w:pPr>
        <w:pStyle w:val="18"/>
        <w:rPr>
          <w:rFonts w:hint="default"/>
          <w:b/>
          <w:color w:val="auto"/>
          <w:sz w:val="28"/>
          <w:szCs w:val="28"/>
          <w:highlight w:val="none"/>
        </w:rPr>
      </w:pPr>
    </w:p>
    <w:p w14:paraId="1C4943E5">
      <w:pPr>
        <w:pStyle w:val="18"/>
        <w:rPr>
          <w:rFonts w:hint="default"/>
          <w:b/>
          <w:color w:val="auto"/>
          <w:sz w:val="28"/>
          <w:szCs w:val="28"/>
          <w:highlight w:val="none"/>
        </w:rPr>
      </w:pPr>
    </w:p>
    <w:p w14:paraId="74F66032">
      <w:pPr>
        <w:pStyle w:val="18"/>
        <w:rPr>
          <w:rFonts w:hint="default"/>
          <w:b/>
          <w:color w:val="auto"/>
          <w:sz w:val="28"/>
          <w:szCs w:val="28"/>
          <w:highlight w:val="none"/>
        </w:rPr>
      </w:pPr>
    </w:p>
    <w:p w14:paraId="190AB9F0">
      <w:pPr>
        <w:jc w:val="center"/>
        <w:rPr>
          <w:b/>
          <w:color w:val="auto"/>
          <w:sz w:val="30"/>
          <w:highlight w:val="none"/>
        </w:rPr>
      </w:pPr>
      <w:r>
        <w:rPr>
          <w:rFonts w:ascii="黑体" w:eastAsia="黑体"/>
          <w:b/>
          <w:color w:val="auto"/>
          <w:sz w:val="32"/>
          <w:highlight w:val="none"/>
        </w:rPr>
        <w:br w:type="page"/>
      </w:r>
    </w:p>
    <w:p w14:paraId="37F32A4A">
      <w:pPr>
        <w:snapToGrid w:val="0"/>
        <w:spacing w:before="50" w:afterLines="50" w:line="360" w:lineRule="auto"/>
        <w:jc w:val="center"/>
        <w:rPr>
          <w:rFonts w:ascii="宋体" w:hAnsi="宋体"/>
          <w:b/>
          <w:color w:val="auto"/>
          <w:sz w:val="32"/>
          <w:szCs w:val="32"/>
          <w:highlight w:val="none"/>
        </w:rPr>
      </w:pPr>
      <w:r>
        <w:rPr>
          <w:rFonts w:hint="eastAsia" w:ascii="宋体" w:hAnsi="宋体" w:eastAsiaTheme="minorEastAsia"/>
          <w:b/>
          <w:color w:val="auto"/>
          <w:sz w:val="32"/>
          <w:szCs w:val="32"/>
          <w:highlight w:val="none"/>
          <w:lang w:val="en-US" w:eastAsia="zh-CN"/>
        </w:rPr>
        <w:t>5.2</w:t>
      </w:r>
      <w:r>
        <w:rPr>
          <w:rFonts w:hint="eastAsia" w:ascii="宋体" w:hAnsi="宋体" w:eastAsiaTheme="minorEastAsia"/>
          <w:b/>
          <w:color w:val="auto"/>
          <w:sz w:val="32"/>
          <w:szCs w:val="32"/>
          <w:highlight w:val="none"/>
          <w:lang w:eastAsia="zh-CN"/>
        </w:rPr>
        <w:t>供应商</w:t>
      </w:r>
      <w:r>
        <w:rPr>
          <w:rFonts w:hint="eastAsia" w:ascii="宋体" w:hAnsi="宋体"/>
          <w:b/>
          <w:color w:val="auto"/>
          <w:sz w:val="32"/>
          <w:szCs w:val="32"/>
          <w:highlight w:val="none"/>
        </w:rPr>
        <w:t>直接控股股东信息表</w:t>
      </w:r>
    </w:p>
    <w:tbl>
      <w:tblPr>
        <w:tblStyle w:val="35"/>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34C656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FBC63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C049D1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829A7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60958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78085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936BE4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3B425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DBC06F">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3BE03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48E1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40E472">
            <w:pPr>
              <w:spacing w:line="360" w:lineRule="auto"/>
              <w:jc w:val="center"/>
              <w:rPr>
                <w:rFonts w:ascii="宋体" w:hAnsi="宋体" w:cs="宋体"/>
                <w:color w:val="auto"/>
                <w:kern w:val="0"/>
                <w:sz w:val="24"/>
                <w:highlight w:val="none"/>
              </w:rPr>
            </w:pPr>
          </w:p>
        </w:tc>
      </w:tr>
      <w:tr w14:paraId="3A7098B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B6DA7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5EBD7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316794">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06FDC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8FF02C">
            <w:pPr>
              <w:spacing w:line="360" w:lineRule="auto"/>
              <w:jc w:val="center"/>
              <w:rPr>
                <w:rFonts w:ascii="宋体" w:hAnsi="宋体" w:cs="宋体"/>
                <w:color w:val="auto"/>
                <w:kern w:val="0"/>
                <w:sz w:val="24"/>
                <w:highlight w:val="none"/>
              </w:rPr>
            </w:pPr>
          </w:p>
        </w:tc>
      </w:tr>
      <w:tr w14:paraId="5EF8677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3C869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E21B7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462649">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3C913">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1DCB4A">
            <w:pPr>
              <w:spacing w:line="360" w:lineRule="auto"/>
              <w:jc w:val="center"/>
              <w:rPr>
                <w:rFonts w:ascii="宋体" w:hAnsi="宋体" w:cs="宋体"/>
                <w:color w:val="auto"/>
                <w:kern w:val="0"/>
                <w:sz w:val="24"/>
                <w:highlight w:val="none"/>
              </w:rPr>
            </w:pPr>
          </w:p>
        </w:tc>
      </w:tr>
      <w:tr w14:paraId="04A0585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B8B77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426198">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8F8BD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826A54">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230102">
            <w:pPr>
              <w:spacing w:line="360" w:lineRule="auto"/>
              <w:jc w:val="center"/>
              <w:rPr>
                <w:rFonts w:ascii="宋体" w:hAnsi="宋体" w:cs="宋体"/>
                <w:color w:val="auto"/>
                <w:kern w:val="0"/>
                <w:sz w:val="24"/>
                <w:highlight w:val="none"/>
              </w:rPr>
            </w:pPr>
          </w:p>
        </w:tc>
      </w:tr>
    </w:tbl>
    <w:p w14:paraId="4EA657EF">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05FEC7C2">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1A06D2">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677D8495">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0CC2E045">
      <w:pPr>
        <w:snapToGrid w:val="0"/>
        <w:spacing w:line="360" w:lineRule="auto"/>
        <w:jc w:val="left"/>
        <w:rPr>
          <w:rFonts w:ascii="宋体" w:hAnsi="宋体"/>
          <w:color w:val="auto"/>
          <w:sz w:val="24"/>
          <w:highlight w:val="none"/>
        </w:rPr>
      </w:pPr>
    </w:p>
    <w:p w14:paraId="321E1F46">
      <w:pPr>
        <w:snapToGrid w:val="0"/>
        <w:spacing w:line="360" w:lineRule="auto"/>
        <w:jc w:val="left"/>
        <w:rPr>
          <w:rFonts w:ascii="宋体" w:hAnsi="宋体"/>
          <w:color w:val="auto"/>
          <w:sz w:val="24"/>
          <w:highlight w:val="none"/>
        </w:rPr>
      </w:pPr>
    </w:p>
    <w:p w14:paraId="740BF50D">
      <w:pPr>
        <w:snapToGrid w:val="0"/>
        <w:spacing w:line="360" w:lineRule="auto"/>
        <w:jc w:val="left"/>
        <w:rPr>
          <w:rFonts w:ascii="宋体" w:hAnsi="宋体"/>
          <w:color w:val="auto"/>
          <w:sz w:val="24"/>
          <w:highlight w:val="none"/>
        </w:rPr>
      </w:pPr>
    </w:p>
    <w:p w14:paraId="32883E16">
      <w:pPr>
        <w:snapToGrid w:val="0"/>
        <w:spacing w:line="360" w:lineRule="auto"/>
        <w:jc w:val="left"/>
        <w:rPr>
          <w:rFonts w:ascii="宋体" w:hAnsi="宋体"/>
          <w:color w:val="auto"/>
          <w:sz w:val="24"/>
          <w:highlight w:val="none"/>
        </w:rPr>
      </w:pPr>
    </w:p>
    <w:p w14:paraId="5B983F58">
      <w:pPr>
        <w:snapToGrid w:val="0"/>
        <w:spacing w:line="360" w:lineRule="auto"/>
        <w:jc w:val="left"/>
        <w:rPr>
          <w:rFonts w:ascii="宋体" w:hAnsi="宋体"/>
          <w:color w:val="auto"/>
          <w:sz w:val="24"/>
          <w:highlight w:val="none"/>
        </w:rPr>
      </w:pPr>
    </w:p>
    <w:p w14:paraId="302426CE">
      <w:pPr>
        <w:snapToGrid w:val="0"/>
        <w:spacing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367F5386">
      <w:pPr>
        <w:snapToGrid w:val="0"/>
        <w:spacing w:beforeLines="50" w:after="50" w:line="360" w:lineRule="auto"/>
        <w:ind w:right="480" w:firstLine="5520" w:firstLineChars="230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（盖公章）：</w:t>
      </w:r>
      <w:r>
        <w:rPr>
          <w:rFonts w:hint="eastAsia" w:ascii="宋体" w:hAnsi="宋体"/>
          <w:color w:val="auto"/>
          <w:sz w:val="24"/>
          <w:highlight w:val="none"/>
          <w:u w:val="single"/>
        </w:rPr>
        <w:t xml:space="preserve">                 </w:t>
      </w:r>
    </w:p>
    <w:p w14:paraId="73686847">
      <w:pPr>
        <w:snapToGrid w:val="0"/>
        <w:spacing w:beforeLines="50" w:after="50" w:line="360" w:lineRule="auto"/>
        <w:ind w:right="480" w:firstLine="5520" w:firstLineChars="2300"/>
        <w:rPr>
          <w:rFonts w:ascii="宋体" w:hAnsi="宋体"/>
          <w:color w:val="auto"/>
          <w:szCs w:val="21"/>
          <w:highlight w:val="none"/>
        </w:rPr>
      </w:pPr>
      <w:r>
        <w:rPr>
          <w:rFonts w:hint="eastAsia" w:ascii="宋体" w:hAnsi="宋体"/>
          <w:color w:val="auto"/>
          <w:sz w:val="24"/>
          <w:highlight w:val="none"/>
        </w:rPr>
        <w:t>年    月    日</w:t>
      </w:r>
    </w:p>
    <w:p w14:paraId="24AEAADF">
      <w:pPr>
        <w:rPr>
          <w:rFonts w:ascii="宋体" w:hAnsi="宋体"/>
          <w:b/>
          <w:color w:val="auto"/>
          <w:sz w:val="32"/>
          <w:szCs w:val="32"/>
          <w:highlight w:val="none"/>
        </w:rPr>
      </w:pPr>
      <w:r>
        <w:rPr>
          <w:rFonts w:hint="eastAsia" w:ascii="宋体" w:hAnsi="宋体"/>
          <w:b/>
          <w:color w:val="auto"/>
          <w:sz w:val="32"/>
          <w:szCs w:val="32"/>
          <w:highlight w:val="none"/>
        </w:rPr>
        <w:br w:type="page"/>
      </w:r>
    </w:p>
    <w:p w14:paraId="03EAC31C">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lang w:val="en-US" w:eastAsia="zh-CN"/>
        </w:rPr>
        <w:t>5.3</w:t>
      </w:r>
      <w:r>
        <w:rPr>
          <w:rFonts w:hint="eastAsia" w:ascii="宋体" w:hAnsi="宋体"/>
          <w:b/>
          <w:color w:val="auto"/>
          <w:sz w:val="32"/>
          <w:szCs w:val="32"/>
          <w:highlight w:val="none"/>
          <w:lang w:eastAsia="zh-CN"/>
        </w:rPr>
        <w:t>供应商</w:t>
      </w:r>
      <w:r>
        <w:rPr>
          <w:rFonts w:hint="eastAsia" w:ascii="宋体" w:hAnsi="宋体"/>
          <w:b/>
          <w:color w:val="auto"/>
          <w:sz w:val="32"/>
          <w:szCs w:val="32"/>
          <w:highlight w:val="none"/>
        </w:rPr>
        <w:t>直接管理关系信息表</w:t>
      </w:r>
    </w:p>
    <w:tbl>
      <w:tblPr>
        <w:tblStyle w:val="35"/>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8D5556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5B33A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A4E2A3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2F3BFA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98882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BF3734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5B017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D54EF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FAF8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0509E9">
            <w:pPr>
              <w:spacing w:line="360" w:lineRule="auto"/>
              <w:jc w:val="center"/>
              <w:rPr>
                <w:rFonts w:ascii="宋体" w:hAnsi="宋体" w:cs="宋体"/>
                <w:color w:val="auto"/>
                <w:kern w:val="0"/>
                <w:sz w:val="24"/>
                <w:highlight w:val="none"/>
              </w:rPr>
            </w:pPr>
          </w:p>
        </w:tc>
      </w:tr>
      <w:tr w14:paraId="4AEF1A5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3BFE1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CCF2A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F270E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4FBDB8">
            <w:pPr>
              <w:spacing w:line="360" w:lineRule="auto"/>
              <w:jc w:val="center"/>
              <w:rPr>
                <w:rFonts w:ascii="宋体" w:hAnsi="宋体" w:cs="宋体"/>
                <w:color w:val="auto"/>
                <w:kern w:val="0"/>
                <w:sz w:val="24"/>
                <w:highlight w:val="none"/>
              </w:rPr>
            </w:pPr>
          </w:p>
        </w:tc>
      </w:tr>
      <w:tr w14:paraId="24971CE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67272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D5AAC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0ACA3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671F14">
            <w:pPr>
              <w:spacing w:line="360" w:lineRule="auto"/>
              <w:jc w:val="center"/>
              <w:rPr>
                <w:rFonts w:ascii="宋体" w:hAnsi="宋体" w:cs="宋体"/>
                <w:color w:val="auto"/>
                <w:kern w:val="0"/>
                <w:sz w:val="24"/>
                <w:highlight w:val="none"/>
              </w:rPr>
            </w:pPr>
          </w:p>
        </w:tc>
      </w:tr>
      <w:tr w14:paraId="57D2B97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465F4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4922A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1B3A1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590028">
            <w:pPr>
              <w:spacing w:line="360" w:lineRule="auto"/>
              <w:jc w:val="center"/>
              <w:rPr>
                <w:rFonts w:ascii="宋体" w:hAnsi="宋体" w:cs="宋体"/>
                <w:color w:val="auto"/>
                <w:kern w:val="0"/>
                <w:sz w:val="24"/>
                <w:highlight w:val="none"/>
              </w:rPr>
            </w:pPr>
          </w:p>
        </w:tc>
      </w:tr>
    </w:tbl>
    <w:p w14:paraId="63E02EBE">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14DD57C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CF5D16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BEF060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13F901D5">
      <w:pPr>
        <w:snapToGrid w:val="0"/>
        <w:spacing w:line="360" w:lineRule="auto"/>
        <w:jc w:val="left"/>
        <w:rPr>
          <w:rFonts w:ascii="宋体" w:hAnsi="宋体"/>
          <w:color w:val="auto"/>
          <w:sz w:val="24"/>
          <w:highlight w:val="none"/>
        </w:rPr>
      </w:pPr>
    </w:p>
    <w:p w14:paraId="592942AC">
      <w:pPr>
        <w:snapToGrid w:val="0"/>
        <w:spacing w:line="360" w:lineRule="auto"/>
        <w:jc w:val="left"/>
        <w:rPr>
          <w:rFonts w:ascii="宋体" w:hAnsi="宋体"/>
          <w:color w:val="auto"/>
          <w:sz w:val="24"/>
          <w:highlight w:val="none"/>
        </w:rPr>
      </w:pPr>
    </w:p>
    <w:p w14:paraId="20D72A6D">
      <w:pPr>
        <w:snapToGrid w:val="0"/>
        <w:spacing w:line="360" w:lineRule="auto"/>
        <w:jc w:val="left"/>
        <w:rPr>
          <w:rFonts w:ascii="宋体" w:hAnsi="宋体"/>
          <w:color w:val="auto"/>
          <w:sz w:val="24"/>
          <w:highlight w:val="none"/>
        </w:rPr>
      </w:pPr>
    </w:p>
    <w:p w14:paraId="6EDD98AB">
      <w:pPr>
        <w:snapToGrid w:val="0"/>
        <w:spacing w:line="360" w:lineRule="auto"/>
        <w:jc w:val="left"/>
        <w:rPr>
          <w:color w:val="auto"/>
          <w:sz w:val="24"/>
          <w:highlight w:val="none"/>
        </w:rPr>
      </w:pPr>
    </w:p>
    <w:p w14:paraId="7BCC8850">
      <w:pPr>
        <w:snapToGrid w:val="0"/>
        <w:spacing w:line="360" w:lineRule="auto"/>
        <w:jc w:val="left"/>
        <w:rPr>
          <w:color w:val="auto"/>
          <w:sz w:val="24"/>
          <w:highlight w:val="none"/>
        </w:rPr>
      </w:pPr>
    </w:p>
    <w:p w14:paraId="60FB110B">
      <w:pPr>
        <w:snapToGrid w:val="0"/>
        <w:spacing w:line="360" w:lineRule="auto"/>
        <w:jc w:val="left"/>
        <w:rPr>
          <w:color w:val="auto"/>
          <w:sz w:val="24"/>
          <w:highlight w:val="none"/>
        </w:rPr>
      </w:pPr>
    </w:p>
    <w:p w14:paraId="45D6C696">
      <w:pPr>
        <w:snapToGrid w:val="0"/>
        <w:spacing w:line="360" w:lineRule="auto"/>
        <w:jc w:val="left"/>
        <w:rPr>
          <w:rFonts w:ascii="宋体" w:hAnsi="宋体"/>
          <w:color w:val="auto"/>
          <w:sz w:val="24"/>
          <w:highlight w:val="none"/>
        </w:rPr>
      </w:pPr>
    </w:p>
    <w:p w14:paraId="6A44154D">
      <w:pPr>
        <w:snapToGrid w:val="0"/>
        <w:spacing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6B75AAEC">
      <w:pPr>
        <w:snapToGrid w:val="0"/>
        <w:spacing w:beforeLines="50" w:after="50" w:line="360" w:lineRule="auto"/>
        <w:ind w:right="480" w:firstLine="5520" w:firstLineChars="2300"/>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（盖公章）：</w:t>
      </w:r>
      <w:r>
        <w:rPr>
          <w:rFonts w:hint="eastAsia" w:ascii="宋体" w:hAnsi="宋体"/>
          <w:color w:val="auto"/>
          <w:sz w:val="24"/>
          <w:highlight w:val="none"/>
          <w:u w:val="single"/>
        </w:rPr>
        <w:t xml:space="preserve">                 </w:t>
      </w:r>
    </w:p>
    <w:p w14:paraId="76A4B729">
      <w:pPr>
        <w:snapToGrid w:val="0"/>
        <w:spacing w:beforeLines="50" w:after="50" w:line="360" w:lineRule="auto"/>
        <w:ind w:right="480" w:firstLine="240" w:firstLineChars="100"/>
        <w:jc w:val="right"/>
        <w:rPr>
          <w:rFonts w:ascii="宋体" w:hAnsi="宋体"/>
          <w:color w:val="auto"/>
          <w:sz w:val="24"/>
          <w:highlight w:val="none"/>
        </w:rPr>
      </w:pPr>
      <w:r>
        <w:rPr>
          <w:rFonts w:hint="eastAsia" w:ascii="宋体" w:hAnsi="宋体"/>
          <w:color w:val="auto"/>
          <w:sz w:val="24"/>
          <w:highlight w:val="none"/>
        </w:rPr>
        <w:t xml:space="preserve"> 年    月    日</w:t>
      </w:r>
    </w:p>
    <w:p w14:paraId="65E4DD54">
      <w:pP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br w:type="page"/>
      </w:r>
    </w:p>
    <w:p w14:paraId="7A9A0B35">
      <w:pPr>
        <w:pStyle w:val="18"/>
        <w:snapToGrid w:val="0"/>
        <w:spacing w:line="600" w:lineRule="exact"/>
        <w:ind w:firstLine="1687" w:firstLineChars="600"/>
        <w:rPr>
          <w:rFonts w:hint="default"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lang w:val="en-US" w:eastAsia="zh-CN"/>
        </w:rPr>
        <w:t>5.4</w:t>
      </w:r>
      <w:r>
        <w:rPr>
          <w:rFonts w:asciiTheme="minorEastAsia" w:hAnsiTheme="minorEastAsia" w:eastAsiaTheme="minorEastAsia"/>
          <w:b/>
          <w:bCs/>
          <w:color w:val="auto"/>
          <w:sz w:val="28"/>
          <w:szCs w:val="28"/>
          <w:highlight w:val="none"/>
        </w:rPr>
        <w:t>依法缴纳社会保障金及依法纳税或报税证明文件</w:t>
      </w:r>
    </w:p>
    <w:p w14:paraId="601C3C4A">
      <w:pPr>
        <w:pStyle w:val="18"/>
        <w:snapToGrid w:val="0"/>
        <w:spacing w:line="600" w:lineRule="exact"/>
        <w:ind w:firstLine="1687" w:firstLineChars="600"/>
        <w:rPr>
          <w:rFonts w:hint="default"/>
          <w:b/>
          <w:bCs/>
          <w:color w:val="auto"/>
          <w:sz w:val="28"/>
          <w:szCs w:val="28"/>
          <w:highlight w:val="none"/>
        </w:rPr>
      </w:pPr>
      <w:r>
        <w:rPr>
          <w:rFonts w:hint="eastAsia" w:eastAsiaTheme="minorEastAsia"/>
          <w:b/>
          <w:bCs/>
          <w:color w:val="auto"/>
          <w:sz w:val="28"/>
          <w:szCs w:val="28"/>
          <w:highlight w:val="none"/>
          <w:lang w:val="en-US" w:eastAsia="zh-CN"/>
        </w:rPr>
        <w:t>5.5</w:t>
      </w:r>
      <w:r>
        <w:rPr>
          <w:rFonts w:asciiTheme="minorEastAsia" w:hAnsiTheme="minorEastAsia" w:eastAsiaTheme="minorEastAsia"/>
          <w:b/>
          <w:bCs/>
          <w:color w:val="auto"/>
          <w:sz w:val="28"/>
          <w:szCs w:val="28"/>
          <w:highlight w:val="none"/>
        </w:rPr>
        <w:t>供应商完整的财务状况报告</w:t>
      </w:r>
    </w:p>
    <w:p w14:paraId="345D4B9F">
      <w:pPr>
        <w:pStyle w:val="18"/>
        <w:snapToGrid w:val="0"/>
        <w:spacing w:line="600" w:lineRule="exact"/>
        <w:rPr>
          <w:rFonts w:hint="default"/>
          <w:b/>
          <w:bCs/>
          <w:color w:val="auto"/>
          <w:sz w:val="28"/>
          <w:szCs w:val="28"/>
          <w:highlight w:val="none"/>
        </w:rPr>
      </w:pPr>
    </w:p>
    <w:p w14:paraId="1810F06B">
      <w:pPr>
        <w:pStyle w:val="18"/>
        <w:snapToGrid w:val="0"/>
        <w:spacing w:line="600" w:lineRule="exact"/>
        <w:jc w:val="center"/>
        <w:rPr>
          <w:rFonts w:hint="default"/>
          <w:b/>
          <w:bCs/>
          <w:color w:val="auto"/>
          <w:sz w:val="28"/>
          <w:szCs w:val="28"/>
          <w:highlight w:val="none"/>
        </w:rPr>
      </w:pPr>
    </w:p>
    <w:p w14:paraId="3DA5E4BC">
      <w:pPr>
        <w:pStyle w:val="18"/>
        <w:snapToGrid w:val="0"/>
        <w:spacing w:line="600" w:lineRule="exact"/>
        <w:ind w:firstLine="1687" w:firstLineChars="600"/>
        <w:jc w:val="both"/>
        <w:rPr>
          <w:rFonts w:hint="default"/>
          <w:b/>
          <w:bCs/>
          <w:color w:val="auto"/>
          <w:sz w:val="30"/>
          <w:szCs w:val="30"/>
          <w:highlight w:val="none"/>
        </w:rPr>
      </w:pPr>
      <w:r>
        <w:rPr>
          <w:rFonts w:hint="eastAsia"/>
          <w:b/>
          <w:bCs/>
          <w:color w:val="auto"/>
          <w:sz w:val="28"/>
          <w:szCs w:val="28"/>
          <w:highlight w:val="none"/>
          <w:lang w:val="en-US" w:eastAsia="zh-CN"/>
        </w:rPr>
        <w:t>5.6</w:t>
      </w:r>
      <w:r>
        <w:rPr>
          <w:b/>
          <w:bCs/>
          <w:color w:val="auto"/>
          <w:sz w:val="28"/>
          <w:szCs w:val="28"/>
          <w:highlight w:val="none"/>
        </w:rPr>
        <w:t>无重大违法记录声明书（格式）</w:t>
      </w:r>
    </w:p>
    <w:p w14:paraId="42ADEA7E">
      <w:pPr>
        <w:pStyle w:val="18"/>
        <w:snapToGrid w:val="0"/>
        <w:spacing w:line="600" w:lineRule="exact"/>
        <w:rPr>
          <w:rFonts w:hint="default"/>
          <w:bCs/>
          <w:color w:val="auto"/>
          <w:sz w:val="24"/>
          <w:highlight w:val="none"/>
        </w:rPr>
      </w:pPr>
    </w:p>
    <w:p w14:paraId="41D59158">
      <w:pPr>
        <w:pStyle w:val="18"/>
        <w:snapToGrid w:val="0"/>
        <w:spacing w:line="600" w:lineRule="exact"/>
        <w:rPr>
          <w:rFonts w:hint="default"/>
          <w:bCs/>
          <w:color w:val="auto"/>
          <w:sz w:val="24"/>
          <w:highlight w:val="none"/>
        </w:rPr>
      </w:pPr>
      <w:r>
        <w:rPr>
          <w:bCs/>
          <w:color w:val="auto"/>
          <w:sz w:val="24"/>
          <w:highlight w:val="none"/>
        </w:rPr>
        <w:t>广西中信恒泰工程顾问有限公司：</w:t>
      </w:r>
    </w:p>
    <w:p w14:paraId="1B503544">
      <w:pPr>
        <w:pStyle w:val="18"/>
        <w:snapToGrid w:val="0"/>
        <w:spacing w:line="600" w:lineRule="exact"/>
        <w:ind w:firstLine="480" w:firstLineChars="200"/>
        <w:rPr>
          <w:rFonts w:hint="default"/>
          <w:color w:val="auto"/>
          <w:sz w:val="24"/>
          <w:highlight w:val="none"/>
        </w:rPr>
      </w:pPr>
      <w:r>
        <w:rPr>
          <w:bCs/>
          <w:color w:val="auto"/>
          <w:sz w:val="24"/>
          <w:highlight w:val="none"/>
        </w:rPr>
        <w:t>我公司参加贵公司组织的：项目的政府采购活动。我公司在此郑重声明，我公司参加本项目的政府采购活动前三年在经营中没有重大违法记录，符合《</w:t>
      </w:r>
      <w:r>
        <w:rPr>
          <w:color w:val="auto"/>
          <w:sz w:val="24"/>
          <w:highlight w:val="none"/>
        </w:rPr>
        <w:t>中华人民共和国政府采购法</w:t>
      </w:r>
      <w:r>
        <w:rPr>
          <w:bCs/>
          <w:color w:val="auto"/>
          <w:sz w:val="24"/>
          <w:highlight w:val="none"/>
        </w:rPr>
        <w:t>》及</w:t>
      </w:r>
      <w:r>
        <w:rPr>
          <w:color w:val="auto"/>
          <w:sz w:val="24"/>
          <w:highlight w:val="none"/>
        </w:rPr>
        <w:t>《中华人民共和国政府采购法实施条例》的供应商条件，我公司对此声明负全部法律责任。</w:t>
      </w:r>
    </w:p>
    <w:p w14:paraId="71FD9574">
      <w:pPr>
        <w:pStyle w:val="18"/>
        <w:snapToGrid w:val="0"/>
        <w:spacing w:line="600" w:lineRule="exact"/>
        <w:ind w:firstLine="480" w:firstLineChars="200"/>
        <w:rPr>
          <w:rFonts w:hint="default"/>
          <w:color w:val="auto"/>
          <w:sz w:val="24"/>
          <w:highlight w:val="none"/>
        </w:rPr>
      </w:pPr>
      <w:r>
        <w:rPr>
          <w:color w:val="auto"/>
          <w:sz w:val="24"/>
          <w:highlight w:val="none"/>
        </w:rPr>
        <w:t>特此承诺。</w:t>
      </w:r>
    </w:p>
    <w:p w14:paraId="4B5F4107">
      <w:pPr>
        <w:pStyle w:val="18"/>
        <w:snapToGrid w:val="0"/>
        <w:spacing w:line="600" w:lineRule="exact"/>
        <w:rPr>
          <w:rFonts w:hint="default"/>
          <w:color w:val="auto"/>
          <w:sz w:val="24"/>
          <w:highlight w:val="none"/>
        </w:rPr>
      </w:pPr>
    </w:p>
    <w:p w14:paraId="0BA3E2ED">
      <w:pPr>
        <w:pStyle w:val="18"/>
        <w:snapToGrid w:val="0"/>
        <w:spacing w:line="600" w:lineRule="exact"/>
        <w:ind w:firstLine="480" w:firstLineChars="200"/>
        <w:rPr>
          <w:rFonts w:hint="default"/>
          <w:color w:val="auto"/>
          <w:sz w:val="24"/>
          <w:highlight w:val="none"/>
          <w:u w:val="single"/>
        </w:rPr>
      </w:pPr>
      <w:r>
        <w:rPr>
          <w:color w:val="auto"/>
          <w:sz w:val="24"/>
          <w:highlight w:val="none"/>
        </w:rPr>
        <w:t>谈判供应商（加盖公章）：</w:t>
      </w:r>
    </w:p>
    <w:p w14:paraId="60771977">
      <w:pPr>
        <w:pStyle w:val="18"/>
        <w:snapToGrid w:val="0"/>
        <w:spacing w:line="600" w:lineRule="exact"/>
        <w:ind w:firstLine="480" w:firstLineChars="200"/>
        <w:rPr>
          <w:rFonts w:hint="default"/>
          <w:color w:val="auto"/>
          <w:sz w:val="24"/>
          <w:highlight w:val="none"/>
          <w:u w:val="single"/>
        </w:rPr>
      </w:pPr>
      <w:r>
        <w:rPr>
          <w:color w:val="auto"/>
          <w:sz w:val="24"/>
          <w:highlight w:val="none"/>
        </w:rPr>
        <w:t>法定代表人（负责人）或委托代理人（签字或签章）：</w:t>
      </w:r>
    </w:p>
    <w:p w14:paraId="48C40EC6">
      <w:pPr>
        <w:pStyle w:val="18"/>
        <w:snapToGrid w:val="0"/>
        <w:spacing w:line="600" w:lineRule="exact"/>
        <w:ind w:firstLine="480" w:firstLineChars="200"/>
        <w:rPr>
          <w:color w:val="auto"/>
          <w:sz w:val="24"/>
          <w:highlight w:val="none"/>
        </w:rPr>
      </w:pPr>
      <w:r>
        <w:rPr>
          <w:color w:val="auto"/>
          <w:sz w:val="24"/>
          <w:highlight w:val="none"/>
        </w:rPr>
        <w:t>日期：    年  月  日</w:t>
      </w:r>
    </w:p>
    <w:p w14:paraId="143D36AE">
      <w:pPr>
        <w:rPr>
          <w:color w:val="auto"/>
          <w:sz w:val="24"/>
          <w:highlight w:val="none"/>
        </w:rPr>
      </w:pPr>
      <w:r>
        <w:rPr>
          <w:color w:val="auto"/>
          <w:sz w:val="24"/>
          <w:highlight w:val="none"/>
        </w:rPr>
        <w:br w:type="page"/>
      </w:r>
    </w:p>
    <w:p w14:paraId="7348784F">
      <w:pPr>
        <w:pStyle w:val="18"/>
        <w:snapToGrid w:val="0"/>
        <w:spacing w:line="600" w:lineRule="exact"/>
        <w:ind w:firstLine="1687" w:firstLineChars="600"/>
        <w:jc w:val="both"/>
        <w:rPr>
          <w:rFonts w:hint="default" w:eastAsiaTheme="minorEastAsia"/>
          <w:b/>
          <w:bCs/>
          <w:color w:val="auto"/>
          <w:sz w:val="28"/>
          <w:szCs w:val="28"/>
          <w:highlight w:val="none"/>
          <w:lang w:val="en-US" w:eastAsia="zh-CN"/>
        </w:rPr>
      </w:pPr>
      <w:r>
        <w:rPr>
          <w:rFonts w:hint="eastAsia" w:eastAsiaTheme="minorEastAsia"/>
          <w:b/>
          <w:bCs/>
          <w:color w:val="auto"/>
          <w:sz w:val="28"/>
          <w:szCs w:val="28"/>
          <w:highlight w:val="none"/>
          <w:lang w:val="en-US" w:eastAsia="zh-CN"/>
        </w:rPr>
        <w:t>5.7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如为一类医疗器械，竞标供应商为生产厂商时须提供备案证明，若供应商为代理商，无需提供备案证明；如为二类医疗器械，供应商必须提供有效的医疗器械生产许可证（供应商为制造厂商时）或第二类医疗器械经营备案凭证复印件，无须提供医疗器械经营许可证复印件（供应商为代理商时）；如为三类医疗器械，供应商必须提供有效的医疗器械生产许可证复印件（供应商为制造厂商时）或医疗器械经营许可证复印件（供应商为代理商时），必须提供；</w:t>
      </w:r>
    </w:p>
    <w:p w14:paraId="21A388B8">
      <w:pPr>
        <w:pStyle w:val="18"/>
        <w:snapToGrid w:val="0"/>
        <w:spacing w:line="600" w:lineRule="exact"/>
        <w:ind w:firstLine="1687" w:firstLineChars="600"/>
        <w:jc w:val="both"/>
        <w:rPr>
          <w:rFonts w:hint="default" w:eastAsiaTheme="minorEastAsia"/>
          <w:b/>
          <w:bCs/>
          <w:color w:val="auto"/>
          <w:sz w:val="28"/>
          <w:szCs w:val="28"/>
          <w:highlight w:val="none"/>
          <w:lang w:val="en-US" w:eastAsia="zh-CN"/>
        </w:rPr>
      </w:pPr>
    </w:p>
    <w:p w14:paraId="2DD7E0CC">
      <w:pPr>
        <w:pStyle w:val="18"/>
        <w:snapToGrid w:val="0"/>
        <w:spacing w:line="600" w:lineRule="exact"/>
        <w:ind w:firstLine="480" w:firstLineChars="200"/>
        <w:rPr>
          <w:rFonts w:hint="default"/>
          <w:color w:val="auto"/>
          <w:sz w:val="24"/>
          <w:highlight w:val="none"/>
        </w:rPr>
      </w:pPr>
    </w:p>
    <w:p w14:paraId="38B60A15">
      <w:pPr>
        <w:pStyle w:val="18"/>
        <w:snapToGrid w:val="0"/>
        <w:spacing w:line="600" w:lineRule="exact"/>
        <w:outlineLvl w:val="9"/>
        <w:rPr>
          <w:rFonts w:hint="default"/>
          <w:color w:val="auto"/>
          <w:spacing w:val="20"/>
          <w:highlight w:val="none"/>
        </w:rPr>
        <w:sectPr>
          <w:pgSz w:w="11906" w:h="16838"/>
          <w:pgMar w:top="1276"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14:paraId="0FD1A76F">
      <w:pPr>
        <w:spacing w:line="480" w:lineRule="exact"/>
        <w:jc w:val="center"/>
        <w:rPr>
          <w:rFonts w:asciiTheme="minorEastAsia" w:hAnsiTheme="minorEastAsia" w:eastAsiaTheme="minorEastAsia"/>
          <w:b/>
          <w:bCs/>
          <w:color w:val="auto"/>
          <w:spacing w:val="14"/>
          <w:sz w:val="28"/>
          <w:szCs w:val="28"/>
          <w:highlight w:val="none"/>
        </w:rPr>
      </w:pPr>
      <w:r>
        <w:rPr>
          <w:rFonts w:hint="eastAsia" w:asciiTheme="minorEastAsia" w:hAnsiTheme="minorEastAsia" w:eastAsiaTheme="minorEastAsia"/>
          <w:b/>
          <w:bCs/>
          <w:color w:val="auto"/>
          <w:spacing w:val="14"/>
          <w:sz w:val="28"/>
          <w:szCs w:val="28"/>
          <w:highlight w:val="none"/>
          <w:lang w:val="en-US" w:eastAsia="zh-CN"/>
        </w:rPr>
        <w:t>6</w:t>
      </w:r>
      <w:r>
        <w:rPr>
          <w:rFonts w:hint="eastAsia" w:asciiTheme="minorEastAsia" w:hAnsiTheme="minorEastAsia" w:eastAsiaTheme="minorEastAsia"/>
          <w:b/>
          <w:bCs/>
          <w:color w:val="auto"/>
          <w:spacing w:val="14"/>
          <w:sz w:val="28"/>
          <w:szCs w:val="28"/>
          <w:highlight w:val="none"/>
        </w:rPr>
        <w:t>、技术规格偏离表（格式）</w:t>
      </w:r>
    </w:p>
    <w:p w14:paraId="17981973">
      <w:pPr>
        <w:pStyle w:val="6"/>
        <w:ind w:firstLine="0"/>
        <w:outlineLvl w:val="9"/>
        <w:rPr>
          <w:color w:val="auto"/>
          <w:highlight w:val="none"/>
        </w:rPr>
      </w:pPr>
    </w:p>
    <w:p w14:paraId="6FCA957B">
      <w:pPr>
        <w:pStyle w:val="6"/>
        <w:ind w:firstLine="0"/>
        <w:outlineLvl w:val="9"/>
        <w:rPr>
          <w:rFonts w:hint="eastAsia"/>
          <w:color w:val="auto"/>
          <w:sz w:val="21"/>
          <w:szCs w:val="21"/>
          <w:highlight w:val="none"/>
        </w:rPr>
      </w:pPr>
      <w:r>
        <w:rPr>
          <w:rFonts w:hint="eastAsia"/>
          <w:color w:val="auto"/>
          <w:sz w:val="21"/>
          <w:szCs w:val="21"/>
          <w:highlight w:val="none"/>
        </w:rPr>
        <w:t>项目名称：</w:t>
      </w:r>
    </w:p>
    <w:p w14:paraId="7F948FB1">
      <w:pPr>
        <w:pStyle w:val="6"/>
        <w:ind w:firstLine="0"/>
        <w:outlineLvl w:val="9"/>
        <w:rPr>
          <w:color w:val="auto"/>
          <w:sz w:val="21"/>
          <w:szCs w:val="21"/>
          <w:highlight w:val="none"/>
        </w:rPr>
      </w:pPr>
      <w:r>
        <w:rPr>
          <w:rFonts w:hint="eastAsia"/>
          <w:color w:val="auto"/>
          <w:sz w:val="21"/>
          <w:szCs w:val="21"/>
          <w:highlight w:val="none"/>
        </w:rPr>
        <w:t>项目编号：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56"/>
        <w:gridCol w:w="2526"/>
        <w:gridCol w:w="1896"/>
        <w:gridCol w:w="3366"/>
      </w:tblGrid>
      <w:tr w14:paraId="51B3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0" w:type="auto"/>
            <w:vMerge w:val="restart"/>
            <w:tcBorders>
              <w:top w:val="single" w:color="auto" w:sz="4" w:space="0"/>
              <w:left w:val="single" w:color="auto" w:sz="4" w:space="0"/>
              <w:right w:val="single" w:color="auto" w:sz="4" w:space="0"/>
            </w:tcBorders>
            <w:vAlign w:val="center"/>
          </w:tcPr>
          <w:p w14:paraId="75CB38DA">
            <w:pPr>
              <w:widowControl/>
              <w:spacing w:before="100" w:beforeAutospacing="1" w:after="100" w:afterAutospacing="1" w:line="390" w:lineRule="atLeast"/>
              <w:jc w:val="center"/>
              <w:rPr>
                <w:rFonts w:ascii="宋体" w:hAnsi="宋体" w:cs="宋体"/>
                <w:b/>
                <w:color w:val="auto"/>
                <w:kern w:val="0"/>
                <w:szCs w:val="21"/>
                <w:highlight w:val="none"/>
              </w:rPr>
            </w:pPr>
            <w:r>
              <w:rPr>
                <w:rFonts w:hint="eastAsia" w:ascii="宋体" w:hAnsi="宋体" w:cs="宋体"/>
                <w:color w:val="auto"/>
                <w:kern w:val="0"/>
                <w:szCs w:val="21"/>
                <w:highlight w:val="none"/>
              </w:rPr>
              <w:t>序号</w:t>
            </w:r>
          </w:p>
        </w:tc>
        <w:tc>
          <w:tcPr>
            <w:tcW w:w="0" w:type="auto"/>
            <w:vMerge w:val="restart"/>
            <w:tcBorders>
              <w:top w:val="single" w:color="auto" w:sz="4" w:space="0"/>
              <w:left w:val="single" w:color="auto" w:sz="4" w:space="0"/>
              <w:right w:val="single" w:color="auto" w:sz="4" w:space="0"/>
            </w:tcBorders>
            <w:vAlign w:val="center"/>
          </w:tcPr>
          <w:p w14:paraId="74A4434A">
            <w:pPr>
              <w:widowControl/>
              <w:spacing w:before="100" w:beforeAutospacing="1" w:after="100" w:afterAutospacing="1" w:line="390" w:lineRule="atLeast"/>
              <w:jc w:val="center"/>
              <w:rPr>
                <w:rFonts w:hint="eastAsia" w:ascii="宋体" w:hAnsi="宋体" w:eastAsia="宋体" w:cs="宋体"/>
                <w:b/>
                <w:color w:val="auto"/>
                <w:kern w:val="0"/>
                <w:szCs w:val="21"/>
                <w:highlight w:val="none"/>
                <w:lang w:val="en-US" w:eastAsia="zh-CN"/>
              </w:rPr>
            </w:pPr>
            <w:r>
              <w:rPr>
                <w:rFonts w:hint="eastAsia" w:ascii="宋体" w:hAnsi="宋体" w:cs="宋体"/>
                <w:b w:val="0"/>
                <w:bCs/>
                <w:color w:val="auto"/>
                <w:kern w:val="0"/>
                <w:szCs w:val="21"/>
                <w:highlight w:val="none"/>
                <w:lang w:val="en-US" w:eastAsia="zh-CN"/>
              </w:rPr>
              <w:t>采购内容</w:t>
            </w:r>
          </w:p>
        </w:tc>
        <w:tc>
          <w:tcPr>
            <w:tcW w:w="0" w:type="auto"/>
            <w:vMerge w:val="restart"/>
            <w:tcBorders>
              <w:top w:val="single" w:color="auto" w:sz="4" w:space="0"/>
              <w:left w:val="single" w:color="auto" w:sz="4" w:space="0"/>
              <w:right w:val="single" w:color="auto" w:sz="4" w:space="0"/>
            </w:tcBorders>
            <w:vAlign w:val="center"/>
          </w:tcPr>
          <w:p w14:paraId="26137CA3">
            <w:pPr>
              <w:widowControl/>
              <w:spacing w:before="100" w:beforeAutospacing="1" w:after="100" w:afterAutospacing="1" w:line="390" w:lineRule="atLeast"/>
              <w:jc w:val="center"/>
              <w:rPr>
                <w:rFonts w:hint="eastAsia" w:ascii="宋体" w:hAnsi="宋体" w:eastAsia="宋体" w:cs="宋体"/>
                <w:b/>
                <w:color w:val="auto"/>
                <w:kern w:val="0"/>
                <w:szCs w:val="21"/>
                <w:highlight w:val="none"/>
                <w:lang w:eastAsia="zh-CN"/>
              </w:rPr>
            </w:pPr>
            <w:r>
              <w:rPr>
                <w:rFonts w:hint="eastAsia" w:ascii="宋体" w:hAnsi="宋体" w:cs="宋体"/>
                <w:color w:val="auto"/>
                <w:kern w:val="0"/>
                <w:szCs w:val="21"/>
                <w:highlight w:val="none"/>
                <w:lang w:eastAsia="zh-CN"/>
              </w:rPr>
              <w:t>原技术规范主要条款要求</w:t>
            </w:r>
          </w:p>
        </w:tc>
        <w:tc>
          <w:tcPr>
            <w:tcW w:w="0" w:type="auto"/>
            <w:vMerge w:val="restart"/>
            <w:tcBorders>
              <w:top w:val="single" w:color="auto" w:sz="4" w:space="0"/>
              <w:left w:val="single" w:color="auto" w:sz="4" w:space="0"/>
              <w:right w:val="single" w:color="auto" w:sz="4" w:space="0"/>
            </w:tcBorders>
            <w:vAlign w:val="center"/>
          </w:tcPr>
          <w:p w14:paraId="2CC06022">
            <w:pPr>
              <w:widowControl/>
              <w:spacing w:before="100" w:beforeAutospacing="1" w:after="100" w:afterAutospacing="1" w:line="39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响应文件具体响应</w:t>
            </w:r>
          </w:p>
        </w:tc>
        <w:tc>
          <w:tcPr>
            <w:tcW w:w="0" w:type="auto"/>
            <w:vMerge w:val="restart"/>
            <w:tcBorders>
              <w:top w:val="single" w:color="auto" w:sz="4" w:space="0"/>
              <w:left w:val="single" w:color="auto" w:sz="4" w:space="0"/>
              <w:right w:val="single" w:color="auto" w:sz="4" w:space="0"/>
            </w:tcBorders>
            <w:vAlign w:val="center"/>
          </w:tcPr>
          <w:p w14:paraId="48B1EEE8">
            <w:pPr>
              <w:widowControl/>
              <w:spacing w:before="100" w:beforeAutospacing="1" w:after="100" w:afterAutospacing="1" w:line="390" w:lineRule="atLeast"/>
              <w:jc w:val="center"/>
              <w:rPr>
                <w:rFonts w:hint="default" w:ascii="宋体" w:hAnsi="宋体" w:eastAsia="宋体" w:cs="宋体"/>
                <w:b/>
                <w:color w:val="auto"/>
                <w:kern w:val="0"/>
                <w:szCs w:val="21"/>
                <w:highlight w:val="none"/>
                <w:lang w:val="en-US" w:eastAsia="zh-CN"/>
              </w:rPr>
            </w:pPr>
            <w:r>
              <w:rPr>
                <w:rFonts w:hint="eastAsia" w:ascii="宋体" w:hAnsi="宋体" w:cs="宋体"/>
                <w:color w:val="auto"/>
                <w:kern w:val="0"/>
                <w:szCs w:val="21"/>
                <w:highlight w:val="none"/>
                <w:lang w:eastAsia="zh-CN"/>
              </w:rPr>
              <w:t>技术偏离情况说明（</w:t>
            </w:r>
            <w:r>
              <w:rPr>
                <w:rFonts w:hint="eastAsia" w:ascii="宋体" w:hAnsi="宋体" w:cs="宋体"/>
                <w:color w:val="auto"/>
                <w:kern w:val="0"/>
                <w:szCs w:val="21"/>
                <w:highlight w:val="none"/>
                <w:lang w:val="en-US" w:eastAsia="zh-CN"/>
              </w:rPr>
              <w:t>正/负/等同）</w:t>
            </w:r>
          </w:p>
        </w:tc>
      </w:tr>
      <w:tr w14:paraId="3256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0" w:type="auto"/>
            <w:vMerge w:val="continue"/>
            <w:tcBorders>
              <w:left w:val="single" w:color="auto" w:sz="4" w:space="0"/>
              <w:bottom w:val="single" w:color="auto" w:sz="4" w:space="0"/>
              <w:right w:val="single" w:color="auto" w:sz="4" w:space="0"/>
            </w:tcBorders>
            <w:vAlign w:val="center"/>
          </w:tcPr>
          <w:p w14:paraId="043EC25C">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vMerge w:val="continue"/>
            <w:tcBorders>
              <w:left w:val="single" w:color="auto" w:sz="4" w:space="0"/>
              <w:bottom w:val="single" w:color="auto" w:sz="4" w:space="0"/>
              <w:right w:val="single" w:color="auto" w:sz="4" w:space="0"/>
            </w:tcBorders>
            <w:vAlign w:val="center"/>
          </w:tcPr>
          <w:p w14:paraId="050D1E02">
            <w:pPr>
              <w:widowControl/>
              <w:spacing w:before="100" w:beforeAutospacing="1" w:after="100" w:afterAutospacing="1" w:line="390" w:lineRule="atLeast"/>
              <w:jc w:val="center"/>
              <w:rPr>
                <w:rFonts w:hAnsi="宋体"/>
                <w:color w:val="auto"/>
                <w:highlight w:val="none"/>
              </w:rPr>
            </w:pPr>
          </w:p>
        </w:tc>
        <w:tc>
          <w:tcPr>
            <w:tcW w:w="0" w:type="auto"/>
            <w:vMerge w:val="continue"/>
            <w:tcBorders>
              <w:left w:val="single" w:color="auto" w:sz="4" w:space="0"/>
              <w:bottom w:val="single" w:color="auto" w:sz="4" w:space="0"/>
              <w:right w:val="single" w:color="auto" w:sz="4" w:space="0"/>
            </w:tcBorders>
            <w:vAlign w:val="center"/>
          </w:tcPr>
          <w:p w14:paraId="3C0629DF">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vMerge w:val="continue"/>
            <w:tcBorders>
              <w:left w:val="single" w:color="auto" w:sz="4" w:space="0"/>
              <w:bottom w:val="single" w:color="auto" w:sz="4" w:space="0"/>
              <w:right w:val="single" w:color="auto" w:sz="4" w:space="0"/>
            </w:tcBorders>
          </w:tcPr>
          <w:p w14:paraId="36387B33">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vMerge w:val="continue"/>
            <w:tcBorders>
              <w:left w:val="single" w:color="auto" w:sz="4" w:space="0"/>
              <w:bottom w:val="single" w:color="auto" w:sz="4" w:space="0"/>
              <w:right w:val="single" w:color="auto" w:sz="4" w:space="0"/>
            </w:tcBorders>
            <w:vAlign w:val="center"/>
          </w:tcPr>
          <w:p w14:paraId="20C840AA">
            <w:pPr>
              <w:widowControl/>
              <w:spacing w:before="100" w:beforeAutospacing="1" w:after="100" w:afterAutospacing="1" w:line="390" w:lineRule="atLeast"/>
              <w:jc w:val="center"/>
              <w:rPr>
                <w:rFonts w:ascii="宋体" w:hAnsi="宋体" w:cs="宋体"/>
                <w:color w:val="auto"/>
                <w:kern w:val="0"/>
                <w:szCs w:val="21"/>
                <w:highlight w:val="none"/>
              </w:rPr>
            </w:pPr>
          </w:p>
        </w:tc>
      </w:tr>
      <w:tr w14:paraId="5E2B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0" w:type="auto"/>
            <w:tcBorders>
              <w:top w:val="single" w:color="auto" w:sz="4" w:space="0"/>
              <w:left w:val="single" w:color="auto" w:sz="4" w:space="0"/>
              <w:bottom w:val="single" w:color="auto" w:sz="4" w:space="0"/>
              <w:right w:val="single" w:color="auto" w:sz="4" w:space="0"/>
            </w:tcBorders>
          </w:tcPr>
          <w:p w14:paraId="22A763F2">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1D6C64D">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88CBD25">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tcPr>
          <w:p w14:paraId="5AE8E27B">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BB78069">
            <w:pPr>
              <w:widowControl/>
              <w:spacing w:before="100" w:beforeAutospacing="1" w:after="100" w:afterAutospacing="1" w:line="390" w:lineRule="atLeast"/>
              <w:jc w:val="center"/>
              <w:rPr>
                <w:rFonts w:ascii="宋体" w:hAnsi="宋体" w:cs="宋体"/>
                <w:color w:val="auto"/>
                <w:kern w:val="0"/>
                <w:szCs w:val="21"/>
                <w:highlight w:val="none"/>
              </w:rPr>
            </w:pPr>
          </w:p>
        </w:tc>
      </w:tr>
      <w:tr w14:paraId="13C4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0" w:type="auto"/>
            <w:tcBorders>
              <w:top w:val="single" w:color="auto" w:sz="4" w:space="0"/>
              <w:left w:val="single" w:color="auto" w:sz="4" w:space="0"/>
              <w:bottom w:val="single" w:color="auto" w:sz="4" w:space="0"/>
              <w:right w:val="single" w:color="auto" w:sz="4" w:space="0"/>
            </w:tcBorders>
          </w:tcPr>
          <w:p w14:paraId="64709B59">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CD41F9B">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46982B9">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tcPr>
          <w:p w14:paraId="373720CE">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F4D3715">
            <w:pPr>
              <w:widowControl/>
              <w:spacing w:before="100" w:beforeAutospacing="1" w:after="100" w:afterAutospacing="1" w:line="390" w:lineRule="atLeast"/>
              <w:jc w:val="center"/>
              <w:rPr>
                <w:rFonts w:ascii="宋体" w:hAnsi="宋体" w:cs="宋体"/>
                <w:color w:val="auto"/>
                <w:kern w:val="0"/>
                <w:szCs w:val="21"/>
                <w:highlight w:val="none"/>
              </w:rPr>
            </w:pPr>
          </w:p>
        </w:tc>
      </w:tr>
      <w:tr w14:paraId="244C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0" w:type="auto"/>
            <w:tcBorders>
              <w:top w:val="single" w:color="auto" w:sz="4" w:space="0"/>
              <w:left w:val="single" w:color="auto" w:sz="4" w:space="0"/>
              <w:bottom w:val="single" w:color="auto" w:sz="4" w:space="0"/>
              <w:right w:val="single" w:color="auto" w:sz="4" w:space="0"/>
            </w:tcBorders>
          </w:tcPr>
          <w:p w14:paraId="29626062">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30B8C09">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8C07FAA">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tcPr>
          <w:p w14:paraId="199F2A65">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C99E22D">
            <w:pPr>
              <w:widowControl/>
              <w:spacing w:before="100" w:beforeAutospacing="1" w:after="100" w:afterAutospacing="1" w:line="390" w:lineRule="atLeast"/>
              <w:jc w:val="center"/>
              <w:rPr>
                <w:rFonts w:ascii="宋体" w:hAnsi="宋体" w:cs="宋体"/>
                <w:color w:val="auto"/>
                <w:kern w:val="0"/>
                <w:szCs w:val="21"/>
                <w:highlight w:val="none"/>
              </w:rPr>
            </w:pPr>
          </w:p>
        </w:tc>
      </w:tr>
      <w:tr w14:paraId="5554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0" w:type="auto"/>
            <w:tcBorders>
              <w:top w:val="single" w:color="auto" w:sz="4" w:space="0"/>
              <w:left w:val="single" w:color="auto" w:sz="4" w:space="0"/>
              <w:bottom w:val="single" w:color="auto" w:sz="4" w:space="0"/>
              <w:right w:val="single" w:color="auto" w:sz="4" w:space="0"/>
            </w:tcBorders>
          </w:tcPr>
          <w:p w14:paraId="0F2616C9">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1E8EE98">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2F63478">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tcPr>
          <w:p w14:paraId="7F174D1E">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7DF3CC6">
            <w:pPr>
              <w:widowControl/>
              <w:spacing w:before="100" w:beforeAutospacing="1" w:after="100" w:afterAutospacing="1" w:line="390" w:lineRule="atLeast"/>
              <w:jc w:val="center"/>
              <w:rPr>
                <w:rFonts w:ascii="宋体" w:hAnsi="宋体" w:cs="宋体"/>
                <w:color w:val="auto"/>
                <w:kern w:val="0"/>
                <w:szCs w:val="21"/>
                <w:highlight w:val="none"/>
              </w:rPr>
            </w:pPr>
          </w:p>
        </w:tc>
      </w:tr>
      <w:tr w14:paraId="662A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0" w:type="auto"/>
            <w:tcBorders>
              <w:top w:val="single" w:color="auto" w:sz="4" w:space="0"/>
              <w:left w:val="single" w:color="auto" w:sz="4" w:space="0"/>
              <w:bottom w:val="single" w:color="auto" w:sz="4" w:space="0"/>
              <w:right w:val="single" w:color="auto" w:sz="4" w:space="0"/>
            </w:tcBorders>
          </w:tcPr>
          <w:p w14:paraId="5C39444E">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707F2B0">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9EE423F">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tcPr>
          <w:p w14:paraId="3A48A1BC">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4F22082">
            <w:pPr>
              <w:widowControl/>
              <w:spacing w:before="100" w:beforeAutospacing="1" w:after="100" w:afterAutospacing="1" w:line="390" w:lineRule="atLeast"/>
              <w:jc w:val="center"/>
              <w:rPr>
                <w:rFonts w:ascii="宋体" w:hAnsi="宋体" w:cs="宋体"/>
                <w:color w:val="auto"/>
                <w:kern w:val="0"/>
                <w:szCs w:val="21"/>
                <w:highlight w:val="none"/>
              </w:rPr>
            </w:pPr>
          </w:p>
        </w:tc>
      </w:tr>
      <w:tr w14:paraId="6D10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0" w:type="auto"/>
            <w:tcBorders>
              <w:top w:val="single" w:color="auto" w:sz="4" w:space="0"/>
              <w:left w:val="single" w:color="auto" w:sz="4" w:space="0"/>
              <w:bottom w:val="single" w:color="auto" w:sz="4" w:space="0"/>
              <w:right w:val="single" w:color="auto" w:sz="4" w:space="0"/>
            </w:tcBorders>
          </w:tcPr>
          <w:p w14:paraId="61050394">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F8E088F">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35FB579">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tcPr>
          <w:p w14:paraId="58E30DE6">
            <w:pPr>
              <w:widowControl/>
              <w:spacing w:before="100" w:beforeAutospacing="1" w:after="100" w:afterAutospacing="1" w:line="390" w:lineRule="atLeast"/>
              <w:jc w:val="center"/>
              <w:rPr>
                <w:rFonts w:ascii="宋体" w:hAnsi="宋体" w:cs="宋体"/>
                <w:color w:val="auto"/>
                <w:kern w:val="0"/>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0AA339A">
            <w:pPr>
              <w:widowControl/>
              <w:spacing w:before="100" w:beforeAutospacing="1" w:after="100" w:afterAutospacing="1" w:line="390" w:lineRule="atLeast"/>
              <w:jc w:val="center"/>
              <w:rPr>
                <w:rFonts w:ascii="宋体" w:hAnsi="宋体" w:cs="宋体"/>
                <w:color w:val="auto"/>
                <w:kern w:val="0"/>
                <w:szCs w:val="21"/>
                <w:highlight w:val="none"/>
              </w:rPr>
            </w:pPr>
          </w:p>
        </w:tc>
      </w:tr>
    </w:tbl>
    <w:p w14:paraId="48AB1B04">
      <w:pPr>
        <w:spacing w:line="400" w:lineRule="exact"/>
        <w:ind w:firstLine="482"/>
        <w:rPr>
          <w:b/>
          <w:bCs/>
          <w:color w:val="auto"/>
          <w:sz w:val="36"/>
          <w:highlight w:val="none"/>
        </w:rPr>
      </w:pPr>
    </w:p>
    <w:p w14:paraId="5409B5EA">
      <w:pPr>
        <w:rPr>
          <w:color w:val="auto"/>
          <w:highlight w:val="none"/>
        </w:rPr>
      </w:pPr>
    </w:p>
    <w:p w14:paraId="21744056">
      <w:pPr>
        <w:rPr>
          <w:color w:val="auto"/>
          <w:highlight w:val="none"/>
        </w:rPr>
      </w:pPr>
    </w:p>
    <w:p w14:paraId="1C13B1D5">
      <w:pPr>
        <w:rPr>
          <w:color w:val="auto"/>
          <w:highlight w:val="none"/>
        </w:rPr>
      </w:pPr>
    </w:p>
    <w:p w14:paraId="0CA1274D">
      <w:pPr>
        <w:rPr>
          <w:color w:val="auto"/>
          <w:highlight w:val="none"/>
        </w:rPr>
      </w:pPr>
    </w:p>
    <w:p w14:paraId="156E6050">
      <w:pPr>
        <w:ind w:firstLine="3685" w:firstLineChars="1755"/>
        <w:rPr>
          <w:color w:val="auto"/>
          <w:highlight w:val="none"/>
          <w:u w:val="single"/>
        </w:rPr>
      </w:pPr>
      <w:r>
        <w:rPr>
          <w:rFonts w:hint="eastAsia"/>
          <w:color w:val="auto"/>
          <w:highlight w:val="none"/>
        </w:rPr>
        <w:t>谈判供应商名称（加盖公章）：</w:t>
      </w:r>
    </w:p>
    <w:p w14:paraId="207A0E15">
      <w:pPr>
        <w:ind w:firstLine="4498" w:firstLineChars="2142"/>
        <w:rPr>
          <w:color w:val="auto"/>
          <w:highlight w:val="none"/>
        </w:rPr>
      </w:pPr>
    </w:p>
    <w:p w14:paraId="030C7209">
      <w:pPr>
        <w:ind w:firstLine="3685" w:firstLineChars="1755"/>
        <w:rPr>
          <w:rFonts w:hint="eastAsia"/>
          <w:color w:val="auto"/>
          <w:highlight w:val="none"/>
        </w:rPr>
      </w:pPr>
      <w:r>
        <w:rPr>
          <w:rFonts w:hint="eastAsia"/>
          <w:color w:val="auto"/>
          <w:highlight w:val="none"/>
        </w:rPr>
        <w:t>法定代表人（负责人）或委托代理人（签字或签章）：</w:t>
      </w:r>
    </w:p>
    <w:p w14:paraId="3442FF4A">
      <w:pPr>
        <w:pStyle w:val="33"/>
        <w:jc w:val="right"/>
        <w:rPr>
          <w:rFonts w:hint="eastAsia" w:eastAsia="宋体"/>
          <w:color w:val="auto"/>
          <w:highlight w:val="none"/>
          <w:lang w:eastAsia="zh-CN"/>
        </w:rPr>
      </w:pPr>
      <w:r>
        <w:rPr>
          <w:rFonts w:hint="eastAsia"/>
          <w:color w:val="auto"/>
          <w:highlight w:val="none"/>
          <w:lang w:eastAsia="zh-CN"/>
        </w:rPr>
        <w:t>日期：</w:t>
      </w:r>
    </w:p>
    <w:p w14:paraId="6B2B91D2">
      <w:pPr>
        <w:rPr>
          <w:color w:val="auto"/>
          <w:highlight w:val="none"/>
          <w:u w:val="single"/>
        </w:rPr>
      </w:pPr>
    </w:p>
    <w:p w14:paraId="2231DB77">
      <w:pPr>
        <w:rPr>
          <w:color w:val="auto"/>
          <w:highlight w:val="none"/>
          <w:u w:val="single"/>
        </w:rPr>
      </w:pPr>
    </w:p>
    <w:p w14:paraId="377B7B88">
      <w:pPr>
        <w:rPr>
          <w:color w:val="auto"/>
          <w:highlight w:val="none"/>
        </w:rPr>
      </w:pPr>
    </w:p>
    <w:p w14:paraId="47B1AF7C">
      <w:pPr>
        <w:spacing w:line="360" w:lineRule="auto"/>
        <w:ind w:left="424" w:hanging="424" w:hanging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注：1、此表可根据</w:t>
      </w:r>
      <w:r>
        <w:rPr>
          <w:rFonts w:hint="eastAsia" w:asciiTheme="minorEastAsia" w:hAnsiTheme="minorEastAsia" w:eastAsiaTheme="minorEastAsia"/>
          <w:color w:val="auto"/>
          <w:highlight w:val="none"/>
          <w:lang w:eastAsia="zh-CN"/>
        </w:rPr>
        <w:t>第三章项目需求所列技术参数要求逐项列明响应</w:t>
      </w:r>
      <w:r>
        <w:rPr>
          <w:rFonts w:hint="eastAsia" w:asciiTheme="minorEastAsia" w:hAnsiTheme="minorEastAsia" w:eastAsiaTheme="minorEastAsia"/>
          <w:color w:val="auto"/>
          <w:highlight w:val="none"/>
        </w:rPr>
        <w:t>，详细写明参数</w:t>
      </w:r>
      <w:r>
        <w:rPr>
          <w:rFonts w:hint="eastAsia" w:asciiTheme="minorEastAsia" w:hAnsiTheme="minorEastAsia" w:eastAsiaTheme="minorEastAsia"/>
          <w:color w:val="auto"/>
          <w:highlight w:val="none"/>
          <w:lang w:eastAsia="zh-CN"/>
        </w:rPr>
        <w:t>，不可缺项漏项，否则应标无效</w:t>
      </w:r>
      <w:r>
        <w:rPr>
          <w:rFonts w:hint="eastAsia" w:asciiTheme="minorEastAsia" w:hAnsiTheme="minorEastAsia" w:eastAsiaTheme="minorEastAsia"/>
          <w:color w:val="auto"/>
          <w:highlight w:val="none"/>
        </w:rPr>
        <w:t>。</w:t>
      </w:r>
    </w:p>
    <w:p w14:paraId="0A27FA5D">
      <w:pPr>
        <w:spacing w:line="360" w:lineRule="auto"/>
        <w:ind w:left="424" w:leftChars="200" w:hanging="4" w:hangingChars="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2、供应商必须如实填写不得留空，否则因虚假应标作谈判无效处理。</w:t>
      </w:r>
    </w:p>
    <w:p w14:paraId="2F431A1F">
      <w:pPr>
        <w:spacing w:line="360" w:lineRule="auto"/>
        <w:ind w:left="424" w:leftChars="200" w:hanging="4" w:hangingChars="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3、附针对本项目所竞标货物的主要技术指标、参数及性能说明的资料图片，当竞标参数与厂家提供的产品参数、检测内容不一致时，以厂家提供的原件为准（此项如有请提供）。</w:t>
      </w:r>
    </w:p>
    <w:p w14:paraId="28027094">
      <w:pPr>
        <w:spacing w:line="360" w:lineRule="auto"/>
        <w:rPr>
          <w:rFonts w:asciiTheme="minorEastAsia" w:hAnsiTheme="minorEastAsia" w:eastAsiaTheme="minorEastAsia"/>
          <w:color w:val="auto"/>
          <w:highlight w:val="none"/>
        </w:rPr>
      </w:pPr>
    </w:p>
    <w:p w14:paraId="0A0FB32D">
      <w:pPr>
        <w:pStyle w:val="18"/>
        <w:spacing w:before="240"/>
        <w:ind w:left="420"/>
        <w:jc w:val="left"/>
        <w:rPr>
          <w:rFonts w:hint="default"/>
          <w:color w:val="auto"/>
          <w:highlight w:val="none"/>
        </w:rPr>
      </w:pPr>
    </w:p>
    <w:p w14:paraId="62737640">
      <w:pPr>
        <w:pStyle w:val="18"/>
        <w:spacing w:before="240"/>
        <w:ind w:left="420"/>
        <w:jc w:val="left"/>
        <w:rPr>
          <w:rFonts w:hint="default"/>
          <w:color w:val="auto"/>
          <w:highlight w:val="none"/>
        </w:rPr>
        <w:sectPr>
          <w:pgSz w:w="11906" w:h="16838"/>
          <w:pgMar w:top="993"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14:paraId="32B0B987">
      <w:pPr>
        <w:pStyle w:val="18"/>
        <w:spacing w:line="600" w:lineRule="exact"/>
        <w:jc w:val="center"/>
        <w:rPr>
          <w:rFonts w:hint="default"/>
          <w:b/>
          <w:bCs/>
          <w:color w:val="auto"/>
          <w:sz w:val="28"/>
          <w:szCs w:val="28"/>
          <w:highlight w:val="none"/>
        </w:rPr>
      </w:pPr>
      <w:r>
        <w:rPr>
          <w:rFonts w:hint="eastAsia"/>
          <w:b/>
          <w:bCs/>
          <w:color w:val="auto"/>
          <w:sz w:val="28"/>
          <w:szCs w:val="28"/>
          <w:highlight w:val="none"/>
          <w:lang w:val="en-US" w:eastAsia="zh-CN"/>
        </w:rPr>
        <w:t>7</w:t>
      </w:r>
      <w:r>
        <w:rPr>
          <w:b/>
          <w:bCs/>
          <w:color w:val="auto"/>
          <w:sz w:val="28"/>
          <w:szCs w:val="28"/>
          <w:highlight w:val="none"/>
        </w:rPr>
        <w:t>、商务条款偏离表（格式）</w:t>
      </w:r>
    </w:p>
    <w:p w14:paraId="37CEF09E">
      <w:pPr>
        <w:pStyle w:val="18"/>
        <w:ind w:firstLine="420"/>
        <w:rPr>
          <w:rFonts w:hint="default"/>
          <w:b/>
          <w:bCs/>
          <w:color w:val="auto"/>
          <w:sz w:val="28"/>
          <w:szCs w:val="28"/>
          <w:highlight w:val="none"/>
        </w:rPr>
      </w:pP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03"/>
        <w:gridCol w:w="1134"/>
        <w:gridCol w:w="2977"/>
      </w:tblGrid>
      <w:tr w14:paraId="1071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14:paraId="6E765BBA">
            <w:pPr>
              <w:pStyle w:val="18"/>
              <w:jc w:val="center"/>
              <w:rPr>
                <w:rFonts w:hint="default"/>
                <w:b/>
                <w:color w:val="auto"/>
                <w:highlight w:val="none"/>
              </w:rPr>
            </w:pPr>
            <w:r>
              <w:rPr>
                <w:b/>
                <w:color w:val="auto"/>
                <w:highlight w:val="none"/>
              </w:rPr>
              <w:t>序号</w:t>
            </w:r>
          </w:p>
        </w:tc>
        <w:tc>
          <w:tcPr>
            <w:tcW w:w="5103" w:type="dxa"/>
            <w:tcBorders>
              <w:top w:val="single" w:color="auto" w:sz="4" w:space="0"/>
              <w:left w:val="single" w:color="auto" w:sz="4" w:space="0"/>
              <w:bottom w:val="single" w:color="auto" w:sz="4" w:space="0"/>
              <w:right w:val="single" w:color="auto" w:sz="4" w:space="0"/>
            </w:tcBorders>
            <w:vAlign w:val="center"/>
          </w:tcPr>
          <w:p w14:paraId="5F7C1FC6">
            <w:pPr>
              <w:pStyle w:val="18"/>
              <w:jc w:val="center"/>
              <w:rPr>
                <w:rFonts w:hint="default"/>
                <w:b/>
                <w:color w:val="auto"/>
                <w:highlight w:val="none"/>
              </w:rPr>
            </w:pPr>
            <w:r>
              <w:rPr>
                <w:b/>
                <w:color w:val="auto"/>
                <w:highlight w:val="none"/>
              </w:rPr>
              <w:t>商务条款要求</w:t>
            </w:r>
          </w:p>
        </w:tc>
        <w:tc>
          <w:tcPr>
            <w:tcW w:w="1134" w:type="dxa"/>
            <w:tcBorders>
              <w:top w:val="single" w:color="auto" w:sz="4" w:space="0"/>
              <w:left w:val="single" w:color="auto" w:sz="4" w:space="0"/>
              <w:bottom w:val="single" w:color="auto" w:sz="4" w:space="0"/>
              <w:right w:val="single" w:color="auto" w:sz="4" w:space="0"/>
            </w:tcBorders>
            <w:vAlign w:val="center"/>
          </w:tcPr>
          <w:p w14:paraId="53539849">
            <w:pPr>
              <w:pStyle w:val="18"/>
              <w:jc w:val="center"/>
              <w:rPr>
                <w:rFonts w:hint="default"/>
                <w:b/>
                <w:color w:val="auto"/>
                <w:highlight w:val="none"/>
              </w:rPr>
            </w:pPr>
            <w:r>
              <w:rPr>
                <w:b/>
                <w:color w:val="auto"/>
                <w:highlight w:val="none"/>
              </w:rPr>
              <w:t>是否响应</w:t>
            </w:r>
          </w:p>
        </w:tc>
        <w:tc>
          <w:tcPr>
            <w:tcW w:w="2977" w:type="dxa"/>
            <w:tcBorders>
              <w:top w:val="single" w:color="auto" w:sz="4" w:space="0"/>
              <w:left w:val="single" w:color="auto" w:sz="4" w:space="0"/>
              <w:bottom w:val="single" w:color="auto" w:sz="4" w:space="0"/>
              <w:right w:val="single" w:color="auto" w:sz="4" w:space="0"/>
            </w:tcBorders>
            <w:vAlign w:val="center"/>
          </w:tcPr>
          <w:p w14:paraId="5FC61D63">
            <w:pPr>
              <w:pStyle w:val="18"/>
              <w:jc w:val="center"/>
              <w:rPr>
                <w:rFonts w:hint="default"/>
                <w:b/>
                <w:color w:val="auto"/>
                <w:highlight w:val="none"/>
              </w:rPr>
            </w:pPr>
            <w:r>
              <w:rPr>
                <w:b/>
                <w:color w:val="auto"/>
                <w:highlight w:val="none"/>
              </w:rPr>
              <w:t>偏离说明</w:t>
            </w:r>
          </w:p>
        </w:tc>
      </w:tr>
      <w:tr w14:paraId="708E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14:paraId="0FD28CCA">
            <w:pPr>
              <w:pStyle w:val="18"/>
              <w:jc w:val="center"/>
              <w:rPr>
                <w:rFonts w:hint="default"/>
                <w:color w:val="auto"/>
                <w:highlight w:val="none"/>
              </w:rPr>
            </w:pPr>
            <w:r>
              <w:rPr>
                <w:color w:val="auto"/>
                <w:highlight w:val="none"/>
              </w:rPr>
              <w:t>1</w:t>
            </w:r>
          </w:p>
        </w:tc>
        <w:tc>
          <w:tcPr>
            <w:tcW w:w="5103" w:type="dxa"/>
            <w:tcBorders>
              <w:top w:val="single" w:color="auto" w:sz="4" w:space="0"/>
              <w:left w:val="single" w:color="auto" w:sz="4" w:space="0"/>
              <w:bottom w:val="single" w:color="auto" w:sz="4" w:space="0"/>
              <w:right w:val="single" w:color="auto" w:sz="4" w:space="0"/>
            </w:tcBorders>
            <w:vAlign w:val="center"/>
          </w:tcPr>
          <w:p w14:paraId="12A8B95A">
            <w:pPr>
              <w:pStyle w:val="18"/>
              <w:jc w:val="center"/>
              <w:rPr>
                <w:rFonts w:hint="default"/>
                <w:color w:val="auto"/>
                <w:highlight w:val="none"/>
              </w:rPr>
            </w:pPr>
            <w:r>
              <w:rPr>
                <w:color w:val="auto"/>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14:paraId="3470C56B">
            <w:pPr>
              <w:pStyle w:val="18"/>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00FACD04">
            <w:pPr>
              <w:pStyle w:val="18"/>
              <w:rPr>
                <w:rFonts w:hint="default"/>
                <w:color w:val="auto"/>
                <w:highlight w:val="none"/>
              </w:rPr>
            </w:pPr>
          </w:p>
        </w:tc>
      </w:tr>
      <w:tr w14:paraId="4D58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14:paraId="07D7C522">
            <w:pPr>
              <w:pStyle w:val="18"/>
              <w:jc w:val="center"/>
              <w:rPr>
                <w:rFonts w:hint="default"/>
                <w:color w:val="auto"/>
                <w:highlight w:val="none"/>
              </w:rPr>
            </w:pPr>
            <w:r>
              <w:rPr>
                <w:color w:val="auto"/>
                <w:highlight w:val="none"/>
              </w:rPr>
              <w:t>2</w:t>
            </w:r>
          </w:p>
        </w:tc>
        <w:tc>
          <w:tcPr>
            <w:tcW w:w="5103" w:type="dxa"/>
            <w:tcBorders>
              <w:top w:val="single" w:color="auto" w:sz="4" w:space="0"/>
              <w:left w:val="single" w:color="auto" w:sz="4" w:space="0"/>
              <w:bottom w:val="single" w:color="auto" w:sz="4" w:space="0"/>
              <w:right w:val="single" w:color="auto" w:sz="4" w:space="0"/>
            </w:tcBorders>
            <w:vAlign w:val="center"/>
          </w:tcPr>
          <w:p w14:paraId="5C097022">
            <w:pPr>
              <w:pStyle w:val="18"/>
              <w:jc w:val="left"/>
              <w:rPr>
                <w:rFonts w:hint="default"/>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4BB214">
            <w:pPr>
              <w:pStyle w:val="18"/>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7C95583A">
            <w:pPr>
              <w:pStyle w:val="18"/>
              <w:rPr>
                <w:rFonts w:hint="default"/>
                <w:color w:val="auto"/>
                <w:highlight w:val="none"/>
              </w:rPr>
            </w:pPr>
          </w:p>
        </w:tc>
      </w:tr>
      <w:tr w14:paraId="53DF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14:paraId="0E9869B8">
            <w:pPr>
              <w:pStyle w:val="18"/>
              <w:jc w:val="center"/>
              <w:rPr>
                <w:rFonts w:hint="default"/>
                <w:color w:val="auto"/>
                <w:highlight w:val="none"/>
              </w:rPr>
            </w:pPr>
            <w:r>
              <w:rPr>
                <w:color w:val="auto"/>
                <w:highlight w:val="none"/>
              </w:rPr>
              <w:t>3</w:t>
            </w:r>
          </w:p>
        </w:tc>
        <w:tc>
          <w:tcPr>
            <w:tcW w:w="5103" w:type="dxa"/>
            <w:tcBorders>
              <w:top w:val="single" w:color="auto" w:sz="4" w:space="0"/>
              <w:left w:val="single" w:color="auto" w:sz="4" w:space="0"/>
              <w:bottom w:val="single" w:color="auto" w:sz="4" w:space="0"/>
              <w:right w:val="single" w:color="auto" w:sz="4" w:space="0"/>
            </w:tcBorders>
            <w:vAlign w:val="center"/>
          </w:tcPr>
          <w:p w14:paraId="3CBD4CC7">
            <w:pPr>
              <w:pStyle w:val="18"/>
              <w:jc w:val="center"/>
              <w:rPr>
                <w:rFonts w:hint="default"/>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5DB646E">
            <w:pPr>
              <w:pStyle w:val="18"/>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40DCDF18">
            <w:pPr>
              <w:pStyle w:val="18"/>
              <w:rPr>
                <w:rFonts w:hint="default"/>
                <w:color w:val="auto"/>
                <w:highlight w:val="none"/>
              </w:rPr>
            </w:pPr>
          </w:p>
        </w:tc>
      </w:tr>
      <w:tr w14:paraId="6601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75" w:type="dxa"/>
            <w:tcBorders>
              <w:top w:val="single" w:color="auto" w:sz="4" w:space="0"/>
              <w:left w:val="single" w:color="auto" w:sz="4" w:space="0"/>
              <w:bottom w:val="single" w:color="auto" w:sz="4" w:space="0"/>
              <w:right w:val="single" w:color="auto" w:sz="4" w:space="0"/>
            </w:tcBorders>
            <w:vAlign w:val="center"/>
          </w:tcPr>
          <w:p w14:paraId="1B1E019F">
            <w:pPr>
              <w:pStyle w:val="18"/>
              <w:jc w:val="center"/>
              <w:rPr>
                <w:rFonts w:hint="default"/>
                <w:color w:val="auto"/>
                <w:highlight w:val="none"/>
              </w:rPr>
            </w:pPr>
            <w:r>
              <w:rPr>
                <w:color w:val="auto"/>
                <w:highlight w:val="none"/>
              </w:rPr>
              <w:t>4</w:t>
            </w:r>
          </w:p>
        </w:tc>
        <w:tc>
          <w:tcPr>
            <w:tcW w:w="5103" w:type="dxa"/>
            <w:tcBorders>
              <w:top w:val="single" w:color="auto" w:sz="4" w:space="0"/>
              <w:left w:val="single" w:color="auto" w:sz="4" w:space="0"/>
              <w:bottom w:val="single" w:color="auto" w:sz="4" w:space="0"/>
              <w:right w:val="single" w:color="auto" w:sz="4" w:space="0"/>
            </w:tcBorders>
            <w:vAlign w:val="center"/>
          </w:tcPr>
          <w:p w14:paraId="6E6D9A53">
            <w:pPr>
              <w:pStyle w:val="18"/>
              <w:jc w:val="left"/>
              <w:rPr>
                <w:rFonts w:hint="default"/>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25E9195">
            <w:pPr>
              <w:pStyle w:val="18"/>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6FBD8E04">
            <w:pPr>
              <w:pStyle w:val="18"/>
              <w:rPr>
                <w:rFonts w:hint="default"/>
                <w:color w:val="auto"/>
                <w:highlight w:val="none"/>
              </w:rPr>
            </w:pPr>
          </w:p>
        </w:tc>
      </w:tr>
      <w:tr w14:paraId="0377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14:paraId="6497BAED">
            <w:pPr>
              <w:pStyle w:val="18"/>
              <w:jc w:val="center"/>
              <w:rPr>
                <w:rFonts w:hint="default"/>
                <w:color w:val="auto"/>
                <w:highlight w:val="none"/>
              </w:rPr>
            </w:pPr>
            <w:r>
              <w:rPr>
                <w:color w:val="auto"/>
                <w:highlight w:val="none"/>
              </w:rPr>
              <w:t>5</w:t>
            </w:r>
          </w:p>
        </w:tc>
        <w:tc>
          <w:tcPr>
            <w:tcW w:w="5103" w:type="dxa"/>
            <w:tcBorders>
              <w:top w:val="single" w:color="auto" w:sz="4" w:space="0"/>
              <w:left w:val="single" w:color="auto" w:sz="4" w:space="0"/>
              <w:bottom w:val="single" w:color="auto" w:sz="4" w:space="0"/>
              <w:right w:val="single" w:color="auto" w:sz="4" w:space="0"/>
            </w:tcBorders>
            <w:vAlign w:val="center"/>
          </w:tcPr>
          <w:p w14:paraId="16B9AB74">
            <w:pPr>
              <w:pStyle w:val="18"/>
              <w:jc w:val="left"/>
              <w:rPr>
                <w:rFonts w:hint="default"/>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207249">
            <w:pPr>
              <w:pStyle w:val="18"/>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4D18F503">
            <w:pPr>
              <w:pStyle w:val="18"/>
              <w:jc w:val="center"/>
              <w:rPr>
                <w:rFonts w:hint="default"/>
                <w:color w:val="auto"/>
                <w:highlight w:val="none"/>
              </w:rPr>
            </w:pPr>
          </w:p>
        </w:tc>
      </w:tr>
      <w:tr w14:paraId="669F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75" w:type="dxa"/>
            <w:tcBorders>
              <w:top w:val="single" w:color="auto" w:sz="4" w:space="0"/>
              <w:left w:val="single" w:color="auto" w:sz="4" w:space="0"/>
              <w:bottom w:val="single" w:color="auto" w:sz="4" w:space="0"/>
              <w:right w:val="single" w:color="auto" w:sz="4" w:space="0"/>
            </w:tcBorders>
            <w:vAlign w:val="center"/>
          </w:tcPr>
          <w:p w14:paraId="66D867F5">
            <w:pPr>
              <w:pStyle w:val="18"/>
              <w:jc w:val="center"/>
              <w:rPr>
                <w:rFonts w:hint="default"/>
                <w:color w:val="auto"/>
                <w:highlight w:val="none"/>
              </w:rPr>
            </w:pPr>
            <w:r>
              <w:rPr>
                <w:color w:val="auto"/>
                <w:highlight w:val="none"/>
              </w:rPr>
              <w:t>6</w:t>
            </w:r>
          </w:p>
        </w:tc>
        <w:tc>
          <w:tcPr>
            <w:tcW w:w="5103" w:type="dxa"/>
            <w:tcBorders>
              <w:top w:val="single" w:color="auto" w:sz="4" w:space="0"/>
              <w:left w:val="single" w:color="auto" w:sz="4" w:space="0"/>
              <w:bottom w:val="single" w:color="auto" w:sz="4" w:space="0"/>
              <w:right w:val="single" w:color="auto" w:sz="4" w:space="0"/>
            </w:tcBorders>
            <w:vAlign w:val="center"/>
          </w:tcPr>
          <w:p w14:paraId="5131F442">
            <w:pPr>
              <w:pStyle w:val="18"/>
              <w:jc w:val="left"/>
              <w:rPr>
                <w:rFonts w:hint="default"/>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13428A">
            <w:pPr>
              <w:pStyle w:val="18"/>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384531C5">
            <w:pPr>
              <w:pStyle w:val="18"/>
              <w:jc w:val="center"/>
              <w:rPr>
                <w:rFonts w:hint="default"/>
                <w:color w:val="auto"/>
                <w:highlight w:val="none"/>
              </w:rPr>
            </w:pPr>
          </w:p>
        </w:tc>
      </w:tr>
      <w:tr w14:paraId="2778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5" w:type="dxa"/>
            <w:tcBorders>
              <w:top w:val="single" w:color="auto" w:sz="4" w:space="0"/>
              <w:left w:val="single" w:color="auto" w:sz="4" w:space="0"/>
              <w:bottom w:val="single" w:color="auto" w:sz="4" w:space="0"/>
              <w:right w:val="single" w:color="auto" w:sz="4" w:space="0"/>
            </w:tcBorders>
            <w:vAlign w:val="center"/>
          </w:tcPr>
          <w:p w14:paraId="6FD732FF">
            <w:pPr>
              <w:pStyle w:val="18"/>
              <w:jc w:val="center"/>
              <w:rPr>
                <w:rFonts w:hint="default"/>
                <w:color w:val="auto"/>
                <w:highlight w:val="none"/>
              </w:rPr>
            </w:pPr>
            <w:r>
              <w:rPr>
                <w:color w:val="auto"/>
                <w:highlight w:val="none"/>
              </w:rPr>
              <w:t>7</w:t>
            </w:r>
          </w:p>
        </w:tc>
        <w:tc>
          <w:tcPr>
            <w:tcW w:w="5103" w:type="dxa"/>
            <w:tcBorders>
              <w:top w:val="single" w:color="auto" w:sz="4" w:space="0"/>
              <w:left w:val="single" w:color="auto" w:sz="4" w:space="0"/>
              <w:bottom w:val="single" w:color="auto" w:sz="4" w:space="0"/>
              <w:right w:val="single" w:color="auto" w:sz="4" w:space="0"/>
            </w:tcBorders>
            <w:vAlign w:val="center"/>
          </w:tcPr>
          <w:p w14:paraId="3F956177">
            <w:pPr>
              <w:pStyle w:val="18"/>
              <w:jc w:val="left"/>
              <w:rPr>
                <w:rFonts w:hint="default"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B20ABF">
            <w:pPr>
              <w:pStyle w:val="18"/>
              <w:rPr>
                <w:rFonts w:hint="default"/>
                <w:color w:val="auto"/>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605AA666">
            <w:pPr>
              <w:pStyle w:val="18"/>
              <w:jc w:val="center"/>
              <w:rPr>
                <w:rFonts w:hint="default"/>
                <w:color w:val="auto"/>
                <w:highlight w:val="none"/>
              </w:rPr>
            </w:pPr>
          </w:p>
        </w:tc>
      </w:tr>
    </w:tbl>
    <w:p w14:paraId="4E2A1049">
      <w:pPr>
        <w:pStyle w:val="18"/>
        <w:spacing w:line="360" w:lineRule="auto"/>
        <w:rPr>
          <w:rFonts w:hint="default"/>
          <w:color w:val="auto"/>
          <w:highlight w:val="none"/>
        </w:rPr>
      </w:pPr>
    </w:p>
    <w:p w14:paraId="5D268555">
      <w:pPr>
        <w:pStyle w:val="18"/>
        <w:spacing w:line="360" w:lineRule="auto"/>
        <w:rPr>
          <w:rFonts w:hint="default"/>
          <w:color w:val="auto"/>
          <w:highlight w:val="none"/>
        </w:rPr>
      </w:pPr>
    </w:p>
    <w:p w14:paraId="39C4F674">
      <w:pPr>
        <w:pStyle w:val="18"/>
        <w:spacing w:line="360" w:lineRule="auto"/>
        <w:rPr>
          <w:rFonts w:hint="default"/>
          <w:color w:val="auto"/>
          <w:highlight w:val="none"/>
        </w:rPr>
      </w:pPr>
    </w:p>
    <w:p w14:paraId="28DC767E">
      <w:pPr>
        <w:pStyle w:val="18"/>
        <w:spacing w:line="360" w:lineRule="auto"/>
        <w:rPr>
          <w:rFonts w:hint="default"/>
          <w:color w:val="auto"/>
          <w:highlight w:val="none"/>
        </w:rPr>
      </w:pPr>
    </w:p>
    <w:p w14:paraId="29AC3F56">
      <w:pPr>
        <w:pStyle w:val="18"/>
        <w:spacing w:line="360" w:lineRule="auto"/>
        <w:rPr>
          <w:rFonts w:hint="default"/>
          <w:color w:val="auto"/>
          <w:highlight w:val="none"/>
        </w:rPr>
      </w:pPr>
    </w:p>
    <w:p w14:paraId="5EC665EB">
      <w:pPr>
        <w:pStyle w:val="18"/>
        <w:spacing w:line="360" w:lineRule="auto"/>
        <w:rPr>
          <w:rFonts w:hint="default"/>
          <w:color w:val="auto"/>
          <w:highlight w:val="none"/>
          <w:u w:val="single"/>
        </w:rPr>
      </w:pPr>
      <w:r>
        <w:rPr>
          <w:color w:val="auto"/>
          <w:highlight w:val="none"/>
        </w:rPr>
        <w:t>供应商（盖单位公章）：</w:t>
      </w:r>
    </w:p>
    <w:p w14:paraId="5A689D87">
      <w:pPr>
        <w:pStyle w:val="18"/>
        <w:spacing w:line="360" w:lineRule="auto"/>
        <w:rPr>
          <w:rFonts w:hint="default"/>
          <w:color w:val="auto"/>
          <w:highlight w:val="none"/>
          <w:u w:val="single"/>
        </w:rPr>
      </w:pPr>
      <w:r>
        <w:rPr>
          <w:color w:val="auto"/>
          <w:highlight w:val="none"/>
        </w:rPr>
        <w:t>法定代表人（负责人）或其委托代理人（签字或签章）：</w:t>
      </w:r>
    </w:p>
    <w:p w14:paraId="556A0DFE">
      <w:pPr>
        <w:spacing w:line="360" w:lineRule="auto"/>
        <w:rPr>
          <w:color w:val="auto"/>
          <w:highlight w:val="none"/>
          <w:u w:val="single"/>
        </w:rPr>
      </w:pPr>
      <w:bookmarkStart w:id="29" w:name="_Toc316459124"/>
      <w:bookmarkStart w:id="30" w:name="_Toc263847726"/>
      <w:r>
        <w:rPr>
          <w:rFonts w:hint="eastAsia"/>
          <w:color w:val="auto"/>
          <w:highlight w:val="none"/>
        </w:rPr>
        <w:t>日期：</w:t>
      </w:r>
      <w:bookmarkEnd w:id="29"/>
      <w:bookmarkEnd w:id="30"/>
    </w:p>
    <w:p w14:paraId="273DEA77">
      <w:pPr>
        <w:spacing w:line="320" w:lineRule="exact"/>
        <w:ind w:left="944" w:hanging="944" w:hangingChars="448"/>
        <w:rPr>
          <w:b/>
          <w:bCs/>
          <w:color w:val="auto"/>
          <w:highlight w:val="none"/>
        </w:rPr>
      </w:pPr>
    </w:p>
    <w:p w14:paraId="37FB6F39">
      <w:pPr>
        <w:spacing w:line="320" w:lineRule="exact"/>
        <w:ind w:left="944" w:hanging="944" w:hangingChars="448"/>
        <w:rPr>
          <w:b/>
          <w:bCs/>
          <w:color w:val="auto"/>
          <w:highlight w:val="none"/>
        </w:rPr>
      </w:pPr>
      <w:r>
        <w:rPr>
          <w:rFonts w:hint="eastAsia"/>
          <w:b/>
          <w:bCs/>
          <w:color w:val="auto"/>
          <w:highlight w:val="none"/>
        </w:rPr>
        <w:t>说明：</w:t>
      </w:r>
    </w:p>
    <w:p w14:paraId="1C7AEC36">
      <w:pPr>
        <w:pStyle w:val="18"/>
        <w:spacing w:line="320" w:lineRule="exact"/>
        <w:ind w:firstLine="400" w:firstLineChars="200"/>
        <w:jc w:val="left"/>
        <w:rPr>
          <w:rFonts w:hint="default"/>
          <w:color w:val="auto"/>
          <w:highlight w:val="none"/>
          <w:lang w:val="en-GB"/>
        </w:rPr>
      </w:pPr>
      <w:r>
        <w:rPr>
          <w:color w:val="auto"/>
          <w:highlight w:val="none"/>
          <w:lang w:val="en-GB"/>
        </w:rPr>
        <w:t>请按照“第三章项目需求”商务要求填写，如供应商完全响应，则请在“是否响应”栏内</w:t>
      </w:r>
      <w:r>
        <w:rPr>
          <w:rFonts w:hint="eastAsia"/>
          <w:color w:val="auto"/>
          <w:highlight w:val="none"/>
          <w:lang w:val="en-GB" w:eastAsia="zh-CN"/>
        </w:rPr>
        <w:t>说明偏离情况：无偏离、正</w:t>
      </w:r>
      <w:r>
        <w:rPr>
          <w:color w:val="auto"/>
          <w:highlight w:val="none"/>
          <w:lang w:val="en-GB"/>
        </w:rPr>
        <w:t>偏离</w:t>
      </w:r>
      <w:r>
        <w:rPr>
          <w:rFonts w:hint="eastAsia"/>
          <w:color w:val="auto"/>
          <w:highlight w:val="none"/>
          <w:lang w:val="en-GB" w:eastAsia="zh-CN"/>
        </w:rPr>
        <w:t>、负偏离</w:t>
      </w:r>
      <w:r>
        <w:rPr>
          <w:color w:val="auto"/>
          <w:highlight w:val="none"/>
          <w:lang w:val="en-GB"/>
        </w:rPr>
        <w:t>，请在</w:t>
      </w:r>
      <w:r>
        <w:rPr>
          <w:color w:val="auto"/>
          <w:highlight w:val="none"/>
        </w:rPr>
        <w:t>“偏离说明”</w:t>
      </w:r>
      <w:r>
        <w:rPr>
          <w:color w:val="auto"/>
          <w:highlight w:val="none"/>
          <w:lang w:val="en-GB"/>
        </w:rPr>
        <w:t>栏内扼要说明偏离情况。</w:t>
      </w:r>
    </w:p>
    <w:p w14:paraId="46C6C61D">
      <w:pPr>
        <w:pStyle w:val="18"/>
        <w:spacing w:before="240" w:line="500" w:lineRule="atLeast"/>
        <w:jc w:val="center"/>
        <w:rPr>
          <w:rFonts w:hint="default"/>
          <w:b/>
          <w:color w:val="auto"/>
          <w:sz w:val="30"/>
          <w:highlight w:val="none"/>
          <w:lang w:val="en-GB"/>
        </w:rPr>
        <w:sectPr>
          <w:pgSz w:w="11906" w:h="16838"/>
          <w:pgMar w:top="1134"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14:paraId="07D51F07">
      <w:pPr>
        <w:pStyle w:val="18"/>
        <w:spacing w:before="240" w:line="500" w:lineRule="atLeast"/>
        <w:jc w:val="center"/>
        <w:rPr>
          <w:rFonts w:hint="default"/>
          <w:b/>
          <w:color w:val="auto"/>
          <w:sz w:val="30"/>
          <w:highlight w:val="none"/>
        </w:rPr>
      </w:pPr>
      <w:r>
        <w:rPr>
          <w:rFonts w:hint="eastAsia"/>
          <w:b/>
          <w:color w:val="auto"/>
          <w:sz w:val="30"/>
          <w:highlight w:val="none"/>
          <w:lang w:val="en-US" w:eastAsia="zh-CN"/>
        </w:rPr>
        <w:t>8</w:t>
      </w:r>
      <w:r>
        <w:rPr>
          <w:b/>
          <w:color w:val="auto"/>
          <w:sz w:val="30"/>
          <w:highlight w:val="none"/>
        </w:rPr>
        <w:t>、售后服务承诺书</w:t>
      </w:r>
    </w:p>
    <w:p w14:paraId="1CE36788">
      <w:pPr>
        <w:pStyle w:val="18"/>
        <w:spacing w:before="240" w:line="500" w:lineRule="atLeast"/>
        <w:jc w:val="center"/>
        <w:rPr>
          <w:rFonts w:hint="default"/>
          <w:b/>
          <w:color w:val="auto"/>
          <w:sz w:val="30"/>
          <w:highlight w:val="none"/>
        </w:rPr>
      </w:pPr>
      <w:r>
        <w:rPr>
          <w:b/>
          <w:color w:val="auto"/>
          <w:sz w:val="30"/>
          <w:highlight w:val="none"/>
        </w:rPr>
        <w:t>（由谈判供应商按《项目需求》及售后服务要求自行填写）；</w:t>
      </w:r>
    </w:p>
    <w:p w14:paraId="1BB3FCC7">
      <w:pPr>
        <w:pStyle w:val="18"/>
        <w:spacing w:before="240" w:line="500" w:lineRule="atLeast"/>
        <w:jc w:val="center"/>
        <w:rPr>
          <w:rFonts w:hint="default"/>
          <w:b/>
          <w:color w:val="auto"/>
          <w:sz w:val="30"/>
          <w:highlight w:val="none"/>
        </w:rPr>
      </w:pPr>
    </w:p>
    <w:p w14:paraId="3EEB1CD3">
      <w:pPr>
        <w:pStyle w:val="18"/>
        <w:spacing w:line="400" w:lineRule="exact"/>
        <w:rPr>
          <w:rFonts w:hint="default"/>
          <w:color w:val="auto"/>
          <w:highlight w:val="none"/>
        </w:rPr>
      </w:pPr>
    </w:p>
    <w:p w14:paraId="71B4C2FC">
      <w:pPr>
        <w:spacing w:line="480" w:lineRule="exact"/>
        <w:ind w:firstLine="480"/>
        <w:jc w:val="center"/>
        <w:rPr>
          <w:rFonts w:ascii="宋体" w:hAnsi="Courier New"/>
          <w:b/>
          <w:color w:val="auto"/>
          <w:sz w:val="30"/>
          <w:szCs w:val="20"/>
          <w:highlight w:val="none"/>
        </w:rPr>
      </w:pPr>
    </w:p>
    <w:p w14:paraId="5798B0AB">
      <w:pPr>
        <w:spacing w:line="480" w:lineRule="exact"/>
        <w:ind w:firstLine="480"/>
        <w:jc w:val="center"/>
        <w:rPr>
          <w:rFonts w:ascii="宋体" w:hAnsi="Courier New"/>
          <w:b/>
          <w:color w:val="auto"/>
          <w:sz w:val="30"/>
          <w:szCs w:val="20"/>
          <w:highlight w:val="none"/>
        </w:rPr>
      </w:pPr>
    </w:p>
    <w:p w14:paraId="212AC6E1">
      <w:pPr>
        <w:tabs>
          <w:tab w:val="left" w:pos="606"/>
        </w:tabs>
        <w:spacing w:line="480" w:lineRule="auto"/>
        <w:jc w:val="center"/>
        <w:rPr>
          <w:b/>
          <w:color w:val="auto"/>
          <w:sz w:val="28"/>
          <w:szCs w:val="28"/>
          <w:highlight w:val="none"/>
        </w:rPr>
      </w:pPr>
    </w:p>
    <w:p w14:paraId="0EC6F2AB">
      <w:pPr>
        <w:tabs>
          <w:tab w:val="left" w:pos="606"/>
        </w:tabs>
        <w:spacing w:line="480" w:lineRule="auto"/>
        <w:jc w:val="center"/>
        <w:rPr>
          <w:b/>
          <w:color w:val="auto"/>
          <w:sz w:val="28"/>
          <w:szCs w:val="28"/>
          <w:highlight w:val="none"/>
        </w:rPr>
      </w:pPr>
    </w:p>
    <w:p w14:paraId="58B77191">
      <w:pPr>
        <w:tabs>
          <w:tab w:val="left" w:pos="606"/>
        </w:tabs>
        <w:spacing w:line="480" w:lineRule="auto"/>
        <w:jc w:val="center"/>
        <w:rPr>
          <w:b/>
          <w:color w:val="auto"/>
          <w:sz w:val="32"/>
          <w:highlight w:val="none"/>
        </w:rPr>
      </w:pPr>
    </w:p>
    <w:p w14:paraId="2CC2E969">
      <w:pPr>
        <w:tabs>
          <w:tab w:val="left" w:pos="606"/>
        </w:tabs>
        <w:spacing w:line="480" w:lineRule="auto"/>
        <w:jc w:val="center"/>
        <w:rPr>
          <w:b/>
          <w:color w:val="auto"/>
          <w:sz w:val="32"/>
          <w:highlight w:val="none"/>
        </w:rPr>
      </w:pPr>
    </w:p>
    <w:p w14:paraId="6D3AB5C7">
      <w:pPr>
        <w:tabs>
          <w:tab w:val="left" w:pos="606"/>
        </w:tabs>
        <w:spacing w:line="480" w:lineRule="auto"/>
        <w:jc w:val="center"/>
        <w:rPr>
          <w:b/>
          <w:color w:val="auto"/>
          <w:sz w:val="32"/>
          <w:highlight w:val="none"/>
        </w:rPr>
      </w:pPr>
    </w:p>
    <w:p w14:paraId="21393E50">
      <w:pPr>
        <w:tabs>
          <w:tab w:val="left" w:pos="606"/>
        </w:tabs>
        <w:spacing w:line="480" w:lineRule="auto"/>
        <w:jc w:val="center"/>
        <w:rPr>
          <w:b/>
          <w:color w:val="auto"/>
          <w:sz w:val="32"/>
          <w:highlight w:val="none"/>
        </w:rPr>
      </w:pPr>
    </w:p>
    <w:p w14:paraId="6EB41BA5">
      <w:pPr>
        <w:tabs>
          <w:tab w:val="left" w:pos="606"/>
        </w:tabs>
        <w:spacing w:line="480" w:lineRule="auto"/>
        <w:jc w:val="center"/>
        <w:rPr>
          <w:b/>
          <w:color w:val="auto"/>
          <w:sz w:val="28"/>
          <w:szCs w:val="28"/>
          <w:highlight w:val="none"/>
        </w:rPr>
      </w:pPr>
      <w:r>
        <w:rPr>
          <w:rFonts w:hint="eastAsia"/>
          <w:b/>
          <w:color w:val="auto"/>
          <w:sz w:val="32"/>
          <w:highlight w:val="none"/>
          <w:lang w:val="en-US" w:eastAsia="zh-CN"/>
        </w:rPr>
        <w:t>9</w:t>
      </w:r>
      <w:r>
        <w:rPr>
          <w:rFonts w:hint="eastAsia"/>
          <w:b/>
          <w:color w:val="auto"/>
          <w:sz w:val="32"/>
          <w:highlight w:val="none"/>
        </w:rPr>
        <w:t>、</w:t>
      </w:r>
      <w:r>
        <w:rPr>
          <w:rFonts w:hint="eastAsia"/>
          <w:b/>
          <w:color w:val="auto"/>
          <w:sz w:val="30"/>
          <w:szCs w:val="30"/>
          <w:highlight w:val="none"/>
        </w:rPr>
        <w:t>其他需要提供的资料</w:t>
      </w:r>
    </w:p>
    <w:p w14:paraId="05B02AB2">
      <w:pPr>
        <w:pStyle w:val="18"/>
        <w:jc w:val="center"/>
        <w:rPr>
          <w:rFonts w:hint="default"/>
          <w:b/>
          <w:color w:val="auto"/>
          <w:sz w:val="32"/>
          <w:highlight w:val="none"/>
        </w:rPr>
      </w:pPr>
    </w:p>
    <w:p w14:paraId="5FB840A4">
      <w:pPr>
        <w:pStyle w:val="18"/>
        <w:jc w:val="center"/>
        <w:rPr>
          <w:rFonts w:hint="default"/>
          <w:b/>
          <w:color w:val="auto"/>
          <w:sz w:val="32"/>
          <w:highlight w:val="none"/>
        </w:rPr>
      </w:pPr>
    </w:p>
    <w:p w14:paraId="02338FE9">
      <w:pPr>
        <w:pStyle w:val="18"/>
        <w:jc w:val="center"/>
        <w:rPr>
          <w:rFonts w:hint="default"/>
          <w:b/>
          <w:color w:val="auto"/>
          <w:sz w:val="32"/>
          <w:highlight w:val="none"/>
        </w:rPr>
      </w:pPr>
    </w:p>
    <w:p w14:paraId="32AC26BD">
      <w:pPr>
        <w:pStyle w:val="18"/>
        <w:jc w:val="center"/>
        <w:rPr>
          <w:rStyle w:val="121"/>
          <w:rFonts w:hint="default"/>
          <w:color w:val="auto"/>
          <w:sz w:val="36"/>
          <w:szCs w:val="36"/>
          <w:highlight w:val="none"/>
        </w:rPr>
        <w:sectPr>
          <w:pgSz w:w="11906" w:h="16838"/>
          <w:pgMar w:top="1560" w:right="964" w:bottom="851" w:left="1134" w:header="720" w:footer="720" w:gutter="0"/>
          <w:pgBorders>
            <w:top w:val="none" w:sz="0" w:space="0"/>
            <w:left w:val="none" w:sz="0" w:space="0"/>
            <w:bottom w:val="none" w:sz="0" w:space="0"/>
            <w:right w:val="none" w:sz="0" w:space="0"/>
          </w:pgBorders>
          <w:cols w:space="720" w:num="1"/>
          <w:titlePg/>
          <w:docGrid w:linePitch="312" w:charSpace="0"/>
        </w:sectPr>
      </w:pPr>
      <w:r>
        <w:rPr>
          <w:rFonts w:ascii="隶书" w:eastAsia="隶书"/>
          <w:b/>
          <w:bCs/>
          <w:color w:val="auto"/>
          <w:sz w:val="44"/>
          <w:highlight w:val="none"/>
        </w:rPr>
        <w:br w:type="page"/>
      </w:r>
    </w:p>
    <w:p w14:paraId="36C5780D">
      <w:pPr>
        <w:pStyle w:val="18"/>
        <w:rPr>
          <w:rStyle w:val="121"/>
          <w:rFonts w:hint="default" w:ascii="宋体" w:hAnsi="Courier New"/>
          <w:bCs w:val="0"/>
          <w:color w:val="auto"/>
          <w:kern w:val="2"/>
          <w:sz w:val="32"/>
          <w:szCs w:val="32"/>
          <w:highlight w:val="none"/>
        </w:rPr>
      </w:pPr>
      <w:bookmarkStart w:id="31" w:name="_Toc536199440"/>
      <w:bookmarkStart w:id="32" w:name="_Toc518983403"/>
      <w:bookmarkStart w:id="33" w:name="_Toc1719473"/>
      <w:bookmarkStart w:id="34" w:name="_Toc11473"/>
      <w:bookmarkStart w:id="35" w:name="_Toc10529"/>
      <w:r>
        <w:rPr>
          <w:rStyle w:val="121"/>
          <w:rFonts w:ascii="宋体" w:hAnsi="Courier New"/>
          <w:bCs w:val="0"/>
          <w:color w:val="auto"/>
          <w:kern w:val="2"/>
          <w:sz w:val="32"/>
          <w:szCs w:val="32"/>
          <w:highlight w:val="none"/>
        </w:rPr>
        <w:t>附：</w:t>
      </w:r>
      <w:bookmarkEnd w:id="31"/>
      <w:bookmarkEnd w:id="32"/>
      <w:bookmarkEnd w:id="33"/>
    </w:p>
    <w:bookmarkEnd w:id="34"/>
    <w:bookmarkEnd w:id="35"/>
    <w:p w14:paraId="33D7C568">
      <w:pPr>
        <w:pStyle w:val="18"/>
        <w:rPr>
          <w:rStyle w:val="121"/>
          <w:rFonts w:hint="default" w:ascii="宋体" w:hAnsi="Courier New"/>
          <w:b w:val="0"/>
          <w:bCs w:val="0"/>
          <w:color w:val="auto"/>
          <w:kern w:val="2"/>
          <w:sz w:val="21"/>
          <w:szCs w:val="30"/>
          <w:highlight w:val="none"/>
        </w:rPr>
      </w:pPr>
    </w:p>
    <w:p w14:paraId="06741499">
      <w:pPr>
        <w:pStyle w:val="18"/>
        <w:rPr>
          <w:rStyle w:val="121"/>
          <w:rFonts w:hint="default" w:ascii="宋体" w:hAnsi="Courier New"/>
          <w:b w:val="0"/>
          <w:bCs w:val="0"/>
          <w:color w:val="auto"/>
          <w:kern w:val="2"/>
          <w:sz w:val="21"/>
          <w:szCs w:val="30"/>
          <w:highlight w:val="none"/>
        </w:rPr>
      </w:pPr>
    </w:p>
    <w:p w14:paraId="5157C75F">
      <w:pPr>
        <w:spacing w:before="240"/>
        <w:ind w:right="175"/>
        <w:jc w:val="center"/>
        <w:rPr>
          <w:color w:val="auto"/>
          <w:sz w:val="28"/>
          <w:highlight w:val="none"/>
        </w:rPr>
      </w:pPr>
      <w:r>
        <w:rPr>
          <w:color w:val="auto"/>
          <w:sz w:val="28"/>
          <w:highlight w:val="none"/>
        </w:rPr>
        <w:t>《中小企业声明函》格式</w:t>
      </w:r>
    </w:p>
    <w:p w14:paraId="6AAA4E17">
      <w:pPr>
        <w:spacing w:before="79"/>
        <w:ind w:right="181"/>
        <w:jc w:val="center"/>
        <w:rPr>
          <w:color w:val="auto"/>
          <w:sz w:val="24"/>
          <w:highlight w:val="none"/>
        </w:rPr>
      </w:pPr>
      <w:r>
        <w:rPr>
          <w:color w:val="auto"/>
          <w:sz w:val="24"/>
          <w:highlight w:val="none"/>
        </w:rPr>
        <w:t>（不符合《政府采购促进中小企业发展暂行办法》的供应商不需填写）</w:t>
      </w:r>
    </w:p>
    <w:p w14:paraId="0A9E2460">
      <w:pPr>
        <w:pStyle w:val="8"/>
        <w:spacing w:before="138"/>
        <w:ind w:left="531" w:right="231"/>
        <w:jc w:val="center"/>
        <w:rPr>
          <w:color w:val="auto"/>
          <w:highlight w:val="none"/>
        </w:rPr>
      </w:pPr>
      <w:r>
        <w:rPr>
          <w:color w:val="auto"/>
          <w:highlight w:val="none"/>
        </w:rPr>
        <w:t>中小企业声明函（如有时）</w:t>
      </w:r>
    </w:p>
    <w:p w14:paraId="15E5D56D">
      <w:pPr>
        <w:spacing w:before="222" w:line="386" w:lineRule="auto"/>
        <w:ind w:left="227" w:right="285" w:firstLine="600"/>
        <w:jc w:val="left"/>
        <w:rPr>
          <w:color w:val="auto"/>
          <w:sz w:val="24"/>
          <w:highlight w:val="none"/>
        </w:rPr>
      </w:pPr>
      <w:r>
        <w:rPr>
          <w:color w:val="auto"/>
          <w:spacing w:val="-13"/>
          <w:sz w:val="24"/>
          <w:highlight w:val="none"/>
        </w:rPr>
        <w:t>本公司郑重声明，根据《政府采购促进中小企业发展管理办法</w:t>
      </w:r>
      <w:r>
        <w:rPr>
          <w:color w:val="auto"/>
          <w:spacing w:val="-154"/>
          <w:sz w:val="24"/>
          <w:highlight w:val="none"/>
        </w:rPr>
        <w:t>》</w:t>
      </w:r>
      <w:r>
        <w:rPr>
          <w:color w:val="auto"/>
          <w:sz w:val="24"/>
          <w:highlight w:val="none"/>
        </w:rPr>
        <w:t>（财库﹝2020﹞46 号</w:t>
      </w:r>
      <w:r>
        <w:rPr>
          <w:color w:val="auto"/>
          <w:spacing w:val="-15"/>
          <w:sz w:val="24"/>
          <w:highlight w:val="none"/>
        </w:rPr>
        <w:t xml:space="preserve">） </w:t>
      </w:r>
      <w:r>
        <w:rPr>
          <w:color w:val="auto"/>
          <w:sz w:val="24"/>
          <w:highlight w:val="none"/>
        </w:rPr>
        <w:t>的规定，本公司参加</w:t>
      </w:r>
      <w:r>
        <w:rPr>
          <w:color w:val="auto"/>
          <w:sz w:val="24"/>
          <w:highlight w:val="none"/>
          <w:u w:val="single"/>
        </w:rPr>
        <w:t>（采购单位名称）</w:t>
      </w:r>
      <w:r>
        <w:rPr>
          <w:color w:val="auto"/>
          <w:sz w:val="24"/>
          <w:highlight w:val="none"/>
        </w:rPr>
        <w:t>的</w:t>
      </w:r>
      <w:r>
        <w:rPr>
          <w:color w:val="auto"/>
          <w:sz w:val="24"/>
          <w:highlight w:val="none"/>
          <w:u w:val="single"/>
        </w:rPr>
        <w:t>（项目名称）</w:t>
      </w:r>
      <w:r>
        <w:rPr>
          <w:color w:val="auto"/>
          <w:sz w:val="24"/>
          <w:highlight w:val="none"/>
        </w:rPr>
        <w:t>采购活动，提供的货物全部由符合政策要求的中小企业制造。相关企业的具体情况如下：</w:t>
      </w:r>
    </w:p>
    <w:p w14:paraId="62D2B67B">
      <w:pPr>
        <w:numPr>
          <w:ilvl w:val="2"/>
          <w:numId w:val="9"/>
        </w:numPr>
        <w:tabs>
          <w:tab w:val="left" w:pos="1188"/>
          <w:tab w:val="left" w:pos="2507"/>
          <w:tab w:val="left" w:pos="5267"/>
        </w:tabs>
        <w:spacing w:before="3" w:line="388" w:lineRule="auto"/>
        <w:ind w:left="227" w:right="457" w:firstLine="600"/>
        <w:jc w:val="left"/>
        <w:rPr>
          <w:color w:val="auto"/>
          <w:sz w:val="24"/>
          <w:highlight w:val="none"/>
        </w:rPr>
      </w:pPr>
      <w:r>
        <w:rPr>
          <w:rFonts w:hint="eastAsia"/>
          <w:color w:val="auto"/>
          <w:sz w:val="24"/>
          <w:highlight w:val="none"/>
          <w:u w:val="single"/>
        </w:rPr>
        <w:t>（标的名称）</w:t>
      </w:r>
      <w:r>
        <w:rPr>
          <w:color w:val="auto"/>
          <w:sz w:val="24"/>
          <w:highlight w:val="none"/>
        </w:rPr>
        <w:t>，属于</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谈判文件中明确的所属行业</w:t>
      </w:r>
      <w:r>
        <w:rPr>
          <w:color w:val="auto"/>
          <w:sz w:val="24"/>
          <w:highlight w:val="none"/>
          <w:u w:val="single"/>
        </w:rPr>
        <w:t>）</w:t>
      </w:r>
      <w:r>
        <w:rPr>
          <w:rFonts w:hint="eastAsia"/>
          <w:color w:val="auto"/>
          <w:sz w:val="24"/>
          <w:highlight w:val="none"/>
          <w:u w:val="single"/>
        </w:rPr>
        <w:t xml:space="preserve"> </w:t>
      </w:r>
      <w:r>
        <w:rPr>
          <w:color w:val="auto"/>
          <w:sz w:val="24"/>
          <w:highlight w:val="none"/>
        </w:rPr>
        <w:t>；制造商为</w:t>
      </w:r>
      <w:r>
        <w:rPr>
          <w:color w:val="auto"/>
          <w:sz w:val="24"/>
          <w:highlight w:val="none"/>
          <w:u w:val="single"/>
        </w:rPr>
        <w:t>（企业名称）</w:t>
      </w:r>
      <w:r>
        <w:rPr>
          <w:color w:val="auto"/>
          <w:sz w:val="24"/>
          <w:highlight w:val="none"/>
        </w:rPr>
        <w:t>，从业人</w:t>
      </w:r>
      <w:r>
        <w:rPr>
          <w:color w:val="auto"/>
          <w:spacing w:val="-18"/>
          <w:sz w:val="24"/>
          <w:highlight w:val="none"/>
        </w:rPr>
        <w:t>员</w:t>
      </w:r>
      <w:r>
        <w:rPr>
          <w:rFonts w:hint="eastAsia"/>
          <w:color w:val="auto"/>
          <w:spacing w:val="-18"/>
          <w:sz w:val="24"/>
          <w:highlight w:val="none"/>
          <w:u w:val="single"/>
        </w:rPr>
        <w:t xml:space="preserve">        </w:t>
      </w:r>
      <w:r>
        <w:rPr>
          <w:color w:val="auto"/>
          <w:sz w:val="24"/>
          <w:highlight w:val="none"/>
        </w:rPr>
        <w:t>人，营业</w:t>
      </w:r>
      <w:r>
        <w:rPr>
          <w:rFonts w:hint="eastAsia"/>
          <w:color w:val="auto"/>
          <w:sz w:val="24"/>
          <w:highlight w:val="none"/>
        </w:rPr>
        <w:t>收</w:t>
      </w:r>
      <w:r>
        <w:rPr>
          <w:color w:val="auto"/>
          <w:sz w:val="24"/>
          <w:highlight w:val="none"/>
        </w:rPr>
        <w:t>入为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万元，资产总额为</w:t>
      </w:r>
      <w:r>
        <w:rPr>
          <w:color w:val="auto"/>
          <w:sz w:val="24"/>
          <w:highlight w:val="none"/>
          <w:u w:val="single"/>
        </w:rPr>
        <w:t xml:space="preserve"> </w:t>
      </w:r>
      <w:r>
        <w:rPr>
          <w:color w:val="auto"/>
          <w:sz w:val="24"/>
          <w:highlight w:val="none"/>
          <w:u w:val="single"/>
        </w:rPr>
        <w:tab/>
      </w:r>
      <w:r>
        <w:rPr>
          <w:rFonts w:hint="eastAsia"/>
          <w:color w:val="auto"/>
          <w:sz w:val="24"/>
          <w:highlight w:val="none"/>
          <w:u w:val="single"/>
        </w:rPr>
        <w:t xml:space="preserve">  </w:t>
      </w:r>
      <w:r>
        <w:rPr>
          <w:color w:val="auto"/>
          <w:sz w:val="24"/>
          <w:highlight w:val="none"/>
        </w:rPr>
        <w:t>万元，属于</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（中型企业、小型企业、微</w:t>
      </w:r>
      <w:r>
        <w:rPr>
          <w:color w:val="auto"/>
          <w:spacing w:val="-18"/>
          <w:sz w:val="24"/>
          <w:highlight w:val="none"/>
          <w:u w:val="single"/>
        </w:rPr>
        <w:t>型</w:t>
      </w:r>
      <w:r>
        <w:rPr>
          <w:color w:val="auto"/>
          <w:sz w:val="24"/>
          <w:highlight w:val="none"/>
          <w:u w:val="single"/>
        </w:rPr>
        <w:t>企业）</w:t>
      </w:r>
      <w:r>
        <w:rPr>
          <w:color w:val="auto"/>
          <w:sz w:val="24"/>
          <w:highlight w:val="none"/>
        </w:rPr>
        <w:t>。</w:t>
      </w:r>
    </w:p>
    <w:p w14:paraId="12234A91">
      <w:pPr>
        <w:pStyle w:val="23"/>
        <w:spacing w:line="48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w:t>
      </w:r>
    </w:p>
    <w:p w14:paraId="73B69AB2">
      <w:pPr>
        <w:pStyle w:val="23"/>
        <w:rPr>
          <w:color w:val="auto"/>
          <w:highlight w:val="none"/>
        </w:rPr>
      </w:pPr>
    </w:p>
    <w:p w14:paraId="3C81D5F9">
      <w:pPr>
        <w:spacing w:before="2" w:line="388" w:lineRule="auto"/>
        <w:ind w:left="227" w:right="405" w:firstLine="600"/>
        <w:rPr>
          <w:color w:val="auto"/>
          <w:sz w:val="24"/>
          <w:highlight w:val="none"/>
        </w:rPr>
      </w:pPr>
      <w:r>
        <w:rPr>
          <w:color w:val="auto"/>
          <w:spacing w:val="-9"/>
          <w:sz w:val="24"/>
          <w:highlight w:val="none"/>
        </w:rPr>
        <w:t>以上企业，不属于大企业的分支机构，不存在控股股东为大企业的情形，也不存在与</w:t>
      </w:r>
      <w:r>
        <w:rPr>
          <w:color w:val="auto"/>
          <w:sz w:val="24"/>
          <w:highlight w:val="none"/>
        </w:rPr>
        <w:t>大企业的负责人为同一人的情形。</w:t>
      </w:r>
    </w:p>
    <w:p w14:paraId="292E043E">
      <w:pPr>
        <w:spacing w:before="31"/>
        <w:ind w:left="765"/>
        <w:rPr>
          <w:color w:val="auto"/>
          <w:sz w:val="24"/>
          <w:highlight w:val="none"/>
        </w:rPr>
      </w:pPr>
      <w:r>
        <w:rPr>
          <w:color w:val="auto"/>
          <w:sz w:val="24"/>
          <w:highlight w:val="none"/>
        </w:rPr>
        <w:t>本企业对上述声明内容的真实性负责。如有虚假，将依法承担相应责任。</w:t>
      </w:r>
    </w:p>
    <w:p w14:paraId="5FBB692D">
      <w:pPr>
        <w:pStyle w:val="13"/>
        <w:rPr>
          <w:color w:val="auto"/>
          <w:sz w:val="24"/>
          <w:highlight w:val="none"/>
        </w:rPr>
      </w:pPr>
    </w:p>
    <w:p w14:paraId="14BFF02C">
      <w:pPr>
        <w:pStyle w:val="13"/>
        <w:spacing w:before="10"/>
        <w:rPr>
          <w:color w:val="auto"/>
          <w:sz w:val="23"/>
          <w:highlight w:val="none"/>
        </w:rPr>
      </w:pPr>
    </w:p>
    <w:p w14:paraId="08CD71F5">
      <w:pPr>
        <w:tabs>
          <w:tab w:val="left" w:pos="5087"/>
        </w:tabs>
        <w:spacing w:line="360" w:lineRule="auto"/>
        <w:ind w:left="4367" w:right="3517"/>
        <w:jc w:val="left"/>
        <w:rPr>
          <w:color w:val="auto"/>
          <w:sz w:val="24"/>
          <w:highlight w:val="none"/>
        </w:rPr>
      </w:pPr>
      <w:r>
        <w:rPr>
          <w:color w:val="auto"/>
          <w:sz w:val="24"/>
          <w:highlight w:val="none"/>
        </w:rPr>
        <w:t>企业名称（盖章</w:t>
      </w:r>
      <w:r>
        <w:rPr>
          <w:color w:val="auto"/>
          <w:spacing w:val="-9"/>
          <w:sz w:val="24"/>
          <w:highlight w:val="none"/>
        </w:rPr>
        <w:t xml:space="preserve">）： </w:t>
      </w:r>
      <w:r>
        <w:rPr>
          <w:color w:val="auto"/>
          <w:sz w:val="24"/>
          <w:highlight w:val="none"/>
        </w:rPr>
        <w:t>日</w:t>
      </w:r>
      <w:r>
        <w:rPr>
          <w:color w:val="auto"/>
          <w:sz w:val="24"/>
          <w:highlight w:val="none"/>
        </w:rPr>
        <w:tab/>
      </w:r>
      <w:r>
        <w:rPr>
          <w:color w:val="auto"/>
          <w:sz w:val="24"/>
          <w:highlight w:val="none"/>
        </w:rPr>
        <w:t>期：</w:t>
      </w:r>
    </w:p>
    <w:p w14:paraId="4E150FFD">
      <w:pPr>
        <w:pStyle w:val="13"/>
        <w:rPr>
          <w:color w:val="auto"/>
          <w:sz w:val="24"/>
          <w:highlight w:val="none"/>
        </w:rPr>
      </w:pPr>
    </w:p>
    <w:p w14:paraId="63CA662D">
      <w:pPr>
        <w:pStyle w:val="13"/>
        <w:rPr>
          <w:color w:val="auto"/>
          <w:sz w:val="24"/>
          <w:highlight w:val="none"/>
        </w:rPr>
      </w:pPr>
    </w:p>
    <w:p w14:paraId="46D17B7E">
      <w:pPr>
        <w:spacing w:before="163"/>
        <w:ind w:right="108"/>
        <w:jc w:val="center"/>
        <w:rPr>
          <w:b/>
          <w:color w:val="auto"/>
          <w:highlight w:val="none"/>
        </w:rPr>
      </w:pPr>
      <w:r>
        <w:rPr>
          <w:b/>
          <w:color w:val="auto"/>
          <w:highlight w:val="none"/>
        </w:rPr>
        <w:t>注：从业人员、营业收入、资产总额填报上一年度数据，无上一年度数据的新成立企业可不填报。</w:t>
      </w:r>
    </w:p>
    <w:p w14:paraId="7EB08077">
      <w:pPr>
        <w:rPr>
          <w:rFonts w:asciiTheme="minorEastAsia" w:hAnsiTheme="minorEastAsia" w:eastAsiaTheme="minorEastAsia"/>
          <w:b/>
          <w:color w:val="auto"/>
          <w:spacing w:val="6"/>
          <w:sz w:val="28"/>
          <w:szCs w:val="28"/>
          <w:highlight w:val="none"/>
        </w:rPr>
      </w:pPr>
      <w:r>
        <w:rPr>
          <w:rFonts w:hint="eastAsia" w:asciiTheme="minorEastAsia" w:hAnsiTheme="minorEastAsia" w:eastAsiaTheme="minorEastAsia"/>
          <w:b/>
          <w:color w:val="auto"/>
          <w:spacing w:val="6"/>
          <w:sz w:val="28"/>
          <w:szCs w:val="28"/>
          <w:highlight w:val="none"/>
        </w:rPr>
        <w:br w:type="page"/>
      </w:r>
    </w:p>
    <w:p w14:paraId="3B2ED955">
      <w:pPr>
        <w:spacing w:line="588" w:lineRule="exact"/>
        <w:jc w:val="center"/>
        <w:rPr>
          <w:rFonts w:asciiTheme="minorEastAsia" w:hAnsiTheme="minorEastAsia" w:eastAsiaTheme="minorEastAsia"/>
          <w:b/>
          <w:color w:val="auto"/>
          <w:spacing w:val="6"/>
          <w:sz w:val="28"/>
          <w:szCs w:val="28"/>
          <w:highlight w:val="none"/>
        </w:rPr>
      </w:pPr>
      <w:r>
        <w:rPr>
          <w:rFonts w:hint="eastAsia" w:asciiTheme="minorEastAsia" w:hAnsiTheme="minorEastAsia" w:eastAsiaTheme="minorEastAsia"/>
          <w:b/>
          <w:color w:val="auto"/>
          <w:spacing w:val="6"/>
          <w:sz w:val="28"/>
          <w:szCs w:val="28"/>
          <w:highlight w:val="none"/>
        </w:rPr>
        <w:t>残疾人福利性单位声明函（格式，残疾人福利性单位适用）</w:t>
      </w:r>
    </w:p>
    <w:p w14:paraId="5EE6D80E">
      <w:pPr>
        <w:spacing w:line="588" w:lineRule="exact"/>
        <w:jc w:val="center"/>
        <w:rPr>
          <w:rFonts w:asciiTheme="minorEastAsia" w:hAnsiTheme="minorEastAsia" w:eastAsiaTheme="minorEastAsia"/>
          <w:b/>
          <w:color w:val="auto"/>
          <w:spacing w:val="6"/>
          <w:sz w:val="28"/>
          <w:szCs w:val="28"/>
          <w:highlight w:val="none"/>
        </w:rPr>
      </w:pPr>
    </w:p>
    <w:p w14:paraId="5E236010">
      <w:pPr>
        <w:spacing w:line="588" w:lineRule="exact"/>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szCs w:val="21"/>
          <w:highlight w:val="none"/>
        </w:rPr>
        <w:t>〔2017〕 141</w:t>
      </w:r>
      <w:r>
        <w:rPr>
          <w:rFonts w:hint="eastAsia" w:asciiTheme="minorEastAsia" w:hAnsiTheme="minorEastAsia" w:eastAsiaTheme="minorEastAsia"/>
          <w:color w:val="auto"/>
          <w:spacing w:val="6"/>
          <w:szCs w:val="21"/>
          <w:highlight w:val="none"/>
        </w:rPr>
        <w:t>号）的规定，本单位为符合条件的残疾人福利性单位，且本单位参加</w:t>
      </w:r>
      <w:r>
        <w:rPr>
          <w:rFonts w:hint="eastAsia" w:asciiTheme="minorEastAsia" w:hAnsiTheme="minorEastAsia" w:eastAsiaTheme="minorEastAsia"/>
          <w:color w:val="auto"/>
          <w:spacing w:val="6"/>
          <w:szCs w:val="21"/>
          <w:highlight w:val="none"/>
          <w:u w:val="single"/>
        </w:rPr>
        <w:t>______</w:t>
      </w:r>
      <w:r>
        <w:rPr>
          <w:rFonts w:hint="eastAsia" w:asciiTheme="minorEastAsia" w:hAnsiTheme="minorEastAsia" w:eastAsiaTheme="minorEastAsia"/>
          <w:color w:val="auto"/>
          <w:spacing w:val="6"/>
          <w:szCs w:val="21"/>
          <w:highlight w:val="none"/>
        </w:rPr>
        <w:t>单位的</w:t>
      </w:r>
      <w:r>
        <w:rPr>
          <w:rFonts w:hint="eastAsia" w:asciiTheme="minorEastAsia" w:hAnsiTheme="minorEastAsia" w:eastAsiaTheme="minorEastAsia"/>
          <w:color w:val="auto"/>
          <w:spacing w:val="6"/>
          <w:szCs w:val="21"/>
          <w:highlight w:val="none"/>
          <w:u w:val="single"/>
        </w:rPr>
        <w:t>______</w:t>
      </w:r>
      <w:r>
        <w:rPr>
          <w:rFonts w:hint="eastAsia" w:asciiTheme="minorEastAsia" w:hAnsiTheme="minorEastAsia" w:eastAsiaTheme="minorEastAsia"/>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31578A15">
      <w:pPr>
        <w:spacing w:line="588" w:lineRule="exact"/>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本单位对上述声明的真实性负责。如有虚假，将依法承担相应责任。</w:t>
      </w:r>
    </w:p>
    <w:p w14:paraId="1AB6284E">
      <w:pPr>
        <w:spacing w:line="588" w:lineRule="exact"/>
        <w:ind w:firstLine="444" w:firstLineChars="200"/>
        <w:rPr>
          <w:rFonts w:asciiTheme="minorEastAsia" w:hAnsiTheme="minorEastAsia" w:eastAsiaTheme="minorEastAsia"/>
          <w:color w:val="auto"/>
          <w:spacing w:val="6"/>
          <w:szCs w:val="21"/>
          <w:highlight w:val="none"/>
        </w:rPr>
      </w:pPr>
    </w:p>
    <w:p w14:paraId="3E0E2EB7">
      <w:pPr>
        <w:spacing w:line="588" w:lineRule="exact"/>
        <w:ind w:firstLine="444" w:firstLineChars="200"/>
        <w:rPr>
          <w:rFonts w:asciiTheme="minorEastAsia" w:hAnsiTheme="minorEastAsia" w:eastAsiaTheme="minorEastAsia"/>
          <w:color w:val="auto"/>
          <w:spacing w:val="6"/>
          <w:szCs w:val="21"/>
          <w:highlight w:val="none"/>
        </w:rPr>
      </w:pPr>
    </w:p>
    <w:p w14:paraId="1B5F613C">
      <w:pPr>
        <w:tabs>
          <w:tab w:val="left" w:pos="4860"/>
        </w:tabs>
        <w:spacing w:line="588" w:lineRule="exact"/>
        <w:ind w:right="1560" w:firstLine="4819" w:firstLineChars="2171"/>
        <w:jc w:val="left"/>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单位名称（盖章）：</w:t>
      </w:r>
    </w:p>
    <w:p w14:paraId="184185DA">
      <w:pPr>
        <w:pStyle w:val="18"/>
        <w:ind w:firstLine="4602" w:firstLineChars="2171"/>
        <w:rPr>
          <w:rFonts w:hint="default" w:asciiTheme="minorEastAsia" w:hAnsiTheme="minorEastAsia" w:eastAsiaTheme="minorEastAsia"/>
          <w:color w:val="auto"/>
          <w:spacing w:val="6"/>
          <w:highlight w:val="none"/>
        </w:rPr>
      </w:pPr>
      <w:r>
        <w:rPr>
          <w:rFonts w:asciiTheme="minorEastAsia" w:hAnsiTheme="minorEastAsia" w:eastAsiaTheme="minorEastAsia"/>
          <w:color w:val="auto"/>
          <w:spacing w:val="6"/>
          <w:highlight w:val="none"/>
        </w:rPr>
        <w:t>日  期：</w:t>
      </w:r>
    </w:p>
    <w:p w14:paraId="5D9486AF">
      <w:pPr>
        <w:pStyle w:val="18"/>
        <w:ind w:firstLine="4602" w:firstLineChars="2171"/>
        <w:rPr>
          <w:rFonts w:hint="default" w:asciiTheme="minorEastAsia" w:hAnsiTheme="minorEastAsia" w:eastAsiaTheme="minorEastAsia"/>
          <w:color w:val="auto"/>
          <w:spacing w:val="6"/>
          <w:highlight w:val="none"/>
        </w:rPr>
      </w:pPr>
    </w:p>
    <w:p w14:paraId="4E720C70">
      <w:pPr>
        <w:pStyle w:val="18"/>
        <w:ind w:firstLine="4602" w:firstLineChars="2171"/>
        <w:rPr>
          <w:rFonts w:hint="default" w:asciiTheme="minorEastAsia" w:hAnsiTheme="minorEastAsia" w:eastAsiaTheme="minorEastAsia"/>
          <w:color w:val="auto"/>
          <w:spacing w:val="6"/>
          <w:highlight w:val="none"/>
        </w:rPr>
      </w:pPr>
    </w:p>
    <w:p w14:paraId="3EEA4DEE">
      <w:pPr>
        <w:pStyle w:val="18"/>
        <w:ind w:firstLine="4602" w:firstLineChars="2171"/>
        <w:rPr>
          <w:rFonts w:hint="default" w:asciiTheme="minorEastAsia" w:hAnsiTheme="minorEastAsia" w:eastAsiaTheme="minorEastAsia"/>
          <w:color w:val="auto"/>
          <w:spacing w:val="6"/>
          <w:highlight w:val="none"/>
        </w:rPr>
      </w:pPr>
    </w:p>
    <w:p w14:paraId="37BA49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备注：1、请供应商根据自己的真实情况出具本声明函，供应商不属于残疾人福利性单位的，不用提供。</w:t>
      </w:r>
    </w:p>
    <w:p w14:paraId="7D8735E6">
      <w:pPr>
        <w:pStyle w:val="18"/>
        <w:rPr>
          <w:rFonts w:hint="default" w:asciiTheme="minorEastAsia" w:hAnsiTheme="minorEastAsia" w:eastAsiaTheme="minorEastAsia"/>
          <w:color w:val="auto"/>
          <w:spacing w:val="6"/>
          <w:highlight w:val="none"/>
        </w:rPr>
      </w:pPr>
      <w:r>
        <w:rPr>
          <w:rFonts w:hAnsi="宋体"/>
          <w:color w:val="auto"/>
          <w:highlight w:val="none"/>
        </w:rPr>
        <w:t xml:space="preserve">          2、供应商应对此声明函的真实性负责。</w:t>
      </w:r>
    </w:p>
    <w:p w14:paraId="50279555">
      <w:pPr>
        <w:pStyle w:val="18"/>
        <w:ind w:firstLine="6538" w:firstLineChars="2171"/>
        <w:rPr>
          <w:rStyle w:val="121"/>
          <w:rFonts w:hint="default"/>
          <w:color w:val="auto"/>
          <w:sz w:val="30"/>
          <w:szCs w:val="30"/>
          <w:highlight w:val="none"/>
        </w:rPr>
      </w:pPr>
    </w:p>
    <w:p w14:paraId="3A1F014A">
      <w:pPr>
        <w:pStyle w:val="18"/>
        <w:rPr>
          <w:rFonts w:hint="default" w:asciiTheme="minorEastAsia" w:hAnsiTheme="minorEastAsia" w:eastAsiaTheme="minorEastAsia"/>
          <w:color w:val="auto"/>
          <w:spacing w:val="6"/>
          <w:highlight w:val="none"/>
        </w:rPr>
      </w:pPr>
    </w:p>
    <w:p w14:paraId="31FE2578">
      <w:pPr>
        <w:pStyle w:val="18"/>
        <w:ind w:firstLine="6538" w:firstLineChars="2171"/>
        <w:rPr>
          <w:rStyle w:val="121"/>
          <w:rFonts w:hint="default"/>
          <w:color w:val="auto"/>
          <w:sz w:val="30"/>
          <w:szCs w:val="30"/>
          <w:highlight w:val="none"/>
        </w:rPr>
      </w:pPr>
    </w:p>
    <w:p w14:paraId="76C0CFA2">
      <w:pPr>
        <w:pStyle w:val="18"/>
        <w:jc w:val="left"/>
        <w:outlineLvl w:val="9"/>
        <w:rPr>
          <w:rStyle w:val="121"/>
          <w:rFonts w:hint="default"/>
          <w:color w:val="auto"/>
          <w:sz w:val="30"/>
          <w:szCs w:val="30"/>
          <w:highlight w:val="none"/>
        </w:rPr>
        <w:sectPr>
          <w:footerReference r:id="rId15" w:type="first"/>
          <w:pgSz w:w="11906" w:h="16838"/>
          <w:pgMar w:top="1560"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14:paraId="5B920E78">
      <w:pPr>
        <w:pStyle w:val="18"/>
        <w:jc w:val="center"/>
        <w:outlineLvl w:val="0"/>
        <w:rPr>
          <w:rFonts w:hint="default"/>
          <w:b/>
          <w:bCs/>
          <w:color w:val="auto"/>
          <w:sz w:val="36"/>
          <w:szCs w:val="36"/>
          <w:highlight w:val="none"/>
        </w:rPr>
      </w:pPr>
      <w:bookmarkStart w:id="36" w:name="_Toc22242"/>
      <w:bookmarkStart w:id="37" w:name="_Toc1719474"/>
      <w:r>
        <w:rPr>
          <w:rStyle w:val="121"/>
          <w:color w:val="auto"/>
          <w:sz w:val="36"/>
          <w:szCs w:val="36"/>
          <w:highlight w:val="none"/>
        </w:rPr>
        <w:t>第六章 成交评审方法</w:t>
      </w:r>
      <w:bookmarkEnd w:id="36"/>
      <w:bookmarkEnd w:id="37"/>
    </w:p>
    <w:p w14:paraId="6A6349BD">
      <w:pPr>
        <w:pStyle w:val="18"/>
        <w:spacing w:line="360" w:lineRule="auto"/>
        <w:rPr>
          <w:rFonts w:hint="default" w:hAnsi="宋体"/>
          <w:b/>
          <w:bCs/>
          <w:color w:val="auto"/>
          <w:sz w:val="24"/>
          <w:szCs w:val="24"/>
          <w:highlight w:val="none"/>
        </w:rPr>
      </w:pPr>
      <w:r>
        <w:rPr>
          <w:rFonts w:hAnsi="宋体"/>
          <w:b/>
          <w:bCs/>
          <w:color w:val="auto"/>
          <w:highlight w:val="none"/>
        </w:rPr>
        <w:t>一</w:t>
      </w:r>
      <w:r>
        <w:rPr>
          <w:rFonts w:hAnsi="宋体"/>
          <w:b/>
          <w:bCs/>
          <w:color w:val="auto"/>
          <w:sz w:val="24"/>
          <w:szCs w:val="24"/>
          <w:highlight w:val="none"/>
        </w:rPr>
        <w:t>、评审原则</w:t>
      </w:r>
    </w:p>
    <w:p w14:paraId="721A9E47">
      <w:pPr>
        <w:pStyle w:val="18"/>
        <w:spacing w:line="360" w:lineRule="auto"/>
        <w:ind w:firstLine="480" w:firstLineChars="200"/>
        <w:rPr>
          <w:rFonts w:hint="default" w:hAnsi="宋体"/>
          <w:bCs/>
          <w:color w:val="auto"/>
          <w:sz w:val="24"/>
          <w:szCs w:val="24"/>
          <w:highlight w:val="none"/>
        </w:rPr>
      </w:pPr>
      <w:r>
        <w:rPr>
          <w:rFonts w:hAnsi="宋体"/>
          <w:bCs/>
          <w:color w:val="auto"/>
          <w:sz w:val="24"/>
          <w:szCs w:val="24"/>
          <w:highlight w:val="none"/>
        </w:rPr>
        <w:t>（一） 谈判小组构成：采购人代表1人，评审专家2人，</w:t>
      </w:r>
      <w:r>
        <w:rPr>
          <w:rFonts w:hAnsi="宋体"/>
          <w:color w:val="auto"/>
          <w:spacing w:val="-1"/>
          <w:sz w:val="24"/>
          <w:szCs w:val="24"/>
          <w:highlight w:val="none"/>
        </w:rPr>
        <w:t>评</w:t>
      </w:r>
      <w:r>
        <w:rPr>
          <w:rFonts w:hAnsi="宋体"/>
          <w:color w:val="auto"/>
          <w:spacing w:val="2"/>
          <w:sz w:val="24"/>
          <w:szCs w:val="24"/>
          <w:highlight w:val="none"/>
        </w:rPr>
        <w:t>审</w:t>
      </w:r>
      <w:r>
        <w:rPr>
          <w:rFonts w:hAnsi="宋体"/>
          <w:color w:val="auto"/>
          <w:spacing w:val="-1"/>
          <w:sz w:val="24"/>
          <w:szCs w:val="24"/>
          <w:highlight w:val="none"/>
        </w:rPr>
        <w:t>专</w:t>
      </w:r>
      <w:r>
        <w:rPr>
          <w:rFonts w:hAnsi="宋体"/>
          <w:color w:val="auto"/>
          <w:spacing w:val="2"/>
          <w:sz w:val="24"/>
          <w:szCs w:val="24"/>
          <w:highlight w:val="none"/>
        </w:rPr>
        <w:t>家</w:t>
      </w:r>
      <w:r>
        <w:rPr>
          <w:rFonts w:hAnsi="宋体"/>
          <w:color w:val="auto"/>
          <w:spacing w:val="-1"/>
          <w:sz w:val="24"/>
          <w:szCs w:val="24"/>
          <w:highlight w:val="none"/>
        </w:rPr>
        <w:t>确</w:t>
      </w:r>
      <w:r>
        <w:rPr>
          <w:rFonts w:hAnsi="宋体"/>
          <w:color w:val="auto"/>
          <w:spacing w:val="2"/>
          <w:sz w:val="24"/>
          <w:szCs w:val="24"/>
          <w:highlight w:val="none"/>
        </w:rPr>
        <w:t>定</w:t>
      </w:r>
      <w:r>
        <w:rPr>
          <w:rFonts w:hAnsi="宋体"/>
          <w:color w:val="auto"/>
          <w:spacing w:val="-1"/>
          <w:sz w:val="24"/>
          <w:szCs w:val="24"/>
          <w:highlight w:val="none"/>
        </w:rPr>
        <w:t>方</w:t>
      </w:r>
      <w:r>
        <w:rPr>
          <w:rFonts w:hAnsi="宋体"/>
          <w:color w:val="auto"/>
          <w:spacing w:val="2"/>
          <w:sz w:val="24"/>
          <w:szCs w:val="24"/>
          <w:highlight w:val="none"/>
        </w:rPr>
        <w:t>式</w:t>
      </w:r>
      <w:r>
        <w:rPr>
          <w:rFonts w:hAnsi="宋体"/>
          <w:color w:val="auto"/>
          <w:spacing w:val="-1"/>
          <w:sz w:val="24"/>
          <w:szCs w:val="24"/>
          <w:highlight w:val="none"/>
        </w:rPr>
        <w:t>：在</w:t>
      </w:r>
      <w:r>
        <w:rPr>
          <w:rFonts w:hint="eastAsia" w:hAnsi="宋体"/>
          <w:color w:val="auto"/>
          <w:spacing w:val="-1"/>
          <w:sz w:val="24"/>
          <w:szCs w:val="24"/>
          <w:highlight w:val="none"/>
          <w:lang w:eastAsia="zh-CN"/>
        </w:rPr>
        <w:t>梧州市本级</w:t>
      </w:r>
      <w:r>
        <w:rPr>
          <w:rFonts w:hAnsi="宋体"/>
          <w:color w:val="auto"/>
          <w:spacing w:val="-1"/>
          <w:sz w:val="24"/>
          <w:szCs w:val="24"/>
          <w:highlight w:val="none"/>
        </w:rPr>
        <w:t>评委库</w:t>
      </w:r>
      <w:r>
        <w:rPr>
          <w:rFonts w:hAnsi="宋体"/>
          <w:color w:val="auto"/>
          <w:spacing w:val="2"/>
          <w:sz w:val="24"/>
          <w:szCs w:val="24"/>
          <w:highlight w:val="none"/>
        </w:rPr>
        <w:t>随</w:t>
      </w:r>
      <w:r>
        <w:rPr>
          <w:rFonts w:hAnsi="宋体"/>
          <w:color w:val="auto"/>
          <w:spacing w:val="-1"/>
          <w:sz w:val="24"/>
          <w:szCs w:val="24"/>
          <w:highlight w:val="none"/>
        </w:rPr>
        <w:t>机</w:t>
      </w:r>
      <w:r>
        <w:rPr>
          <w:rFonts w:hAnsi="宋体"/>
          <w:color w:val="auto"/>
          <w:spacing w:val="2"/>
          <w:sz w:val="24"/>
          <w:szCs w:val="24"/>
          <w:highlight w:val="none"/>
        </w:rPr>
        <w:t>抽</w:t>
      </w:r>
      <w:r>
        <w:rPr>
          <w:rFonts w:hAnsi="宋体"/>
          <w:color w:val="auto"/>
          <w:spacing w:val="-1"/>
          <w:sz w:val="24"/>
          <w:szCs w:val="24"/>
          <w:highlight w:val="none"/>
        </w:rPr>
        <w:t>取</w:t>
      </w:r>
      <w:r>
        <w:rPr>
          <w:rFonts w:hAnsi="宋体"/>
          <w:color w:val="auto"/>
          <w:sz w:val="24"/>
          <w:szCs w:val="24"/>
          <w:highlight w:val="none"/>
        </w:rPr>
        <w:t>。</w:t>
      </w:r>
    </w:p>
    <w:p w14:paraId="1F79C05C">
      <w:pPr>
        <w:pStyle w:val="18"/>
        <w:spacing w:line="360" w:lineRule="auto"/>
        <w:ind w:firstLine="480" w:firstLineChars="200"/>
        <w:rPr>
          <w:rFonts w:hint="default" w:hAnsi="宋体"/>
          <w:bCs/>
          <w:color w:val="auto"/>
          <w:sz w:val="24"/>
          <w:szCs w:val="24"/>
          <w:highlight w:val="none"/>
        </w:rPr>
      </w:pPr>
      <w:r>
        <w:rPr>
          <w:rFonts w:hAnsi="宋体"/>
          <w:bCs/>
          <w:color w:val="auto"/>
          <w:sz w:val="24"/>
          <w:szCs w:val="24"/>
          <w:highlight w:val="none"/>
        </w:rPr>
        <w:t>（二）评定依据：以采购文件和竞争性谈判响应文件为评定依据。</w:t>
      </w:r>
    </w:p>
    <w:p w14:paraId="6B964130">
      <w:pPr>
        <w:pStyle w:val="18"/>
        <w:spacing w:line="360" w:lineRule="auto"/>
        <w:ind w:firstLine="480" w:firstLineChars="200"/>
        <w:rPr>
          <w:rFonts w:hint="default" w:hAnsi="宋体"/>
          <w:bCs/>
          <w:color w:val="auto"/>
          <w:sz w:val="24"/>
          <w:szCs w:val="24"/>
          <w:highlight w:val="none"/>
        </w:rPr>
      </w:pPr>
      <w:r>
        <w:rPr>
          <w:rFonts w:hAnsi="宋体"/>
          <w:bCs/>
          <w:color w:val="auto"/>
          <w:sz w:val="24"/>
          <w:szCs w:val="24"/>
          <w:highlight w:val="none"/>
        </w:rPr>
        <w:t>（三）评定方法：最低评标价法。</w:t>
      </w:r>
    </w:p>
    <w:p w14:paraId="25D49778">
      <w:pPr>
        <w:pStyle w:val="18"/>
        <w:spacing w:line="360" w:lineRule="auto"/>
        <w:rPr>
          <w:rFonts w:hint="default" w:hAnsi="宋体"/>
          <w:b/>
          <w:bCs/>
          <w:color w:val="auto"/>
          <w:sz w:val="24"/>
          <w:szCs w:val="24"/>
          <w:highlight w:val="none"/>
        </w:rPr>
      </w:pPr>
      <w:r>
        <w:rPr>
          <w:rFonts w:hAnsi="宋体"/>
          <w:b/>
          <w:bCs/>
          <w:color w:val="auto"/>
          <w:sz w:val="24"/>
          <w:szCs w:val="24"/>
          <w:highlight w:val="none"/>
        </w:rPr>
        <w:t>二、评审方法</w:t>
      </w:r>
    </w:p>
    <w:p w14:paraId="7BB73ECF">
      <w:pPr>
        <w:pStyle w:val="18"/>
        <w:spacing w:line="360" w:lineRule="auto"/>
        <w:ind w:firstLine="482" w:firstLineChars="200"/>
        <w:rPr>
          <w:rFonts w:hint="default" w:hAnsi="宋体" w:cs="宋体"/>
          <w:b/>
          <w:bCs/>
          <w:color w:val="auto"/>
          <w:sz w:val="24"/>
          <w:szCs w:val="24"/>
          <w:highlight w:val="none"/>
        </w:rPr>
      </w:pPr>
      <w:r>
        <w:rPr>
          <w:rFonts w:hAnsi="宋体" w:cs="宋体"/>
          <w:b/>
          <w:bCs/>
          <w:color w:val="auto"/>
          <w:sz w:val="24"/>
          <w:szCs w:val="24"/>
          <w:highlight w:val="none"/>
        </w:rPr>
        <w:t>专门面向中小企业采购的项目或者采购包，不再执行价格评审优惠的扶持政策。</w:t>
      </w:r>
    </w:p>
    <w:p w14:paraId="6F247AD4">
      <w:pPr>
        <w:pStyle w:val="18"/>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（一）谈判小组将以采购文件、竞争性谈判响应文件为评定依据，当竞标产品性能和服务有负偏离，（按项目需求第5条规定），视作未对采购文件做出实质性响应。</w:t>
      </w:r>
    </w:p>
    <w:p w14:paraId="0A15208E">
      <w:pPr>
        <w:pStyle w:val="18"/>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（二）在全部满足采购文件实质性要求前提下，依据统一的价格要素评定最低报价，以提出最低评审价的谈判供应商作为成交供应商。</w:t>
      </w:r>
    </w:p>
    <w:p w14:paraId="5D68F672">
      <w:pPr>
        <w:pStyle w:val="18"/>
        <w:tabs>
          <w:tab w:val="center" w:pos="4904"/>
        </w:tabs>
        <w:spacing w:line="360" w:lineRule="auto"/>
        <w:rPr>
          <w:rFonts w:hint="default" w:hAnsi="宋体"/>
          <w:bCs/>
          <w:color w:val="auto"/>
          <w:sz w:val="24"/>
          <w:szCs w:val="24"/>
          <w:highlight w:val="none"/>
        </w:rPr>
      </w:pPr>
      <w:r>
        <w:rPr>
          <w:b/>
          <w:color w:val="auto"/>
          <w:sz w:val="24"/>
          <w:szCs w:val="24"/>
          <w:highlight w:val="none"/>
        </w:rPr>
        <w:t>三、成交候选供应商推荐原则</w:t>
      </w:r>
      <w:r>
        <w:rPr>
          <w:b/>
          <w:color w:val="auto"/>
          <w:sz w:val="24"/>
          <w:szCs w:val="24"/>
          <w:highlight w:val="none"/>
        </w:rPr>
        <w:tab/>
      </w:r>
    </w:p>
    <w:p w14:paraId="791A2C2E">
      <w:pPr>
        <w:pStyle w:val="18"/>
        <w:spacing w:line="360" w:lineRule="auto"/>
        <w:ind w:firstLine="480" w:firstLineChars="200"/>
        <w:rPr>
          <w:rFonts w:hint="default"/>
          <w:color w:val="auto"/>
          <w:sz w:val="24"/>
          <w:szCs w:val="24"/>
          <w:highlight w:val="none"/>
        </w:rPr>
      </w:pPr>
      <w:r>
        <w:rPr>
          <w:rFonts w:hAnsi="宋体" w:cs="宋体"/>
          <w:color w:val="auto"/>
          <w:sz w:val="24"/>
          <w:szCs w:val="24"/>
          <w:highlight w:val="none"/>
        </w:rPr>
        <w:t>谈判小组从质量和服务均能满足谈判文件全部实质性响应要求的供应商中，按照评审报价（最后报价）由低到高的顺序推荐3名成交候选供应商，评审价格相同的，按最后报价由低到高顺序排序；当评审价格且最后报价相同的，则依次按节能和环境标志产品优先（适用于《节能产品政府采购品目清单》范围内非“</w:t>
      </w:r>
      <w:r>
        <w:rPr>
          <w:rFonts w:asciiTheme="minorEastAsia" w:hAnsiTheme="minorEastAsia" w:eastAsiaTheme="minorEastAsia" w:cstheme="minorEastAsia"/>
          <w:bCs/>
          <w:color w:val="auto"/>
          <w:sz w:val="24"/>
          <w:szCs w:val="24"/>
          <w:highlight w:val="none"/>
        </w:rPr>
        <w:t>★</w:t>
      </w:r>
      <w:r>
        <w:rPr>
          <w:rFonts w:hAnsi="宋体" w:cs="宋体"/>
          <w:color w:val="auto"/>
          <w:sz w:val="24"/>
          <w:szCs w:val="24"/>
          <w:highlight w:val="none"/>
        </w:rPr>
        <w:t>”标注的和《环境标志产品政府采购品目清单》范围内产品）。同为节能产品、环境标志产品的，</w:t>
      </w:r>
      <w:r>
        <w:rPr>
          <w:color w:val="auto"/>
          <w:sz w:val="24"/>
          <w:szCs w:val="24"/>
          <w:highlight w:val="none"/>
        </w:rPr>
        <w:t>则依次按技术指标高优先、售后服务优先原则排序。</w:t>
      </w:r>
    </w:p>
    <w:p w14:paraId="4D31E21D">
      <w:pPr>
        <w:pStyle w:val="18"/>
        <w:spacing w:line="360" w:lineRule="auto"/>
        <w:ind w:firstLine="480" w:firstLineChars="200"/>
        <w:rPr>
          <w:rFonts w:hint="default"/>
          <w:color w:val="auto"/>
          <w:sz w:val="24"/>
          <w:szCs w:val="24"/>
          <w:highlight w:val="none"/>
        </w:rPr>
      </w:pPr>
      <w:r>
        <w:rPr>
          <w:rFonts w:hAnsi="宋体"/>
          <w:bCs/>
          <w:color w:val="auto"/>
          <w:sz w:val="24"/>
          <w:szCs w:val="24"/>
          <w:highlight w:val="none"/>
        </w:rPr>
        <w:t>供应商以明显低于行业平均水平的价格报价的，应当在响应文件中主动提交相关说明及证据。谈判小组认为供应商竞标报价明显低于其他竞标报价可能影响质量或履约的，可以要求供应商提交书面材料。包含但不限于材料、工艺、流水线、质检、运输等环节的详细技术说明及价格分项说明，并附相关真实有效的书面支持资料，以说明其过低的竞标报价不影响质量、服务或者履约。在限定的时限内不能提交证明材料或其提交的资料不能证明其报价合理性的，其响应文件将被谈判小组作为无效响应文件处理。</w:t>
      </w:r>
    </w:p>
    <w:p w14:paraId="463D3D94">
      <w:pPr>
        <w:pStyle w:val="18"/>
        <w:spacing w:line="360" w:lineRule="auto"/>
        <w:rPr>
          <w:rFonts w:hint="default" w:hAnsi="宋体"/>
          <w:b/>
          <w:bCs/>
          <w:color w:val="auto"/>
          <w:sz w:val="24"/>
          <w:szCs w:val="24"/>
          <w:highlight w:val="none"/>
        </w:rPr>
        <w:sectPr>
          <w:pgSz w:w="11906" w:h="16838"/>
          <w:pgMar w:top="1560" w:right="964" w:bottom="851" w:left="1134" w:header="720" w:footer="720" w:gutter="0"/>
          <w:pgBorders>
            <w:top w:val="none" w:sz="0" w:space="0"/>
            <w:left w:val="none" w:sz="0" w:space="0"/>
            <w:bottom w:val="none" w:sz="0" w:space="0"/>
            <w:right w:val="none" w:sz="0" w:space="0"/>
          </w:pgBorders>
          <w:cols w:space="720" w:num="1"/>
          <w:titlePg/>
          <w:docGrid w:linePitch="312" w:charSpace="0"/>
        </w:sectPr>
      </w:pPr>
    </w:p>
    <w:p w14:paraId="4383AC1F">
      <w:pPr>
        <w:widowControl/>
        <w:jc w:val="left"/>
        <w:rPr>
          <w:rFonts w:cs="仿宋" w:asciiTheme="minorEastAsia" w:hAnsiTheme="minorEastAsia" w:eastAsiaTheme="minorEastAsia"/>
          <w:b/>
          <w:bCs/>
          <w:color w:val="auto"/>
          <w:kern w:val="0"/>
          <w:sz w:val="30"/>
          <w:szCs w:val="30"/>
          <w:highlight w:val="none"/>
        </w:rPr>
      </w:pPr>
      <w:r>
        <w:rPr>
          <w:rFonts w:hint="eastAsia" w:cs="仿宋" w:asciiTheme="minorEastAsia" w:hAnsiTheme="minorEastAsia" w:eastAsiaTheme="minorEastAsia"/>
          <w:b/>
          <w:bCs/>
          <w:color w:val="auto"/>
          <w:kern w:val="0"/>
          <w:sz w:val="30"/>
          <w:szCs w:val="30"/>
          <w:highlight w:val="none"/>
        </w:rPr>
        <w:t>附件1：</w:t>
      </w:r>
    </w:p>
    <w:p w14:paraId="35C30296">
      <w:pPr>
        <w:widowControl/>
        <w:spacing w:line="600" w:lineRule="atLeast"/>
        <w:jc w:val="center"/>
        <w:outlineLvl w:val="0"/>
        <w:rPr>
          <w:rFonts w:cs="仿宋" w:asciiTheme="minorEastAsia" w:hAnsiTheme="minorEastAsia" w:eastAsiaTheme="minorEastAsia"/>
          <w:b/>
          <w:color w:val="auto"/>
          <w:kern w:val="0"/>
          <w:sz w:val="30"/>
          <w:szCs w:val="30"/>
          <w:highlight w:val="none"/>
        </w:rPr>
      </w:pPr>
      <w:bookmarkStart w:id="38" w:name="_Toc9779"/>
      <w:r>
        <w:rPr>
          <w:rFonts w:hint="eastAsia" w:cs="仿宋" w:asciiTheme="minorEastAsia" w:hAnsiTheme="minorEastAsia" w:eastAsiaTheme="minorEastAsia"/>
          <w:b/>
          <w:bCs/>
          <w:color w:val="auto"/>
          <w:kern w:val="0"/>
          <w:sz w:val="30"/>
          <w:szCs w:val="30"/>
          <w:highlight w:val="none"/>
        </w:rPr>
        <w:t>采购项目</w:t>
      </w:r>
      <w:r>
        <w:rPr>
          <w:rFonts w:hint="eastAsia" w:cs="仿宋" w:asciiTheme="minorEastAsia" w:hAnsiTheme="minorEastAsia" w:eastAsiaTheme="minorEastAsia"/>
          <w:b/>
          <w:color w:val="auto"/>
          <w:kern w:val="0"/>
          <w:sz w:val="30"/>
          <w:szCs w:val="30"/>
          <w:highlight w:val="none"/>
        </w:rPr>
        <w:t>合同验收书（格式）</w:t>
      </w:r>
      <w:bookmarkEnd w:id="38"/>
    </w:p>
    <w:p w14:paraId="7F494998">
      <w:pPr>
        <w:widowControl/>
        <w:spacing w:line="460" w:lineRule="exact"/>
        <w:ind w:firstLine="482"/>
        <w:jc w:val="left"/>
        <w:rPr>
          <w:rFonts w:asciiTheme="minorEastAsia" w:hAnsiTheme="minorEastAsia" w:eastAsiaTheme="minorEastAsia"/>
          <w:color w:val="auto"/>
          <w:kern w:val="0"/>
          <w:sz w:val="30"/>
          <w:szCs w:val="30"/>
          <w:highlight w:val="none"/>
        </w:rPr>
      </w:pPr>
      <w:r>
        <w:rPr>
          <w:rFonts w:hint="eastAsia" w:cs="仿宋" w:asciiTheme="minorEastAsia" w:hAnsiTheme="minorEastAsia" w:eastAsiaTheme="minorEastAsia"/>
          <w:color w:val="auto"/>
          <w:kern w:val="0"/>
          <w:sz w:val="24"/>
          <w:highlight w:val="none"/>
        </w:rPr>
        <w:t>根据采购项目（</w:t>
      </w:r>
      <w:r>
        <w:rPr>
          <w:rFonts w:hint="eastAsia" w:cs="仿宋" w:asciiTheme="minorEastAsia" w:hAnsiTheme="minorEastAsia" w:eastAsiaTheme="minorEastAsia"/>
          <w:color w:val="auto"/>
          <w:kern w:val="0"/>
          <w:sz w:val="24"/>
          <w:highlight w:val="none"/>
          <w:u w:val="single"/>
        </w:rPr>
        <w:t>采购合同编号：</w:t>
      </w:r>
      <w:r>
        <w:rPr>
          <w:rFonts w:asciiTheme="minorEastAsia" w:hAnsiTheme="minorEastAsia" w:eastAsiaTheme="minorEastAsia"/>
          <w:color w:val="auto"/>
          <w:kern w:val="0"/>
          <w:sz w:val="24"/>
          <w:highlight w:val="none"/>
          <w:u w:val="single"/>
        </w:rPr>
        <w:softHyphen/>
      </w:r>
      <w:r>
        <w:rPr>
          <w:rFonts w:asciiTheme="minorEastAsia" w:hAnsiTheme="minorEastAsia" w:eastAsiaTheme="minorEastAsia"/>
          <w:color w:val="auto"/>
          <w:kern w:val="0"/>
          <w:sz w:val="24"/>
          <w:highlight w:val="none"/>
          <w:u w:val="single"/>
        </w:rPr>
        <w:t>   </w:t>
      </w:r>
      <w:r>
        <w:rPr>
          <w:rFonts w:hint="eastAsia" w:cs="仿宋" w:asciiTheme="minorEastAsia" w:hAnsiTheme="minorEastAsia" w:eastAsiaTheme="minorEastAsia"/>
          <w:color w:val="auto"/>
          <w:kern w:val="0"/>
          <w:sz w:val="24"/>
          <w:highlight w:val="none"/>
        </w:rPr>
        <w:t>）的约定，我单位对（</w:t>
      </w:r>
      <w:r>
        <w:rPr>
          <w:rFonts w:asciiTheme="minorEastAsia" w:hAnsiTheme="minorEastAsia" w:eastAsiaTheme="minorEastAsia"/>
          <w:color w:val="auto"/>
          <w:kern w:val="0"/>
          <w:sz w:val="24"/>
          <w:highlight w:val="none"/>
          <w:u w:val="single"/>
        </w:rPr>
        <w:t> </w:t>
      </w:r>
      <w:r>
        <w:rPr>
          <w:rFonts w:hint="eastAsia" w:cs="仿宋" w:asciiTheme="minorEastAsia" w:hAnsiTheme="minorEastAsia" w:eastAsiaTheme="minorEastAsia"/>
          <w:color w:val="auto"/>
          <w:kern w:val="0"/>
          <w:sz w:val="24"/>
          <w:highlight w:val="none"/>
          <w:u w:val="single"/>
        </w:rPr>
        <w:t>项目名称</w:t>
      </w:r>
      <w:r>
        <w:rPr>
          <w:rFonts w:asciiTheme="minorEastAsia" w:hAnsiTheme="minorEastAsia" w:eastAsiaTheme="minorEastAsia"/>
          <w:color w:val="auto"/>
          <w:kern w:val="0"/>
          <w:sz w:val="24"/>
          <w:highlight w:val="none"/>
          <w:u w:val="single"/>
        </w:rPr>
        <w:t>   </w:t>
      </w:r>
      <w:r>
        <w:rPr>
          <w:rFonts w:hint="eastAsia" w:cs="仿宋" w:asciiTheme="minorEastAsia" w:hAnsiTheme="minorEastAsia" w:eastAsiaTheme="minorEastAsia"/>
          <w:color w:val="auto"/>
          <w:kern w:val="0"/>
          <w:sz w:val="24"/>
          <w:highlight w:val="none"/>
        </w:rPr>
        <w:t>）采购项目中标（或成交）供应商（</w:t>
      </w:r>
      <w:r>
        <w:rPr>
          <w:rFonts w:asciiTheme="minorEastAsia" w:hAnsiTheme="minorEastAsia" w:eastAsiaTheme="minorEastAsia"/>
          <w:color w:val="auto"/>
          <w:kern w:val="0"/>
          <w:sz w:val="24"/>
          <w:highlight w:val="none"/>
          <w:u w:val="single"/>
        </w:rPr>
        <w:t>      </w:t>
      </w:r>
      <w:r>
        <w:rPr>
          <w:rFonts w:hint="eastAsia" w:cs="仿宋" w:asciiTheme="minorEastAsia" w:hAnsiTheme="minorEastAsia" w:eastAsiaTheme="minorEastAsia"/>
          <w:color w:val="auto"/>
          <w:kern w:val="0"/>
          <w:sz w:val="24"/>
          <w:highlight w:val="none"/>
          <w:u w:val="single"/>
        </w:rPr>
        <w:t>公司名称</w:t>
      </w:r>
      <w:r>
        <w:rPr>
          <w:rFonts w:asciiTheme="minorEastAsia" w:hAnsiTheme="minorEastAsia" w:eastAsiaTheme="minorEastAsia"/>
          <w:color w:val="auto"/>
          <w:kern w:val="0"/>
          <w:sz w:val="24"/>
          <w:highlight w:val="none"/>
          <w:u w:val="single"/>
        </w:rPr>
        <w:t>         </w:t>
      </w:r>
      <w:r>
        <w:rPr>
          <w:rFonts w:hint="eastAsia" w:cs="仿宋" w:asciiTheme="minorEastAsia" w:hAnsiTheme="minorEastAsia" w:eastAsiaTheme="minorEastAsia"/>
          <w:color w:val="auto"/>
          <w:kern w:val="0"/>
          <w:sz w:val="24"/>
          <w:highlight w:val="none"/>
        </w:rPr>
        <w:t>）</w:t>
      </w:r>
      <w:r>
        <w:rPr>
          <w:rFonts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提供的货物（或工程、服务）进行了验收，验收情况如下：</w:t>
      </w:r>
    </w:p>
    <w:tbl>
      <w:tblPr>
        <w:tblStyle w:val="35"/>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8"/>
        <w:gridCol w:w="2162"/>
        <w:gridCol w:w="779"/>
        <w:gridCol w:w="2916"/>
        <w:gridCol w:w="259"/>
        <w:gridCol w:w="997"/>
        <w:gridCol w:w="1718"/>
      </w:tblGrid>
      <w:tr w14:paraId="1DCB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310" w:type="dxa"/>
            <w:gridSpan w:val="2"/>
            <w:vAlign w:val="center"/>
          </w:tcPr>
          <w:p w14:paraId="319DB012">
            <w:pPr>
              <w:widowControl/>
              <w:spacing w:line="320" w:lineRule="atLeast"/>
              <w:ind w:firstLine="5"/>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验收方式：</w:t>
            </w:r>
          </w:p>
        </w:tc>
        <w:tc>
          <w:tcPr>
            <w:tcW w:w="6669" w:type="dxa"/>
            <w:gridSpan w:val="5"/>
            <w:vAlign w:val="center"/>
          </w:tcPr>
          <w:p w14:paraId="606C44AC">
            <w:pPr>
              <w:widowControl/>
              <w:spacing w:line="320" w:lineRule="atLeast"/>
              <w:ind w:firstLine="480"/>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□自行验收</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□委托验收</w:t>
            </w:r>
          </w:p>
        </w:tc>
      </w:tr>
      <w:tr w14:paraId="2547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148" w:type="dxa"/>
            <w:vAlign w:val="center"/>
          </w:tcPr>
          <w:p w14:paraId="11197225">
            <w:pPr>
              <w:widowControl/>
              <w:spacing w:line="320" w:lineRule="atLeast"/>
              <w:ind w:firstLine="2"/>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序号</w:t>
            </w:r>
          </w:p>
        </w:tc>
        <w:tc>
          <w:tcPr>
            <w:tcW w:w="2162" w:type="dxa"/>
            <w:vAlign w:val="center"/>
          </w:tcPr>
          <w:p w14:paraId="6909DB61">
            <w:pPr>
              <w:widowControl/>
              <w:spacing w:line="320" w:lineRule="atLeast"/>
              <w:ind w:firstLine="2"/>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名</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称</w:t>
            </w:r>
          </w:p>
        </w:tc>
        <w:tc>
          <w:tcPr>
            <w:tcW w:w="3695" w:type="dxa"/>
            <w:gridSpan w:val="2"/>
            <w:vAlign w:val="center"/>
          </w:tcPr>
          <w:p w14:paraId="20646C88">
            <w:pPr>
              <w:widowControl/>
              <w:spacing w:line="320" w:lineRule="atLeast"/>
              <w:ind w:firstLine="2"/>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货物型号规格、标准及配置等</w:t>
            </w:r>
          </w:p>
          <w:p w14:paraId="7195AF94">
            <w:pPr>
              <w:widowControl/>
              <w:spacing w:line="320" w:lineRule="atLeast"/>
              <w:ind w:firstLine="2"/>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（或服务内容、标准）</w:t>
            </w:r>
          </w:p>
        </w:tc>
        <w:tc>
          <w:tcPr>
            <w:tcW w:w="1256" w:type="dxa"/>
            <w:gridSpan w:val="2"/>
            <w:vAlign w:val="center"/>
          </w:tcPr>
          <w:p w14:paraId="0B649748">
            <w:pPr>
              <w:widowControl/>
              <w:spacing w:line="320" w:lineRule="atLeast"/>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数量</w:t>
            </w:r>
          </w:p>
        </w:tc>
        <w:tc>
          <w:tcPr>
            <w:tcW w:w="1718" w:type="dxa"/>
            <w:vAlign w:val="center"/>
          </w:tcPr>
          <w:p w14:paraId="5BEF3632">
            <w:pPr>
              <w:widowControl/>
              <w:spacing w:line="320" w:lineRule="atLeast"/>
              <w:ind w:firstLine="2"/>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金</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额</w:t>
            </w:r>
          </w:p>
        </w:tc>
      </w:tr>
      <w:tr w14:paraId="08C5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148" w:type="dxa"/>
            <w:vAlign w:val="center"/>
          </w:tcPr>
          <w:p w14:paraId="1616D7FA">
            <w:pPr>
              <w:widowControl/>
              <w:spacing w:line="320" w:lineRule="atLeast"/>
              <w:ind w:firstLine="5"/>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2162" w:type="dxa"/>
            <w:vAlign w:val="center"/>
          </w:tcPr>
          <w:p w14:paraId="549E326B">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3695" w:type="dxa"/>
            <w:gridSpan w:val="2"/>
            <w:vAlign w:val="center"/>
          </w:tcPr>
          <w:p w14:paraId="24F492D3">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256" w:type="dxa"/>
            <w:gridSpan w:val="2"/>
            <w:vAlign w:val="center"/>
          </w:tcPr>
          <w:p w14:paraId="20053E96">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718" w:type="dxa"/>
            <w:vAlign w:val="center"/>
          </w:tcPr>
          <w:p w14:paraId="5865B76C">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14:paraId="4799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148" w:type="dxa"/>
            <w:vAlign w:val="center"/>
          </w:tcPr>
          <w:p w14:paraId="600ADA00">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2162" w:type="dxa"/>
            <w:vAlign w:val="center"/>
          </w:tcPr>
          <w:p w14:paraId="2240A28B">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3695" w:type="dxa"/>
            <w:gridSpan w:val="2"/>
            <w:vAlign w:val="center"/>
          </w:tcPr>
          <w:p w14:paraId="02E78F9B">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256" w:type="dxa"/>
            <w:gridSpan w:val="2"/>
            <w:vAlign w:val="center"/>
          </w:tcPr>
          <w:p w14:paraId="7957CFD4">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718" w:type="dxa"/>
            <w:vAlign w:val="center"/>
          </w:tcPr>
          <w:p w14:paraId="09256EEB">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14:paraId="382A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148" w:type="dxa"/>
            <w:vAlign w:val="center"/>
          </w:tcPr>
          <w:p w14:paraId="3D6A54B1">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2162" w:type="dxa"/>
            <w:vAlign w:val="center"/>
          </w:tcPr>
          <w:p w14:paraId="760AA2FC">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3695" w:type="dxa"/>
            <w:gridSpan w:val="2"/>
            <w:vAlign w:val="center"/>
          </w:tcPr>
          <w:p w14:paraId="076BBC0A">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256" w:type="dxa"/>
            <w:gridSpan w:val="2"/>
            <w:vAlign w:val="center"/>
          </w:tcPr>
          <w:p w14:paraId="511BDBB6">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718" w:type="dxa"/>
            <w:vAlign w:val="center"/>
          </w:tcPr>
          <w:p w14:paraId="2889AFA2">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14:paraId="4246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005" w:type="dxa"/>
            <w:gridSpan w:val="4"/>
            <w:vAlign w:val="center"/>
          </w:tcPr>
          <w:p w14:paraId="16CDE365">
            <w:pPr>
              <w:widowControl/>
              <w:spacing w:line="320" w:lineRule="atLeast"/>
              <w:ind w:firstLine="5"/>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计</w:t>
            </w:r>
          </w:p>
        </w:tc>
        <w:tc>
          <w:tcPr>
            <w:tcW w:w="1256" w:type="dxa"/>
            <w:gridSpan w:val="2"/>
            <w:vAlign w:val="center"/>
          </w:tcPr>
          <w:p w14:paraId="29ADEFC3">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1718" w:type="dxa"/>
            <w:vAlign w:val="center"/>
          </w:tcPr>
          <w:p w14:paraId="0B3F03D9">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14:paraId="67DA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979" w:type="dxa"/>
            <w:gridSpan w:val="7"/>
            <w:vAlign w:val="center"/>
          </w:tcPr>
          <w:p w14:paraId="4AF36F5B">
            <w:pPr>
              <w:widowControl/>
              <w:spacing w:line="320" w:lineRule="atLeast"/>
              <w:ind w:firstLine="2"/>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合计大写金额：</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仟</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佰</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拾</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万</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仟</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佰</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拾</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元</w:t>
            </w:r>
          </w:p>
        </w:tc>
      </w:tr>
      <w:tr w14:paraId="5D66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148" w:type="dxa"/>
            <w:vAlign w:val="center"/>
          </w:tcPr>
          <w:p w14:paraId="531C285B">
            <w:pPr>
              <w:widowControl/>
              <w:spacing w:line="320" w:lineRule="atLeast"/>
              <w:ind w:left="5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实际供货日期</w:t>
            </w:r>
          </w:p>
        </w:tc>
        <w:tc>
          <w:tcPr>
            <w:tcW w:w="2941" w:type="dxa"/>
            <w:gridSpan w:val="2"/>
            <w:vAlign w:val="center"/>
          </w:tcPr>
          <w:p w14:paraId="49403A94">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3175" w:type="dxa"/>
            <w:gridSpan w:val="2"/>
            <w:vAlign w:val="center"/>
          </w:tcPr>
          <w:p w14:paraId="15AD23DB">
            <w:pPr>
              <w:widowControl/>
              <w:spacing w:line="320" w:lineRule="atLeast"/>
              <w:ind w:firstLine="46"/>
              <w:jc w:val="center"/>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合同交货验收日期</w:t>
            </w:r>
          </w:p>
        </w:tc>
        <w:tc>
          <w:tcPr>
            <w:tcW w:w="2715" w:type="dxa"/>
            <w:gridSpan w:val="2"/>
            <w:vAlign w:val="center"/>
          </w:tcPr>
          <w:p w14:paraId="2BD55310">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14:paraId="25DC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148" w:type="dxa"/>
            <w:vAlign w:val="center"/>
          </w:tcPr>
          <w:p w14:paraId="78549C39">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2941" w:type="dxa"/>
            <w:gridSpan w:val="2"/>
            <w:vAlign w:val="center"/>
          </w:tcPr>
          <w:p w14:paraId="69250319">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3175" w:type="dxa"/>
            <w:gridSpan w:val="2"/>
            <w:vAlign w:val="center"/>
          </w:tcPr>
          <w:p w14:paraId="4B22A6CF">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c>
          <w:tcPr>
            <w:tcW w:w="2715" w:type="dxa"/>
            <w:gridSpan w:val="2"/>
            <w:vAlign w:val="center"/>
          </w:tcPr>
          <w:p w14:paraId="7ABCD976">
            <w:pPr>
              <w:widowControl/>
              <w:spacing w:line="320" w:lineRule="atLeast"/>
              <w:ind w:firstLine="48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14:paraId="390A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1148" w:type="dxa"/>
            <w:tcMar>
              <w:top w:w="0" w:type="dxa"/>
              <w:left w:w="108" w:type="dxa"/>
              <w:bottom w:w="0" w:type="dxa"/>
              <w:right w:w="108" w:type="dxa"/>
            </w:tcMar>
            <w:vAlign w:val="center"/>
          </w:tcPr>
          <w:p w14:paraId="00153AE1">
            <w:pPr>
              <w:widowControl/>
              <w:spacing w:line="320" w:lineRule="atLeas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验收具体内容</w:t>
            </w:r>
          </w:p>
        </w:tc>
        <w:tc>
          <w:tcPr>
            <w:tcW w:w="8831" w:type="dxa"/>
            <w:gridSpan w:val="6"/>
            <w:tcMar>
              <w:top w:w="0" w:type="dxa"/>
              <w:left w:w="108" w:type="dxa"/>
              <w:bottom w:w="0" w:type="dxa"/>
              <w:right w:w="108" w:type="dxa"/>
            </w:tcMar>
            <w:vAlign w:val="center"/>
          </w:tcPr>
          <w:p w14:paraId="37C42885">
            <w:pPr>
              <w:widowControl/>
              <w:spacing w:line="320" w:lineRule="atLeas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cs="宋体" w:asciiTheme="minorEastAsia" w:hAnsiTheme="minorEastAsia" w:eastAsiaTheme="minorEastAsia"/>
                <w:color w:val="auto"/>
                <w:kern w:val="0"/>
                <w:szCs w:val="21"/>
                <w:highlight w:val="none"/>
              </w:rPr>
              <w:t>)</w:t>
            </w:r>
          </w:p>
        </w:tc>
      </w:tr>
      <w:tr w14:paraId="3269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148" w:type="dxa"/>
            <w:vMerge w:val="restart"/>
            <w:tcMar>
              <w:top w:w="0" w:type="dxa"/>
              <w:left w:w="108" w:type="dxa"/>
              <w:bottom w:w="0" w:type="dxa"/>
              <w:right w:w="108" w:type="dxa"/>
            </w:tcMar>
            <w:vAlign w:val="center"/>
          </w:tcPr>
          <w:p w14:paraId="085D956F">
            <w:pPr>
              <w:widowControl/>
              <w:spacing w:line="320" w:lineRule="atLeas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验收小组意见</w:t>
            </w:r>
          </w:p>
        </w:tc>
        <w:tc>
          <w:tcPr>
            <w:tcW w:w="8831" w:type="dxa"/>
            <w:gridSpan w:val="6"/>
            <w:vAlign w:val="center"/>
          </w:tcPr>
          <w:p w14:paraId="372A6360">
            <w:pPr>
              <w:widowControl/>
              <w:spacing w:line="320" w:lineRule="atLeast"/>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验收结论性意见：</w:t>
            </w:r>
          </w:p>
          <w:p w14:paraId="41861460">
            <w:pPr>
              <w:widowControl/>
              <w:spacing w:line="320" w:lineRule="atLeast"/>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p>
        </w:tc>
      </w:tr>
      <w:tr w14:paraId="455E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8" w:type="dxa"/>
            <w:vMerge w:val="continue"/>
            <w:vAlign w:val="center"/>
          </w:tcPr>
          <w:p w14:paraId="0370B2F1">
            <w:pPr>
              <w:widowControl/>
              <w:jc w:val="left"/>
              <w:rPr>
                <w:rFonts w:asciiTheme="minorEastAsia" w:hAnsiTheme="minorEastAsia" w:eastAsiaTheme="minorEastAsia"/>
                <w:color w:val="auto"/>
                <w:kern w:val="0"/>
                <w:szCs w:val="21"/>
                <w:highlight w:val="none"/>
              </w:rPr>
            </w:pPr>
          </w:p>
        </w:tc>
        <w:tc>
          <w:tcPr>
            <w:tcW w:w="8831" w:type="dxa"/>
            <w:gridSpan w:val="6"/>
            <w:vAlign w:val="center"/>
          </w:tcPr>
          <w:p w14:paraId="10867612">
            <w:pPr>
              <w:widowControl/>
              <w:spacing w:line="320" w:lineRule="atLeast"/>
              <w:ind w:firstLine="96"/>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有异议的意见和说明理由：</w:t>
            </w:r>
          </w:p>
          <w:p w14:paraId="71604B34">
            <w:pPr>
              <w:widowControl/>
              <w:spacing w:line="320" w:lineRule="atLeast"/>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签字：</w:t>
            </w:r>
          </w:p>
        </w:tc>
      </w:tr>
      <w:tr w14:paraId="5F5B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9979" w:type="dxa"/>
            <w:gridSpan w:val="7"/>
            <w:tcMar>
              <w:top w:w="0" w:type="dxa"/>
              <w:left w:w="108" w:type="dxa"/>
              <w:bottom w:w="0" w:type="dxa"/>
              <w:right w:w="108" w:type="dxa"/>
            </w:tcMar>
            <w:vAlign w:val="center"/>
          </w:tcPr>
          <w:p w14:paraId="6A9EB806">
            <w:pPr>
              <w:widowControl/>
              <w:spacing w:line="320" w:lineRule="atLeas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验收小组成员签字：</w:t>
            </w:r>
          </w:p>
        </w:tc>
      </w:tr>
      <w:tr w14:paraId="0F94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9979" w:type="dxa"/>
            <w:gridSpan w:val="7"/>
            <w:tcMar>
              <w:top w:w="0" w:type="dxa"/>
              <w:left w:w="108" w:type="dxa"/>
              <w:bottom w:w="0" w:type="dxa"/>
              <w:right w:w="108" w:type="dxa"/>
            </w:tcMar>
            <w:vAlign w:val="center"/>
          </w:tcPr>
          <w:p w14:paraId="387D2E62">
            <w:pPr>
              <w:widowControl/>
              <w:spacing w:line="320" w:lineRule="atLeas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监督人员或其他相关人员签字：</w:t>
            </w:r>
          </w:p>
          <w:p w14:paraId="30CCBB9A">
            <w:pPr>
              <w:widowControl/>
              <w:spacing w:line="320" w:lineRule="atLeast"/>
              <w:ind w:firstLine="74"/>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或受邀机构的意见（盖章）：</w:t>
            </w:r>
          </w:p>
        </w:tc>
      </w:tr>
      <w:tr w14:paraId="502D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7" w:hRule="atLeast"/>
          <w:jc w:val="center"/>
        </w:trPr>
        <w:tc>
          <w:tcPr>
            <w:tcW w:w="4089" w:type="dxa"/>
            <w:gridSpan w:val="3"/>
            <w:tcMar>
              <w:top w:w="0" w:type="dxa"/>
              <w:left w:w="108" w:type="dxa"/>
              <w:bottom w:w="0" w:type="dxa"/>
              <w:right w:w="108" w:type="dxa"/>
            </w:tcMar>
            <w:vAlign w:val="center"/>
          </w:tcPr>
          <w:p w14:paraId="1044C160">
            <w:pPr>
              <w:widowControl/>
              <w:spacing w:line="320" w:lineRule="atLeast"/>
              <w:ind w:firstLine="74"/>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中标或者成交供应商负责人签字或盖章：</w:t>
            </w:r>
          </w:p>
          <w:p w14:paraId="16AE57D8">
            <w:pPr>
              <w:widowControl/>
              <w:spacing w:line="320" w:lineRule="atLeas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年</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 xml:space="preserve">月 </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日</w:t>
            </w:r>
          </w:p>
        </w:tc>
        <w:tc>
          <w:tcPr>
            <w:tcW w:w="5890" w:type="dxa"/>
            <w:gridSpan w:val="4"/>
            <w:vAlign w:val="center"/>
          </w:tcPr>
          <w:p w14:paraId="481ADBB0">
            <w:pPr>
              <w:widowControl/>
              <w:spacing w:line="320" w:lineRule="atLeast"/>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采购人或受托机构的意见（盖章）：</w:t>
            </w:r>
          </w:p>
          <w:p w14:paraId="69CE5545">
            <w:pPr>
              <w:widowControl/>
              <w:spacing w:line="320" w:lineRule="atLeas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年</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月</w:t>
            </w:r>
            <w:r>
              <w:rPr>
                <w:rFonts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日</w:t>
            </w:r>
          </w:p>
        </w:tc>
      </w:tr>
    </w:tbl>
    <w:p w14:paraId="71828767">
      <w:pPr>
        <w:rPr>
          <w:color w:val="auto"/>
          <w:highlight w:val="none"/>
        </w:rPr>
      </w:pPr>
    </w:p>
    <w:sectPr>
      <w:pgSz w:w="11906" w:h="16838"/>
      <w:pgMar w:top="993" w:right="964" w:bottom="851" w:left="1134" w:header="720" w:footer="720"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10002FF" w:usb1="4000FCFF" w:usb2="00000009"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52908"/>
    </w:sdtPr>
    <w:sdtContent>
      <w:p w14:paraId="07870BA5">
        <w:pPr>
          <w:pStyle w:val="23"/>
          <w:jc w:val="center"/>
        </w:pPr>
        <w:r>
          <w:fldChar w:fldCharType="begin"/>
        </w:r>
        <w:r>
          <w:instrText xml:space="preserve"> PAGE   \* MERGEFORMAT </w:instrText>
        </w:r>
        <w:r>
          <w:fldChar w:fldCharType="separate"/>
        </w:r>
        <w:r>
          <w:rPr>
            <w:lang w:val="zh-CN"/>
          </w:rPr>
          <w:t>1</w:t>
        </w:r>
        <w:r>
          <w:fldChar w:fldCharType="end"/>
        </w:r>
      </w:p>
    </w:sdtContent>
  </w:sdt>
  <w:p w14:paraId="503B7B74">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E216">
    <w:pPr>
      <w:pStyle w:val="23"/>
      <w:framePr w:wrap="around" w:vAnchor="text" w:hAnchor="margin" w:xAlign="center" w:y="1"/>
      <w:rPr>
        <w:rStyle w:val="39"/>
      </w:rPr>
    </w:pPr>
    <w:r>
      <w:fldChar w:fldCharType="begin"/>
    </w:r>
    <w:r>
      <w:rPr>
        <w:rStyle w:val="39"/>
      </w:rPr>
      <w:instrText xml:space="preserve">PAGE  </w:instrText>
    </w:r>
    <w:r>
      <w:fldChar w:fldCharType="separate"/>
    </w:r>
    <w:r>
      <w:rPr>
        <w:rStyle w:val="39"/>
      </w:rPr>
      <w:t>0</w:t>
    </w:r>
    <w:r>
      <w:fldChar w:fldCharType="end"/>
    </w:r>
  </w:p>
  <w:p w14:paraId="0EF235C9">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7666">
    <w:pPr>
      <w:pStyle w:val="23"/>
      <w:jc w:val="center"/>
    </w:pPr>
  </w:p>
  <w:p w14:paraId="014048D8">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688"/>
    </w:sdtPr>
    <w:sdtContent>
      <w:p w14:paraId="45B8DFFE">
        <w:pPr>
          <w:pStyle w:val="23"/>
          <w:jc w:val="center"/>
        </w:pPr>
        <w:r>
          <w:fldChar w:fldCharType="begin"/>
        </w:r>
        <w:r>
          <w:instrText xml:space="preserve"> PAGE   \* MERGEFORMAT </w:instrText>
        </w:r>
        <w:r>
          <w:fldChar w:fldCharType="separate"/>
        </w:r>
        <w:r>
          <w:rPr>
            <w:lang w:val="zh-CN"/>
          </w:rPr>
          <w:t>15</w:t>
        </w:r>
        <w:r>
          <w:fldChar w:fldCharType="end"/>
        </w:r>
      </w:p>
    </w:sdtContent>
  </w:sdt>
  <w:p w14:paraId="18B71748">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690"/>
    </w:sdtPr>
    <w:sdtContent>
      <w:p w14:paraId="34CF8F99">
        <w:pPr>
          <w:pStyle w:val="23"/>
          <w:jc w:val="center"/>
        </w:pPr>
        <w:r>
          <w:fldChar w:fldCharType="begin"/>
        </w:r>
        <w:r>
          <w:instrText xml:space="preserve"> PAGE   \* MERGEFORMAT </w:instrText>
        </w:r>
        <w:r>
          <w:fldChar w:fldCharType="separate"/>
        </w:r>
        <w:r>
          <w:rPr>
            <w:lang w:val="zh-CN"/>
          </w:rPr>
          <w:t>3</w:t>
        </w:r>
        <w:r>
          <w:fldChar w:fldCharType="end"/>
        </w:r>
      </w:p>
    </w:sdtContent>
  </w:sdt>
  <w:p w14:paraId="3A86DE3B">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0E8D9">
    <w:pPr>
      <w:pStyle w:val="23"/>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1AFFD8">
                          <w:pPr>
                            <w:pStyle w:val="23"/>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91AFFD8">
                    <w:pPr>
                      <w:pStyle w:val="23"/>
                    </w:pPr>
                    <w:r>
                      <w:fldChar w:fldCharType="begin"/>
                    </w:r>
                    <w:r>
                      <w:instrText xml:space="preserve"> PAGE  \* MERGEFORMAT </w:instrText>
                    </w:r>
                    <w:r>
                      <w:fldChar w:fldCharType="separate"/>
                    </w:r>
                    <w:r>
                      <w:t>16</w:t>
                    </w:r>
                    <w:r>
                      <w:fldChar w:fldCharType="end"/>
                    </w:r>
                  </w:p>
                </w:txbxContent>
              </v:textbox>
            </v:shape>
          </w:pict>
        </mc:Fallback>
      </mc:AlternateContent>
    </w:r>
  </w:p>
  <w:p w14:paraId="70C1FF93">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B6DB">
    <w:pPr>
      <w:pStyle w:val="23"/>
      <w:jc w:val="center"/>
    </w:pPr>
  </w:p>
  <w:p w14:paraId="052FA19A">
    <w:pPr>
      <w:pStyle w:val="2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80394"/>
    </w:sdtPr>
    <w:sdtContent>
      <w:p w14:paraId="4F8033F7">
        <w:pPr>
          <w:pStyle w:val="23"/>
          <w:jc w:val="center"/>
        </w:pPr>
        <w:r>
          <w:fldChar w:fldCharType="begin"/>
        </w:r>
        <w:r>
          <w:instrText xml:space="preserve"> PAGE   \* MERGEFORMAT </w:instrText>
        </w:r>
        <w:r>
          <w:fldChar w:fldCharType="separate"/>
        </w:r>
        <w:r>
          <w:rPr>
            <w:lang w:val="zh-CN"/>
          </w:rPr>
          <w:t>43</w:t>
        </w:r>
        <w:r>
          <w:fldChar w:fldCharType="end"/>
        </w:r>
      </w:p>
    </w:sdtContent>
  </w:sdt>
  <w:p w14:paraId="0AFCB0FE">
    <w:pPr>
      <w:pStyle w:val="23"/>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809"/>
    </w:sdtPr>
    <w:sdtContent>
      <w:p w14:paraId="656396F1">
        <w:pPr>
          <w:pStyle w:val="23"/>
          <w:jc w:val="center"/>
        </w:pPr>
        <w:r>
          <w:fldChar w:fldCharType="begin"/>
        </w:r>
        <w:r>
          <w:instrText xml:space="preserve"> PAGE   \* MERGEFORMAT </w:instrText>
        </w:r>
        <w:r>
          <w:fldChar w:fldCharType="separate"/>
        </w:r>
        <w:r>
          <w:rPr>
            <w:lang w:val="zh-CN"/>
          </w:rPr>
          <w:t>14</w:t>
        </w:r>
        <w:r>
          <w:fldChar w:fldCharType="end"/>
        </w:r>
      </w:p>
    </w:sdtContent>
  </w:sdt>
  <w:p w14:paraId="15D917D0">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98EBC">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EAD2">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65F5C">
    <w:pPr>
      <w:pStyle w:val="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4D959">
    <w:pPr>
      <w:pStyle w:val="2"/>
      <w:pBdr>
        <w:bottom w:val="none" w:color="auto" w:sz="0" w:space="1"/>
      </w:pBdr>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52B31"/>
    <w:multiLevelType w:val="singleLevel"/>
    <w:tmpl w:val="BF352B31"/>
    <w:lvl w:ilvl="0" w:tentative="0">
      <w:start w:val="5"/>
      <w:numFmt w:val="decimal"/>
      <w:suff w:val="nothing"/>
      <w:lvlText w:val="%1、"/>
      <w:lvlJc w:val="left"/>
    </w:lvl>
  </w:abstractNum>
  <w:abstractNum w:abstractNumId="1">
    <w:nsid w:val="E61B53C9"/>
    <w:multiLevelType w:val="singleLevel"/>
    <w:tmpl w:val="E61B53C9"/>
    <w:lvl w:ilvl="0" w:tentative="0">
      <w:start w:val="2"/>
      <w:numFmt w:val="decimal"/>
      <w:suff w:val="nothing"/>
      <w:lvlText w:val="%1、"/>
      <w:lvlJc w:val="left"/>
    </w:lvl>
  </w:abstractNum>
  <w:abstractNum w:abstractNumId="2">
    <w:nsid w:val="0E58791F"/>
    <w:multiLevelType w:val="multilevel"/>
    <w:tmpl w:val="0E58791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2EADF99"/>
    <w:multiLevelType w:val="multilevel"/>
    <w:tmpl w:val="12EADF99"/>
    <w:lvl w:ilvl="0" w:tentative="0">
      <w:start w:val="1"/>
      <w:numFmt w:val="decimal"/>
      <w:lvlText w:val="%1）"/>
      <w:lvlJc w:val="left"/>
      <w:pPr>
        <w:ind w:left="812" w:hanging="361"/>
      </w:pPr>
      <w:rPr>
        <w:rFonts w:hint="default" w:ascii="宋体" w:hAnsi="宋体" w:eastAsia="宋体" w:cs="宋体"/>
        <w:w w:val="100"/>
        <w:sz w:val="22"/>
        <w:szCs w:val="22"/>
        <w:lang w:val="zh-CN" w:eastAsia="zh-CN" w:bidi="zh-CN"/>
      </w:rPr>
    </w:lvl>
    <w:lvl w:ilvl="1" w:tentative="0">
      <w:start w:val="1"/>
      <w:numFmt w:val="decimal"/>
      <w:lvlText w:val="（%2）"/>
      <w:lvlJc w:val="left"/>
      <w:pPr>
        <w:ind w:left="1309" w:hanging="601"/>
      </w:pPr>
      <w:rPr>
        <w:rFonts w:hint="default" w:ascii="宋体" w:hAnsi="宋体" w:eastAsia="宋体" w:cs="宋体"/>
        <w:w w:val="100"/>
        <w:sz w:val="22"/>
        <w:szCs w:val="22"/>
        <w:lang w:val="zh-CN" w:eastAsia="zh-CN" w:bidi="zh-CN"/>
      </w:rPr>
    </w:lvl>
    <w:lvl w:ilvl="2" w:tentative="0">
      <w:start w:val="1"/>
      <w:numFmt w:val="decimal"/>
      <w:lvlText w:val="%3."/>
      <w:lvlJc w:val="left"/>
      <w:pPr>
        <w:ind w:left="228" w:hanging="360"/>
      </w:pPr>
      <w:rPr>
        <w:rFonts w:hint="default" w:ascii="宋体" w:hAnsi="宋体" w:eastAsia="宋体" w:cs="宋体"/>
        <w:spacing w:val="-18"/>
        <w:w w:val="100"/>
        <w:sz w:val="24"/>
        <w:szCs w:val="24"/>
        <w:lang w:val="zh-CN" w:eastAsia="zh-CN" w:bidi="zh-CN"/>
      </w:rPr>
    </w:lvl>
    <w:lvl w:ilvl="3" w:tentative="0">
      <w:start w:val="0"/>
      <w:numFmt w:val="bullet"/>
      <w:lvlText w:val="•"/>
      <w:lvlJc w:val="left"/>
      <w:pPr>
        <w:ind w:left="2393" w:hanging="360"/>
      </w:pPr>
      <w:rPr>
        <w:rFonts w:hint="default"/>
        <w:lang w:val="zh-CN" w:eastAsia="zh-CN" w:bidi="zh-CN"/>
      </w:rPr>
    </w:lvl>
    <w:lvl w:ilvl="4" w:tentative="0">
      <w:start w:val="0"/>
      <w:numFmt w:val="bullet"/>
      <w:lvlText w:val="•"/>
      <w:lvlJc w:val="left"/>
      <w:pPr>
        <w:ind w:left="3486" w:hanging="360"/>
      </w:pPr>
      <w:rPr>
        <w:rFonts w:hint="default"/>
        <w:lang w:val="zh-CN" w:eastAsia="zh-CN" w:bidi="zh-CN"/>
      </w:rPr>
    </w:lvl>
    <w:lvl w:ilvl="5" w:tentative="0">
      <w:start w:val="0"/>
      <w:numFmt w:val="bullet"/>
      <w:lvlText w:val="•"/>
      <w:lvlJc w:val="left"/>
      <w:pPr>
        <w:ind w:left="4579" w:hanging="360"/>
      </w:pPr>
      <w:rPr>
        <w:rFonts w:hint="default"/>
        <w:lang w:val="zh-CN" w:eastAsia="zh-CN" w:bidi="zh-CN"/>
      </w:rPr>
    </w:lvl>
    <w:lvl w:ilvl="6" w:tentative="0">
      <w:start w:val="0"/>
      <w:numFmt w:val="bullet"/>
      <w:lvlText w:val="•"/>
      <w:lvlJc w:val="left"/>
      <w:pPr>
        <w:ind w:left="5673" w:hanging="360"/>
      </w:pPr>
      <w:rPr>
        <w:rFonts w:hint="default"/>
        <w:lang w:val="zh-CN" w:eastAsia="zh-CN" w:bidi="zh-CN"/>
      </w:rPr>
    </w:lvl>
    <w:lvl w:ilvl="7" w:tentative="0">
      <w:start w:val="0"/>
      <w:numFmt w:val="bullet"/>
      <w:lvlText w:val="•"/>
      <w:lvlJc w:val="left"/>
      <w:pPr>
        <w:ind w:left="6766" w:hanging="360"/>
      </w:pPr>
      <w:rPr>
        <w:rFonts w:hint="default"/>
        <w:lang w:val="zh-CN" w:eastAsia="zh-CN" w:bidi="zh-CN"/>
      </w:rPr>
    </w:lvl>
    <w:lvl w:ilvl="8" w:tentative="0">
      <w:start w:val="0"/>
      <w:numFmt w:val="bullet"/>
      <w:lvlText w:val="•"/>
      <w:lvlJc w:val="left"/>
      <w:pPr>
        <w:ind w:left="7859" w:hanging="360"/>
      </w:pPr>
      <w:rPr>
        <w:rFonts w:hint="default"/>
        <w:lang w:val="zh-CN" w:eastAsia="zh-CN" w:bidi="zh-CN"/>
      </w:rPr>
    </w:lvl>
  </w:abstractNum>
  <w:abstractNum w:abstractNumId="4">
    <w:nsid w:val="1BC19BA7"/>
    <w:multiLevelType w:val="singleLevel"/>
    <w:tmpl w:val="1BC19BA7"/>
    <w:lvl w:ilvl="0" w:tentative="0">
      <w:start w:val="1"/>
      <w:numFmt w:val="decimal"/>
      <w:lvlText w:val="%1."/>
      <w:lvlJc w:val="left"/>
      <w:pPr>
        <w:ind w:left="425" w:hanging="425"/>
      </w:pPr>
      <w:rPr>
        <w:rFonts w:hint="default"/>
      </w:rPr>
    </w:lvl>
  </w:abstractNum>
  <w:abstractNum w:abstractNumId="5">
    <w:nsid w:val="30BC2D16"/>
    <w:multiLevelType w:val="singleLevel"/>
    <w:tmpl w:val="30BC2D16"/>
    <w:lvl w:ilvl="0" w:tentative="0">
      <w:start w:val="1"/>
      <w:numFmt w:val="chineseCounting"/>
      <w:suff w:val="space"/>
      <w:lvlText w:val="第%1章"/>
      <w:lvlJc w:val="left"/>
      <w:rPr>
        <w:rFonts w:hint="eastAsia"/>
      </w:rPr>
    </w:lvl>
  </w:abstractNum>
  <w:abstractNum w:abstractNumId="6">
    <w:nsid w:val="38FF3C9E"/>
    <w:multiLevelType w:val="multilevel"/>
    <w:tmpl w:val="38FF3C9E"/>
    <w:lvl w:ilvl="0" w:tentative="0">
      <w:start w:val="1"/>
      <w:numFmt w:val="decimal"/>
      <w:pStyle w:val="118"/>
      <w:suff w:val="space"/>
      <w:lvlText w:val="%1、"/>
      <w:lvlJc w:val="left"/>
      <w:pPr>
        <w:ind w:left="734" w:hanging="45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D5E4804"/>
    <w:multiLevelType w:val="multilevel"/>
    <w:tmpl w:val="4D5E4804"/>
    <w:lvl w:ilvl="0" w:tentative="0">
      <w:start w:val="1"/>
      <w:numFmt w:val="decimal"/>
      <w:pStyle w:val="83"/>
      <w:lvlText w:val="%1."/>
      <w:lvlJc w:val="left"/>
      <w:pPr>
        <w:tabs>
          <w:tab w:val="left" w:pos="420"/>
        </w:tabs>
        <w:ind w:left="420" w:hanging="420"/>
      </w:p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8DE24DB"/>
    <w:multiLevelType w:val="multilevel"/>
    <w:tmpl w:val="78DE24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6"/>
  </w:num>
  <w:num w:numId="3">
    <w:abstractNumId w:val="5"/>
  </w:num>
  <w:num w:numId="4">
    <w:abstractNumId w:val="4"/>
  </w:num>
  <w:num w:numId="5">
    <w:abstractNumId w:val="0"/>
  </w:num>
  <w:num w:numId="6">
    <w:abstractNumId w:val="8"/>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N2UyMWUxYjI4NTU4YzA5ZjJhY2YxYjFhZWQ3ZGIifQ=="/>
  </w:docVars>
  <w:rsids>
    <w:rsidRoot w:val="00172A27"/>
    <w:rsid w:val="00003D0D"/>
    <w:rsid w:val="00004B63"/>
    <w:rsid w:val="0000504A"/>
    <w:rsid w:val="000060A1"/>
    <w:rsid w:val="00011D3B"/>
    <w:rsid w:val="00012144"/>
    <w:rsid w:val="000130CD"/>
    <w:rsid w:val="0001348A"/>
    <w:rsid w:val="00013C86"/>
    <w:rsid w:val="000146A2"/>
    <w:rsid w:val="00015A68"/>
    <w:rsid w:val="00015C6C"/>
    <w:rsid w:val="00020F60"/>
    <w:rsid w:val="00022ADE"/>
    <w:rsid w:val="00023814"/>
    <w:rsid w:val="00023B4B"/>
    <w:rsid w:val="00023E75"/>
    <w:rsid w:val="00025CF2"/>
    <w:rsid w:val="00026D86"/>
    <w:rsid w:val="00026EB8"/>
    <w:rsid w:val="000306F0"/>
    <w:rsid w:val="00031015"/>
    <w:rsid w:val="00031D8C"/>
    <w:rsid w:val="0003204B"/>
    <w:rsid w:val="000335D5"/>
    <w:rsid w:val="0003381F"/>
    <w:rsid w:val="00033CDA"/>
    <w:rsid w:val="00035705"/>
    <w:rsid w:val="00037B2A"/>
    <w:rsid w:val="000414F1"/>
    <w:rsid w:val="00044535"/>
    <w:rsid w:val="00045696"/>
    <w:rsid w:val="00046E58"/>
    <w:rsid w:val="000473ED"/>
    <w:rsid w:val="00047B74"/>
    <w:rsid w:val="00047B8F"/>
    <w:rsid w:val="0005069D"/>
    <w:rsid w:val="00050764"/>
    <w:rsid w:val="000508E4"/>
    <w:rsid w:val="00051E31"/>
    <w:rsid w:val="00052BC2"/>
    <w:rsid w:val="00052E8D"/>
    <w:rsid w:val="00054B99"/>
    <w:rsid w:val="00054E52"/>
    <w:rsid w:val="00055233"/>
    <w:rsid w:val="000557F4"/>
    <w:rsid w:val="0005610A"/>
    <w:rsid w:val="000569DF"/>
    <w:rsid w:val="00064889"/>
    <w:rsid w:val="00067924"/>
    <w:rsid w:val="000679AE"/>
    <w:rsid w:val="000704EC"/>
    <w:rsid w:val="0007073D"/>
    <w:rsid w:val="0007167B"/>
    <w:rsid w:val="00073729"/>
    <w:rsid w:val="00077ACC"/>
    <w:rsid w:val="00082840"/>
    <w:rsid w:val="000834E7"/>
    <w:rsid w:val="000843AE"/>
    <w:rsid w:val="000861BC"/>
    <w:rsid w:val="00086FAE"/>
    <w:rsid w:val="00087F99"/>
    <w:rsid w:val="00092058"/>
    <w:rsid w:val="000929A5"/>
    <w:rsid w:val="00094856"/>
    <w:rsid w:val="00096C96"/>
    <w:rsid w:val="000979DB"/>
    <w:rsid w:val="000A1625"/>
    <w:rsid w:val="000A4BD6"/>
    <w:rsid w:val="000A5CB4"/>
    <w:rsid w:val="000A682D"/>
    <w:rsid w:val="000A7D8A"/>
    <w:rsid w:val="000B1E08"/>
    <w:rsid w:val="000B1FA4"/>
    <w:rsid w:val="000B4850"/>
    <w:rsid w:val="000B54EE"/>
    <w:rsid w:val="000B5E22"/>
    <w:rsid w:val="000C1B67"/>
    <w:rsid w:val="000C2859"/>
    <w:rsid w:val="000C563E"/>
    <w:rsid w:val="000C66B0"/>
    <w:rsid w:val="000C76B4"/>
    <w:rsid w:val="000D0AAE"/>
    <w:rsid w:val="000D1996"/>
    <w:rsid w:val="000D1AF7"/>
    <w:rsid w:val="000D1CCB"/>
    <w:rsid w:val="000D3092"/>
    <w:rsid w:val="000D5148"/>
    <w:rsid w:val="000D5EB6"/>
    <w:rsid w:val="000D6EA5"/>
    <w:rsid w:val="000E0BBE"/>
    <w:rsid w:val="000E11D7"/>
    <w:rsid w:val="000E1DB1"/>
    <w:rsid w:val="000E3547"/>
    <w:rsid w:val="000E38B2"/>
    <w:rsid w:val="000E45FB"/>
    <w:rsid w:val="000E6126"/>
    <w:rsid w:val="000E67D5"/>
    <w:rsid w:val="000E7DC6"/>
    <w:rsid w:val="000F0A13"/>
    <w:rsid w:val="000F1673"/>
    <w:rsid w:val="000F4133"/>
    <w:rsid w:val="000F480F"/>
    <w:rsid w:val="000F51CF"/>
    <w:rsid w:val="000F5DB3"/>
    <w:rsid w:val="000F7E77"/>
    <w:rsid w:val="001007B6"/>
    <w:rsid w:val="0010233E"/>
    <w:rsid w:val="0010402E"/>
    <w:rsid w:val="00104077"/>
    <w:rsid w:val="00104318"/>
    <w:rsid w:val="00106BBC"/>
    <w:rsid w:val="00107EF2"/>
    <w:rsid w:val="00111BD3"/>
    <w:rsid w:val="00114CC4"/>
    <w:rsid w:val="00115841"/>
    <w:rsid w:val="00115F8B"/>
    <w:rsid w:val="001161E2"/>
    <w:rsid w:val="00116D42"/>
    <w:rsid w:val="00116D98"/>
    <w:rsid w:val="0012389C"/>
    <w:rsid w:val="001321D4"/>
    <w:rsid w:val="001326FE"/>
    <w:rsid w:val="001341AE"/>
    <w:rsid w:val="0013426C"/>
    <w:rsid w:val="00134D97"/>
    <w:rsid w:val="0013586D"/>
    <w:rsid w:val="00136939"/>
    <w:rsid w:val="00136975"/>
    <w:rsid w:val="00140292"/>
    <w:rsid w:val="00140B6F"/>
    <w:rsid w:val="00141B06"/>
    <w:rsid w:val="0014259E"/>
    <w:rsid w:val="001427B5"/>
    <w:rsid w:val="00143E17"/>
    <w:rsid w:val="00145FCC"/>
    <w:rsid w:val="00146E14"/>
    <w:rsid w:val="00150C6C"/>
    <w:rsid w:val="00152F65"/>
    <w:rsid w:val="00154201"/>
    <w:rsid w:val="00155CDF"/>
    <w:rsid w:val="001573AD"/>
    <w:rsid w:val="00157B7D"/>
    <w:rsid w:val="00160D91"/>
    <w:rsid w:val="00162923"/>
    <w:rsid w:val="00162D47"/>
    <w:rsid w:val="00163507"/>
    <w:rsid w:val="00163B21"/>
    <w:rsid w:val="00164E9D"/>
    <w:rsid w:val="00166D91"/>
    <w:rsid w:val="001705B9"/>
    <w:rsid w:val="00172A27"/>
    <w:rsid w:val="00174B21"/>
    <w:rsid w:val="00174BC7"/>
    <w:rsid w:val="00175F96"/>
    <w:rsid w:val="001777EE"/>
    <w:rsid w:val="001821AB"/>
    <w:rsid w:val="00182411"/>
    <w:rsid w:val="00182BF7"/>
    <w:rsid w:val="001834CA"/>
    <w:rsid w:val="00184E27"/>
    <w:rsid w:val="001862F3"/>
    <w:rsid w:val="00186F31"/>
    <w:rsid w:val="00187295"/>
    <w:rsid w:val="00190A05"/>
    <w:rsid w:val="00190E83"/>
    <w:rsid w:val="00191528"/>
    <w:rsid w:val="00191C7D"/>
    <w:rsid w:val="0019550E"/>
    <w:rsid w:val="001A13E7"/>
    <w:rsid w:val="001A29A2"/>
    <w:rsid w:val="001A2E3F"/>
    <w:rsid w:val="001A4BDF"/>
    <w:rsid w:val="001A74A2"/>
    <w:rsid w:val="001B0CE8"/>
    <w:rsid w:val="001B2CC7"/>
    <w:rsid w:val="001B3393"/>
    <w:rsid w:val="001B7864"/>
    <w:rsid w:val="001B7BF7"/>
    <w:rsid w:val="001C031E"/>
    <w:rsid w:val="001C2F4D"/>
    <w:rsid w:val="001C5D3B"/>
    <w:rsid w:val="001C6AF5"/>
    <w:rsid w:val="001D0052"/>
    <w:rsid w:val="001D07CD"/>
    <w:rsid w:val="001D4419"/>
    <w:rsid w:val="001E0311"/>
    <w:rsid w:val="001E2A62"/>
    <w:rsid w:val="001E3A09"/>
    <w:rsid w:val="001E4471"/>
    <w:rsid w:val="001E4759"/>
    <w:rsid w:val="001F251E"/>
    <w:rsid w:val="001F4BFF"/>
    <w:rsid w:val="001F54E7"/>
    <w:rsid w:val="001F5A60"/>
    <w:rsid w:val="001F6401"/>
    <w:rsid w:val="001F6E2A"/>
    <w:rsid w:val="002032D2"/>
    <w:rsid w:val="00204C01"/>
    <w:rsid w:val="0020626D"/>
    <w:rsid w:val="002062B0"/>
    <w:rsid w:val="002108BC"/>
    <w:rsid w:val="00211CCC"/>
    <w:rsid w:val="00212AFB"/>
    <w:rsid w:val="002145A6"/>
    <w:rsid w:val="002155BF"/>
    <w:rsid w:val="00216596"/>
    <w:rsid w:val="0022176F"/>
    <w:rsid w:val="00221CCF"/>
    <w:rsid w:val="00226DB3"/>
    <w:rsid w:val="00232EE8"/>
    <w:rsid w:val="002359F8"/>
    <w:rsid w:val="00237275"/>
    <w:rsid w:val="0024019C"/>
    <w:rsid w:val="00241C8B"/>
    <w:rsid w:val="002423E1"/>
    <w:rsid w:val="00242533"/>
    <w:rsid w:val="00242B38"/>
    <w:rsid w:val="00242CA9"/>
    <w:rsid w:val="0024448E"/>
    <w:rsid w:val="002450F0"/>
    <w:rsid w:val="002455BB"/>
    <w:rsid w:val="002458F6"/>
    <w:rsid w:val="00245FAF"/>
    <w:rsid w:val="00246DE2"/>
    <w:rsid w:val="002475CF"/>
    <w:rsid w:val="00250825"/>
    <w:rsid w:val="00252E0B"/>
    <w:rsid w:val="00253FE6"/>
    <w:rsid w:val="00254E60"/>
    <w:rsid w:val="002553A6"/>
    <w:rsid w:val="00255C0A"/>
    <w:rsid w:val="00261045"/>
    <w:rsid w:val="00261766"/>
    <w:rsid w:val="002622FF"/>
    <w:rsid w:val="00262701"/>
    <w:rsid w:val="00264412"/>
    <w:rsid w:val="00265639"/>
    <w:rsid w:val="00265A04"/>
    <w:rsid w:val="002671BB"/>
    <w:rsid w:val="00274DD5"/>
    <w:rsid w:val="00276D94"/>
    <w:rsid w:val="00282240"/>
    <w:rsid w:val="00285142"/>
    <w:rsid w:val="00286803"/>
    <w:rsid w:val="00291A41"/>
    <w:rsid w:val="00291A5E"/>
    <w:rsid w:val="00291F6E"/>
    <w:rsid w:val="00292057"/>
    <w:rsid w:val="002931F5"/>
    <w:rsid w:val="00293B76"/>
    <w:rsid w:val="002A2FA0"/>
    <w:rsid w:val="002A49B3"/>
    <w:rsid w:val="002A607D"/>
    <w:rsid w:val="002B09BD"/>
    <w:rsid w:val="002B2447"/>
    <w:rsid w:val="002B356C"/>
    <w:rsid w:val="002B506C"/>
    <w:rsid w:val="002B524D"/>
    <w:rsid w:val="002B71B3"/>
    <w:rsid w:val="002B7E06"/>
    <w:rsid w:val="002C13CA"/>
    <w:rsid w:val="002C3C1F"/>
    <w:rsid w:val="002C6643"/>
    <w:rsid w:val="002C72CB"/>
    <w:rsid w:val="002C781C"/>
    <w:rsid w:val="002D008D"/>
    <w:rsid w:val="002D0BB8"/>
    <w:rsid w:val="002D126E"/>
    <w:rsid w:val="002D1C8E"/>
    <w:rsid w:val="002D1CEF"/>
    <w:rsid w:val="002D5D60"/>
    <w:rsid w:val="002D5E85"/>
    <w:rsid w:val="002D6A4F"/>
    <w:rsid w:val="002D7A34"/>
    <w:rsid w:val="002E2DAD"/>
    <w:rsid w:val="002E3213"/>
    <w:rsid w:val="002E5442"/>
    <w:rsid w:val="002E6A03"/>
    <w:rsid w:val="002E6C97"/>
    <w:rsid w:val="002F085E"/>
    <w:rsid w:val="002F0A81"/>
    <w:rsid w:val="002F0C53"/>
    <w:rsid w:val="002F18EF"/>
    <w:rsid w:val="002F1962"/>
    <w:rsid w:val="002F2DF4"/>
    <w:rsid w:val="002F5189"/>
    <w:rsid w:val="002F7C28"/>
    <w:rsid w:val="00300917"/>
    <w:rsid w:val="0030197A"/>
    <w:rsid w:val="00304B72"/>
    <w:rsid w:val="00304E76"/>
    <w:rsid w:val="0030555A"/>
    <w:rsid w:val="00305682"/>
    <w:rsid w:val="003077B0"/>
    <w:rsid w:val="00310539"/>
    <w:rsid w:val="00310D11"/>
    <w:rsid w:val="00310E93"/>
    <w:rsid w:val="00311A82"/>
    <w:rsid w:val="00320028"/>
    <w:rsid w:val="00321DDC"/>
    <w:rsid w:val="003222E3"/>
    <w:rsid w:val="0032573B"/>
    <w:rsid w:val="003265AA"/>
    <w:rsid w:val="003265BE"/>
    <w:rsid w:val="00327505"/>
    <w:rsid w:val="00334139"/>
    <w:rsid w:val="00335333"/>
    <w:rsid w:val="00335FE4"/>
    <w:rsid w:val="00336BBE"/>
    <w:rsid w:val="003373B7"/>
    <w:rsid w:val="00341BC6"/>
    <w:rsid w:val="00342123"/>
    <w:rsid w:val="003426A8"/>
    <w:rsid w:val="003473F5"/>
    <w:rsid w:val="00347B27"/>
    <w:rsid w:val="00350375"/>
    <w:rsid w:val="003524EA"/>
    <w:rsid w:val="0035320C"/>
    <w:rsid w:val="00354046"/>
    <w:rsid w:val="00354389"/>
    <w:rsid w:val="003547D7"/>
    <w:rsid w:val="003609ED"/>
    <w:rsid w:val="00360D0B"/>
    <w:rsid w:val="0036136E"/>
    <w:rsid w:val="00361398"/>
    <w:rsid w:val="0036174D"/>
    <w:rsid w:val="00361D2E"/>
    <w:rsid w:val="003656D0"/>
    <w:rsid w:val="00366C63"/>
    <w:rsid w:val="00370AC7"/>
    <w:rsid w:val="00370C96"/>
    <w:rsid w:val="0037163F"/>
    <w:rsid w:val="00373913"/>
    <w:rsid w:val="00374161"/>
    <w:rsid w:val="00374737"/>
    <w:rsid w:val="003749D8"/>
    <w:rsid w:val="00374CD1"/>
    <w:rsid w:val="00376AE7"/>
    <w:rsid w:val="003778D8"/>
    <w:rsid w:val="003801EB"/>
    <w:rsid w:val="00380D7A"/>
    <w:rsid w:val="0038177E"/>
    <w:rsid w:val="003823A2"/>
    <w:rsid w:val="003824FB"/>
    <w:rsid w:val="00382519"/>
    <w:rsid w:val="00382BA6"/>
    <w:rsid w:val="00387389"/>
    <w:rsid w:val="003874E9"/>
    <w:rsid w:val="00387CDB"/>
    <w:rsid w:val="003910F0"/>
    <w:rsid w:val="00391B40"/>
    <w:rsid w:val="00392757"/>
    <w:rsid w:val="0039393A"/>
    <w:rsid w:val="00393F3A"/>
    <w:rsid w:val="003940F8"/>
    <w:rsid w:val="00395F94"/>
    <w:rsid w:val="0039620A"/>
    <w:rsid w:val="003964EE"/>
    <w:rsid w:val="00396B53"/>
    <w:rsid w:val="003A261F"/>
    <w:rsid w:val="003A428F"/>
    <w:rsid w:val="003A44ED"/>
    <w:rsid w:val="003A743A"/>
    <w:rsid w:val="003B0F7E"/>
    <w:rsid w:val="003B1F83"/>
    <w:rsid w:val="003B3B4C"/>
    <w:rsid w:val="003B5E19"/>
    <w:rsid w:val="003B7F4B"/>
    <w:rsid w:val="003C0CF2"/>
    <w:rsid w:val="003C12C0"/>
    <w:rsid w:val="003D0426"/>
    <w:rsid w:val="003D1637"/>
    <w:rsid w:val="003D1F5E"/>
    <w:rsid w:val="003E1346"/>
    <w:rsid w:val="003E1997"/>
    <w:rsid w:val="003E41A7"/>
    <w:rsid w:val="003E4878"/>
    <w:rsid w:val="003F1819"/>
    <w:rsid w:val="003F2E4A"/>
    <w:rsid w:val="003F4AB1"/>
    <w:rsid w:val="003F4D1C"/>
    <w:rsid w:val="003F518E"/>
    <w:rsid w:val="003F6BEE"/>
    <w:rsid w:val="003F7181"/>
    <w:rsid w:val="004007DF"/>
    <w:rsid w:val="00401BEB"/>
    <w:rsid w:val="00402228"/>
    <w:rsid w:val="00405BF2"/>
    <w:rsid w:val="00405F8E"/>
    <w:rsid w:val="00410F32"/>
    <w:rsid w:val="0041178D"/>
    <w:rsid w:val="00412287"/>
    <w:rsid w:val="00413EC3"/>
    <w:rsid w:val="00414F55"/>
    <w:rsid w:val="00415208"/>
    <w:rsid w:val="00415C38"/>
    <w:rsid w:val="004165DD"/>
    <w:rsid w:val="00416D85"/>
    <w:rsid w:val="00417D07"/>
    <w:rsid w:val="00420813"/>
    <w:rsid w:val="004211AA"/>
    <w:rsid w:val="00424CB8"/>
    <w:rsid w:val="0042582F"/>
    <w:rsid w:val="0042752E"/>
    <w:rsid w:val="004275E8"/>
    <w:rsid w:val="00431504"/>
    <w:rsid w:val="00431522"/>
    <w:rsid w:val="00431924"/>
    <w:rsid w:val="00433898"/>
    <w:rsid w:val="00436FAB"/>
    <w:rsid w:val="00440720"/>
    <w:rsid w:val="0044142B"/>
    <w:rsid w:val="004421AD"/>
    <w:rsid w:val="00442FD7"/>
    <w:rsid w:val="00443519"/>
    <w:rsid w:val="00446257"/>
    <w:rsid w:val="0045017E"/>
    <w:rsid w:val="00452E73"/>
    <w:rsid w:val="00455271"/>
    <w:rsid w:val="00457683"/>
    <w:rsid w:val="00460BE0"/>
    <w:rsid w:val="00464056"/>
    <w:rsid w:val="00465B84"/>
    <w:rsid w:val="0046691C"/>
    <w:rsid w:val="004672BA"/>
    <w:rsid w:val="0046774A"/>
    <w:rsid w:val="00471978"/>
    <w:rsid w:val="004734E7"/>
    <w:rsid w:val="0047385A"/>
    <w:rsid w:val="004768DF"/>
    <w:rsid w:val="00477A31"/>
    <w:rsid w:val="004819C5"/>
    <w:rsid w:val="0048316F"/>
    <w:rsid w:val="00484DA2"/>
    <w:rsid w:val="004855A7"/>
    <w:rsid w:val="00485EB9"/>
    <w:rsid w:val="00486944"/>
    <w:rsid w:val="00490E94"/>
    <w:rsid w:val="00491F0A"/>
    <w:rsid w:val="0049273A"/>
    <w:rsid w:val="00494484"/>
    <w:rsid w:val="004957A6"/>
    <w:rsid w:val="004967F7"/>
    <w:rsid w:val="00496EF8"/>
    <w:rsid w:val="004971F0"/>
    <w:rsid w:val="004A0FCB"/>
    <w:rsid w:val="004A23C4"/>
    <w:rsid w:val="004A3457"/>
    <w:rsid w:val="004A3BE9"/>
    <w:rsid w:val="004A4256"/>
    <w:rsid w:val="004A42FD"/>
    <w:rsid w:val="004A49AC"/>
    <w:rsid w:val="004A5240"/>
    <w:rsid w:val="004A565B"/>
    <w:rsid w:val="004A569A"/>
    <w:rsid w:val="004A6BA1"/>
    <w:rsid w:val="004A6BEA"/>
    <w:rsid w:val="004B0D91"/>
    <w:rsid w:val="004B1136"/>
    <w:rsid w:val="004B2605"/>
    <w:rsid w:val="004B45B5"/>
    <w:rsid w:val="004B479A"/>
    <w:rsid w:val="004B5CC2"/>
    <w:rsid w:val="004B6C2C"/>
    <w:rsid w:val="004C03A3"/>
    <w:rsid w:val="004C1C1C"/>
    <w:rsid w:val="004C20D2"/>
    <w:rsid w:val="004C2B1D"/>
    <w:rsid w:val="004C3A0C"/>
    <w:rsid w:val="004C47D4"/>
    <w:rsid w:val="004C6EFF"/>
    <w:rsid w:val="004C706B"/>
    <w:rsid w:val="004C7D93"/>
    <w:rsid w:val="004D2ECB"/>
    <w:rsid w:val="004D391C"/>
    <w:rsid w:val="004D42C0"/>
    <w:rsid w:val="004D510E"/>
    <w:rsid w:val="004D5796"/>
    <w:rsid w:val="004D5FEF"/>
    <w:rsid w:val="004E3B82"/>
    <w:rsid w:val="004E4058"/>
    <w:rsid w:val="004E412E"/>
    <w:rsid w:val="004F0439"/>
    <w:rsid w:val="004F0519"/>
    <w:rsid w:val="004F228B"/>
    <w:rsid w:val="004F3E31"/>
    <w:rsid w:val="004F491B"/>
    <w:rsid w:val="004F68D6"/>
    <w:rsid w:val="004F6EDB"/>
    <w:rsid w:val="004F730C"/>
    <w:rsid w:val="00503F47"/>
    <w:rsid w:val="00504F8A"/>
    <w:rsid w:val="00505EAF"/>
    <w:rsid w:val="005079C0"/>
    <w:rsid w:val="00507B9A"/>
    <w:rsid w:val="00511AC0"/>
    <w:rsid w:val="00512629"/>
    <w:rsid w:val="00512C30"/>
    <w:rsid w:val="005132DF"/>
    <w:rsid w:val="00514E81"/>
    <w:rsid w:val="0051510D"/>
    <w:rsid w:val="005168CC"/>
    <w:rsid w:val="00516CE2"/>
    <w:rsid w:val="005176F8"/>
    <w:rsid w:val="0052003B"/>
    <w:rsid w:val="005214C7"/>
    <w:rsid w:val="0052180E"/>
    <w:rsid w:val="00521C34"/>
    <w:rsid w:val="00522753"/>
    <w:rsid w:val="00522EB9"/>
    <w:rsid w:val="0052457D"/>
    <w:rsid w:val="005247A3"/>
    <w:rsid w:val="00524FF0"/>
    <w:rsid w:val="00525159"/>
    <w:rsid w:val="005271AA"/>
    <w:rsid w:val="005307A1"/>
    <w:rsid w:val="00530F88"/>
    <w:rsid w:val="00531627"/>
    <w:rsid w:val="005323C6"/>
    <w:rsid w:val="00533819"/>
    <w:rsid w:val="00535458"/>
    <w:rsid w:val="0053640D"/>
    <w:rsid w:val="00537520"/>
    <w:rsid w:val="0053796F"/>
    <w:rsid w:val="00540847"/>
    <w:rsid w:val="00543A75"/>
    <w:rsid w:val="0054450A"/>
    <w:rsid w:val="00545B8E"/>
    <w:rsid w:val="00547924"/>
    <w:rsid w:val="00552DE5"/>
    <w:rsid w:val="00554338"/>
    <w:rsid w:val="00555A47"/>
    <w:rsid w:val="00555B84"/>
    <w:rsid w:val="005570F3"/>
    <w:rsid w:val="0056037E"/>
    <w:rsid w:val="00560D41"/>
    <w:rsid w:val="00561D7F"/>
    <w:rsid w:val="00565047"/>
    <w:rsid w:val="00565DD9"/>
    <w:rsid w:val="00566A31"/>
    <w:rsid w:val="005677F9"/>
    <w:rsid w:val="00570603"/>
    <w:rsid w:val="00570B56"/>
    <w:rsid w:val="00570E33"/>
    <w:rsid w:val="00572E07"/>
    <w:rsid w:val="00574686"/>
    <w:rsid w:val="00575DEC"/>
    <w:rsid w:val="00576AF8"/>
    <w:rsid w:val="005772E8"/>
    <w:rsid w:val="00580517"/>
    <w:rsid w:val="00580A68"/>
    <w:rsid w:val="00581916"/>
    <w:rsid w:val="0058281B"/>
    <w:rsid w:val="00585C50"/>
    <w:rsid w:val="005906C1"/>
    <w:rsid w:val="0059089B"/>
    <w:rsid w:val="00591DE9"/>
    <w:rsid w:val="00593367"/>
    <w:rsid w:val="005953A1"/>
    <w:rsid w:val="00596FE8"/>
    <w:rsid w:val="00597E75"/>
    <w:rsid w:val="005A143A"/>
    <w:rsid w:val="005A15EF"/>
    <w:rsid w:val="005A229A"/>
    <w:rsid w:val="005A32F8"/>
    <w:rsid w:val="005A3B83"/>
    <w:rsid w:val="005A6794"/>
    <w:rsid w:val="005A68B7"/>
    <w:rsid w:val="005A70AF"/>
    <w:rsid w:val="005B0844"/>
    <w:rsid w:val="005B2885"/>
    <w:rsid w:val="005B39E1"/>
    <w:rsid w:val="005B3FB5"/>
    <w:rsid w:val="005B68BB"/>
    <w:rsid w:val="005B706A"/>
    <w:rsid w:val="005B7C11"/>
    <w:rsid w:val="005C05FA"/>
    <w:rsid w:val="005C1096"/>
    <w:rsid w:val="005C190F"/>
    <w:rsid w:val="005C1E48"/>
    <w:rsid w:val="005C612C"/>
    <w:rsid w:val="005C644C"/>
    <w:rsid w:val="005D023B"/>
    <w:rsid w:val="005D07BF"/>
    <w:rsid w:val="005D2B13"/>
    <w:rsid w:val="005D326C"/>
    <w:rsid w:val="005D3C98"/>
    <w:rsid w:val="005D4B1C"/>
    <w:rsid w:val="005D5C75"/>
    <w:rsid w:val="005D6687"/>
    <w:rsid w:val="005D69BA"/>
    <w:rsid w:val="005E7E7C"/>
    <w:rsid w:val="005F4254"/>
    <w:rsid w:val="005F47FA"/>
    <w:rsid w:val="005F4AC9"/>
    <w:rsid w:val="005F7336"/>
    <w:rsid w:val="005F7D50"/>
    <w:rsid w:val="00600B10"/>
    <w:rsid w:val="006023B7"/>
    <w:rsid w:val="00603282"/>
    <w:rsid w:val="0060351C"/>
    <w:rsid w:val="00606F57"/>
    <w:rsid w:val="00611035"/>
    <w:rsid w:val="006116F3"/>
    <w:rsid w:val="006128AA"/>
    <w:rsid w:val="00613E58"/>
    <w:rsid w:val="006154E6"/>
    <w:rsid w:val="00616B0A"/>
    <w:rsid w:val="00617D36"/>
    <w:rsid w:val="0062209E"/>
    <w:rsid w:val="00622820"/>
    <w:rsid w:val="00622913"/>
    <w:rsid w:val="006243ED"/>
    <w:rsid w:val="006245A4"/>
    <w:rsid w:val="00624854"/>
    <w:rsid w:val="00624D28"/>
    <w:rsid w:val="00624F4B"/>
    <w:rsid w:val="006304F1"/>
    <w:rsid w:val="006320B6"/>
    <w:rsid w:val="00632282"/>
    <w:rsid w:val="006333F4"/>
    <w:rsid w:val="006375AB"/>
    <w:rsid w:val="0064052C"/>
    <w:rsid w:val="006441CB"/>
    <w:rsid w:val="00647338"/>
    <w:rsid w:val="006473E9"/>
    <w:rsid w:val="006477F4"/>
    <w:rsid w:val="006528A0"/>
    <w:rsid w:val="006533C5"/>
    <w:rsid w:val="00654C69"/>
    <w:rsid w:val="00660F75"/>
    <w:rsid w:val="006615CF"/>
    <w:rsid w:val="00661ED4"/>
    <w:rsid w:val="00662BA0"/>
    <w:rsid w:val="00663685"/>
    <w:rsid w:val="006638EE"/>
    <w:rsid w:val="006643F8"/>
    <w:rsid w:val="00664CFE"/>
    <w:rsid w:val="006653D4"/>
    <w:rsid w:val="006670BC"/>
    <w:rsid w:val="00671292"/>
    <w:rsid w:val="006727EA"/>
    <w:rsid w:val="00672EEE"/>
    <w:rsid w:val="0067368C"/>
    <w:rsid w:val="00673AF1"/>
    <w:rsid w:val="00674E74"/>
    <w:rsid w:val="00676643"/>
    <w:rsid w:val="0068036B"/>
    <w:rsid w:val="00682A5A"/>
    <w:rsid w:val="006832B4"/>
    <w:rsid w:val="00684021"/>
    <w:rsid w:val="00684A81"/>
    <w:rsid w:val="00684ECB"/>
    <w:rsid w:val="00685DF1"/>
    <w:rsid w:val="00686632"/>
    <w:rsid w:val="00686F42"/>
    <w:rsid w:val="00691CC1"/>
    <w:rsid w:val="00692885"/>
    <w:rsid w:val="0069604A"/>
    <w:rsid w:val="006A0345"/>
    <w:rsid w:val="006A05B2"/>
    <w:rsid w:val="006A0713"/>
    <w:rsid w:val="006A328D"/>
    <w:rsid w:val="006A33CA"/>
    <w:rsid w:val="006A3A0C"/>
    <w:rsid w:val="006A4068"/>
    <w:rsid w:val="006A78D0"/>
    <w:rsid w:val="006A7E81"/>
    <w:rsid w:val="006B04FE"/>
    <w:rsid w:val="006B1052"/>
    <w:rsid w:val="006B293A"/>
    <w:rsid w:val="006B2E36"/>
    <w:rsid w:val="006B3710"/>
    <w:rsid w:val="006B3F42"/>
    <w:rsid w:val="006B4002"/>
    <w:rsid w:val="006B47AB"/>
    <w:rsid w:val="006B525C"/>
    <w:rsid w:val="006B52F7"/>
    <w:rsid w:val="006C17B3"/>
    <w:rsid w:val="006C563E"/>
    <w:rsid w:val="006C6A31"/>
    <w:rsid w:val="006D4AA6"/>
    <w:rsid w:val="006D5442"/>
    <w:rsid w:val="006E2634"/>
    <w:rsid w:val="006E68C1"/>
    <w:rsid w:val="006E697A"/>
    <w:rsid w:val="006F064E"/>
    <w:rsid w:val="006F27F9"/>
    <w:rsid w:val="006F2CC9"/>
    <w:rsid w:val="006F39DA"/>
    <w:rsid w:val="006F77E3"/>
    <w:rsid w:val="006F7BBE"/>
    <w:rsid w:val="006F7D85"/>
    <w:rsid w:val="006F7DA8"/>
    <w:rsid w:val="007029A4"/>
    <w:rsid w:val="00703F33"/>
    <w:rsid w:val="00707551"/>
    <w:rsid w:val="00707B56"/>
    <w:rsid w:val="0071057A"/>
    <w:rsid w:val="00713DE6"/>
    <w:rsid w:val="0071422E"/>
    <w:rsid w:val="0071426E"/>
    <w:rsid w:val="007144E9"/>
    <w:rsid w:val="0071555E"/>
    <w:rsid w:val="00715BC9"/>
    <w:rsid w:val="0071614C"/>
    <w:rsid w:val="00716381"/>
    <w:rsid w:val="00722A52"/>
    <w:rsid w:val="00723A78"/>
    <w:rsid w:val="007242CF"/>
    <w:rsid w:val="00737A62"/>
    <w:rsid w:val="00737E0B"/>
    <w:rsid w:val="007400E9"/>
    <w:rsid w:val="0074089D"/>
    <w:rsid w:val="00740A98"/>
    <w:rsid w:val="00742E80"/>
    <w:rsid w:val="007501C0"/>
    <w:rsid w:val="0075289C"/>
    <w:rsid w:val="007531C0"/>
    <w:rsid w:val="00753356"/>
    <w:rsid w:val="00753674"/>
    <w:rsid w:val="007539F4"/>
    <w:rsid w:val="007543CE"/>
    <w:rsid w:val="00754B27"/>
    <w:rsid w:val="007560C5"/>
    <w:rsid w:val="0075754E"/>
    <w:rsid w:val="00760950"/>
    <w:rsid w:val="00761615"/>
    <w:rsid w:val="00762879"/>
    <w:rsid w:val="00764989"/>
    <w:rsid w:val="00764E3F"/>
    <w:rsid w:val="00765540"/>
    <w:rsid w:val="00776711"/>
    <w:rsid w:val="00776742"/>
    <w:rsid w:val="00780B67"/>
    <w:rsid w:val="007821AB"/>
    <w:rsid w:val="007838B8"/>
    <w:rsid w:val="00783CDA"/>
    <w:rsid w:val="00784A2C"/>
    <w:rsid w:val="00785F4D"/>
    <w:rsid w:val="007860EB"/>
    <w:rsid w:val="00787C73"/>
    <w:rsid w:val="00790412"/>
    <w:rsid w:val="0079075A"/>
    <w:rsid w:val="007919C6"/>
    <w:rsid w:val="007943A5"/>
    <w:rsid w:val="007955BE"/>
    <w:rsid w:val="00797321"/>
    <w:rsid w:val="00797CF4"/>
    <w:rsid w:val="007A085D"/>
    <w:rsid w:val="007A0EAC"/>
    <w:rsid w:val="007A1089"/>
    <w:rsid w:val="007A19D0"/>
    <w:rsid w:val="007A2038"/>
    <w:rsid w:val="007A2691"/>
    <w:rsid w:val="007A385D"/>
    <w:rsid w:val="007A3964"/>
    <w:rsid w:val="007A4BC0"/>
    <w:rsid w:val="007A4D70"/>
    <w:rsid w:val="007A5D50"/>
    <w:rsid w:val="007A644E"/>
    <w:rsid w:val="007A7867"/>
    <w:rsid w:val="007B072A"/>
    <w:rsid w:val="007B2030"/>
    <w:rsid w:val="007B2695"/>
    <w:rsid w:val="007B27E6"/>
    <w:rsid w:val="007B3A23"/>
    <w:rsid w:val="007B3A58"/>
    <w:rsid w:val="007B44AA"/>
    <w:rsid w:val="007B4937"/>
    <w:rsid w:val="007B58C7"/>
    <w:rsid w:val="007B5EA7"/>
    <w:rsid w:val="007B606C"/>
    <w:rsid w:val="007B62D2"/>
    <w:rsid w:val="007C49F9"/>
    <w:rsid w:val="007D40F2"/>
    <w:rsid w:val="007D7E82"/>
    <w:rsid w:val="007E0A79"/>
    <w:rsid w:val="007E2362"/>
    <w:rsid w:val="007E490C"/>
    <w:rsid w:val="007E6998"/>
    <w:rsid w:val="007E7170"/>
    <w:rsid w:val="007E7A0B"/>
    <w:rsid w:val="007F10C3"/>
    <w:rsid w:val="007F1B9D"/>
    <w:rsid w:val="007F1E41"/>
    <w:rsid w:val="007F4F4B"/>
    <w:rsid w:val="007F4FFA"/>
    <w:rsid w:val="007F50BF"/>
    <w:rsid w:val="007F6B30"/>
    <w:rsid w:val="007F6C09"/>
    <w:rsid w:val="007F7318"/>
    <w:rsid w:val="00800BBC"/>
    <w:rsid w:val="00801E46"/>
    <w:rsid w:val="00801F92"/>
    <w:rsid w:val="00802D23"/>
    <w:rsid w:val="00802E8E"/>
    <w:rsid w:val="0080321C"/>
    <w:rsid w:val="0080402E"/>
    <w:rsid w:val="008076D8"/>
    <w:rsid w:val="008135BB"/>
    <w:rsid w:val="00813885"/>
    <w:rsid w:val="00815E3D"/>
    <w:rsid w:val="00822ACD"/>
    <w:rsid w:val="00824724"/>
    <w:rsid w:val="00825046"/>
    <w:rsid w:val="008254CD"/>
    <w:rsid w:val="0082593C"/>
    <w:rsid w:val="00827244"/>
    <w:rsid w:val="008276E6"/>
    <w:rsid w:val="008312C1"/>
    <w:rsid w:val="00834A75"/>
    <w:rsid w:val="00835D54"/>
    <w:rsid w:val="00837A13"/>
    <w:rsid w:val="00841B57"/>
    <w:rsid w:val="00841DF2"/>
    <w:rsid w:val="00842938"/>
    <w:rsid w:val="0084356C"/>
    <w:rsid w:val="0084373A"/>
    <w:rsid w:val="00844807"/>
    <w:rsid w:val="00844921"/>
    <w:rsid w:val="00845597"/>
    <w:rsid w:val="00846039"/>
    <w:rsid w:val="00846C9A"/>
    <w:rsid w:val="00846CC7"/>
    <w:rsid w:val="00846DB5"/>
    <w:rsid w:val="0084778E"/>
    <w:rsid w:val="00850BFE"/>
    <w:rsid w:val="00851EB4"/>
    <w:rsid w:val="008526D0"/>
    <w:rsid w:val="0085470F"/>
    <w:rsid w:val="00856473"/>
    <w:rsid w:val="00861A2A"/>
    <w:rsid w:val="008633F0"/>
    <w:rsid w:val="00865CD1"/>
    <w:rsid w:val="00866686"/>
    <w:rsid w:val="00870CAA"/>
    <w:rsid w:val="00872413"/>
    <w:rsid w:val="008753DF"/>
    <w:rsid w:val="008754C6"/>
    <w:rsid w:val="00880873"/>
    <w:rsid w:val="008809AF"/>
    <w:rsid w:val="00883D96"/>
    <w:rsid w:val="00885E40"/>
    <w:rsid w:val="008918F4"/>
    <w:rsid w:val="00891D2D"/>
    <w:rsid w:val="0089430A"/>
    <w:rsid w:val="00894A1B"/>
    <w:rsid w:val="008957BB"/>
    <w:rsid w:val="00896AD7"/>
    <w:rsid w:val="00897576"/>
    <w:rsid w:val="008A0598"/>
    <w:rsid w:val="008A2B16"/>
    <w:rsid w:val="008A2D2B"/>
    <w:rsid w:val="008A535E"/>
    <w:rsid w:val="008A6C35"/>
    <w:rsid w:val="008B0B36"/>
    <w:rsid w:val="008B222D"/>
    <w:rsid w:val="008B3098"/>
    <w:rsid w:val="008B50CE"/>
    <w:rsid w:val="008B6481"/>
    <w:rsid w:val="008B6F0F"/>
    <w:rsid w:val="008C372A"/>
    <w:rsid w:val="008C42D7"/>
    <w:rsid w:val="008C5433"/>
    <w:rsid w:val="008D100B"/>
    <w:rsid w:val="008D274C"/>
    <w:rsid w:val="008D292D"/>
    <w:rsid w:val="008D2AAF"/>
    <w:rsid w:val="008D335F"/>
    <w:rsid w:val="008D3852"/>
    <w:rsid w:val="008D3BA1"/>
    <w:rsid w:val="008D7BA5"/>
    <w:rsid w:val="008E4044"/>
    <w:rsid w:val="008E4F52"/>
    <w:rsid w:val="008E5C60"/>
    <w:rsid w:val="008E60C5"/>
    <w:rsid w:val="008F041A"/>
    <w:rsid w:val="008F1130"/>
    <w:rsid w:val="008F2F05"/>
    <w:rsid w:val="008F32F7"/>
    <w:rsid w:val="008F3597"/>
    <w:rsid w:val="008F48A9"/>
    <w:rsid w:val="008F58E6"/>
    <w:rsid w:val="008F5F11"/>
    <w:rsid w:val="008F7254"/>
    <w:rsid w:val="008F7C09"/>
    <w:rsid w:val="008F7CF8"/>
    <w:rsid w:val="008F7D13"/>
    <w:rsid w:val="0090060A"/>
    <w:rsid w:val="00900BAF"/>
    <w:rsid w:val="00901603"/>
    <w:rsid w:val="009019DF"/>
    <w:rsid w:val="00901CD1"/>
    <w:rsid w:val="00901EA7"/>
    <w:rsid w:val="00902023"/>
    <w:rsid w:val="00903C9D"/>
    <w:rsid w:val="009068FF"/>
    <w:rsid w:val="00906CF2"/>
    <w:rsid w:val="009076B4"/>
    <w:rsid w:val="00907C55"/>
    <w:rsid w:val="00912FB4"/>
    <w:rsid w:val="0091365A"/>
    <w:rsid w:val="009173B3"/>
    <w:rsid w:val="00920995"/>
    <w:rsid w:val="00921666"/>
    <w:rsid w:val="0092266C"/>
    <w:rsid w:val="0092378E"/>
    <w:rsid w:val="00923BEC"/>
    <w:rsid w:val="00926BA7"/>
    <w:rsid w:val="00927666"/>
    <w:rsid w:val="00927C5B"/>
    <w:rsid w:val="009300F5"/>
    <w:rsid w:val="009325CC"/>
    <w:rsid w:val="0093283D"/>
    <w:rsid w:val="00935ABF"/>
    <w:rsid w:val="00936B83"/>
    <w:rsid w:val="00940125"/>
    <w:rsid w:val="00940D3C"/>
    <w:rsid w:val="00941EBD"/>
    <w:rsid w:val="00945E60"/>
    <w:rsid w:val="00946799"/>
    <w:rsid w:val="00947087"/>
    <w:rsid w:val="00950A5C"/>
    <w:rsid w:val="00951922"/>
    <w:rsid w:val="00951B56"/>
    <w:rsid w:val="00954C07"/>
    <w:rsid w:val="00955044"/>
    <w:rsid w:val="00955483"/>
    <w:rsid w:val="00956328"/>
    <w:rsid w:val="00957497"/>
    <w:rsid w:val="00962387"/>
    <w:rsid w:val="009633D8"/>
    <w:rsid w:val="009667C8"/>
    <w:rsid w:val="00966C0B"/>
    <w:rsid w:val="0097050C"/>
    <w:rsid w:val="00974064"/>
    <w:rsid w:val="0097503A"/>
    <w:rsid w:val="00975234"/>
    <w:rsid w:val="00975C1B"/>
    <w:rsid w:val="00984FE2"/>
    <w:rsid w:val="00985E2A"/>
    <w:rsid w:val="00986F4B"/>
    <w:rsid w:val="0098792C"/>
    <w:rsid w:val="009901F6"/>
    <w:rsid w:val="009905F9"/>
    <w:rsid w:val="009907CB"/>
    <w:rsid w:val="00992A6B"/>
    <w:rsid w:val="00993408"/>
    <w:rsid w:val="00994F3C"/>
    <w:rsid w:val="009953CE"/>
    <w:rsid w:val="00996111"/>
    <w:rsid w:val="00996D71"/>
    <w:rsid w:val="00996E4B"/>
    <w:rsid w:val="0099767E"/>
    <w:rsid w:val="00997E95"/>
    <w:rsid w:val="009A037C"/>
    <w:rsid w:val="009A0C5E"/>
    <w:rsid w:val="009A167F"/>
    <w:rsid w:val="009A304B"/>
    <w:rsid w:val="009A375E"/>
    <w:rsid w:val="009A6E38"/>
    <w:rsid w:val="009A794C"/>
    <w:rsid w:val="009B151C"/>
    <w:rsid w:val="009B205E"/>
    <w:rsid w:val="009B2F96"/>
    <w:rsid w:val="009B4AAE"/>
    <w:rsid w:val="009C1027"/>
    <w:rsid w:val="009C1378"/>
    <w:rsid w:val="009C16A6"/>
    <w:rsid w:val="009C1A05"/>
    <w:rsid w:val="009C35C3"/>
    <w:rsid w:val="009C5BED"/>
    <w:rsid w:val="009C5E3F"/>
    <w:rsid w:val="009C6332"/>
    <w:rsid w:val="009D0177"/>
    <w:rsid w:val="009D2849"/>
    <w:rsid w:val="009D3A7A"/>
    <w:rsid w:val="009D4F37"/>
    <w:rsid w:val="009D6A08"/>
    <w:rsid w:val="009D7E4E"/>
    <w:rsid w:val="009E04E5"/>
    <w:rsid w:val="009E64F2"/>
    <w:rsid w:val="009E6B8A"/>
    <w:rsid w:val="009E7C76"/>
    <w:rsid w:val="009F06B2"/>
    <w:rsid w:val="009F215B"/>
    <w:rsid w:val="009F3CA3"/>
    <w:rsid w:val="009F6409"/>
    <w:rsid w:val="00A01C6D"/>
    <w:rsid w:val="00A024C8"/>
    <w:rsid w:val="00A02EBB"/>
    <w:rsid w:val="00A0343B"/>
    <w:rsid w:val="00A05D5D"/>
    <w:rsid w:val="00A06FF1"/>
    <w:rsid w:val="00A07CBF"/>
    <w:rsid w:val="00A10489"/>
    <w:rsid w:val="00A11CE1"/>
    <w:rsid w:val="00A11D14"/>
    <w:rsid w:val="00A13641"/>
    <w:rsid w:val="00A14827"/>
    <w:rsid w:val="00A14D67"/>
    <w:rsid w:val="00A161B8"/>
    <w:rsid w:val="00A16F40"/>
    <w:rsid w:val="00A2030D"/>
    <w:rsid w:val="00A20C19"/>
    <w:rsid w:val="00A239AE"/>
    <w:rsid w:val="00A2479B"/>
    <w:rsid w:val="00A251DF"/>
    <w:rsid w:val="00A25D27"/>
    <w:rsid w:val="00A25F9B"/>
    <w:rsid w:val="00A2625D"/>
    <w:rsid w:val="00A276DB"/>
    <w:rsid w:val="00A276E0"/>
    <w:rsid w:val="00A30B45"/>
    <w:rsid w:val="00A3309E"/>
    <w:rsid w:val="00A3505C"/>
    <w:rsid w:val="00A359F4"/>
    <w:rsid w:val="00A40590"/>
    <w:rsid w:val="00A4078E"/>
    <w:rsid w:val="00A464ED"/>
    <w:rsid w:val="00A54B83"/>
    <w:rsid w:val="00A55066"/>
    <w:rsid w:val="00A56158"/>
    <w:rsid w:val="00A56705"/>
    <w:rsid w:val="00A57324"/>
    <w:rsid w:val="00A576D7"/>
    <w:rsid w:val="00A57875"/>
    <w:rsid w:val="00A57E33"/>
    <w:rsid w:val="00A6357D"/>
    <w:rsid w:val="00A6469D"/>
    <w:rsid w:val="00A66C4E"/>
    <w:rsid w:val="00A66DFE"/>
    <w:rsid w:val="00A66E00"/>
    <w:rsid w:val="00A67623"/>
    <w:rsid w:val="00A7156E"/>
    <w:rsid w:val="00A7178F"/>
    <w:rsid w:val="00A760B2"/>
    <w:rsid w:val="00A77D06"/>
    <w:rsid w:val="00A81101"/>
    <w:rsid w:val="00A81979"/>
    <w:rsid w:val="00A8297B"/>
    <w:rsid w:val="00A8416E"/>
    <w:rsid w:val="00A854E2"/>
    <w:rsid w:val="00A85C84"/>
    <w:rsid w:val="00A85EBF"/>
    <w:rsid w:val="00A863D3"/>
    <w:rsid w:val="00A87020"/>
    <w:rsid w:val="00A87648"/>
    <w:rsid w:val="00A9059C"/>
    <w:rsid w:val="00A90CA6"/>
    <w:rsid w:val="00A91909"/>
    <w:rsid w:val="00A92D96"/>
    <w:rsid w:val="00A92F10"/>
    <w:rsid w:val="00A93457"/>
    <w:rsid w:val="00A9434C"/>
    <w:rsid w:val="00A969BD"/>
    <w:rsid w:val="00AA08E2"/>
    <w:rsid w:val="00AA3C4D"/>
    <w:rsid w:val="00AA53E6"/>
    <w:rsid w:val="00AA567D"/>
    <w:rsid w:val="00AA6839"/>
    <w:rsid w:val="00AA75BE"/>
    <w:rsid w:val="00AB115C"/>
    <w:rsid w:val="00AB2A44"/>
    <w:rsid w:val="00AB4FEA"/>
    <w:rsid w:val="00AB532B"/>
    <w:rsid w:val="00AB559E"/>
    <w:rsid w:val="00AB645F"/>
    <w:rsid w:val="00AB6AAB"/>
    <w:rsid w:val="00AB7EB6"/>
    <w:rsid w:val="00AC0546"/>
    <w:rsid w:val="00AC13B8"/>
    <w:rsid w:val="00AC1430"/>
    <w:rsid w:val="00AC4371"/>
    <w:rsid w:val="00AC50DF"/>
    <w:rsid w:val="00AC7A9B"/>
    <w:rsid w:val="00AD1A5B"/>
    <w:rsid w:val="00AD245A"/>
    <w:rsid w:val="00AD3D8D"/>
    <w:rsid w:val="00AD4067"/>
    <w:rsid w:val="00AD5DB3"/>
    <w:rsid w:val="00AE0736"/>
    <w:rsid w:val="00AE0887"/>
    <w:rsid w:val="00AE09A5"/>
    <w:rsid w:val="00AE3F37"/>
    <w:rsid w:val="00AE4245"/>
    <w:rsid w:val="00AE4B40"/>
    <w:rsid w:val="00AE4D42"/>
    <w:rsid w:val="00AE636C"/>
    <w:rsid w:val="00AF1F2B"/>
    <w:rsid w:val="00AF25E9"/>
    <w:rsid w:val="00AF3574"/>
    <w:rsid w:val="00AF4167"/>
    <w:rsid w:val="00AF4C0B"/>
    <w:rsid w:val="00AF6388"/>
    <w:rsid w:val="00AF6725"/>
    <w:rsid w:val="00B043A1"/>
    <w:rsid w:val="00B06E9C"/>
    <w:rsid w:val="00B1152B"/>
    <w:rsid w:val="00B1193D"/>
    <w:rsid w:val="00B12051"/>
    <w:rsid w:val="00B12FD3"/>
    <w:rsid w:val="00B13BAE"/>
    <w:rsid w:val="00B13CCC"/>
    <w:rsid w:val="00B16F4D"/>
    <w:rsid w:val="00B17DC9"/>
    <w:rsid w:val="00B21398"/>
    <w:rsid w:val="00B258A3"/>
    <w:rsid w:val="00B264F6"/>
    <w:rsid w:val="00B26527"/>
    <w:rsid w:val="00B27162"/>
    <w:rsid w:val="00B271F6"/>
    <w:rsid w:val="00B33239"/>
    <w:rsid w:val="00B446CF"/>
    <w:rsid w:val="00B44A69"/>
    <w:rsid w:val="00B45CAF"/>
    <w:rsid w:val="00B46950"/>
    <w:rsid w:val="00B4785E"/>
    <w:rsid w:val="00B47CC6"/>
    <w:rsid w:val="00B47D17"/>
    <w:rsid w:val="00B50270"/>
    <w:rsid w:val="00B50549"/>
    <w:rsid w:val="00B505A8"/>
    <w:rsid w:val="00B513F7"/>
    <w:rsid w:val="00B51BC2"/>
    <w:rsid w:val="00B52308"/>
    <w:rsid w:val="00B57E70"/>
    <w:rsid w:val="00B61F39"/>
    <w:rsid w:val="00B631FC"/>
    <w:rsid w:val="00B64F07"/>
    <w:rsid w:val="00B66442"/>
    <w:rsid w:val="00B7048B"/>
    <w:rsid w:val="00B70FD1"/>
    <w:rsid w:val="00B72CB8"/>
    <w:rsid w:val="00B735B2"/>
    <w:rsid w:val="00B73998"/>
    <w:rsid w:val="00B7554E"/>
    <w:rsid w:val="00B841B3"/>
    <w:rsid w:val="00B849C7"/>
    <w:rsid w:val="00B84EE1"/>
    <w:rsid w:val="00B85384"/>
    <w:rsid w:val="00B91D78"/>
    <w:rsid w:val="00B951B3"/>
    <w:rsid w:val="00B95B91"/>
    <w:rsid w:val="00B95ECA"/>
    <w:rsid w:val="00B96863"/>
    <w:rsid w:val="00B96CDA"/>
    <w:rsid w:val="00BA0CCA"/>
    <w:rsid w:val="00BA12ED"/>
    <w:rsid w:val="00BA131E"/>
    <w:rsid w:val="00BA1AFD"/>
    <w:rsid w:val="00BA30B9"/>
    <w:rsid w:val="00BA6DAC"/>
    <w:rsid w:val="00BA708A"/>
    <w:rsid w:val="00BA768B"/>
    <w:rsid w:val="00BB20DB"/>
    <w:rsid w:val="00BB23DF"/>
    <w:rsid w:val="00BB482A"/>
    <w:rsid w:val="00BB58CA"/>
    <w:rsid w:val="00BC1FC7"/>
    <w:rsid w:val="00BC255F"/>
    <w:rsid w:val="00BC3F43"/>
    <w:rsid w:val="00BC49A3"/>
    <w:rsid w:val="00BC5ADC"/>
    <w:rsid w:val="00BC7CBC"/>
    <w:rsid w:val="00BD0675"/>
    <w:rsid w:val="00BD2D4B"/>
    <w:rsid w:val="00BD348F"/>
    <w:rsid w:val="00BD4462"/>
    <w:rsid w:val="00BD5856"/>
    <w:rsid w:val="00BD58E9"/>
    <w:rsid w:val="00BE3D93"/>
    <w:rsid w:val="00BE49C0"/>
    <w:rsid w:val="00BE701C"/>
    <w:rsid w:val="00BF1553"/>
    <w:rsid w:val="00BF1987"/>
    <w:rsid w:val="00BF1E65"/>
    <w:rsid w:val="00BF29BC"/>
    <w:rsid w:val="00BF3E27"/>
    <w:rsid w:val="00BF5F13"/>
    <w:rsid w:val="00BF7089"/>
    <w:rsid w:val="00C0123B"/>
    <w:rsid w:val="00C019B8"/>
    <w:rsid w:val="00C028A0"/>
    <w:rsid w:val="00C02FB0"/>
    <w:rsid w:val="00C032B4"/>
    <w:rsid w:val="00C04B9A"/>
    <w:rsid w:val="00C051C7"/>
    <w:rsid w:val="00C054F8"/>
    <w:rsid w:val="00C12235"/>
    <w:rsid w:val="00C12928"/>
    <w:rsid w:val="00C133E9"/>
    <w:rsid w:val="00C13BE7"/>
    <w:rsid w:val="00C162AC"/>
    <w:rsid w:val="00C208C2"/>
    <w:rsid w:val="00C20AE7"/>
    <w:rsid w:val="00C2509D"/>
    <w:rsid w:val="00C25149"/>
    <w:rsid w:val="00C255BE"/>
    <w:rsid w:val="00C258EA"/>
    <w:rsid w:val="00C30E55"/>
    <w:rsid w:val="00C3107F"/>
    <w:rsid w:val="00C33AC1"/>
    <w:rsid w:val="00C3788E"/>
    <w:rsid w:val="00C40F83"/>
    <w:rsid w:val="00C42239"/>
    <w:rsid w:val="00C43A8E"/>
    <w:rsid w:val="00C46A86"/>
    <w:rsid w:val="00C512A0"/>
    <w:rsid w:val="00C53ABE"/>
    <w:rsid w:val="00C60A00"/>
    <w:rsid w:val="00C618EC"/>
    <w:rsid w:val="00C61951"/>
    <w:rsid w:val="00C6208E"/>
    <w:rsid w:val="00C626ED"/>
    <w:rsid w:val="00C65246"/>
    <w:rsid w:val="00C654CC"/>
    <w:rsid w:val="00C679A1"/>
    <w:rsid w:val="00C70453"/>
    <w:rsid w:val="00C7298F"/>
    <w:rsid w:val="00C75B22"/>
    <w:rsid w:val="00C815B1"/>
    <w:rsid w:val="00C83F47"/>
    <w:rsid w:val="00C846DD"/>
    <w:rsid w:val="00C85EBA"/>
    <w:rsid w:val="00C87865"/>
    <w:rsid w:val="00C87A13"/>
    <w:rsid w:val="00C92289"/>
    <w:rsid w:val="00C92EEC"/>
    <w:rsid w:val="00C93065"/>
    <w:rsid w:val="00C939A1"/>
    <w:rsid w:val="00C93A4E"/>
    <w:rsid w:val="00C94146"/>
    <w:rsid w:val="00C943CC"/>
    <w:rsid w:val="00C95F3C"/>
    <w:rsid w:val="00C96ADE"/>
    <w:rsid w:val="00CA0996"/>
    <w:rsid w:val="00CA0C2D"/>
    <w:rsid w:val="00CA2732"/>
    <w:rsid w:val="00CA2A14"/>
    <w:rsid w:val="00CA3B1B"/>
    <w:rsid w:val="00CA660B"/>
    <w:rsid w:val="00CA7954"/>
    <w:rsid w:val="00CB0138"/>
    <w:rsid w:val="00CB1B52"/>
    <w:rsid w:val="00CB229E"/>
    <w:rsid w:val="00CB294D"/>
    <w:rsid w:val="00CB341E"/>
    <w:rsid w:val="00CB3B14"/>
    <w:rsid w:val="00CB3EC6"/>
    <w:rsid w:val="00CB4745"/>
    <w:rsid w:val="00CB7438"/>
    <w:rsid w:val="00CC051A"/>
    <w:rsid w:val="00CC1D91"/>
    <w:rsid w:val="00CC1EBE"/>
    <w:rsid w:val="00CC2ADB"/>
    <w:rsid w:val="00CC648A"/>
    <w:rsid w:val="00CC7680"/>
    <w:rsid w:val="00CD0887"/>
    <w:rsid w:val="00CD0F42"/>
    <w:rsid w:val="00CD1B83"/>
    <w:rsid w:val="00CD23FE"/>
    <w:rsid w:val="00CD3430"/>
    <w:rsid w:val="00CD3566"/>
    <w:rsid w:val="00CD35FF"/>
    <w:rsid w:val="00CD3D71"/>
    <w:rsid w:val="00CD443C"/>
    <w:rsid w:val="00CD49CC"/>
    <w:rsid w:val="00CD65AB"/>
    <w:rsid w:val="00CD6F52"/>
    <w:rsid w:val="00CE13B9"/>
    <w:rsid w:val="00CE4005"/>
    <w:rsid w:val="00CE73C6"/>
    <w:rsid w:val="00CE75B8"/>
    <w:rsid w:val="00CE79DD"/>
    <w:rsid w:val="00CE7EBC"/>
    <w:rsid w:val="00CF2B86"/>
    <w:rsid w:val="00CF34A6"/>
    <w:rsid w:val="00CF3802"/>
    <w:rsid w:val="00CF5311"/>
    <w:rsid w:val="00CF7671"/>
    <w:rsid w:val="00CF7FF0"/>
    <w:rsid w:val="00D005DE"/>
    <w:rsid w:val="00D01C04"/>
    <w:rsid w:val="00D03CFC"/>
    <w:rsid w:val="00D04319"/>
    <w:rsid w:val="00D0460B"/>
    <w:rsid w:val="00D052DE"/>
    <w:rsid w:val="00D05B23"/>
    <w:rsid w:val="00D05BBC"/>
    <w:rsid w:val="00D10368"/>
    <w:rsid w:val="00D12ED4"/>
    <w:rsid w:val="00D13E0E"/>
    <w:rsid w:val="00D20B78"/>
    <w:rsid w:val="00D21B8A"/>
    <w:rsid w:val="00D21C46"/>
    <w:rsid w:val="00D22946"/>
    <w:rsid w:val="00D237AC"/>
    <w:rsid w:val="00D2463D"/>
    <w:rsid w:val="00D27499"/>
    <w:rsid w:val="00D31A18"/>
    <w:rsid w:val="00D35ECA"/>
    <w:rsid w:val="00D365F1"/>
    <w:rsid w:val="00D40DBC"/>
    <w:rsid w:val="00D429C9"/>
    <w:rsid w:val="00D4467B"/>
    <w:rsid w:val="00D465C3"/>
    <w:rsid w:val="00D52A13"/>
    <w:rsid w:val="00D6098D"/>
    <w:rsid w:val="00D615A4"/>
    <w:rsid w:val="00D61A57"/>
    <w:rsid w:val="00D625C9"/>
    <w:rsid w:val="00D645B0"/>
    <w:rsid w:val="00D67A9A"/>
    <w:rsid w:val="00D724A4"/>
    <w:rsid w:val="00D7253E"/>
    <w:rsid w:val="00D72C8B"/>
    <w:rsid w:val="00D73632"/>
    <w:rsid w:val="00D73BEF"/>
    <w:rsid w:val="00D73F27"/>
    <w:rsid w:val="00D74EA1"/>
    <w:rsid w:val="00D76695"/>
    <w:rsid w:val="00D77FB1"/>
    <w:rsid w:val="00D81021"/>
    <w:rsid w:val="00D82835"/>
    <w:rsid w:val="00D86D6D"/>
    <w:rsid w:val="00D870C8"/>
    <w:rsid w:val="00D90C28"/>
    <w:rsid w:val="00D90FDF"/>
    <w:rsid w:val="00D918C6"/>
    <w:rsid w:val="00D91CF2"/>
    <w:rsid w:val="00D92410"/>
    <w:rsid w:val="00DA15B3"/>
    <w:rsid w:val="00DA1633"/>
    <w:rsid w:val="00DA2606"/>
    <w:rsid w:val="00DA3E0C"/>
    <w:rsid w:val="00DA3EBB"/>
    <w:rsid w:val="00DA4C09"/>
    <w:rsid w:val="00DA568B"/>
    <w:rsid w:val="00DA5BF4"/>
    <w:rsid w:val="00DA5D60"/>
    <w:rsid w:val="00DA6550"/>
    <w:rsid w:val="00DA706D"/>
    <w:rsid w:val="00DB0451"/>
    <w:rsid w:val="00DB0651"/>
    <w:rsid w:val="00DB20F9"/>
    <w:rsid w:val="00DB3C88"/>
    <w:rsid w:val="00DB4660"/>
    <w:rsid w:val="00DB4AF3"/>
    <w:rsid w:val="00DB4DD0"/>
    <w:rsid w:val="00DB5293"/>
    <w:rsid w:val="00DB6219"/>
    <w:rsid w:val="00DC16E1"/>
    <w:rsid w:val="00DC1887"/>
    <w:rsid w:val="00DC36F9"/>
    <w:rsid w:val="00DC4F55"/>
    <w:rsid w:val="00DC5CCD"/>
    <w:rsid w:val="00DC6271"/>
    <w:rsid w:val="00DC6D98"/>
    <w:rsid w:val="00DC708F"/>
    <w:rsid w:val="00DC70D2"/>
    <w:rsid w:val="00DD0A50"/>
    <w:rsid w:val="00DD3651"/>
    <w:rsid w:val="00DD3B42"/>
    <w:rsid w:val="00DD4990"/>
    <w:rsid w:val="00DD4B65"/>
    <w:rsid w:val="00DD4EA3"/>
    <w:rsid w:val="00DD5044"/>
    <w:rsid w:val="00DD5EE2"/>
    <w:rsid w:val="00DD760E"/>
    <w:rsid w:val="00DD771E"/>
    <w:rsid w:val="00DE07DF"/>
    <w:rsid w:val="00DE29BE"/>
    <w:rsid w:val="00DE35A0"/>
    <w:rsid w:val="00DE61B4"/>
    <w:rsid w:val="00DE680A"/>
    <w:rsid w:val="00DF36A2"/>
    <w:rsid w:val="00DF431C"/>
    <w:rsid w:val="00DF5A5B"/>
    <w:rsid w:val="00E001BA"/>
    <w:rsid w:val="00E02313"/>
    <w:rsid w:val="00E03AAA"/>
    <w:rsid w:val="00E03AFF"/>
    <w:rsid w:val="00E03B4C"/>
    <w:rsid w:val="00E03D31"/>
    <w:rsid w:val="00E0497A"/>
    <w:rsid w:val="00E049FA"/>
    <w:rsid w:val="00E10F42"/>
    <w:rsid w:val="00E1104F"/>
    <w:rsid w:val="00E1120A"/>
    <w:rsid w:val="00E124A6"/>
    <w:rsid w:val="00E12B5A"/>
    <w:rsid w:val="00E13307"/>
    <w:rsid w:val="00E13B13"/>
    <w:rsid w:val="00E17B35"/>
    <w:rsid w:val="00E17DAE"/>
    <w:rsid w:val="00E2347C"/>
    <w:rsid w:val="00E24946"/>
    <w:rsid w:val="00E25258"/>
    <w:rsid w:val="00E334D4"/>
    <w:rsid w:val="00E35739"/>
    <w:rsid w:val="00E36752"/>
    <w:rsid w:val="00E37CC7"/>
    <w:rsid w:val="00E40642"/>
    <w:rsid w:val="00E409E5"/>
    <w:rsid w:val="00E40A0D"/>
    <w:rsid w:val="00E40D59"/>
    <w:rsid w:val="00E42509"/>
    <w:rsid w:val="00E43F24"/>
    <w:rsid w:val="00E445B1"/>
    <w:rsid w:val="00E4693B"/>
    <w:rsid w:val="00E4760F"/>
    <w:rsid w:val="00E47A4F"/>
    <w:rsid w:val="00E50DD5"/>
    <w:rsid w:val="00E529A8"/>
    <w:rsid w:val="00E53722"/>
    <w:rsid w:val="00E543A0"/>
    <w:rsid w:val="00E562E5"/>
    <w:rsid w:val="00E56DD4"/>
    <w:rsid w:val="00E60066"/>
    <w:rsid w:val="00E60768"/>
    <w:rsid w:val="00E6261F"/>
    <w:rsid w:val="00E672AD"/>
    <w:rsid w:val="00E67BD0"/>
    <w:rsid w:val="00E67C84"/>
    <w:rsid w:val="00E71AD4"/>
    <w:rsid w:val="00E71F1B"/>
    <w:rsid w:val="00E729F4"/>
    <w:rsid w:val="00E73574"/>
    <w:rsid w:val="00E73FB7"/>
    <w:rsid w:val="00E74D1F"/>
    <w:rsid w:val="00E759AD"/>
    <w:rsid w:val="00E767C7"/>
    <w:rsid w:val="00E81EC4"/>
    <w:rsid w:val="00E8211E"/>
    <w:rsid w:val="00E82E93"/>
    <w:rsid w:val="00E852B8"/>
    <w:rsid w:val="00E85668"/>
    <w:rsid w:val="00E910C2"/>
    <w:rsid w:val="00E92319"/>
    <w:rsid w:val="00E95107"/>
    <w:rsid w:val="00E95D89"/>
    <w:rsid w:val="00E9684F"/>
    <w:rsid w:val="00E9740E"/>
    <w:rsid w:val="00E9798B"/>
    <w:rsid w:val="00EA08B8"/>
    <w:rsid w:val="00EA15B8"/>
    <w:rsid w:val="00EA47C2"/>
    <w:rsid w:val="00EA6FD0"/>
    <w:rsid w:val="00EB460C"/>
    <w:rsid w:val="00EB70EA"/>
    <w:rsid w:val="00EC0663"/>
    <w:rsid w:val="00EC0E17"/>
    <w:rsid w:val="00EC1131"/>
    <w:rsid w:val="00EC138D"/>
    <w:rsid w:val="00EC1E29"/>
    <w:rsid w:val="00EC28CA"/>
    <w:rsid w:val="00EC3379"/>
    <w:rsid w:val="00EC38DE"/>
    <w:rsid w:val="00EC3E0A"/>
    <w:rsid w:val="00ED5958"/>
    <w:rsid w:val="00ED652D"/>
    <w:rsid w:val="00ED79FC"/>
    <w:rsid w:val="00EE0261"/>
    <w:rsid w:val="00EE53D1"/>
    <w:rsid w:val="00EE7237"/>
    <w:rsid w:val="00EE7A04"/>
    <w:rsid w:val="00EE7D87"/>
    <w:rsid w:val="00EF151F"/>
    <w:rsid w:val="00EF16F9"/>
    <w:rsid w:val="00F00446"/>
    <w:rsid w:val="00F008A4"/>
    <w:rsid w:val="00F01973"/>
    <w:rsid w:val="00F06789"/>
    <w:rsid w:val="00F06DE0"/>
    <w:rsid w:val="00F10B5C"/>
    <w:rsid w:val="00F10EB0"/>
    <w:rsid w:val="00F111F8"/>
    <w:rsid w:val="00F117DB"/>
    <w:rsid w:val="00F123B7"/>
    <w:rsid w:val="00F12BCE"/>
    <w:rsid w:val="00F17476"/>
    <w:rsid w:val="00F177A7"/>
    <w:rsid w:val="00F21075"/>
    <w:rsid w:val="00F2132D"/>
    <w:rsid w:val="00F2174B"/>
    <w:rsid w:val="00F21D15"/>
    <w:rsid w:val="00F22519"/>
    <w:rsid w:val="00F2303E"/>
    <w:rsid w:val="00F23411"/>
    <w:rsid w:val="00F25707"/>
    <w:rsid w:val="00F25FB4"/>
    <w:rsid w:val="00F26DCB"/>
    <w:rsid w:val="00F27F37"/>
    <w:rsid w:val="00F3217B"/>
    <w:rsid w:val="00F35975"/>
    <w:rsid w:val="00F36F76"/>
    <w:rsid w:val="00F422C1"/>
    <w:rsid w:val="00F431B6"/>
    <w:rsid w:val="00F4620A"/>
    <w:rsid w:val="00F46708"/>
    <w:rsid w:val="00F475EA"/>
    <w:rsid w:val="00F53060"/>
    <w:rsid w:val="00F53591"/>
    <w:rsid w:val="00F53710"/>
    <w:rsid w:val="00F56F6C"/>
    <w:rsid w:val="00F57A6E"/>
    <w:rsid w:val="00F6135E"/>
    <w:rsid w:val="00F6178F"/>
    <w:rsid w:val="00F728C0"/>
    <w:rsid w:val="00F747B5"/>
    <w:rsid w:val="00F7485C"/>
    <w:rsid w:val="00F77086"/>
    <w:rsid w:val="00F80CFC"/>
    <w:rsid w:val="00F814D1"/>
    <w:rsid w:val="00F81A92"/>
    <w:rsid w:val="00F81BD0"/>
    <w:rsid w:val="00F82F10"/>
    <w:rsid w:val="00F84716"/>
    <w:rsid w:val="00F863A2"/>
    <w:rsid w:val="00F91378"/>
    <w:rsid w:val="00F91CB5"/>
    <w:rsid w:val="00F91F36"/>
    <w:rsid w:val="00F92559"/>
    <w:rsid w:val="00F927C7"/>
    <w:rsid w:val="00F94425"/>
    <w:rsid w:val="00F945F9"/>
    <w:rsid w:val="00F94FEC"/>
    <w:rsid w:val="00FA0E2C"/>
    <w:rsid w:val="00FA2A51"/>
    <w:rsid w:val="00FA61B0"/>
    <w:rsid w:val="00FA71AA"/>
    <w:rsid w:val="00FA7672"/>
    <w:rsid w:val="00FB1B5E"/>
    <w:rsid w:val="00FB2234"/>
    <w:rsid w:val="00FB342E"/>
    <w:rsid w:val="00FB45D1"/>
    <w:rsid w:val="00FB45F8"/>
    <w:rsid w:val="00FB7B4B"/>
    <w:rsid w:val="00FC2B75"/>
    <w:rsid w:val="00FC4009"/>
    <w:rsid w:val="00FC551F"/>
    <w:rsid w:val="00FC5A45"/>
    <w:rsid w:val="00FC61B7"/>
    <w:rsid w:val="00FC6794"/>
    <w:rsid w:val="00FC6F79"/>
    <w:rsid w:val="00FC7906"/>
    <w:rsid w:val="00FD034E"/>
    <w:rsid w:val="00FD2D3B"/>
    <w:rsid w:val="00FD32F5"/>
    <w:rsid w:val="00FD397D"/>
    <w:rsid w:val="00FD3C35"/>
    <w:rsid w:val="00FD4DE9"/>
    <w:rsid w:val="00FE12C5"/>
    <w:rsid w:val="00FE356C"/>
    <w:rsid w:val="00FE3D1E"/>
    <w:rsid w:val="00FE3EF4"/>
    <w:rsid w:val="00FE72CA"/>
    <w:rsid w:val="00FF5E3B"/>
    <w:rsid w:val="00FF6C7A"/>
    <w:rsid w:val="00FF6CCF"/>
    <w:rsid w:val="00FF784C"/>
    <w:rsid w:val="00FF7B54"/>
    <w:rsid w:val="01AA635B"/>
    <w:rsid w:val="02664AE9"/>
    <w:rsid w:val="02D46C51"/>
    <w:rsid w:val="02D90C51"/>
    <w:rsid w:val="02FF5D53"/>
    <w:rsid w:val="037A7A28"/>
    <w:rsid w:val="038135F9"/>
    <w:rsid w:val="03A549D0"/>
    <w:rsid w:val="04913B67"/>
    <w:rsid w:val="04B1051E"/>
    <w:rsid w:val="04F57708"/>
    <w:rsid w:val="052E4392"/>
    <w:rsid w:val="065672E1"/>
    <w:rsid w:val="06BC55BC"/>
    <w:rsid w:val="0834033F"/>
    <w:rsid w:val="08791CCE"/>
    <w:rsid w:val="08A2122B"/>
    <w:rsid w:val="093B46F0"/>
    <w:rsid w:val="099951A4"/>
    <w:rsid w:val="09B226AF"/>
    <w:rsid w:val="09FC2367"/>
    <w:rsid w:val="0A8D11B1"/>
    <w:rsid w:val="0AF006DC"/>
    <w:rsid w:val="0B2E25A7"/>
    <w:rsid w:val="0B4C01A5"/>
    <w:rsid w:val="0B853165"/>
    <w:rsid w:val="0C4B1BF8"/>
    <w:rsid w:val="0CD44AA2"/>
    <w:rsid w:val="0E2C3E16"/>
    <w:rsid w:val="0E647CF1"/>
    <w:rsid w:val="10553DA3"/>
    <w:rsid w:val="105B0B5E"/>
    <w:rsid w:val="10912CD1"/>
    <w:rsid w:val="109B77FB"/>
    <w:rsid w:val="1181566E"/>
    <w:rsid w:val="13FC3AE6"/>
    <w:rsid w:val="147309AD"/>
    <w:rsid w:val="158F6764"/>
    <w:rsid w:val="15E725AE"/>
    <w:rsid w:val="16A25904"/>
    <w:rsid w:val="17523431"/>
    <w:rsid w:val="17DA7465"/>
    <w:rsid w:val="18400764"/>
    <w:rsid w:val="185630FE"/>
    <w:rsid w:val="1885228A"/>
    <w:rsid w:val="19B3531C"/>
    <w:rsid w:val="1AAE123C"/>
    <w:rsid w:val="1B542B1D"/>
    <w:rsid w:val="1BA05AC8"/>
    <w:rsid w:val="1C170D16"/>
    <w:rsid w:val="1CB36421"/>
    <w:rsid w:val="1CBD570C"/>
    <w:rsid w:val="1D1E0654"/>
    <w:rsid w:val="1D1F43A9"/>
    <w:rsid w:val="1FB72202"/>
    <w:rsid w:val="20522991"/>
    <w:rsid w:val="21333DA0"/>
    <w:rsid w:val="22654D62"/>
    <w:rsid w:val="22994233"/>
    <w:rsid w:val="22B8737E"/>
    <w:rsid w:val="23307D7D"/>
    <w:rsid w:val="23F90B7D"/>
    <w:rsid w:val="241227AF"/>
    <w:rsid w:val="24AA05EA"/>
    <w:rsid w:val="2562454C"/>
    <w:rsid w:val="259B63FC"/>
    <w:rsid w:val="25B677ED"/>
    <w:rsid w:val="26E54D23"/>
    <w:rsid w:val="27052612"/>
    <w:rsid w:val="2725093F"/>
    <w:rsid w:val="276C19BD"/>
    <w:rsid w:val="27BC2F02"/>
    <w:rsid w:val="29593885"/>
    <w:rsid w:val="295B4FD8"/>
    <w:rsid w:val="29CC7231"/>
    <w:rsid w:val="2B431E40"/>
    <w:rsid w:val="2C046BD2"/>
    <w:rsid w:val="2D3C1E23"/>
    <w:rsid w:val="2DF17E1E"/>
    <w:rsid w:val="2E9E5985"/>
    <w:rsid w:val="309D1070"/>
    <w:rsid w:val="32087705"/>
    <w:rsid w:val="33254727"/>
    <w:rsid w:val="336C4B46"/>
    <w:rsid w:val="337F5BAA"/>
    <w:rsid w:val="33A94E22"/>
    <w:rsid w:val="33DD7659"/>
    <w:rsid w:val="33F7787E"/>
    <w:rsid w:val="344012AB"/>
    <w:rsid w:val="34AA0073"/>
    <w:rsid w:val="34D643AC"/>
    <w:rsid w:val="35683FBB"/>
    <w:rsid w:val="35C67E33"/>
    <w:rsid w:val="36186151"/>
    <w:rsid w:val="36286371"/>
    <w:rsid w:val="36B53DD0"/>
    <w:rsid w:val="384814B6"/>
    <w:rsid w:val="39BC1C49"/>
    <w:rsid w:val="39CA5B39"/>
    <w:rsid w:val="39ED1AFA"/>
    <w:rsid w:val="3A8A12D8"/>
    <w:rsid w:val="3AE66D5D"/>
    <w:rsid w:val="3BD961DF"/>
    <w:rsid w:val="3CFE5A6A"/>
    <w:rsid w:val="3E2D6C71"/>
    <w:rsid w:val="40920CEF"/>
    <w:rsid w:val="409F3F09"/>
    <w:rsid w:val="41873C25"/>
    <w:rsid w:val="425F3BD0"/>
    <w:rsid w:val="42CD77B5"/>
    <w:rsid w:val="43BE55A1"/>
    <w:rsid w:val="43BF03B3"/>
    <w:rsid w:val="43D85700"/>
    <w:rsid w:val="44114AB5"/>
    <w:rsid w:val="44B90CD6"/>
    <w:rsid w:val="44D31C9D"/>
    <w:rsid w:val="45C458FA"/>
    <w:rsid w:val="46BF768A"/>
    <w:rsid w:val="470E6F0B"/>
    <w:rsid w:val="47D45630"/>
    <w:rsid w:val="484A00F0"/>
    <w:rsid w:val="489C5555"/>
    <w:rsid w:val="49F3739B"/>
    <w:rsid w:val="4A06323A"/>
    <w:rsid w:val="4A550968"/>
    <w:rsid w:val="4C6C6A83"/>
    <w:rsid w:val="4CE237C1"/>
    <w:rsid w:val="4D9C573D"/>
    <w:rsid w:val="4DB45499"/>
    <w:rsid w:val="4E1874E4"/>
    <w:rsid w:val="4F3B46CA"/>
    <w:rsid w:val="501A6317"/>
    <w:rsid w:val="50244B3B"/>
    <w:rsid w:val="50682B4C"/>
    <w:rsid w:val="50A0659E"/>
    <w:rsid w:val="50B37FE0"/>
    <w:rsid w:val="50CC5CA0"/>
    <w:rsid w:val="51646AF0"/>
    <w:rsid w:val="53016505"/>
    <w:rsid w:val="533908A1"/>
    <w:rsid w:val="53701507"/>
    <w:rsid w:val="53896B83"/>
    <w:rsid w:val="53F466FF"/>
    <w:rsid w:val="54B0253F"/>
    <w:rsid w:val="55241D77"/>
    <w:rsid w:val="55747DA7"/>
    <w:rsid w:val="558E301D"/>
    <w:rsid w:val="564B3DFB"/>
    <w:rsid w:val="564E754B"/>
    <w:rsid w:val="56EB67A9"/>
    <w:rsid w:val="57095536"/>
    <w:rsid w:val="573B02C9"/>
    <w:rsid w:val="57420F04"/>
    <w:rsid w:val="57EA39AD"/>
    <w:rsid w:val="57F61469"/>
    <w:rsid w:val="58F10180"/>
    <w:rsid w:val="5A645F46"/>
    <w:rsid w:val="5B1038C0"/>
    <w:rsid w:val="5B2D1B6C"/>
    <w:rsid w:val="5B9B69ED"/>
    <w:rsid w:val="5C363A90"/>
    <w:rsid w:val="5C9C71FC"/>
    <w:rsid w:val="5D0D242A"/>
    <w:rsid w:val="5D585F7C"/>
    <w:rsid w:val="5D9F31C6"/>
    <w:rsid w:val="5DDB7D1F"/>
    <w:rsid w:val="5E2F6DF2"/>
    <w:rsid w:val="5F2232A7"/>
    <w:rsid w:val="60CA570E"/>
    <w:rsid w:val="62181C6C"/>
    <w:rsid w:val="62237E66"/>
    <w:rsid w:val="63057999"/>
    <w:rsid w:val="6345240D"/>
    <w:rsid w:val="642234CB"/>
    <w:rsid w:val="64604D6E"/>
    <w:rsid w:val="65016E18"/>
    <w:rsid w:val="65516AC8"/>
    <w:rsid w:val="6631539D"/>
    <w:rsid w:val="67204A5E"/>
    <w:rsid w:val="67B52503"/>
    <w:rsid w:val="68220D9D"/>
    <w:rsid w:val="68EC3A45"/>
    <w:rsid w:val="695D6138"/>
    <w:rsid w:val="69B24AEB"/>
    <w:rsid w:val="6A5A52F5"/>
    <w:rsid w:val="6A837C0B"/>
    <w:rsid w:val="6BBA4632"/>
    <w:rsid w:val="6C0D5DCA"/>
    <w:rsid w:val="6CB52EAD"/>
    <w:rsid w:val="6CB905E8"/>
    <w:rsid w:val="6D4860EC"/>
    <w:rsid w:val="6D612F6C"/>
    <w:rsid w:val="6DB01D94"/>
    <w:rsid w:val="6FF6598C"/>
    <w:rsid w:val="700E61C9"/>
    <w:rsid w:val="70254E6B"/>
    <w:rsid w:val="708963E1"/>
    <w:rsid w:val="719D6685"/>
    <w:rsid w:val="71FA1D7F"/>
    <w:rsid w:val="7272299D"/>
    <w:rsid w:val="72D10366"/>
    <w:rsid w:val="73B5413A"/>
    <w:rsid w:val="74677006"/>
    <w:rsid w:val="75FD6E6E"/>
    <w:rsid w:val="764F2FF7"/>
    <w:rsid w:val="76893B45"/>
    <w:rsid w:val="769E1C5C"/>
    <w:rsid w:val="76A75B76"/>
    <w:rsid w:val="77831A4B"/>
    <w:rsid w:val="78B6508D"/>
    <w:rsid w:val="794609E9"/>
    <w:rsid w:val="7A1C696B"/>
    <w:rsid w:val="7A294A47"/>
    <w:rsid w:val="7B8071E0"/>
    <w:rsid w:val="7C195737"/>
    <w:rsid w:val="7C245A73"/>
    <w:rsid w:val="7C8B3E80"/>
    <w:rsid w:val="7D1D0880"/>
    <w:rsid w:val="7D5B4E6F"/>
    <w:rsid w:val="7DDD7906"/>
    <w:rsid w:val="7EC92D41"/>
    <w:rsid w:val="7F0A7D5E"/>
    <w:rsid w:val="7F967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1"/>
    <w:qFormat/>
    <w:uiPriority w:val="0"/>
    <w:pPr>
      <w:keepNext/>
      <w:keepLines/>
      <w:spacing w:before="100" w:after="90" w:line="576" w:lineRule="auto"/>
      <w:jc w:val="center"/>
      <w:outlineLvl w:val="0"/>
    </w:pPr>
    <w:rPr>
      <w:b/>
      <w:bCs/>
      <w:kern w:val="44"/>
      <w:sz w:val="44"/>
      <w:szCs w:val="44"/>
    </w:rPr>
  </w:style>
  <w:style w:type="paragraph" w:styleId="4">
    <w:name w:val="heading 2"/>
    <w:basedOn w:val="1"/>
    <w:next w:val="1"/>
    <w:qFormat/>
    <w:uiPriority w:val="0"/>
    <w:pPr>
      <w:keepLines/>
      <w:widowControl/>
      <w:tabs>
        <w:tab w:val="left" w:pos="567"/>
      </w:tabs>
      <w:spacing w:line="300" w:lineRule="auto"/>
      <w:ind w:left="567" w:hanging="567"/>
      <w:outlineLvl w:val="1"/>
    </w:pPr>
    <w:rPr>
      <w:rFonts w:ascii="宋体" w:hAnsi="宋体"/>
      <w:sz w:val="24"/>
      <w:szCs w:val="20"/>
    </w:rPr>
  </w:style>
  <w:style w:type="paragraph" w:styleId="5">
    <w:name w:val="heading 3"/>
    <w:basedOn w:val="1"/>
    <w:next w:val="1"/>
    <w:link w:val="48"/>
    <w:qFormat/>
    <w:uiPriority w:val="0"/>
    <w:pPr>
      <w:autoSpaceDE w:val="0"/>
      <w:autoSpaceDN w:val="0"/>
      <w:adjustRightInd w:val="0"/>
      <w:spacing w:before="142" w:line="320" w:lineRule="exact"/>
      <w:ind w:left="-4" w:firstLine="2"/>
      <w:jc w:val="center"/>
      <w:outlineLvl w:val="2"/>
    </w:pPr>
    <w:rPr>
      <w:rFonts w:ascii="宋体" w:hAnsi="宋体"/>
      <w:b/>
      <w:color w:val="000000"/>
      <w:kern w:val="0"/>
      <w:szCs w:val="20"/>
      <w:lang w:val="en-GB"/>
    </w:rPr>
  </w:style>
  <w:style w:type="paragraph" w:styleId="6">
    <w:name w:val="heading 4"/>
    <w:basedOn w:val="1"/>
    <w:next w:val="1"/>
    <w:qFormat/>
    <w:uiPriority w:val="0"/>
    <w:pPr>
      <w:ind w:firstLine="680"/>
      <w:outlineLvl w:val="3"/>
    </w:pPr>
    <w:rPr>
      <w:rFonts w:ascii="宋体"/>
      <w:sz w:val="28"/>
      <w:szCs w:val="20"/>
    </w:rPr>
  </w:style>
  <w:style w:type="paragraph" w:styleId="7">
    <w:name w:val="heading 5"/>
    <w:basedOn w:val="1"/>
    <w:next w:val="1"/>
    <w:qFormat/>
    <w:uiPriority w:val="0"/>
    <w:pPr>
      <w:spacing w:before="120"/>
      <w:ind w:firstLine="540"/>
      <w:outlineLvl w:val="4"/>
    </w:pPr>
    <w:rPr>
      <w:rFonts w:ascii="宋体"/>
      <w:b/>
      <w:sz w:val="28"/>
      <w:szCs w:val="20"/>
    </w:rPr>
  </w:style>
  <w:style w:type="paragraph" w:styleId="8">
    <w:name w:val="heading 6"/>
    <w:basedOn w:val="1"/>
    <w:next w:val="1"/>
    <w:qFormat/>
    <w:uiPriority w:val="0"/>
    <w:pPr>
      <w:ind w:firstLine="680"/>
      <w:outlineLvl w:val="5"/>
    </w:pPr>
    <w:rPr>
      <w:sz w:val="28"/>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7"/>
    <w:basedOn w:val="1"/>
    <w:next w:val="1"/>
    <w:qFormat/>
    <w:uiPriority w:val="0"/>
    <w:pPr>
      <w:ind w:left="2520" w:leftChars="1200"/>
    </w:pPr>
  </w:style>
  <w:style w:type="paragraph" w:styleId="10">
    <w:name w:val="Normal Indent"/>
    <w:basedOn w:val="1"/>
    <w:next w:val="1"/>
    <w:link w:val="82"/>
    <w:qFormat/>
    <w:uiPriority w:val="0"/>
    <w:pPr>
      <w:ind w:firstLine="420" w:firstLineChars="200"/>
    </w:pPr>
  </w:style>
  <w:style w:type="paragraph" w:styleId="11">
    <w:name w:val="Document Map"/>
    <w:basedOn w:val="1"/>
    <w:qFormat/>
    <w:uiPriority w:val="0"/>
    <w:pPr>
      <w:shd w:val="clear" w:color="auto" w:fill="000080"/>
    </w:pPr>
  </w:style>
  <w:style w:type="paragraph" w:styleId="12">
    <w:name w:val="annotation text"/>
    <w:basedOn w:val="1"/>
    <w:link w:val="81"/>
    <w:qFormat/>
    <w:uiPriority w:val="0"/>
    <w:pPr>
      <w:jc w:val="left"/>
    </w:pPr>
  </w:style>
  <w:style w:type="paragraph" w:styleId="13">
    <w:name w:val="Body Text"/>
    <w:basedOn w:val="1"/>
    <w:next w:val="14"/>
    <w:link w:val="119"/>
    <w:qFormat/>
    <w:uiPriority w:val="0"/>
    <w:pPr>
      <w:spacing w:after="120"/>
    </w:pPr>
  </w:style>
  <w:style w:type="paragraph" w:customStyle="1" w:styleId="14">
    <w:name w:val="_Style 2"/>
    <w:next w:val="1"/>
    <w:unhideWhenUsed/>
    <w:qFormat/>
    <w:uiPriority w:val="1"/>
    <w:pPr>
      <w:adjustRightInd w:val="0"/>
      <w:snapToGrid w:val="0"/>
      <w:spacing w:beforeLines="0" w:afterLines="0"/>
    </w:pPr>
    <w:rPr>
      <w:rFonts w:hint="default" w:ascii="Tahoma" w:hAnsi="Tahoma" w:eastAsia="宋体" w:cs="Times New Roman"/>
      <w:sz w:val="22"/>
      <w:lang w:val="en-US" w:eastAsia="zh-CN"/>
    </w:rPr>
  </w:style>
  <w:style w:type="paragraph" w:styleId="15">
    <w:name w:val="Body Text Indent"/>
    <w:basedOn w:val="1"/>
    <w:qFormat/>
    <w:uiPriority w:val="0"/>
    <w:pPr>
      <w:spacing w:line="200" w:lineRule="exact"/>
      <w:ind w:firstLine="301"/>
    </w:pPr>
    <w:rPr>
      <w:rFonts w:ascii="宋体" w:hAnsi="Courier New"/>
      <w:spacing w:val="-4"/>
      <w:sz w:val="18"/>
      <w:szCs w:val="20"/>
    </w:r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Plain Text"/>
    <w:basedOn w:val="1"/>
    <w:link w:val="120"/>
    <w:qFormat/>
    <w:uiPriority w:val="0"/>
    <w:rPr>
      <w:rFonts w:hint="eastAsia" w:ascii="宋体" w:hAnsi="Courier New"/>
      <w:kern w:val="0"/>
      <w:sz w:val="20"/>
      <w:szCs w:val="21"/>
    </w:rPr>
  </w:style>
  <w:style w:type="paragraph" w:styleId="19">
    <w:name w:val="toc 8"/>
    <w:basedOn w:val="1"/>
    <w:next w:val="1"/>
    <w:qFormat/>
    <w:uiPriority w:val="0"/>
    <w:pPr>
      <w:ind w:left="2940" w:leftChars="1400"/>
    </w:pPr>
  </w:style>
  <w:style w:type="paragraph" w:styleId="20">
    <w:name w:val="Date"/>
    <w:basedOn w:val="1"/>
    <w:next w:val="1"/>
    <w:link w:val="78"/>
    <w:qFormat/>
    <w:uiPriority w:val="0"/>
    <w:pPr>
      <w:ind w:left="100" w:leftChars="2500"/>
    </w:pPr>
    <w:rPr>
      <w:spacing w:val="30"/>
      <w:sz w:val="28"/>
    </w:rPr>
  </w:style>
  <w:style w:type="paragraph" w:styleId="21">
    <w:name w:val="Body Text Indent 2"/>
    <w:basedOn w:val="1"/>
    <w:qFormat/>
    <w:uiPriority w:val="0"/>
    <w:pPr>
      <w:ind w:left="1995" w:hanging="1575"/>
    </w:pPr>
  </w:style>
  <w:style w:type="paragraph" w:styleId="22">
    <w:name w:val="Balloon Text"/>
    <w:basedOn w:val="1"/>
    <w:qFormat/>
    <w:uiPriority w:val="0"/>
    <w:rPr>
      <w:sz w:val="18"/>
      <w:szCs w:val="18"/>
    </w:rPr>
  </w:style>
  <w:style w:type="paragraph" w:styleId="23">
    <w:name w:val="footer"/>
    <w:basedOn w:val="1"/>
    <w:link w:val="74"/>
    <w:qFormat/>
    <w:uiPriority w:val="99"/>
    <w:pPr>
      <w:tabs>
        <w:tab w:val="center" w:pos="4153"/>
        <w:tab w:val="right" w:pos="8306"/>
      </w:tabs>
      <w:snapToGrid w:val="0"/>
      <w:jc w:val="left"/>
    </w:pPr>
    <w:rPr>
      <w:rFonts w:ascii="宋体" w:hAnsi="Courier New"/>
      <w:sz w:val="18"/>
      <w:szCs w:val="20"/>
    </w:rPr>
  </w:style>
  <w:style w:type="paragraph" w:styleId="24">
    <w:name w:val="toc 1"/>
    <w:basedOn w:val="1"/>
    <w:next w:val="1"/>
    <w:qFormat/>
    <w:uiPriority w:val="39"/>
  </w:style>
  <w:style w:type="paragraph" w:styleId="25">
    <w:name w:val="toc 4"/>
    <w:basedOn w:val="1"/>
    <w:next w:val="1"/>
    <w:qFormat/>
    <w:uiPriority w:val="0"/>
    <w:pPr>
      <w:ind w:left="1260" w:leftChars="600"/>
    </w:pPr>
  </w:style>
  <w:style w:type="paragraph" w:styleId="26">
    <w:name w:val="toc 6"/>
    <w:basedOn w:val="1"/>
    <w:next w:val="1"/>
    <w:qFormat/>
    <w:uiPriority w:val="0"/>
    <w:pPr>
      <w:ind w:left="2100" w:leftChars="1000"/>
    </w:pPr>
  </w:style>
  <w:style w:type="paragraph" w:styleId="27">
    <w:name w:val="Body Text Indent 3"/>
    <w:basedOn w:val="1"/>
    <w:qFormat/>
    <w:uiPriority w:val="0"/>
    <w:pPr>
      <w:spacing w:after="120"/>
      <w:ind w:left="420" w:leftChars="200"/>
    </w:pPr>
    <w:rPr>
      <w:sz w:val="16"/>
      <w:szCs w:val="16"/>
    </w:rPr>
  </w:style>
  <w:style w:type="paragraph" w:styleId="28">
    <w:name w:val="toc 2"/>
    <w:basedOn w:val="1"/>
    <w:next w:val="1"/>
    <w:qFormat/>
    <w:uiPriority w:val="0"/>
    <w:pPr>
      <w:ind w:left="420" w:leftChars="200"/>
    </w:pPr>
  </w:style>
  <w:style w:type="paragraph" w:styleId="29">
    <w:name w:val="toc 9"/>
    <w:basedOn w:val="1"/>
    <w:next w:val="1"/>
    <w:qFormat/>
    <w:uiPriority w:val="0"/>
    <w:pPr>
      <w:ind w:left="3360" w:leftChars="1600"/>
    </w:p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1">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2">
    <w:name w:val="annotation subject"/>
    <w:basedOn w:val="12"/>
    <w:next w:val="12"/>
    <w:qFormat/>
    <w:uiPriority w:val="0"/>
    <w:rPr>
      <w:b/>
      <w:bCs/>
    </w:rPr>
  </w:style>
  <w:style w:type="paragraph" w:styleId="33">
    <w:name w:val="Body Text First Indent"/>
    <w:basedOn w:val="13"/>
    <w:unhideWhenUsed/>
    <w:qFormat/>
    <w:uiPriority w:val="99"/>
    <w:pPr>
      <w:ind w:firstLine="420" w:firstLineChars="100"/>
    </w:pPr>
  </w:style>
  <w:style w:type="paragraph" w:styleId="34">
    <w:name w:val="Body Text First Indent 2"/>
    <w:basedOn w:val="15"/>
    <w:unhideWhenUsed/>
    <w:qFormat/>
    <w:uiPriority w:val="99"/>
    <w:pPr>
      <w:ind w:firstLine="420" w:firstLineChars="200"/>
    </w:p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rFonts w:ascii="Tahoma" w:hAnsi="Tahoma"/>
      <w:b/>
      <w:bCs/>
      <w:sz w:val="24"/>
      <w:szCs w:val="20"/>
    </w:rPr>
  </w:style>
  <w:style w:type="character" w:styleId="39">
    <w:name w:val="page number"/>
    <w:basedOn w:val="37"/>
    <w:qFormat/>
    <w:uiPriority w:val="0"/>
  </w:style>
  <w:style w:type="character" w:styleId="40">
    <w:name w:val="FollowedHyperlink"/>
    <w:qFormat/>
    <w:uiPriority w:val="0"/>
    <w:rPr>
      <w:rFonts w:ascii="Tahoma" w:hAnsi="Tahoma"/>
      <w:color w:val="800080"/>
      <w:sz w:val="24"/>
      <w:szCs w:val="20"/>
      <w:u w:val="single"/>
    </w:rPr>
  </w:style>
  <w:style w:type="character" w:styleId="41">
    <w:name w:val="Emphasis"/>
    <w:qFormat/>
    <w:uiPriority w:val="20"/>
    <w:rPr>
      <w:rFonts w:ascii="Tahoma" w:hAnsi="Tahoma"/>
      <w:i/>
      <w:iCs/>
      <w:sz w:val="24"/>
      <w:szCs w:val="20"/>
    </w:rPr>
  </w:style>
  <w:style w:type="character" w:styleId="42">
    <w:name w:val="HTML Definition"/>
    <w:basedOn w:val="37"/>
    <w:semiHidden/>
    <w:unhideWhenUsed/>
    <w:qFormat/>
    <w:uiPriority w:val="0"/>
    <w:rPr>
      <w:i/>
    </w:rPr>
  </w:style>
  <w:style w:type="character" w:styleId="43">
    <w:name w:val="Hyperlink"/>
    <w:qFormat/>
    <w:uiPriority w:val="99"/>
    <w:rPr>
      <w:rFonts w:ascii="Tahoma" w:hAnsi="Tahoma"/>
      <w:color w:val="0000FF"/>
      <w:sz w:val="24"/>
      <w:szCs w:val="20"/>
      <w:u w:val="single"/>
    </w:rPr>
  </w:style>
  <w:style w:type="character" w:styleId="44">
    <w:name w:val="HTML Code"/>
    <w:basedOn w:val="37"/>
    <w:semiHidden/>
    <w:unhideWhenUsed/>
    <w:qFormat/>
    <w:uiPriority w:val="0"/>
    <w:rPr>
      <w:rFonts w:hint="default" w:ascii="Consolas" w:hAnsi="Consolas" w:eastAsia="Consolas" w:cs="Consolas"/>
      <w:sz w:val="21"/>
      <w:szCs w:val="21"/>
    </w:rPr>
  </w:style>
  <w:style w:type="character" w:styleId="45">
    <w:name w:val="annotation reference"/>
    <w:qFormat/>
    <w:uiPriority w:val="99"/>
    <w:rPr>
      <w:rFonts w:ascii="Tahoma" w:hAnsi="Tahoma"/>
      <w:sz w:val="21"/>
      <w:szCs w:val="21"/>
    </w:rPr>
  </w:style>
  <w:style w:type="character" w:styleId="46">
    <w:name w:val="HTML Keyboard"/>
    <w:basedOn w:val="37"/>
    <w:semiHidden/>
    <w:unhideWhenUsed/>
    <w:qFormat/>
    <w:uiPriority w:val="0"/>
    <w:rPr>
      <w:rFonts w:hint="default" w:ascii="Consolas" w:hAnsi="Consolas" w:eastAsia="Consolas" w:cs="Consolas"/>
      <w:sz w:val="21"/>
      <w:szCs w:val="21"/>
    </w:rPr>
  </w:style>
  <w:style w:type="character" w:styleId="47">
    <w:name w:val="HTML Sample"/>
    <w:basedOn w:val="37"/>
    <w:semiHidden/>
    <w:unhideWhenUsed/>
    <w:qFormat/>
    <w:uiPriority w:val="0"/>
    <w:rPr>
      <w:rFonts w:ascii="Consolas" w:hAnsi="Consolas" w:eastAsia="Consolas" w:cs="Consolas"/>
      <w:sz w:val="21"/>
      <w:szCs w:val="21"/>
    </w:rPr>
  </w:style>
  <w:style w:type="character" w:customStyle="1" w:styleId="48">
    <w:name w:val="标题 3 Char"/>
    <w:link w:val="5"/>
    <w:qFormat/>
    <w:uiPriority w:val="0"/>
    <w:rPr>
      <w:rFonts w:ascii="宋体" w:hAnsi="宋体"/>
      <w:b/>
      <w:color w:val="000000"/>
      <w:sz w:val="21"/>
      <w:lang w:val="en-GB"/>
    </w:rPr>
  </w:style>
  <w:style w:type="character" w:customStyle="1" w:styleId="49">
    <w:name w:val="纯文本 Char2"/>
    <w:qFormat/>
    <w:uiPriority w:val="0"/>
    <w:rPr>
      <w:rFonts w:ascii="宋体" w:hAnsi="宋体" w:eastAsia="宋体" w:cs="宋体"/>
      <w:kern w:val="2"/>
      <w:sz w:val="21"/>
      <w:lang w:val="en-US" w:eastAsia="zh-CN" w:bidi="ar-SA"/>
    </w:rPr>
  </w:style>
  <w:style w:type="character" w:customStyle="1" w:styleId="50">
    <w:name w:val="纯文本 Char"/>
    <w:link w:val="18"/>
    <w:qFormat/>
    <w:uiPriority w:val="0"/>
    <w:rPr>
      <w:rFonts w:ascii="宋体" w:hAnsi="Courier New" w:eastAsia="宋体"/>
      <w:kern w:val="2"/>
      <w:sz w:val="21"/>
      <w:szCs w:val="20"/>
      <w:lang w:val="en-US" w:eastAsia="zh-CN" w:bidi="ar-SA"/>
    </w:rPr>
  </w:style>
  <w:style w:type="character" w:customStyle="1" w:styleId="51">
    <w:name w:val="标题 1 Char"/>
    <w:link w:val="3"/>
    <w:qFormat/>
    <w:uiPriority w:val="0"/>
    <w:rPr>
      <w:rFonts w:ascii="Times New Roman" w:hAnsi="Times New Roman" w:eastAsia="宋体"/>
      <w:b/>
      <w:bCs/>
      <w:kern w:val="44"/>
      <w:sz w:val="44"/>
      <w:szCs w:val="44"/>
    </w:rPr>
  </w:style>
  <w:style w:type="character" w:customStyle="1" w:styleId="52">
    <w:name w:val="普通文字 Char Char2"/>
    <w:qFormat/>
    <w:uiPriority w:val="0"/>
    <w:rPr>
      <w:rFonts w:ascii="宋体" w:hAnsi="Courier New" w:eastAsia="宋体"/>
      <w:kern w:val="2"/>
      <w:sz w:val="21"/>
      <w:szCs w:val="20"/>
      <w:lang w:val="en-US" w:eastAsia="zh-CN" w:bidi="ar-SA"/>
    </w:rPr>
  </w:style>
  <w:style w:type="character" w:customStyle="1" w:styleId="53">
    <w:name w:val="graytext1"/>
    <w:qFormat/>
    <w:uiPriority w:val="0"/>
    <w:rPr>
      <w:rFonts w:ascii="Tahoma" w:hAnsi="Tahoma"/>
      <w:color w:val="666666"/>
      <w:sz w:val="24"/>
      <w:szCs w:val="20"/>
    </w:rPr>
  </w:style>
  <w:style w:type="character" w:customStyle="1" w:styleId="54">
    <w:name w:val="small"/>
    <w:basedOn w:val="37"/>
    <w:qFormat/>
    <w:uiPriority w:val="0"/>
  </w:style>
  <w:style w:type="character" w:customStyle="1" w:styleId="55">
    <w:name w:val="white"/>
    <w:basedOn w:val="37"/>
    <w:qFormat/>
    <w:uiPriority w:val="0"/>
  </w:style>
  <w:style w:type="character" w:customStyle="1" w:styleId="56">
    <w:name w:val="style11"/>
    <w:qFormat/>
    <w:uiPriority w:val="0"/>
    <w:rPr>
      <w:rFonts w:hint="default" w:ascii="Arial" w:hAnsi="Arial" w:cs="Arial"/>
      <w:sz w:val="24"/>
      <w:szCs w:val="20"/>
    </w:rPr>
  </w:style>
  <w:style w:type="character" w:customStyle="1" w:styleId="57">
    <w:name w:val="f141"/>
    <w:qFormat/>
    <w:uiPriority w:val="0"/>
    <w:rPr>
      <w:rFonts w:ascii="Tahoma" w:hAnsi="Tahoma"/>
      <w:sz w:val="21"/>
      <w:szCs w:val="21"/>
    </w:rPr>
  </w:style>
  <w:style w:type="character" w:customStyle="1" w:styleId="58">
    <w:name w:val="样式3 Char"/>
    <w:link w:val="59"/>
    <w:qFormat/>
    <w:uiPriority w:val="0"/>
    <w:rPr>
      <w:rFonts w:ascii="黑体" w:hAnsi="黑体" w:eastAsia="宋体"/>
      <w:bCs/>
      <w:color w:val="000000"/>
      <w:lang w:val="en-US" w:eastAsia="zh-CN" w:bidi="ar-SA"/>
    </w:rPr>
  </w:style>
  <w:style w:type="paragraph" w:customStyle="1" w:styleId="59">
    <w:name w:val="样式3"/>
    <w:basedOn w:val="1"/>
    <w:link w:val="58"/>
    <w:qFormat/>
    <w:uiPriority w:val="0"/>
    <w:pPr>
      <w:widowControl/>
      <w:spacing w:line="324" w:lineRule="auto"/>
      <w:jc w:val="center"/>
    </w:pPr>
    <w:rPr>
      <w:rFonts w:ascii="黑体" w:hAnsi="黑体"/>
      <w:bCs/>
      <w:color w:val="000000"/>
      <w:kern w:val="0"/>
      <w:sz w:val="20"/>
      <w:szCs w:val="20"/>
    </w:rPr>
  </w:style>
  <w:style w:type="paragraph" w:customStyle="1" w:styleId="60">
    <w:name w:val="Char"/>
    <w:basedOn w:val="1"/>
    <w:qFormat/>
    <w:uiPriority w:val="0"/>
    <w:pPr>
      <w:tabs>
        <w:tab w:val="left" w:pos="360"/>
      </w:tabs>
      <w:ind w:left="252" w:hanging="252" w:hangingChars="140"/>
    </w:pPr>
    <w:rPr>
      <w:rFonts w:ascii="宋体"/>
      <w:sz w:val="18"/>
      <w:szCs w:val="18"/>
    </w:rPr>
  </w:style>
  <w:style w:type="paragraph" w:customStyle="1" w:styleId="61">
    <w:name w:val="默认段落字体 Para Char Char Char Char Char Char Char Char Char Char"/>
    <w:basedOn w:val="1"/>
    <w:qFormat/>
    <w:uiPriority w:val="0"/>
  </w:style>
  <w:style w:type="paragraph" w:customStyle="1" w:styleId="62">
    <w:name w:val="缺省文本"/>
    <w:basedOn w:val="1"/>
    <w:qFormat/>
    <w:uiPriority w:val="0"/>
    <w:pPr>
      <w:autoSpaceDE w:val="0"/>
      <w:autoSpaceDN w:val="0"/>
      <w:adjustRightInd w:val="0"/>
      <w:spacing w:line="360" w:lineRule="auto"/>
      <w:jc w:val="left"/>
    </w:pPr>
    <w:rPr>
      <w:kern w:val="0"/>
      <w:sz w:val="24"/>
      <w:szCs w:val="20"/>
    </w:rPr>
  </w:style>
  <w:style w:type="paragraph" w:customStyle="1" w:styleId="63">
    <w:name w:val="1"/>
    <w:basedOn w:val="1"/>
    <w:next w:val="18"/>
    <w:qFormat/>
    <w:uiPriority w:val="0"/>
    <w:rPr>
      <w:rFonts w:ascii="宋体" w:hAnsi="Courier New"/>
      <w:szCs w:val="20"/>
    </w:rPr>
  </w:style>
  <w:style w:type="paragraph" w:customStyle="1" w:styleId="64">
    <w:name w:val="p0"/>
    <w:basedOn w:val="1"/>
    <w:qFormat/>
    <w:uiPriority w:val="0"/>
    <w:pPr>
      <w:widowControl/>
      <w:spacing w:before="156" w:after="156" w:line="360" w:lineRule="auto"/>
      <w:ind w:firstLine="420"/>
    </w:pPr>
    <w:rPr>
      <w:rFonts w:ascii="Calibri" w:hAnsi="Calibri" w:cs="宋体"/>
      <w:kern w:val="0"/>
      <w:sz w:val="32"/>
      <w:szCs w:val="32"/>
    </w:rPr>
  </w:style>
  <w:style w:type="paragraph" w:customStyle="1" w:styleId="65">
    <w:name w:val="样式1"/>
    <w:basedOn w:val="1"/>
    <w:qFormat/>
    <w:uiPriority w:val="0"/>
    <w:pPr>
      <w:adjustRightInd w:val="0"/>
      <w:spacing w:line="420" w:lineRule="auto"/>
      <w:jc w:val="center"/>
    </w:pPr>
    <w:rPr>
      <w:rFonts w:ascii="宋体"/>
      <w:kern w:val="0"/>
      <w:sz w:val="24"/>
      <w:szCs w:val="20"/>
    </w:rPr>
  </w:style>
  <w:style w:type="paragraph" w:customStyle="1" w:styleId="66">
    <w:name w:val="列出段落1"/>
    <w:basedOn w:val="1"/>
    <w:qFormat/>
    <w:uiPriority w:val="34"/>
    <w:pPr>
      <w:ind w:firstLine="420" w:firstLineChars="200"/>
    </w:pPr>
    <w:rPr>
      <w:rFonts w:ascii="Calibri" w:hAnsi="Calibri"/>
      <w:szCs w:val="22"/>
    </w:rPr>
  </w:style>
  <w:style w:type="paragraph" w:customStyle="1" w:styleId="67">
    <w:name w:val="次小点说明 Char"/>
    <w:basedOn w:val="10"/>
    <w:qFormat/>
    <w:uiPriority w:val="0"/>
    <w:pPr>
      <w:ind w:firstLine="0" w:firstLineChars="0"/>
    </w:pPr>
    <w:rPr>
      <w:sz w:val="24"/>
    </w:rPr>
  </w:style>
  <w:style w:type="paragraph" w:customStyle="1" w:styleId="68">
    <w:name w:val="_Style 16"/>
    <w:basedOn w:val="11"/>
    <w:qFormat/>
    <w:uiPriority w:val="0"/>
    <w:rPr>
      <w:rFonts w:ascii="Tahoma" w:hAnsi="Tahoma"/>
      <w:sz w:val="24"/>
    </w:rPr>
  </w:style>
  <w:style w:type="paragraph" w:customStyle="1" w:styleId="69">
    <w:name w:val="Char Char Char Char"/>
    <w:basedOn w:val="1"/>
    <w:qFormat/>
    <w:uiPriority w:val="0"/>
    <w:rPr>
      <w:rFonts w:ascii="Tahoma" w:hAnsi="Tahoma"/>
      <w:sz w:val="24"/>
      <w:szCs w:val="20"/>
    </w:rPr>
  </w:style>
  <w:style w:type="paragraph" w:customStyle="1" w:styleId="70">
    <w:name w:val="p18"/>
    <w:basedOn w:val="1"/>
    <w:qFormat/>
    <w:uiPriority w:val="0"/>
    <w:pPr>
      <w:widowControl/>
      <w:spacing w:before="156" w:after="156" w:line="360" w:lineRule="auto"/>
      <w:ind w:firstLine="420"/>
    </w:pPr>
    <w:rPr>
      <w:rFonts w:ascii="Calibri" w:hAnsi="Calibri" w:cs="宋体"/>
      <w:kern w:val="0"/>
      <w:sz w:val="32"/>
      <w:szCs w:val="32"/>
    </w:rPr>
  </w:style>
  <w:style w:type="paragraph" w:customStyle="1" w:styleId="71">
    <w:name w:val="列出段落2"/>
    <w:basedOn w:val="1"/>
    <w:qFormat/>
    <w:uiPriority w:val="34"/>
    <w:pPr>
      <w:ind w:firstLine="420" w:firstLineChars="200"/>
    </w:pPr>
  </w:style>
  <w:style w:type="paragraph" w:customStyle="1" w:styleId="72">
    <w:name w:val="样式2"/>
    <w:basedOn w:val="1"/>
    <w:qFormat/>
    <w:uiPriority w:val="0"/>
    <w:pPr>
      <w:adjustRightInd w:val="0"/>
      <w:spacing w:line="410" w:lineRule="atLeast"/>
      <w:textAlignment w:val="baseline"/>
    </w:pPr>
    <w:rPr>
      <w:kern w:val="0"/>
      <w:sz w:val="24"/>
      <w:szCs w:val="20"/>
    </w:rPr>
  </w:style>
  <w:style w:type="character" w:customStyle="1" w:styleId="73">
    <w:name w:val="font51"/>
    <w:basedOn w:val="37"/>
    <w:qFormat/>
    <w:uiPriority w:val="0"/>
    <w:rPr>
      <w:rFonts w:hint="eastAsia" w:ascii="宋体" w:hAnsi="宋体" w:eastAsia="宋体" w:cs="宋体"/>
      <w:color w:val="000000"/>
      <w:sz w:val="20"/>
      <w:u w:val="none"/>
    </w:rPr>
  </w:style>
  <w:style w:type="character" w:customStyle="1" w:styleId="74">
    <w:name w:val="页脚 Char"/>
    <w:basedOn w:val="37"/>
    <w:link w:val="23"/>
    <w:qFormat/>
    <w:uiPriority w:val="99"/>
    <w:rPr>
      <w:rFonts w:ascii="宋体" w:hAnsi="Courier New"/>
      <w:kern w:val="2"/>
      <w:sz w:val="18"/>
    </w:rPr>
  </w:style>
  <w:style w:type="paragraph" w:customStyle="1" w:styleId="75">
    <w:name w:val="_Style 1"/>
    <w:qFormat/>
    <w:uiPriority w:val="0"/>
    <w:pPr>
      <w:widowControl w:val="0"/>
      <w:ind w:firstLine="200" w:firstLineChars="200"/>
      <w:jc w:val="both"/>
    </w:pPr>
    <w:rPr>
      <w:rFonts w:ascii="Times New Roman" w:hAnsi="Times New Roman" w:eastAsia="仿宋_GB2312" w:cs="Times New Roman"/>
      <w:kern w:val="2"/>
      <w:sz w:val="24"/>
      <w:szCs w:val="24"/>
      <w:lang w:val="en-US" w:eastAsia="zh-CN" w:bidi="ar-SA"/>
    </w:rPr>
  </w:style>
  <w:style w:type="paragraph" w:styleId="76">
    <w:name w:val="List Paragraph"/>
    <w:basedOn w:val="1"/>
    <w:link w:val="114"/>
    <w:unhideWhenUsed/>
    <w:qFormat/>
    <w:uiPriority w:val="34"/>
    <w:pPr>
      <w:ind w:firstLine="420" w:firstLineChars="200"/>
    </w:pPr>
  </w:style>
  <w:style w:type="character" w:customStyle="1" w:styleId="77">
    <w:name w:val="黑简10.5px"/>
    <w:qFormat/>
    <w:uiPriority w:val="99"/>
    <w:rPr>
      <w:rFonts w:ascii="方正黑体简体" w:eastAsia="方正黑体简体" w:cs="方正黑体简体"/>
      <w:sz w:val="21"/>
      <w:szCs w:val="21"/>
    </w:rPr>
  </w:style>
  <w:style w:type="character" w:customStyle="1" w:styleId="78">
    <w:name w:val="日期 Char1"/>
    <w:link w:val="20"/>
    <w:qFormat/>
    <w:uiPriority w:val="0"/>
    <w:rPr>
      <w:spacing w:val="30"/>
      <w:kern w:val="2"/>
      <w:sz w:val="28"/>
      <w:szCs w:val="24"/>
    </w:rPr>
  </w:style>
  <w:style w:type="paragraph" w:customStyle="1" w:styleId="79">
    <w:name w:val="正文缩进1"/>
    <w:basedOn w:val="1"/>
    <w:qFormat/>
    <w:uiPriority w:val="0"/>
    <w:pPr>
      <w:widowControl/>
      <w:spacing w:after="120" w:line="360" w:lineRule="auto"/>
      <w:ind w:left="1134"/>
      <w:jc w:val="left"/>
    </w:pPr>
    <w:rPr>
      <w:rFonts w:eastAsia="PMingLiU"/>
      <w:kern w:val="0"/>
      <w:sz w:val="22"/>
      <w:szCs w:val="20"/>
      <w:lang w:val="en-GB" w:eastAsia="en-US"/>
    </w:rPr>
  </w:style>
  <w:style w:type="character" w:customStyle="1" w:styleId="80">
    <w:name w:val="日期 Char"/>
    <w:qFormat/>
    <w:uiPriority w:val="0"/>
    <w:rPr>
      <w:rFonts w:ascii="Times New Roman" w:hAnsi="Times New Roman"/>
      <w:kern w:val="2"/>
      <w:sz w:val="21"/>
      <w:szCs w:val="24"/>
    </w:rPr>
  </w:style>
  <w:style w:type="character" w:customStyle="1" w:styleId="81">
    <w:name w:val="批注文字 Char"/>
    <w:link w:val="12"/>
    <w:qFormat/>
    <w:uiPriority w:val="0"/>
    <w:rPr>
      <w:kern w:val="2"/>
      <w:sz w:val="21"/>
      <w:szCs w:val="24"/>
    </w:rPr>
  </w:style>
  <w:style w:type="character" w:customStyle="1" w:styleId="82">
    <w:name w:val="正文缩进 Char"/>
    <w:link w:val="10"/>
    <w:qFormat/>
    <w:locked/>
    <w:uiPriority w:val="0"/>
    <w:rPr>
      <w:kern w:val="2"/>
      <w:sz w:val="21"/>
      <w:szCs w:val="24"/>
    </w:rPr>
  </w:style>
  <w:style w:type="paragraph" w:customStyle="1" w:styleId="83">
    <w:name w:val="(符号)三标题1.1"/>
    <w:basedOn w:val="1"/>
    <w:qFormat/>
    <w:uiPriority w:val="0"/>
    <w:pPr>
      <w:numPr>
        <w:ilvl w:val="0"/>
        <w:numId w:val="1"/>
      </w:numPr>
      <w:tabs>
        <w:tab w:val="left" w:pos="562"/>
      </w:tabs>
      <w:spacing w:before="140" w:after="140" w:line="500" w:lineRule="exact"/>
      <w:outlineLvl w:val="2"/>
    </w:pPr>
    <w:rPr>
      <w:rFonts w:ascii="楷体_GB2312" w:hAnsi="宋体" w:eastAsia="楷体_GB2312" w:cs="宋体"/>
      <w:b/>
      <w:bCs/>
      <w:sz w:val="28"/>
      <w:szCs w:val="20"/>
    </w:rPr>
  </w:style>
  <w:style w:type="paragraph" w:customStyle="1" w:styleId="84">
    <w:name w:val="_Style 4"/>
    <w:basedOn w:val="1"/>
    <w:qFormat/>
    <w:uiPriority w:val="34"/>
    <w:pPr>
      <w:ind w:firstLine="420" w:firstLineChars="200"/>
    </w:pPr>
  </w:style>
  <w:style w:type="character" w:customStyle="1" w:styleId="85">
    <w:name w:val="hover7"/>
    <w:basedOn w:val="37"/>
    <w:qFormat/>
    <w:uiPriority w:val="0"/>
    <w:rPr>
      <w:color w:val="3177FD"/>
    </w:rPr>
  </w:style>
  <w:style w:type="character" w:customStyle="1" w:styleId="86">
    <w:name w:val="ant-tree-iconele"/>
    <w:basedOn w:val="37"/>
    <w:qFormat/>
    <w:uiPriority w:val="0"/>
  </w:style>
  <w:style w:type="character" w:customStyle="1" w:styleId="87">
    <w:name w:val="current"/>
    <w:basedOn w:val="37"/>
    <w:qFormat/>
    <w:uiPriority w:val="0"/>
    <w:rPr>
      <w:color w:val="00C1DE"/>
    </w:rPr>
  </w:style>
  <w:style w:type="character" w:customStyle="1" w:styleId="88">
    <w:name w:val="current1"/>
    <w:basedOn w:val="37"/>
    <w:qFormat/>
    <w:uiPriority w:val="0"/>
    <w:rPr>
      <w:color w:val="00C1DE"/>
    </w:rPr>
  </w:style>
  <w:style w:type="character" w:customStyle="1" w:styleId="89">
    <w:name w:val="tag-type"/>
    <w:basedOn w:val="37"/>
    <w:qFormat/>
    <w:uiPriority w:val="0"/>
    <w:rPr>
      <w:color w:val="FFFFFF"/>
      <w:sz w:val="18"/>
      <w:szCs w:val="18"/>
      <w:shd w:val="clear" w:color="auto" w:fill="317FFD"/>
    </w:rPr>
  </w:style>
  <w:style w:type="character" w:customStyle="1" w:styleId="90">
    <w:name w:val="tag-type1"/>
    <w:basedOn w:val="37"/>
    <w:qFormat/>
    <w:uiPriority w:val="0"/>
    <w:rPr>
      <w:color w:val="FFFFFF"/>
      <w:sz w:val="18"/>
      <w:szCs w:val="18"/>
      <w:shd w:val="clear" w:color="auto" w:fill="317FFD"/>
    </w:rPr>
  </w:style>
  <w:style w:type="character" w:customStyle="1" w:styleId="91">
    <w:name w:val="all-fit-info"/>
    <w:basedOn w:val="37"/>
    <w:qFormat/>
    <w:uiPriority w:val="0"/>
    <w:rPr>
      <w:color w:val="939393"/>
    </w:rPr>
  </w:style>
  <w:style w:type="character" w:customStyle="1" w:styleId="92">
    <w:name w:val="all-fit-info1"/>
    <w:basedOn w:val="37"/>
    <w:qFormat/>
    <w:uiPriority w:val="0"/>
    <w:rPr>
      <w:color w:val="939393"/>
    </w:rPr>
  </w:style>
  <w:style w:type="character" w:customStyle="1" w:styleId="93">
    <w:name w:val="all-fit-info2"/>
    <w:basedOn w:val="37"/>
    <w:qFormat/>
    <w:uiPriority w:val="0"/>
    <w:rPr>
      <w:color w:val="939393"/>
    </w:rPr>
  </w:style>
  <w:style w:type="character" w:customStyle="1" w:styleId="94">
    <w:name w:val="ant-tree-icon_loading"/>
    <w:basedOn w:val="37"/>
    <w:qFormat/>
    <w:uiPriority w:val="0"/>
    <w:rPr>
      <w:shd w:val="clear" w:color="auto" w:fill="FFFFFF"/>
    </w:rPr>
  </w:style>
  <w:style w:type="character" w:customStyle="1" w:styleId="95">
    <w:name w:val="ant-select-tree-checkbox"/>
    <w:basedOn w:val="37"/>
    <w:qFormat/>
    <w:uiPriority w:val="0"/>
  </w:style>
  <w:style w:type="character" w:customStyle="1" w:styleId="96">
    <w:name w:val="ant-select-tree-switcher"/>
    <w:basedOn w:val="37"/>
    <w:qFormat/>
    <w:uiPriority w:val="0"/>
  </w:style>
  <w:style w:type="character" w:customStyle="1" w:styleId="97">
    <w:name w:val="ant-select-tree-iconele"/>
    <w:basedOn w:val="37"/>
    <w:qFormat/>
    <w:uiPriority w:val="0"/>
  </w:style>
  <w:style w:type="character" w:customStyle="1" w:styleId="98">
    <w:name w:val="label2"/>
    <w:basedOn w:val="37"/>
    <w:qFormat/>
    <w:uiPriority w:val="0"/>
  </w:style>
  <w:style w:type="character" w:customStyle="1" w:styleId="99">
    <w:name w:val="content"/>
    <w:basedOn w:val="37"/>
    <w:qFormat/>
    <w:uiPriority w:val="0"/>
  </w:style>
  <w:style w:type="character" w:customStyle="1" w:styleId="100">
    <w:name w:val="info-label"/>
    <w:basedOn w:val="37"/>
    <w:qFormat/>
    <w:uiPriority w:val="0"/>
    <w:rPr>
      <w:b/>
    </w:rPr>
  </w:style>
  <w:style w:type="character" w:customStyle="1" w:styleId="101">
    <w:name w:val="info-content"/>
    <w:basedOn w:val="37"/>
    <w:qFormat/>
    <w:uiPriority w:val="0"/>
    <w:rPr>
      <w:color w:val="808080"/>
    </w:rPr>
  </w:style>
  <w:style w:type="character" w:customStyle="1" w:styleId="102">
    <w:name w:val="temp"/>
    <w:basedOn w:val="37"/>
    <w:qFormat/>
    <w:uiPriority w:val="0"/>
  </w:style>
  <w:style w:type="character" w:customStyle="1" w:styleId="103">
    <w:name w:val="temp1"/>
    <w:basedOn w:val="37"/>
    <w:qFormat/>
    <w:uiPriority w:val="0"/>
  </w:style>
  <w:style w:type="character" w:customStyle="1" w:styleId="104">
    <w:name w:val="temp2"/>
    <w:basedOn w:val="37"/>
    <w:qFormat/>
    <w:uiPriority w:val="0"/>
  </w:style>
  <w:style w:type="character" w:customStyle="1" w:styleId="105">
    <w:name w:val="ant-tree-checkbox2"/>
    <w:basedOn w:val="37"/>
    <w:qFormat/>
    <w:uiPriority w:val="0"/>
  </w:style>
  <w:style w:type="character" w:customStyle="1" w:styleId="106">
    <w:name w:val="ant-tree-switcher"/>
    <w:basedOn w:val="37"/>
    <w:qFormat/>
    <w:uiPriority w:val="0"/>
  </w:style>
  <w:style w:type="character" w:customStyle="1" w:styleId="107">
    <w:name w:val="last-child6"/>
    <w:basedOn w:val="37"/>
    <w:qFormat/>
    <w:uiPriority w:val="0"/>
  </w:style>
  <w:style w:type="character" w:customStyle="1" w:styleId="108">
    <w:name w:val="last-child7"/>
    <w:basedOn w:val="37"/>
    <w:qFormat/>
    <w:uiPriority w:val="0"/>
  </w:style>
  <w:style w:type="character" w:customStyle="1" w:styleId="109">
    <w:name w:val="last-child8"/>
    <w:basedOn w:val="37"/>
    <w:qFormat/>
    <w:uiPriority w:val="0"/>
  </w:style>
  <w:style w:type="character" w:customStyle="1" w:styleId="110">
    <w:name w:val="last-child9"/>
    <w:basedOn w:val="37"/>
    <w:qFormat/>
    <w:uiPriority w:val="0"/>
  </w:style>
  <w:style w:type="character" w:customStyle="1" w:styleId="111">
    <w:name w:val="first-child9"/>
    <w:basedOn w:val="37"/>
    <w:qFormat/>
    <w:uiPriority w:val="0"/>
  </w:style>
  <w:style w:type="character" w:customStyle="1" w:styleId="112">
    <w:name w:val="change-camera-place"/>
    <w:basedOn w:val="37"/>
    <w:qFormat/>
    <w:uiPriority w:val="0"/>
    <w:rPr>
      <w:color w:val="3177FD"/>
    </w:rPr>
  </w:style>
  <w:style w:type="character" w:customStyle="1" w:styleId="113">
    <w:name w:val="NormalCharacter"/>
    <w:qFormat/>
    <w:uiPriority w:val="0"/>
  </w:style>
  <w:style w:type="character" w:customStyle="1" w:styleId="114">
    <w:name w:val="列出段落 Char"/>
    <w:link w:val="76"/>
    <w:qFormat/>
    <w:locked/>
    <w:uiPriority w:val="34"/>
    <w:rPr>
      <w:kern w:val="2"/>
      <w:sz w:val="21"/>
      <w:szCs w:val="24"/>
    </w:rPr>
  </w:style>
  <w:style w:type="character" w:customStyle="1" w:styleId="115">
    <w:name w:val="font11"/>
    <w:basedOn w:val="37"/>
    <w:qFormat/>
    <w:uiPriority w:val="0"/>
    <w:rPr>
      <w:rFonts w:hint="eastAsia" w:ascii="宋体" w:hAnsi="宋体" w:eastAsia="宋体" w:cs="宋体"/>
      <w:color w:val="000000"/>
      <w:sz w:val="20"/>
      <w:szCs w:val="20"/>
      <w:u w:val="none"/>
    </w:rPr>
  </w:style>
  <w:style w:type="character" w:customStyle="1" w:styleId="116">
    <w:name w:val="font41"/>
    <w:basedOn w:val="37"/>
    <w:qFormat/>
    <w:uiPriority w:val="0"/>
    <w:rPr>
      <w:rFonts w:hint="eastAsia" w:ascii="宋体" w:hAnsi="宋体" w:eastAsia="宋体" w:cs="宋体"/>
      <w:color w:val="000000"/>
      <w:sz w:val="21"/>
      <w:szCs w:val="21"/>
      <w:u w:val="none"/>
    </w:rPr>
  </w:style>
  <w:style w:type="paragraph" w:customStyle="1" w:styleId="117">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118">
    <w:name w:val="标题 1（绿盟科技）"/>
    <w:basedOn w:val="3"/>
    <w:next w:val="1"/>
    <w:qFormat/>
    <w:uiPriority w:val="0"/>
    <w:pPr>
      <w:pageBreakBefore/>
      <w:numPr>
        <w:ilvl w:val="0"/>
        <w:numId w:val="2"/>
      </w:numPr>
      <w:spacing w:before="600"/>
    </w:pPr>
    <w:rPr>
      <w:rFonts w:ascii="Arial" w:hAnsi="Arial" w:eastAsia="黑体"/>
      <w:sz w:val="32"/>
    </w:rPr>
  </w:style>
  <w:style w:type="character" w:customStyle="1" w:styleId="119">
    <w:name w:val="正文文本 Char"/>
    <w:basedOn w:val="37"/>
    <w:link w:val="13"/>
    <w:qFormat/>
    <w:uiPriority w:val="0"/>
    <w:rPr>
      <w:kern w:val="2"/>
      <w:sz w:val="21"/>
      <w:szCs w:val="24"/>
    </w:rPr>
  </w:style>
  <w:style w:type="character" w:customStyle="1" w:styleId="120">
    <w:name w:val="纯文本 Char1"/>
    <w:basedOn w:val="37"/>
    <w:link w:val="18"/>
    <w:qFormat/>
    <w:uiPriority w:val="0"/>
    <w:rPr>
      <w:rFonts w:hint="eastAsia" w:ascii="宋体" w:hAnsi="Courier New" w:eastAsia="宋体" w:cs="宋体"/>
      <w:szCs w:val="21"/>
    </w:rPr>
  </w:style>
  <w:style w:type="character" w:customStyle="1" w:styleId="121">
    <w:name w:val="标题 1 Char1"/>
    <w:link w:val="3"/>
    <w:qFormat/>
    <w:uiPriority w:val="0"/>
    <w:rPr>
      <w:rFonts w:ascii="Times New Roman" w:hAnsi="Times New Roman" w:eastAsia="宋体"/>
      <w:b/>
      <w:bCs/>
      <w:kern w:val="44"/>
      <w:sz w:val="44"/>
      <w:szCs w:val="44"/>
    </w:rPr>
  </w:style>
  <w:style w:type="paragraph" w:customStyle="1" w:styleId="1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3">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1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9759</Words>
  <Characters>11008</Characters>
  <Lines>197</Lines>
  <Paragraphs>55</Paragraphs>
  <TotalTime>3</TotalTime>
  <ScaleCrop>false</ScaleCrop>
  <LinksUpToDate>false</LinksUpToDate>
  <CharactersWithSpaces>11150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2021-10-13T09:47:00Z</dcterms:created>
  <dc:creator>ok</dc:creator>
  <cp:lastModifiedBy>Administrator</cp:lastModifiedBy>
  <cp:lastPrinted>2021-10-11T09:43:00Z</cp:lastPrinted>
  <dcterms:modified xsi:type="dcterms:W3CDTF">2025-07-24T02:32:30Z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9CAF5A3B9B5643D4A44054DE1423DB89_13</vt:lpwstr>
  </property>
  <property fmtid="{D5CDD505-2E9C-101B-9397-08002B2CF9AE}" pid="4" name="KSOTemplateDocerSaveRecord">
    <vt:lpwstr>eyJoZGlkIjoiOWNkN2UyMWUxYjI4NTU4YzA5ZjJhY2YxYjFhZWQ3ZGIiLCJ1c2VySWQiOiI1NzE1OTMwODYifQ==</vt:lpwstr>
  </property>
</Properties>
</file>