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highlight w:val="none"/>
        </w:rPr>
      </w:pPr>
      <w:bookmarkStart w:id="39" w:name="_GoBack"/>
    </w:p>
    <w:p>
      <w:pPr>
        <w:rPr>
          <w:color w:val="auto"/>
          <w:highlight w:val="none"/>
        </w:rPr>
      </w:pPr>
    </w:p>
    <w:p>
      <w:pPr>
        <w:rPr>
          <w:color w:val="auto"/>
          <w:highlight w:val="none"/>
        </w:rPr>
      </w:pPr>
    </w:p>
    <w:p>
      <w:pPr>
        <w:rPr>
          <w:color w:val="auto"/>
          <w:highlight w:val="none"/>
        </w:rPr>
      </w:pPr>
    </w:p>
    <w:p>
      <w:pPr>
        <w:jc w:val="center"/>
        <w:rPr>
          <w:rFonts w:ascii="黑体" w:eastAsia="黑体"/>
          <w:color w:val="auto"/>
          <w:spacing w:val="30"/>
          <w:sz w:val="44"/>
          <w:szCs w:val="44"/>
          <w:highlight w:val="none"/>
        </w:rPr>
      </w:pPr>
      <w:r>
        <w:rPr>
          <w:color w:val="auto"/>
          <w:highlight w:val="none"/>
        </w:rPr>
        <w:drawing>
          <wp:anchor distT="0" distB="0" distL="114300" distR="114300" simplePos="0" relativeHeight="251659264" behindDoc="0" locked="0" layoutInCell="1" allowOverlap="1">
            <wp:simplePos x="0" y="0"/>
            <wp:positionH relativeFrom="margin">
              <wp:posOffset>398145</wp:posOffset>
            </wp:positionH>
            <wp:positionV relativeFrom="margin">
              <wp:posOffset>687705</wp:posOffset>
            </wp:positionV>
            <wp:extent cx="657225" cy="619125"/>
            <wp:effectExtent l="19050" t="0" r="9525"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7" cstate="print"/>
                    <a:stretch>
                      <a:fillRect/>
                    </a:stretch>
                  </pic:blipFill>
                  <pic:spPr>
                    <a:xfrm>
                      <a:off x="0" y="0"/>
                      <a:ext cx="657225" cy="619125"/>
                    </a:xfrm>
                    <a:prstGeom prst="rect">
                      <a:avLst/>
                    </a:prstGeom>
                    <a:noFill/>
                    <a:ln>
                      <a:noFill/>
                    </a:ln>
                  </pic:spPr>
                </pic:pic>
              </a:graphicData>
            </a:graphic>
          </wp:anchor>
        </w:drawing>
      </w:r>
      <w:r>
        <w:rPr>
          <w:rFonts w:hint="eastAsia" w:ascii="黑体" w:eastAsia="黑体"/>
          <w:color w:val="auto"/>
          <w:spacing w:val="30"/>
          <w:sz w:val="44"/>
          <w:szCs w:val="44"/>
          <w:highlight w:val="none"/>
        </w:rPr>
        <w:t xml:space="preserve">    广西中信恒泰工程顾问有限公司</w:t>
      </w:r>
    </w:p>
    <w:p>
      <w:pPr>
        <w:jc w:val="center"/>
        <w:rPr>
          <w:rFonts w:ascii="幼圆" w:eastAsia="幼圆"/>
          <w:color w:val="auto"/>
          <w:spacing w:val="30"/>
          <w:sz w:val="30"/>
          <w:szCs w:val="30"/>
          <w:highlight w:val="none"/>
        </w:rPr>
      </w:pPr>
      <w:r>
        <w:rPr>
          <w:rFonts w:ascii="幼圆" w:eastAsia="幼圆"/>
          <w:color w:val="auto"/>
          <w:spacing w:val="30"/>
          <w:sz w:val="30"/>
          <w:szCs w:val="30"/>
          <w:highlight w:val="none"/>
        </w:rPr>
        <w:t xml:space="preserve">Guangxi Zhongxinhengtai Engineering </w:t>
      </w:r>
    </w:p>
    <w:p>
      <w:pPr>
        <w:jc w:val="center"/>
        <w:rPr>
          <w:rFonts w:ascii="幼圆" w:eastAsia="幼圆"/>
          <w:color w:val="auto"/>
          <w:spacing w:val="30"/>
          <w:sz w:val="28"/>
          <w:szCs w:val="28"/>
          <w:highlight w:val="none"/>
        </w:rPr>
      </w:pPr>
      <w:r>
        <w:rPr>
          <w:rFonts w:ascii="幼圆" w:eastAsia="幼圆"/>
          <w:color w:val="auto"/>
          <w:spacing w:val="30"/>
          <w:sz w:val="30"/>
          <w:szCs w:val="30"/>
          <w:highlight w:val="none"/>
        </w:rPr>
        <w:t>ConsultingCo.,Led</w:t>
      </w:r>
    </w:p>
    <w:p>
      <w:pPr>
        <w:jc w:val="center"/>
        <w:rPr>
          <w:rFonts w:ascii="幼圆" w:eastAsia="幼圆"/>
          <w:b/>
          <w:color w:val="auto"/>
          <w:spacing w:val="30"/>
          <w:sz w:val="48"/>
          <w:szCs w:val="48"/>
          <w:highlight w:val="none"/>
        </w:rPr>
      </w:pPr>
    </w:p>
    <w:p>
      <w:pPr>
        <w:jc w:val="center"/>
        <w:rPr>
          <w:rFonts w:ascii="幼圆" w:eastAsia="幼圆"/>
          <w:b/>
          <w:color w:val="auto"/>
          <w:spacing w:val="30"/>
          <w:sz w:val="48"/>
          <w:szCs w:val="48"/>
          <w:highlight w:val="none"/>
        </w:rPr>
      </w:pPr>
    </w:p>
    <w:p>
      <w:pPr>
        <w:jc w:val="center"/>
        <w:rPr>
          <w:rFonts w:ascii="幼圆" w:eastAsia="幼圆"/>
          <w:b/>
          <w:color w:val="auto"/>
          <w:spacing w:val="30"/>
          <w:sz w:val="48"/>
          <w:szCs w:val="48"/>
          <w:highlight w:val="none"/>
        </w:rPr>
      </w:pPr>
    </w:p>
    <w:p>
      <w:pPr>
        <w:jc w:val="center"/>
        <w:rPr>
          <w:rFonts w:ascii="幼圆" w:eastAsia="幼圆"/>
          <w:b/>
          <w:color w:val="auto"/>
          <w:spacing w:val="30"/>
          <w:sz w:val="48"/>
          <w:szCs w:val="48"/>
          <w:highlight w:val="none"/>
        </w:rPr>
      </w:pPr>
    </w:p>
    <w:p>
      <w:pPr>
        <w:pStyle w:val="13"/>
        <w:spacing w:line="1300" w:lineRule="exact"/>
        <w:jc w:val="center"/>
        <w:rPr>
          <w:b/>
          <w:color w:val="auto"/>
          <w:sz w:val="84"/>
          <w:szCs w:val="84"/>
          <w:highlight w:val="none"/>
        </w:rPr>
      </w:pPr>
      <w:r>
        <w:rPr>
          <w:rFonts w:hint="eastAsia"/>
          <w:b/>
          <w:color w:val="auto"/>
          <w:sz w:val="84"/>
          <w:szCs w:val="84"/>
          <w:highlight w:val="none"/>
        </w:rPr>
        <w:t>竞争性谈判采购文件</w:t>
      </w:r>
    </w:p>
    <w:p>
      <w:pPr>
        <w:pStyle w:val="13"/>
        <w:spacing w:line="1300" w:lineRule="exact"/>
        <w:rPr>
          <w:b/>
          <w:color w:val="auto"/>
          <w:sz w:val="120"/>
          <w:szCs w:val="120"/>
          <w:highlight w:val="none"/>
        </w:rPr>
      </w:pPr>
    </w:p>
    <w:p>
      <w:pPr>
        <w:pStyle w:val="13"/>
        <w:rPr>
          <w:color w:val="auto"/>
          <w:highlight w:val="none"/>
        </w:rPr>
      </w:pPr>
    </w:p>
    <w:p>
      <w:pPr>
        <w:tabs>
          <w:tab w:val="left" w:pos="4285"/>
        </w:tabs>
        <w:adjustRightInd w:val="0"/>
        <w:snapToGrid w:val="0"/>
        <w:spacing w:line="317" w:lineRule="auto"/>
        <w:ind w:firstLine="525" w:firstLineChars="250"/>
        <w:rPr>
          <w:color w:val="auto"/>
          <w:highlight w:val="none"/>
        </w:rPr>
      </w:pPr>
    </w:p>
    <w:p>
      <w:pPr>
        <w:tabs>
          <w:tab w:val="left" w:pos="4285"/>
        </w:tabs>
        <w:adjustRightInd w:val="0"/>
        <w:snapToGrid w:val="0"/>
        <w:spacing w:line="317" w:lineRule="auto"/>
        <w:ind w:firstLine="525" w:firstLineChars="250"/>
        <w:rPr>
          <w:color w:val="auto"/>
          <w:highlight w:val="none"/>
        </w:rPr>
      </w:pPr>
    </w:p>
    <w:p>
      <w:pPr>
        <w:tabs>
          <w:tab w:val="left" w:pos="7181"/>
        </w:tabs>
        <w:adjustRightInd w:val="0"/>
        <w:snapToGrid w:val="0"/>
        <w:spacing w:line="317" w:lineRule="auto"/>
        <w:ind w:firstLine="525" w:firstLineChars="250"/>
        <w:rPr>
          <w:color w:val="auto"/>
          <w:highlight w:val="none"/>
        </w:rPr>
      </w:pPr>
      <w:r>
        <w:rPr>
          <w:rFonts w:hint="eastAsia"/>
          <w:color w:val="auto"/>
          <w:highlight w:val="none"/>
        </w:rPr>
        <w:tab/>
      </w:r>
    </w:p>
    <w:p>
      <w:pPr>
        <w:tabs>
          <w:tab w:val="left" w:pos="4285"/>
        </w:tabs>
        <w:adjustRightInd w:val="0"/>
        <w:snapToGrid w:val="0"/>
        <w:spacing w:line="317" w:lineRule="auto"/>
        <w:ind w:firstLine="525" w:firstLineChars="250"/>
        <w:rPr>
          <w:color w:val="auto"/>
          <w:highlight w:val="none"/>
        </w:rPr>
      </w:pPr>
    </w:p>
    <w:p>
      <w:pPr>
        <w:tabs>
          <w:tab w:val="left" w:pos="4285"/>
        </w:tabs>
        <w:adjustRightInd w:val="0"/>
        <w:snapToGrid w:val="0"/>
        <w:spacing w:line="317" w:lineRule="auto"/>
        <w:ind w:firstLine="525" w:firstLineChars="250"/>
        <w:rPr>
          <w:color w:val="auto"/>
          <w:highlight w:val="none"/>
        </w:rPr>
      </w:pPr>
    </w:p>
    <w:p>
      <w:pPr>
        <w:autoSpaceDE w:val="0"/>
        <w:autoSpaceDN w:val="0"/>
        <w:adjustRightInd w:val="0"/>
        <w:spacing w:line="500" w:lineRule="exact"/>
        <w:ind w:left="105" w:leftChars="50" w:right="105" w:rightChars="50" w:firstLine="1680" w:firstLineChars="6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lang w:eastAsia="zh-CN"/>
        </w:rPr>
        <w:t>彩色多普勒超声诊断仪采购项目</w:t>
      </w:r>
    </w:p>
    <w:p>
      <w:pPr>
        <w:tabs>
          <w:tab w:val="left" w:pos="4285"/>
        </w:tabs>
        <w:adjustRightInd w:val="0"/>
        <w:snapToGrid w:val="0"/>
        <w:spacing w:line="276" w:lineRule="auto"/>
        <w:ind w:firstLine="1416" w:firstLineChars="506"/>
        <w:jc w:val="left"/>
        <w:rPr>
          <w:rFonts w:ascii="宋体" w:hAnsi="宋体"/>
          <w:color w:val="auto"/>
          <w:sz w:val="28"/>
          <w:szCs w:val="28"/>
          <w:highlight w:val="none"/>
        </w:rPr>
      </w:pPr>
    </w:p>
    <w:p>
      <w:pPr>
        <w:spacing w:line="480" w:lineRule="auto"/>
        <w:ind w:firstLine="1680" w:firstLineChars="600"/>
        <w:rPr>
          <w:rFonts w:hint="eastAsia" w:ascii="宋体" w:hAnsi="宋体" w:eastAsia="宋体"/>
          <w:color w:val="auto"/>
          <w:sz w:val="28"/>
          <w:szCs w:val="28"/>
          <w:highlight w:val="none"/>
          <w:lang w:eastAsia="zh-CN"/>
        </w:rPr>
      </w:pP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346710</wp:posOffset>
                </wp:positionV>
                <wp:extent cx="5896610" cy="3175"/>
                <wp:effectExtent l="0" t="13970" r="1270" b="28575"/>
                <wp:wrapNone/>
                <wp:docPr id="4" name="Line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Line 6" o:spid="_x0000_s1026" o:spt="20" style="position:absolute;left:0pt;margin-left:13.5pt;margin-top:27.3pt;height:0.25pt;width:464.3pt;z-index:251660288;mso-width-relative:page;mso-height-relative:page;" filled="f" stroked="t" coordsize="21600,21600" o:gfxdata="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GB1F9gAAAAIAQAADwAAAAAAAAABACAAAAAiAAAAZHJzL2Rvd25yZXYueG1s&#10;UEsBAhQAFAAAAAgAh07iQBmffUO/AQAAkQMAAA4AAAAAAAAAAQAgAAAAJwEAAGRycy9lMm9Eb2Mu&#10;eG1sUEsFBgAAAAAGAAYAWQEAAFgFAAAAAA==&#10;">
                <v:fill on="f" focussize="0,0"/>
                <v:stroke weight="2.25pt" color="#000000" joinstyle="round"/>
                <v:imagedata o:title=""/>
                <o:lock v:ext="edit" aspectratio="f"/>
              </v:line>
            </w:pict>
          </mc:Fallback>
        </mc:AlternateContent>
      </w: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WZZC2025-J1-990135-GXZX</w:t>
      </w:r>
    </w:p>
    <w:p>
      <w:pPr>
        <w:spacing w:line="480" w:lineRule="auto"/>
        <w:ind w:firstLine="1680" w:firstLineChars="600"/>
        <w:rPr>
          <w:rFonts w:hint="eastAsia" w:ascii="宋体" w:hAnsi="宋体" w:eastAsia="宋体"/>
          <w:color w:val="auto"/>
          <w:sz w:val="28"/>
          <w:szCs w:val="28"/>
          <w:highlight w:val="none"/>
          <w:lang w:eastAsia="zh-CN"/>
        </w:rPr>
      </w:pPr>
      <w:r>
        <w:rPr>
          <w:rFonts w:hint="eastAsia"/>
          <w:color w:val="auto"/>
          <w:sz w:val="28"/>
          <w:szCs w:val="28"/>
          <w:highlight w:val="none"/>
        </w:rPr>
        <w:t>采购人：</w:t>
      </w:r>
      <w:r>
        <w:rPr>
          <w:rFonts w:hint="eastAsia" w:ascii="宋体" w:hAnsi="宋体"/>
          <w:color w:val="auto"/>
          <w:sz w:val="28"/>
          <w:szCs w:val="28"/>
          <w:highlight w:val="none"/>
          <w:lang w:eastAsia="zh-CN"/>
        </w:rPr>
        <w:t>梧州市长洲区大塘社区卫生服务中心</w:t>
      </w:r>
    </w:p>
    <w:p>
      <w:pPr>
        <w:pStyle w:val="13"/>
        <w:spacing w:line="480" w:lineRule="auto"/>
        <w:ind w:right="-260" w:rightChars="-124" w:firstLine="1416" w:firstLineChars="506"/>
        <w:rPr>
          <w:color w:val="auto"/>
          <w:sz w:val="28"/>
          <w:szCs w:val="28"/>
          <w:highlight w:val="none"/>
        </w:rPr>
      </w:pPr>
      <w:r>
        <w:rPr>
          <w:rFonts w:hint="eastAsia"/>
          <w:color w:val="auto"/>
          <w:sz w:val="28"/>
          <w:szCs w:val="28"/>
          <w:highlight w:val="none"/>
        </w:rPr>
        <w:t>采购代理机构：广西中信恒泰工程顾问有限公司</w:t>
      </w:r>
    </w:p>
    <w:p>
      <w:pPr>
        <w:jc w:val="center"/>
        <w:rPr>
          <w:color w:val="auto"/>
          <w:sz w:val="28"/>
          <w:szCs w:val="28"/>
          <w:highlight w:val="none"/>
        </w:rPr>
      </w:pPr>
      <w:r>
        <w:rPr>
          <w:rFonts w:hint="eastAsia"/>
          <w:color w:val="auto"/>
          <w:sz w:val="28"/>
          <w:szCs w:val="28"/>
          <w:highlight w:val="none"/>
        </w:rPr>
        <w:t>二〇二</w:t>
      </w:r>
      <w:r>
        <w:rPr>
          <w:rFonts w:hint="eastAsia"/>
          <w:color w:val="auto"/>
          <w:sz w:val="28"/>
          <w:szCs w:val="28"/>
          <w:highlight w:val="none"/>
          <w:lang w:eastAsia="zh-CN"/>
        </w:rPr>
        <w:t>五</w:t>
      </w:r>
      <w:r>
        <w:rPr>
          <w:rFonts w:hint="eastAsia"/>
          <w:color w:val="auto"/>
          <w:sz w:val="28"/>
          <w:szCs w:val="28"/>
          <w:highlight w:val="none"/>
        </w:rPr>
        <w:t>年</w:t>
      </w:r>
      <w:r>
        <w:rPr>
          <w:rFonts w:hint="eastAsia"/>
          <w:color w:val="auto"/>
          <w:sz w:val="28"/>
          <w:szCs w:val="28"/>
          <w:highlight w:val="none"/>
          <w:lang w:eastAsia="zh-CN"/>
        </w:rPr>
        <w:t>七</w:t>
      </w:r>
      <w:r>
        <w:rPr>
          <w:rFonts w:hint="eastAsia"/>
          <w:color w:val="auto"/>
          <w:sz w:val="28"/>
          <w:szCs w:val="28"/>
          <w:highlight w:val="none"/>
        </w:rPr>
        <w:t>月</w:t>
      </w:r>
    </w:p>
    <w:p>
      <w:pPr>
        <w:pStyle w:val="20"/>
        <w:ind w:firstLine="105"/>
        <w:rPr>
          <w:rFonts w:hint="default"/>
          <w:color w:val="auto"/>
          <w:highlight w:val="none"/>
        </w:rPr>
      </w:pPr>
    </w:p>
    <w:p>
      <w:pPr>
        <w:pStyle w:val="20"/>
        <w:rPr>
          <w:rFonts w:hint="default" w:ascii="隶书" w:eastAsia="隶书"/>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849" w:bottom="1134" w:left="993" w:header="720" w:footer="720" w:gutter="0"/>
          <w:pgBorders>
            <w:top w:val="none" w:sz="0" w:space="0"/>
            <w:left w:val="none" w:sz="0" w:space="0"/>
            <w:bottom w:val="none" w:sz="0" w:space="0"/>
            <w:right w:val="none" w:sz="0" w:space="0"/>
          </w:pgBorders>
          <w:pgNumType w:start="0"/>
          <w:cols w:space="720" w:num="1"/>
          <w:titlePg/>
          <w:docGrid w:linePitch="312" w:charSpace="0"/>
        </w:sectPr>
      </w:pPr>
    </w:p>
    <w:p>
      <w:pPr>
        <w:pStyle w:val="20"/>
        <w:rPr>
          <w:rFonts w:hint="default" w:ascii="隶书" w:eastAsia="隶书"/>
          <w:color w:val="auto"/>
          <w:sz w:val="44"/>
          <w:highlight w:val="none"/>
        </w:rPr>
      </w:pPr>
    </w:p>
    <w:p>
      <w:pPr>
        <w:pStyle w:val="20"/>
        <w:jc w:val="center"/>
        <w:rPr>
          <w:rFonts w:hint="default" w:ascii="隶书" w:eastAsia="隶书"/>
          <w:color w:val="auto"/>
          <w:sz w:val="44"/>
          <w:highlight w:val="none"/>
        </w:rPr>
      </w:pPr>
    </w:p>
    <w:p>
      <w:pPr>
        <w:pStyle w:val="20"/>
        <w:jc w:val="center"/>
        <w:rPr>
          <w:rFonts w:hint="default" w:ascii="隶书" w:eastAsia="隶书"/>
          <w:color w:val="auto"/>
          <w:sz w:val="44"/>
          <w:highlight w:val="none"/>
        </w:rPr>
      </w:pPr>
    </w:p>
    <w:sdt>
      <w:sdtPr>
        <w:rPr>
          <w:rFonts w:ascii="宋体" w:hAnsi="宋体" w:eastAsia="宋体" w:cs="Times New Roman"/>
          <w:color w:val="auto"/>
          <w:kern w:val="2"/>
          <w:sz w:val="21"/>
          <w:szCs w:val="24"/>
          <w:highlight w:val="none"/>
          <w:lang w:val="en-US" w:eastAsia="zh-CN" w:bidi="ar-SA"/>
        </w:rPr>
        <w:id w:val="147454685"/>
        <w15:color w:val="DBDBDB"/>
        <w:docPartObj>
          <w:docPartGallery w:val="Table of Contents"/>
          <w:docPartUnique/>
        </w:docPartObj>
      </w:sdtPr>
      <w:sdtEndPr>
        <w:rPr>
          <w:rFonts w:hint="default" w:cs="Times New Roman" w:asciiTheme="minorEastAsia" w:hAnsiTheme="minorEastAsia" w:eastAsiaTheme="minorEastAsia"/>
          <w:color w:val="auto"/>
          <w:kern w:val="0"/>
          <w:sz w:val="20"/>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目</w:t>
          </w:r>
          <w:r>
            <w:rPr>
              <w:rFonts w:hint="eastAsia" w:asciiTheme="minorEastAsia" w:hAnsiTheme="minorEastAsia" w:eastAsiaTheme="minorEastAsia" w:cstheme="minorEastAsia"/>
              <w:b/>
              <w:bCs/>
              <w:color w:val="auto"/>
              <w:sz w:val="48"/>
              <w:szCs w:val="48"/>
              <w:highlight w:val="none"/>
              <w:lang w:val="en-US" w:eastAsia="zh-CN"/>
            </w:rPr>
            <w:t xml:space="preserve">  </w:t>
          </w:r>
          <w:r>
            <w:rPr>
              <w:rFonts w:hint="eastAsia" w:asciiTheme="minorEastAsia" w:hAnsiTheme="minorEastAsia" w:eastAsiaTheme="minorEastAsia" w:cstheme="minorEastAsia"/>
              <w:b/>
              <w:bCs/>
              <w:color w:val="auto"/>
              <w:sz w:val="48"/>
              <w:szCs w:val="48"/>
              <w:highlight w:val="none"/>
            </w:rPr>
            <w:t>录</w:t>
          </w:r>
        </w:p>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p>
        <w:p>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_Toc27359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第一章 竞争性谈判公告</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_Toc27359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1</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_Toc12820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第二章 谈判须知及前附表</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_Toc12820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5</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_Toc22840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第三章 项目需求</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_Toc22840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21</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_Toc19693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第四章 采购合同书（格式）</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_Toc19693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35</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_Toc2690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第五章 竞争性谈判响应文件格式</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_Toc2690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43</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124"/>
            <w:tabs>
              <w:tab w:val="right" w:leader="dot" w:pos="10064"/>
            </w:tabs>
            <w:spacing w:line="48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_Toc22242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第六章 成交评审方法</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_Toc22242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60</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pPr>
            <w:pStyle w:val="20"/>
            <w:spacing w:line="480" w:lineRule="auto"/>
            <w:jc w:val="center"/>
            <w:outlineLvl w:val="9"/>
            <w:rPr>
              <w:rFonts w:hint="default" w:cs="Times New Roman" w:asciiTheme="minorEastAsia" w:hAnsiTheme="minorEastAsia" w:eastAsiaTheme="minorEastAsia"/>
              <w:color w:val="auto"/>
              <w:kern w:val="0"/>
              <w:sz w:val="20"/>
              <w:szCs w:val="28"/>
              <w:highlight w:val="none"/>
              <w:lang w:val="en-US" w:eastAsia="zh-CN" w:bidi="ar-SA"/>
            </w:rPr>
          </w:pPr>
          <w:r>
            <w:rPr>
              <w:rFonts w:hint="eastAsia" w:asciiTheme="minorEastAsia" w:hAnsiTheme="minorEastAsia" w:eastAsiaTheme="minorEastAsia" w:cstheme="minorEastAsia"/>
              <w:color w:val="auto"/>
              <w:sz w:val="32"/>
              <w:szCs w:val="32"/>
              <w:highlight w:val="none"/>
            </w:rPr>
            <w:fldChar w:fldCharType="end"/>
          </w:r>
        </w:p>
      </w:sdtContent>
    </w:sdt>
    <w:p>
      <w:pPr>
        <w:pStyle w:val="20"/>
        <w:spacing w:line="480" w:lineRule="auto"/>
        <w:jc w:val="center"/>
        <w:outlineLvl w:val="9"/>
        <w:rPr>
          <w:rFonts w:hint="default" w:cs="Times New Roman" w:asciiTheme="minorEastAsia" w:hAnsiTheme="minorEastAsia" w:eastAsiaTheme="minorEastAsia"/>
          <w:color w:val="auto"/>
          <w:kern w:val="0"/>
          <w:sz w:val="20"/>
          <w:szCs w:val="28"/>
          <w:highlight w:val="none"/>
          <w:lang w:val="en-US" w:eastAsia="zh-CN" w:bidi="ar-SA"/>
        </w:rPr>
      </w:pPr>
    </w:p>
    <w:p>
      <w:pPr>
        <w:adjustRightInd w:val="0"/>
        <w:snapToGrid w:val="0"/>
        <w:spacing w:line="480" w:lineRule="auto"/>
        <w:rPr>
          <w:b/>
          <w:bCs/>
          <w:color w:val="auto"/>
          <w:kern w:val="28"/>
          <w:highlight w:val="none"/>
        </w:rPr>
      </w:pPr>
    </w:p>
    <w:p>
      <w:pPr>
        <w:adjustRightInd w:val="0"/>
        <w:snapToGrid w:val="0"/>
        <w:spacing w:line="540" w:lineRule="exact"/>
        <w:rPr>
          <w:rStyle w:val="51"/>
          <w:b w:val="0"/>
          <w:bCs w:val="0"/>
          <w:color w:val="auto"/>
          <w:kern w:val="2"/>
          <w:sz w:val="21"/>
          <w:szCs w:val="24"/>
          <w:highlight w:val="none"/>
        </w:rPr>
      </w:pPr>
      <w:r>
        <w:rPr>
          <w:color w:val="auto"/>
          <w:kern w:val="28"/>
          <w:highlight w:val="none"/>
        </w:rPr>
        <w:br w:type="page"/>
      </w:r>
    </w:p>
    <w:p>
      <w:pPr>
        <w:numPr>
          <w:ilvl w:val="0"/>
          <w:numId w:val="3"/>
        </w:numPr>
        <w:jc w:val="center"/>
        <w:outlineLvl w:val="0"/>
        <w:rPr>
          <w:rStyle w:val="51"/>
          <w:color w:val="auto"/>
          <w:highlight w:val="none"/>
        </w:rPr>
      </w:pPr>
      <w:bookmarkStart w:id="0" w:name="_Toc1719468"/>
      <w:r>
        <w:rPr>
          <w:rStyle w:val="51"/>
          <w:rFonts w:hint="eastAsia"/>
          <w:color w:val="auto"/>
          <w:highlight w:val="none"/>
        </w:rPr>
        <w:t xml:space="preserve"> </w:t>
      </w:r>
      <w:bookmarkStart w:id="1" w:name="_Toc27359"/>
      <w:r>
        <w:rPr>
          <w:rStyle w:val="51"/>
          <w:rFonts w:hint="eastAsia"/>
          <w:color w:val="auto"/>
          <w:highlight w:val="none"/>
        </w:rPr>
        <w:t>竞争性谈判公告</w:t>
      </w:r>
      <w:bookmarkEnd w:id="0"/>
      <w:bookmarkEnd w:id="1"/>
    </w:p>
    <w:p>
      <w:pPr>
        <w:outlineLvl w:val="9"/>
        <w:rPr>
          <w:rStyle w:val="51"/>
          <w:color w:val="auto"/>
          <w:highlight w:val="none"/>
        </w:rPr>
      </w:pPr>
    </w:p>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广西中信恒泰工程顾问有限公司</w:t>
      </w:r>
    </w:p>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彩色多普勒超声诊断仪采购项目</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WZZC2025-J1-990135-GXZX</w:t>
      </w:r>
      <w:r>
        <w:rPr>
          <w:rFonts w:hint="eastAsia" w:ascii="宋体" w:hAnsi="宋体" w:cs="宋体"/>
          <w:b/>
          <w:color w:val="auto"/>
          <w:kern w:val="0"/>
          <w:sz w:val="24"/>
          <w:szCs w:val="24"/>
          <w:highlight w:val="none"/>
        </w:rPr>
        <w:t>）</w:t>
      </w:r>
    </w:p>
    <w:p>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竞争性谈判公告</w:t>
      </w:r>
      <w:bookmarkStart w:id="2" w:name="_Toc7229"/>
      <w:bookmarkStart w:id="3" w:name="_Toc8223"/>
      <w:bookmarkStart w:id="4" w:name="_Toc14464"/>
    </w:p>
    <w:p>
      <w:pPr>
        <w:pStyle w:val="76"/>
        <w:spacing w:line="380" w:lineRule="exact"/>
        <w:ind w:left="420" w:firstLine="0" w:firstLineChars="0"/>
        <w:rPr>
          <w:rFonts w:ascii="宋体" w:hAnsi="宋体"/>
          <w:color w:val="auto"/>
          <w:szCs w:val="21"/>
          <w:highlight w:val="none"/>
        </w:rPr>
      </w:pPr>
    </w:p>
    <w:p>
      <w:pPr>
        <w:pStyle w:val="76"/>
        <w:pBdr>
          <w:top w:val="single" w:color="auto" w:sz="4" w:space="1"/>
          <w:left w:val="single" w:color="auto" w:sz="4" w:space="1"/>
          <w:bottom w:val="single" w:color="auto" w:sz="4" w:space="3"/>
          <w:right w:val="single" w:color="auto" w:sz="4" w:space="4"/>
        </w:pBdr>
        <w:spacing w:line="360" w:lineRule="auto"/>
        <w:ind w:firstLine="422"/>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项目概况</w:t>
      </w:r>
    </w:p>
    <w:p>
      <w:pPr>
        <w:pStyle w:val="76"/>
        <w:pBdr>
          <w:top w:val="single" w:color="auto" w:sz="4" w:space="1"/>
          <w:left w:val="single" w:color="auto" w:sz="4" w:space="1"/>
          <w:bottom w:val="single" w:color="auto" w:sz="4" w:space="3"/>
          <w:right w:val="single" w:color="auto" w:sz="4" w:space="4"/>
        </w:pBd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彩色多普勒超声诊断仪采购项目</w:t>
      </w:r>
      <w:r>
        <w:rPr>
          <w:rFonts w:hint="eastAsia" w:asciiTheme="minorEastAsia" w:hAnsiTheme="minorEastAsia" w:eastAsiaTheme="minorEastAsia" w:cstheme="minorEastAsia"/>
          <w:color w:val="auto"/>
          <w:sz w:val="24"/>
          <w:szCs w:val="24"/>
          <w:highlight w:val="none"/>
        </w:rPr>
        <w:t>的潜在供应商应在广西政府采购云平台（https://www.gcy.zfcg.gxzf.gov.cn/）获取采购文件，并于</w:t>
      </w:r>
      <w:r>
        <w:rPr>
          <w:rFonts w:hint="eastAsia" w:asciiTheme="minorEastAsia" w:hAnsiTheme="minorEastAsia" w:eastAsiaTheme="minorEastAsia" w:cstheme="minorEastAsia"/>
          <w:color w:val="auto"/>
          <w:sz w:val="24"/>
          <w:szCs w:val="24"/>
          <w:highlight w:val="none"/>
          <w:u w:val="single"/>
          <w:lang w:eastAsia="zh-CN"/>
        </w:rPr>
        <w:t>2025年7月29日上午9点00</w:t>
      </w:r>
      <w:r>
        <w:rPr>
          <w:rFonts w:hint="eastAsia" w:asciiTheme="minorEastAsia" w:hAnsiTheme="minorEastAsia" w:eastAsiaTheme="minorEastAsia" w:cstheme="minorEastAsia"/>
          <w:color w:val="auto"/>
          <w:sz w:val="24"/>
          <w:szCs w:val="24"/>
          <w:highlight w:val="none"/>
          <w:u w:val="single"/>
        </w:rPr>
        <w:t>分</w:t>
      </w:r>
      <w:r>
        <w:rPr>
          <w:rFonts w:hint="eastAsia" w:asciiTheme="minorEastAsia" w:hAnsiTheme="minorEastAsia" w:eastAsiaTheme="minorEastAsia" w:cstheme="minorEastAsia"/>
          <w:color w:val="auto"/>
          <w:sz w:val="24"/>
          <w:szCs w:val="24"/>
          <w:highlight w:val="none"/>
        </w:rPr>
        <w:t>（北京时间）前提交响应文件。</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一、项目基本情况</w:t>
      </w:r>
    </w:p>
    <w:p>
      <w:pPr>
        <w:pStyle w:val="34"/>
        <w:spacing w:before="0" w:beforeAutospacing="0" w:after="0" w:afterAutospacing="0"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项目编号：</w:t>
      </w:r>
      <w:r>
        <w:rPr>
          <w:rFonts w:hint="eastAsia" w:cs="宋体"/>
          <w:color w:val="auto"/>
          <w:sz w:val="24"/>
          <w:szCs w:val="24"/>
          <w:highlight w:val="none"/>
          <w:lang w:eastAsia="zh-CN"/>
        </w:rPr>
        <w:t>WZZC2025-J1-990135-GXZX</w:t>
      </w:r>
    </w:p>
    <w:p>
      <w:pPr>
        <w:pStyle w:val="34"/>
        <w:spacing w:before="0" w:beforeAutospacing="0" w:after="0" w:afterAutospacing="0"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项目名称：</w:t>
      </w:r>
      <w:r>
        <w:rPr>
          <w:rFonts w:hint="eastAsia" w:cs="宋体"/>
          <w:color w:val="auto"/>
          <w:sz w:val="24"/>
          <w:szCs w:val="24"/>
          <w:highlight w:val="none"/>
          <w:lang w:eastAsia="zh-CN"/>
        </w:rPr>
        <w:t>彩色多普勒超声诊断仪采购项目</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采购方式：竞争性谈判</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预算金额：</w:t>
      </w:r>
      <w:r>
        <w:rPr>
          <w:rFonts w:hint="eastAsia" w:cs="宋体"/>
          <w:color w:val="auto"/>
          <w:sz w:val="24"/>
          <w:szCs w:val="24"/>
          <w:highlight w:val="none"/>
          <w:lang w:eastAsia="zh-CN"/>
        </w:rPr>
        <w:t>179.60万元</w:t>
      </w:r>
      <w:r>
        <w:rPr>
          <w:rFonts w:hint="eastAsia" w:cs="宋体"/>
          <w:color w:val="auto"/>
          <w:sz w:val="24"/>
          <w:szCs w:val="24"/>
          <w:highlight w:val="none"/>
        </w:rPr>
        <w:t>。</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最高限价：</w:t>
      </w:r>
      <w:r>
        <w:rPr>
          <w:rFonts w:hint="eastAsia" w:cs="宋体"/>
          <w:color w:val="auto"/>
          <w:sz w:val="24"/>
          <w:szCs w:val="24"/>
          <w:highlight w:val="none"/>
          <w:lang w:eastAsia="zh-CN"/>
        </w:rPr>
        <w:t>179.60万元</w:t>
      </w:r>
      <w:r>
        <w:rPr>
          <w:rFonts w:hint="eastAsia" w:cs="宋体"/>
          <w:color w:val="auto"/>
          <w:sz w:val="24"/>
          <w:szCs w:val="24"/>
          <w:highlight w:val="none"/>
        </w:rPr>
        <w:t>。</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采购需求：</w:t>
      </w:r>
      <w:r>
        <w:rPr>
          <w:rFonts w:hint="eastAsia" w:cs="宋体"/>
          <w:color w:val="auto"/>
          <w:sz w:val="24"/>
          <w:szCs w:val="24"/>
          <w:highlight w:val="none"/>
          <w:lang w:eastAsia="zh-CN"/>
        </w:rPr>
        <w:t>购置彩色多普勒超声诊断仪一台</w:t>
      </w:r>
      <w:r>
        <w:rPr>
          <w:rFonts w:hint="eastAsia" w:cs="宋体"/>
          <w:color w:val="auto"/>
          <w:sz w:val="24"/>
          <w:szCs w:val="24"/>
          <w:highlight w:val="none"/>
        </w:rPr>
        <w:t>，具体详见项目需求。</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交货时间：</w:t>
      </w:r>
      <w:r>
        <w:rPr>
          <w:rFonts w:hint="eastAsia" w:cs="宋体"/>
          <w:color w:val="auto"/>
          <w:sz w:val="24"/>
          <w:szCs w:val="24"/>
          <w:highlight w:val="none"/>
          <w:lang w:eastAsia="zh-CN"/>
        </w:rPr>
        <w:t>合同签订后60 天内交货并安装验收完毕</w:t>
      </w:r>
      <w:r>
        <w:rPr>
          <w:rFonts w:hint="eastAsia" w:cs="宋体"/>
          <w:color w:val="auto"/>
          <w:sz w:val="24"/>
          <w:szCs w:val="24"/>
          <w:highlight w:val="none"/>
        </w:rPr>
        <w:t>。</w:t>
      </w:r>
    </w:p>
    <w:p>
      <w:pPr>
        <w:pStyle w:val="34"/>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本项目不接受联合体。</w:t>
      </w:r>
    </w:p>
    <w:p>
      <w:pPr>
        <w:pStyle w:val="34"/>
        <w:spacing w:before="0" w:beforeAutospacing="0" w:after="0" w:afterAutospacing="0" w:line="360" w:lineRule="auto"/>
        <w:ind w:firstLine="480" w:firstLineChars="200"/>
        <w:rPr>
          <w:rFonts w:cs="宋体"/>
          <w:color w:val="auto"/>
          <w:sz w:val="24"/>
          <w:szCs w:val="24"/>
          <w:highlight w:val="none"/>
        </w:rPr>
      </w:pPr>
      <w:bookmarkStart w:id="5" w:name="_Toc28359013"/>
      <w:bookmarkStart w:id="6" w:name="_Toc35393630"/>
      <w:bookmarkStart w:id="7" w:name="_Toc35393799"/>
      <w:bookmarkStart w:id="8" w:name="_Toc28359090"/>
      <w:r>
        <w:rPr>
          <w:rFonts w:hint="eastAsia" w:cs="宋体"/>
          <w:color w:val="auto"/>
          <w:sz w:val="24"/>
          <w:szCs w:val="24"/>
          <w:highlight w:val="none"/>
        </w:rPr>
        <w:t>二、申请人的资格要求：</w:t>
      </w:r>
      <w:bookmarkEnd w:id="5"/>
      <w:bookmarkEnd w:id="6"/>
      <w:bookmarkEnd w:id="7"/>
      <w:bookmarkEnd w:id="8"/>
    </w:p>
    <w:p>
      <w:pPr>
        <w:pStyle w:val="34"/>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1.满足《中华人民共和国政府采购法》第二十二条规定； </w:t>
      </w:r>
    </w:p>
    <w:p>
      <w:pPr>
        <w:pStyle w:val="34"/>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2.单位负责人为同一人或者存在直接控股、管理关系的不同供应商，不得参加同一合同项下的政府采购活动。</w:t>
      </w:r>
    </w:p>
    <w:p>
      <w:pPr>
        <w:pStyle w:val="34"/>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3.对在“信用中国”网站、中国政府采购网等渠道列入失信被执行人、重大税收违法失信主体、政府采购严重违法失信行为记录名单的，不得参与政府采购活动。</w:t>
      </w:r>
    </w:p>
    <w:p>
      <w:pPr>
        <w:snapToGrid w:val="0"/>
        <w:spacing w:line="324"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rPr>
        <w:t>4.本项目的特定资格要求：</w:t>
      </w:r>
      <w:r>
        <w:rPr>
          <w:rFonts w:hint="eastAsia" w:ascii="宋体" w:hAnsi="宋体"/>
          <w:color w:val="auto"/>
          <w:sz w:val="24"/>
          <w:szCs w:val="24"/>
          <w:highlight w:val="non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w:t>
      </w:r>
      <w:r>
        <w:rPr>
          <w:rFonts w:hint="eastAsia" w:ascii="宋体" w:hAnsi="宋体"/>
          <w:color w:val="auto"/>
          <w:sz w:val="24"/>
          <w:szCs w:val="24"/>
          <w:highlight w:val="none"/>
          <w:lang w:eastAsia="zh-CN"/>
        </w:rPr>
        <w:t>。</w:t>
      </w:r>
    </w:p>
    <w:p>
      <w:pPr>
        <w:pStyle w:val="34"/>
        <w:spacing w:before="0" w:beforeAutospacing="0" w:after="0" w:afterAutospacing="0" w:line="360" w:lineRule="auto"/>
        <w:ind w:firstLine="480" w:firstLineChars="200"/>
        <w:rPr>
          <w:rFonts w:hint="eastAsia" w:cs="宋体"/>
          <w:bCs/>
          <w:color w:val="auto"/>
          <w:sz w:val="24"/>
          <w:szCs w:val="24"/>
          <w:highlight w:val="none"/>
          <w:lang w:eastAsia="zh-CN"/>
        </w:rPr>
      </w:pPr>
      <w:r>
        <w:rPr>
          <w:rFonts w:hint="eastAsia" w:cs="宋体"/>
          <w:bCs/>
          <w:color w:val="auto"/>
          <w:sz w:val="24"/>
          <w:szCs w:val="24"/>
          <w:highlight w:val="none"/>
        </w:rPr>
        <w:t>5.落实政府采购政策需满足的资格要求：</w:t>
      </w:r>
      <w:r>
        <w:rPr>
          <w:rFonts w:hint="eastAsia" w:cs="宋体"/>
          <w:bCs/>
          <w:color w:val="auto"/>
          <w:sz w:val="24"/>
          <w:szCs w:val="24"/>
          <w:highlight w:val="none"/>
          <w:lang w:eastAsia="zh-CN"/>
        </w:rPr>
        <w:t>无</w:t>
      </w:r>
    </w:p>
    <w:p>
      <w:pPr>
        <w:pStyle w:val="34"/>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6.不接受未通过</w:t>
      </w:r>
      <w:r>
        <w:rPr>
          <w:rFonts w:hint="eastAsia" w:ascii="宋体" w:hAnsi="宋体" w:eastAsia="宋体" w:cs="宋体"/>
          <w:color w:val="auto"/>
          <w:sz w:val="24"/>
          <w:szCs w:val="24"/>
          <w:highlight w:val="none"/>
          <w:u w:val="single"/>
        </w:rPr>
        <w:t>广西政府采购云平台（https://www.gcy.zfcg.gxzf.gov.cn/）</w:t>
      </w:r>
      <w:r>
        <w:rPr>
          <w:rFonts w:hint="eastAsia" w:cs="宋体"/>
          <w:bCs/>
          <w:color w:val="auto"/>
          <w:sz w:val="24"/>
          <w:szCs w:val="24"/>
          <w:highlight w:val="none"/>
        </w:rPr>
        <w:t>获取本项目竞争性谈判采购文件的供应商参加谈判。</w:t>
      </w:r>
    </w:p>
    <w:p>
      <w:pPr>
        <w:keepNext w:val="0"/>
        <w:keepLines w:val="0"/>
        <w:pageBreakBefore w:val="0"/>
        <w:kinsoku/>
        <w:wordWrap/>
        <w:overflowPunct/>
        <w:topLinePunct w:val="0"/>
        <w:autoSpaceDE/>
        <w:autoSpaceDN/>
        <w:bidi w:val="0"/>
        <w:adjustRightInd/>
        <w:snapToGrid w:val="0"/>
        <w:spacing w:line="48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三、获取采购文件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1.时间：</w:t>
      </w:r>
      <w:r>
        <w:rPr>
          <w:rFonts w:hint="eastAsia" w:ascii="宋体" w:hAnsi="宋体" w:cs="宋体"/>
          <w:b/>
          <w:bCs/>
          <w:color w:val="auto"/>
          <w:sz w:val="24"/>
          <w:szCs w:val="24"/>
          <w:highlight w:val="none"/>
          <w:lang w:eastAsia="zh-CN"/>
        </w:rPr>
        <w:t>2025年7月</w:t>
      </w: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lang w:eastAsia="zh-CN"/>
        </w:rPr>
        <w:t>日至 2025年7月</w:t>
      </w:r>
      <w:r>
        <w:rPr>
          <w:rFonts w:hint="eastAsia" w:ascii="宋体" w:hAnsi="宋体" w:cs="宋体"/>
          <w:b/>
          <w:bCs/>
          <w:color w:val="auto"/>
          <w:sz w:val="24"/>
          <w:szCs w:val="24"/>
          <w:highlight w:val="none"/>
          <w:lang w:val="en-US" w:eastAsia="zh-CN"/>
        </w:rPr>
        <w:t>28</w:t>
      </w:r>
      <w:r>
        <w:rPr>
          <w:rFonts w:hint="eastAsia" w:ascii="宋体" w:hAnsi="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,每天上午00:00至12:00，下午12:00至23:59（北京时间，法定节假日除外）（北京时间，法定节假日除外）</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2.地点（网址）：广西政府采购云平台线上获取</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方式：应商登录广西政府采购云平台（https://www.gcy.zfcg.gxzf.gov.cn/）在线申请获取采购文件（进入“项目采购”应用，在获取采购文件菜单中选择项目，申请获取采购文件）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售价（元）：0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在规定的时间内按上述方式获取</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才具有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资格，否则</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无效。</w:t>
      </w:r>
    </w:p>
    <w:p>
      <w:pPr>
        <w:widowControl/>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四、提交响应文件截止时间、开标时间和地点</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2025年7月29日上午9点00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地点（网址）：本项目为电子化项目，通过“广西政府采购云平台（https://www.gcy.zfcg.gxzf.gov.cn/）实行在线电子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，供应商应先安装“广西政府采购云平台电子交易客户端”（请自行前往“广西政府采购云平台”平台进行下载），并按照本项目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和“广西政府采购云平台”的要求编制、加密后在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前通过网络上传至“广西政府采购云平台”。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2025年7月29日上午9点00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开标地点：广西政府采购云平台开标大厅。（本项目为全流程电子化项目，通过“广西政府采购云平台”（https://www.gcy.zfcg.gxzf.gov.cn/）实行在线电子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。不要求供应商到达开标现场，但供应商应派法定代表人或委托代理人准时在线出席电子开评标会议，随时关注开评标进度，如在开评标过程中有电子询标，应在规定的时间内对电子询标函进行澄清回复。）</w:t>
      </w:r>
    </w:p>
    <w:p>
      <w:pPr>
        <w:widowControl/>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五、公告期限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widowControl/>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六</w:t>
      </w:r>
      <w:r>
        <w:rPr>
          <w:rFonts w:hint="eastAsia" w:ascii="宋体" w:hAnsi="宋体" w:cs="宋体"/>
          <w:b/>
          <w:color w:val="auto"/>
          <w:kern w:val="0"/>
          <w:sz w:val="24"/>
          <w:szCs w:val="24"/>
          <w:highlight w:val="none"/>
        </w:rPr>
        <w:t>、谈判保证金金额：</w:t>
      </w:r>
      <w:r>
        <w:rPr>
          <w:rFonts w:hint="eastAsia" w:ascii="宋体" w:hAnsi="宋体" w:cs="宋体"/>
          <w:b/>
          <w:color w:val="auto"/>
          <w:kern w:val="0"/>
          <w:sz w:val="24"/>
          <w:szCs w:val="24"/>
          <w:highlight w:val="none"/>
          <w:u w:val="single"/>
        </w:rPr>
        <w:t>人民币</w:t>
      </w:r>
      <w:r>
        <w:rPr>
          <w:rFonts w:hint="eastAsia" w:ascii="宋体" w:hAnsi="宋体" w:cs="宋体"/>
          <w:b/>
          <w:color w:val="auto"/>
          <w:kern w:val="0"/>
          <w:sz w:val="24"/>
          <w:szCs w:val="24"/>
          <w:highlight w:val="none"/>
          <w:u w:val="single"/>
          <w:lang w:eastAsia="zh-CN"/>
        </w:rPr>
        <w:t>柒仟玖佰元整</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u w:val="single"/>
          <w:lang w:val="en-US" w:eastAsia="zh-CN"/>
        </w:rPr>
        <w:t>7900.00</w:t>
      </w:r>
      <w:r>
        <w:rPr>
          <w:rFonts w:hint="eastAsia" w:ascii="宋体" w:hAnsi="宋体" w:cs="宋体"/>
          <w:b/>
          <w:color w:val="auto"/>
          <w:kern w:val="0"/>
          <w:sz w:val="24"/>
          <w:szCs w:val="24"/>
          <w:highlight w:val="none"/>
        </w:rPr>
        <w:t>）</w:t>
      </w:r>
      <w:r>
        <w:rPr>
          <w:rFonts w:hint="eastAsia" w:ascii="宋体" w:hAnsi="宋体" w:cs="宋体"/>
          <w:color w:val="auto"/>
          <w:kern w:val="0"/>
          <w:sz w:val="24"/>
          <w:szCs w:val="24"/>
          <w:highlight w:val="none"/>
        </w:rPr>
        <w:t>【保证金专用账户及缴纳方式详见谈判须知前附表】。</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sz w:val="24"/>
          <w:szCs w:val="24"/>
          <w:highlight w:val="none"/>
        </w:rPr>
        <w:t>其他补充事宜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1、网上公告媒体查询：中国政府采购网（http://www.ccgp.gov.cn）、广西壮族自治区政府采购网（http://zfcg.gxzf.gov.cn/）、梧州市政府采购网（http://218.21.70.237:8090/web/cgw/index.ptl）</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rPr>
        <w:t>项目需要落实的政府采购政策：</w:t>
      </w:r>
    </w:p>
    <w:p>
      <w:pPr>
        <w:pStyle w:val="13"/>
        <w:numPr>
          <w:ilvl w:val="0"/>
          <w:numId w:val="0"/>
        </w:numPr>
        <w:kinsoku w:val="0"/>
        <w:overflowPunct w:val="0"/>
        <w:spacing w:before="16" w:line="420" w:lineRule="exact"/>
        <w:ind w:left="400" w:leftChars="0" w:right="4585"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促</w:t>
      </w:r>
      <w:r>
        <w:rPr>
          <w:rFonts w:hint="eastAsia" w:ascii="宋体" w:hAnsi="宋体" w:eastAsia="宋体" w:cs="宋体"/>
          <w:color w:val="auto"/>
          <w:spacing w:val="2"/>
          <w:sz w:val="24"/>
          <w:szCs w:val="24"/>
          <w:highlight w:val="none"/>
        </w:rPr>
        <w:t>进</w:t>
      </w:r>
      <w:r>
        <w:rPr>
          <w:rFonts w:hint="eastAsia" w:ascii="宋体" w:hAnsi="宋体" w:eastAsia="宋体" w:cs="宋体"/>
          <w:color w:val="auto"/>
          <w:spacing w:val="-1"/>
          <w:sz w:val="24"/>
          <w:szCs w:val="24"/>
          <w:highlight w:val="none"/>
        </w:rPr>
        <w:t>中</w:t>
      </w:r>
      <w:r>
        <w:rPr>
          <w:rFonts w:hint="eastAsia" w:ascii="宋体" w:hAnsi="宋体" w:eastAsia="宋体" w:cs="宋体"/>
          <w:color w:val="auto"/>
          <w:spacing w:val="2"/>
          <w:sz w:val="24"/>
          <w:szCs w:val="24"/>
          <w:highlight w:val="none"/>
        </w:rPr>
        <w:t>小</w:t>
      </w:r>
      <w:r>
        <w:rPr>
          <w:rFonts w:hint="eastAsia" w:ascii="宋体" w:hAnsi="宋体" w:eastAsia="宋体" w:cs="宋体"/>
          <w:color w:val="auto"/>
          <w:spacing w:val="-1"/>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pacing w:val="-1"/>
          <w:sz w:val="24"/>
          <w:szCs w:val="24"/>
          <w:highlight w:val="none"/>
        </w:rPr>
        <w:t>发</w:t>
      </w:r>
      <w:r>
        <w:rPr>
          <w:rFonts w:hint="eastAsia" w:ascii="宋体" w:hAnsi="宋体" w:eastAsia="宋体" w:cs="宋体"/>
          <w:color w:val="auto"/>
          <w:spacing w:val="2"/>
          <w:sz w:val="24"/>
          <w:szCs w:val="24"/>
          <w:highlight w:val="none"/>
        </w:rPr>
        <w:t>展</w:t>
      </w:r>
      <w:r>
        <w:rPr>
          <w:rFonts w:hint="eastAsia" w:ascii="宋体" w:hAnsi="宋体" w:eastAsia="宋体" w:cs="宋体"/>
          <w:color w:val="auto"/>
          <w:sz w:val="24"/>
          <w:szCs w:val="24"/>
          <w:highlight w:val="none"/>
        </w:rPr>
        <w:t>。</w:t>
      </w:r>
    </w:p>
    <w:p>
      <w:pPr>
        <w:pStyle w:val="13"/>
        <w:numPr>
          <w:ilvl w:val="0"/>
          <w:numId w:val="0"/>
        </w:numPr>
        <w:kinsoku w:val="0"/>
        <w:overflowPunct w:val="0"/>
        <w:spacing w:before="16"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支</w:t>
      </w:r>
      <w:r>
        <w:rPr>
          <w:rFonts w:hint="eastAsia" w:ascii="宋体" w:hAnsi="宋体" w:eastAsia="宋体" w:cs="宋体"/>
          <w:color w:val="auto"/>
          <w:spacing w:val="2"/>
          <w:sz w:val="24"/>
          <w:szCs w:val="24"/>
          <w:highlight w:val="none"/>
        </w:rPr>
        <w:t>持</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用</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2"/>
          <w:sz w:val="24"/>
          <w:szCs w:val="24"/>
          <w:highlight w:val="none"/>
        </w:rPr>
        <w:t>国</w:t>
      </w:r>
      <w:r>
        <w:rPr>
          <w:rFonts w:hint="eastAsia" w:ascii="宋体" w:hAnsi="宋体" w:eastAsia="宋体" w:cs="宋体"/>
          <w:color w:val="auto"/>
          <w:spacing w:val="-1"/>
          <w:sz w:val="24"/>
          <w:szCs w:val="24"/>
          <w:highlight w:val="none"/>
        </w:rPr>
        <w:t>产</w:t>
      </w:r>
      <w:r>
        <w:rPr>
          <w:rFonts w:hint="eastAsia" w:ascii="宋体" w:hAnsi="宋体" w:eastAsia="宋体" w:cs="宋体"/>
          <w:color w:val="auto"/>
          <w:spacing w:val="2"/>
          <w:sz w:val="24"/>
          <w:szCs w:val="24"/>
          <w:highlight w:val="none"/>
        </w:rPr>
        <w:t>品</w:t>
      </w:r>
      <w:r>
        <w:rPr>
          <w:rFonts w:hint="eastAsia" w:ascii="宋体" w:hAnsi="宋体" w:eastAsia="宋体" w:cs="宋体"/>
          <w:color w:val="auto"/>
          <w:spacing w:val="-1"/>
          <w:sz w:val="24"/>
          <w:szCs w:val="24"/>
          <w:highlight w:val="none"/>
        </w:rPr>
        <w:t>的</w:t>
      </w:r>
      <w:r>
        <w:rPr>
          <w:rFonts w:hint="eastAsia" w:ascii="宋体" w:hAnsi="宋体" w:eastAsia="宋体" w:cs="宋体"/>
          <w:color w:val="auto"/>
          <w:spacing w:val="2"/>
          <w:sz w:val="24"/>
          <w:szCs w:val="24"/>
          <w:highlight w:val="none"/>
        </w:rPr>
        <w:t>政</w:t>
      </w:r>
      <w:r>
        <w:rPr>
          <w:rFonts w:hint="eastAsia" w:ascii="宋体" w:hAnsi="宋体" w:eastAsia="宋体" w:cs="宋体"/>
          <w:color w:val="auto"/>
          <w:spacing w:val="-1"/>
          <w:sz w:val="24"/>
          <w:szCs w:val="24"/>
          <w:highlight w:val="none"/>
        </w:rPr>
        <w:t>策</w:t>
      </w:r>
      <w:r>
        <w:rPr>
          <w:rFonts w:hint="eastAsia" w:ascii="宋体" w:hAnsi="宋体" w:eastAsia="宋体" w:cs="宋体"/>
          <w:color w:val="auto"/>
          <w:sz w:val="24"/>
          <w:szCs w:val="24"/>
          <w:highlight w:val="none"/>
        </w:rPr>
        <w:t>。</w:t>
      </w:r>
    </w:p>
    <w:p>
      <w:pPr>
        <w:pStyle w:val="13"/>
        <w:numPr>
          <w:ilvl w:val="0"/>
          <w:numId w:val="0"/>
        </w:numPr>
        <w:kinsoku w:val="0"/>
        <w:overflowPunct w:val="0"/>
        <w:spacing w:before="50"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强</w:t>
      </w:r>
      <w:r>
        <w:rPr>
          <w:rFonts w:hint="eastAsia" w:ascii="宋体" w:hAnsi="宋体" w:eastAsia="宋体" w:cs="宋体"/>
          <w:color w:val="auto"/>
          <w:spacing w:val="2"/>
          <w:sz w:val="24"/>
          <w:szCs w:val="24"/>
          <w:highlight w:val="none"/>
        </w:rPr>
        <w:t>制</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优</w:t>
      </w:r>
      <w:r>
        <w:rPr>
          <w:rFonts w:hint="eastAsia" w:ascii="宋体" w:hAnsi="宋体" w:eastAsia="宋体" w:cs="宋体"/>
          <w:color w:val="auto"/>
          <w:spacing w:val="-1"/>
          <w:sz w:val="24"/>
          <w:szCs w:val="24"/>
          <w:highlight w:val="none"/>
        </w:rPr>
        <w:t>先</w:t>
      </w:r>
      <w:r>
        <w:rPr>
          <w:rFonts w:hint="eastAsia" w:ascii="宋体" w:hAnsi="宋体" w:eastAsia="宋体" w:cs="宋体"/>
          <w:color w:val="auto"/>
          <w:spacing w:val="2"/>
          <w:sz w:val="24"/>
          <w:szCs w:val="24"/>
          <w:highlight w:val="none"/>
        </w:rPr>
        <w:t>采</w:t>
      </w:r>
      <w:r>
        <w:rPr>
          <w:rFonts w:hint="eastAsia" w:ascii="宋体" w:hAnsi="宋体" w:eastAsia="宋体" w:cs="宋体"/>
          <w:color w:val="auto"/>
          <w:spacing w:val="-1"/>
          <w:sz w:val="24"/>
          <w:szCs w:val="24"/>
          <w:highlight w:val="none"/>
        </w:rPr>
        <w:t>购</w:t>
      </w:r>
      <w:r>
        <w:rPr>
          <w:rFonts w:hint="eastAsia" w:ascii="宋体" w:hAnsi="宋体" w:eastAsia="宋体" w:cs="宋体"/>
          <w:color w:val="auto"/>
          <w:spacing w:val="2"/>
          <w:sz w:val="24"/>
          <w:szCs w:val="24"/>
          <w:highlight w:val="none"/>
        </w:rPr>
        <w:t>环</w:t>
      </w:r>
      <w:r>
        <w:rPr>
          <w:rFonts w:hint="eastAsia" w:ascii="宋体" w:hAnsi="宋体" w:eastAsia="宋体" w:cs="宋体"/>
          <w:color w:val="auto"/>
          <w:spacing w:val="-1"/>
          <w:sz w:val="24"/>
          <w:szCs w:val="24"/>
          <w:highlight w:val="none"/>
        </w:rPr>
        <w:t>境</w:t>
      </w:r>
      <w:r>
        <w:rPr>
          <w:rFonts w:hint="eastAsia" w:ascii="宋体" w:hAnsi="宋体" w:eastAsia="宋体" w:cs="宋体"/>
          <w:color w:val="auto"/>
          <w:spacing w:val="2"/>
          <w:sz w:val="24"/>
          <w:szCs w:val="24"/>
          <w:highlight w:val="none"/>
        </w:rPr>
        <w:t>标</w:t>
      </w:r>
      <w:r>
        <w:rPr>
          <w:rFonts w:hint="eastAsia" w:ascii="宋体" w:hAnsi="宋体" w:eastAsia="宋体" w:cs="宋体"/>
          <w:color w:val="auto"/>
          <w:spacing w:val="-1"/>
          <w:sz w:val="24"/>
          <w:szCs w:val="24"/>
          <w:highlight w:val="none"/>
        </w:rPr>
        <w:t>志</w:t>
      </w:r>
      <w:r>
        <w:rPr>
          <w:rFonts w:hint="eastAsia" w:ascii="宋体" w:hAnsi="宋体" w:eastAsia="宋体" w:cs="宋体"/>
          <w:color w:val="auto"/>
          <w:spacing w:val="2"/>
          <w:sz w:val="24"/>
          <w:szCs w:val="24"/>
          <w:highlight w:val="none"/>
        </w:rPr>
        <w:t>产</w:t>
      </w:r>
      <w:r>
        <w:rPr>
          <w:rFonts w:hint="eastAsia" w:ascii="宋体" w:hAnsi="宋体" w:eastAsia="宋体" w:cs="宋体"/>
          <w:color w:val="auto"/>
          <w:spacing w:val="-1"/>
          <w:sz w:val="24"/>
          <w:szCs w:val="24"/>
          <w:highlight w:val="none"/>
        </w:rPr>
        <w:t>品</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rPr>
        <w:t>节</w:t>
      </w:r>
      <w:r>
        <w:rPr>
          <w:rFonts w:hint="eastAsia" w:ascii="宋体" w:hAnsi="宋体" w:eastAsia="宋体" w:cs="宋体"/>
          <w:color w:val="auto"/>
          <w:spacing w:val="2"/>
          <w:sz w:val="24"/>
          <w:szCs w:val="24"/>
          <w:highlight w:val="none"/>
        </w:rPr>
        <w:t>能</w:t>
      </w:r>
      <w:r>
        <w:rPr>
          <w:rFonts w:hint="eastAsia" w:ascii="宋体" w:hAnsi="宋体" w:eastAsia="宋体" w:cs="宋体"/>
          <w:color w:val="auto"/>
          <w:spacing w:val="-1"/>
          <w:sz w:val="24"/>
          <w:szCs w:val="24"/>
          <w:highlight w:val="none"/>
        </w:rPr>
        <w:t>产</w:t>
      </w:r>
      <w:r>
        <w:rPr>
          <w:rFonts w:hint="eastAsia" w:ascii="宋体" w:hAnsi="宋体" w:eastAsia="宋体" w:cs="宋体"/>
          <w:color w:val="auto"/>
          <w:spacing w:val="2"/>
          <w:sz w:val="24"/>
          <w:szCs w:val="24"/>
          <w:highlight w:val="none"/>
        </w:rPr>
        <w:t>品</w:t>
      </w:r>
      <w:r>
        <w:rPr>
          <w:rFonts w:hint="eastAsia" w:ascii="宋体" w:hAnsi="宋体" w:eastAsia="宋体" w:cs="宋体"/>
          <w:color w:val="auto"/>
          <w:sz w:val="24"/>
          <w:szCs w:val="24"/>
          <w:highlight w:val="none"/>
        </w:rPr>
        <w:t>。</w:t>
      </w:r>
    </w:p>
    <w:p>
      <w:pPr>
        <w:pStyle w:val="13"/>
        <w:numPr>
          <w:ilvl w:val="0"/>
          <w:numId w:val="0"/>
        </w:numPr>
        <w:kinsoku w:val="0"/>
        <w:overflowPunct w:val="0"/>
        <w:spacing w:before="50"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促</w:t>
      </w:r>
      <w:r>
        <w:rPr>
          <w:rFonts w:hint="eastAsia" w:ascii="宋体" w:hAnsi="宋体" w:eastAsia="宋体" w:cs="宋体"/>
          <w:color w:val="auto"/>
          <w:spacing w:val="2"/>
          <w:sz w:val="24"/>
          <w:szCs w:val="24"/>
          <w:highlight w:val="none"/>
        </w:rPr>
        <w:t>进</w:t>
      </w:r>
      <w:r>
        <w:rPr>
          <w:rFonts w:hint="eastAsia" w:ascii="宋体" w:hAnsi="宋体" w:eastAsia="宋体" w:cs="宋体"/>
          <w:color w:val="auto"/>
          <w:spacing w:val="-1"/>
          <w:sz w:val="24"/>
          <w:szCs w:val="24"/>
          <w:highlight w:val="none"/>
        </w:rPr>
        <w:t>残</w:t>
      </w:r>
      <w:r>
        <w:rPr>
          <w:rFonts w:hint="eastAsia" w:ascii="宋体" w:hAnsi="宋体" w:eastAsia="宋体" w:cs="宋体"/>
          <w:color w:val="auto"/>
          <w:spacing w:val="2"/>
          <w:sz w:val="24"/>
          <w:szCs w:val="24"/>
          <w:highlight w:val="none"/>
        </w:rPr>
        <w:t>疾</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2"/>
          <w:sz w:val="24"/>
          <w:szCs w:val="24"/>
          <w:highlight w:val="none"/>
        </w:rPr>
        <w:t>就</w:t>
      </w:r>
      <w:r>
        <w:rPr>
          <w:rFonts w:hint="eastAsia" w:ascii="宋体" w:hAnsi="宋体" w:eastAsia="宋体" w:cs="宋体"/>
          <w:color w:val="auto"/>
          <w:spacing w:val="-1"/>
          <w:sz w:val="24"/>
          <w:szCs w:val="24"/>
          <w:highlight w:val="none"/>
        </w:rPr>
        <w:t>业</w:t>
      </w:r>
      <w:r>
        <w:rPr>
          <w:rFonts w:hint="eastAsia" w:ascii="宋体" w:hAnsi="宋体" w:eastAsia="宋体" w:cs="宋体"/>
          <w:color w:val="auto"/>
          <w:spacing w:val="2"/>
          <w:sz w:val="24"/>
          <w:szCs w:val="24"/>
          <w:highlight w:val="none"/>
        </w:rPr>
        <w:t>政</w:t>
      </w:r>
      <w:r>
        <w:rPr>
          <w:rFonts w:hint="eastAsia" w:ascii="宋体" w:hAnsi="宋体" w:eastAsia="宋体" w:cs="宋体"/>
          <w:color w:val="auto"/>
          <w:spacing w:val="-1"/>
          <w:sz w:val="24"/>
          <w:szCs w:val="24"/>
          <w:highlight w:val="none"/>
        </w:rPr>
        <w:t>策</w:t>
      </w:r>
      <w:r>
        <w:rPr>
          <w:rFonts w:hint="eastAsia" w:ascii="宋体" w:hAnsi="宋体" w:eastAsia="宋体" w:cs="宋体"/>
          <w:color w:val="auto"/>
          <w:sz w:val="24"/>
          <w:szCs w:val="24"/>
          <w:highlight w:val="none"/>
        </w:rPr>
        <w:t>。</w:t>
      </w:r>
    </w:p>
    <w:p>
      <w:pPr>
        <w:pStyle w:val="13"/>
        <w:numPr>
          <w:ilvl w:val="0"/>
          <w:numId w:val="0"/>
        </w:numPr>
        <w:kinsoku w:val="0"/>
        <w:overflowPunct w:val="0"/>
        <w:spacing w:before="34"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支</w:t>
      </w:r>
      <w:r>
        <w:rPr>
          <w:rFonts w:hint="eastAsia" w:ascii="宋体" w:hAnsi="宋体" w:eastAsia="宋体" w:cs="宋体"/>
          <w:color w:val="auto"/>
          <w:spacing w:val="2"/>
          <w:sz w:val="24"/>
          <w:szCs w:val="24"/>
          <w:highlight w:val="none"/>
        </w:rPr>
        <w:t>持</w:t>
      </w:r>
      <w:r>
        <w:rPr>
          <w:rFonts w:hint="eastAsia" w:ascii="宋体" w:hAnsi="宋体" w:eastAsia="宋体" w:cs="宋体"/>
          <w:color w:val="auto"/>
          <w:spacing w:val="-1"/>
          <w:sz w:val="24"/>
          <w:szCs w:val="24"/>
          <w:highlight w:val="none"/>
        </w:rPr>
        <w:t>监</w:t>
      </w:r>
      <w:r>
        <w:rPr>
          <w:rFonts w:hint="eastAsia" w:ascii="宋体" w:hAnsi="宋体" w:eastAsia="宋体" w:cs="宋体"/>
          <w:color w:val="auto"/>
          <w:spacing w:val="2"/>
          <w:sz w:val="24"/>
          <w:szCs w:val="24"/>
          <w:highlight w:val="none"/>
        </w:rPr>
        <w:t>狱</w:t>
      </w:r>
      <w:r>
        <w:rPr>
          <w:rFonts w:hint="eastAsia" w:ascii="宋体" w:hAnsi="宋体" w:eastAsia="宋体" w:cs="宋体"/>
          <w:color w:val="auto"/>
          <w:spacing w:val="-1"/>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pacing w:val="-1"/>
          <w:sz w:val="24"/>
          <w:szCs w:val="24"/>
          <w:highlight w:val="none"/>
        </w:rPr>
        <w:t>发</w:t>
      </w:r>
      <w:r>
        <w:rPr>
          <w:rFonts w:hint="eastAsia" w:ascii="宋体" w:hAnsi="宋体" w:eastAsia="宋体" w:cs="宋体"/>
          <w:color w:val="auto"/>
          <w:spacing w:val="2"/>
          <w:sz w:val="24"/>
          <w:szCs w:val="24"/>
          <w:highlight w:val="none"/>
        </w:rPr>
        <w:t>展</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、本项目实行电子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，注意事项如下：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提交方式：本项目为全流程电子化政府采购项目，通过广西政府采购云平台（https://www.gcy.zfcg.gxzf.gov.cn/）实行在线电子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，供应商应先安装“政采云电子交易客户端”（请自行前往广西政府采购云平台进行下载），并按照本项目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和广西政府采购云平台的要求编制、加密后在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截止时间前通过网络上传至广西政府采购云平台，供应商在广西政府采购云平台提交电子版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时，请填写参加远程开标活动经办人联系方式。</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应及时熟悉掌握电子标系统操作指南（见政采云电子卖场首页右上角—服务中心—帮助文档—项目采购）：https://service.zcygov.cn/#/knowledges/tree?tag=AG1DtGwBFdiHxlNdhY0r；及时完成CA申领和绑定（见广西壮族自治区政府采购网—办事服务—下载专区-政采云CA证书办理操作指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（3）未进行网上注册并办理数字证书（CA认证）的供应商将无法参与本项目政府采购活动，潜在供应商应当在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前，完成电子交易平台上的CA数字证书办理及</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的提交。完成CA数字证书办理预计7日左右，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只需办理其中一家CA数字证书及签章，建议各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抓紧时间办理。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（4）为确保网上操作合法、有效和安全，请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确保在电子投标过程中能够对相关数据电文进行加密和使用电子签章，妥善保管CA数字证书并使用有效的CA数字证书参与整个采购活动。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前完成电子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的上传、递交，</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前可以补充、修改或者撤回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。补充或者修改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的，应当先行撤回原文件，补充、修改后重新上传、递交。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截止时间前未完成上传、递交的，视为撤回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，广西政府采购云平台将予以拒收。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（5）CA证书在线解密：供应商</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时，需携带制作</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时用来加密的有效数字证书（CA认证）登录广西政府采购云平台电子开标大厅现场按规定时间对加密的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进行解密，否则后果自负。</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（6）若对项目采购电子交易系统操作有疑问，可登录广西政府采购云平台（https://www.gcy.zfcg.gxzf.gov.cn/），点击右侧咨询小采，获取采小蜜智能服务管家帮助，或拨打政采云服务热线95763获取热线服务帮助。</w:t>
      </w:r>
    </w:p>
    <w:p>
      <w:pPr>
        <w:snapToGrid w:val="0"/>
        <w:spacing w:line="360" w:lineRule="auto"/>
        <w:ind w:firstLine="482" w:firstLineChars="200"/>
        <w:rPr>
          <w:rFonts w:ascii="宋体" w:hAnsi="宋体" w:cs="宋体"/>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联系方式</w:t>
      </w:r>
      <w:r>
        <w:rPr>
          <w:rFonts w:hint="eastAsia" w:ascii="宋体" w:hAnsi="宋体" w:cs="宋体"/>
          <w:b/>
          <w:color w:val="auto"/>
          <w:kern w:val="0"/>
          <w:sz w:val="24"/>
          <w:szCs w:val="24"/>
          <w:highlight w:val="none"/>
        </w:rPr>
        <w:t>：</w:t>
      </w:r>
    </w:p>
    <w:p>
      <w:pPr>
        <w:snapToGrid w:val="0"/>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cs="宋体"/>
          <w:color w:val="auto"/>
          <w:sz w:val="24"/>
          <w:szCs w:val="24"/>
          <w:highlight w:val="none"/>
        </w:rPr>
        <w:t>1、采购人：</w:t>
      </w:r>
      <w:r>
        <w:rPr>
          <w:rFonts w:hint="eastAsia" w:ascii="宋体" w:hAnsi="宋体" w:cs="宋体"/>
          <w:bCs/>
          <w:color w:val="auto"/>
          <w:kern w:val="0"/>
          <w:sz w:val="24"/>
          <w:szCs w:val="24"/>
          <w:highlight w:val="none"/>
          <w:lang w:eastAsia="zh-CN"/>
        </w:rPr>
        <w:t>梧州市长洲区大塘社区卫生服务中心</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梧州市长洲区西堤三路66号</w:t>
      </w:r>
      <w:r>
        <w:rPr>
          <w:rFonts w:hint="eastAsia" w:ascii="宋体" w:hAnsi="宋体" w:cs="宋体"/>
          <w:color w:val="auto"/>
          <w:sz w:val="24"/>
          <w:szCs w:val="24"/>
          <w:highlight w:val="none"/>
        </w:rPr>
        <w:t>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联系人：钟小姐   电话：0774-2833676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2、采购代理机构：广西中信恒泰工程顾问有限公司</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地址：梧州市三龙大道15号金湖湾小区2栋2单元201号房</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联系人：林</w:t>
      </w:r>
      <w:r>
        <w:rPr>
          <w:rFonts w:hint="eastAsia" w:ascii="宋体" w:hAnsi="宋体" w:cs="宋体"/>
          <w:color w:val="auto"/>
          <w:sz w:val="24"/>
          <w:szCs w:val="24"/>
          <w:highlight w:val="none"/>
          <w:lang w:eastAsia="zh-CN"/>
        </w:rPr>
        <w:t>工</w:t>
      </w:r>
      <w:r>
        <w:rPr>
          <w:rFonts w:hint="eastAsia" w:ascii="宋体" w:hAnsi="宋体" w:cs="宋体"/>
          <w:color w:val="auto"/>
          <w:sz w:val="24"/>
          <w:szCs w:val="24"/>
          <w:highlight w:val="none"/>
        </w:rPr>
        <w:t>       联系电话：0774-5826268    邮箱：wzzxht@126.com</w:t>
      </w:r>
    </w:p>
    <w:p>
      <w:pPr>
        <w:snapToGrid w:val="0"/>
        <w:spacing w:line="324" w:lineRule="auto"/>
        <w:ind w:firstLine="480" w:firstLineChars="200"/>
        <w:rPr>
          <w:rFonts w:ascii="宋体" w:hAnsi="宋体" w:cs="宋体"/>
          <w:color w:val="auto"/>
          <w:sz w:val="24"/>
          <w:szCs w:val="24"/>
          <w:highlight w:val="none"/>
        </w:rPr>
      </w:pPr>
    </w:p>
    <w:p>
      <w:pPr>
        <w:pStyle w:val="13"/>
        <w:rPr>
          <w:rFonts w:ascii="宋体" w:hAnsi="宋体" w:cs="宋体"/>
          <w:color w:val="auto"/>
          <w:sz w:val="24"/>
          <w:szCs w:val="24"/>
          <w:highlight w:val="none"/>
        </w:rPr>
      </w:pPr>
    </w:p>
    <w:p>
      <w:pPr>
        <w:pStyle w:val="15"/>
        <w:rPr>
          <w:color w:val="auto"/>
          <w:highlight w:val="none"/>
        </w:rPr>
      </w:pPr>
    </w:p>
    <w:p>
      <w:pPr>
        <w:pStyle w:val="34"/>
        <w:spacing w:before="0" w:beforeAutospacing="0" w:after="0" w:afterAutospacing="0" w:line="380" w:lineRule="exact"/>
        <w:ind w:firstLine="480" w:firstLineChars="200"/>
        <w:jc w:val="right"/>
        <w:rPr>
          <w:rFonts w:cs="宋体"/>
          <w:color w:val="auto"/>
          <w:sz w:val="24"/>
          <w:szCs w:val="24"/>
          <w:highlight w:val="none"/>
        </w:rPr>
      </w:pPr>
      <w:r>
        <w:rPr>
          <w:rFonts w:hint="eastAsia" w:cs="宋体"/>
          <w:color w:val="auto"/>
          <w:sz w:val="24"/>
          <w:szCs w:val="24"/>
          <w:highlight w:val="none"/>
          <w:lang w:eastAsia="zh-CN"/>
        </w:rPr>
        <w:t>采购人：梧州市长洲区大塘社区卫生服务中心</w:t>
      </w:r>
      <w:r>
        <w:rPr>
          <w:rFonts w:hint="eastAsia" w:cs="宋体"/>
          <w:color w:val="auto"/>
          <w:sz w:val="24"/>
          <w:szCs w:val="24"/>
          <w:highlight w:val="none"/>
        </w:rPr>
        <w:t>　</w:t>
      </w:r>
    </w:p>
    <w:p>
      <w:pPr>
        <w:pStyle w:val="34"/>
        <w:spacing w:before="0" w:beforeAutospacing="0" w:after="0" w:afterAutospacing="0" w:line="380" w:lineRule="exact"/>
        <w:ind w:firstLine="480" w:firstLineChars="200"/>
        <w:jc w:val="right"/>
        <w:rPr>
          <w:rFonts w:cs="宋体"/>
          <w:color w:val="auto"/>
          <w:sz w:val="24"/>
          <w:szCs w:val="24"/>
          <w:highlight w:val="none"/>
        </w:rPr>
      </w:pPr>
      <w:r>
        <w:rPr>
          <w:rFonts w:hint="eastAsia" w:ascii="宋体" w:hAnsi="宋体" w:cs="宋体"/>
          <w:color w:val="auto"/>
          <w:sz w:val="24"/>
          <w:szCs w:val="24"/>
          <w:highlight w:val="none"/>
        </w:rPr>
        <w:t>采购代理机构：</w:t>
      </w:r>
      <w:r>
        <w:rPr>
          <w:rFonts w:hint="eastAsia" w:cs="宋体"/>
          <w:color w:val="auto"/>
          <w:sz w:val="24"/>
          <w:szCs w:val="24"/>
          <w:highlight w:val="none"/>
        </w:rPr>
        <w:t>广西中信恒泰工程顾问有限公司　</w:t>
      </w:r>
    </w:p>
    <w:p>
      <w:pPr>
        <w:pStyle w:val="34"/>
        <w:spacing w:before="0" w:beforeAutospacing="0" w:after="0" w:afterAutospacing="0" w:line="380" w:lineRule="exact"/>
        <w:ind w:firstLine="480" w:firstLineChars="200"/>
        <w:jc w:val="right"/>
        <w:rPr>
          <w:rFonts w:hint="eastAsia" w:eastAsia="宋体" w:cs="宋体"/>
          <w:color w:val="auto"/>
          <w:sz w:val="24"/>
          <w:szCs w:val="24"/>
          <w:highlight w:val="none"/>
          <w:lang w:eastAsia="zh-CN"/>
        </w:rPr>
      </w:pPr>
      <w:r>
        <w:rPr>
          <w:rFonts w:hint="eastAsia" w:cs="宋体"/>
          <w:color w:val="auto"/>
          <w:sz w:val="24"/>
          <w:szCs w:val="24"/>
          <w:highlight w:val="none"/>
          <w:lang w:eastAsia="zh-CN"/>
        </w:rPr>
        <w:t>2025年</w:t>
      </w:r>
      <w:r>
        <w:rPr>
          <w:rFonts w:hint="eastAsia" w:cs="宋体"/>
          <w:color w:val="auto"/>
          <w:sz w:val="24"/>
          <w:szCs w:val="24"/>
          <w:highlight w:val="none"/>
          <w:lang w:val="en-US" w:eastAsia="zh-CN"/>
        </w:rPr>
        <w:t>7</w:t>
      </w:r>
      <w:r>
        <w:rPr>
          <w:rFonts w:hint="eastAsia" w:cs="宋体"/>
          <w:color w:val="auto"/>
          <w:sz w:val="24"/>
          <w:szCs w:val="24"/>
          <w:highlight w:val="none"/>
          <w:lang w:eastAsia="zh-CN"/>
        </w:rPr>
        <w:t>月</w:t>
      </w:r>
      <w:r>
        <w:rPr>
          <w:rFonts w:hint="eastAsia" w:cs="宋体"/>
          <w:color w:val="auto"/>
          <w:sz w:val="24"/>
          <w:szCs w:val="24"/>
          <w:highlight w:val="none"/>
          <w:lang w:val="en-US" w:eastAsia="zh-CN"/>
        </w:rPr>
        <w:t>23</w:t>
      </w:r>
      <w:r>
        <w:rPr>
          <w:rFonts w:hint="eastAsia" w:cs="宋体"/>
          <w:color w:val="auto"/>
          <w:sz w:val="24"/>
          <w:szCs w:val="24"/>
          <w:highlight w:val="none"/>
          <w:lang w:eastAsia="zh-CN"/>
        </w:rPr>
        <w:t>日</w:t>
      </w:r>
    </w:p>
    <w:p>
      <w:pPr>
        <w:pStyle w:val="34"/>
        <w:spacing w:before="0" w:beforeAutospacing="0" w:after="0" w:afterAutospacing="0" w:line="360" w:lineRule="auto"/>
        <w:rPr>
          <w:rFonts w:cs="宋体"/>
          <w:color w:val="auto"/>
          <w:sz w:val="21"/>
          <w:szCs w:val="21"/>
          <w:highlight w:val="none"/>
        </w:rPr>
        <w:sectPr>
          <w:footerReference r:id="rId9" w:type="default"/>
          <w:pgSz w:w="11906" w:h="16838"/>
          <w:pgMar w:top="851" w:right="849" w:bottom="1134" w:left="993" w:header="720" w:footer="720" w:gutter="0"/>
          <w:pgBorders>
            <w:top w:val="none" w:sz="0" w:space="0"/>
            <w:left w:val="none" w:sz="0" w:space="0"/>
            <w:bottom w:val="none" w:sz="0" w:space="0"/>
            <w:right w:val="none" w:sz="0" w:space="0"/>
          </w:pgBorders>
          <w:pgNumType w:start="0"/>
          <w:cols w:space="720" w:num="1"/>
          <w:titlePg/>
          <w:docGrid w:linePitch="312" w:charSpace="0"/>
        </w:sectPr>
      </w:pPr>
      <w:r>
        <w:rPr>
          <w:rFonts w:hint="eastAsia" w:cs="宋体"/>
          <w:color w:val="auto"/>
          <w:sz w:val="21"/>
          <w:szCs w:val="21"/>
          <w:highlight w:val="none"/>
        </w:rPr>
        <w:softHyphen/>
      </w:r>
      <w:r>
        <w:rPr>
          <w:rFonts w:hint="eastAsia" w:cs="宋体"/>
          <w:color w:val="auto"/>
          <w:sz w:val="21"/>
          <w:szCs w:val="21"/>
          <w:highlight w:val="none"/>
        </w:rPr>
        <w:softHyphen/>
      </w:r>
    </w:p>
    <w:p>
      <w:pPr>
        <w:pStyle w:val="3"/>
        <w:numPr>
          <w:ilvl w:val="0"/>
          <w:numId w:val="3"/>
        </w:numPr>
        <w:rPr>
          <w:color w:val="auto"/>
          <w:highlight w:val="none"/>
        </w:rPr>
      </w:pPr>
      <w:bookmarkStart w:id="9" w:name="_Toc1719469"/>
      <w:r>
        <w:rPr>
          <w:rFonts w:hint="eastAsia"/>
          <w:color w:val="auto"/>
          <w:highlight w:val="none"/>
        </w:rPr>
        <w:t xml:space="preserve"> </w:t>
      </w:r>
      <w:bookmarkStart w:id="10" w:name="_Toc12820"/>
      <w:r>
        <w:rPr>
          <w:rFonts w:hint="eastAsia"/>
          <w:color w:val="auto"/>
          <w:highlight w:val="none"/>
        </w:rPr>
        <w:t>谈判须知及前附表</w:t>
      </w:r>
      <w:bookmarkEnd w:id="2"/>
      <w:bookmarkEnd w:id="3"/>
      <w:bookmarkEnd w:id="4"/>
      <w:bookmarkEnd w:id="9"/>
      <w:bookmarkEnd w:id="10"/>
    </w:p>
    <w:p>
      <w:pPr>
        <w:pStyle w:val="3"/>
        <w:rPr>
          <w:rFonts w:ascii="黑体" w:eastAsia="黑体"/>
          <w:color w:val="auto"/>
          <w:spacing w:val="68"/>
          <w:sz w:val="32"/>
          <w:highlight w:val="none"/>
        </w:rPr>
      </w:pPr>
      <w:bookmarkStart w:id="11" w:name="_Toc723"/>
      <w:r>
        <w:rPr>
          <w:rFonts w:hint="eastAsia" w:ascii="黑体" w:eastAsia="黑体"/>
          <w:color w:val="auto"/>
          <w:spacing w:val="68"/>
          <w:sz w:val="32"/>
          <w:highlight w:val="none"/>
        </w:rPr>
        <w:t>谈判须知前附表</w:t>
      </w:r>
      <w:bookmarkEnd w:id="11"/>
    </w:p>
    <w:tbl>
      <w:tblPr>
        <w:tblStyle w:val="46"/>
        <w:tblW w:w="8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8" w:type="dxa"/>
            <w:vAlign w:val="center"/>
          </w:tcPr>
          <w:p>
            <w:pPr>
              <w:jc w:val="center"/>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7741" w:type="dxa"/>
            <w:vAlign w:val="center"/>
          </w:tcPr>
          <w:p>
            <w:pPr>
              <w:jc w:val="center"/>
              <w:rPr>
                <w:rFonts w:ascii="宋体" w:hAnsi="宋体"/>
                <w:b/>
                <w:bCs/>
                <w:color w:val="auto"/>
                <w:sz w:val="24"/>
                <w:szCs w:val="24"/>
                <w:highlight w:val="none"/>
              </w:rPr>
            </w:pPr>
            <w:r>
              <w:rPr>
                <w:rFonts w:hint="eastAsia" w:ascii="宋体" w:hAnsi="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spacing w:line="500" w:lineRule="exact"/>
              <w:rPr>
                <w:rFonts w:ascii="宋体" w:hAnsi="宋体" w:cs="Arial"/>
                <w:color w:val="auto"/>
                <w:kern w:val="0"/>
                <w:sz w:val="24"/>
                <w:szCs w:val="24"/>
                <w:highlight w:val="none"/>
              </w:rPr>
            </w:pPr>
            <w:r>
              <w:rPr>
                <w:rFonts w:hint="eastAsia" w:ascii="宋体" w:hAnsi="宋体"/>
                <w:b/>
                <w:color w:val="auto"/>
                <w:sz w:val="24"/>
                <w:szCs w:val="24"/>
                <w:highlight w:val="none"/>
              </w:rPr>
              <w:t>项目名称：</w:t>
            </w:r>
            <w:r>
              <w:rPr>
                <w:rFonts w:hint="eastAsia"/>
                <w:color w:val="auto"/>
                <w:sz w:val="24"/>
                <w:szCs w:val="24"/>
                <w:highlight w:val="none"/>
                <w:lang w:eastAsia="zh-CN"/>
              </w:rPr>
              <w:t>彩色多普勒超声诊断仪采购项目</w:t>
            </w:r>
          </w:p>
          <w:p>
            <w:pPr>
              <w:spacing w:line="500" w:lineRule="exact"/>
              <w:rPr>
                <w:rFonts w:hint="eastAsia" w:ascii="宋体" w:hAnsi="宋体" w:eastAsia="宋体" w:cs="Arial"/>
                <w:color w:val="auto"/>
                <w:kern w:val="0"/>
                <w:sz w:val="24"/>
                <w:szCs w:val="24"/>
                <w:highlight w:val="none"/>
                <w:lang w:eastAsia="zh-CN"/>
              </w:rPr>
            </w:pPr>
            <w:r>
              <w:rPr>
                <w:rFonts w:hint="eastAsia"/>
                <w:b/>
                <w:color w:val="auto"/>
                <w:sz w:val="24"/>
                <w:szCs w:val="24"/>
                <w:highlight w:val="none"/>
              </w:rPr>
              <w:t>项目编号：</w:t>
            </w:r>
            <w:r>
              <w:rPr>
                <w:rFonts w:hint="eastAsia"/>
                <w:b w:val="0"/>
                <w:bCs/>
                <w:color w:val="auto"/>
                <w:sz w:val="24"/>
                <w:szCs w:val="24"/>
                <w:highlight w:val="none"/>
                <w:lang w:eastAsia="zh-CN"/>
              </w:rPr>
              <w:t>WZZC2025-J1-990135-GXZX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val="0"/>
                <w:bCs/>
                <w:color w:val="auto"/>
                <w:sz w:val="24"/>
                <w:szCs w:val="24"/>
                <w:highlight w:val="none"/>
              </w:rPr>
            </w:pPr>
          </w:p>
        </w:tc>
        <w:tc>
          <w:tcPr>
            <w:tcW w:w="7741" w:type="dxa"/>
            <w:vAlign w:val="center"/>
          </w:tcPr>
          <w:p>
            <w:pP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响应文件的上传和提交：</w:t>
            </w:r>
          </w:p>
          <w:p>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本项目通过“广西政府采购云平台（https://www.gcy.zfcg.gxzf.gov.cn/）”实行在线谈判响应（电子标），谈判供应商应当在上传响应文件截止时间前，将生成的“电子加密响应文件”上传提交至“广西政府采购云平台（https://www.gcy.zfcg.gxzf.gov.cn/）”。</w:t>
            </w:r>
          </w:p>
          <w:p>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“电子加密响应文件”的上传、提交：</w:t>
            </w:r>
          </w:p>
          <w:p>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a.谈判供应商应在上传响应文件截止时间前将“电子加密响应文件”成功上传提交至“广西政府采购云平台（https://www.gcy.zfcg.gxzf.gov.cn/）”，否则谈判无效。</w:t>
            </w:r>
          </w:p>
          <w:p>
            <w:pPr>
              <w:spacing w:line="360" w:lineRule="auto"/>
              <w:rPr>
                <w:rFonts w:cs="宋体"/>
                <w:b w:val="0"/>
                <w:bCs/>
                <w:color w:val="auto"/>
                <w:sz w:val="24"/>
                <w:szCs w:val="24"/>
                <w:highlight w:val="none"/>
              </w:rPr>
            </w:pPr>
            <w:r>
              <w:rPr>
                <w:rFonts w:hint="eastAsia" w:cs="Courier New" w:asciiTheme="minorEastAsia" w:hAnsiTheme="minorEastAsia" w:eastAsiaTheme="minorEastAsia"/>
                <w:color w:val="auto"/>
                <w:sz w:val="24"/>
                <w:szCs w:val="24"/>
                <w:highlight w:val="none"/>
                <w:lang w:val="en-US" w:eastAsia="zh-CN"/>
              </w:rPr>
              <w:t>b.“电子加密谈判响应文件”成功上传提交后，供应商可自行打印响应文件接收回执。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pStyle w:val="2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1.竞标报价方式：供应商必须就《本项目内容要求中的货物可能发生的费用作唯一完整报价。（本项目只允许递交一个方案的报价，不接受任何有选择性的报价。）</w:t>
            </w:r>
          </w:p>
          <w:p>
            <w:pPr>
              <w:pStyle w:val="34"/>
              <w:spacing w:before="0" w:beforeAutospacing="0" w:after="0" w:afterAutospacing="0" w:line="360" w:lineRule="auto"/>
              <w:rPr>
                <w:rFonts w:hint="eastAsia"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rPr>
              <w:t>2.竞标报价应为实施本项目所需的所有费用，包含采购、制造、改造、包装、运输、劳务、管理、利润、税金、保险、协调、装卸、调试、培训、售后服务费用以及相关文件规定及合同包含的所有风险、责任等</w:t>
            </w:r>
            <w:r>
              <w:rPr>
                <w:rFonts w:hint="eastAsia"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snapToGrid w:val="0"/>
              <w:spacing w:line="360" w:lineRule="auto"/>
              <w:rPr>
                <w:rFonts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谈判保证金：人民币</w:t>
            </w:r>
            <w:r>
              <w:rPr>
                <w:rFonts w:hint="eastAsia" w:asciiTheme="minorEastAsia" w:hAnsiTheme="minorEastAsia" w:eastAsiaTheme="minorEastAsia" w:cstheme="minorEastAsia"/>
                <w:b/>
                <w:color w:val="auto"/>
                <w:sz w:val="24"/>
                <w:szCs w:val="24"/>
                <w:highlight w:val="none"/>
                <w:u w:val="single"/>
                <w:lang w:eastAsia="zh-CN"/>
              </w:rPr>
              <w:t>柒仟玖佰元整</w:t>
            </w:r>
            <w:r>
              <w:rPr>
                <w:rFonts w:hint="eastAsia" w:asciiTheme="minorEastAsia" w:hAnsiTheme="minorEastAsia" w:eastAsiaTheme="minorEastAsia" w:cstheme="minorEastAsia"/>
                <w:b/>
                <w:color w:val="auto"/>
                <w:sz w:val="24"/>
                <w:szCs w:val="24"/>
                <w:highlight w:val="none"/>
                <w:u w:val="single"/>
              </w:rPr>
              <w:t>（¥</w:t>
            </w:r>
            <w:r>
              <w:rPr>
                <w:rFonts w:hint="eastAsia" w:asciiTheme="minorEastAsia" w:hAnsiTheme="minorEastAsia" w:eastAsiaTheme="minorEastAsia" w:cstheme="minorEastAsia"/>
                <w:b/>
                <w:color w:val="auto"/>
                <w:sz w:val="24"/>
                <w:szCs w:val="24"/>
                <w:highlight w:val="none"/>
                <w:u w:val="single"/>
                <w:lang w:val="en-US" w:eastAsia="zh-CN"/>
              </w:rPr>
              <w:t>7900</w:t>
            </w:r>
            <w:r>
              <w:rPr>
                <w:rFonts w:hint="eastAsia" w:asciiTheme="minorEastAsia" w:hAnsiTheme="minorEastAsia" w:eastAsiaTheme="minorEastAsia" w:cstheme="minorEastAsia"/>
                <w:b/>
                <w:color w:val="auto"/>
                <w:sz w:val="24"/>
                <w:szCs w:val="24"/>
                <w:highlight w:val="none"/>
                <w:u w:val="single"/>
              </w:rPr>
              <w:t>.00）</w:t>
            </w:r>
          </w:p>
          <w:p>
            <w:pPr>
              <w:snapToGrid w:val="0"/>
              <w:spacing w:line="360" w:lineRule="auto"/>
              <w:rPr>
                <w:rFonts w:hAnsi="宋体"/>
                <w:b/>
                <w:color w:val="auto"/>
                <w:spacing w:val="2"/>
                <w:sz w:val="24"/>
                <w:szCs w:val="24"/>
                <w:highlight w:val="none"/>
              </w:rPr>
            </w:pPr>
            <w:r>
              <w:rPr>
                <w:rFonts w:hint="eastAsia" w:ascii="宋体" w:hAnsi="宋体"/>
                <w:color w:val="auto"/>
                <w:sz w:val="24"/>
                <w:szCs w:val="24"/>
                <w:highlight w:val="none"/>
              </w:rPr>
              <w:t>谈判保证金的形式：可以是</w:t>
            </w:r>
            <w:r>
              <w:rPr>
                <w:rFonts w:hint="eastAsia" w:ascii="宋体" w:hAnsi="宋体"/>
                <w:b/>
                <w:color w:val="auto"/>
                <w:sz w:val="24"/>
                <w:szCs w:val="24"/>
                <w:highlight w:val="none"/>
              </w:rPr>
              <w:t>转账或电汇/支票/汇票/本票/保函等非现金方式</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采用转账或电汇形式：谈判保证金必须在本项目响应文件递交截止时间前缴纳并到达广西中信恒泰工程顾问有限公司梧州分公司账户，请在银行进账单或电汇单的用途或空白栏上注明：项目名称+项目编号（可简写，如不注明字样，查不到帐概不负责）。经查实谈判保证金没有到账的，其谈判将被拒绝 。缴纳方法如下：</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必须在本公司的对公账户中转账至广西中信恒泰工程顾问有限公司梧州分公司的保证金专用账户。</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开户名称：广西中信恒泰工程顾问有限公司梧州分公司</w:t>
            </w:r>
          </w:p>
          <w:p>
            <w:pPr>
              <w:spacing w:line="360" w:lineRule="auto"/>
              <w:rPr>
                <w:b/>
                <w:bCs/>
                <w:color w:val="auto"/>
                <w:sz w:val="24"/>
                <w:szCs w:val="24"/>
                <w:highlight w:val="none"/>
              </w:rPr>
            </w:pPr>
            <w:r>
              <w:rPr>
                <w:rFonts w:hint="eastAsia" w:ascii="宋体" w:hAnsi="宋体"/>
                <w:b/>
                <w:bCs/>
                <w:color w:val="auto"/>
                <w:sz w:val="24"/>
                <w:szCs w:val="24"/>
                <w:highlight w:val="none"/>
              </w:rPr>
              <w:t>开户银行：中国</w:t>
            </w:r>
            <w:r>
              <w:rPr>
                <w:rFonts w:hint="eastAsia"/>
                <w:b/>
                <w:bCs/>
                <w:color w:val="auto"/>
                <w:sz w:val="24"/>
                <w:szCs w:val="24"/>
                <w:highlight w:val="none"/>
              </w:rPr>
              <w:t>建设银行股份有限公司梧州三龙大道支行</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银行账号：4505 0164 0042 0000 0344</w:t>
            </w:r>
          </w:p>
          <w:p>
            <w:pPr>
              <w:spacing w:line="360" w:lineRule="auto"/>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2）采用支票/汇票/本票/保函形式：必须为无条件的支票/汇票/本票/保函（应注明“项目名称+项目编号”，保函受益人为采购人，格式自拟），足额提交，有效期不得低于竞标有效期【备注：递交响应文件时供应商应将支票/汇票/本票/保函原件一并提交给采购人，由采购人核验票据信息，确认保函是否有效后交由采购代理机构保管，复印件需加盖供应商公章并装订入响应文件】，否则采购人有权拒绝接受谈判或记录在案并在评审阶段由谈判小组做无效响应处理。</w:t>
            </w:r>
          </w:p>
          <w:p>
            <w:pPr>
              <w:spacing w:line="360" w:lineRule="auto"/>
              <w:rPr>
                <w:rFonts w:ascii="宋体" w:hAnsi="宋体"/>
                <w:b/>
                <w:color w:val="auto"/>
                <w:sz w:val="24"/>
                <w:szCs w:val="24"/>
                <w:highlight w:val="none"/>
              </w:rPr>
            </w:pPr>
            <w:r>
              <w:rPr>
                <w:rFonts w:hint="eastAsia" w:cs="Courier New" w:asciiTheme="minorEastAsia" w:hAnsiTheme="minorEastAsia" w:eastAsiaTheme="minorEastAsia"/>
                <w:color w:val="auto"/>
                <w:sz w:val="24"/>
                <w:szCs w:val="24"/>
                <w:highlight w:val="none"/>
              </w:rPr>
              <w:t>保证金支票/汇票/本票/保函原件递交截止时间：同竞争性谈判响应文件递交截止时间，逾时不再接收，视为供应商没有缴纳谈判保证金。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spacing w:line="500" w:lineRule="exact"/>
              <w:rPr>
                <w:rFonts w:ascii="宋体" w:hAnsi="宋体"/>
                <w:color w:val="auto"/>
                <w:sz w:val="24"/>
                <w:szCs w:val="24"/>
                <w:highlight w:val="none"/>
              </w:rPr>
            </w:pPr>
            <w:r>
              <w:rPr>
                <w:rFonts w:hint="eastAsia" w:ascii="宋体" w:hAnsi="宋体"/>
                <w:b/>
                <w:color w:val="auto"/>
                <w:sz w:val="24"/>
                <w:szCs w:val="24"/>
                <w:highlight w:val="none"/>
              </w:rPr>
              <w:t>竞标有效期：</w:t>
            </w:r>
            <w:r>
              <w:rPr>
                <w:rFonts w:hint="eastAsia" w:asciiTheme="minorEastAsia" w:hAnsiTheme="minorEastAsia" w:eastAsiaTheme="minorEastAsia" w:cstheme="minorEastAsia"/>
                <w:color w:val="auto"/>
                <w:sz w:val="24"/>
                <w:szCs w:val="24"/>
                <w:highlight w:val="none"/>
              </w:rPr>
              <w:t>竞标截止期结束之日起60天内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响应文件形式：谈判供应商应准备电子响应文件。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电子响应文件是指通过“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客户端”完成响应文件编制后生成并加密的数据电文形式的电子加密响应文件。</w:t>
            </w:r>
          </w:p>
          <w:p>
            <w:pPr>
              <w:spacing w:line="500" w:lineRule="exact"/>
              <w:rPr>
                <w:rFonts w:ascii="宋体" w:hAnsi="宋体"/>
                <w:color w:val="auto"/>
                <w:sz w:val="24"/>
                <w:szCs w:val="24"/>
                <w:highlight w:val="none"/>
              </w:rPr>
            </w:pPr>
            <w:r>
              <w:rPr>
                <w:rFonts w:hint="eastAsia" w:ascii="宋体" w:hAnsi="宋体" w:eastAsia="宋体" w:cs="宋体"/>
                <w:color w:val="auto"/>
                <w:sz w:val="24"/>
                <w:szCs w:val="24"/>
                <w:highlight w:val="none"/>
              </w:rPr>
              <w:t>响应文件的编制：供应商应先安装“</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客户端”，并按照本竞争性响应文件和“</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28" w:type="dxa"/>
            <w:vAlign w:val="center"/>
          </w:tcPr>
          <w:p>
            <w:pPr>
              <w:numPr>
                <w:ilvl w:val="0"/>
                <w:numId w:val="4"/>
              </w:numPr>
              <w:spacing w:line="500" w:lineRule="exact"/>
              <w:ind w:left="425" w:leftChars="0" w:hanging="425" w:firstLineChars="0"/>
              <w:jc w:val="center"/>
              <w:rPr>
                <w:rFonts w:hint="eastAsia" w:ascii="宋体" w:hAnsi="宋体"/>
                <w:b/>
                <w:color w:val="auto"/>
                <w:sz w:val="24"/>
                <w:szCs w:val="24"/>
                <w:highlight w:val="none"/>
              </w:rPr>
            </w:pPr>
          </w:p>
        </w:tc>
        <w:tc>
          <w:tcPr>
            <w:tcW w:w="7741" w:type="dxa"/>
            <w:vAlign w:val="center"/>
          </w:tcPr>
          <w:p>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竞争性谈判响应文件递交截止时间：</w:t>
            </w:r>
            <w:r>
              <w:rPr>
                <w:rFonts w:hint="eastAsia" w:ascii="宋体" w:hAnsi="宋体" w:cs="宋体"/>
                <w:b/>
                <w:bCs/>
                <w:color w:val="auto"/>
                <w:sz w:val="24"/>
                <w:szCs w:val="24"/>
                <w:highlight w:val="none"/>
                <w:lang w:eastAsia="zh-CN"/>
              </w:rPr>
              <w:t>2025年7月29日上午9点00</w:t>
            </w:r>
            <w:r>
              <w:rPr>
                <w:rFonts w:hint="eastAsia" w:ascii="宋体" w:hAnsi="宋体" w:eastAsia="宋体" w:cs="宋体"/>
                <w:b/>
                <w:bCs/>
                <w:color w:val="auto"/>
                <w:sz w:val="24"/>
                <w:szCs w:val="24"/>
                <w:highlight w:val="none"/>
              </w:rPr>
              <w:t>分</w:t>
            </w:r>
          </w:p>
          <w:p>
            <w:pPr>
              <w:spacing w:line="500" w:lineRule="exact"/>
              <w:rPr>
                <w:rFonts w:hint="eastAsia" w:ascii="宋体" w:hAnsi="宋体"/>
                <w:color w:val="auto"/>
                <w:sz w:val="24"/>
                <w:szCs w:val="24"/>
                <w:highlight w:val="none"/>
              </w:rPr>
            </w:pPr>
            <w:r>
              <w:rPr>
                <w:rFonts w:hint="eastAsia" w:ascii="宋体" w:hAnsi="宋体" w:eastAsia="宋体" w:cs="宋体"/>
                <w:color w:val="auto"/>
                <w:sz w:val="24"/>
                <w:szCs w:val="24"/>
                <w:highlight w:val="none"/>
              </w:rPr>
              <w:t>递交地址：</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在线谈判（本项目实施电子标，不要求供应商到达谈判现场)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828" w:type="dxa"/>
            <w:vAlign w:val="center"/>
          </w:tcPr>
          <w:p>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pPr>
              <w:spacing w:line="500" w:lineRule="exac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谈判时间</w:t>
            </w:r>
            <w:r>
              <w:rPr>
                <w:rFonts w:hint="eastAsia" w:ascii="宋体" w:hAnsi="宋体" w:eastAsia="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eastAsia="zh-CN"/>
              </w:rPr>
              <w:t>2025年7月29日上午9点00</w:t>
            </w:r>
            <w:r>
              <w:rPr>
                <w:rFonts w:hint="eastAsia" w:ascii="宋体" w:hAnsi="宋体" w:eastAsia="宋体" w:cs="宋体"/>
                <w:b/>
                <w:bCs/>
                <w:color w:val="auto"/>
                <w:kern w:val="0"/>
                <w:sz w:val="24"/>
                <w:szCs w:val="24"/>
                <w:highlight w:val="none"/>
                <w:lang w:eastAsia="zh-CN"/>
              </w:rPr>
              <w:t>分</w:t>
            </w:r>
          </w:p>
          <w:p>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谈判地点：</w:t>
            </w:r>
            <w:r>
              <w:rPr>
                <w:rFonts w:hint="eastAsia" w:ascii="宋体" w:hAnsi="宋体" w:eastAsia="宋体" w:cs="宋体"/>
                <w:b/>
                <w:bCs/>
                <w:color w:val="auto"/>
                <w:kern w:val="0"/>
                <w:sz w:val="24"/>
                <w:szCs w:val="24"/>
                <w:highlight w:val="none"/>
                <w:lang w:eastAsia="zh-CN"/>
              </w:rPr>
              <w:t>广西政府采购云平台（https://www.gcy.zfcg.gxzf.gov.cn/）</w:t>
            </w:r>
            <w:r>
              <w:rPr>
                <w:rFonts w:hint="eastAsia" w:ascii="宋体" w:hAnsi="宋体" w:eastAsia="宋体" w:cs="宋体"/>
                <w:b/>
                <w:bCs/>
                <w:color w:val="auto"/>
                <w:kern w:val="0"/>
                <w:sz w:val="24"/>
                <w:szCs w:val="24"/>
                <w:highlight w:val="none"/>
              </w:rPr>
              <w:t>在线截止</w:t>
            </w:r>
          </w:p>
          <w:p>
            <w:pPr>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电子响应文件解密时间：截标时间后30 分钟内，供应商必须在此时间段内登录</w:t>
            </w:r>
            <w:r>
              <w:rPr>
                <w:rFonts w:hint="eastAsia" w:ascii="宋体" w:hAnsi="宋体" w:eastAsia="宋体" w:cs="宋体"/>
                <w:color w:val="auto"/>
                <w:kern w:val="0"/>
                <w:sz w:val="24"/>
                <w:szCs w:val="24"/>
                <w:highlight w:val="none"/>
                <w:lang w:eastAsia="zh-CN"/>
              </w:rPr>
              <w:t>广西政府采购云平台（https://www.gcy.zfcg.gxzf.gov.cn/）</w:t>
            </w:r>
            <w:r>
              <w:rPr>
                <w:rFonts w:hint="eastAsia" w:ascii="宋体" w:hAnsi="宋体" w:eastAsia="宋体" w:cs="宋体"/>
                <w:color w:val="auto"/>
                <w:kern w:val="0"/>
                <w:sz w:val="24"/>
                <w:szCs w:val="24"/>
                <w:highlight w:val="none"/>
              </w:rPr>
              <w:t>，用“项目采购-开标评标”功能完成电子响应文件的解密。</w:t>
            </w:r>
          </w:p>
          <w:p>
            <w:pPr>
              <w:spacing w:line="360" w:lineRule="auto"/>
              <w:rPr>
                <w:rFonts w:asciiTheme="minorEastAsia" w:hAnsiTheme="minorEastAsia" w:eastAsiaTheme="minorEastAsia"/>
                <w:color w:val="auto"/>
                <w:sz w:val="24"/>
                <w:szCs w:val="24"/>
                <w:highlight w:val="none"/>
              </w:rPr>
            </w:pPr>
            <w:r>
              <w:rPr>
                <w:rFonts w:hint="eastAsia" w:ascii="宋体" w:hAnsi="宋体" w:eastAsia="宋体" w:cs="宋体"/>
                <w:color w:val="auto"/>
                <w:kern w:val="0"/>
                <w:sz w:val="24"/>
                <w:szCs w:val="24"/>
                <w:highlight w:val="none"/>
              </w:rPr>
              <w:t>若谈判供应商在规定时间内未按时解密的，视为响应文件撤回。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采购人或采购代理机构查询供应商的主体信用记录</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1）信用信息查询渠道：采购人或采购代理机构在“信用中国”网站（ www.creditchina.gov.cn）及中国政府采购网（ www.ccgp.gov.cn）查询相关供应商主体信用记录。</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2）信用信息查询截止时点：采购人或采购代理机构在文件递交截止时间后评标或评审结束前查询相关供应商主体信用记录查询结果，记录内容溯及时限为文件递交截止之日前三年；</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3）信用信息查询记录和证据留存的具体方式：采购人或采购代理机构在上述指定时段内在“信用中国”网站（ www.creditchina.gov.cn）及中国政府采购网（ www.ccgp.gov.cn）等两个网站查询相关供应商主体信用记录，同时将两个网站的查询结果网页打印件为证据留存；</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4）信用信息的使用规则：执行资格审查的主体核验具体供应商的主体信用记录，被列入失信被执行人、</w:t>
            </w:r>
            <w:r>
              <w:rPr>
                <w:rFonts w:hint="eastAsia" w:ascii="宋体" w:hAnsi="宋体" w:cs="宋体"/>
                <w:color w:val="auto"/>
                <w:kern w:val="0"/>
                <w:sz w:val="24"/>
                <w:szCs w:val="24"/>
                <w:highlight w:val="none"/>
                <w:lang w:eastAsia="zh-CN"/>
              </w:rPr>
              <w:t>重大税收违法失信主体</w:t>
            </w:r>
            <w:r>
              <w:rPr>
                <w:rFonts w:hint="eastAsia" w:ascii="宋体" w:hAnsi="宋体" w:cs="宋体"/>
                <w:color w:val="auto"/>
                <w:kern w:val="0"/>
                <w:sz w:val="24"/>
                <w:szCs w:val="24"/>
                <w:highlight w:val="none"/>
              </w:rPr>
              <w:t>、政府采购严重违法失信行为记录名单及其他不符合《中华人民共和国政府采购法》第二十二条规定条件的供应商，将被拒绝其参与本次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供应商为事业单位、社会团体、个体工商户或非企业法人单位的其他组织，无法查询到主体信用的，评标或评审期间不再对此类供应商的诚信状况进行查询。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tabs>
                <w:tab w:val="left" w:pos="5382"/>
              </w:tabs>
              <w:spacing w:line="400" w:lineRule="exact"/>
              <w:rPr>
                <w:rFonts w:hint="eastAsia" w:ascii="宋体" w:hAnsi="宋体" w:eastAsia="宋体"/>
                <w:color w:val="auto"/>
                <w:sz w:val="24"/>
                <w:szCs w:val="24"/>
                <w:highlight w:val="none"/>
                <w:lang w:val="en-US" w:eastAsia="zh-CN"/>
              </w:rPr>
            </w:pPr>
            <w:r>
              <w:rPr>
                <w:rFonts w:hint="eastAsia" w:ascii="宋体" w:hAnsi="宋体"/>
                <w:bCs/>
                <w:color w:val="auto"/>
                <w:kern w:val="0"/>
                <w:sz w:val="24"/>
                <w:szCs w:val="24"/>
                <w:highlight w:val="none"/>
              </w:rPr>
              <w:t>履约</w:t>
            </w:r>
            <w:r>
              <w:rPr>
                <w:rFonts w:hint="eastAsia" w:ascii="宋体" w:hAnsi="宋体" w:cs="黑体"/>
                <w:color w:val="auto"/>
                <w:kern w:val="0"/>
                <w:sz w:val="24"/>
                <w:szCs w:val="24"/>
                <w:highlight w:val="none"/>
              </w:rPr>
              <w:t>保证</w:t>
            </w:r>
            <w:r>
              <w:rPr>
                <w:rFonts w:hint="eastAsia" w:ascii="宋体" w:hAnsi="宋体"/>
                <w:bCs/>
                <w:color w:val="auto"/>
                <w:kern w:val="0"/>
                <w:sz w:val="24"/>
                <w:szCs w:val="24"/>
                <w:highlight w:val="none"/>
              </w:rPr>
              <w:t>金</w:t>
            </w:r>
            <w:r>
              <w:rPr>
                <w:rFonts w:hint="eastAsia" w:ascii="宋体" w:hAnsi="宋体"/>
                <w:bCs/>
                <w:color w:val="auto"/>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rPr>
                <w:rFonts w:ascii="宋体" w:hAnsi="宋体"/>
                <w:color w:val="auto"/>
                <w:sz w:val="24"/>
                <w:szCs w:val="24"/>
                <w:highlight w:val="none"/>
              </w:rPr>
            </w:pPr>
            <w:r>
              <w:rPr>
                <w:rFonts w:hint="eastAsia" w:ascii="宋体" w:hAnsi="宋体"/>
                <w:color w:val="auto"/>
                <w:sz w:val="24"/>
                <w:szCs w:val="24"/>
                <w:highlight w:val="none"/>
              </w:rPr>
              <w:t>成交评审方法：最低评标价法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前，成交供应商向采购代理机构一次付清代理服务费。采购代理服务费按照收费标准向成交供应商收取。供应商的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报价应包含此项费用。</w:t>
            </w:r>
          </w:p>
          <w:p>
            <w:pPr>
              <w:pStyle w:val="2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代理服务收费标准：</w:t>
            </w:r>
          </w:p>
          <w:tbl>
            <w:tblPr>
              <w:tblStyle w:val="46"/>
              <w:tblW w:w="7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0"/>
              <w:gridCol w:w="1441"/>
              <w:gridCol w:w="1537"/>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1" w:hRule="atLeast"/>
                <w:jc w:val="center"/>
              </w:trPr>
              <w:tc>
                <w:tcPr>
                  <w:tcW w:w="3030" w:type="dxa"/>
                  <w:vAlign w:val="bottom"/>
                </w:tcPr>
                <w:p>
                  <w:pPr>
                    <w:widowControl/>
                    <w:ind w:left="1200" w:leftChars="400" w:hanging="360" w:hanging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334010</wp:posOffset>
                            </wp:positionH>
                            <wp:positionV relativeFrom="paragraph">
                              <wp:posOffset>4445</wp:posOffset>
                            </wp:positionV>
                            <wp:extent cx="1520190" cy="1058545"/>
                            <wp:effectExtent l="2540" t="3810" r="16510" b="4445"/>
                            <wp:wrapNone/>
                            <wp:docPr id="5" name="直接箭头连接符 5"/>
                            <wp:cNvGraphicFramePr/>
                            <a:graphic xmlns:a="http://schemas.openxmlformats.org/drawingml/2006/main">
                              <a:graphicData uri="http://schemas.microsoft.com/office/word/2010/wordprocessingShape">
                                <wps:wsp>
                                  <wps:cNvCnPr/>
                                  <wps:spPr>
                                    <a:xfrm flipH="1" flipV="1">
                                      <a:off x="0" y="0"/>
                                      <a:ext cx="1520190" cy="10585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6.3pt;margin-top:0.35pt;height:83.35pt;width:119.7pt;z-index:251665408;mso-width-relative:page;mso-height-relative:page;" filled="f" stroked="t" coordsize="21600,21600" o:gfxdata="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PbveNcAAAAHAQAADwAAAAAAAAABACAAAAAiAAAAZHJzL2Rvd25yZXYueG1sUEsBAhQA&#10;FAAAAAgAh07iQIZfWYzzAQAAuA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color w:val="auto"/>
                      <w:kern w:val="0"/>
                      <w:sz w:val="24"/>
                      <w:szCs w:val="24"/>
                      <w:highlight w:val="none"/>
                    </w:rPr>
                    <w:t>服务类型</w:t>
                  </w:r>
                </w:p>
                <w:p>
                  <w:pPr>
                    <w:widowControl/>
                    <w:ind w:left="1155" w:hanging="1320" w:hangingChars="5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费率           </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-73660</wp:posOffset>
                            </wp:positionH>
                            <wp:positionV relativeFrom="paragraph">
                              <wp:posOffset>90805</wp:posOffset>
                            </wp:positionV>
                            <wp:extent cx="1919605" cy="609600"/>
                            <wp:effectExtent l="1270" t="4445" r="14605" b="10795"/>
                            <wp:wrapNone/>
                            <wp:docPr id="8" name="直接箭头连接符 8"/>
                            <wp:cNvGraphicFramePr/>
                            <a:graphic xmlns:a="http://schemas.openxmlformats.org/drawingml/2006/main">
                              <a:graphicData uri="http://schemas.microsoft.com/office/word/2010/wordprocessingShape">
                                <wps:wsp>
                                  <wps:cNvCnPr/>
                                  <wps:spPr>
                                    <a:xfrm>
                                      <a:off x="0" y="0"/>
                                      <a:ext cx="191960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pt;margin-top:7.15pt;height:48pt;width:151.15pt;z-index:251666432;mso-width-relative:page;mso-height-relative:page;" filled="f" stroked="t" coordsize="21600,21600" o:gfxdata="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N4JBNgA&#10;AAAKAQAADwAAAAAAAAABACAAAAAiAAAAZHJzL2Rvd25yZXYueG1sUEsBAhQAFAAAAAgAh07iQPcI&#10;dZzmAQAAowMAAA4AAAAAAAAAAQAgAAAAJwEAAGRycy9lMm9Eb2MueG1sUEsFBgAAAAAGAAYAWQEA&#10;AH8FAAAAAA==&#10;">
                            <v:fill on="f" focussize="0,0"/>
                            <v:stroke color="#000000" joinstyle="round"/>
                            <v:imagedata o:title=""/>
                            <o:lock v:ext="edit" aspectratio="f"/>
                          </v:shape>
                        </w:pict>
                      </mc:Fallback>
                    </mc:AlternateContent>
                  </w:r>
                </w:p>
                <w:p>
                  <w:pPr>
                    <w:widowControl/>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color w:val="auto"/>
                      <w:kern w:val="0"/>
                      <w:sz w:val="24"/>
                      <w:szCs w:val="24"/>
                      <w:highlight w:val="none"/>
                    </w:rPr>
                  </w:pPr>
                </w:p>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中标金额（万元）</w:t>
                  </w:r>
                </w:p>
              </w:tc>
              <w:tc>
                <w:tcPr>
                  <w:tcW w:w="144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c>
                <w:tcPr>
                  <w:tcW w:w="1537"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c>
                <w:tcPr>
                  <w:tcW w:w="1504"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100以下</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cr/>
                  </w:r>
                  <w:r>
                    <w:rPr>
                      <w:rFonts w:hint="eastAsia" w:ascii="宋体" w:hAnsi="宋体" w:eastAsia="宋体" w:cs="宋体"/>
                      <w:color w:val="auto"/>
                      <w:kern w:val="0"/>
                      <w:sz w:val="24"/>
                      <w:szCs w:val="24"/>
                      <w:highlight w:val="none"/>
                    </w:rPr>
                    <w:t>50%</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100—500</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500—1000</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1000—5000</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0.50%</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5000—10000</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10000——100000</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3030" w:type="dxa"/>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1000000以上</w:t>
                  </w:r>
                </w:p>
              </w:tc>
              <w:tc>
                <w:tcPr>
                  <w:tcW w:w="1441"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c>
                <w:tcPr>
                  <w:tcW w:w="1537"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c>
                <w:tcPr>
                  <w:tcW w:w="1504" w:type="dxa"/>
                  <w:vAlign w:val="bottom"/>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r>
          </w:tbl>
          <w:p>
            <w:pPr>
              <w:pStyle w:val="20"/>
              <w:spacing w:line="360" w:lineRule="auto"/>
              <w:rPr>
                <w:rFonts w:hint="eastAsia" w:ascii="宋体" w:hAnsi="宋体" w:eastAsia="宋体" w:cs="宋体"/>
                <w:color w:val="auto"/>
                <w:sz w:val="24"/>
                <w:szCs w:val="24"/>
                <w:highlight w:val="none"/>
              </w:rPr>
            </w:pPr>
          </w:p>
          <w:p>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注：采购代理服务收费按差额定率累进法计算。</w:t>
            </w:r>
          </w:p>
          <w:p>
            <w:pPr>
              <w:pStyle w:val="2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例如：某货物招标代理业务中标金额为500万元，计算招标代理服务收费额如下：</w:t>
            </w:r>
          </w:p>
          <w:p>
            <w:pPr>
              <w:pStyle w:val="2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 万元×1.50%=1.5万元</w:t>
            </w:r>
          </w:p>
          <w:p>
            <w:pPr>
              <w:pStyle w:val="2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（500-100）万元×1.10%= 4.4万元</w:t>
            </w:r>
          </w:p>
          <w:p>
            <w:pPr>
              <w:spacing w:line="360" w:lineRule="auto"/>
              <w:rPr>
                <w:rFonts w:ascii="宋体" w:hAnsi="宋体"/>
                <w:color w:val="auto"/>
                <w:sz w:val="24"/>
                <w:szCs w:val="24"/>
                <w:highlight w:val="none"/>
              </w:rPr>
            </w:pPr>
            <w:r>
              <w:rPr>
                <w:rFonts w:hint="eastAsia" w:ascii="宋体" w:hAnsi="宋体" w:eastAsia="宋体" w:cs="宋体"/>
                <w:bCs/>
                <w:color w:val="auto"/>
                <w:sz w:val="24"/>
                <w:szCs w:val="24"/>
                <w:highlight w:val="none"/>
              </w:rPr>
              <w:t>合计收费=1.5+4.4=5.9（万元）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spacing w:line="360" w:lineRule="auto"/>
              <w:rPr>
                <w:rFonts w:hint="eastAsia" w:hAnsi="宋体"/>
                <w:color w:val="auto"/>
                <w:sz w:val="24"/>
                <w:szCs w:val="24"/>
                <w:highlight w:val="none"/>
              </w:rPr>
            </w:pPr>
            <w:r>
              <w:rPr>
                <w:rFonts w:ascii="宋体" w:hAnsi="宋体" w:cs="宋体"/>
                <w:bCs/>
                <w:color w:val="auto"/>
                <w:sz w:val="24"/>
                <w:szCs w:val="24"/>
                <w:highlight w:val="none"/>
              </w:rPr>
              <w:t xml:space="preserve">自成交通知书发出之日起 </w:t>
            </w:r>
            <w:r>
              <w:rPr>
                <w:rFonts w:hint="eastAsia" w:ascii="宋体" w:hAnsi="宋体" w:cs="宋体"/>
                <w:bCs/>
                <w:color w:val="auto"/>
                <w:sz w:val="24"/>
                <w:szCs w:val="24"/>
                <w:highlight w:val="none"/>
              </w:rPr>
              <w:t>15</w:t>
            </w:r>
            <w:r>
              <w:rPr>
                <w:rFonts w:ascii="宋体" w:hAnsi="宋体" w:cs="宋体"/>
                <w:bCs/>
                <w:color w:val="auto"/>
                <w:sz w:val="24"/>
                <w:szCs w:val="24"/>
                <w:highlight w:val="none"/>
              </w:rPr>
              <w:t>日历天内凭成交通知书与采购人签订采购合同，延期自误。（采购合同必须与本采购文件中的合同书格式(包括内容和结构)相一致，不能改变主要条款。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成交供应商签订合同所需证明材料：</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文件中的采购合同格式制作合同</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2.廉洁承诺书</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3.商务、技术偏离表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4.成交通知书</w:t>
            </w:r>
          </w:p>
          <w:p>
            <w:pPr>
              <w:spacing w:line="360" w:lineRule="auto"/>
              <w:rPr>
                <w:rFonts w:ascii="宋体" w:hAnsi="宋体" w:cs="宋体"/>
                <w:bCs/>
                <w:color w:val="auto"/>
                <w:sz w:val="24"/>
                <w:szCs w:val="24"/>
                <w:highlight w:val="none"/>
              </w:rPr>
            </w:pPr>
            <w:r>
              <w:rPr>
                <w:rFonts w:hint="eastAsia" w:ascii="宋体" w:hAnsi="宋体" w:eastAsia="宋体" w:cs="宋体"/>
                <w:bCs/>
                <w:color w:val="auto"/>
                <w:sz w:val="24"/>
                <w:szCs w:val="24"/>
                <w:highlight w:val="none"/>
              </w:rPr>
              <w:t>经采购人核验合格后方可签订合同。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质疑联系部门及联系方式</w:t>
            </w:r>
            <w:r>
              <w:rPr>
                <w:rFonts w:hint="eastAsia" w:ascii="宋体" w:hAnsi="宋体" w:eastAsia="宋体" w:cs="宋体"/>
                <w:bCs/>
                <w:color w:val="auto"/>
                <w:sz w:val="24"/>
                <w:szCs w:val="24"/>
                <w:highlight w:val="none"/>
                <w:lang w:eastAsia="zh-CN"/>
              </w:rPr>
              <w:t>：</w:t>
            </w:r>
          </w:p>
          <w:p>
            <w:pPr>
              <w:pStyle w:val="20"/>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接收质疑函方式：以书面形式</w:t>
            </w:r>
          </w:p>
          <w:p>
            <w:pPr>
              <w:pStyle w:val="20"/>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质疑联系部门及联系方式：广西中信恒泰工程顾问有限公司</w:t>
            </w:r>
          </w:p>
          <w:p>
            <w:pPr>
              <w:pStyle w:val="20"/>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联系电话：0774-5826268，</w:t>
            </w:r>
          </w:p>
          <w:p>
            <w:pPr>
              <w:pStyle w:val="20"/>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通讯地址：梧州市三龙大道15号金湖湾小区2栋2单元203号房</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现场提交质疑办理业务时间：每天8时00分到12时00分，15时00分到18时00分，双休日和法定节假日不办理业务。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8" w:type="dxa"/>
            <w:vAlign w:val="center"/>
          </w:tcPr>
          <w:p>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本</w:t>
            </w:r>
            <w:r>
              <w:rPr>
                <w:rFonts w:hint="eastAsia" w:hAnsi="宋体"/>
                <w:color w:val="auto"/>
                <w:sz w:val="24"/>
                <w:szCs w:val="24"/>
                <w:highlight w:val="none"/>
                <w:lang w:eastAsia="zh-CN"/>
              </w:rPr>
              <w:t>谈判</w:t>
            </w:r>
            <w:r>
              <w:rPr>
                <w:rFonts w:hint="eastAsia" w:hAnsi="宋体"/>
                <w:color w:val="auto"/>
                <w:sz w:val="24"/>
                <w:szCs w:val="24"/>
                <w:highlight w:val="none"/>
              </w:rPr>
              <w:t>中描述供应商的“公章”是指根据我国对公章的管理规定，用供应商法定主体行为名称制作的印章，除本</w:t>
            </w:r>
            <w:r>
              <w:rPr>
                <w:rFonts w:hint="eastAsia" w:hAnsi="宋体"/>
                <w:color w:val="auto"/>
                <w:sz w:val="24"/>
                <w:szCs w:val="24"/>
                <w:highlight w:val="none"/>
                <w:lang w:eastAsia="zh-CN"/>
              </w:rPr>
              <w:t>谈判</w:t>
            </w:r>
            <w:r>
              <w:rPr>
                <w:rFonts w:hint="eastAsia" w:hAnsi="宋体"/>
                <w:color w:val="auto"/>
                <w:sz w:val="24"/>
                <w:szCs w:val="24"/>
                <w:highlight w:val="none"/>
              </w:rPr>
              <w:t>有特殊规定外，供应商的财务章、部门章、分公司章、工会章、合同章、投标专用章、业务专用章等其它形式印章均不能代替公章。</w:t>
            </w:r>
          </w:p>
          <w:p>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本</w:t>
            </w:r>
            <w:r>
              <w:rPr>
                <w:rFonts w:hint="eastAsia" w:hAnsi="宋体"/>
                <w:color w:val="auto"/>
                <w:sz w:val="24"/>
                <w:szCs w:val="24"/>
                <w:highlight w:val="none"/>
                <w:lang w:eastAsia="zh-CN"/>
              </w:rPr>
              <w:t>谈判</w:t>
            </w:r>
            <w:r>
              <w:rPr>
                <w:rFonts w:hint="eastAsia" w:hAnsi="宋体"/>
                <w:color w:val="auto"/>
                <w:sz w:val="24"/>
                <w:szCs w:val="24"/>
                <w:highlight w:val="none"/>
              </w:rPr>
              <w:t>中描述供应商的“签字”是指供应商的法定代表人（负责人或自然人）或委托代理人亲自在</w:t>
            </w:r>
            <w:r>
              <w:rPr>
                <w:rFonts w:hint="eastAsia" w:hAnsi="宋体"/>
                <w:color w:val="auto"/>
                <w:sz w:val="24"/>
                <w:szCs w:val="24"/>
                <w:highlight w:val="none"/>
                <w:lang w:eastAsia="zh-CN"/>
              </w:rPr>
              <w:t>谈判</w:t>
            </w:r>
            <w:r>
              <w:rPr>
                <w:rFonts w:hint="eastAsia" w:hAnsi="宋体"/>
                <w:color w:val="auto"/>
                <w:sz w:val="24"/>
                <w:szCs w:val="24"/>
                <w:highlight w:val="none"/>
              </w:rPr>
              <w:t>规定签字处亲笔写上个人名字的行为，私章、签字章、印鉴、影印等其它形式均不能代替亲笔签字。如</w:t>
            </w:r>
            <w:r>
              <w:rPr>
                <w:rFonts w:hint="eastAsia" w:hAnsi="宋体"/>
                <w:color w:val="auto"/>
                <w:sz w:val="24"/>
                <w:szCs w:val="24"/>
                <w:highlight w:val="none"/>
                <w:lang w:eastAsia="zh-CN"/>
              </w:rPr>
              <w:t>谈判</w:t>
            </w:r>
            <w:r>
              <w:rPr>
                <w:rFonts w:hint="eastAsia" w:hAnsi="宋体"/>
                <w:color w:val="auto"/>
                <w:sz w:val="24"/>
                <w:szCs w:val="24"/>
                <w:highlight w:val="none"/>
              </w:rPr>
              <w:t>规定签字处不得以法人私章代替。</w:t>
            </w:r>
          </w:p>
          <w:p>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自然人投标的，</w:t>
            </w:r>
            <w:r>
              <w:rPr>
                <w:rFonts w:hint="eastAsia" w:hAnsi="宋体"/>
                <w:color w:val="auto"/>
                <w:sz w:val="24"/>
                <w:szCs w:val="24"/>
                <w:highlight w:val="none"/>
                <w:lang w:eastAsia="zh-CN"/>
              </w:rPr>
              <w:t>谈判</w:t>
            </w:r>
            <w:r>
              <w:rPr>
                <w:rFonts w:hint="eastAsia" w:hAnsi="宋体"/>
                <w:color w:val="auto"/>
                <w:sz w:val="24"/>
                <w:szCs w:val="24"/>
                <w:highlight w:val="none"/>
              </w:rPr>
              <w:t>规定盖章的地方自然人可以加盖手指指印。</w:t>
            </w:r>
          </w:p>
          <w:p>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电子</w:t>
            </w:r>
            <w:r>
              <w:rPr>
                <w:rFonts w:hint="eastAsia" w:hAnsi="宋体"/>
                <w:color w:val="auto"/>
                <w:sz w:val="24"/>
                <w:szCs w:val="24"/>
                <w:highlight w:val="none"/>
                <w:lang w:eastAsia="zh-CN"/>
              </w:rPr>
              <w:t>响应文件</w:t>
            </w:r>
            <w:r>
              <w:rPr>
                <w:rFonts w:hint="eastAsia" w:hAnsi="宋体"/>
                <w:color w:val="auto"/>
                <w:sz w:val="24"/>
                <w:szCs w:val="24"/>
                <w:highlight w:val="none"/>
              </w:rPr>
              <w:t>中须加盖供应商公章部分均采用</w:t>
            </w:r>
            <w:r>
              <w:rPr>
                <w:rFonts w:hAnsi="宋体"/>
                <w:color w:val="auto"/>
                <w:sz w:val="24"/>
                <w:szCs w:val="24"/>
                <w:highlight w:val="none"/>
              </w:rPr>
              <w:t xml:space="preserve">CA </w:t>
            </w:r>
            <w:r>
              <w:rPr>
                <w:rFonts w:hint="eastAsia" w:hAnsi="宋体"/>
                <w:color w:val="auto"/>
                <w:sz w:val="24"/>
                <w:szCs w:val="24"/>
                <w:highlight w:val="none"/>
              </w:rPr>
              <w:t>签章，并根据“政府采购项目电子交易管理操作指南</w:t>
            </w:r>
            <w:r>
              <w:rPr>
                <w:rFonts w:hAnsi="宋体"/>
                <w:color w:val="auto"/>
                <w:sz w:val="24"/>
                <w:szCs w:val="24"/>
                <w:highlight w:val="none"/>
              </w:rPr>
              <w:t>-</w:t>
            </w:r>
            <w:r>
              <w:rPr>
                <w:rFonts w:hint="eastAsia" w:hAnsi="宋体"/>
                <w:color w:val="auto"/>
                <w:sz w:val="24"/>
                <w:szCs w:val="24"/>
                <w:highlight w:val="none"/>
              </w:rPr>
              <w:t>供应商”</w:t>
            </w:r>
            <w:r>
              <w:rPr>
                <w:rFonts w:hAnsi="宋体"/>
                <w:color w:val="auto"/>
                <w:sz w:val="24"/>
                <w:szCs w:val="24"/>
                <w:highlight w:val="none"/>
              </w:rPr>
              <w:t xml:space="preserve"> </w:t>
            </w:r>
            <w:r>
              <w:rPr>
                <w:rFonts w:hint="eastAsia" w:hAnsi="宋体"/>
                <w:color w:val="auto"/>
                <w:sz w:val="24"/>
                <w:szCs w:val="24"/>
                <w:highlight w:val="none"/>
              </w:rPr>
              <w:t>及本</w:t>
            </w:r>
            <w:r>
              <w:rPr>
                <w:rFonts w:hint="eastAsia" w:hAnsi="宋体"/>
                <w:color w:val="auto"/>
                <w:sz w:val="24"/>
                <w:szCs w:val="24"/>
                <w:highlight w:val="none"/>
                <w:lang w:eastAsia="zh-CN"/>
              </w:rPr>
              <w:t>谈判</w:t>
            </w:r>
            <w:r>
              <w:rPr>
                <w:rFonts w:hint="eastAsia" w:hAnsi="宋体"/>
                <w:color w:val="auto"/>
                <w:sz w:val="24"/>
                <w:szCs w:val="24"/>
                <w:highlight w:val="none"/>
              </w:rPr>
              <w:t>规定的格式和顺序编制电子</w:t>
            </w:r>
            <w:r>
              <w:rPr>
                <w:rFonts w:hint="eastAsia" w:hAnsi="宋体"/>
                <w:color w:val="auto"/>
                <w:sz w:val="24"/>
                <w:szCs w:val="24"/>
                <w:highlight w:val="none"/>
                <w:lang w:eastAsia="zh-CN"/>
              </w:rPr>
              <w:t>响应文件</w:t>
            </w:r>
            <w:r>
              <w:rPr>
                <w:rFonts w:hint="eastAsia" w:hAnsi="宋体"/>
                <w:color w:val="auto"/>
                <w:sz w:val="24"/>
                <w:szCs w:val="24"/>
                <w:highlight w:val="none"/>
              </w:rPr>
              <w:t>并进行关联定位，以便评</w:t>
            </w:r>
            <w:r>
              <w:rPr>
                <w:rFonts w:hint="eastAsia" w:hAnsi="宋体"/>
                <w:color w:val="auto"/>
                <w:sz w:val="24"/>
                <w:szCs w:val="24"/>
                <w:highlight w:val="none"/>
                <w:lang w:eastAsia="zh-CN"/>
              </w:rPr>
              <w:t>谈判</w:t>
            </w:r>
            <w:r>
              <w:rPr>
                <w:rFonts w:hint="eastAsia" w:hAnsi="宋体"/>
                <w:color w:val="auto"/>
                <w:sz w:val="24"/>
                <w:szCs w:val="24"/>
                <w:highlight w:val="none"/>
              </w:rPr>
              <w:t>小组在评审时，点击评分项可直接定位到该评分项内容。如对</w:t>
            </w:r>
            <w:r>
              <w:rPr>
                <w:rFonts w:hint="eastAsia" w:hAnsi="宋体"/>
                <w:color w:val="auto"/>
                <w:sz w:val="24"/>
                <w:szCs w:val="24"/>
                <w:highlight w:val="none"/>
                <w:lang w:eastAsia="zh-CN"/>
              </w:rPr>
              <w:t>谈判</w:t>
            </w:r>
            <w:r>
              <w:rPr>
                <w:rFonts w:hint="eastAsia" w:hAnsi="宋体"/>
                <w:color w:val="auto"/>
                <w:sz w:val="24"/>
                <w:szCs w:val="24"/>
                <w:highlight w:val="none"/>
              </w:rPr>
              <w:t>的某项要求，供应商的电子</w:t>
            </w:r>
            <w:r>
              <w:rPr>
                <w:rFonts w:hint="eastAsia" w:hAnsi="宋体"/>
                <w:color w:val="auto"/>
                <w:sz w:val="24"/>
                <w:szCs w:val="24"/>
                <w:highlight w:val="none"/>
                <w:lang w:eastAsia="zh-CN"/>
              </w:rPr>
              <w:t>响应文件</w:t>
            </w:r>
            <w:r>
              <w:rPr>
                <w:rFonts w:hint="eastAsia" w:hAnsi="宋体"/>
                <w:color w:val="auto"/>
                <w:sz w:val="24"/>
                <w:szCs w:val="24"/>
                <w:highlight w:val="none"/>
              </w:rPr>
              <w:t>未能关联定位提供相应的内容与其对应，则</w:t>
            </w:r>
            <w:r>
              <w:rPr>
                <w:rFonts w:hint="eastAsia" w:hAnsi="宋体"/>
                <w:color w:val="auto"/>
                <w:sz w:val="24"/>
                <w:szCs w:val="24"/>
                <w:highlight w:val="none"/>
                <w:lang w:eastAsia="zh-CN"/>
              </w:rPr>
              <w:t>谈判</w:t>
            </w:r>
            <w:r>
              <w:rPr>
                <w:rFonts w:hint="eastAsia" w:hAnsi="宋体"/>
                <w:color w:val="auto"/>
                <w:sz w:val="24"/>
                <w:szCs w:val="24"/>
                <w:highlight w:val="none"/>
              </w:rPr>
              <w:t>小组在评审时如做出对供应商不利的评审由供应商自行承担。电子</w:t>
            </w:r>
            <w:r>
              <w:rPr>
                <w:rFonts w:hint="eastAsia" w:hAnsi="宋体"/>
                <w:color w:val="auto"/>
                <w:sz w:val="24"/>
                <w:szCs w:val="24"/>
                <w:highlight w:val="none"/>
                <w:lang w:eastAsia="zh-CN"/>
              </w:rPr>
              <w:t>响应文件</w:t>
            </w:r>
            <w:r>
              <w:rPr>
                <w:rFonts w:hint="eastAsia" w:hAnsi="宋体"/>
                <w:color w:val="auto"/>
                <w:sz w:val="24"/>
                <w:szCs w:val="24"/>
                <w:highlight w:val="none"/>
              </w:rPr>
              <w:t>如内容不完整、编排混乱导致</w:t>
            </w:r>
            <w:r>
              <w:rPr>
                <w:rFonts w:hint="eastAsia" w:hAnsi="宋体"/>
                <w:color w:val="auto"/>
                <w:sz w:val="24"/>
                <w:szCs w:val="24"/>
                <w:highlight w:val="none"/>
                <w:lang w:eastAsia="zh-CN"/>
              </w:rPr>
              <w:t>响应文件</w:t>
            </w:r>
            <w:r>
              <w:rPr>
                <w:rFonts w:hint="eastAsia" w:hAnsi="宋体"/>
                <w:color w:val="auto"/>
                <w:sz w:val="24"/>
                <w:szCs w:val="24"/>
                <w:highlight w:val="none"/>
              </w:rPr>
              <w:t>被误读、漏读，或者在按采购文件规定的部位查找不到相关内容的，由供应商自行承担。</w:t>
            </w:r>
          </w:p>
          <w:p>
            <w:pPr>
              <w:spacing w:line="360" w:lineRule="auto"/>
              <w:rPr>
                <w:rFonts w:hAnsi="宋体"/>
                <w:color w:val="auto"/>
                <w:sz w:val="24"/>
                <w:szCs w:val="24"/>
                <w:highlight w:val="none"/>
              </w:rPr>
            </w:pPr>
            <w:r>
              <w:rPr>
                <w:rFonts w:hAnsi="宋体"/>
                <w:color w:val="auto"/>
                <w:sz w:val="24"/>
                <w:szCs w:val="24"/>
                <w:highlight w:val="none"/>
              </w:rPr>
              <w:t xml:space="preserve">5.CA </w:t>
            </w:r>
            <w:r>
              <w:rPr>
                <w:rFonts w:hint="eastAsia" w:hAnsi="宋体"/>
                <w:color w:val="auto"/>
                <w:sz w:val="24"/>
                <w:szCs w:val="24"/>
                <w:highlight w:val="none"/>
              </w:rPr>
              <w:t>签章上目前没有法定代表人（负责人）或授权代表签字信息，供应商在响应文件中涉及到签字的位置线下签好字然后扫描或者拍照做成</w:t>
            </w:r>
            <w:r>
              <w:rPr>
                <w:rFonts w:hAnsi="宋体"/>
                <w:color w:val="auto"/>
                <w:sz w:val="24"/>
                <w:szCs w:val="24"/>
                <w:highlight w:val="none"/>
              </w:rPr>
              <w:t xml:space="preserve">PDF </w:t>
            </w:r>
            <w:r>
              <w:rPr>
                <w:rFonts w:hint="eastAsia" w:hAnsi="宋体"/>
                <w:color w:val="auto"/>
                <w:sz w:val="24"/>
                <w:szCs w:val="24"/>
                <w:highlight w:val="none"/>
              </w:rPr>
              <w:t>的格式亦可。</w:t>
            </w:r>
            <w:r>
              <w:rPr>
                <w:rFonts w:hint="eastAsia" w:hAnsi="宋体"/>
                <w:color w:val="auto"/>
                <w:sz w:val="24"/>
                <w:szCs w:val="24"/>
                <w:highlight w:val="none"/>
                <w:lang w:eastAsia="zh-CN"/>
              </w:rPr>
              <w:t>响应文件</w:t>
            </w:r>
            <w:r>
              <w:rPr>
                <w:rFonts w:hint="eastAsia" w:hAnsi="宋体"/>
                <w:color w:val="auto"/>
                <w:sz w:val="24"/>
                <w:szCs w:val="24"/>
                <w:highlight w:val="none"/>
              </w:rPr>
              <w:t>中涉及到签字的位置未按要求签字的，提供的材料视为无效。</w:t>
            </w:r>
          </w:p>
        </w:tc>
      </w:tr>
    </w:tbl>
    <w:p>
      <w:pPr>
        <w:jc w:val="center"/>
        <w:rPr>
          <w:b/>
          <w:color w:val="auto"/>
          <w:spacing w:val="70"/>
          <w:sz w:val="40"/>
          <w:highlight w:val="none"/>
        </w:rPr>
      </w:pPr>
      <w:r>
        <w:rPr>
          <w:color w:val="auto"/>
          <w:highlight w:val="none"/>
        </w:rPr>
        <w:br w:type="page"/>
      </w:r>
      <w:r>
        <w:rPr>
          <w:rFonts w:hint="eastAsia"/>
          <w:b/>
          <w:color w:val="auto"/>
          <w:spacing w:val="70"/>
          <w:sz w:val="40"/>
          <w:highlight w:val="none"/>
        </w:rPr>
        <w:t>谈判须知</w:t>
      </w:r>
    </w:p>
    <w:p>
      <w:pPr>
        <w:spacing w:line="400" w:lineRule="atLeast"/>
        <w:jc w:val="center"/>
        <w:rPr>
          <w:rFonts w:ascii="宋体" w:hAnsi="宋体"/>
          <w:b/>
          <w:color w:val="auto"/>
          <w:highlight w:val="none"/>
        </w:rPr>
      </w:pPr>
    </w:p>
    <w:p>
      <w:pPr>
        <w:spacing w:line="40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一   总  则</w:t>
      </w:r>
    </w:p>
    <w:p>
      <w:pPr>
        <w:spacing w:line="420" w:lineRule="atLeast"/>
        <w:rPr>
          <w:rFonts w:ascii="宋体" w:hAnsi="宋体" w:cs="宋体"/>
          <w:bCs/>
          <w:color w:val="auto"/>
          <w:sz w:val="24"/>
          <w:szCs w:val="24"/>
          <w:highlight w:val="none"/>
        </w:rPr>
      </w:pPr>
      <w:r>
        <w:rPr>
          <w:rFonts w:hint="eastAsia" w:ascii="宋体" w:hAnsi="宋体" w:cs="宋体"/>
          <w:b/>
          <w:color w:val="auto"/>
          <w:sz w:val="24"/>
          <w:szCs w:val="24"/>
          <w:highlight w:val="none"/>
        </w:rPr>
        <w:t>1．项目名称与编号：</w:t>
      </w:r>
      <w:r>
        <w:rPr>
          <w:rFonts w:hint="eastAsia" w:ascii="宋体" w:hAnsi="宋体" w:cs="宋体"/>
          <w:color w:val="auto"/>
          <w:sz w:val="24"/>
          <w:szCs w:val="24"/>
          <w:highlight w:val="none"/>
        </w:rPr>
        <w:t>见谈判须知前附表</w:t>
      </w:r>
    </w:p>
    <w:p>
      <w:pPr>
        <w:pStyle w:val="20"/>
        <w:spacing w:line="420" w:lineRule="atLeast"/>
        <w:rPr>
          <w:rFonts w:hint="default" w:hAnsi="宋体" w:cs="宋体"/>
          <w:b/>
          <w:color w:val="auto"/>
          <w:sz w:val="24"/>
          <w:szCs w:val="24"/>
          <w:highlight w:val="none"/>
        </w:rPr>
      </w:pPr>
      <w:r>
        <w:rPr>
          <w:rFonts w:hAnsi="宋体" w:cs="宋体"/>
          <w:b/>
          <w:color w:val="auto"/>
          <w:sz w:val="24"/>
          <w:szCs w:val="24"/>
          <w:highlight w:val="none"/>
        </w:rPr>
        <w:t>2．合格谈判供应商的基本条件：</w:t>
      </w:r>
    </w:p>
    <w:p>
      <w:pPr>
        <w:pStyle w:val="20"/>
        <w:spacing w:line="420" w:lineRule="atLeast"/>
        <w:rPr>
          <w:rFonts w:hint="default" w:hAnsi="宋体" w:cs="宋体"/>
          <w:color w:val="auto"/>
          <w:sz w:val="24"/>
          <w:szCs w:val="24"/>
          <w:highlight w:val="none"/>
        </w:rPr>
      </w:pPr>
      <w:r>
        <w:rPr>
          <w:rFonts w:hAnsi="宋体" w:cs="宋体"/>
          <w:color w:val="auto"/>
          <w:sz w:val="24"/>
          <w:szCs w:val="24"/>
          <w:highlight w:val="none"/>
        </w:rPr>
        <w:t>2.1谈判供应商应符合谈判须知前附表规定的基本条件。</w:t>
      </w:r>
    </w:p>
    <w:p>
      <w:pPr>
        <w:pStyle w:val="20"/>
        <w:spacing w:line="420" w:lineRule="atLeast"/>
        <w:rPr>
          <w:rFonts w:hint="default" w:hAnsi="宋体" w:cs="宋体"/>
          <w:color w:val="auto"/>
          <w:sz w:val="24"/>
          <w:szCs w:val="24"/>
          <w:highlight w:val="none"/>
        </w:rPr>
      </w:pPr>
      <w:r>
        <w:rPr>
          <w:rFonts w:hAnsi="宋体" w:cs="宋体"/>
          <w:color w:val="auto"/>
          <w:sz w:val="24"/>
          <w:szCs w:val="24"/>
          <w:highlight w:val="none"/>
        </w:rPr>
        <w:t>2.2符合合格供应商基本条件的供应商必须承担竞标及履约中应承担的全部责任与义务。</w:t>
      </w:r>
    </w:p>
    <w:p>
      <w:pPr>
        <w:tabs>
          <w:tab w:val="left" w:pos="5625"/>
        </w:tabs>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3．谈判费用</w:t>
      </w:r>
      <w:r>
        <w:rPr>
          <w:rFonts w:hint="eastAsia" w:ascii="宋体" w:hAnsi="宋体" w:cs="宋体"/>
          <w:b/>
          <w:color w:val="auto"/>
          <w:sz w:val="24"/>
          <w:szCs w:val="24"/>
          <w:highlight w:val="none"/>
        </w:rPr>
        <w:tab/>
      </w:r>
    </w:p>
    <w:p>
      <w:pPr>
        <w:spacing w:line="420" w:lineRule="atLeast"/>
        <w:rPr>
          <w:rFonts w:ascii="宋体" w:hAnsi="宋体" w:cs="宋体"/>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谈判供应商应自行承担所有与编写和提交竞争性谈判响应文件有关的费用。</w:t>
      </w:r>
    </w:p>
    <w:p>
      <w:pPr>
        <w:spacing w:line="420" w:lineRule="atLeast"/>
        <w:rPr>
          <w:rFonts w:ascii="宋体" w:hAnsi="宋体" w:cs="宋体"/>
          <w:color w:val="auto"/>
          <w:sz w:val="24"/>
          <w:szCs w:val="24"/>
          <w:highlight w:val="none"/>
        </w:rPr>
      </w:pPr>
    </w:p>
    <w:p>
      <w:pPr>
        <w:spacing w:line="42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二  竞争性谈判采购文件（简称谈判采购文件）</w:t>
      </w:r>
    </w:p>
    <w:p>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4．谈判采购文件构成</w:t>
      </w:r>
    </w:p>
    <w:p>
      <w:pPr>
        <w:pStyle w:val="20"/>
        <w:spacing w:line="420" w:lineRule="atLeast"/>
        <w:rPr>
          <w:rFonts w:hint="default" w:hAnsi="宋体" w:cs="宋体"/>
          <w:color w:val="auto"/>
          <w:sz w:val="24"/>
          <w:szCs w:val="24"/>
          <w:highlight w:val="none"/>
        </w:rPr>
      </w:pPr>
      <w:r>
        <w:rPr>
          <w:rFonts w:hAnsi="宋体" w:cs="宋体"/>
          <w:color w:val="auto"/>
          <w:sz w:val="24"/>
          <w:szCs w:val="24"/>
          <w:highlight w:val="none"/>
        </w:rPr>
        <w:t>4.1谈判采购文件包括：</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⑴竞争性谈判公告；</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⑵谈判须知及前附表；</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⑶项目需求；</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⑷采购合同书（格式）；</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⑸竞争性谈判响应文件（格式）；</w:t>
      </w:r>
    </w:p>
    <w:p>
      <w:pPr>
        <w:pStyle w:val="20"/>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⑹成交评审方法。</w:t>
      </w:r>
    </w:p>
    <w:p>
      <w:pPr>
        <w:pStyle w:val="20"/>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4.2供应商应认真阅读谈判采购文件中所有的事项、格式、条款和规范等要求，从而对谈判采购文件做出实质性的响应。如果没有按照谈判采购文件要求提交全部竞争性谈判文件或者资料，没有对谈判采购文件做出实质性响应，其风险应当由谈判供应商自行承担。根据有关规定，该竞标有可能被拒绝。</w:t>
      </w:r>
    </w:p>
    <w:p>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5．谈判采购文件的澄清</w:t>
      </w:r>
    </w:p>
    <w:p>
      <w:pPr>
        <w:pStyle w:val="20"/>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5.1任何要求对谈判文件进行澄清的响应供应商，均应以书面形式在谈判文件规定的谈判响应文件递交截止日期前通知采购代理机构,在规定时间以后提出的澄清要求将不予受理。采购代理机构将组织采购人对响应供应商所要求澄清的内容进行答复，必要时，采购代理机构将组织相关专家召开答疑会。澄清答复以网上公告的形式发布，供应商未及时关注采购人在网站上发布的澄清答复造成的损失，由供应商自行负责（答复中不包括问题的来源）。</w:t>
      </w:r>
    </w:p>
    <w:p>
      <w:pPr>
        <w:pStyle w:val="20"/>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5.2响应供应商在规定的时间内未要求对谈判文件澄清或提出疑问的，采购代理机构将视其为无异议。对谈判文件中描述有歧意或前后不一致的地方，谈判小组有权进行评判，但对同一条款的评判应适用于每个响应供应商。</w:t>
      </w:r>
    </w:p>
    <w:p>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6．谈判采购文件的修改</w:t>
      </w:r>
    </w:p>
    <w:p>
      <w:pPr>
        <w:pStyle w:val="20"/>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6.1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公告形式通知所有接收谈判文件的供应商，不足3个工作日的，应当顺延提交首次响应文件截止之日。澄清修改将在谈判公告发布媒体上发布更正（或澄清）公告，发布之日起视为供应商已收到该澄清（更正/更改）。供应商未及时关注采购人在网站上发布的澄清或更正、更改文件造成的损失，由供应商自行负责。</w:t>
      </w:r>
    </w:p>
    <w:p>
      <w:pPr>
        <w:pStyle w:val="20"/>
        <w:spacing w:line="420" w:lineRule="atLeast"/>
        <w:ind w:firstLine="420"/>
        <w:rPr>
          <w:rFonts w:hint="default" w:hAnsi="宋体" w:cs="宋体"/>
          <w:color w:val="auto"/>
          <w:sz w:val="24"/>
          <w:szCs w:val="24"/>
          <w:highlight w:val="none"/>
        </w:rPr>
      </w:pPr>
    </w:p>
    <w:p>
      <w:pPr>
        <w:spacing w:line="4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三  竞争性谈判响应文件的编制</w:t>
      </w:r>
    </w:p>
    <w:p>
      <w:pPr>
        <w:pStyle w:val="20"/>
        <w:spacing w:line="440" w:lineRule="atLeast"/>
        <w:rPr>
          <w:rFonts w:hint="default" w:hAnsi="宋体" w:cs="宋体"/>
          <w:b/>
          <w:color w:val="auto"/>
          <w:sz w:val="24"/>
          <w:szCs w:val="24"/>
          <w:highlight w:val="none"/>
        </w:rPr>
      </w:pPr>
      <w:r>
        <w:rPr>
          <w:rFonts w:hAnsi="宋体" w:cs="宋体"/>
          <w:b/>
          <w:color w:val="auto"/>
          <w:sz w:val="24"/>
          <w:szCs w:val="24"/>
          <w:highlight w:val="none"/>
        </w:rPr>
        <w:t>7.竞争性谈判响应文件编写注意事项</w:t>
      </w:r>
    </w:p>
    <w:p>
      <w:pPr>
        <w:pStyle w:val="20"/>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7.1供应商应仔细阅读谈判采购文件，了解谈判采购文件的要求。在完全了解采购的内容、要求（详见项目需求）和商务条件后，编写竞争性谈判响应文件。</w:t>
      </w:r>
    </w:p>
    <w:p>
      <w:pPr>
        <w:pStyle w:val="20"/>
        <w:spacing w:line="440" w:lineRule="atLeast"/>
        <w:rPr>
          <w:rFonts w:hint="default" w:hAnsi="宋体" w:cs="宋体"/>
          <w:color w:val="auto"/>
          <w:sz w:val="24"/>
          <w:szCs w:val="24"/>
          <w:highlight w:val="none"/>
        </w:rPr>
      </w:pPr>
      <w:r>
        <w:rPr>
          <w:rFonts w:hAnsi="宋体" w:cs="宋体"/>
          <w:b/>
          <w:color w:val="auto"/>
          <w:sz w:val="24"/>
          <w:szCs w:val="24"/>
          <w:highlight w:val="none"/>
        </w:rPr>
        <w:t>8.谈判的语言及计量单位</w:t>
      </w:r>
    </w:p>
    <w:p>
      <w:pPr>
        <w:pStyle w:val="20"/>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8.1谈判供应商的竞争性谈判响应文件以及谈判供应商与采购代理机构就有关竞标的所有来往函电统一使用中文（特别规定除外）。</w:t>
      </w:r>
    </w:p>
    <w:p>
      <w:pPr>
        <w:pStyle w:val="20"/>
        <w:spacing w:line="440" w:lineRule="atLeast"/>
        <w:rPr>
          <w:rFonts w:hint="default" w:hAnsi="宋体" w:cs="宋体"/>
          <w:color w:val="auto"/>
          <w:sz w:val="24"/>
          <w:szCs w:val="24"/>
          <w:highlight w:val="none"/>
        </w:rPr>
      </w:pPr>
      <w:r>
        <w:rPr>
          <w:rFonts w:hAnsi="宋体" w:cs="宋体"/>
          <w:color w:val="auto"/>
          <w:sz w:val="24"/>
          <w:szCs w:val="24"/>
          <w:highlight w:val="none"/>
        </w:rPr>
        <w:t>8.2竞争性谈判响应文件中使用的计量单位除谈判采购文件中有特殊规定外，一律使用法定计量单位。</w:t>
      </w:r>
    </w:p>
    <w:p>
      <w:pPr>
        <w:pStyle w:val="20"/>
        <w:spacing w:line="440" w:lineRule="atLeast"/>
        <w:rPr>
          <w:rFonts w:hint="default" w:hAnsi="宋体" w:cs="宋体"/>
          <w:color w:val="auto"/>
          <w:sz w:val="24"/>
          <w:szCs w:val="24"/>
          <w:highlight w:val="none"/>
        </w:rPr>
      </w:pPr>
      <w:r>
        <w:rPr>
          <w:rFonts w:hAnsi="宋体" w:cs="宋体"/>
          <w:b/>
          <w:color w:val="auto"/>
          <w:sz w:val="24"/>
          <w:szCs w:val="24"/>
          <w:highlight w:val="none"/>
        </w:rPr>
        <w:t>9.竞争性谈判响应文件构成</w:t>
      </w:r>
    </w:p>
    <w:p>
      <w:pPr>
        <w:pStyle w:val="20"/>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9.1谈判供应商编写的竞争性谈判响应文件应包括下列内容（谈判供应商必须按下列顺序自编目录及页码分别装订成册，否则，因文件失散而导致文件无效的后果由谈判供应商自负）：</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1) 谈判书（按谈判采购文件第五章的“谈判书格式”要求填写) （</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2) 谈判报价表（按谈判采购文件第五章的“谈判报价表格式”要求填写) （</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3）谈判保证金声明（附转账底单复印件加盖公章）或保证金支票/汇票/本票/保函复印件（</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4）法定代表人（负责人）身份证明书原件及身份证复印件（</w:t>
      </w:r>
      <w:r>
        <w:rPr>
          <w:rFonts w:hint="default" w:hAnsi="宋体" w:cs="宋体"/>
          <w:b/>
          <w:bCs/>
          <w:color w:val="auto"/>
          <w:sz w:val="24"/>
          <w:szCs w:val="24"/>
          <w:highlight w:val="none"/>
        </w:rPr>
        <w:t>必须提供</w:t>
      </w:r>
      <w:r>
        <w:rPr>
          <w:rFonts w:hint="default" w:hAnsi="宋体" w:cs="宋体"/>
          <w:color w:val="auto"/>
          <w:sz w:val="24"/>
          <w:szCs w:val="24"/>
          <w:highlight w:val="none"/>
        </w:rPr>
        <w:t>，身份证如为第二代身份证，必须提供正反两面复印件）；</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5）授权委托书原件和委托代理人身份证复印件（委托代理时必须提供，身份证如为第二代身份证，必须提供正反两面复印件）；</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6）谈判供应商资格证明文件（按本须知第10条要求提供）；</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7）技术规格偏离表（按谈判采购文件第五章的“技术规格偏离表格式”要求填写）（</w:t>
      </w:r>
      <w:r>
        <w:rPr>
          <w:rFonts w:hint="default" w:hAnsi="宋体" w:cs="宋体"/>
          <w:b/>
          <w:bCs/>
          <w:color w:val="auto"/>
          <w:sz w:val="24"/>
          <w:szCs w:val="24"/>
          <w:highlight w:val="none"/>
        </w:rPr>
        <w:t>必须提供</w:t>
      </w:r>
      <w:r>
        <w:rPr>
          <w:rFonts w:hint="default" w:hAnsi="宋体" w:cs="宋体"/>
          <w:color w:val="auto"/>
          <w:sz w:val="24"/>
          <w:szCs w:val="24"/>
          <w:highlight w:val="none"/>
        </w:rPr>
        <w:t xml:space="preserve">）； </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8）商务条款偏离表（按谈判采购文件第五章的“商务条款偏离表”要求填写）（</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9）售后服务承诺书（</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pPr>
        <w:pStyle w:val="20"/>
        <w:spacing w:line="440" w:lineRule="atLeast"/>
        <w:ind w:firstLine="420"/>
        <w:rPr>
          <w:rFonts w:hint="default" w:hAnsi="宋体" w:cs="宋体"/>
          <w:color w:val="auto"/>
          <w:sz w:val="24"/>
          <w:szCs w:val="24"/>
          <w:highlight w:val="none"/>
        </w:rPr>
      </w:pPr>
      <w:r>
        <w:rPr>
          <w:rFonts w:hint="eastAsia" w:hAnsi="宋体" w:cs="宋体"/>
          <w:color w:val="auto"/>
          <w:sz w:val="24"/>
          <w:szCs w:val="24"/>
          <w:highlight w:val="none"/>
          <w:lang w:val="en-US" w:eastAsia="zh-CN"/>
        </w:rPr>
        <w:t>10)</w:t>
      </w:r>
      <w:r>
        <w:rPr>
          <w:rFonts w:hint="default" w:hAnsi="宋体" w:cs="宋体"/>
          <w:color w:val="auto"/>
          <w:sz w:val="24"/>
          <w:szCs w:val="24"/>
          <w:highlight w:val="none"/>
        </w:rPr>
        <w:t>中小企业声明函或残疾人福利性单位声明函或省级以上监狱管理局、戒毒管理局（含新疆生产建设兵团）出具的属于监狱企业的证明文件。如有请提供。</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1</w:t>
      </w:r>
      <w:r>
        <w:rPr>
          <w:rFonts w:hint="eastAsia" w:hAnsi="宋体" w:cs="宋体"/>
          <w:color w:val="auto"/>
          <w:sz w:val="24"/>
          <w:szCs w:val="24"/>
          <w:highlight w:val="none"/>
          <w:lang w:val="en-US" w:eastAsia="zh-CN"/>
        </w:rPr>
        <w:t>1</w:t>
      </w:r>
      <w:r>
        <w:rPr>
          <w:rFonts w:hint="default" w:hAnsi="宋体" w:cs="宋体"/>
          <w:color w:val="auto"/>
          <w:sz w:val="24"/>
          <w:szCs w:val="24"/>
          <w:highlight w:val="none"/>
        </w:rPr>
        <w:t>）本地化服务机构，具有售后服务保障能力；（如有，请提供）</w:t>
      </w:r>
    </w:p>
    <w:p>
      <w:pPr>
        <w:pStyle w:val="20"/>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1</w:t>
      </w:r>
      <w:r>
        <w:rPr>
          <w:rFonts w:hint="eastAsia" w:hAnsi="宋体" w:cs="宋体"/>
          <w:color w:val="auto"/>
          <w:sz w:val="24"/>
          <w:szCs w:val="24"/>
          <w:highlight w:val="none"/>
          <w:lang w:val="en-US" w:eastAsia="zh-CN"/>
        </w:rPr>
        <w:t>2</w:t>
      </w:r>
      <w:r>
        <w:rPr>
          <w:rFonts w:hint="default" w:hAnsi="宋体" w:cs="宋体"/>
          <w:color w:val="auto"/>
          <w:sz w:val="24"/>
          <w:szCs w:val="24"/>
          <w:highlight w:val="none"/>
        </w:rPr>
        <w:t>）谈判供应商认为有必要提交的其他资料。</w:t>
      </w: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10．谈判供应商资格证明文件</w:t>
      </w:r>
    </w:p>
    <w:p>
      <w:pPr>
        <w:pStyle w:val="20"/>
        <w:spacing w:line="440" w:lineRule="exact"/>
        <w:rPr>
          <w:rFonts w:hint="default" w:hAnsi="宋体" w:cs="宋体"/>
          <w:color w:val="auto"/>
          <w:sz w:val="24"/>
          <w:szCs w:val="24"/>
          <w:highlight w:val="none"/>
        </w:rPr>
      </w:pPr>
      <w:r>
        <w:rPr>
          <w:rFonts w:hAnsi="宋体" w:cs="宋体"/>
          <w:color w:val="auto"/>
          <w:sz w:val="24"/>
          <w:szCs w:val="24"/>
          <w:highlight w:val="none"/>
        </w:rPr>
        <w:t>10.1谈判供应商应提交证明谈判供应商合格性和具备谈判资格的文件及资料（</w:t>
      </w:r>
      <w:r>
        <w:rPr>
          <w:rFonts w:hAnsi="宋体" w:cs="宋体"/>
          <w:b/>
          <w:color w:val="auto"/>
          <w:sz w:val="24"/>
          <w:szCs w:val="24"/>
          <w:highlight w:val="none"/>
        </w:rPr>
        <w:t>其中，注明“必须提供”的资料，谈判供应商必须按要求提供，否则其竞标无效</w:t>
      </w:r>
      <w:r>
        <w:rPr>
          <w:rFonts w:hAnsi="宋体" w:cs="宋体"/>
          <w:color w:val="auto"/>
          <w:sz w:val="24"/>
          <w:szCs w:val="24"/>
          <w:highlight w:val="none"/>
        </w:rPr>
        <w:t>）：</w:t>
      </w:r>
    </w:p>
    <w:p>
      <w:pPr>
        <w:pStyle w:val="20"/>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（1）谈判供应商有效的“营业执照”副本内页复印件</w:t>
      </w:r>
      <w:r>
        <w:rPr>
          <w:rFonts w:hint="eastAsia" w:hAnsi="宋体" w:cs="宋体"/>
          <w:b/>
          <w:color w:val="auto"/>
          <w:sz w:val="24"/>
          <w:szCs w:val="24"/>
          <w:highlight w:val="none"/>
          <w:lang w:eastAsia="zh-CN"/>
        </w:rPr>
        <w:t>，如供应商为自然人的，提供身份证复印件；</w:t>
      </w:r>
      <w:r>
        <w:rPr>
          <w:rFonts w:hint="eastAsia" w:hAnsi="宋体" w:cs="宋体"/>
          <w:b/>
          <w:color w:val="auto"/>
          <w:sz w:val="24"/>
          <w:szCs w:val="24"/>
          <w:highlight w:val="none"/>
        </w:rPr>
        <w:t>（必须提供，须清晰反映证件有效期，同时要加盖单位公章）；</w:t>
      </w:r>
    </w:p>
    <w:p>
      <w:pPr>
        <w:pStyle w:val="20"/>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（2）供应商直接控股、管理关系信息表（按谈判采购文件第五章格式要求填写）（必须提供）；</w:t>
      </w:r>
    </w:p>
    <w:p>
      <w:pPr>
        <w:pStyle w:val="20"/>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（3）《中华人民共和国政府采购法》第二十二条的规定要求提供的证明，包括：</w:t>
      </w:r>
    </w:p>
    <w:p>
      <w:pPr>
        <w:pStyle w:val="20"/>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①、谈判供应商（谈判截止时间前半年内任意</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 xml:space="preserve">个月）的依法缴纳社会保险凭证复印件，（必须提供，新成立不足三个月的供应商按实际提供如社保主管部门开具的证明、收款收据等，如为非社保主管部门开具的凭证或回单的，应清晰反映：缴款单位名称、社保单位名称、保险名称等内容）。无缴费记录的，应提供供应商所在地社保主管部门出具的《依法缴纳或依法免缴社保费证明(若为新成立的公司请供应商位出具相关证明文件）（格式自拟）； </w:t>
      </w:r>
    </w:p>
    <w:p>
      <w:pPr>
        <w:pStyle w:val="20"/>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②、谈判供应商依法纳税或报税证明文件复印件（谈判截止时间前半年内任意</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 xml:space="preserve">个月），若为新成立的公司请供应商单位出具相关证明文件（必须提供）新成立不足三个月的供应商按实际提供； </w:t>
      </w:r>
    </w:p>
    <w:p>
      <w:pPr>
        <w:pStyle w:val="20"/>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③、供应商财务状况报告[</w:t>
      </w:r>
      <w:r>
        <w:rPr>
          <w:rFonts w:hint="eastAsia" w:hAnsi="宋体" w:cs="宋体"/>
          <w:b/>
          <w:color w:val="auto"/>
          <w:sz w:val="24"/>
          <w:szCs w:val="24"/>
          <w:highlight w:val="none"/>
          <w:lang w:eastAsia="zh-CN"/>
        </w:rPr>
        <w:t>2024年度财务状况报告复印件</w:t>
      </w:r>
      <w:r>
        <w:rPr>
          <w:rFonts w:hint="eastAsia" w:hAnsi="宋体" w:cs="宋体"/>
          <w:b/>
          <w:color w:val="auto"/>
          <w:sz w:val="24"/>
          <w:szCs w:val="24"/>
          <w:highlight w:val="none"/>
        </w:rPr>
        <w:t>，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必须提供，否则响应文件按无效响应处理)（必须提供）；</w:t>
      </w:r>
    </w:p>
    <w:p>
      <w:pPr>
        <w:pStyle w:val="20"/>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④、参加政府采购活动前3年内在经营活动中没有重大违法记录的书面声明原件（必须提供）。</w:t>
      </w:r>
    </w:p>
    <w:p>
      <w:pPr>
        <w:pStyle w:val="20"/>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4）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必须提供；</w:t>
      </w:r>
    </w:p>
    <w:p>
      <w:pPr>
        <w:pStyle w:val="20"/>
        <w:spacing w:line="440" w:lineRule="atLeast"/>
        <w:rPr>
          <w:rFonts w:hint="default" w:hAnsi="宋体" w:cs="宋体"/>
          <w:b/>
          <w:color w:val="auto"/>
          <w:sz w:val="24"/>
          <w:szCs w:val="24"/>
          <w:highlight w:val="none"/>
        </w:rPr>
      </w:pPr>
      <w:r>
        <w:rPr>
          <w:rFonts w:hAnsi="宋体" w:cs="宋体"/>
          <w:b/>
          <w:color w:val="auto"/>
          <w:sz w:val="24"/>
          <w:szCs w:val="24"/>
          <w:highlight w:val="none"/>
        </w:rPr>
        <w:t>11.竞争性谈判响应文件格式</w:t>
      </w:r>
    </w:p>
    <w:p>
      <w:pPr>
        <w:pStyle w:val="20"/>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11.1谈判供应商应按谈判响应文件所附谈判报价说明完整地填写谈判采购文件中的谈判书和谈判报价表，标明所提供的产品名称、规格型号、产地、数量及技术参数等内容。</w:t>
      </w:r>
    </w:p>
    <w:p>
      <w:pPr>
        <w:spacing w:line="440" w:lineRule="atLeast"/>
        <w:rPr>
          <w:rFonts w:ascii="宋体" w:hAnsi="宋体" w:cs="宋体"/>
          <w:b/>
          <w:color w:val="auto"/>
          <w:sz w:val="24"/>
          <w:szCs w:val="24"/>
          <w:highlight w:val="none"/>
        </w:rPr>
      </w:pPr>
      <w:r>
        <w:rPr>
          <w:rFonts w:hint="eastAsia" w:ascii="宋体" w:hAnsi="宋体" w:cs="宋体"/>
          <w:b/>
          <w:color w:val="auto"/>
          <w:sz w:val="24"/>
          <w:szCs w:val="24"/>
          <w:highlight w:val="none"/>
        </w:rPr>
        <w:t>12．谈判报价</w:t>
      </w:r>
    </w:p>
    <w:p>
      <w:pPr>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12.1竞标报价方式：谈判供应商必须就项目需求的内容作完整的唯一报价。</w:t>
      </w:r>
    </w:p>
    <w:p>
      <w:pPr>
        <w:pStyle w:val="20"/>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12.2谈判供应商应在谈判报价表上标明单价和总价。如单价和总价不符，以单价累计为准，小写与大写不符的，以大写为准。</w:t>
      </w:r>
    </w:p>
    <w:p>
      <w:pPr>
        <w:pStyle w:val="20"/>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12.3谈判报价包含货物、装卸费、运费、安装调试、售后服务、人员培训、第三方检测验收费用（如有）、税金及其它完成本项目的所有费用。对于采购文件中未列明，而供应商认为必需的费用也需列入总报价。在合同实施时，采购人将不予支付成交供应商没有列入的项目费用，并认为此项目的费用已包括在总报价中</w:t>
      </w:r>
      <w:r>
        <w:rPr>
          <w:rFonts w:hAnsi="宋体" w:cs="宋体"/>
          <w:bCs/>
          <w:color w:val="auto"/>
          <w:sz w:val="24"/>
          <w:szCs w:val="24"/>
          <w:highlight w:val="none"/>
        </w:rPr>
        <w:t>。</w:t>
      </w:r>
    </w:p>
    <w:p>
      <w:pPr>
        <w:spacing w:line="440" w:lineRule="atLeast"/>
        <w:rPr>
          <w:rFonts w:ascii="宋体" w:hAnsi="宋体" w:cs="宋体"/>
          <w:b/>
          <w:color w:val="auto"/>
          <w:sz w:val="24"/>
          <w:szCs w:val="24"/>
          <w:highlight w:val="none"/>
        </w:rPr>
      </w:pPr>
      <w:r>
        <w:rPr>
          <w:rFonts w:hint="eastAsia" w:ascii="宋体" w:hAnsi="宋体" w:cs="宋体"/>
          <w:b/>
          <w:color w:val="auto"/>
          <w:sz w:val="24"/>
          <w:szCs w:val="24"/>
          <w:highlight w:val="none"/>
        </w:rPr>
        <w:t>13．谈判货币</w:t>
      </w:r>
    </w:p>
    <w:p>
      <w:pPr>
        <w:pStyle w:val="20"/>
        <w:spacing w:line="440" w:lineRule="atLeast"/>
        <w:ind w:firstLine="420"/>
        <w:rPr>
          <w:rFonts w:hint="default" w:hAnsi="宋体" w:cs="宋体"/>
          <w:color w:val="auto"/>
          <w:sz w:val="24"/>
          <w:szCs w:val="24"/>
          <w:highlight w:val="none"/>
        </w:rPr>
      </w:pPr>
      <w:r>
        <w:rPr>
          <w:rFonts w:hAnsi="宋体" w:cs="宋体"/>
          <w:color w:val="auto"/>
          <w:sz w:val="24"/>
          <w:szCs w:val="24"/>
          <w:highlight w:val="none"/>
        </w:rPr>
        <w:t>谈判应以人民币报价。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14．竞标有效期；</w:t>
      </w:r>
    </w:p>
    <w:p>
      <w:pPr>
        <w:pStyle w:val="20"/>
        <w:spacing w:line="440" w:lineRule="atLeast"/>
        <w:rPr>
          <w:rFonts w:hint="default" w:hAnsi="宋体" w:cs="宋体"/>
          <w:color w:val="auto"/>
          <w:sz w:val="24"/>
          <w:szCs w:val="24"/>
          <w:highlight w:val="none"/>
        </w:rPr>
      </w:pPr>
      <w:r>
        <w:rPr>
          <w:rFonts w:hAnsi="宋体" w:cs="宋体"/>
          <w:color w:val="auto"/>
          <w:sz w:val="24"/>
          <w:szCs w:val="24"/>
          <w:highlight w:val="none"/>
        </w:rPr>
        <w:t>14.1竞争性谈判响应文件从竞标截止期结束后60天内有效。</w:t>
      </w:r>
    </w:p>
    <w:p>
      <w:pPr>
        <w:pStyle w:val="20"/>
        <w:spacing w:line="440" w:lineRule="atLeast"/>
        <w:ind w:left="400" w:hanging="480" w:hangingChars="200"/>
        <w:rPr>
          <w:rFonts w:hint="default" w:hAnsi="宋体" w:cs="宋体"/>
          <w:color w:val="auto"/>
          <w:sz w:val="24"/>
          <w:szCs w:val="24"/>
          <w:highlight w:val="none"/>
        </w:rPr>
      </w:pPr>
      <w:r>
        <w:rPr>
          <w:rFonts w:hAnsi="宋体" w:cs="宋体"/>
          <w:color w:val="auto"/>
          <w:sz w:val="24"/>
          <w:szCs w:val="24"/>
          <w:highlight w:val="none"/>
        </w:rPr>
        <w:t>14.2在特殊情况下，采购代理机构可酌情延长竞标有效期。谈判供应商可同意或不同意延长竞标有效期，不同意延长竞标有效期的谈判供应商，其竞标保证金（如有）将在原竞标有效期满后</w:t>
      </w:r>
      <w:r>
        <w:rPr>
          <w:rFonts w:hint="eastAsia" w:hAnsi="宋体" w:cs="宋体"/>
          <w:color w:val="auto"/>
          <w:sz w:val="24"/>
          <w:szCs w:val="24"/>
          <w:highlight w:val="none"/>
          <w:lang w:val="en-US" w:eastAsia="zh-CN"/>
        </w:rPr>
        <w:t>5</w:t>
      </w:r>
      <w:r>
        <w:rPr>
          <w:rFonts w:hAnsi="宋体" w:cs="宋体"/>
          <w:color w:val="auto"/>
          <w:sz w:val="24"/>
          <w:szCs w:val="24"/>
          <w:highlight w:val="none"/>
        </w:rPr>
        <w:t>个工作日内予以退还，不计利息；同意延长竞标有效期的谈判供应商不能要求对原竞争性谈判响应文件（经谈判小组确认有效，且没有超出竞争性谈判响应文件的范围或改变谈判的实质内容的澄清或说明，均作为竞争性谈判响应文件的组成部分）作任何改变，并同意在延长的竞标有效期内遵循本竞争性谈判响应文件，在延长的竞标有效期满之前继续具有约束力。</w:t>
      </w:r>
    </w:p>
    <w:p>
      <w:pPr>
        <w:spacing w:line="440" w:lineRule="atLeast"/>
        <w:rPr>
          <w:rFonts w:ascii="宋体" w:hAnsi="宋体"/>
          <w:b/>
          <w:color w:val="auto"/>
          <w:sz w:val="24"/>
          <w:szCs w:val="24"/>
          <w:highlight w:val="none"/>
        </w:rPr>
      </w:pPr>
      <w:r>
        <w:rPr>
          <w:rFonts w:hint="eastAsia" w:ascii="宋体" w:hAnsi="宋体"/>
          <w:b/>
          <w:color w:val="auto"/>
          <w:sz w:val="24"/>
          <w:szCs w:val="24"/>
          <w:highlight w:val="none"/>
        </w:rPr>
        <w:t>15．竞争性谈判响应文件的份数、上传、提交、修改、撤回、解密</w:t>
      </w:r>
    </w:p>
    <w:p>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15.1. 竞争性谈判响应文件的份数、上传、提交、解密</w:t>
      </w:r>
    </w:p>
    <w:p>
      <w:pPr>
        <w:pStyle w:val="20"/>
        <w:spacing w:line="440" w:lineRule="exact"/>
        <w:ind w:firstLine="420"/>
        <w:rPr>
          <w:color w:val="auto"/>
          <w:sz w:val="24"/>
          <w:szCs w:val="24"/>
          <w:highlight w:val="none"/>
        </w:rPr>
      </w:pPr>
      <w:r>
        <w:rPr>
          <w:rFonts w:hint="eastAsia"/>
          <w:color w:val="auto"/>
          <w:sz w:val="24"/>
          <w:szCs w:val="24"/>
          <w:highlight w:val="none"/>
        </w:rPr>
        <w:t>见须知前附表</w:t>
      </w:r>
    </w:p>
    <w:p>
      <w:pPr>
        <w:spacing w:line="440" w:lineRule="exact"/>
        <w:ind w:firstLine="480" w:firstLineChars="200"/>
        <w:rPr>
          <w:rFonts w:hint="default" w:hAnsi="宋体" w:cs="宋体"/>
          <w:color w:val="auto"/>
          <w:sz w:val="24"/>
          <w:szCs w:val="24"/>
          <w:highlight w:val="none"/>
        </w:rPr>
      </w:pPr>
      <w:r>
        <w:rPr>
          <w:rFonts w:hint="eastAsia" w:ascii="宋体" w:hAnsi="宋体"/>
          <w:color w:val="auto"/>
          <w:sz w:val="24"/>
          <w:szCs w:val="24"/>
          <w:highlight w:val="none"/>
        </w:rPr>
        <w:t>15.2. 竞争性谈判响应文件的修改和撤回：</w:t>
      </w:r>
      <w:r>
        <w:rPr>
          <w:rFonts w:hint="eastAsia" w:ascii="宋体" w:hAnsi="宋体"/>
          <w:color w:val="auto"/>
          <w:sz w:val="24"/>
          <w:szCs w:val="24"/>
          <w:highlight w:val="none"/>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pPr>
        <w:spacing w:line="440" w:lineRule="atLeast"/>
        <w:rPr>
          <w:rFonts w:ascii="宋体" w:hAnsi="宋体"/>
          <w:b/>
          <w:color w:val="auto"/>
          <w:sz w:val="24"/>
          <w:szCs w:val="24"/>
          <w:highlight w:val="none"/>
        </w:rPr>
      </w:pPr>
      <w:r>
        <w:rPr>
          <w:rFonts w:hint="eastAsia" w:ascii="宋体" w:hAnsi="宋体"/>
          <w:b/>
          <w:color w:val="auto"/>
          <w:sz w:val="24"/>
          <w:szCs w:val="24"/>
          <w:highlight w:val="none"/>
        </w:rPr>
        <w:t>16．谈判保证金（如有）</w:t>
      </w:r>
    </w:p>
    <w:p>
      <w:pPr>
        <w:pStyle w:val="20"/>
        <w:spacing w:line="440" w:lineRule="atLeast"/>
        <w:rPr>
          <w:rFonts w:hAnsi="宋体"/>
          <w:color w:val="auto"/>
          <w:sz w:val="24"/>
          <w:szCs w:val="24"/>
          <w:highlight w:val="none"/>
        </w:rPr>
      </w:pPr>
      <w:r>
        <w:rPr>
          <w:rFonts w:hint="eastAsia" w:hAnsi="宋体"/>
          <w:color w:val="auto"/>
          <w:sz w:val="24"/>
          <w:szCs w:val="24"/>
          <w:highlight w:val="none"/>
        </w:rPr>
        <w:t>16.1谈判保证金金额：见谈判须知前附表。</w:t>
      </w:r>
    </w:p>
    <w:p>
      <w:pPr>
        <w:pStyle w:val="20"/>
        <w:spacing w:line="440" w:lineRule="atLeast"/>
        <w:ind w:left="420" w:hanging="480" w:hangingChars="200"/>
        <w:rPr>
          <w:rFonts w:hAnsi="宋体"/>
          <w:color w:val="auto"/>
          <w:sz w:val="24"/>
          <w:szCs w:val="24"/>
          <w:highlight w:val="none"/>
        </w:rPr>
      </w:pPr>
      <w:r>
        <w:rPr>
          <w:rFonts w:hint="eastAsia" w:hAnsi="宋体"/>
          <w:color w:val="auto"/>
          <w:sz w:val="24"/>
          <w:szCs w:val="24"/>
          <w:highlight w:val="none"/>
        </w:rPr>
        <w:t>16.2交款方式：见谈判须知前附表。</w:t>
      </w:r>
    </w:p>
    <w:p>
      <w:pPr>
        <w:pStyle w:val="20"/>
        <w:spacing w:line="420" w:lineRule="atLeast"/>
        <w:rPr>
          <w:rFonts w:hAnsi="宋体"/>
          <w:color w:val="auto"/>
          <w:sz w:val="24"/>
          <w:szCs w:val="24"/>
          <w:highlight w:val="none"/>
        </w:rPr>
      </w:pPr>
      <w:r>
        <w:rPr>
          <w:rFonts w:hint="eastAsia" w:hAnsi="宋体"/>
          <w:color w:val="auto"/>
          <w:sz w:val="24"/>
          <w:szCs w:val="24"/>
          <w:highlight w:val="none"/>
        </w:rPr>
        <w:t>16.3对未按规定提交竞标保证金的竞争性谈判响应文件，采购代理机构将视其为不响应谈判条件而予以拒绝。</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16.4成交供应商的保证金，除本章第16.6项规定的不予退还的情形外，由采购代理机构在成交通知书发出后</w:t>
      </w:r>
      <w:r>
        <w:rPr>
          <w:rFonts w:hint="eastAsia"/>
          <w:color w:val="auto"/>
          <w:sz w:val="24"/>
          <w:szCs w:val="24"/>
          <w:highlight w:val="none"/>
          <w:lang w:eastAsia="zh-CN"/>
        </w:rPr>
        <w:t>五</w:t>
      </w:r>
      <w:r>
        <w:rPr>
          <w:rFonts w:hint="eastAsia"/>
          <w:color w:val="auto"/>
          <w:sz w:val="24"/>
          <w:szCs w:val="24"/>
          <w:highlight w:val="none"/>
        </w:rPr>
        <w:t>个工作日内以转账或电汇方式无息退还（注：办理退付保证金时只退回到供应商的对公账户，代理机构将根据谈判保证金声明中提供的账户信息退回，请供应商提供正确的账户信息）。采用支票/汇票/本票/保函方式缴纳谈判保证金的，采购代理机构将通知供应商代表领回票据原件。</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16.5涉及质疑和投诉的供应商，在质疑和投诉调查处理结束前其保证金暂不退还。</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16.6供应商有下列情形之一的，采购代理机构不予退还其交纳的保证金：</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（1）供应商在谈判有效期内撤回响应文件的；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（2）未按规定提交履约保证金的；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（3）供应商在谈判过程中弄虚作假，提供虚假材料的；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（4）供应商无正当理由不与采购人签订合同的；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（5）将成交项目转让给他人或者在响应文件中未说明且未经采购人同意，将成交项目分包给他人的；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（6）拒绝履行合同义务的；</w:t>
      </w:r>
    </w:p>
    <w:p>
      <w:pPr>
        <w:pStyle w:val="20"/>
        <w:spacing w:line="420" w:lineRule="atLeast"/>
        <w:ind w:left="540" w:hanging="616" w:hangingChars="257"/>
        <w:rPr>
          <w:color w:val="auto"/>
          <w:sz w:val="24"/>
          <w:szCs w:val="24"/>
          <w:highlight w:val="none"/>
        </w:rPr>
      </w:pPr>
      <w:r>
        <w:rPr>
          <w:rFonts w:hint="eastAsia"/>
          <w:color w:val="auto"/>
          <w:sz w:val="24"/>
          <w:szCs w:val="24"/>
          <w:highlight w:val="none"/>
        </w:rPr>
        <w:t>（7）其他严重扰乱招</w:t>
      </w:r>
      <w:r>
        <w:rPr>
          <w:rFonts w:hint="eastAsia"/>
          <w:color w:val="auto"/>
          <w:sz w:val="24"/>
          <w:szCs w:val="24"/>
          <w:highlight w:val="none"/>
          <w:lang w:eastAsia="zh-CN"/>
        </w:rPr>
        <w:t>谈判</w:t>
      </w:r>
      <w:r>
        <w:rPr>
          <w:rFonts w:hint="eastAsia"/>
          <w:color w:val="auto"/>
          <w:sz w:val="24"/>
          <w:szCs w:val="24"/>
          <w:highlight w:val="none"/>
        </w:rPr>
        <w:t>程序的；</w:t>
      </w:r>
    </w:p>
    <w:p>
      <w:pPr>
        <w:pStyle w:val="20"/>
        <w:spacing w:line="420" w:lineRule="atLeast"/>
        <w:ind w:left="514" w:hanging="616" w:hangingChars="257"/>
        <w:rPr>
          <w:rFonts w:hint="default" w:hAnsi="宋体" w:cs="宋体"/>
          <w:color w:val="auto"/>
          <w:sz w:val="24"/>
          <w:szCs w:val="24"/>
          <w:highlight w:val="none"/>
        </w:rPr>
      </w:pPr>
    </w:p>
    <w:p>
      <w:pPr>
        <w:pStyle w:val="20"/>
        <w:spacing w:line="420" w:lineRule="atLeast"/>
        <w:jc w:val="center"/>
        <w:rPr>
          <w:rFonts w:hAnsi="宋体"/>
          <w:b/>
          <w:color w:val="auto"/>
          <w:sz w:val="24"/>
          <w:szCs w:val="24"/>
          <w:highlight w:val="none"/>
        </w:rPr>
      </w:pPr>
      <w:r>
        <w:rPr>
          <w:rFonts w:hint="eastAsia" w:hAnsi="宋体"/>
          <w:b/>
          <w:color w:val="auto"/>
          <w:sz w:val="24"/>
          <w:szCs w:val="24"/>
          <w:highlight w:val="none"/>
        </w:rPr>
        <w:t>四    谈判与评审</w:t>
      </w:r>
    </w:p>
    <w:p>
      <w:pPr>
        <w:spacing w:line="380" w:lineRule="exact"/>
        <w:ind w:firstLine="420"/>
        <w:rPr>
          <w:color w:val="auto"/>
          <w:sz w:val="24"/>
          <w:szCs w:val="24"/>
          <w:highlight w:val="none"/>
        </w:rPr>
      </w:pPr>
      <w:r>
        <w:rPr>
          <w:rFonts w:hint="eastAsia"/>
          <w:color w:val="auto"/>
          <w:sz w:val="24"/>
          <w:szCs w:val="24"/>
          <w:highlight w:val="none"/>
        </w:rPr>
        <w:t>17在谈判正式开始前由谈判小组对竞争性</w:t>
      </w:r>
      <w:r>
        <w:rPr>
          <w:rFonts w:hint="eastAsia"/>
          <w:color w:val="auto"/>
          <w:sz w:val="24"/>
          <w:szCs w:val="24"/>
          <w:highlight w:val="none"/>
          <w:lang w:eastAsia="zh-CN"/>
        </w:rPr>
        <w:t>响应文件</w:t>
      </w:r>
      <w:r>
        <w:rPr>
          <w:rFonts w:hint="eastAsia"/>
          <w:color w:val="auto"/>
          <w:sz w:val="24"/>
          <w:szCs w:val="24"/>
          <w:highlight w:val="none"/>
        </w:rPr>
        <w:t>进行确认，认可竞争性</w:t>
      </w:r>
      <w:r>
        <w:rPr>
          <w:rFonts w:hint="eastAsia"/>
          <w:color w:val="auto"/>
          <w:sz w:val="24"/>
          <w:szCs w:val="24"/>
          <w:highlight w:val="none"/>
          <w:lang w:eastAsia="zh-CN"/>
        </w:rPr>
        <w:t>响应文件</w:t>
      </w:r>
      <w:r>
        <w:rPr>
          <w:rFonts w:hint="eastAsia"/>
          <w:color w:val="auto"/>
          <w:sz w:val="24"/>
          <w:szCs w:val="24"/>
          <w:highlight w:val="none"/>
        </w:rPr>
        <w:t>的内容符合法律法规的规定、不存在歧视性或排他性内容。</w:t>
      </w:r>
    </w:p>
    <w:p>
      <w:pPr>
        <w:spacing w:line="380" w:lineRule="exact"/>
        <w:ind w:firstLine="420"/>
        <w:rPr>
          <w:color w:val="auto"/>
          <w:sz w:val="24"/>
          <w:szCs w:val="24"/>
          <w:highlight w:val="none"/>
        </w:rPr>
      </w:pPr>
      <w:r>
        <w:rPr>
          <w:rFonts w:hint="eastAsia"/>
          <w:color w:val="auto"/>
          <w:sz w:val="24"/>
          <w:szCs w:val="24"/>
          <w:highlight w:val="none"/>
        </w:rPr>
        <w:t>18竞争性谈判响应文件无效的情形：</w:t>
      </w:r>
    </w:p>
    <w:p>
      <w:pPr>
        <w:spacing w:line="380" w:lineRule="exact"/>
        <w:ind w:firstLine="420"/>
        <w:rPr>
          <w:color w:val="auto"/>
          <w:sz w:val="24"/>
          <w:szCs w:val="24"/>
          <w:highlight w:val="none"/>
        </w:rPr>
      </w:pPr>
      <w:r>
        <w:rPr>
          <w:rFonts w:hint="eastAsia"/>
          <w:color w:val="auto"/>
          <w:sz w:val="24"/>
          <w:szCs w:val="24"/>
          <w:highlight w:val="none"/>
        </w:rPr>
        <w:t>18.1.未实质性响应竞争性</w:t>
      </w:r>
      <w:r>
        <w:rPr>
          <w:rFonts w:hint="eastAsia"/>
          <w:color w:val="auto"/>
          <w:sz w:val="24"/>
          <w:szCs w:val="24"/>
          <w:highlight w:val="none"/>
          <w:lang w:eastAsia="zh-CN"/>
        </w:rPr>
        <w:t>响应文件</w:t>
      </w:r>
      <w:r>
        <w:rPr>
          <w:rFonts w:hint="eastAsia"/>
          <w:color w:val="auto"/>
          <w:sz w:val="24"/>
          <w:szCs w:val="24"/>
          <w:highlight w:val="none"/>
        </w:rPr>
        <w:t>的竞争性谈判响应文件按无效处理。</w:t>
      </w:r>
    </w:p>
    <w:p>
      <w:pPr>
        <w:spacing w:line="380" w:lineRule="exact"/>
        <w:ind w:firstLine="420"/>
        <w:rPr>
          <w:color w:val="auto"/>
          <w:sz w:val="24"/>
          <w:szCs w:val="24"/>
          <w:highlight w:val="none"/>
        </w:rPr>
      </w:pPr>
      <w:r>
        <w:rPr>
          <w:rFonts w:hint="eastAsia"/>
          <w:color w:val="auto"/>
          <w:sz w:val="24"/>
          <w:szCs w:val="24"/>
          <w:highlight w:val="none"/>
        </w:rPr>
        <w:t>18.2.有下列情形之一的视为供应商相互串通参与谈判活动，竞争性谈判响应文件将被视为无效：</w:t>
      </w:r>
    </w:p>
    <w:p>
      <w:pPr>
        <w:spacing w:line="380" w:lineRule="exact"/>
        <w:ind w:firstLine="420"/>
        <w:rPr>
          <w:color w:val="auto"/>
          <w:sz w:val="24"/>
          <w:szCs w:val="24"/>
          <w:highlight w:val="none"/>
        </w:rPr>
      </w:pPr>
      <w:r>
        <w:rPr>
          <w:rFonts w:hint="eastAsia"/>
          <w:color w:val="auto"/>
          <w:sz w:val="24"/>
          <w:szCs w:val="24"/>
          <w:highlight w:val="none"/>
        </w:rPr>
        <w:t>（1）不同供应商的竞争性谈判响应文件由同一单位或者个人编制；或不同供应商报名的IP地址一致的；</w:t>
      </w:r>
    </w:p>
    <w:p>
      <w:pPr>
        <w:spacing w:line="380" w:lineRule="exact"/>
        <w:ind w:firstLine="420"/>
        <w:rPr>
          <w:color w:val="auto"/>
          <w:sz w:val="24"/>
          <w:szCs w:val="24"/>
          <w:highlight w:val="none"/>
        </w:rPr>
      </w:pPr>
      <w:r>
        <w:rPr>
          <w:rFonts w:hint="eastAsia"/>
          <w:color w:val="auto"/>
          <w:sz w:val="24"/>
          <w:szCs w:val="24"/>
          <w:highlight w:val="none"/>
        </w:rPr>
        <w:t>（2）不同供应商委托同一单位或者个人办理谈判活动事宜；</w:t>
      </w:r>
    </w:p>
    <w:p>
      <w:pPr>
        <w:spacing w:line="380" w:lineRule="exact"/>
        <w:ind w:firstLine="420"/>
        <w:rPr>
          <w:color w:val="auto"/>
          <w:sz w:val="24"/>
          <w:szCs w:val="24"/>
          <w:highlight w:val="none"/>
        </w:rPr>
      </w:pPr>
      <w:r>
        <w:rPr>
          <w:rFonts w:hint="eastAsia"/>
          <w:color w:val="auto"/>
          <w:sz w:val="24"/>
          <w:szCs w:val="24"/>
          <w:highlight w:val="none"/>
        </w:rPr>
        <w:t>（3）不同的供应商的竞争性谈判响应文件载明的项目管理员为同一个人；</w:t>
      </w:r>
    </w:p>
    <w:p>
      <w:pPr>
        <w:spacing w:line="380" w:lineRule="exact"/>
        <w:ind w:firstLine="420"/>
        <w:rPr>
          <w:color w:val="auto"/>
          <w:sz w:val="24"/>
          <w:szCs w:val="24"/>
          <w:highlight w:val="none"/>
        </w:rPr>
      </w:pPr>
      <w:r>
        <w:rPr>
          <w:rFonts w:hint="eastAsia"/>
          <w:color w:val="auto"/>
          <w:sz w:val="24"/>
          <w:szCs w:val="24"/>
          <w:highlight w:val="none"/>
        </w:rPr>
        <w:t>（4）不同供应商的竞争性谈判响应文件异常一致或谈判报价呈规律性差异；</w:t>
      </w:r>
    </w:p>
    <w:p>
      <w:pPr>
        <w:spacing w:line="380" w:lineRule="exact"/>
        <w:ind w:firstLine="420"/>
        <w:rPr>
          <w:color w:val="auto"/>
          <w:sz w:val="24"/>
          <w:szCs w:val="24"/>
          <w:highlight w:val="none"/>
        </w:rPr>
      </w:pPr>
      <w:r>
        <w:rPr>
          <w:rFonts w:hint="eastAsia"/>
          <w:color w:val="auto"/>
          <w:sz w:val="24"/>
          <w:szCs w:val="24"/>
          <w:highlight w:val="none"/>
        </w:rPr>
        <w:t>（5）不同供应商的竞争性谈判响应文件相互混装；</w:t>
      </w:r>
    </w:p>
    <w:p>
      <w:pPr>
        <w:spacing w:line="380" w:lineRule="exact"/>
        <w:ind w:firstLine="420"/>
        <w:rPr>
          <w:color w:val="auto"/>
          <w:sz w:val="24"/>
          <w:szCs w:val="24"/>
          <w:highlight w:val="none"/>
        </w:rPr>
      </w:pPr>
      <w:r>
        <w:rPr>
          <w:rFonts w:hint="eastAsia"/>
          <w:color w:val="auto"/>
          <w:sz w:val="24"/>
          <w:szCs w:val="24"/>
          <w:highlight w:val="none"/>
        </w:rPr>
        <w:t>（6）不同供应商的保证金从同一单位或者个人账户转出。</w:t>
      </w:r>
    </w:p>
    <w:p>
      <w:pPr>
        <w:spacing w:line="380" w:lineRule="exact"/>
        <w:ind w:firstLine="420"/>
        <w:rPr>
          <w:color w:val="auto"/>
          <w:sz w:val="24"/>
          <w:szCs w:val="24"/>
          <w:highlight w:val="none"/>
        </w:rPr>
      </w:pPr>
      <w:r>
        <w:rPr>
          <w:rFonts w:hint="eastAsia"/>
          <w:color w:val="auto"/>
          <w:sz w:val="24"/>
          <w:szCs w:val="24"/>
          <w:highlight w:val="none"/>
        </w:rPr>
        <w:t>18.3.有下列情形之一的视为关联供应商参加同一合同项下政府采购活动，竞争性谈判响应文件将被视为无效：</w:t>
      </w:r>
    </w:p>
    <w:p>
      <w:pPr>
        <w:spacing w:line="380" w:lineRule="exact"/>
        <w:ind w:firstLine="420"/>
        <w:rPr>
          <w:color w:val="auto"/>
          <w:sz w:val="24"/>
          <w:szCs w:val="24"/>
          <w:highlight w:val="none"/>
        </w:rPr>
      </w:pPr>
      <w:r>
        <w:rPr>
          <w:rFonts w:hint="eastAsia"/>
          <w:color w:val="auto"/>
          <w:sz w:val="24"/>
          <w:szCs w:val="24"/>
          <w:highlight w:val="none"/>
        </w:rPr>
        <w:t>（1）单位负责人为同一人或者存在直接控股、管理关系的不同供应商，参加同一合同项下政府采购活动；</w:t>
      </w:r>
    </w:p>
    <w:p>
      <w:pPr>
        <w:spacing w:line="380" w:lineRule="exact"/>
        <w:ind w:firstLine="420"/>
        <w:rPr>
          <w:color w:val="auto"/>
          <w:sz w:val="24"/>
          <w:szCs w:val="24"/>
          <w:highlight w:val="none"/>
        </w:rPr>
      </w:pPr>
      <w:r>
        <w:rPr>
          <w:rFonts w:hint="eastAsia"/>
          <w:color w:val="auto"/>
          <w:sz w:val="24"/>
          <w:szCs w:val="24"/>
          <w:highlight w:val="none"/>
        </w:rPr>
        <w:t>（2）生产厂商授权给供应商后又参加同一合同项下的政府采购活动；生产厂商对同一品牌同一型号的货物委托多个代理商参加谈判活动。</w:t>
      </w:r>
    </w:p>
    <w:p>
      <w:pPr>
        <w:widowControl/>
        <w:spacing w:line="400" w:lineRule="exact"/>
        <w:ind w:firstLine="480" w:firstLineChars="200"/>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18.4.其他竞标无效的情形：</w:t>
      </w:r>
    </w:p>
    <w:p>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（1）竞争性谈判响应文件未按竞争性</w:t>
      </w:r>
      <w:r>
        <w:rPr>
          <w:rFonts w:hint="eastAsia" w:ascii="宋体" w:hAnsi="宋体"/>
          <w:b/>
          <w:bCs/>
          <w:color w:val="auto"/>
          <w:kern w:val="0"/>
          <w:sz w:val="24"/>
          <w:szCs w:val="24"/>
          <w:highlight w:val="none"/>
          <w:lang w:eastAsia="zh-CN"/>
        </w:rPr>
        <w:t>响应文件</w:t>
      </w:r>
      <w:r>
        <w:rPr>
          <w:rFonts w:hint="eastAsia" w:ascii="宋体" w:hAnsi="宋体"/>
          <w:b/>
          <w:bCs/>
          <w:color w:val="auto"/>
          <w:kern w:val="0"/>
          <w:sz w:val="24"/>
          <w:szCs w:val="24"/>
          <w:highlight w:val="none"/>
        </w:rPr>
        <w:t>要求签署或CA电子签章的；</w:t>
      </w:r>
    </w:p>
    <w:p>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（2）供应商提交两份或两份以上内容不同的竞争性谈判响应文件；</w:t>
      </w:r>
    </w:p>
    <w:p>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（3）谈判</w:t>
      </w:r>
      <w:r>
        <w:rPr>
          <w:rFonts w:ascii="宋体" w:hAnsi="宋体"/>
          <w:b/>
          <w:bCs/>
          <w:color w:val="auto"/>
          <w:kern w:val="0"/>
          <w:sz w:val="24"/>
          <w:szCs w:val="24"/>
          <w:highlight w:val="none"/>
        </w:rPr>
        <w:t>供应商在线制作</w:t>
      </w:r>
      <w:r>
        <w:rPr>
          <w:rFonts w:hint="eastAsia" w:ascii="宋体" w:hAnsi="宋体"/>
          <w:b/>
          <w:bCs/>
          <w:color w:val="auto"/>
          <w:kern w:val="0"/>
          <w:sz w:val="24"/>
          <w:szCs w:val="24"/>
          <w:highlight w:val="none"/>
        </w:rPr>
        <w:t>竞争性谈判响应文件</w:t>
      </w:r>
      <w:r>
        <w:rPr>
          <w:rFonts w:ascii="宋体" w:hAnsi="宋体"/>
          <w:b/>
          <w:bCs/>
          <w:color w:val="auto"/>
          <w:kern w:val="0"/>
          <w:sz w:val="24"/>
          <w:szCs w:val="24"/>
          <w:highlight w:val="none"/>
        </w:rPr>
        <w:t>时填写的</w:t>
      </w:r>
      <w:r>
        <w:rPr>
          <w:rFonts w:hint="eastAsia" w:ascii="宋体" w:hAnsi="宋体"/>
          <w:b/>
          <w:bCs/>
          <w:color w:val="auto"/>
          <w:kern w:val="0"/>
          <w:sz w:val="24"/>
          <w:szCs w:val="24"/>
          <w:highlight w:val="none"/>
        </w:rPr>
        <w:t>报价</w:t>
      </w:r>
      <w:r>
        <w:rPr>
          <w:rFonts w:ascii="宋体" w:hAnsi="宋体"/>
          <w:b/>
          <w:bCs/>
          <w:color w:val="auto"/>
          <w:kern w:val="0"/>
          <w:sz w:val="24"/>
          <w:szCs w:val="24"/>
          <w:highlight w:val="none"/>
        </w:rPr>
        <w:t>金额与解密后“电子加密</w:t>
      </w:r>
      <w:r>
        <w:rPr>
          <w:rFonts w:hint="eastAsia" w:ascii="宋体" w:hAnsi="宋体"/>
          <w:b/>
          <w:bCs/>
          <w:color w:val="auto"/>
          <w:kern w:val="0"/>
          <w:sz w:val="24"/>
          <w:szCs w:val="24"/>
          <w:highlight w:val="none"/>
        </w:rPr>
        <w:t>响应</w:t>
      </w:r>
      <w:r>
        <w:rPr>
          <w:rFonts w:ascii="宋体" w:hAnsi="宋体"/>
          <w:b/>
          <w:bCs/>
          <w:color w:val="auto"/>
          <w:kern w:val="0"/>
          <w:sz w:val="24"/>
          <w:szCs w:val="24"/>
          <w:highlight w:val="none"/>
        </w:rPr>
        <w:t>文件”中《</w:t>
      </w:r>
      <w:r>
        <w:rPr>
          <w:rFonts w:hint="eastAsia" w:ascii="宋体" w:hAnsi="宋体"/>
          <w:b/>
          <w:bCs/>
          <w:color w:val="auto"/>
          <w:kern w:val="0"/>
          <w:sz w:val="24"/>
          <w:szCs w:val="24"/>
          <w:highlight w:val="none"/>
        </w:rPr>
        <w:t>报价文件</w:t>
      </w:r>
      <w:r>
        <w:rPr>
          <w:rFonts w:ascii="宋体" w:hAnsi="宋体"/>
          <w:b/>
          <w:bCs/>
          <w:color w:val="auto"/>
          <w:kern w:val="0"/>
          <w:sz w:val="24"/>
          <w:szCs w:val="24"/>
          <w:highlight w:val="none"/>
        </w:rPr>
        <w:t>》填写的金额不一致并拒绝按</w:t>
      </w:r>
      <w:r>
        <w:rPr>
          <w:rFonts w:hint="eastAsia" w:ascii="宋体" w:hAnsi="宋体"/>
          <w:b/>
          <w:bCs/>
          <w:color w:val="auto"/>
          <w:kern w:val="0"/>
          <w:sz w:val="24"/>
          <w:szCs w:val="24"/>
          <w:highlight w:val="none"/>
        </w:rPr>
        <w:t>采购</w:t>
      </w:r>
      <w:r>
        <w:rPr>
          <w:rFonts w:ascii="宋体" w:hAnsi="宋体"/>
          <w:b/>
          <w:bCs/>
          <w:color w:val="auto"/>
          <w:kern w:val="0"/>
          <w:sz w:val="24"/>
          <w:szCs w:val="24"/>
          <w:highlight w:val="none"/>
        </w:rPr>
        <w:t>文件要求接受调整的；</w:t>
      </w:r>
    </w:p>
    <w:p>
      <w:pPr>
        <w:widowControl/>
        <w:spacing w:line="400" w:lineRule="exact"/>
        <w:ind w:firstLine="482" w:firstLineChars="200"/>
        <w:jc w:val="left"/>
        <w:rPr>
          <w:rFonts w:ascii="宋体" w:hAnsi="宋体"/>
          <w:color w:val="auto"/>
          <w:kern w:val="0"/>
          <w:sz w:val="24"/>
          <w:szCs w:val="24"/>
          <w:highlight w:val="none"/>
        </w:rPr>
      </w:pPr>
      <w:r>
        <w:rPr>
          <w:rFonts w:hint="eastAsia" w:ascii="宋体" w:hAnsi="宋体"/>
          <w:b/>
          <w:bCs/>
          <w:color w:val="auto"/>
          <w:kern w:val="0"/>
          <w:sz w:val="24"/>
          <w:szCs w:val="24"/>
          <w:highlight w:val="none"/>
        </w:rPr>
        <w:t>（4）</w:t>
      </w:r>
      <w:r>
        <w:rPr>
          <w:rFonts w:ascii="宋体" w:hAnsi="宋体"/>
          <w:b/>
          <w:bCs/>
          <w:color w:val="auto"/>
          <w:kern w:val="0"/>
          <w:sz w:val="24"/>
          <w:szCs w:val="24"/>
          <w:highlight w:val="none"/>
        </w:rPr>
        <w:t>法律、法规和</w:t>
      </w:r>
      <w:r>
        <w:rPr>
          <w:rFonts w:hint="eastAsia" w:ascii="宋体" w:hAnsi="宋体"/>
          <w:b/>
          <w:bCs/>
          <w:color w:val="auto"/>
          <w:kern w:val="0"/>
          <w:sz w:val="24"/>
          <w:szCs w:val="24"/>
          <w:highlight w:val="none"/>
        </w:rPr>
        <w:t>采购</w:t>
      </w:r>
      <w:r>
        <w:rPr>
          <w:rFonts w:ascii="宋体" w:hAnsi="宋体"/>
          <w:b/>
          <w:bCs/>
          <w:color w:val="auto"/>
          <w:kern w:val="0"/>
          <w:sz w:val="24"/>
          <w:szCs w:val="24"/>
          <w:highlight w:val="none"/>
        </w:rPr>
        <w:t>文件规定的其他无效情形（或出现重大偏差）。</w:t>
      </w:r>
    </w:p>
    <w:p>
      <w:pPr>
        <w:spacing w:line="380" w:lineRule="exact"/>
        <w:ind w:firstLine="420"/>
        <w:rPr>
          <w:color w:val="auto"/>
          <w:sz w:val="24"/>
          <w:szCs w:val="24"/>
          <w:highlight w:val="none"/>
        </w:rPr>
      </w:pPr>
      <w:r>
        <w:rPr>
          <w:rFonts w:hint="eastAsia"/>
          <w:color w:val="auto"/>
          <w:sz w:val="24"/>
          <w:szCs w:val="24"/>
          <w:highlight w:val="none"/>
        </w:rPr>
        <w:t>18.5.被拒绝的响应文件为无效。</w:t>
      </w:r>
    </w:p>
    <w:p>
      <w:pPr>
        <w:spacing w:line="380" w:lineRule="exact"/>
        <w:ind w:firstLine="422"/>
        <w:rPr>
          <w:b/>
          <w:color w:val="auto"/>
          <w:sz w:val="24"/>
          <w:szCs w:val="24"/>
          <w:highlight w:val="none"/>
        </w:rPr>
      </w:pPr>
      <w:r>
        <w:rPr>
          <w:rFonts w:hint="eastAsia"/>
          <w:b/>
          <w:color w:val="auto"/>
          <w:sz w:val="24"/>
          <w:szCs w:val="24"/>
          <w:highlight w:val="none"/>
        </w:rPr>
        <w:t xml:space="preserve">  谈判供应商竞争性谈判响应文件无效的，谈判小组应当告知有关供应商。</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19.1</w:t>
      </w:r>
      <w:r>
        <w:rPr>
          <w:rFonts w:hint="eastAsia" w:ascii="宋体" w:hAnsi="宋体"/>
          <w:b/>
          <w:color w:val="auto"/>
          <w:kern w:val="0"/>
          <w:sz w:val="24"/>
          <w:szCs w:val="24"/>
          <w:highlight w:val="none"/>
        </w:rPr>
        <w:t>第一轮谈判</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b/>
          <w:color w:val="auto"/>
          <w:kern w:val="0"/>
          <w:sz w:val="24"/>
          <w:szCs w:val="24"/>
          <w:highlight w:val="none"/>
        </w:rPr>
        <w:t>谈判准备</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本机构将在规定的时间和地点进行电子谈判，谈判供应商的法定代表人或其委托代理人应做好谈判准备，准时在线参加电子谈判会议，随时关注谈判进度。</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b/>
          <w:color w:val="auto"/>
          <w:kern w:val="0"/>
          <w:sz w:val="24"/>
          <w:szCs w:val="24"/>
          <w:highlight w:val="none"/>
        </w:rPr>
        <w:t xml:space="preserve"> 第一轮谈判程序：</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1.谈判会由本机构主持，主持人宣布谈判会议开始；</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2.主持人介绍参加谈判会的人员名单； </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3.主持人宣布谈判会议纪律及评审期间的有关事项；告知应当回避的情形,提请有关人员回避；</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4.谈判及评审程序</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（1）在谈判开始时间截止后30分钟内由各供应商自行对谈判响应文件进行解密；</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（2）由谈判小组进行资格审查和符合性审查，审查结束后，在线通知无效谈判供应商谈判响应文件无效理由，有效谈判供应商进入谈判程序。</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（3）系统对各供应商的商务技术进行汇总；</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（4）谈判小组所有成员应当集中与单一供应商分别进行在线谈判，并给予所有参加谈判的供应商平等的谈判机会。</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（5）当谈判小组一致确定供应商的竞争性谈判响应文件能够详细列明采购标的的技术、服务要求且符合竞争性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要求，无需再谈判的，谈判小组按竞争性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设定的19.4、19.6程序和评标方法确定成交候选供应商。第一轮谈判后竞争性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有实质性变动或仍需谈判的，谈判小组对竞争性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变动或提出谈判意见后进行第二轮谈判。</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19.2竞争性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⑴第一轮谈判结束后，由谈判小组组长主持，根据竞争性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和谈判情况结合第一轮谈判整体情况，可以对竞争性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采购需求中已事先明确的可能实质性变动采购需求中的技术、服务要求以及合同草案条款进行统一变动，但不得变动竞争性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中的其他内容。实质性变动的内容，须经采购人代表确认。</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作出的实质性变动是竞争性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的有效组成部分，谈判小组应当在询标规定时间内及时通知所有参加谈判的供应商，并要求供应商做出响应（需盖CA电子签章）。</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19.3第二轮谈判</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谈判小组集中就重新提交的响应材料或谈判小组提出的谈判意见与单一响应供应商分别进行在线谈判。</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谈判后，在询标规定时间内供应商根据谈判小组统一整理的谈判记录要求做出承诺（需盖CA电子签章）。</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当谈判小组一致确定供应商的竞争性谈判响应文件能够详细列明采购标的的技术、服务要求且符合竞争性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要求，无需再谈判的，谈判小组按竞争性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设定的19.4、19.6程序和评标方法确定成交候选供应商。第二轮谈判后竞争性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仍有实质性变动的或仍需谈判的，谈判小组对竞争性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变动或提出谈判意见后进行第三轮谈判。以此类推。</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特别说明：</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政采云公司如对电子化开标及评审程序有调整的，按调整后的程序操作。</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谈判评审在严格保密的情况下进行，谈判的任何一方不得透露与谈判有关的其他供应商的技术资料、价格和其他信息。</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电子谈判过程中需要供应商在线确认的所有内容，供应商不予确认的应说明理由，超过规定时间未确认的，将被视为放弃确认或者无异议。</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19.4最后报价及成交候选供应商推荐</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谈判结束后，谈判小组要求所有继续参加谈判的供应商在规定时间内在线提交最后报价。继续参加谈判的供应商作最后报价，由其法定代表人(负责人)或授权代表CA电子签章后提交。</w:t>
      </w:r>
    </w:p>
    <w:p>
      <w:pPr>
        <w:pStyle w:val="20"/>
        <w:spacing w:line="380" w:lineRule="exact"/>
        <w:ind w:firstLine="480" w:firstLineChars="200"/>
        <w:rPr>
          <w:color w:val="auto"/>
          <w:sz w:val="24"/>
          <w:szCs w:val="24"/>
          <w:highlight w:val="none"/>
        </w:rPr>
      </w:pPr>
      <w:r>
        <w:rPr>
          <w:rFonts w:hint="eastAsia" w:hAnsi="宋体" w:cs="宋体"/>
          <w:color w:val="auto"/>
          <w:kern w:val="0"/>
          <w:sz w:val="24"/>
          <w:szCs w:val="24"/>
          <w:highlight w:val="none"/>
        </w:rPr>
        <w:t>谈判小组从质量和服务均能满足谈判文件全部实质性响应要求的供应商中，按照评审报价（最后报价及享受政府采购政策的优惠扣除）由低到高的顺序推荐3名成交候选供应商，</w:t>
      </w:r>
      <w:r>
        <w:rPr>
          <w:rFonts w:hint="eastAsia" w:hAnsi="宋体" w:cs="宋体"/>
          <w:color w:val="auto"/>
          <w:sz w:val="24"/>
          <w:szCs w:val="24"/>
          <w:highlight w:val="none"/>
        </w:rPr>
        <w:t>评审价格相同的，按最后报价由低到高顺序排序；当评审价格且最后报价相同的，则依次按节能和环境标志产品优先（适用于《节能产品政府采购品目清单》范围内非“★”标注的和《环境标志产品政府采购品目清单》范围内产品）。同为节能产品、环境标志产品的，</w:t>
      </w:r>
      <w:r>
        <w:rPr>
          <w:rFonts w:hint="eastAsia"/>
          <w:color w:val="auto"/>
          <w:sz w:val="24"/>
          <w:szCs w:val="24"/>
          <w:highlight w:val="none"/>
        </w:rPr>
        <w:t>则依次按技术指标高优先、售后服务优先原则排序。</w:t>
      </w:r>
    </w:p>
    <w:p>
      <w:pPr>
        <w:pStyle w:val="20"/>
        <w:spacing w:line="38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供应商以明显低于行业平均水平的价格报价的，应当在响应文件中主动提交相关说明及证据。谈判小组认为供应商</w:t>
      </w:r>
      <w:r>
        <w:rPr>
          <w:rFonts w:hint="eastAsia" w:hAnsi="宋体"/>
          <w:bCs/>
          <w:color w:val="auto"/>
          <w:sz w:val="24"/>
          <w:szCs w:val="24"/>
          <w:highlight w:val="none"/>
          <w:lang w:eastAsia="zh-CN"/>
        </w:rPr>
        <w:t>谈判</w:t>
      </w:r>
      <w:r>
        <w:rPr>
          <w:rFonts w:hint="eastAsia" w:hAnsi="宋体"/>
          <w:bCs/>
          <w:color w:val="auto"/>
          <w:sz w:val="24"/>
          <w:szCs w:val="24"/>
          <w:highlight w:val="none"/>
        </w:rPr>
        <w:t>报价明显低于其他</w:t>
      </w:r>
      <w:r>
        <w:rPr>
          <w:rFonts w:hint="eastAsia" w:hAnsi="宋体"/>
          <w:bCs/>
          <w:color w:val="auto"/>
          <w:sz w:val="24"/>
          <w:szCs w:val="24"/>
          <w:highlight w:val="none"/>
          <w:lang w:eastAsia="zh-CN"/>
        </w:rPr>
        <w:t>谈判</w:t>
      </w:r>
      <w:r>
        <w:rPr>
          <w:rFonts w:hint="eastAsia" w:hAnsi="宋体"/>
          <w:bCs/>
          <w:color w:val="auto"/>
          <w:sz w:val="24"/>
          <w:szCs w:val="24"/>
          <w:highlight w:val="none"/>
        </w:rPr>
        <w:t>报价可能影响质量或履约的，可以要求供应商提交书面材料。包含但不限于材料、工艺、流水线、质检、运输等环节的详细技术说明及价格分项说明，并附相关真实有效的书面支持资料，以说明其过低的</w:t>
      </w:r>
      <w:r>
        <w:rPr>
          <w:rFonts w:hint="eastAsia" w:hAnsi="宋体"/>
          <w:bCs/>
          <w:color w:val="auto"/>
          <w:sz w:val="24"/>
          <w:szCs w:val="24"/>
          <w:highlight w:val="none"/>
          <w:lang w:eastAsia="zh-CN"/>
        </w:rPr>
        <w:t>谈判</w:t>
      </w:r>
      <w:r>
        <w:rPr>
          <w:rFonts w:hint="eastAsia" w:hAnsi="宋体"/>
          <w:bCs/>
          <w:color w:val="auto"/>
          <w:sz w:val="24"/>
          <w:szCs w:val="24"/>
          <w:highlight w:val="none"/>
        </w:rPr>
        <w:t>报价不影响质量、服务或者履约。在限定的时限内不能提交证明材料或其提交的资料不能证明其报价合理性的，其响应文件将被谈判小组作为无效响应文件处理。</w:t>
      </w:r>
    </w:p>
    <w:p>
      <w:pPr>
        <w:widowControl/>
        <w:spacing w:line="40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19.5供应商的报价均超过了政府采购最高限价，采购人不能支付的，谈判活动终止。</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19.6</w:t>
      </w:r>
      <w:r>
        <w:rPr>
          <w:rFonts w:hint="eastAsia"/>
          <w:color w:val="auto"/>
          <w:sz w:val="24"/>
          <w:szCs w:val="24"/>
          <w:highlight w:val="none"/>
        </w:rPr>
        <w:t>本采购项目的评审依据为竞争性</w:t>
      </w:r>
      <w:r>
        <w:rPr>
          <w:rFonts w:hint="eastAsia"/>
          <w:color w:val="auto"/>
          <w:sz w:val="24"/>
          <w:szCs w:val="24"/>
          <w:highlight w:val="none"/>
          <w:lang w:eastAsia="zh-CN"/>
        </w:rPr>
        <w:t>响应文件</w:t>
      </w:r>
      <w:r>
        <w:rPr>
          <w:rFonts w:hint="eastAsia"/>
          <w:color w:val="auto"/>
          <w:sz w:val="24"/>
          <w:szCs w:val="24"/>
          <w:highlight w:val="none"/>
        </w:rPr>
        <w:t>和竞争性谈判响应文件，采用的评标方法为</w:t>
      </w:r>
      <w:r>
        <w:rPr>
          <w:rFonts w:hint="eastAsia"/>
          <w:b/>
          <w:color w:val="auto"/>
          <w:sz w:val="24"/>
          <w:szCs w:val="24"/>
          <w:highlight w:val="none"/>
        </w:rPr>
        <w:t>最低评标价法</w:t>
      </w:r>
      <w:r>
        <w:rPr>
          <w:rFonts w:hint="eastAsia"/>
          <w:color w:val="auto"/>
          <w:sz w:val="24"/>
          <w:szCs w:val="24"/>
          <w:highlight w:val="none"/>
        </w:rPr>
        <w:t>。</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19.7可中止电子交易活动的情形</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采购过程中出现以下情形，导致电子交易平台无法正常运行，或者无法保证电子交易的公平、公正和安全时，本机构可中止电子标活动：</w:t>
      </w:r>
    </w:p>
    <w:p>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w:t>
      </w:r>
      <w:r>
        <w:rPr>
          <w:rFonts w:hint="eastAsia" w:ascii="宋体" w:hAnsi="宋体"/>
          <w:color w:val="auto"/>
          <w:kern w:val="0"/>
          <w:sz w:val="24"/>
          <w:szCs w:val="24"/>
          <w:highlight w:val="none"/>
        </w:rPr>
        <w:t>电子交易平台发生故障而无法登录访问的；</w:t>
      </w:r>
    </w:p>
    <w:p>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电子交易平台应用或数据库出现错误，不能进行正常操作的；</w:t>
      </w:r>
    </w:p>
    <w:p>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(3)</w:t>
      </w:r>
      <w:r>
        <w:rPr>
          <w:rFonts w:hint="eastAsia" w:ascii="宋体" w:hAnsi="宋体"/>
          <w:color w:val="auto"/>
          <w:kern w:val="0"/>
          <w:sz w:val="24"/>
          <w:szCs w:val="24"/>
          <w:highlight w:val="none"/>
        </w:rPr>
        <w:t>电子交易平台发现严重安全漏洞，有潜在泄密危险的；</w:t>
      </w:r>
    </w:p>
    <w:p>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(4)</w:t>
      </w:r>
      <w:r>
        <w:rPr>
          <w:rFonts w:hint="eastAsia" w:ascii="宋体" w:hAnsi="宋体"/>
          <w:color w:val="auto"/>
          <w:kern w:val="0"/>
          <w:sz w:val="24"/>
          <w:szCs w:val="24"/>
          <w:highlight w:val="none"/>
        </w:rPr>
        <w:t>病毒发作导致不能进行正常操作的；</w:t>
      </w:r>
    </w:p>
    <w:p>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(5)</w:t>
      </w:r>
      <w:r>
        <w:rPr>
          <w:rFonts w:hint="eastAsia" w:ascii="宋体" w:hAnsi="宋体"/>
          <w:color w:val="auto"/>
          <w:kern w:val="0"/>
          <w:sz w:val="24"/>
          <w:szCs w:val="24"/>
          <w:highlight w:val="none"/>
        </w:rPr>
        <w:t>其他无法保证电子交易的公平、公正和安全的情况。</w:t>
      </w:r>
    </w:p>
    <w:p>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出现前款规定情形，不影响采购公平、公正性的，本机构待上述情形消除后继续组织电子交易活动；影响或可能影响采购公平、公正性的，重新组织采购活动。</w:t>
      </w:r>
    </w:p>
    <w:p>
      <w:pPr>
        <w:pStyle w:val="20"/>
        <w:spacing w:line="440" w:lineRule="exact"/>
        <w:ind w:firstLine="480" w:firstLineChars="200"/>
        <w:rPr>
          <w:rFonts w:hAnsi="宋体"/>
          <w:color w:val="auto"/>
          <w:sz w:val="24"/>
          <w:szCs w:val="24"/>
          <w:highlight w:val="none"/>
        </w:rPr>
      </w:pPr>
    </w:p>
    <w:p>
      <w:pPr>
        <w:spacing w:line="420" w:lineRule="atLeast"/>
        <w:jc w:val="center"/>
        <w:rPr>
          <w:rFonts w:ascii="宋体" w:hAnsi="宋体"/>
          <w:b/>
          <w:color w:val="auto"/>
          <w:sz w:val="24"/>
          <w:szCs w:val="24"/>
          <w:highlight w:val="none"/>
        </w:rPr>
      </w:pPr>
      <w:r>
        <w:rPr>
          <w:rFonts w:hint="eastAsia" w:ascii="宋体" w:hAnsi="宋体"/>
          <w:b/>
          <w:color w:val="auto"/>
          <w:sz w:val="24"/>
          <w:szCs w:val="24"/>
          <w:highlight w:val="none"/>
        </w:rPr>
        <w:t>五  签订合同</w:t>
      </w:r>
    </w:p>
    <w:p>
      <w:pPr>
        <w:pStyle w:val="20"/>
        <w:spacing w:line="420" w:lineRule="atLeast"/>
        <w:rPr>
          <w:rFonts w:hAnsi="宋体"/>
          <w:color w:val="auto"/>
          <w:sz w:val="24"/>
          <w:szCs w:val="24"/>
          <w:highlight w:val="none"/>
        </w:rPr>
      </w:pPr>
      <w:r>
        <w:rPr>
          <w:rFonts w:hint="eastAsia" w:hAnsi="宋体"/>
          <w:b/>
          <w:color w:val="auto"/>
          <w:sz w:val="24"/>
          <w:szCs w:val="24"/>
          <w:highlight w:val="none"/>
        </w:rPr>
        <w:t>20.成交通知</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20.1采购代理机构应当在评审结束后2个工作日内将评审报告在广西采购云平台上报送采购人确认。采购人应当在收到报送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20.2采购代理机构应当在成交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20.3出现下列情形之一的，采购人或者采购代理机构应当终止竞争性谈判采购活动，发布项目终止公告并说明原因，重新开展采购活动：</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（1）因情况变化，不再符合规定的竞争性谈判采购方式适用情形的；</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（2）出现影响采购公正的违法、违规行为的；</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（3）在采购过程中符合竞争要求的供应商或者报价未超过采购预算的供应商不足3家的。</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20.3在采购活动中因重大变故，采购任务取消的，采购人或者采购代理机构应当终止采购活动，通知所有参加采购活动的供应商，并将项目实施情况和采购任务取消原因报送梧州市财政部门。</w:t>
      </w:r>
    </w:p>
    <w:p>
      <w:pPr>
        <w:pStyle w:val="20"/>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Ansi="宋体"/>
          <w:color w:val="auto"/>
          <w:sz w:val="24"/>
          <w:szCs w:val="24"/>
          <w:highlight w:val="none"/>
        </w:rPr>
      </w:pPr>
      <w:r>
        <w:rPr>
          <w:rFonts w:hint="eastAsia" w:hAnsi="宋体"/>
          <w:color w:val="auto"/>
          <w:sz w:val="24"/>
          <w:szCs w:val="24"/>
          <w:highlight w:val="none"/>
        </w:rPr>
        <w:t>20.</w:t>
      </w:r>
      <w:r>
        <w:rPr>
          <w:rFonts w:hint="eastAsia" w:hAnsi="宋体"/>
          <w:color w:val="auto"/>
          <w:sz w:val="24"/>
          <w:szCs w:val="24"/>
          <w:highlight w:val="none"/>
          <w:lang w:val="en-US" w:eastAsia="zh-CN"/>
        </w:rPr>
        <w:t>4</w:t>
      </w:r>
      <w:r>
        <w:rPr>
          <w:rFonts w:hint="eastAsia" w:hAnsi="宋体"/>
          <w:color w:val="auto"/>
          <w:sz w:val="24"/>
          <w:szCs w:val="24"/>
          <w:highlight w:val="none"/>
        </w:rPr>
        <w:t>采购代理机构根据谈判小组的评审结果，在竞标有效期内向成交人发出成交通知书，并在中国政府采购网（http://www.ccgp.gov.cn）、广西壮族自治区政府采购网（http://zfcg.gxzf.gov.cn/</w:t>
      </w:r>
      <w:r>
        <w:rPr>
          <w:rFonts w:hint="eastAsia" w:hAnsi="宋体"/>
          <w:color w:val="auto"/>
          <w:sz w:val="24"/>
          <w:szCs w:val="24"/>
          <w:highlight w:val="none"/>
          <w:lang w:val="en-US" w:eastAsia="zh-CN"/>
        </w:rPr>
        <w:t>)、</w:t>
      </w:r>
      <w:r>
        <w:rPr>
          <w:rFonts w:hint="eastAsia" w:hAnsi="宋体"/>
          <w:color w:val="auto"/>
          <w:sz w:val="24"/>
          <w:szCs w:val="24"/>
          <w:highlight w:val="none"/>
        </w:rPr>
        <w:t>梧州市政府采购网（http://117.141.250.58:10030/web/cgw/index.ptl）发布成交结果公告。</w:t>
      </w:r>
    </w:p>
    <w:p>
      <w:pPr>
        <w:pStyle w:val="20"/>
        <w:spacing w:line="420" w:lineRule="atLeast"/>
        <w:ind w:left="19" w:leftChars="9" w:firstLine="458" w:firstLineChars="191"/>
        <w:rPr>
          <w:rFonts w:hAnsi="宋体"/>
          <w:color w:val="auto"/>
          <w:sz w:val="24"/>
          <w:szCs w:val="24"/>
          <w:highlight w:val="none"/>
        </w:rPr>
      </w:pPr>
      <w:r>
        <w:rPr>
          <w:rFonts w:hint="eastAsia" w:hAnsi="宋体"/>
          <w:color w:val="auto"/>
          <w:sz w:val="24"/>
          <w:szCs w:val="24"/>
          <w:highlight w:val="none"/>
        </w:rPr>
        <w:t>20.</w:t>
      </w:r>
      <w:r>
        <w:rPr>
          <w:rFonts w:hint="eastAsia" w:hAnsi="宋体"/>
          <w:color w:val="auto"/>
          <w:sz w:val="24"/>
          <w:szCs w:val="24"/>
          <w:highlight w:val="none"/>
          <w:lang w:val="en-US" w:eastAsia="zh-CN"/>
        </w:rPr>
        <w:t>5</w:t>
      </w:r>
      <w:r>
        <w:rPr>
          <w:rFonts w:hint="eastAsia" w:hAnsi="宋体"/>
          <w:color w:val="auto"/>
          <w:sz w:val="24"/>
          <w:szCs w:val="24"/>
          <w:highlight w:val="none"/>
        </w:rPr>
        <w:t>谈判供应商认为权益受到损害的，必须首先以书面形式向本机构提出质疑，质疑书必须是由质疑人法定代表人、主要负责人或者其授权代表签字或盖章同时加盖单位公章，由法定代表人或其委托代理人持法定代表人授权委托书递交。本机构将在收到书面质疑后七个工作日内做出答复，但答复的内容不得涉及商业秘密；如本机构未在规定时间内做出答复或谈判供应商对答复不满意的，可以在答复期满后十五个工作日内书面向有关政府采购监督管理部门投诉。</w:t>
      </w:r>
    </w:p>
    <w:p>
      <w:pPr>
        <w:spacing w:line="420" w:lineRule="atLeast"/>
        <w:rPr>
          <w:rFonts w:ascii="宋体" w:hAnsi="宋体"/>
          <w:b/>
          <w:color w:val="auto"/>
          <w:sz w:val="24"/>
          <w:szCs w:val="24"/>
          <w:highlight w:val="none"/>
        </w:rPr>
      </w:pPr>
      <w:r>
        <w:rPr>
          <w:rFonts w:hint="eastAsia" w:ascii="宋体" w:hAnsi="宋体"/>
          <w:b/>
          <w:color w:val="auto"/>
          <w:sz w:val="24"/>
          <w:szCs w:val="24"/>
          <w:highlight w:val="none"/>
        </w:rPr>
        <w:t>21.合同授予标准</w:t>
      </w:r>
    </w:p>
    <w:p>
      <w:pPr>
        <w:pStyle w:val="20"/>
        <w:spacing w:line="420" w:lineRule="atLeast"/>
        <w:rPr>
          <w:rFonts w:hAnsi="宋体"/>
          <w:color w:val="auto"/>
          <w:sz w:val="24"/>
          <w:szCs w:val="24"/>
          <w:highlight w:val="none"/>
        </w:rPr>
      </w:pPr>
      <w:r>
        <w:rPr>
          <w:rFonts w:hint="eastAsia" w:hAnsi="宋体"/>
          <w:color w:val="auto"/>
          <w:sz w:val="24"/>
          <w:szCs w:val="24"/>
          <w:highlight w:val="none"/>
        </w:rPr>
        <w:t>21.1合同将授予被确定为实质上响应谈判采购文件要求，具备履行合同能力，最后报价最低的谈判供应商。</w:t>
      </w:r>
    </w:p>
    <w:p>
      <w:pPr>
        <w:pStyle w:val="20"/>
        <w:spacing w:line="420" w:lineRule="atLeast"/>
        <w:rPr>
          <w:rFonts w:hAnsi="宋体"/>
          <w:b/>
          <w:color w:val="auto"/>
          <w:sz w:val="24"/>
          <w:szCs w:val="24"/>
          <w:highlight w:val="none"/>
        </w:rPr>
      </w:pPr>
      <w:r>
        <w:rPr>
          <w:rFonts w:hint="eastAsia" w:hAnsi="宋体"/>
          <w:b/>
          <w:color w:val="auto"/>
          <w:sz w:val="24"/>
          <w:szCs w:val="24"/>
          <w:highlight w:val="none"/>
        </w:rPr>
        <w:t>22.签订合同</w:t>
      </w:r>
    </w:p>
    <w:p>
      <w:pPr>
        <w:spacing w:line="340" w:lineRule="exact"/>
        <w:ind w:firstLine="480" w:firstLineChars="200"/>
        <w:rPr>
          <w:rFonts w:hAnsi="宋体"/>
          <w:color w:val="auto"/>
          <w:sz w:val="24"/>
          <w:szCs w:val="24"/>
          <w:highlight w:val="none"/>
        </w:rPr>
      </w:pPr>
      <w:r>
        <w:rPr>
          <w:rFonts w:hint="eastAsia" w:ascii="宋体" w:hAnsi="宋体"/>
          <w:color w:val="auto"/>
          <w:sz w:val="24"/>
          <w:szCs w:val="24"/>
          <w:highlight w:val="none"/>
        </w:rPr>
        <w:t>22.1成交供应商自成交通知书发出之日起：15日内与采购人签订合同（采购需求中另有要求的，按要求执行）。与采购单位签订合同后,并在合同签订之日起2个工作日内送合同副本到本机构进行公示。</w:t>
      </w:r>
    </w:p>
    <w:p>
      <w:pPr>
        <w:pStyle w:val="20"/>
        <w:spacing w:line="420" w:lineRule="atLeast"/>
        <w:ind w:left="479" w:leftChars="228" w:firstLine="0" w:firstLineChars="0"/>
        <w:rPr>
          <w:rFonts w:hAnsi="宋体"/>
          <w:color w:val="auto"/>
          <w:sz w:val="24"/>
          <w:szCs w:val="24"/>
          <w:highlight w:val="none"/>
        </w:rPr>
      </w:pPr>
      <w:r>
        <w:rPr>
          <w:rFonts w:hint="eastAsia" w:hAnsi="宋体"/>
          <w:color w:val="auto"/>
          <w:sz w:val="24"/>
          <w:szCs w:val="24"/>
          <w:highlight w:val="none"/>
        </w:rPr>
        <w:t>22.2成交供应商不按采购代理机构规定时间、地点按时签约的，按成交供应商违约处理。采购代理机构将没收成交供应商谈判的全部谈判保证金（如有）。</w:t>
      </w:r>
    </w:p>
    <w:p>
      <w:pPr>
        <w:pStyle w:val="20"/>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22.3</w:t>
      </w:r>
      <w:r>
        <w:rPr>
          <w:rFonts w:hint="eastAsia" w:hAnsi="宋体" w:cs="宋体"/>
          <w:color w:val="auto"/>
          <w:sz w:val="24"/>
          <w:szCs w:val="24"/>
          <w:highlight w:val="none"/>
        </w:rPr>
        <w:t>成交供应商拒绝签订政府采购合同的</w:t>
      </w:r>
      <w:r>
        <w:rPr>
          <w:rFonts w:hint="eastAsia" w:hAnsi="宋体"/>
          <w:color w:val="auto"/>
          <w:sz w:val="24"/>
          <w:szCs w:val="24"/>
          <w:highlight w:val="none"/>
        </w:rPr>
        <w:t>，采购人可以根据谈判评审报告确定排名第二的成交候选人</w:t>
      </w:r>
      <w:r>
        <w:rPr>
          <w:rFonts w:hint="eastAsia" w:hAnsi="宋体" w:cs="宋体"/>
          <w:color w:val="auto"/>
          <w:sz w:val="24"/>
          <w:szCs w:val="24"/>
          <w:highlight w:val="none"/>
        </w:rPr>
        <w:t>作为</w:t>
      </w:r>
      <w:r>
        <w:rPr>
          <w:rFonts w:hint="eastAsia" w:hAnsi="宋体"/>
          <w:color w:val="auto"/>
          <w:sz w:val="24"/>
          <w:szCs w:val="24"/>
          <w:highlight w:val="none"/>
        </w:rPr>
        <w:t>成交供应商</w:t>
      </w:r>
      <w:r>
        <w:rPr>
          <w:rFonts w:hint="eastAsia" w:hAnsi="宋体" w:cs="宋体"/>
          <w:color w:val="auto"/>
          <w:sz w:val="24"/>
          <w:szCs w:val="24"/>
          <w:highlight w:val="none"/>
        </w:rPr>
        <w:t>并签订政府采购合同，以此类推。拒绝签订政府采购合同的成交供应商不得参加对该项目重新开展的采购活动</w:t>
      </w:r>
      <w:r>
        <w:rPr>
          <w:rFonts w:hint="eastAsia" w:hAnsi="宋体"/>
          <w:color w:val="auto"/>
          <w:sz w:val="24"/>
          <w:szCs w:val="24"/>
          <w:highlight w:val="none"/>
        </w:rPr>
        <w:t>。</w:t>
      </w:r>
    </w:p>
    <w:p>
      <w:pPr>
        <w:pStyle w:val="20"/>
        <w:spacing w:line="420" w:lineRule="atLeast"/>
        <w:ind w:left="0" w:leftChars="0" w:firstLine="480" w:firstLineChars="200"/>
        <w:rPr>
          <w:rFonts w:hAnsi="宋体"/>
          <w:color w:val="auto"/>
          <w:sz w:val="24"/>
          <w:szCs w:val="24"/>
          <w:highlight w:val="none"/>
        </w:rPr>
      </w:pPr>
      <w:r>
        <w:rPr>
          <w:rFonts w:hint="eastAsia" w:hAnsi="宋体"/>
          <w:color w:val="auto"/>
          <w:sz w:val="24"/>
          <w:szCs w:val="24"/>
          <w:highlight w:val="none"/>
        </w:rPr>
        <w:t>22.4成交通知书发出后，成交供应商放弃成交项目的，无正当理由不与采购人签订合同的，在签订合同时向采购人提出附加条件或者更改合同实质性内容的，或者拒不提交所要求的履约保证金（如有）的，采购人可取消其成交资格，没收其谈判保证金。</w:t>
      </w:r>
    </w:p>
    <w:p>
      <w:pPr>
        <w:spacing w:line="420" w:lineRule="atLeast"/>
        <w:jc w:val="center"/>
        <w:rPr>
          <w:rFonts w:ascii="宋体" w:hAnsi="宋体"/>
          <w:b/>
          <w:color w:val="auto"/>
          <w:sz w:val="24"/>
          <w:szCs w:val="24"/>
          <w:highlight w:val="none"/>
        </w:rPr>
      </w:pPr>
      <w:r>
        <w:rPr>
          <w:rFonts w:hint="eastAsia" w:ascii="宋体" w:hAnsi="宋体"/>
          <w:b/>
          <w:color w:val="auto"/>
          <w:sz w:val="24"/>
          <w:szCs w:val="24"/>
          <w:highlight w:val="none"/>
        </w:rPr>
        <w:t>六  其他事项</w:t>
      </w:r>
    </w:p>
    <w:p>
      <w:pPr>
        <w:pStyle w:val="20"/>
        <w:spacing w:line="360" w:lineRule="exact"/>
        <w:ind w:firstLine="480" w:firstLineChars="200"/>
        <w:rPr>
          <w:color w:val="auto"/>
          <w:sz w:val="24"/>
          <w:szCs w:val="24"/>
          <w:highlight w:val="none"/>
        </w:rPr>
      </w:pPr>
      <w:r>
        <w:rPr>
          <w:rFonts w:hint="eastAsia" w:hAnsi="宋体"/>
          <w:color w:val="auto"/>
          <w:sz w:val="24"/>
          <w:szCs w:val="24"/>
          <w:highlight w:val="none"/>
        </w:rPr>
        <w:t>23.本项目代理服务收费按</w:t>
      </w:r>
      <w:r>
        <w:rPr>
          <w:rFonts w:hint="eastAsia" w:hAnsi="宋体"/>
          <w:color w:val="auto"/>
          <w:sz w:val="24"/>
          <w:szCs w:val="24"/>
          <w:highlight w:val="none"/>
          <w:lang w:eastAsia="zh-CN"/>
        </w:rPr>
        <w:t>货物类</w:t>
      </w:r>
      <w:r>
        <w:rPr>
          <w:rFonts w:hint="eastAsia" w:hAnsi="宋体"/>
          <w:color w:val="auto"/>
          <w:sz w:val="24"/>
          <w:szCs w:val="24"/>
          <w:highlight w:val="none"/>
        </w:rPr>
        <w:t>收费标准</w:t>
      </w:r>
      <w:r>
        <w:rPr>
          <w:rFonts w:hint="eastAsia" w:hAnsi="宋体"/>
          <w:color w:val="auto"/>
          <w:sz w:val="24"/>
          <w:szCs w:val="24"/>
          <w:highlight w:val="none"/>
          <w:lang w:eastAsia="zh-CN"/>
        </w:rPr>
        <w:t>下浮</w:t>
      </w:r>
      <w:r>
        <w:rPr>
          <w:rFonts w:hint="eastAsia" w:hAnsi="宋体"/>
          <w:color w:val="auto"/>
          <w:sz w:val="24"/>
          <w:szCs w:val="24"/>
          <w:highlight w:val="none"/>
          <w:lang w:val="en-US" w:eastAsia="zh-CN"/>
        </w:rPr>
        <w:t>25%</w:t>
      </w:r>
      <w:r>
        <w:rPr>
          <w:rFonts w:hint="eastAsia" w:hAnsi="宋体"/>
          <w:color w:val="auto"/>
          <w:sz w:val="24"/>
          <w:szCs w:val="24"/>
          <w:highlight w:val="none"/>
        </w:rPr>
        <w:t>向成交供应商收取。在成交通知书发出前，成交供应商应向采购代理机构一次付清代理服务费。</w:t>
      </w:r>
      <w:r>
        <w:rPr>
          <w:rFonts w:hint="eastAsia"/>
          <w:color w:val="auto"/>
          <w:sz w:val="24"/>
          <w:szCs w:val="24"/>
          <w:highlight w:val="none"/>
        </w:rPr>
        <w:t>供应商的</w:t>
      </w:r>
      <w:r>
        <w:rPr>
          <w:rFonts w:hint="eastAsia"/>
          <w:color w:val="auto"/>
          <w:sz w:val="24"/>
          <w:szCs w:val="24"/>
          <w:highlight w:val="none"/>
          <w:lang w:eastAsia="zh-CN"/>
        </w:rPr>
        <w:t>竞标报价</w:t>
      </w:r>
      <w:r>
        <w:rPr>
          <w:rFonts w:hint="eastAsia"/>
          <w:color w:val="auto"/>
          <w:sz w:val="24"/>
          <w:szCs w:val="24"/>
          <w:highlight w:val="none"/>
        </w:rPr>
        <w:t>应包含此项费用。</w:t>
      </w:r>
    </w:p>
    <w:p>
      <w:pPr>
        <w:pStyle w:val="20"/>
        <w:spacing w:line="360" w:lineRule="exact"/>
        <w:ind w:firstLine="480" w:firstLineChars="200"/>
        <w:rPr>
          <w:rFonts w:hint="eastAsia"/>
          <w:color w:val="auto"/>
          <w:sz w:val="24"/>
          <w:szCs w:val="24"/>
          <w:highlight w:val="none"/>
        </w:rPr>
      </w:pPr>
    </w:p>
    <w:p>
      <w:pPr>
        <w:pStyle w:val="20"/>
        <w:spacing w:line="360" w:lineRule="exact"/>
        <w:ind w:firstLine="480" w:firstLineChars="200"/>
        <w:rPr>
          <w:color w:val="auto"/>
          <w:sz w:val="24"/>
          <w:szCs w:val="24"/>
          <w:highlight w:val="none"/>
        </w:rPr>
      </w:pPr>
      <w:r>
        <w:rPr>
          <w:rFonts w:hint="eastAsia"/>
          <w:color w:val="auto"/>
          <w:sz w:val="24"/>
          <w:szCs w:val="24"/>
          <w:highlight w:val="none"/>
        </w:rPr>
        <w:t>代理服务收费标准：</w:t>
      </w:r>
    </w:p>
    <w:p>
      <w:pPr>
        <w:pStyle w:val="20"/>
        <w:spacing w:line="360" w:lineRule="exact"/>
        <w:ind w:firstLine="480" w:firstLineChars="200"/>
        <w:rPr>
          <w:color w:val="auto"/>
          <w:sz w:val="24"/>
          <w:szCs w:val="24"/>
          <w:highlight w:val="none"/>
        </w:rPr>
      </w:pPr>
    </w:p>
    <w:tbl>
      <w:tblPr>
        <w:tblStyle w:val="46"/>
        <w:tblW w:w="102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1"/>
        <w:gridCol w:w="2023"/>
        <w:gridCol w:w="1801"/>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2761" w:type="dxa"/>
            <w:noWrap/>
            <w:vAlign w:val="bottom"/>
          </w:tcPr>
          <w:p>
            <w:pPr>
              <w:widowControl/>
              <w:ind w:left="1200" w:leftChars="400" w:hanging="360" w:hangingChars="150"/>
              <w:jc w:val="left"/>
              <w:rPr>
                <w:rFonts w:ascii="宋体" w:hAnsi="宋体" w:cs="宋体"/>
                <w:color w:val="auto"/>
                <w:kern w:val="0"/>
                <w:sz w:val="24"/>
                <w:szCs w:val="24"/>
                <w:highlight w:val="none"/>
              </w:rPr>
            </w:pPr>
            <w:r>
              <w:rPr>
                <w:rFonts w:ascii="宋体" w:hAnsi="宋体" w:cs="宋体"/>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334010</wp:posOffset>
                      </wp:positionH>
                      <wp:positionV relativeFrom="paragraph">
                        <wp:posOffset>4445</wp:posOffset>
                      </wp:positionV>
                      <wp:extent cx="1352550" cy="1189355"/>
                      <wp:effectExtent l="3175" t="3810" r="15875" b="10795"/>
                      <wp:wrapNone/>
                      <wp:docPr id="2" name="AutoShape 3"/>
                      <wp:cNvGraphicFramePr/>
                      <a:graphic xmlns:a="http://schemas.openxmlformats.org/drawingml/2006/main">
                        <a:graphicData uri="http://schemas.microsoft.com/office/word/2010/wordprocessingShape">
                          <wps:wsp>
                            <wps:cNvCnPr/>
                            <wps:spPr>
                              <a:xfrm flipH="1" flipV="1">
                                <a:off x="0" y="0"/>
                                <a:ext cx="1352550" cy="1189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flip:x y;margin-left:26.3pt;margin-top:0.35pt;height:93.65pt;width:106.5pt;z-index:251663360;mso-width-relative:page;mso-height-relative:page;" filled="f" stroked="t" coordsize="21600,21600" o:gfxdata="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TdZRNYAAAAHAQAADwAAAAAAAAABACAAAAAi&#10;AAAAZHJzL2Rvd25yZXYueG1sUEsBAhQAFAAAAAgAh07iQC8LlXHTAQAArAMAAA4AAAAAAAAAAQAg&#10;AAAAJQEAAGRycy9lMm9Eb2MueG1sUEsFBgAAAAAGAAYAWQEAAGoFAAAAAA==&#10;">
                      <v:fill on="f" focussize="0,0"/>
                      <v:stroke color="#000000" joinstyle="round"/>
                      <v:imagedata o:title=""/>
                      <o:lock v:ext="edit" aspectratio="f"/>
                    </v:shape>
                  </w:pict>
                </mc:Fallback>
              </mc:AlternateContent>
            </w:r>
            <w:r>
              <w:rPr>
                <w:rFonts w:hint="eastAsia" w:ascii="宋体" w:hAnsi="宋体" w:cs="宋体"/>
                <w:color w:val="auto"/>
                <w:kern w:val="0"/>
                <w:sz w:val="24"/>
                <w:szCs w:val="24"/>
                <w:highlight w:val="none"/>
              </w:rPr>
              <w:t>服务类型</w:t>
            </w:r>
          </w:p>
          <w:p>
            <w:pPr>
              <w:widowControl/>
              <w:ind w:left="1155" w:hanging="1320" w:hangingChars="5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费率           </w:t>
            </w:r>
          </w:p>
          <w:p>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-73660</wp:posOffset>
                      </wp:positionH>
                      <wp:positionV relativeFrom="paragraph">
                        <wp:posOffset>90805</wp:posOffset>
                      </wp:positionV>
                      <wp:extent cx="1750695" cy="688975"/>
                      <wp:effectExtent l="1905" t="4445" r="15240" b="7620"/>
                      <wp:wrapNone/>
                      <wp:docPr id="3" name="自选图形 4"/>
                      <wp:cNvGraphicFramePr/>
                      <a:graphic xmlns:a="http://schemas.openxmlformats.org/drawingml/2006/main">
                        <a:graphicData uri="http://schemas.microsoft.com/office/word/2010/wordprocessingShape">
                          <wps:wsp>
                            <wps:cNvCnPr/>
                            <wps:spPr>
                              <a:xfrm>
                                <a:off x="0" y="0"/>
                                <a:ext cx="1750695" cy="688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5.8pt;margin-top:7.15pt;height:54.25pt;width:137.85pt;z-index:251664384;mso-width-relative:page;mso-height-relative:page;" filled="f" stroked="t" coordsize="21600,21600" o:gfxdata="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lqqMDYAAAACgEAAA8A&#10;AAAAAAAAAQAgAAAAIgAAAGRycy9kb3ducmV2LnhtbFBLAQIUABQAAAAIAIdO4kC/R0tu3gEAAJoD&#10;AAAOAAAAAAAAAAEAIAAAACcBAABkcnMvZTJvRG9jLnhtbFBLBQYAAAAABgAGAFkBAAB3BQAAAAA=&#10;">
                      <v:fill on="f" focussize="0,0"/>
                      <v:stroke color="#000000" joinstyle="round"/>
                      <v:imagedata o:title=""/>
                      <o:lock v:ext="edit" aspectratio="f"/>
                    </v:shape>
                  </w:pict>
                </mc:Fallback>
              </mc:AlternateContent>
            </w:r>
          </w:p>
          <w:p>
            <w:pPr>
              <w:widowControl/>
              <w:jc w:val="left"/>
              <w:rPr>
                <w:rFonts w:ascii="宋体" w:hAnsi="宋体" w:cs="宋体"/>
                <w:color w:val="auto"/>
                <w:kern w:val="0"/>
                <w:sz w:val="24"/>
                <w:szCs w:val="24"/>
                <w:highlight w:val="none"/>
              </w:rPr>
            </w:pPr>
          </w:p>
          <w:p>
            <w:pPr>
              <w:widowControl/>
              <w:jc w:val="left"/>
              <w:rPr>
                <w:rFonts w:ascii="宋体" w:hAnsi="宋体" w:cs="宋体"/>
                <w:color w:val="auto"/>
                <w:kern w:val="0"/>
                <w:sz w:val="24"/>
                <w:szCs w:val="24"/>
                <w:highlight w:val="none"/>
              </w:rPr>
            </w:pPr>
          </w:p>
          <w:p>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中标金额（万元）</w:t>
            </w:r>
          </w:p>
        </w:tc>
        <w:tc>
          <w:tcPr>
            <w:tcW w:w="2023" w:type="dxa"/>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w:t>
            </w:r>
          </w:p>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c>
          <w:tcPr>
            <w:tcW w:w="1801" w:type="dxa"/>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w:t>
            </w:r>
          </w:p>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c>
          <w:tcPr>
            <w:tcW w:w="3691" w:type="dxa"/>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w:t>
            </w:r>
          </w:p>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以下</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1.50%</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1.50%</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500</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1.10%</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0.80%</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0.80%</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0.45%</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5000</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0.50%</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0.25%</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10000</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0.25%</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0.10%</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100000</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2761" w:type="dxa"/>
            <w:noWrap/>
            <w:vAlign w:val="center"/>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1000000</w:t>
            </w:r>
            <w:r>
              <w:rPr>
                <w:rFonts w:hint="eastAsia" w:ascii="宋体" w:hAnsi="宋体" w:cs="宋体"/>
                <w:color w:val="auto"/>
                <w:kern w:val="0"/>
                <w:sz w:val="24"/>
                <w:szCs w:val="24"/>
                <w:highlight w:val="none"/>
              </w:rPr>
              <w:t>以上</w:t>
            </w:r>
          </w:p>
        </w:tc>
        <w:tc>
          <w:tcPr>
            <w:tcW w:w="2023"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c>
          <w:tcPr>
            <w:tcW w:w="180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c>
          <w:tcPr>
            <w:tcW w:w="3691" w:type="dxa"/>
            <w:noWrap/>
            <w:vAlign w:val="bottom"/>
          </w:tcPr>
          <w:p>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r>
    </w:tbl>
    <w:p>
      <w:pPr>
        <w:pStyle w:val="20"/>
        <w:spacing w:line="360" w:lineRule="auto"/>
        <w:rPr>
          <w:color w:val="auto"/>
          <w:sz w:val="24"/>
          <w:szCs w:val="24"/>
          <w:highlight w:val="none"/>
        </w:rPr>
      </w:pPr>
      <w:r>
        <w:rPr>
          <w:rFonts w:hint="eastAsia"/>
          <w:color w:val="auto"/>
          <w:sz w:val="24"/>
          <w:szCs w:val="24"/>
          <w:highlight w:val="none"/>
        </w:rPr>
        <w:t>注：采购代理服务收费按差额定率累进法计算。</w:t>
      </w:r>
    </w:p>
    <w:p>
      <w:pPr>
        <w:pStyle w:val="20"/>
        <w:spacing w:line="360" w:lineRule="auto"/>
        <w:rPr>
          <w:bCs/>
          <w:color w:val="auto"/>
          <w:sz w:val="24"/>
          <w:szCs w:val="24"/>
          <w:highlight w:val="none"/>
        </w:rPr>
      </w:pPr>
      <w:r>
        <w:rPr>
          <w:rFonts w:hint="eastAsia"/>
          <w:bCs/>
          <w:color w:val="auto"/>
          <w:sz w:val="24"/>
          <w:szCs w:val="24"/>
          <w:highlight w:val="none"/>
        </w:rPr>
        <w:t>例如：某货物招标代理业务中标金额为500万元，计算招标代理服务收费额如下：</w:t>
      </w:r>
    </w:p>
    <w:p>
      <w:pPr>
        <w:pStyle w:val="20"/>
        <w:spacing w:line="360" w:lineRule="auto"/>
        <w:rPr>
          <w:bCs/>
          <w:color w:val="auto"/>
          <w:sz w:val="24"/>
          <w:szCs w:val="24"/>
          <w:highlight w:val="none"/>
        </w:rPr>
      </w:pPr>
      <w:r>
        <w:rPr>
          <w:rFonts w:hint="eastAsia"/>
          <w:bCs/>
          <w:color w:val="auto"/>
          <w:sz w:val="24"/>
          <w:szCs w:val="24"/>
          <w:highlight w:val="none"/>
        </w:rPr>
        <w:t>100 万元×1.50%=1.5万元</w:t>
      </w:r>
    </w:p>
    <w:p>
      <w:pPr>
        <w:pStyle w:val="20"/>
        <w:spacing w:line="360" w:lineRule="auto"/>
        <w:rPr>
          <w:bCs/>
          <w:color w:val="auto"/>
          <w:sz w:val="24"/>
          <w:szCs w:val="24"/>
          <w:highlight w:val="none"/>
        </w:rPr>
      </w:pPr>
      <w:r>
        <w:rPr>
          <w:rFonts w:hint="eastAsia"/>
          <w:bCs/>
          <w:color w:val="auto"/>
          <w:sz w:val="24"/>
          <w:szCs w:val="24"/>
          <w:highlight w:val="none"/>
        </w:rPr>
        <w:t>（500-100）万元×1.10%= 4.4万元</w:t>
      </w:r>
    </w:p>
    <w:p>
      <w:pPr>
        <w:pStyle w:val="20"/>
        <w:spacing w:line="360" w:lineRule="auto"/>
        <w:rPr>
          <w:rFonts w:hint="eastAsia"/>
          <w:bCs/>
          <w:color w:val="auto"/>
          <w:sz w:val="24"/>
          <w:szCs w:val="24"/>
          <w:highlight w:val="none"/>
        </w:rPr>
      </w:pPr>
      <w:r>
        <w:rPr>
          <w:rFonts w:hint="eastAsia"/>
          <w:bCs/>
          <w:color w:val="auto"/>
          <w:sz w:val="24"/>
          <w:szCs w:val="24"/>
          <w:highlight w:val="none"/>
        </w:rPr>
        <w:t>合计收费=1.5+4.4=5.9（万元）</w:t>
      </w:r>
    </w:p>
    <w:p>
      <w:pPr>
        <w:pStyle w:val="20"/>
        <w:spacing w:line="360" w:lineRule="auto"/>
        <w:rPr>
          <w:rFonts w:hint="default"/>
          <w:bCs/>
          <w:color w:val="auto"/>
          <w:sz w:val="24"/>
          <w:szCs w:val="24"/>
          <w:highlight w:val="none"/>
          <w:lang w:val="en-US" w:eastAsia="zh-CN"/>
        </w:rPr>
      </w:pPr>
      <w:r>
        <w:rPr>
          <w:rFonts w:hint="eastAsia"/>
          <w:bCs/>
          <w:color w:val="auto"/>
          <w:sz w:val="24"/>
          <w:szCs w:val="24"/>
          <w:highlight w:val="none"/>
          <w:lang w:val="en-US" w:eastAsia="zh-CN"/>
        </w:rPr>
        <w:t>下浮25%收费：5.9*75%=4.425（万元）</w:t>
      </w:r>
    </w:p>
    <w:p>
      <w:pPr>
        <w:pStyle w:val="20"/>
        <w:spacing w:line="360" w:lineRule="auto"/>
        <w:rPr>
          <w:rFonts w:hint="eastAsia"/>
          <w:b/>
          <w:bCs w:val="0"/>
          <w:color w:val="auto"/>
          <w:sz w:val="24"/>
          <w:szCs w:val="24"/>
          <w:highlight w:val="none"/>
        </w:rPr>
      </w:pPr>
      <w:r>
        <w:rPr>
          <w:rFonts w:hint="eastAsia"/>
          <w:b/>
          <w:bCs w:val="0"/>
          <w:color w:val="auto"/>
          <w:sz w:val="24"/>
          <w:szCs w:val="24"/>
          <w:highlight w:val="none"/>
        </w:rPr>
        <w:t>24.解释权</w:t>
      </w:r>
    </w:p>
    <w:p>
      <w:pPr>
        <w:pStyle w:val="20"/>
        <w:spacing w:line="420" w:lineRule="atLeast"/>
        <w:ind w:left="420" w:hanging="480" w:hangingChars="200"/>
        <w:rPr>
          <w:rFonts w:hAnsi="宋体"/>
          <w:color w:val="auto"/>
          <w:sz w:val="24"/>
          <w:szCs w:val="24"/>
          <w:highlight w:val="none"/>
        </w:rPr>
      </w:pPr>
      <w:r>
        <w:rPr>
          <w:rFonts w:hint="eastAsia" w:hAnsi="宋体"/>
          <w:color w:val="auto"/>
          <w:sz w:val="24"/>
          <w:szCs w:val="24"/>
          <w:highlight w:val="none"/>
        </w:rPr>
        <w:t>24.1本谈判采购文件是根据国家相关法律及有关政策、法规和参照国际惯例编制，解释权属本采购代理机构。</w:t>
      </w:r>
    </w:p>
    <w:p>
      <w:pPr>
        <w:pStyle w:val="20"/>
        <w:spacing w:line="420" w:lineRule="atLeast"/>
        <w:ind w:left="420" w:hanging="480" w:hangingChars="200"/>
        <w:rPr>
          <w:rFonts w:hAnsi="宋体"/>
          <w:color w:val="auto"/>
          <w:sz w:val="24"/>
          <w:szCs w:val="24"/>
          <w:highlight w:val="none"/>
        </w:rPr>
      </w:pPr>
    </w:p>
    <w:p>
      <w:pPr>
        <w:pStyle w:val="20"/>
        <w:spacing w:line="420" w:lineRule="atLeast"/>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val="en-US" w:eastAsia="zh-CN"/>
        </w:rPr>
        <w:t>5</w:t>
      </w:r>
      <w:r>
        <w:rPr>
          <w:rFonts w:hint="eastAsia" w:hAnsi="宋体"/>
          <w:b/>
          <w:color w:val="auto"/>
          <w:sz w:val="24"/>
          <w:szCs w:val="24"/>
          <w:highlight w:val="none"/>
        </w:rPr>
        <w:t>.通讯地址</w:t>
      </w:r>
    </w:p>
    <w:p>
      <w:pPr>
        <w:pStyle w:val="20"/>
        <w:spacing w:line="420" w:lineRule="atLeast"/>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5</w:t>
      </w:r>
      <w:r>
        <w:rPr>
          <w:rFonts w:hint="eastAsia" w:hAnsi="宋体"/>
          <w:color w:val="auto"/>
          <w:sz w:val="24"/>
          <w:szCs w:val="24"/>
          <w:highlight w:val="none"/>
        </w:rPr>
        <w:t>.1所有与本谈判采购文件有关的函电请按下列通讯地址联系：</w:t>
      </w:r>
    </w:p>
    <w:p>
      <w:pPr>
        <w:pStyle w:val="20"/>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采购代理机构：</w:t>
      </w:r>
      <w:r>
        <w:rPr>
          <w:rFonts w:hAnsi="宋体"/>
          <w:color w:val="auto"/>
          <w:sz w:val="24"/>
          <w:szCs w:val="24"/>
          <w:highlight w:val="none"/>
        </w:rPr>
        <w:t>广西中信恒泰工程顾问有限公司</w:t>
      </w:r>
    </w:p>
    <w:p>
      <w:pPr>
        <w:pStyle w:val="20"/>
        <w:spacing w:line="420" w:lineRule="atLeast"/>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地    址：</w:t>
      </w:r>
      <w:r>
        <w:rPr>
          <w:rFonts w:hint="eastAsia" w:hAnsi="宋体"/>
          <w:color w:val="auto"/>
          <w:sz w:val="24"/>
          <w:szCs w:val="24"/>
          <w:highlight w:val="none"/>
          <w:lang w:eastAsia="zh-CN"/>
        </w:rPr>
        <w:t>梧州市三龙大道15号金湖湾小区2栋2单元203号房</w:t>
      </w:r>
    </w:p>
    <w:p>
      <w:pPr>
        <w:pStyle w:val="20"/>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联 系 人：</w:t>
      </w:r>
      <w:r>
        <w:rPr>
          <w:rFonts w:hint="eastAsia" w:hAnsi="宋体" w:cs="宋体"/>
          <w:bCs/>
          <w:color w:val="auto"/>
          <w:sz w:val="24"/>
          <w:szCs w:val="24"/>
          <w:highlight w:val="none"/>
        </w:rPr>
        <w:t>林工</w:t>
      </w:r>
    </w:p>
    <w:p>
      <w:pPr>
        <w:snapToGrid w:val="0"/>
        <w:spacing w:line="380" w:lineRule="exact"/>
        <w:ind w:firstLine="480" w:firstLineChars="200"/>
        <w:jc w:val="left"/>
        <w:outlineLvl w:val="4"/>
        <w:rPr>
          <w:rFonts w:ascii="宋体" w:hAnsi="宋体"/>
          <w:b/>
          <w:color w:val="auto"/>
          <w:sz w:val="24"/>
          <w:szCs w:val="24"/>
          <w:highlight w:val="none"/>
        </w:rPr>
      </w:pPr>
      <w:r>
        <w:rPr>
          <w:rFonts w:hint="eastAsia"/>
          <w:color w:val="auto"/>
          <w:sz w:val="24"/>
          <w:szCs w:val="24"/>
          <w:highlight w:val="none"/>
        </w:rPr>
        <w:t>电    话</w:t>
      </w:r>
      <w:r>
        <w:rPr>
          <w:rFonts w:hint="eastAsia" w:ascii="宋体" w:hAnsi="宋体"/>
          <w:color w:val="auto"/>
          <w:sz w:val="24"/>
          <w:szCs w:val="24"/>
          <w:highlight w:val="none"/>
        </w:rPr>
        <w:t>：</w:t>
      </w:r>
      <w:r>
        <w:rPr>
          <w:rFonts w:ascii="宋体" w:hAnsi="宋体" w:cs="宋体"/>
          <w:color w:val="auto"/>
          <w:sz w:val="24"/>
          <w:szCs w:val="24"/>
          <w:highlight w:val="none"/>
        </w:rPr>
        <w:t>0774-5826268</w:t>
      </w:r>
    </w:p>
    <w:p>
      <w:pPr>
        <w:pStyle w:val="20"/>
        <w:spacing w:line="420" w:lineRule="atLeast"/>
        <w:ind w:firstLine="480" w:firstLineChars="200"/>
        <w:rPr>
          <w:rFonts w:hint="default" w:hAnsi="宋体" w:cs="宋体"/>
          <w:color w:val="auto"/>
          <w:sz w:val="24"/>
          <w:szCs w:val="24"/>
          <w:highlight w:val="none"/>
        </w:rPr>
      </w:pPr>
    </w:p>
    <w:p>
      <w:pPr>
        <w:pStyle w:val="20"/>
        <w:rPr>
          <w:rFonts w:hint="default" w:hAnsi="宋体" w:cs="宋体"/>
          <w:b/>
          <w:color w:val="auto"/>
          <w:szCs w:val="20"/>
          <w:highlight w:val="none"/>
        </w:rPr>
      </w:pPr>
    </w:p>
    <w:p>
      <w:pPr>
        <w:pStyle w:val="13"/>
        <w:kinsoku w:val="0"/>
        <w:overflowPunct w:val="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七</w:t>
      </w:r>
      <w:r>
        <w:rPr>
          <w:rFonts w:hint="eastAsia" w:ascii="宋体" w:hAnsi="宋体" w:eastAsia="宋体" w:cs="宋体"/>
          <w:b/>
          <w:color w:val="auto"/>
          <w:kern w:val="0"/>
          <w:sz w:val="24"/>
          <w:szCs w:val="24"/>
          <w:highlight w:val="none"/>
          <w:lang w:val="en-US" w:eastAsia="zh-CN" w:bidi="ar-SA"/>
        </w:rPr>
        <w:t>、询问、质疑和投诉</w:t>
      </w:r>
    </w:p>
    <w:p>
      <w:pPr>
        <w:pStyle w:val="13"/>
        <w:kinsoku w:val="0"/>
        <w:overflowPunct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26. </w:t>
      </w:r>
      <w:r>
        <w:rPr>
          <w:rFonts w:hint="eastAsia" w:ascii="宋体" w:hAnsi="宋体"/>
          <w:color w:val="auto"/>
          <w:sz w:val="24"/>
          <w:szCs w:val="24"/>
          <w:highlight w:val="none"/>
        </w:rPr>
        <w:t>供应商对采购活动事项有疑问的，可以向采购人、采购代理机构提出询问。</w:t>
      </w:r>
    </w:p>
    <w:p>
      <w:pPr>
        <w:pStyle w:val="13"/>
        <w:kinsoku w:val="0"/>
        <w:overflowPunct w:val="0"/>
        <w:spacing w:before="17" w:line="360" w:lineRule="auto"/>
        <w:ind w:right="228"/>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27. </w:t>
      </w:r>
      <w:r>
        <w:rPr>
          <w:rFonts w:hint="eastAsia" w:ascii="宋体" w:hAnsi="宋体"/>
          <w:color w:val="auto"/>
          <w:sz w:val="24"/>
          <w:szCs w:val="24"/>
          <w:highlight w:val="none"/>
        </w:rPr>
        <w:t>供应商认为采购文件、采购过程或成交结果使自己的合法权益受到损害的，应当在知道或者应知其权益受到损害之日起七个工作日内，以书面形式向采购人、采购代理机构提出质疑。具体计算时间如下：</w:t>
      </w:r>
    </w:p>
    <w:p>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（1）对可以质疑的采购文件提出质疑的，为收到采购文件之日；</w:t>
      </w:r>
    </w:p>
    <w:p>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（2）对采购过程提出质疑的，为各采购程序环节结束之日；</w:t>
      </w:r>
    </w:p>
    <w:p>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（3）对成交结果提出质疑的，为成交结果公告期限届满之日。 供应商对采购人或采购代理机构的质疑答复不满意或者采购人或采购代理机构未在规定时间内作出答复的，可以在答复期满后十五个工作日内向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监管部门投诉。</w:t>
      </w:r>
    </w:p>
    <w:p>
      <w:pPr>
        <w:pStyle w:val="13"/>
        <w:kinsoku w:val="0"/>
        <w:overflowPunct w:val="0"/>
        <w:spacing w:before="12" w:line="360" w:lineRule="auto"/>
        <w:ind w:right="216"/>
        <w:rPr>
          <w:rFonts w:hint="eastAsia" w:ascii="宋体" w:hAnsi="宋体"/>
          <w:color w:val="auto"/>
          <w:sz w:val="24"/>
          <w:szCs w:val="24"/>
          <w:highlight w:val="none"/>
        </w:rPr>
      </w:pP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 xml:space="preserve"> 除</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须知表另行约定外，质疑、投诉应当采用书面形式，质疑书、投诉书均应明 确阐述采购文件、采购过程、成交结果中使自己合法权益受到损害的实质性内容，提供相关 事实、明确的请求、必要的证明材料，便于有关单位调查、答复和处理。</w:t>
      </w:r>
    </w:p>
    <w:p>
      <w:pPr>
        <w:pStyle w:val="13"/>
        <w:kinsoku w:val="0"/>
        <w:overflowPunct w:val="0"/>
        <w:spacing w:before="5" w:line="360" w:lineRule="auto"/>
        <w:ind w:left="220" w:firstLine="422"/>
        <w:rPr>
          <w:rFonts w:hint="eastAsia" w:ascii="宋体" w:hAnsi="宋体"/>
          <w:color w:val="auto"/>
          <w:sz w:val="24"/>
          <w:szCs w:val="24"/>
          <w:highlight w:val="none"/>
        </w:rPr>
      </w:pPr>
      <w:r>
        <w:rPr>
          <w:rFonts w:hint="eastAsia" w:ascii="宋体" w:hAnsi="宋体"/>
          <w:color w:val="auto"/>
          <w:sz w:val="24"/>
          <w:szCs w:val="24"/>
          <w:highlight w:val="none"/>
        </w:rPr>
        <w:t>供应商提出质疑应当提交质疑函和必要的证明材料，针对同一采购程序环节的质疑必须 在法定质疑期内一次性提出。质疑函应当包括下列内容：</w:t>
      </w:r>
    </w:p>
    <w:p>
      <w:pPr>
        <w:pStyle w:val="13"/>
        <w:kinsoku w:val="0"/>
        <w:overflowPunct w:val="0"/>
        <w:spacing w:before="3"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（2）质疑项目的名称、编号；</w:t>
      </w:r>
    </w:p>
    <w:p>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（4）事实依据；</w:t>
      </w:r>
    </w:p>
    <w:p>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（5）必要的法律依据；</w:t>
      </w:r>
    </w:p>
    <w:p>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 xml:space="preserve">（6）提出质疑的日期。供应商为自然人的，应当由本人签字；供应商为法人或者其他组织的，应当由法定代表人、主要负责人，或者其授权代表签字或者盖章，并加盖公章。 </w:t>
      </w:r>
    </w:p>
    <w:p>
      <w:pPr>
        <w:pStyle w:val="13"/>
        <w:kinsoku w:val="0"/>
        <w:overflowPunct w:val="0"/>
        <w:spacing w:before="5" w:line="360" w:lineRule="auto"/>
        <w:ind w:right="2698"/>
        <w:rPr>
          <w:rFonts w:hint="eastAsia" w:ascii="宋体" w:hAnsi="宋体"/>
          <w:color w:val="auto"/>
          <w:sz w:val="24"/>
          <w:szCs w:val="24"/>
          <w:highlight w:val="none"/>
        </w:rPr>
      </w:pP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 xml:space="preserve"> 质疑联系部门及联系方式</w:t>
      </w:r>
    </w:p>
    <w:p>
      <w:pPr>
        <w:pStyle w:val="13"/>
        <w:kinsoku w:val="0"/>
        <w:overflowPunct w:val="0"/>
        <w:spacing w:before="3" w:line="360" w:lineRule="auto"/>
        <w:ind w:left="642" w:right="6374"/>
        <w:rPr>
          <w:rFonts w:hint="eastAsia" w:ascii="宋体" w:hAnsi="宋体"/>
          <w:color w:val="auto"/>
          <w:sz w:val="24"/>
          <w:szCs w:val="24"/>
          <w:highlight w:val="none"/>
        </w:rPr>
      </w:pPr>
      <w:r>
        <w:rPr>
          <w:rFonts w:hint="eastAsia" w:ascii="宋体" w:hAnsi="宋体"/>
          <w:color w:val="auto"/>
          <w:sz w:val="24"/>
          <w:szCs w:val="24"/>
          <w:highlight w:val="none"/>
        </w:rPr>
        <w:t xml:space="preserve">详见本须知前附表。 </w:t>
      </w:r>
    </w:p>
    <w:p>
      <w:pPr>
        <w:pStyle w:val="13"/>
        <w:kinsoku w:val="0"/>
        <w:overflowPunct w:val="0"/>
        <w:spacing w:before="3" w:line="360" w:lineRule="auto"/>
        <w:ind w:right="6374"/>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 xml:space="preserve">名词解释 </w:t>
      </w:r>
    </w:p>
    <w:p>
      <w:pPr>
        <w:pStyle w:val="3"/>
        <w:ind w:firstLine="480" w:firstLineChars="200"/>
        <w:jc w:val="left"/>
        <w:rPr>
          <w:b w:val="0"/>
          <w:bCs w:val="0"/>
          <w:color w:val="auto"/>
          <w:highlight w:val="none"/>
        </w:rPr>
        <w:sectPr>
          <w:footerReference r:id="rId10" w:type="first"/>
          <w:pgSz w:w="11906" w:h="16838"/>
          <w:pgMar w:top="851" w:right="849" w:bottom="1134" w:left="993" w:header="720" w:footer="720" w:gutter="0"/>
          <w:pgBorders>
            <w:top w:val="none" w:sz="0" w:space="0"/>
            <w:left w:val="none" w:sz="0" w:space="0"/>
            <w:bottom w:val="none" w:sz="0" w:space="0"/>
            <w:right w:val="none" w:sz="0" w:space="0"/>
          </w:pgBorders>
          <w:cols w:space="720" w:num="1"/>
          <w:titlePg/>
          <w:docGrid w:linePitch="312" w:charSpace="0"/>
        </w:sectPr>
      </w:pPr>
      <w:bookmarkStart w:id="12" w:name="_Toc16177"/>
      <w:r>
        <w:rPr>
          <w:rFonts w:hint="eastAsia" w:ascii="宋体" w:hAnsi="宋体"/>
          <w:b w:val="0"/>
          <w:bCs w:val="0"/>
          <w:color w:val="auto"/>
          <w:sz w:val="24"/>
          <w:szCs w:val="24"/>
          <w:highlight w:val="none"/>
        </w:rPr>
        <w:t>详见本须知前附表。</w:t>
      </w:r>
      <w:bookmarkEnd w:id="12"/>
    </w:p>
    <w:p>
      <w:pPr>
        <w:pStyle w:val="3"/>
        <w:spacing w:before="0" w:after="0" w:line="240" w:lineRule="auto"/>
        <w:rPr>
          <w:color w:val="auto"/>
          <w:highlight w:val="none"/>
        </w:rPr>
      </w:pPr>
      <w:bookmarkStart w:id="13" w:name="_Toc18238"/>
      <w:bookmarkStart w:id="14" w:name="_Toc22840"/>
      <w:bookmarkStart w:id="15" w:name="_Toc32342"/>
      <w:bookmarkStart w:id="16" w:name="_Toc3199"/>
      <w:bookmarkStart w:id="17" w:name="_Toc1719470"/>
      <w:r>
        <w:rPr>
          <w:rFonts w:hint="eastAsia"/>
          <w:color w:val="auto"/>
          <w:highlight w:val="none"/>
        </w:rPr>
        <w:t>第三章  项目需求</w:t>
      </w:r>
      <w:bookmarkEnd w:id="13"/>
      <w:bookmarkEnd w:id="14"/>
      <w:bookmarkEnd w:id="15"/>
      <w:bookmarkEnd w:id="16"/>
      <w:bookmarkEnd w:id="17"/>
    </w:p>
    <w:p>
      <w:pPr>
        <w:spacing w:line="360" w:lineRule="auto"/>
        <w:ind w:left="-10" w:leftChars="-5" w:right="2" w:rightChars="1" w:firstLine="480" w:firstLineChars="200"/>
        <w:rPr>
          <w:color w:val="auto"/>
          <w:sz w:val="24"/>
          <w:szCs w:val="24"/>
          <w:highlight w:val="none"/>
        </w:rPr>
      </w:pPr>
      <w:bookmarkStart w:id="18" w:name="_Toc29668"/>
      <w:bookmarkStart w:id="19" w:name="_Toc19037"/>
      <w:bookmarkStart w:id="20" w:name="_Toc6983"/>
      <w:bookmarkStart w:id="21" w:name="_Toc1719471"/>
      <w:r>
        <w:rPr>
          <w:rFonts w:hint="eastAsia"/>
          <w:color w:val="auto"/>
          <w:sz w:val="24"/>
          <w:szCs w:val="24"/>
          <w:highlight w:val="none"/>
          <w:lang w:eastAsia="zh-CN"/>
        </w:rPr>
        <w:t>一、</w:t>
      </w:r>
      <w:r>
        <w:rPr>
          <w:rFonts w:hint="eastAsia"/>
          <w:color w:val="auto"/>
          <w:sz w:val="24"/>
          <w:szCs w:val="24"/>
          <w:highlight w:val="none"/>
        </w:rPr>
        <w:t>说明：</w:t>
      </w:r>
    </w:p>
    <w:p>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本一览表中参考品牌型号及技术参数性能（配置）不明确或有误的，或</w:t>
      </w:r>
      <w:r>
        <w:rPr>
          <w:rFonts w:hint="eastAsia"/>
          <w:color w:val="auto"/>
          <w:sz w:val="24"/>
          <w:szCs w:val="24"/>
          <w:highlight w:val="none"/>
        </w:rPr>
        <w:t>谈判供应商</w:t>
      </w:r>
      <w:r>
        <w:rPr>
          <w:color w:val="auto"/>
          <w:sz w:val="24"/>
          <w:szCs w:val="24"/>
          <w:highlight w:val="none"/>
        </w:rPr>
        <w:t>选用其他品牌型号替代的，请以详细、正确的品牌型号、技术参数性能（配置）同时填写</w:t>
      </w:r>
      <w:r>
        <w:rPr>
          <w:rFonts w:hint="eastAsia"/>
          <w:color w:val="auto"/>
          <w:sz w:val="24"/>
          <w:szCs w:val="24"/>
          <w:highlight w:val="none"/>
        </w:rPr>
        <w:t>谈判</w:t>
      </w:r>
      <w:r>
        <w:rPr>
          <w:color w:val="auto"/>
          <w:sz w:val="24"/>
          <w:szCs w:val="24"/>
          <w:highlight w:val="none"/>
        </w:rPr>
        <w:t>报价表和技术规格</w:t>
      </w:r>
      <w:r>
        <w:rPr>
          <w:rFonts w:hint="eastAsia"/>
          <w:color w:val="auto"/>
          <w:sz w:val="24"/>
          <w:szCs w:val="24"/>
          <w:highlight w:val="none"/>
        </w:rPr>
        <w:t>偏离</w:t>
      </w:r>
      <w:r>
        <w:rPr>
          <w:color w:val="auto"/>
          <w:sz w:val="24"/>
          <w:szCs w:val="24"/>
          <w:highlight w:val="none"/>
        </w:rPr>
        <w:t>表。</w:t>
      </w:r>
    </w:p>
    <w:p>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2、小型、微型企业提供中、大型企业制造货物的，视同为中、大型企业。</w:t>
      </w:r>
    </w:p>
    <w:p>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3、《节能产品政府采购品目清单》见《关于印发节能产品政府采购品目清单的通知》（财库〔2019〕19号）附件。采购人采购的产品属于清单中品目的，在技术、服务等指标满足采购需求的前提下，品目清单中非标注“</w:t>
      </w:r>
      <w:r>
        <w:rPr>
          <w:rFonts w:hint="eastAsia" w:asciiTheme="minorEastAsia" w:hAnsiTheme="minorEastAsia" w:eastAsiaTheme="minorEastAsia" w:cstheme="minorBidi"/>
          <w:b/>
          <w:color w:val="auto"/>
          <w:sz w:val="24"/>
          <w:szCs w:val="24"/>
          <w:highlight w:val="none"/>
        </w:rPr>
        <w:t>★</w:t>
      </w:r>
      <w:r>
        <w:rPr>
          <w:rFonts w:hint="eastAsia"/>
          <w:color w:val="auto"/>
          <w:sz w:val="24"/>
          <w:szCs w:val="24"/>
          <w:highlight w:val="none"/>
        </w:rPr>
        <w:t>”的项目为优先采购的节能产品，品目清单中标注“</w:t>
      </w:r>
      <w:r>
        <w:rPr>
          <w:rFonts w:hint="eastAsia" w:asciiTheme="minorEastAsia" w:hAnsiTheme="minorEastAsia" w:eastAsiaTheme="minorEastAsia" w:cstheme="minorBidi"/>
          <w:b/>
          <w:color w:val="auto"/>
          <w:sz w:val="24"/>
          <w:szCs w:val="24"/>
          <w:highlight w:val="none"/>
        </w:rPr>
        <w:t>★</w:t>
      </w:r>
      <w:r>
        <w:rPr>
          <w:rFonts w:hint="eastAsia"/>
          <w:color w:val="auto"/>
          <w:sz w:val="24"/>
          <w:szCs w:val="24"/>
          <w:highlight w:val="none"/>
        </w:rPr>
        <w:t>”的项目为政府强制采购节能产品。</w:t>
      </w:r>
    </w:p>
    <w:p>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环境标志产品政府采购品目清单》见《关于印发环境标志产品政府采购品目清单的通知》（财库〔2019〕18号）附件。采购人采购的产品属于清单中品目的，在性能、技术、服务等指标同等条件下，优先采购环境标志产品。</w:t>
      </w:r>
    </w:p>
    <w:p>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4、特别说明：</w:t>
      </w:r>
    </w:p>
    <w:p>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.1</w:t>
      </w:r>
      <w:r>
        <w:rPr>
          <w:rFonts w:hint="eastAsia"/>
          <w:b/>
          <w:color w:val="auto"/>
          <w:sz w:val="24"/>
          <w:szCs w:val="24"/>
          <w:highlight w:val="none"/>
        </w:rPr>
        <w:t>采用最低评标价法的采购项目，提供相同品牌产品的不同供应商参加同一合同项下谈判的，以其中通过资格审查、符合性审查且报价最低的参加评审；报价相同的，由采购人或者采购人委托谈判小组按照谈判采购文件规定的方式确定一个参加评审的供应商，谈判采购文件未规定的采取随机抽取方式确定，其他竞标无效</w:t>
      </w:r>
      <w:r>
        <w:rPr>
          <w:b/>
          <w:color w:val="auto"/>
          <w:sz w:val="24"/>
          <w:szCs w:val="24"/>
          <w:highlight w:val="none"/>
        </w:rPr>
        <w:t>;</w:t>
      </w:r>
    </w:p>
    <w:p>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.2</w:t>
      </w:r>
      <w:r>
        <w:rPr>
          <w:rFonts w:hint="eastAsia"/>
          <w:b/>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.3</w:t>
      </w:r>
      <w:r>
        <w:rPr>
          <w:rFonts w:hint="eastAsia"/>
          <w:b/>
          <w:color w:val="auto"/>
          <w:sz w:val="24"/>
          <w:szCs w:val="24"/>
          <w:highlight w:val="none"/>
        </w:rPr>
        <w:t>供应商谈判所使用的资格、信誉、荣誉、业绩与企业认证必须为本法人所拥有。供应商竞标所使用的采购项目实施人员必须为本法人员工（或必须为本法人或控股公司正式员工）。</w:t>
      </w:r>
    </w:p>
    <w:p>
      <w:pPr>
        <w:numPr>
          <w:ilvl w:val="0"/>
          <w:numId w:val="5"/>
        </w:numPr>
        <w:spacing w:line="276" w:lineRule="auto"/>
        <w:ind w:left="-10" w:leftChars="-5" w:right="2" w:rightChars="1" w:firstLine="482" w:firstLineChars="200"/>
        <w:rPr>
          <w:rFonts w:hint="eastAsia"/>
          <w:b/>
          <w:color w:val="auto"/>
          <w:sz w:val="24"/>
          <w:szCs w:val="24"/>
          <w:highlight w:val="none"/>
        </w:rPr>
      </w:pPr>
      <w:r>
        <w:rPr>
          <w:rFonts w:hint="eastAsia"/>
          <w:b/>
          <w:color w:val="auto"/>
          <w:sz w:val="24"/>
          <w:szCs w:val="24"/>
          <w:highlight w:val="none"/>
        </w:rPr>
        <w:t>技术参数及要求</w:t>
      </w:r>
      <w:r>
        <w:rPr>
          <w:rFonts w:hint="eastAsia"/>
          <w:b/>
          <w:color w:val="auto"/>
          <w:sz w:val="24"/>
          <w:szCs w:val="24"/>
          <w:highlight w:val="none"/>
          <w:lang w:eastAsia="zh-CN"/>
        </w:rPr>
        <w:t>标注“▲”的项</w:t>
      </w:r>
      <w:r>
        <w:rPr>
          <w:rFonts w:hint="eastAsia"/>
          <w:b/>
          <w:color w:val="auto"/>
          <w:sz w:val="24"/>
          <w:szCs w:val="24"/>
          <w:highlight w:val="none"/>
        </w:rPr>
        <w:t>供应商必须全部满足或优于，</w:t>
      </w:r>
      <w:r>
        <w:rPr>
          <w:rFonts w:hint="eastAsia"/>
          <w:b/>
          <w:color w:val="auto"/>
          <w:sz w:val="24"/>
          <w:szCs w:val="24"/>
          <w:highlight w:val="none"/>
          <w:lang w:val="en-US" w:eastAsia="zh-CN"/>
        </w:rPr>
        <w:t>非</w:t>
      </w:r>
      <w:r>
        <w:rPr>
          <w:rFonts w:hint="eastAsia"/>
          <w:b/>
          <w:color w:val="auto"/>
          <w:sz w:val="24"/>
          <w:szCs w:val="24"/>
          <w:highlight w:val="none"/>
          <w:lang w:eastAsia="zh-CN"/>
        </w:rPr>
        <w:t>标注“▲”项，允许</w:t>
      </w:r>
      <w:r>
        <w:rPr>
          <w:rFonts w:hint="eastAsia"/>
          <w:b/>
          <w:color w:val="auto"/>
          <w:sz w:val="24"/>
          <w:szCs w:val="24"/>
          <w:highlight w:val="none"/>
          <w:lang w:val="en-US" w:eastAsia="zh-CN"/>
        </w:rPr>
        <w:t>3项负偏离，</w:t>
      </w:r>
      <w:r>
        <w:rPr>
          <w:rFonts w:hint="eastAsia"/>
          <w:b/>
          <w:color w:val="auto"/>
          <w:sz w:val="24"/>
          <w:szCs w:val="24"/>
          <w:highlight w:val="none"/>
        </w:rPr>
        <w:t>否则竞标无效。</w:t>
      </w:r>
    </w:p>
    <w:p>
      <w:pPr>
        <w:numPr>
          <w:ilvl w:val="0"/>
          <w:numId w:val="5"/>
        </w:numPr>
        <w:spacing w:line="276" w:lineRule="auto"/>
        <w:ind w:left="-10" w:leftChars="-5" w:right="2" w:rightChars="1" w:firstLine="482" w:firstLineChars="200"/>
        <w:rPr>
          <w:rFonts w:hint="eastAsia"/>
          <w:b/>
          <w:color w:val="auto"/>
          <w:sz w:val="24"/>
          <w:szCs w:val="24"/>
          <w:highlight w:val="none"/>
        </w:rPr>
      </w:pPr>
      <w:r>
        <w:rPr>
          <w:rFonts w:hint="eastAsia"/>
          <w:b/>
          <w:color w:val="auto"/>
          <w:sz w:val="24"/>
          <w:szCs w:val="24"/>
          <w:highlight w:val="none"/>
        </w:rPr>
        <w:t>项目所属行业：</w:t>
      </w:r>
      <w:r>
        <w:rPr>
          <w:rFonts w:hint="eastAsia"/>
          <w:b/>
          <w:color w:val="auto"/>
          <w:sz w:val="24"/>
          <w:szCs w:val="24"/>
          <w:highlight w:val="none"/>
          <w:lang w:eastAsia="zh-CN"/>
        </w:rPr>
        <w:t>工业</w:t>
      </w:r>
    </w:p>
    <w:p>
      <w:pPr>
        <w:rPr>
          <w:rFonts w:ascii="宋体" w:hAnsi="宋体" w:cs="宋体"/>
          <w:b/>
          <w:bCs/>
          <w:color w:val="auto"/>
          <w:sz w:val="24"/>
          <w:szCs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（一）技术要求</w:t>
      </w:r>
    </w:p>
    <w:tbl>
      <w:tblPr>
        <w:tblStyle w:val="46"/>
        <w:tblpPr w:leftFromText="180" w:rightFromText="180" w:vertAnchor="text" w:horzAnchor="page" w:tblpX="1435" w:tblpY="386"/>
        <w:tblOverlap w:val="never"/>
        <w:tblW w:w="89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546"/>
        <w:gridCol w:w="457"/>
        <w:gridCol w:w="7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57" w:type="dxa"/>
            <w:vAlign w:val="center"/>
          </w:tcPr>
          <w:p>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序号</w:t>
            </w:r>
          </w:p>
        </w:tc>
        <w:tc>
          <w:tcPr>
            <w:tcW w:w="546" w:type="dxa"/>
            <w:vAlign w:val="center"/>
          </w:tcPr>
          <w:p>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货物名称</w:t>
            </w:r>
          </w:p>
        </w:tc>
        <w:tc>
          <w:tcPr>
            <w:tcW w:w="457" w:type="dxa"/>
            <w:vAlign w:val="center"/>
          </w:tcPr>
          <w:p>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数量</w:t>
            </w:r>
          </w:p>
        </w:tc>
        <w:tc>
          <w:tcPr>
            <w:tcW w:w="7484" w:type="dxa"/>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57" w:type="dxa"/>
            <w:vAlign w:val="center"/>
          </w:tcPr>
          <w:p>
            <w:pPr>
              <w:jc w:val="center"/>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w:t>
            </w:r>
          </w:p>
        </w:tc>
        <w:tc>
          <w:tcPr>
            <w:tcW w:w="546" w:type="dxa"/>
            <w:vAlign w:val="center"/>
          </w:tcPr>
          <w:p>
            <w:pPr>
              <w:jc w:val="center"/>
              <w:rPr>
                <w:rFonts w:hint="eastAsia" w:asciiTheme="minorEastAsia" w:hAnsiTheme="minorEastAsia" w:eastAsiaTheme="minorEastAsia" w:cstheme="minorEastAsia"/>
                <w:color w:val="auto"/>
                <w:spacing w:val="0"/>
                <w:sz w:val="24"/>
                <w:szCs w:val="24"/>
                <w:highlight w:val="none"/>
                <w:lang w:eastAsia="zh-CN"/>
              </w:rPr>
            </w:pPr>
            <w:r>
              <w:rPr>
                <w:rFonts w:hint="eastAsia" w:ascii="宋体" w:hAnsi="宋体" w:eastAsia="宋体" w:cs="宋体"/>
                <w:color w:val="auto"/>
                <w:sz w:val="24"/>
                <w:szCs w:val="24"/>
                <w:highlight w:val="none"/>
              </w:rPr>
              <w:t>彩色多普勒超声诊断仪</w:t>
            </w:r>
          </w:p>
        </w:tc>
        <w:tc>
          <w:tcPr>
            <w:tcW w:w="457" w:type="dxa"/>
            <w:vAlign w:val="center"/>
          </w:tcPr>
          <w:p>
            <w:pPr>
              <w:jc w:val="center"/>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1台</w:t>
            </w:r>
          </w:p>
        </w:tc>
        <w:tc>
          <w:tcPr>
            <w:tcW w:w="7484" w:type="dxa"/>
            <w:tcBorders>
              <w:left w:val="single" w:color="auto" w:sz="4" w:space="0"/>
              <w:right w:val="single" w:color="auto" w:sz="4" w:space="0"/>
            </w:tcBorders>
            <w:vAlign w:val="center"/>
          </w:tcPr>
          <w:p>
            <w:pPr>
              <w:pStyle w:val="3"/>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用途说明</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主要用于腹部、产科、妇科、心脏、小器官、泌尿科、血管、儿科、神经、急重症等方面的临床诊断和科研教学工作，具备持续升级能力，能满足开展新的临床应用需求。</w:t>
            </w:r>
          </w:p>
          <w:p>
            <w:pPr>
              <w:pStyle w:val="3"/>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系统技术规格及概述</w:t>
            </w:r>
            <w:r>
              <w:rPr>
                <w:rFonts w:hint="eastAsia" w:ascii="宋体" w:hAnsi="宋体" w:eastAsia="宋体" w:cs="宋体"/>
                <w:color w:val="auto"/>
                <w:sz w:val="24"/>
                <w:szCs w:val="24"/>
                <w:highlight w:val="none"/>
              </w:rPr>
              <w:t>：</w:t>
            </w:r>
          </w:p>
          <w:p>
            <w:pPr>
              <w:pStyle w:val="4"/>
              <w:numPr>
                <w:ilvl w:val="1"/>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主机成像系统</w:t>
            </w:r>
          </w:p>
          <w:p>
            <w:pPr>
              <w:pStyle w:val="76"/>
              <w:numPr>
                <w:ilvl w:val="0"/>
                <w:numId w:val="6"/>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6"/>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6"/>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6"/>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6"/>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高分辨率液晶显示器≥2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英寸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分辨率1920×1080，屏幕亮度和对比度数字可调，显示器亮度可根据环境光自动调节，可上下左右任意旋转，可前后折叠。  </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▲操作面板具备液晶触摸屏≥1</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英寸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触摸屏可独立调节角度≥40度。</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触摸屏可通过手指滑动触摸屏进行翻页，可将显示器上的超声图像投影到触摸屏上，通过手指进行放大，描迹测量等操作。可自定义手势操作功能。</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3.1.4</w:t>
            </w:r>
            <w:r>
              <w:rPr>
                <w:rFonts w:hint="eastAsia" w:ascii="宋体" w:hAnsi="宋体" w:eastAsia="宋体" w:cs="宋体"/>
                <w:color w:val="auto"/>
                <w:sz w:val="24"/>
                <w:szCs w:val="24"/>
                <w:highlight w:val="none"/>
              </w:rPr>
              <w:t>控制面板全空间悬浮式调节，可同时旋转和升降，前后拉升。旋转角度 ≥180度，前后拉升≥35cm，上下移动≥30cm。</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3.1.5</w:t>
            </w:r>
            <w:r>
              <w:rPr>
                <w:rFonts w:hint="eastAsia" w:ascii="宋体" w:hAnsi="宋体" w:eastAsia="宋体" w:cs="宋体"/>
                <w:color w:val="auto"/>
                <w:sz w:val="24"/>
                <w:szCs w:val="24"/>
                <w:highlight w:val="none"/>
              </w:rPr>
              <w:t>控制面板上可自定义按键≥10个，按键上可直接显示自定义的功能名称。</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3.1.6</w:t>
            </w:r>
            <w:r>
              <w:rPr>
                <w:rFonts w:hint="eastAsia" w:ascii="宋体" w:hAnsi="宋体" w:eastAsia="宋体" w:cs="宋体"/>
                <w:color w:val="auto"/>
                <w:sz w:val="24"/>
                <w:szCs w:val="24"/>
                <w:highlight w:val="none"/>
              </w:rPr>
              <w:t>内有一体化超声工作站。</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3.1.7</w:t>
            </w:r>
            <w:r>
              <w:rPr>
                <w:rFonts w:hint="eastAsia" w:ascii="宋体" w:hAnsi="宋体" w:eastAsia="宋体" w:cs="宋体"/>
                <w:color w:val="auto"/>
                <w:sz w:val="24"/>
                <w:szCs w:val="24"/>
                <w:highlight w:val="none"/>
              </w:rPr>
              <w:t>连接其他品牌超声工作站，通过控制面板上的按键可直接存储静态/动态超声图像到工作站。</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3.1.8</w:t>
            </w:r>
            <w:r>
              <w:rPr>
                <w:rFonts w:hint="eastAsia" w:ascii="宋体" w:hAnsi="宋体" w:eastAsia="宋体" w:cs="宋体"/>
                <w:color w:val="auto"/>
                <w:sz w:val="24"/>
                <w:szCs w:val="24"/>
                <w:highlight w:val="none"/>
              </w:rPr>
              <w:t>内置数字录像机可用于教学，存储时间≥60分钟。</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3.1.9</w:t>
            </w:r>
            <w:r>
              <w:rPr>
                <w:rFonts w:hint="eastAsia" w:ascii="宋体" w:hAnsi="宋体" w:eastAsia="宋体" w:cs="宋体"/>
                <w:color w:val="auto"/>
                <w:sz w:val="24"/>
                <w:szCs w:val="24"/>
                <w:highlight w:val="none"/>
              </w:rPr>
              <w:t>主机操作面板一体化耦合剂加热装置，耦合剂温度三挡可调；</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3.1.10</w:t>
            </w:r>
            <w:r>
              <w:rPr>
                <w:rFonts w:hint="eastAsia" w:ascii="宋体" w:hAnsi="宋体" w:eastAsia="宋体" w:cs="宋体"/>
                <w:color w:val="auto"/>
                <w:sz w:val="24"/>
                <w:szCs w:val="24"/>
                <w:highlight w:val="none"/>
              </w:rPr>
              <w:t>▲探头接口≥5个，全激活、相互通用</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3.1.11</w:t>
            </w:r>
            <w:r>
              <w:rPr>
                <w:rFonts w:hint="eastAsia" w:ascii="宋体" w:hAnsi="宋体" w:eastAsia="宋体" w:cs="宋体"/>
                <w:color w:val="auto"/>
                <w:sz w:val="24"/>
                <w:szCs w:val="24"/>
                <w:highlight w:val="none"/>
              </w:rPr>
              <w:t>数字化全程动态聚焦，数字化可变孔径及动态变迹，A/D≥12 bit</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3.1.12</w:t>
            </w:r>
            <w:r>
              <w:rPr>
                <w:rFonts w:hint="eastAsia" w:ascii="宋体" w:hAnsi="宋体" w:eastAsia="宋体" w:cs="宋体"/>
                <w:color w:val="auto"/>
                <w:sz w:val="24"/>
                <w:szCs w:val="24"/>
                <w:highlight w:val="none"/>
              </w:rPr>
              <w:t>多倍信号并行处理</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3.1.13</w:t>
            </w:r>
            <w:r>
              <w:rPr>
                <w:rFonts w:hint="eastAsia" w:ascii="宋体" w:hAnsi="宋体" w:eastAsia="宋体" w:cs="宋体"/>
                <w:color w:val="auto"/>
                <w:sz w:val="24"/>
                <w:szCs w:val="24"/>
                <w:highlight w:val="none"/>
              </w:rPr>
              <w:t>数字化二维灰阶成像及M型显像单元；</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3.1.14</w:t>
            </w:r>
            <w:r>
              <w:rPr>
                <w:rFonts w:hint="eastAsia" w:ascii="宋体" w:hAnsi="宋体" w:eastAsia="宋体" w:cs="宋体"/>
                <w:color w:val="auto"/>
                <w:sz w:val="24"/>
                <w:szCs w:val="24"/>
                <w:highlight w:val="none"/>
              </w:rPr>
              <w:t>彩色多普勒成像技术；</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3.1.15</w:t>
            </w:r>
            <w:r>
              <w:rPr>
                <w:rFonts w:hint="eastAsia" w:ascii="宋体" w:hAnsi="宋体" w:eastAsia="宋体" w:cs="宋体"/>
                <w:color w:val="auto"/>
                <w:sz w:val="24"/>
                <w:szCs w:val="24"/>
                <w:highlight w:val="none"/>
              </w:rPr>
              <w:t>彩色多普勒能量图技术；</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3.1.16</w:t>
            </w:r>
            <w:r>
              <w:rPr>
                <w:rFonts w:hint="eastAsia" w:ascii="宋体" w:hAnsi="宋体" w:eastAsia="宋体" w:cs="宋体"/>
                <w:color w:val="auto"/>
                <w:sz w:val="24"/>
                <w:szCs w:val="24"/>
                <w:highlight w:val="none"/>
              </w:rPr>
              <w:t>方向性能量图技术</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3.1.17</w:t>
            </w:r>
            <w:r>
              <w:rPr>
                <w:rFonts w:hint="eastAsia" w:ascii="宋体" w:hAnsi="宋体" w:eastAsia="宋体" w:cs="宋体"/>
                <w:color w:val="auto"/>
                <w:sz w:val="24"/>
                <w:szCs w:val="24"/>
                <w:highlight w:val="none"/>
              </w:rPr>
              <w:t>解剖M型技术,可360度任意旋转，可在实时和冻结的二维图像上获取解剖M图像。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3.1.18</w:t>
            </w:r>
            <w:r>
              <w:rPr>
                <w:rFonts w:hint="eastAsia" w:ascii="宋体" w:hAnsi="宋体" w:eastAsia="宋体" w:cs="宋体"/>
                <w:color w:val="auto"/>
                <w:sz w:val="24"/>
                <w:szCs w:val="24"/>
                <w:highlight w:val="none"/>
              </w:rPr>
              <w:t>数字化频谱多普勒显示和分析单元 (包括 PW 、CW和 HPRF)</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3.1.19</w:t>
            </w:r>
            <w:r>
              <w:rPr>
                <w:rFonts w:hint="eastAsia" w:ascii="宋体" w:hAnsi="宋体" w:eastAsia="宋体" w:cs="宋体"/>
                <w:color w:val="auto"/>
                <w:sz w:val="24"/>
                <w:szCs w:val="24"/>
                <w:highlight w:val="none"/>
              </w:rPr>
              <w:t>斑点噪声抑制成像，在二维图像，造影成像模式及三维成像下可支持；</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3.1.20</w:t>
            </w:r>
            <w:r>
              <w:rPr>
                <w:rFonts w:hint="eastAsia" w:ascii="宋体" w:hAnsi="宋体" w:eastAsia="宋体" w:cs="宋体"/>
                <w:color w:val="auto"/>
                <w:sz w:val="24"/>
                <w:szCs w:val="24"/>
                <w:highlight w:val="none"/>
              </w:rPr>
              <w:t>一键快速优化多种参数，自动优化图像。可支持对二维灰阶、彩色多普勒、频谱多普勒、及造影图像的优化。频谱多普勒下可自动优化：偏转角度、取样容积大小、角度。</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3.1.21</w:t>
            </w:r>
            <w:r>
              <w:rPr>
                <w:rFonts w:hint="eastAsia" w:ascii="宋体" w:hAnsi="宋体" w:eastAsia="宋体" w:cs="宋体"/>
                <w:color w:val="auto"/>
                <w:sz w:val="24"/>
                <w:szCs w:val="24"/>
                <w:highlight w:val="none"/>
              </w:rPr>
              <w:t>自动血流跟踪技术，一键实时自动优化Color/Power及PW频谱图像、Color/Power框的位置和角度、PW取样门的位置、角度和大小等。</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3.1.22</w:t>
            </w:r>
            <w:r>
              <w:rPr>
                <w:rFonts w:hint="eastAsia" w:ascii="宋体" w:hAnsi="宋体" w:eastAsia="宋体" w:cs="宋体"/>
                <w:color w:val="auto"/>
                <w:sz w:val="24"/>
                <w:szCs w:val="24"/>
                <w:highlight w:val="none"/>
              </w:rPr>
              <w:t>穿刺针增强技术，凸阵和线阵探头均可支持，具有双屏实时对比显示，增强前后效果，并支持自适应校正角度</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3.1.23</w:t>
            </w:r>
            <w:r>
              <w:rPr>
                <w:rFonts w:hint="eastAsia" w:ascii="宋体" w:hAnsi="宋体" w:eastAsia="宋体" w:cs="宋体"/>
                <w:color w:val="auto"/>
                <w:sz w:val="24"/>
                <w:szCs w:val="24"/>
                <w:highlight w:val="none"/>
              </w:rPr>
              <w:t>速度标识功能，标识不同血流速度边界，观察血流分布及速度梯度</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3.1.24</w:t>
            </w:r>
            <w:r>
              <w:rPr>
                <w:rFonts w:hint="eastAsia" w:ascii="宋体" w:hAnsi="宋体" w:eastAsia="宋体" w:cs="宋体"/>
                <w:color w:val="auto"/>
                <w:sz w:val="24"/>
                <w:szCs w:val="24"/>
                <w:highlight w:val="none"/>
              </w:rPr>
              <w:t>图像放大，支持前端放大和后端放大，放大倍数≥10倍</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3.1.25</w:t>
            </w:r>
            <w:r>
              <w:rPr>
                <w:rFonts w:hint="eastAsia" w:ascii="宋体" w:hAnsi="宋体" w:eastAsia="宋体" w:cs="宋体"/>
                <w:color w:val="auto"/>
                <w:sz w:val="24"/>
                <w:szCs w:val="24"/>
                <w:highlight w:val="none"/>
              </w:rPr>
              <w:t>全屏放大，支持≥2种放大模式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3.1.26</w:t>
            </w:r>
            <w:r>
              <w:rPr>
                <w:rFonts w:hint="eastAsia" w:ascii="宋体" w:hAnsi="宋体" w:eastAsia="宋体" w:cs="宋体"/>
                <w:color w:val="auto"/>
                <w:sz w:val="24"/>
                <w:szCs w:val="24"/>
                <w:highlight w:val="none"/>
              </w:rPr>
              <w:t>线阵探头双B图像拼接</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3.1.27</w:t>
            </w:r>
            <w:r>
              <w:rPr>
                <w:rFonts w:hint="eastAsia" w:ascii="宋体" w:hAnsi="宋体" w:eastAsia="宋体" w:cs="宋体"/>
                <w:color w:val="auto"/>
                <w:sz w:val="24"/>
                <w:szCs w:val="24"/>
                <w:highlight w:val="none"/>
              </w:rPr>
              <w:t>声功率可调，实时显示MI/TI（TIB，TIC，TIS）</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3.1.28</w:t>
            </w:r>
            <w:r>
              <w:rPr>
                <w:rFonts w:hint="eastAsia" w:ascii="宋体" w:hAnsi="宋体" w:eastAsia="宋体" w:cs="宋体"/>
                <w:color w:val="auto"/>
                <w:sz w:val="24"/>
                <w:szCs w:val="24"/>
                <w:highlight w:val="none"/>
              </w:rPr>
              <w:t>自动工作流，检查过程中可按照协议自动注释，自动标记体位图，自动切换图像模式等。</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3.1.29</w:t>
            </w:r>
            <w:r>
              <w:rPr>
                <w:rFonts w:hint="eastAsia" w:ascii="宋体" w:hAnsi="宋体" w:eastAsia="宋体" w:cs="宋体"/>
                <w:color w:val="auto"/>
                <w:sz w:val="24"/>
                <w:szCs w:val="24"/>
                <w:highlight w:val="none"/>
              </w:rPr>
              <w:t>多语言操作界面，英语，中文（包括键盘输入、注释、操作面板等）</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3.1.30</w:t>
            </w:r>
            <w:r>
              <w:rPr>
                <w:rFonts w:hint="eastAsia" w:ascii="宋体" w:hAnsi="宋体" w:eastAsia="宋体" w:cs="宋体"/>
                <w:color w:val="auto"/>
                <w:sz w:val="24"/>
                <w:szCs w:val="24"/>
                <w:highlight w:val="none"/>
              </w:rPr>
              <w:t>支持语音注释，可将语音注释信息保存到电影文件中，支持在超声设备或是在PC端回放语音注释。</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3.1.31</w:t>
            </w:r>
            <w:r>
              <w:rPr>
                <w:rFonts w:hint="eastAsia" w:ascii="宋体" w:hAnsi="宋体" w:eastAsia="宋体" w:cs="宋体"/>
                <w:color w:val="auto"/>
                <w:sz w:val="24"/>
                <w:szCs w:val="24"/>
                <w:highlight w:val="none"/>
              </w:rPr>
              <w:t>支持超声远程会诊系统。</w:t>
            </w:r>
          </w:p>
          <w:p>
            <w:pPr>
              <w:pStyle w:val="76"/>
              <w:keepNext/>
              <w:keepLines/>
              <w:numPr>
                <w:ilvl w:val="1"/>
                <w:numId w:val="7"/>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4"/>
              <w:numPr>
                <w:ilvl w:val="1"/>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测量/分析和报告</w:t>
            </w:r>
          </w:p>
          <w:p>
            <w:pPr>
              <w:pStyle w:val="76"/>
              <w:keepNext/>
              <w:keepLines/>
              <w:numPr>
                <w:ilvl w:val="0"/>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keepNext/>
              <w:keepLines/>
              <w:numPr>
                <w:ilvl w:val="0"/>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keepNext/>
              <w:keepLines/>
              <w:numPr>
                <w:ilvl w:val="0"/>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keepNext/>
              <w:keepLines/>
              <w:numPr>
                <w:ilvl w:val="0"/>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keepNext/>
              <w:keepLines/>
              <w:numPr>
                <w:ilvl w:val="1"/>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keepNext/>
              <w:keepLines/>
              <w:numPr>
                <w:ilvl w:val="1"/>
                <w:numId w:val="8"/>
              </w:numPr>
              <w:spacing w:line="360" w:lineRule="exact"/>
              <w:ind w:firstLineChars="0"/>
              <w:jc w:val="left"/>
              <w:outlineLvl w:val="1"/>
              <w:rPr>
                <w:rFonts w:hint="eastAsia" w:ascii="宋体" w:hAnsi="宋体" w:eastAsia="宋体" w:cs="宋体"/>
                <w:b/>
                <w:bCs/>
                <w:vanish/>
                <w:color w:val="auto"/>
                <w:sz w:val="24"/>
                <w:szCs w:val="24"/>
                <w:highlight w:val="none"/>
              </w:rPr>
            </w:pPr>
          </w:p>
          <w:p>
            <w:pPr>
              <w:pStyle w:val="76"/>
              <w:numPr>
                <w:ilvl w:val="1"/>
                <w:numId w:val="9"/>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一般测量：距离、周长、面积、体积、角度、自动频谱测量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全科测量包，自动生成报告：腹部、妇科、产科、心脏、泌尿、小器官、儿科、血管、神经等</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3.2.3</w:t>
            </w:r>
            <w:r>
              <w:rPr>
                <w:rFonts w:hint="eastAsia" w:ascii="宋体" w:hAnsi="宋体" w:eastAsia="宋体" w:cs="宋体"/>
                <w:color w:val="auto"/>
                <w:sz w:val="24"/>
                <w:szCs w:val="24"/>
                <w:highlight w:val="none"/>
              </w:rPr>
              <w:t>自动产科测量，要求自动测量≥4项胎儿发育评估指标</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3.2.4</w:t>
            </w:r>
            <w:r>
              <w:rPr>
                <w:rFonts w:hint="eastAsia" w:ascii="宋体" w:hAnsi="宋体" w:eastAsia="宋体" w:cs="宋体"/>
                <w:color w:val="auto"/>
                <w:sz w:val="24"/>
                <w:szCs w:val="24"/>
                <w:highlight w:val="none"/>
              </w:rPr>
              <w:t>自动NT测量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3.2.5</w:t>
            </w:r>
            <w:r>
              <w:rPr>
                <w:rFonts w:hint="eastAsia" w:ascii="宋体" w:hAnsi="宋体" w:eastAsia="宋体" w:cs="宋体"/>
                <w:color w:val="auto"/>
                <w:sz w:val="24"/>
                <w:szCs w:val="24"/>
                <w:highlight w:val="none"/>
              </w:rPr>
              <w:t>血管内中膜自动测量，可同时自动描记血管前、后壁的内中膜，自动生成测量数据，测量结果参数≥7项。</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3.2.6</w:t>
            </w:r>
            <w:r>
              <w:rPr>
                <w:rFonts w:hint="eastAsia" w:ascii="宋体" w:hAnsi="宋体" w:eastAsia="宋体" w:cs="宋体"/>
                <w:color w:val="auto"/>
                <w:sz w:val="24"/>
                <w:szCs w:val="24"/>
                <w:highlight w:val="none"/>
              </w:rPr>
              <w:t>支持血管内中膜自动实时测量,自动获取6组IMT内膜厚度值,并实时更新。</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3.2.7</w:t>
            </w:r>
            <w:r>
              <w:rPr>
                <w:rFonts w:hint="eastAsia" w:ascii="宋体" w:hAnsi="宋体" w:eastAsia="宋体" w:cs="宋体"/>
                <w:color w:val="auto"/>
                <w:sz w:val="24"/>
                <w:szCs w:val="24"/>
                <w:highlight w:val="none"/>
              </w:rPr>
              <w:t>支持血管体位图手动编辑功能，通过手动编辑体位图，直观显示病变的位置。</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3.2.8 </w:t>
            </w:r>
            <w:r>
              <w:rPr>
                <w:rFonts w:hint="eastAsia" w:ascii="宋体" w:hAnsi="宋体" w:eastAsia="宋体" w:cs="宋体"/>
                <w:color w:val="auto"/>
                <w:sz w:val="24"/>
                <w:szCs w:val="24"/>
                <w:highlight w:val="none"/>
              </w:rPr>
              <w:t>IVF卵泡专业分析软件包，具备专业卵泡评估报告，多项IVF评估指标及发育趋线分析</w:t>
            </w:r>
            <w:r>
              <w:rPr>
                <w:rFonts w:hint="eastAsia" w:ascii="宋体" w:hAnsi="宋体" w:cs="宋体"/>
                <w:color w:val="auto"/>
                <w:sz w:val="24"/>
                <w:szCs w:val="24"/>
                <w:highlight w:val="none"/>
                <w:lang w:eastAsia="zh-CN"/>
              </w:rPr>
              <w:t>。</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3.2.9</w:t>
            </w:r>
            <w:r>
              <w:rPr>
                <w:rFonts w:hint="eastAsia" w:ascii="宋体" w:hAnsi="宋体" w:eastAsia="宋体" w:cs="宋体"/>
                <w:color w:val="auto"/>
                <w:sz w:val="24"/>
                <w:szCs w:val="24"/>
                <w:highlight w:val="none"/>
              </w:rPr>
              <w:t>智能盆底解决方案，通过选取特征点，即可快速建立参考线，并自动获取盆底超声检查所需的测量参数。可对肛提肌裂孔进行全自动描迹和自动测量，自动识别“开-闭-闭”切面。</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3.2.10</w:t>
            </w:r>
            <w:r>
              <w:rPr>
                <w:rFonts w:hint="eastAsia" w:ascii="宋体" w:hAnsi="宋体" w:eastAsia="宋体" w:cs="宋体"/>
                <w:color w:val="auto"/>
                <w:sz w:val="24"/>
                <w:szCs w:val="24"/>
                <w:highlight w:val="none"/>
              </w:rPr>
              <w:t>心功能自动测量软件,自动识别四腔心、两腔心切面，自动识别心肌边界，并进行自动描迹，无需手动选择切面和手动描记。</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3.2.11</w:t>
            </w:r>
            <w:r>
              <w:rPr>
                <w:rFonts w:hint="eastAsia" w:ascii="宋体" w:hAnsi="宋体" w:eastAsia="宋体" w:cs="宋体"/>
                <w:color w:val="auto"/>
                <w:sz w:val="24"/>
                <w:szCs w:val="24"/>
                <w:highlight w:val="none"/>
              </w:rPr>
              <w:t>小儿髋关节自动测量功能，可自动计算α角,β角，自动进行临床分型。</w:t>
            </w:r>
          </w:p>
          <w:p>
            <w:pPr>
              <w:pStyle w:val="4"/>
              <w:numPr>
                <w:ilvl w:val="1"/>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 </w:t>
            </w:r>
            <w:r>
              <w:rPr>
                <w:rFonts w:hint="eastAsia" w:ascii="宋体" w:hAnsi="宋体" w:eastAsia="宋体" w:cs="宋体"/>
                <w:color w:val="auto"/>
                <w:sz w:val="24"/>
                <w:szCs w:val="24"/>
                <w:highlight w:val="none"/>
              </w:rPr>
              <w:t>电影回放和数据存储</w:t>
            </w:r>
          </w:p>
          <w:p>
            <w:pPr>
              <w:pStyle w:val="76"/>
              <w:numPr>
                <w:ilvl w:val="0"/>
                <w:numId w:val="10"/>
              </w:numPr>
              <w:tabs>
                <w:tab w:val="left" w:pos="42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1"/>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rPr>
              <w:t>支持二维、彩色、造影、4D等模式的手动和自动回放，电影回放支持编辑和剪接功能</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rPr>
              <w:t>电影回放：≥1000秒</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3.3.3</w:t>
            </w:r>
            <w:r>
              <w:rPr>
                <w:rFonts w:hint="eastAsia" w:ascii="宋体" w:hAnsi="宋体" w:eastAsia="宋体" w:cs="宋体"/>
                <w:color w:val="auto"/>
                <w:sz w:val="24"/>
                <w:szCs w:val="24"/>
                <w:highlight w:val="none"/>
              </w:rPr>
              <w:t>支持向后存储和向前存储，时间长度可预置，向后存储≥6分钟的电影，对剪接和编辑的电影图像可多次存储和多次编辑；图像和电影均可以实时扫描、冻结状态下直接存储，并且具有独立的存储功能键</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3.3.4</w:t>
            </w:r>
            <w:r>
              <w:rPr>
                <w:rFonts w:hint="eastAsia" w:ascii="宋体" w:hAnsi="宋体" w:eastAsia="宋体" w:cs="宋体"/>
                <w:color w:val="auto"/>
                <w:sz w:val="24"/>
                <w:szCs w:val="24"/>
                <w:highlight w:val="none"/>
              </w:rPr>
              <w:t>支持同屏对比多个不同模式的动态、静态图像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rPr>
              <w:t>原始数据处理，支持动、静态图像冻结后，最大可进行32项参数调节。能支持二维图像离线后进行M成像。</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▲硬盘：≥1T硬盘, SSD固态硬盘≥128G</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3.3.7</w:t>
            </w:r>
            <w:r>
              <w:rPr>
                <w:rFonts w:hint="eastAsia" w:ascii="宋体" w:hAnsi="宋体" w:eastAsia="宋体" w:cs="宋体"/>
                <w:color w:val="auto"/>
                <w:sz w:val="24"/>
                <w:szCs w:val="24"/>
                <w:highlight w:val="none"/>
              </w:rPr>
              <w:t>多种导出图像格式：动态图像、静态图像以PC格式直接导出。导出、备份图像数据资料同时，可进行实时检查，不影响检查操作</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rPr>
              <w:t>支持多设备图像对比功能， 可导入MRI,CT等影像学图片，与实时超声图片进行对比显示。</w:t>
            </w:r>
          </w:p>
          <w:p>
            <w:pPr>
              <w:pStyle w:val="4"/>
              <w:numPr>
                <w:ilvl w:val="1"/>
                <w:numId w:val="0"/>
              </w:numPr>
              <w:jc w:val="left"/>
              <w:rPr>
                <w:rFonts w:hint="eastAsia" w:ascii="宋体" w:hAnsi="宋体" w:eastAsia="宋体" w:cs="宋体"/>
                <w:vanish/>
                <w:color w:val="auto"/>
                <w:sz w:val="24"/>
                <w:szCs w:val="24"/>
                <w:highlight w:val="none"/>
              </w:rPr>
            </w:pPr>
            <w:r>
              <w:rPr>
                <w:rFonts w:hint="eastAsia" w:ascii="宋体" w:hAnsi="宋体" w:eastAsia="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rPr>
              <w:t>连通性要求</w:t>
            </w:r>
          </w:p>
          <w:p>
            <w:pPr>
              <w:jc w:val="left"/>
              <w:rPr>
                <w:rFonts w:hint="eastAsia" w:ascii="宋体" w:hAnsi="宋体" w:eastAsia="宋体" w:cs="宋体"/>
                <w:color w:val="auto"/>
                <w:sz w:val="24"/>
                <w:szCs w:val="24"/>
                <w:highlight w:val="none"/>
              </w:rPr>
            </w:pPr>
          </w:p>
          <w:p>
            <w:pPr>
              <w:pStyle w:val="76"/>
              <w:numPr>
                <w:ilvl w:val="0"/>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2"/>
              </w:numPr>
              <w:tabs>
                <w:tab w:val="left" w:pos="1276"/>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rPr>
              <w:t>支持网络连接，能开放DICOM 3.0接口满足任何厂家PACS联网传输；</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rPr>
              <w:t>▲支持移动设备无线传输，一键传输图片到智能手机终端或PC端。支持手机等移动终端APP远程操作设备；</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rPr>
              <w:t>输入接口：音频输入，ECG信号输入</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rPr>
              <w:t>输出信号：HDMI视频，S-VIDEO视频, VGA视频</w:t>
            </w:r>
          </w:p>
          <w:p>
            <w:pPr>
              <w:pStyle w:val="76"/>
              <w:numPr>
                <w:ilvl w:val="0"/>
                <w:numId w:val="0"/>
              </w:numPr>
              <w:tabs>
                <w:tab w:val="left" w:pos="1276"/>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3.4.5 </w:t>
            </w:r>
            <w:r>
              <w:rPr>
                <w:rFonts w:hint="eastAsia" w:ascii="宋体" w:hAnsi="宋体" w:eastAsia="宋体" w:cs="宋体"/>
                <w:color w:val="auto"/>
                <w:sz w:val="24"/>
                <w:szCs w:val="24"/>
                <w:highlight w:val="none"/>
              </w:rPr>
              <w:t>≥6个USB接口、DVD R/W刻录光驱、TYPE C 数据接口</w:t>
            </w:r>
          </w:p>
          <w:p>
            <w:pPr>
              <w:pStyle w:val="4"/>
              <w:numPr>
                <w:ilvl w:val="1"/>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 </w:t>
            </w:r>
            <w:r>
              <w:rPr>
                <w:rFonts w:hint="eastAsia" w:ascii="宋体" w:hAnsi="宋体" w:eastAsia="宋体" w:cs="宋体"/>
                <w:color w:val="auto"/>
                <w:sz w:val="24"/>
                <w:szCs w:val="24"/>
                <w:highlight w:val="none"/>
              </w:rPr>
              <w:t>系统技术参数及要求</w:t>
            </w:r>
          </w:p>
          <w:p>
            <w:pPr>
              <w:pStyle w:val="76"/>
              <w:keepNext/>
              <w:keepLines/>
              <w:numPr>
                <w:ilvl w:val="0"/>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3"/>
              </w:numPr>
              <w:spacing w:line="416" w:lineRule="auto"/>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0"/>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76"/>
              <w:keepNext/>
              <w:keepLines/>
              <w:numPr>
                <w:ilvl w:val="1"/>
                <w:numId w:val="14"/>
              </w:numPr>
              <w:spacing w:line="360" w:lineRule="exact"/>
              <w:ind w:firstLineChars="0"/>
              <w:jc w:val="left"/>
              <w:outlineLvl w:val="2"/>
              <w:rPr>
                <w:rFonts w:hint="eastAsia" w:ascii="宋体" w:hAnsi="宋体" w:eastAsia="宋体" w:cs="宋体"/>
                <w:b/>
                <w:bCs/>
                <w:vanish/>
                <w:color w:val="auto"/>
                <w:sz w:val="24"/>
                <w:szCs w:val="24"/>
                <w:highlight w:val="none"/>
              </w:rPr>
            </w:pP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二维灰阶模式</w:t>
            </w:r>
          </w:p>
          <w:p>
            <w:pPr>
              <w:pStyle w:val="76"/>
              <w:numPr>
                <w:ilvl w:val="0"/>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1"/>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w:t>
            </w:r>
            <w:r>
              <w:rPr>
                <w:rFonts w:hint="eastAsia" w:ascii="宋体" w:hAnsi="宋体" w:eastAsia="宋体" w:cs="宋体"/>
                <w:color w:val="auto"/>
                <w:sz w:val="24"/>
                <w:szCs w:val="24"/>
                <w:highlight w:val="none"/>
              </w:rPr>
              <w:t>数字化全程动态聚焦，数字化可变孔径及动态变迹，A/D≥12 bit</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3.5.1.2</w:t>
            </w:r>
            <w:r>
              <w:rPr>
                <w:rFonts w:hint="eastAsia" w:ascii="宋体" w:hAnsi="宋体" w:eastAsia="宋体" w:cs="宋体"/>
                <w:color w:val="auto"/>
                <w:sz w:val="24"/>
                <w:szCs w:val="24"/>
                <w:highlight w:val="none"/>
              </w:rPr>
              <w:t>接收方式：发射、接收通道≥1024，多倍信号并行处理</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3.5.1.3</w:t>
            </w:r>
            <w:r>
              <w:rPr>
                <w:rFonts w:hint="eastAsia" w:ascii="宋体" w:hAnsi="宋体" w:eastAsia="宋体" w:cs="宋体"/>
                <w:color w:val="auto"/>
                <w:sz w:val="24"/>
                <w:szCs w:val="24"/>
                <w:highlight w:val="none"/>
              </w:rPr>
              <w:t>扫描线：每帧线密度≥512超声线</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3.5.1.4</w:t>
            </w:r>
            <w:r>
              <w:rPr>
                <w:rFonts w:hint="eastAsia" w:ascii="宋体" w:hAnsi="宋体" w:eastAsia="宋体" w:cs="宋体"/>
                <w:color w:val="auto"/>
                <w:sz w:val="24"/>
                <w:szCs w:val="24"/>
                <w:highlight w:val="none"/>
              </w:rPr>
              <w:t>预设条件：针对不同的检查脏器，预置最佳图像检查条件</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3.5.1.5</w:t>
            </w:r>
            <w:r>
              <w:rPr>
                <w:rFonts w:hint="eastAsia" w:ascii="宋体" w:hAnsi="宋体" w:eastAsia="宋体" w:cs="宋体"/>
                <w:color w:val="auto"/>
                <w:sz w:val="24"/>
                <w:szCs w:val="24"/>
                <w:highlight w:val="none"/>
              </w:rPr>
              <w:t>▲复合成像技术：采用多达</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条声束偏转的复合超声成像，提升图像的细节分辨率和加强边界显示，消除伪像；</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3.5.1.6</w:t>
            </w:r>
            <w:r>
              <w:rPr>
                <w:rFonts w:hint="eastAsia" w:ascii="宋体" w:hAnsi="宋体" w:eastAsia="宋体" w:cs="宋体"/>
                <w:color w:val="auto"/>
                <w:sz w:val="24"/>
                <w:szCs w:val="24"/>
                <w:highlight w:val="none"/>
              </w:rPr>
              <w:t>组织特异性成像预设，针对不同脏器预设最佳声波传播速度用于计算成像，减少因成像声速值与实际声速值偏差导致图像失真</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3.5.1.7</w:t>
            </w:r>
            <w:r>
              <w:rPr>
                <w:rFonts w:hint="eastAsia" w:ascii="宋体" w:hAnsi="宋体" w:eastAsia="宋体" w:cs="宋体"/>
                <w:color w:val="auto"/>
                <w:sz w:val="24"/>
                <w:szCs w:val="24"/>
                <w:highlight w:val="none"/>
              </w:rPr>
              <w:t>声速匹配技术，可根据人体组织真实情况，一键实时自动匹配至最佳成像声速，并以具体数值（SSC值）在屏幕上显示</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3.5.1.8</w:t>
            </w:r>
            <w:r>
              <w:rPr>
                <w:rFonts w:hint="eastAsia" w:ascii="宋体" w:hAnsi="宋体" w:eastAsia="宋体" w:cs="宋体"/>
                <w:color w:val="auto"/>
                <w:sz w:val="24"/>
                <w:szCs w:val="24"/>
                <w:highlight w:val="none"/>
              </w:rPr>
              <w:t xml:space="preserve">最大显示深度:≥38cm </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3.5.1.9 </w:t>
            </w:r>
            <w:r>
              <w:rPr>
                <w:rFonts w:hint="eastAsia" w:ascii="宋体" w:hAnsi="宋体" w:eastAsia="宋体" w:cs="宋体"/>
                <w:color w:val="auto"/>
                <w:sz w:val="24"/>
                <w:szCs w:val="24"/>
                <w:highlight w:val="none"/>
              </w:rPr>
              <w:t>TGC: ≥8段，LGC: ≥6段</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3.5.1.10</w:t>
            </w:r>
            <w:r>
              <w:rPr>
                <w:rFonts w:hint="eastAsia" w:ascii="宋体" w:hAnsi="宋体" w:eastAsia="宋体" w:cs="宋体"/>
                <w:color w:val="auto"/>
                <w:sz w:val="24"/>
                <w:szCs w:val="24"/>
                <w:highlight w:val="none"/>
              </w:rPr>
              <w:t xml:space="preserve">动态范围: ≥200 </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3.5.1.11</w:t>
            </w:r>
            <w:r>
              <w:rPr>
                <w:rFonts w:hint="eastAsia" w:ascii="宋体" w:hAnsi="宋体" w:eastAsia="宋体" w:cs="宋体"/>
                <w:color w:val="auto"/>
                <w:sz w:val="24"/>
                <w:szCs w:val="24"/>
                <w:highlight w:val="none"/>
              </w:rPr>
              <w:t>增益调节: B/M/D分别独立可调，≥100，可视可调步进≤1db</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3.5.1.12</w:t>
            </w:r>
            <w:r>
              <w:rPr>
                <w:rFonts w:hint="eastAsia" w:ascii="宋体" w:hAnsi="宋体" w:eastAsia="宋体" w:cs="宋体"/>
                <w:color w:val="auto"/>
                <w:sz w:val="24"/>
                <w:szCs w:val="24"/>
                <w:highlight w:val="none"/>
              </w:rPr>
              <w:t>伪彩图谱: ≥8种</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3.5.1.13</w:t>
            </w:r>
            <w:r>
              <w:rPr>
                <w:rFonts w:hint="eastAsia" w:ascii="宋体" w:hAnsi="宋体" w:eastAsia="宋体" w:cs="宋体"/>
                <w:color w:val="auto"/>
                <w:sz w:val="24"/>
                <w:szCs w:val="24"/>
                <w:highlight w:val="none"/>
              </w:rPr>
              <w:t>最大帧率: ≥1000 帧/秒</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3.5.1.14</w:t>
            </w:r>
            <w:r>
              <w:rPr>
                <w:rFonts w:hint="eastAsia" w:ascii="宋体" w:hAnsi="宋体" w:eastAsia="宋体" w:cs="宋体"/>
                <w:color w:val="auto"/>
                <w:sz w:val="24"/>
                <w:szCs w:val="24"/>
                <w:highlight w:val="none"/>
              </w:rPr>
              <w:t>成像速度：凸阵探头，18CM深度时, 扫描角度最大， 帧率≥20帧/秒</w:t>
            </w: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 </w:t>
            </w:r>
            <w:r>
              <w:rPr>
                <w:rFonts w:hint="eastAsia" w:ascii="宋体" w:hAnsi="宋体" w:eastAsia="宋体" w:cs="宋体"/>
                <w:color w:val="auto"/>
                <w:sz w:val="24"/>
                <w:szCs w:val="24"/>
                <w:highlight w:val="none"/>
              </w:rPr>
              <w:t>彩色多普勒成像</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3.6.1</w:t>
            </w:r>
            <w:r>
              <w:rPr>
                <w:rFonts w:hint="eastAsia" w:ascii="宋体" w:hAnsi="宋体" w:eastAsia="宋体" w:cs="宋体"/>
                <w:color w:val="auto"/>
                <w:sz w:val="24"/>
                <w:szCs w:val="24"/>
                <w:highlight w:val="none"/>
              </w:rPr>
              <w:t>包括速度、速度方差、能量、方向能量显示等</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3.6.2</w:t>
            </w:r>
            <w:r>
              <w:rPr>
                <w:rFonts w:hint="eastAsia" w:ascii="宋体" w:hAnsi="宋体" w:eastAsia="宋体" w:cs="宋体"/>
                <w:color w:val="auto"/>
                <w:sz w:val="24"/>
                <w:szCs w:val="24"/>
                <w:highlight w:val="none"/>
              </w:rPr>
              <w:t>显示方式：B/C、B/C/M、B/POWER、B/C/PW</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3.6.3</w:t>
            </w:r>
            <w:r>
              <w:rPr>
                <w:rFonts w:hint="eastAsia" w:ascii="宋体" w:hAnsi="宋体" w:eastAsia="宋体" w:cs="宋体"/>
                <w:color w:val="auto"/>
                <w:sz w:val="24"/>
                <w:szCs w:val="24"/>
                <w:highlight w:val="none"/>
              </w:rPr>
              <w:t>取样框偏转: ≥±30度，取样框可根据探头血流方向自动调节</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3.6.4</w:t>
            </w:r>
            <w:r>
              <w:rPr>
                <w:rFonts w:hint="eastAsia" w:ascii="宋体" w:hAnsi="宋体" w:eastAsia="宋体" w:cs="宋体"/>
                <w:color w:val="auto"/>
                <w:sz w:val="24"/>
                <w:szCs w:val="24"/>
                <w:highlight w:val="none"/>
              </w:rPr>
              <w:t>▲速度标识功能，标识不同血流速度边界，观察血流分布及速度梯度</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3.6.5</w:t>
            </w:r>
            <w:r>
              <w:rPr>
                <w:rFonts w:hint="eastAsia" w:ascii="宋体" w:hAnsi="宋体" w:eastAsia="宋体" w:cs="宋体"/>
                <w:color w:val="auto"/>
                <w:sz w:val="24"/>
                <w:szCs w:val="24"/>
                <w:highlight w:val="none"/>
              </w:rPr>
              <w:t>最大帧率: ≥260 帧/秒</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3.6.6</w:t>
            </w:r>
            <w:r>
              <w:rPr>
                <w:rFonts w:hint="eastAsia" w:ascii="宋体" w:hAnsi="宋体" w:eastAsia="宋体" w:cs="宋体"/>
                <w:color w:val="auto"/>
                <w:sz w:val="24"/>
                <w:szCs w:val="24"/>
                <w:highlight w:val="none"/>
              </w:rPr>
              <w:t>成像速度：凸阵探头, 彩色取样框全视野，18CM深度时 , 帧率≥5帧/秒</w:t>
            </w: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3.7 </w:t>
            </w:r>
            <w:r>
              <w:rPr>
                <w:rFonts w:hint="eastAsia" w:ascii="宋体" w:hAnsi="宋体" w:eastAsia="宋体" w:cs="宋体"/>
                <w:color w:val="auto"/>
                <w:sz w:val="24"/>
                <w:szCs w:val="24"/>
                <w:highlight w:val="none"/>
              </w:rPr>
              <w:t>频谱多普勒模式</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包括脉冲多普勒、高脉冲重复频率、连续多普勒</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显示方式：B, PW，B/PW, B/C/PW, B/CW, B/C/CW等等</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最大速度: ≥7.60m/s（连续多普勒速度: ≥30m/s）</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3.7.4</w:t>
            </w:r>
            <w:r>
              <w:rPr>
                <w:rFonts w:hint="eastAsia" w:ascii="宋体" w:hAnsi="宋体" w:eastAsia="宋体" w:cs="宋体"/>
                <w:color w:val="auto"/>
                <w:sz w:val="24"/>
                <w:szCs w:val="24"/>
                <w:highlight w:val="none"/>
              </w:rPr>
              <w:t>最小速度: ≤1 mm /s（非噪声信号）</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3.7.5</w:t>
            </w:r>
            <w:r>
              <w:rPr>
                <w:rFonts w:hint="eastAsia" w:ascii="宋体" w:hAnsi="宋体" w:eastAsia="宋体" w:cs="宋体"/>
                <w:color w:val="auto"/>
                <w:sz w:val="24"/>
                <w:szCs w:val="24"/>
                <w:highlight w:val="none"/>
              </w:rPr>
              <w:t>取样容积: 0.5-20mm ,支持所有探头</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r>
              <w:rPr>
                <w:rFonts w:hint="eastAsia" w:ascii="宋体" w:hAnsi="宋体" w:eastAsia="宋体" w:cs="宋体"/>
                <w:color w:val="auto"/>
                <w:sz w:val="24"/>
                <w:szCs w:val="24"/>
                <w:highlight w:val="none"/>
              </w:rPr>
              <w:t>偏转角度: ≥±30度 (线阵探头) ，并支持角度校正</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3.7.7</w:t>
            </w:r>
            <w:r>
              <w:rPr>
                <w:rFonts w:hint="eastAsia" w:ascii="宋体" w:hAnsi="宋体" w:eastAsia="宋体" w:cs="宋体"/>
                <w:color w:val="auto"/>
                <w:sz w:val="24"/>
                <w:szCs w:val="24"/>
                <w:highlight w:val="none"/>
              </w:rPr>
              <w:t>零位移动：≥8 级</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3.7.8</w:t>
            </w:r>
            <w:r>
              <w:rPr>
                <w:rFonts w:hint="eastAsia" w:ascii="宋体" w:hAnsi="宋体" w:eastAsia="宋体" w:cs="宋体"/>
                <w:color w:val="auto"/>
                <w:sz w:val="24"/>
                <w:szCs w:val="24"/>
                <w:highlight w:val="none"/>
              </w:rPr>
              <w:t>支持频谱自动测量</w:t>
            </w: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3.8 </w:t>
            </w:r>
            <w:r>
              <w:rPr>
                <w:rFonts w:hint="eastAsia" w:ascii="宋体" w:hAnsi="宋体" w:eastAsia="宋体" w:cs="宋体"/>
                <w:color w:val="auto"/>
                <w:sz w:val="24"/>
                <w:szCs w:val="24"/>
                <w:highlight w:val="none"/>
              </w:rPr>
              <w:t>探头规格</w:t>
            </w:r>
          </w:p>
          <w:p>
            <w:pPr>
              <w:pStyle w:val="76"/>
              <w:numPr>
                <w:ilvl w:val="0"/>
                <w:numId w:val="10"/>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3.8.1</w:t>
            </w:r>
            <w:r>
              <w:rPr>
                <w:rFonts w:hint="eastAsia" w:ascii="宋体" w:hAnsi="宋体" w:eastAsia="宋体" w:cs="宋体"/>
                <w:color w:val="auto"/>
                <w:sz w:val="24"/>
                <w:szCs w:val="24"/>
                <w:highlight w:val="none"/>
              </w:rPr>
              <w:t>频率：超宽频带或变频探头，所配探头均为宽频变频探头,二维、谐波、彩色及频谱多普勒模式分别独立变频，≥3段</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3.8.2</w:t>
            </w:r>
            <w:r>
              <w:rPr>
                <w:rFonts w:hint="eastAsia" w:ascii="宋体" w:hAnsi="宋体" w:eastAsia="宋体" w:cs="宋体"/>
                <w:color w:val="auto"/>
                <w:sz w:val="24"/>
                <w:szCs w:val="24"/>
                <w:highlight w:val="none"/>
              </w:rPr>
              <w:t>凸阵探头：带宽: 1.2-6.0MHz，角度≥72°；</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3.8.3</w:t>
            </w:r>
            <w:r>
              <w:rPr>
                <w:rFonts w:hint="eastAsia" w:ascii="宋体" w:hAnsi="宋体" w:eastAsia="宋体" w:cs="宋体"/>
                <w:color w:val="auto"/>
                <w:sz w:val="24"/>
                <w:szCs w:val="24"/>
                <w:highlight w:val="none"/>
              </w:rPr>
              <w:t>腔内探头：带宽: 3.0-11 MHz，角度≥180°；</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3.8.4</w:t>
            </w:r>
            <w:r>
              <w:rPr>
                <w:rFonts w:hint="eastAsia" w:ascii="宋体" w:hAnsi="宋体" w:eastAsia="宋体" w:cs="宋体"/>
                <w:color w:val="auto"/>
                <w:sz w:val="24"/>
                <w:szCs w:val="24"/>
                <w:highlight w:val="none"/>
              </w:rPr>
              <w:t xml:space="preserve">线阵探头：带宽: 3-13 MHz； </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3.8.5相控阵探头：带宽：1.5-4.5</w:t>
            </w:r>
            <w:r>
              <w:rPr>
                <w:rFonts w:hint="eastAsia" w:ascii="宋体" w:hAnsi="宋体" w:eastAsia="宋体" w:cs="宋体"/>
                <w:color w:val="auto"/>
                <w:sz w:val="24"/>
                <w:szCs w:val="24"/>
                <w:highlight w:val="none"/>
              </w:rPr>
              <w:t>MHz；</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3.8.6</w:t>
            </w:r>
            <w:r>
              <w:rPr>
                <w:rFonts w:hint="eastAsia" w:ascii="宋体" w:hAnsi="宋体" w:eastAsia="宋体" w:cs="宋体"/>
                <w:color w:val="auto"/>
                <w:sz w:val="24"/>
                <w:szCs w:val="24"/>
                <w:highlight w:val="none"/>
              </w:rPr>
              <w:t>穿刺引导，凸阵、线阵具备多角度穿刺引导功能</w:t>
            </w:r>
          </w:p>
          <w:p>
            <w:pPr>
              <w:pStyle w:val="76"/>
              <w:numPr>
                <w:ilvl w:val="0"/>
                <w:numId w:val="0"/>
              </w:numPr>
              <w:tabs>
                <w:tab w:val="left" w:pos="426"/>
                <w:tab w:val="left" w:pos="709"/>
              </w:tabs>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3.8.7探头配置：</w:t>
            </w:r>
            <w:r>
              <w:rPr>
                <w:rFonts w:hint="eastAsia" w:ascii="宋体" w:hAnsi="宋体" w:eastAsia="宋体" w:cs="宋体"/>
                <w:b w:val="0"/>
                <w:bCs w:val="0"/>
                <w:color w:val="auto"/>
                <w:sz w:val="24"/>
                <w:szCs w:val="24"/>
                <w:highlight w:val="none"/>
                <w:lang w:val="en-US" w:eastAsia="zh-CN"/>
              </w:rPr>
              <w:t>单晶体腹部凸阵探头1把、浅表线阵探头1把、单晶体相控阵探头1把、腔内探头1把</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bCs/>
                <w:color w:val="auto"/>
                <w:sz w:val="24"/>
                <w:szCs w:val="24"/>
                <w:highlight w:val="none"/>
                <w:lang w:val="en-US" w:eastAsia="zh-CN"/>
              </w:rPr>
              <w:t>3.9</w:t>
            </w:r>
            <w:r>
              <w:rPr>
                <w:rFonts w:hint="eastAsia" w:ascii="宋体" w:hAnsi="宋体" w:eastAsia="宋体" w:cs="宋体"/>
                <w:b/>
                <w:bCs/>
                <w:color w:val="auto"/>
                <w:sz w:val="24"/>
                <w:szCs w:val="24"/>
                <w:highlight w:val="none"/>
              </w:rPr>
              <w:t>应变式弹性成像</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3.9.1</w:t>
            </w:r>
            <w:r>
              <w:rPr>
                <w:rFonts w:hint="eastAsia" w:ascii="宋体" w:hAnsi="宋体" w:eastAsia="宋体" w:cs="宋体"/>
                <w:color w:val="auto"/>
                <w:sz w:val="24"/>
                <w:szCs w:val="24"/>
                <w:highlight w:val="none"/>
              </w:rPr>
              <w:t>支持探头：浅表探头、腔内探头</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3.9.2</w:t>
            </w:r>
            <w:r>
              <w:rPr>
                <w:rFonts w:hint="eastAsia" w:ascii="宋体" w:hAnsi="宋体" w:eastAsia="宋体" w:cs="宋体"/>
                <w:color w:val="auto"/>
                <w:sz w:val="24"/>
                <w:szCs w:val="24"/>
                <w:highlight w:val="none"/>
              </w:rPr>
              <w:t>弹性成像图谱≥5种可选。</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3.9.3</w:t>
            </w:r>
            <w:r>
              <w:rPr>
                <w:rFonts w:hint="eastAsia" w:ascii="宋体" w:hAnsi="宋体" w:eastAsia="宋体" w:cs="宋体"/>
                <w:color w:val="auto"/>
                <w:sz w:val="24"/>
                <w:szCs w:val="24"/>
                <w:highlight w:val="none"/>
              </w:rPr>
              <w:t>弹性模式具有压力操作提示图标。</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3.9.4</w:t>
            </w:r>
            <w:r>
              <w:rPr>
                <w:rFonts w:hint="eastAsia" w:ascii="宋体" w:hAnsi="宋体" w:eastAsia="宋体" w:cs="宋体"/>
                <w:color w:val="auto"/>
                <w:sz w:val="24"/>
                <w:szCs w:val="24"/>
                <w:highlight w:val="none"/>
              </w:rPr>
              <w:t>具备组织硬度定量分析软件，支持多种比值分析，柱状图分析。</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3.9.5</w:t>
            </w:r>
            <w:r>
              <w:rPr>
                <w:rFonts w:hint="eastAsia" w:ascii="宋体" w:hAnsi="宋体" w:eastAsia="宋体" w:cs="宋体"/>
                <w:color w:val="auto"/>
                <w:sz w:val="24"/>
                <w:szCs w:val="24"/>
                <w:highlight w:val="none"/>
              </w:rPr>
              <w:t>具备肿块周边组织弹性定量分析功能。</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3.9.6</w:t>
            </w:r>
            <w:r>
              <w:rPr>
                <w:rFonts w:hint="eastAsia" w:ascii="宋体" w:hAnsi="宋体" w:eastAsia="宋体" w:cs="宋体"/>
                <w:color w:val="auto"/>
                <w:sz w:val="24"/>
                <w:szCs w:val="24"/>
                <w:highlight w:val="none"/>
              </w:rPr>
              <w:t>具备定量测量映射分析，即在组织图测量时弹性图同步测量。</w:t>
            </w:r>
          </w:p>
          <w:p>
            <w:pPr>
              <w:pStyle w:val="5"/>
              <w:numPr>
                <w:ilvl w:val="2"/>
                <w:numId w:val="0"/>
              </w:numPr>
              <w:spacing w:before="0" w:after="0"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3.10 </w:t>
            </w:r>
            <w:r>
              <w:rPr>
                <w:rFonts w:hint="eastAsia" w:ascii="宋体" w:hAnsi="宋体" w:eastAsia="宋体" w:cs="宋体"/>
                <w:color w:val="auto"/>
                <w:sz w:val="24"/>
                <w:szCs w:val="24"/>
                <w:highlight w:val="none"/>
              </w:rPr>
              <w:t>剪切波弹性成像</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3.10.1</w:t>
            </w:r>
            <w:r>
              <w:rPr>
                <w:rFonts w:hint="eastAsia" w:ascii="宋体" w:hAnsi="宋体" w:eastAsia="宋体" w:cs="宋体"/>
                <w:color w:val="auto"/>
                <w:sz w:val="24"/>
                <w:szCs w:val="24"/>
                <w:highlight w:val="none"/>
              </w:rPr>
              <w:t>支持探头：凸阵探头，线阵探头；</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3.10.2</w:t>
            </w:r>
            <w:r>
              <w:rPr>
                <w:rFonts w:hint="eastAsia" w:ascii="宋体" w:hAnsi="宋体" w:eastAsia="宋体" w:cs="宋体"/>
                <w:color w:val="auto"/>
                <w:sz w:val="24"/>
                <w:szCs w:val="24"/>
                <w:highlight w:val="none"/>
              </w:rPr>
              <w:t>支持二维实时剪切波和单点式剪切波成像</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3.10.3</w:t>
            </w:r>
            <w:r>
              <w:rPr>
                <w:rFonts w:hint="eastAsia" w:ascii="宋体" w:hAnsi="宋体" w:eastAsia="宋体" w:cs="宋体"/>
                <w:color w:val="auto"/>
                <w:sz w:val="24"/>
                <w:szCs w:val="24"/>
                <w:highlight w:val="none"/>
              </w:rPr>
              <w:t>实时剪切波弹性成像取样框大小可调，可得到取样框内杨氏模量值等定量数据。</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3.10.4</w:t>
            </w:r>
            <w:r>
              <w:rPr>
                <w:rFonts w:hint="eastAsia" w:ascii="宋体" w:hAnsi="宋体" w:eastAsia="宋体" w:cs="宋体"/>
                <w:color w:val="auto"/>
                <w:sz w:val="24"/>
                <w:szCs w:val="24"/>
                <w:highlight w:val="none"/>
              </w:rPr>
              <w:t>实时剪切波弹性成像及二维成像双实时成像，图像布局包括上下，左右多种方式可调。</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3.10.5</w:t>
            </w:r>
            <w:r>
              <w:rPr>
                <w:rFonts w:hint="eastAsia" w:ascii="宋体" w:hAnsi="宋体" w:eastAsia="宋体" w:cs="宋体"/>
                <w:color w:val="auto"/>
                <w:sz w:val="24"/>
                <w:szCs w:val="24"/>
                <w:highlight w:val="none"/>
              </w:rPr>
              <w:t>同时输出以kPa和m/s为单位的组织硬度定量数据，保证临床可以使用硬度数据进行临床诊断和科研工作。</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3.10.6</w:t>
            </w:r>
            <w:r>
              <w:rPr>
                <w:rFonts w:hint="eastAsia" w:ascii="宋体" w:hAnsi="宋体" w:eastAsia="宋体" w:cs="宋体"/>
                <w:color w:val="auto"/>
                <w:sz w:val="24"/>
                <w:szCs w:val="24"/>
                <w:highlight w:val="none"/>
              </w:rPr>
              <w:t>支持肿块周边组织定量分析功能。</w:t>
            </w: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造影成像及定量分析功能</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3.11.1</w:t>
            </w:r>
            <w:r>
              <w:rPr>
                <w:rFonts w:hint="eastAsia" w:ascii="宋体" w:hAnsi="宋体" w:eastAsia="宋体" w:cs="宋体"/>
                <w:color w:val="auto"/>
                <w:sz w:val="24"/>
                <w:szCs w:val="24"/>
                <w:highlight w:val="none"/>
              </w:rPr>
              <w:t>▲支持多种探头：凸阵探头、线阵探头，腔内探头</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3.11.2</w:t>
            </w:r>
            <w:r>
              <w:rPr>
                <w:rFonts w:hint="eastAsia" w:ascii="宋体" w:hAnsi="宋体" w:eastAsia="宋体" w:cs="宋体"/>
                <w:color w:val="auto"/>
                <w:sz w:val="24"/>
                <w:szCs w:val="24"/>
                <w:highlight w:val="none"/>
              </w:rPr>
              <w:t>支持微血管造影增强功能</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3.11.3</w:t>
            </w:r>
            <w:r>
              <w:rPr>
                <w:rFonts w:hint="eastAsia" w:ascii="宋体" w:hAnsi="宋体" w:eastAsia="宋体" w:cs="宋体"/>
                <w:color w:val="auto"/>
                <w:sz w:val="24"/>
                <w:szCs w:val="24"/>
                <w:highlight w:val="none"/>
              </w:rPr>
              <w:t>双计时器</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3.11.4</w:t>
            </w:r>
            <w:r>
              <w:rPr>
                <w:rFonts w:hint="eastAsia" w:ascii="宋体" w:hAnsi="宋体" w:eastAsia="宋体" w:cs="宋体"/>
                <w:color w:val="auto"/>
                <w:sz w:val="24"/>
                <w:szCs w:val="24"/>
                <w:highlight w:val="none"/>
              </w:rPr>
              <w:t>支持向后存储，≥6分钟电影；支持向前存储</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3.11.5</w:t>
            </w:r>
            <w:r>
              <w:rPr>
                <w:rFonts w:hint="eastAsia" w:ascii="宋体" w:hAnsi="宋体" w:eastAsia="宋体" w:cs="宋体"/>
                <w:color w:val="auto"/>
                <w:sz w:val="24"/>
                <w:szCs w:val="24"/>
                <w:highlight w:val="none"/>
              </w:rPr>
              <w:t>具备混合模式</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3.11.6</w:t>
            </w:r>
            <w:r>
              <w:rPr>
                <w:rFonts w:hint="eastAsia" w:ascii="宋体" w:hAnsi="宋体" w:eastAsia="宋体" w:cs="宋体"/>
                <w:color w:val="auto"/>
                <w:sz w:val="24"/>
                <w:szCs w:val="24"/>
                <w:highlight w:val="none"/>
              </w:rPr>
              <w:t>支持造影图像和组织图像位置互换</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3.11.7</w:t>
            </w:r>
            <w:r>
              <w:rPr>
                <w:rFonts w:hint="eastAsia" w:ascii="宋体" w:hAnsi="宋体" w:eastAsia="宋体" w:cs="宋体"/>
                <w:color w:val="auto"/>
                <w:sz w:val="24"/>
                <w:szCs w:val="24"/>
                <w:highlight w:val="none"/>
              </w:rPr>
              <w:t>▲造影定量分析：取样点可跟踪感兴趣区运动、提供TIC时间强度曲线分析、可选择原始曲线和拟合曲线、具有表格报告分析。</w:t>
            </w:r>
          </w:p>
          <w:p>
            <w:pPr>
              <w:pStyle w:val="5"/>
              <w:numPr>
                <w:ilvl w:val="2"/>
                <w:numId w:val="0"/>
              </w:numPr>
              <w:spacing w:before="0" w:after="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3.12  </w:t>
            </w:r>
            <w:r>
              <w:rPr>
                <w:rFonts w:hint="eastAsia" w:ascii="宋体" w:hAnsi="宋体" w:eastAsia="宋体" w:cs="宋体"/>
                <w:color w:val="auto"/>
                <w:sz w:val="24"/>
                <w:szCs w:val="24"/>
                <w:highlight w:val="none"/>
              </w:rPr>
              <w:t>TDI组织多普勒成像</w:t>
            </w:r>
          </w:p>
          <w:p>
            <w:pPr>
              <w:pStyle w:val="76"/>
              <w:numPr>
                <w:ilvl w:val="2"/>
                <w:numId w:val="15"/>
              </w:numPr>
              <w:tabs>
                <w:tab w:val="left" w:pos="426"/>
                <w:tab w:val="left" w:pos="709"/>
              </w:tabs>
              <w:spacing w:line="400" w:lineRule="exact"/>
              <w:ind w:firstLineChars="0"/>
              <w:jc w:val="left"/>
              <w:rPr>
                <w:rFonts w:hint="eastAsia" w:ascii="宋体" w:hAnsi="宋体" w:eastAsia="宋体" w:cs="宋体"/>
                <w:vanish/>
                <w:color w:val="auto"/>
                <w:sz w:val="24"/>
                <w:szCs w:val="24"/>
                <w:highlight w:val="none"/>
              </w:rPr>
            </w:pP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3.12.1</w:t>
            </w:r>
            <w:r>
              <w:rPr>
                <w:rFonts w:hint="eastAsia" w:ascii="宋体" w:hAnsi="宋体" w:eastAsia="宋体" w:cs="宋体"/>
                <w:color w:val="auto"/>
                <w:sz w:val="24"/>
                <w:szCs w:val="24"/>
                <w:highlight w:val="none"/>
              </w:rPr>
              <w:t>▲TDI成像模式：彩色速度模式图、能量模式图、频谱模式图、M型模式图</w:t>
            </w:r>
          </w:p>
          <w:p>
            <w:pPr>
              <w:pStyle w:val="76"/>
              <w:numPr>
                <w:ilvl w:val="0"/>
                <w:numId w:val="0"/>
              </w:numPr>
              <w:tabs>
                <w:tab w:val="left" w:pos="426"/>
                <w:tab w:val="left" w:pos="709"/>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3.12.2</w:t>
            </w:r>
            <w:r>
              <w:rPr>
                <w:rFonts w:hint="eastAsia" w:ascii="宋体" w:hAnsi="宋体" w:eastAsia="宋体" w:cs="宋体"/>
                <w:color w:val="auto"/>
                <w:sz w:val="24"/>
                <w:szCs w:val="24"/>
                <w:highlight w:val="none"/>
              </w:rPr>
              <w:t>▲TDI组织多普勒定量分析软件：支持运动追踪功能；同步显示≥6段心肌组织运动速度曲线图</w:t>
            </w:r>
          </w:p>
          <w:p>
            <w:pPr>
              <w:pStyle w:val="4"/>
              <w:numPr>
                <w:ilvl w:val="1"/>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外设和附件</w:t>
            </w:r>
          </w:p>
          <w:p>
            <w:pPr>
              <w:pStyle w:val="4"/>
              <w:numPr>
                <w:ilvl w:val="1"/>
                <w:numId w:val="0"/>
              </w:num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3.13.1</w:t>
            </w:r>
            <w:r>
              <w:rPr>
                <w:rFonts w:hint="eastAsia" w:ascii="宋体" w:hAnsi="宋体" w:eastAsia="宋体" w:cs="宋体"/>
                <w:b w:val="0"/>
                <w:bCs w:val="0"/>
                <w:color w:val="auto"/>
                <w:sz w:val="24"/>
                <w:szCs w:val="24"/>
                <w:highlight w:val="none"/>
              </w:rPr>
              <w:t>耦合剂加热器</w:t>
            </w:r>
          </w:p>
          <w:p>
            <w:pPr>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z w:val="24"/>
                <w:szCs w:val="24"/>
                <w:highlight w:val="none"/>
                <w:lang w:val="en-US" w:eastAsia="zh-CN"/>
              </w:rPr>
              <w:t>3.13.2</w:t>
            </w:r>
            <w:r>
              <w:rPr>
                <w:rFonts w:hint="eastAsia" w:ascii="宋体" w:hAnsi="宋体" w:eastAsia="宋体" w:cs="宋体"/>
                <w:b w:val="0"/>
                <w:bCs w:val="0"/>
                <w:color w:val="auto"/>
                <w:sz w:val="24"/>
                <w:szCs w:val="24"/>
                <w:highlight w:val="none"/>
              </w:rPr>
              <w:t>腔内探头放置架，可左右互换</w:t>
            </w:r>
            <w:r>
              <w:rPr>
                <w:rFonts w:hint="eastAsia" w:ascii="宋体" w:hAnsi="宋体" w:eastAsia="宋体" w:cs="宋体"/>
                <w:color w:val="auto"/>
                <w:sz w:val="24"/>
                <w:szCs w:val="24"/>
                <w:highlight w:val="none"/>
              </w:rPr>
              <w:br w:type="textWrapping"/>
            </w:r>
          </w:p>
        </w:tc>
      </w:tr>
    </w:tbl>
    <w:p>
      <w:pPr>
        <w:widowControl/>
        <w:snapToGrid w:val="0"/>
        <w:spacing w:line="400" w:lineRule="exact"/>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rPr>
          <w:rFonts w:ascii="宋体" w:hAnsi="宋体" w:cs="宋体"/>
          <w:b/>
          <w:bCs/>
          <w:color w:val="auto"/>
          <w:sz w:val="24"/>
          <w:szCs w:val="24"/>
          <w:highlight w:val="none"/>
        </w:rPr>
      </w:pPr>
    </w:p>
    <w:p>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（二）、</w:t>
      </w:r>
      <w:r>
        <w:rPr>
          <w:rFonts w:hint="eastAsia" w:ascii="仿宋" w:hAnsi="仿宋" w:eastAsia="仿宋" w:cs="仿宋"/>
          <w:color w:val="auto"/>
          <w:spacing w:val="0"/>
          <w:sz w:val="28"/>
          <w:szCs w:val="28"/>
          <w:highlight w:val="none"/>
        </w:rPr>
        <w:t>▲</w:t>
      </w:r>
      <w:r>
        <w:rPr>
          <w:rFonts w:hint="eastAsia" w:ascii="宋体" w:hAnsi="宋体" w:cs="宋体"/>
          <w:b/>
          <w:bCs/>
          <w:color w:val="auto"/>
          <w:sz w:val="28"/>
          <w:szCs w:val="28"/>
          <w:highlight w:val="none"/>
        </w:rPr>
        <w:t>商务服务要求</w:t>
      </w:r>
    </w:p>
    <w:tbl>
      <w:tblPr>
        <w:tblStyle w:val="46"/>
        <w:tblpPr w:leftFromText="180" w:rightFromText="180" w:vertAnchor="text" w:horzAnchor="page" w:tblpX="1777" w:tblpY="55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17"/>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内容</w:t>
            </w:r>
          </w:p>
        </w:tc>
        <w:tc>
          <w:tcPr>
            <w:tcW w:w="66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响应要求</w:t>
            </w:r>
          </w:p>
        </w:tc>
        <w:tc>
          <w:tcPr>
            <w:tcW w:w="660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1、供应商必须提供厂商原装、全新的、近1-2年内生产的、符合行业、国家及用户提出的有关质量标准的货物；应标产品的生产、制造、安装等，各项技术标准应当符合国家（强制性）标准和各项规范要求；国家没有相应标准、规范的，可使用行业标准、规定；非标产品按采购约定的技术要求和规范。</w:t>
            </w:r>
          </w:p>
          <w:p>
            <w:pPr>
              <w:pStyle w:val="20"/>
              <w:spacing w:line="360" w:lineRule="auto"/>
              <w:rPr>
                <w:rFonts w:hint="default" w:ascii="Times New Roman" w:hAnsi="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spacing w:val="0"/>
                <w:sz w:val="24"/>
                <w:szCs w:val="24"/>
                <w:highlight w:val="none"/>
              </w:rPr>
              <w:t>竞报价包含但不限于货物及货物运抵指定交付地点的各种费用、随配附件、备品备件、易损件、专用工具、安装调试、技术培训、技术资料、包装、售后服务、保险费、税金、验收检验</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计量检测费用</w:t>
            </w:r>
            <w:r>
              <w:rPr>
                <w:rFonts w:hint="eastAsia" w:ascii="宋体" w:hAnsi="宋体" w:eastAsia="宋体" w:cs="宋体"/>
                <w:color w:val="auto"/>
                <w:spacing w:val="0"/>
                <w:sz w:val="24"/>
                <w:szCs w:val="24"/>
                <w:highlight w:val="none"/>
              </w:rPr>
              <w:t>及其他所有成本费用的总和，如涉及系统对接的由成交供应商负责完成。对于本文件中未列明，而供应商认为必须的费用也需列入总报价。在合同实施时，采购人将不予支付成交供应商没有列入的项目费用，并认为此项目的费用已包括在响应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质保期</w:t>
            </w:r>
          </w:p>
        </w:tc>
        <w:tc>
          <w:tcPr>
            <w:tcW w:w="660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default" w:ascii="Times New Roman" w:hAnsi="宋体"/>
                <w:color w:val="auto"/>
                <w:kern w:val="2"/>
                <w:sz w:val="24"/>
                <w:szCs w:val="24"/>
                <w:highlight w:val="none"/>
                <w:lang w:val="zh-CN"/>
              </w:rPr>
            </w:pPr>
            <w:r>
              <w:rPr>
                <w:rFonts w:ascii="Times New Roman" w:hAnsi="宋体"/>
                <w:color w:val="auto"/>
                <w:kern w:val="2"/>
                <w:sz w:val="24"/>
                <w:szCs w:val="24"/>
                <w:highlight w:val="none"/>
              </w:rPr>
              <w:t>质量保证期</w:t>
            </w:r>
            <w:r>
              <w:rPr>
                <w:rFonts w:hint="eastAsia" w:ascii="Times New Roman" w:hAnsi="宋体"/>
                <w:color w:val="auto"/>
                <w:kern w:val="2"/>
                <w:sz w:val="24"/>
                <w:szCs w:val="24"/>
                <w:highlight w:val="none"/>
              </w:rPr>
              <w:t>：3年，从验收合格之日起计算，因人为因素出现的故障不在保修范围内。质保期内，出现故障，须派出有相应资格的技术工程师到达现场处理故障，并承担一切费用。质保期外不收维修或人工费，只收零件费，并保证备件如期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售后服务要求</w:t>
            </w:r>
          </w:p>
        </w:tc>
        <w:tc>
          <w:tcPr>
            <w:tcW w:w="6601" w:type="dxa"/>
            <w:tcBorders>
              <w:top w:val="single" w:color="auto" w:sz="4" w:space="0"/>
              <w:left w:val="single" w:color="auto" w:sz="4" w:space="0"/>
              <w:bottom w:val="single" w:color="auto" w:sz="4" w:space="0"/>
              <w:right w:val="single" w:color="auto" w:sz="4" w:space="0"/>
            </w:tcBorders>
          </w:tcPr>
          <w:p>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（1）竞标产品必须是按厂家标准配置的整套全新产品，按国家规定实行“三包”，免费送货上门、免费安装调试（附安装说明书）及人员培训，培训后采购人可熟悉基本操作；</w:t>
            </w:r>
          </w:p>
          <w:p>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故障处理：提供7×24小时维修服务，并提供售后服务电话，出现故障应在接到故障通知起30分钟内响应，一般问题2小时内通过远程方式解决；遇到大的问题，在接到报修通知后12小时内派技术人员到达现场维修，故障修复时限不超过24小时，如超过时限无法排除故障，免费提供同等质量的产品作为备用品供采购人使用，直到修复完成；</w:t>
            </w:r>
          </w:p>
          <w:p>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（3）质量保证期内免费提供维修服务（含人工费、配件费、差旅费等各项费用），所更换的所有零配件全部使用原厂配件；保修期以外一律按竞标文件承诺的优惠价收费，提供终身上门维修服务；</w:t>
            </w:r>
          </w:p>
          <w:p>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（4）原厂3年保修（节假日不休），终身400或800呼叫中心热线7×24小时免费技术支持服务，保修服务可以通过机器序列号与原厂服务中心确认。</w:t>
            </w:r>
          </w:p>
          <w:p>
            <w:pPr>
              <w:pStyle w:val="20"/>
              <w:spacing w:line="360" w:lineRule="auto"/>
              <w:rPr>
                <w:rFonts w:hint="default"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（5）售后服务要求以上内容的费用已包括在响应总报价中。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项目完成时间和地点</w:t>
            </w:r>
          </w:p>
        </w:tc>
        <w:tc>
          <w:tcPr>
            <w:tcW w:w="6601" w:type="dxa"/>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4.1.项目完成时间：</w:t>
            </w:r>
            <w:r>
              <w:rPr>
                <w:rFonts w:hint="eastAsia" w:ascii="Times New Roman" w:hAnsi="宋体"/>
                <w:color w:val="auto"/>
                <w:kern w:val="2"/>
                <w:sz w:val="24"/>
                <w:szCs w:val="24"/>
                <w:highlight w:val="none"/>
                <w:lang w:eastAsia="zh-CN"/>
              </w:rPr>
              <w:t>合同签订后60 天内交货并安装验收完毕</w:t>
            </w:r>
            <w:r>
              <w:rPr>
                <w:rFonts w:ascii="Times New Roman" w:hAnsi="宋体"/>
                <w:color w:val="auto"/>
                <w:kern w:val="2"/>
                <w:sz w:val="24"/>
                <w:szCs w:val="24"/>
                <w:highlight w:val="none"/>
              </w:rPr>
              <w:t>。</w:t>
            </w:r>
          </w:p>
          <w:p>
            <w:pPr>
              <w:pStyle w:val="20"/>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4.2.项目完成地点：</w:t>
            </w:r>
            <w:r>
              <w:rPr>
                <w:rFonts w:hint="eastAsia" w:ascii="Times New Roman" w:hAnsi="宋体"/>
                <w:color w:val="auto"/>
                <w:kern w:val="2"/>
                <w:sz w:val="24"/>
                <w:szCs w:val="24"/>
                <w:highlight w:val="none"/>
                <w:lang w:eastAsia="zh-CN"/>
              </w:rPr>
              <w:t>梧州市西堤三路66 号，采购人指定地点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付款方式</w:t>
            </w:r>
          </w:p>
        </w:tc>
        <w:tc>
          <w:tcPr>
            <w:tcW w:w="6601" w:type="dxa"/>
            <w:tcBorders>
              <w:top w:val="single" w:color="auto" w:sz="4" w:space="0"/>
              <w:left w:val="single" w:color="auto" w:sz="4" w:space="0"/>
              <w:bottom w:val="single" w:color="auto" w:sz="4" w:space="0"/>
              <w:right w:val="single" w:color="auto" w:sz="4" w:space="0"/>
            </w:tcBorders>
            <w:vAlign w:val="center"/>
          </w:tcPr>
          <w:p>
            <w:pPr>
              <w:pStyle w:val="20"/>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val="en-US" w:eastAsia="zh-CN" w:bidi="ar-SA"/>
              </w:rPr>
              <w:t>成交供应商在采购人指定地点交货、安装、调试 ，经采购人验收合格后，采购人一年内支付合同总价款的 100%。(注意：采购人在付款前，通知成交供应商提供经采购人核定的合同标的金额的增值税发票（符合税法规定），成交供应商未按时提供增值税发票导致支付延时的责任自负；成交供应商未能在采购人付款前提供合 同标的金额的增值税发票 ，采购人有权拒绝付款 ，由此产生的责任由成交供应商承担。）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签订合同时间</w:t>
            </w:r>
          </w:p>
        </w:tc>
        <w:tc>
          <w:tcPr>
            <w:tcW w:w="66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自成交通知书发出之日起15日内凭成交通知书与采购人签订政府采购合同，延期自误。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验收标准</w:t>
            </w:r>
          </w:p>
        </w:tc>
        <w:tc>
          <w:tcPr>
            <w:tcW w:w="66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（1）成交供应商提供不符合公告规定的、采购文件、响应文件承诺的或本合同规定的货物，采购人有权拒绝接受。</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（2）成交供应商应将所提供货物的装箱清单、用户手册、原厂保修卡、随机资料、工具和备品、备件等交付给采购人，如有缺失应在采购人要求的期限内及时补齐，否则视为逾期交货。</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（3）采购人应当在到货并安装、调试完后进行验收。验收合格后由双方签署货物验收单并加盖采购单位公章，双方各执一份。</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在此期间，采购人不承担逾期付款责任。</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（5）采购人对验收有异议的，在验收后以书面形式向成交供应商提出，成交供应商应自收到采购人书面异议后五日内及时予以解决，成交供应商不予答复或未予以实质解决的，视为认可采购人异议及处置意见。</w:t>
            </w:r>
          </w:p>
          <w:p>
            <w:pPr>
              <w:spacing w:line="400" w:lineRule="exact"/>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（6）验收产生的费用由成交供应商负责。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617" w:type="dxa"/>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jc w:val="both"/>
              <w:rPr>
                <w:color w:val="auto"/>
                <w:sz w:val="24"/>
                <w:szCs w:val="24"/>
                <w:highlight w:val="none"/>
              </w:rPr>
            </w:pPr>
            <w:r>
              <w:rPr>
                <w:rFonts w:hint="eastAsia"/>
                <w:color w:val="auto"/>
                <w:sz w:val="24"/>
                <w:szCs w:val="24"/>
                <w:highlight w:val="none"/>
              </w:rPr>
              <w:t>备品备件及耗材等要求</w:t>
            </w:r>
          </w:p>
        </w:tc>
        <w:tc>
          <w:tcPr>
            <w:tcW w:w="66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成交供应商所提供零部件、配件及安装材料必须是符合国家规定质量安全标准的全新、合格产品；该项费用应包含在报价中；成交供应商所提供完整的全套设备须包括必备的易损耗备件和专用工具。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auto"/>
                <w:sz w:val="24"/>
                <w:szCs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jc w:val="center"/>
              <w:rPr>
                <w:rFonts w:hint="eastAsia"/>
                <w:color w:val="auto"/>
                <w:sz w:val="24"/>
                <w:szCs w:val="24"/>
                <w:highlight w:val="none"/>
              </w:rPr>
            </w:pPr>
            <w:r>
              <w:rPr>
                <w:rFonts w:hint="eastAsia"/>
                <w:color w:val="auto"/>
                <w:sz w:val="24"/>
                <w:szCs w:val="24"/>
                <w:highlight w:val="none"/>
              </w:rPr>
              <w:t>包装和运输</w:t>
            </w:r>
          </w:p>
        </w:tc>
        <w:tc>
          <w:tcPr>
            <w:tcW w:w="660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在货物发运前对其进行满足运输距离、防潮、防震、防锈和防破损装卸等要求包装，以保证货物安全运达采购人指定地点。中文使用说明书、质量检验证明书、保修单据、随配附件和工具以及清单一并附于货物内。</w:t>
            </w: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（2）货物的运输方式：由成交供应商自行安排。</w:t>
            </w: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（3）成交供应商负责货物运输，货物运输合理损耗及计算方法：本项目不接受损耗。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617" w:type="dxa"/>
            <w:tcBorders>
              <w:top w:val="single" w:color="auto" w:sz="4" w:space="0"/>
              <w:left w:val="single" w:color="auto" w:sz="4" w:space="0"/>
              <w:bottom w:val="single" w:color="auto" w:sz="4" w:space="0"/>
              <w:right w:val="single" w:color="auto" w:sz="4" w:space="0"/>
            </w:tcBorders>
            <w:vAlign w:val="center"/>
          </w:tcPr>
          <w:p>
            <w:pPr>
              <w:pStyle w:val="34"/>
              <w:widowControl w:val="0"/>
              <w:spacing w:before="0" w:beforeAutospacing="0" w:after="120" w:afterAutospacing="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保险</w:t>
            </w:r>
          </w:p>
        </w:tc>
        <w:tc>
          <w:tcPr>
            <w:tcW w:w="660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成交供应商负责办理运输和保险，将货物运抵交货地点。与运输、保险相关的费用由成交供应商承担。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Courier New"/>
                <w:color w:val="auto"/>
                <w:sz w:val="24"/>
                <w:szCs w:val="24"/>
                <w:highlight w:val="none"/>
                <w:lang w:val="en-US" w:eastAsia="zh-CN"/>
              </w:rPr>
            </w:pPr>
            <w:r>
              <w:rPr>
                <w:rFonts w:hint="eastAsia" w:ascii="宋体" w:hAnsi="宋体" w:cs="Courier New"/>
                <w:color w:val="auto"/>
                <w:sz w:val="24"/>
                <w:szCs w:val="24"/>
                <w:highlight w:val="none"/>
                <w:lang w:val="en-US" w:eastAsia="zh-CN"/>
              </w:rPr>
              <w:t>11</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采购人的特殊要求及说明</w:t>
            </w:r>
          </w:p>
        </w:tc>
        <w:tc>
          <w:tcPr>
            <w:tcW w:w="66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竞标产品不可选用进口产品</w:t>
            </w:r>
          </w:p>
        </w:tc>
      </w:tr>
    </w:tbl>
    <w:p>
      <w:pPr>
        <w:rPr>
          <w:rFonts w:hint="eastAsia"/>
          <w:color w:val="auto"/>
          <w:sz w:val="24"/>
          <w:szCs w:val="24"/>
          <w:highlight w:val="none"/>
        </w:rPr>
      </w:pPr>
    </w:p>
    <w:p>
      <w:pPr>
        <w:rPr>
          <w:rFonts w:hint="eastAsia"/>
          <w:color w:val="auto"/>
          <w:highlight w:val="none"/>
        </w:rPr>
      </w:pPr>
      <w:r>
        <w:rPr>
          <w:rFonts w:hint="eastAsia"/>
          <w:color w:val="auto"/>
          <w:sz w:val="24"/>
          <w:szCs w:val="24"/>
          <w:highlight w:val="none"/>
        </w:rPr>
        <w:br w:type="page"/>
      </w:r>
    </w:p>
    <w:p>
      <w:pPr>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pPr>
        <w:widowControl/>
        <w:rPr>
          <w:rFonts w:ascii="宋体" w:hAnsi="宋体" w:cs="宋体"/>
          <w:color w:val="auto"/>
          <w:sz w:val="20"/>
          <w:szCs w:val="20"/>
          <w:highlight w:val="none"/>
        </w:rPr>
      </w:pPr>
    </w:p>
    <w:p>
      <w:pPr>
        <w:pStyle w:val="13"/>
        <w:rPr>
          <w:rFonts w:ascii="宋体" w:hAnsi="宋体" w:cs="宋体"/>
          <w:color w:val="auto"/>
          <w:sz w:val="20"/>
          <w:szCs w:val="20"/>
          <w:highlight w:val="none"/>
        </w:rPr>
      </w:pPr>
    </w:p>
    <w:p>
      <w:pPr>
        <w:spacing w:line="528"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tbl>
      <w:tblPr>
        <w:tblStyle w:val="46"/>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tblPrEx>
          <w:tblLayout w:type="fixed"/>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41" w:type="dxa"/>
            <w:vMerge w:val="restart"/>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auto" w:sz="4"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auto" w:sz="4"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nil"/>
              <w:bottom w:val="single" w:color="auto" w:sz="4"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Layout w:type="fixed"/>
          <w:tblCellMar>
            <w:top w:w="0" w:type="dxa"/>
            <w:left w:w="108" w:type="dxa"/>
            <w:bottom w:w="0" w:type="dxa"/>
            <w:right w:w="108" w:type="dxa"/>
          </w:tblCellMar>
        </w:tblPrEx>
        <w:trPr>
          <w:trHeight w:val="870" w:hRule="atLeast"/>
        </w:trPr>
        <w:tc>
          <w:tcPr>
            <w:tcW w:w="641" w:type="dxa"/>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single" w:color="auto" w:sz="4" w:space="0"/>
              <w:left w:val="single" w:color="000000" w:sz="8"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41"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41" w:type="dxa"/>
            <w:vMerge w:val="restart"/>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auto" w:sz="4"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auto" w:sz="4" w:space="0"/>
              <w:right w:val="single" w:color="000000" w:sz="8"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nil"/>
              <w:left w:val="nil"/>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auto" w:sz="4" w:space="0"/>
              <w:right w:val="single" w:color="000000" w:sz="8"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4" w:space="0"/>
              <w:right w:val="single" w:color="000000" w:sz="8"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Layout w:type="fixed"/>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pStyle w:val="13"/>
        <w:spacing w:line="360" w:lineRule="auto"/>
        <w:rPr>
          <w:rFonts w:hint="eastAsia"/>
          <w:color w:val="auto"/>
          <w:spacing w:val="-3"/>
          <w:szCs w:val="21"/>
          <w:highlight w:val="none"/>
        </w:rPr>
      </w:pPr>
    </w:p>
    <w:p>
      <w:pPr>
        <w:pStyle w:val="13"/>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3"/>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jc w:val="center"/>
        <w:outlineLvl w:val="9"/>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7"/>
        <w:ind w:firstLine="1126"/>
        <w:rPr>
          <w:rFonts w:hint="eastAsia"/>
          <w:color w:val="auto"/>
          <w:highlight w:val="none"/>
        </w:rPr>
      </w:pPr>
    </w:p>
    <w:p>
      <w:pPr>
        <w:jc w:val="center"/>
        <w:outlineLvl w:val="9"/>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22"/>
        <w:rPr>
          <w:rFonts w:hint="eastAsia" w:hAnsi="宋体"/>
          <w:b/>
          <w:color w:val="auto"/>
          <w:sz w:val="36"/>
          <w:szCs w:val="20"/>
          <w:highlight w:val="none"/>
        </w:rPr>
      </w:pPr>
    </w:p>
    <w:p>
      <w:pPr>
        <w:pStyle w:val="123"/>
        <w:rPr>
          <w:rFonts w:hint="eastAsia" w:hAnsi="宋体" w:cs="宋体"/>
          <w:color w:val="auto"/>
          <w:sz w:val="36"/>
          <w:szCs w:val="20"/>
          <w:highlight w:val="none"/>
        </w:rPr>
      </w:pPr>
    </w:p>
    <w:p>
      <w:pPr>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22"/>
        <w:rPr>
          <w:rFonts w:hint="eastAsia" w:hAnsi="宋体"/>
          <w:b/>
          <w:color w:val="auto"/>
          <w:sz w:val="36"/>
          <w:szCs w:val="20"/>
          <w:highlight w:val="none"/>
        </w:rPr>
      </w:pPr>
    </w:p>
    <w:p>
      <w:pPr>
        <w:pStyle w:val="123"/>
        <w:rPr>
          <w:rFonts w:hint="eastAsia" w:hAnsi="宋体" w:cs="宋体"/>
          <w:color w:val="auto"/>
          <w:sz w:val="36"/>
          <w:szCs w:val="20"/>
          <w:highlight w:val="none"/>
        </w:rPr>
      </w:pPr>
    </w:p>
    <w:p>
      <w:pPr>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22"/>
        <w:rPr>
          <w:rFonts w:hint="eastAsia" w:hAnsi="宋体"/>
          <w:b/>
          <w:color w:val="auto"/>
          <w:sz w:val="36"/>
          <w:szCs w:val="20"/>
          <w:highlight w:val="none"/>
        </w:rPr>
      </w:pPr>
    </w:p>
    <w:p>
      <w:pPr>
        <w:pStyle w:val="123"/>
        <w:rPr>
          <w:rFonts w:hint="eastAsia" w:hAnsi="宋体" w:cs="宋体"/>
          <w:color w:val="auto"/>
          <w:sz w:val="36"/>
          <w:szCs w:val="20"/>
          <w:highlight w:val="none"/>
        </w:rPr>
      </w:pPr>
    </w:p>
    <w:p>
      <w:pPr>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22"/>
        <w:rPr>
          <w:rFonts w:hint="eastAsia" w:hAnsi="宋体"/>
          <w:b/>
          <w:color w:val="auto"/>
          <w:sz w:val="36"/>
          <w:szCs w:val="20"/>
          <w:highlight w:val="none"/>
        </w:rPr>
      </w:pPr>
    </w:p>
    <w:p>
      <w:pPr>
        <w:pStyle w:val="123"/>
        <w:rPr>
          <w:rFonts w:hint="eastAsia" w:hAnsi="宋体" w:cs="宋体"/>
          <w:color w:val="auto"/>
          <w:sz w:val="36"/>
          <w:szCs w:val="20"/>
          <w:highlight w:val="none"/>
        </w:rPr>
      </w:pPr>
    </w:p>
    <w:p>
      <w:pPr>
        <w:rPr>
          <w:rFonts w:hint="eastAsia" w:ascii="宋体" w:hAnsi="宋体" w:cs="宋体"/>
          <w:b/>
          <w:color w:val="auto"/>
          <w:sz w:val="36"/>
          <w:szCs w:val="20"/>
          <w:highlight w:val="none"/>
        </w:rPr>
      </w:pPr>
    </w:p>
    <w:p>
      <w:pPr>
        <w:pStyle w:val="13"/>
        <w:rPr>
          <w:rFonts w:hint="eastAsia" w:ascii="宋体" w:hAnsi="宋体" w:cs="宋体"/>
          <w:b/>
          <w:color w:val="auto"/>
          <w:sz w:val="36"/>
          <w:szCs w:val="20"/>
          <w:highlight w:val="none"/>
        </w:rPr>
      </w:pPr>
    </w:p>
    <w:p>
      <w:pPr>
        <w:pStyle w:val="122"/>
        <w:rPr>
          <w:rFonts w:hint="eastAsia" w:hAnsi="宋体"/>
          <w:b/>
          <w:color w:val="auto"/>
          <w:sz w:val="36"/>
          <w:szCs w:val="20"/>
          <w:highlight w:val="none"/>
        </w:rPr>
      </w:pPr>
    </w:p>
    <w:p>
      <w:pPr>
        <w:pStyle w:val="123"/>
        <w:rPr>
          <w:rFonts w:hint="eastAsia" w:hAnsi="宋体" w:cs="宋体"/>
          <w:color w:val="auto"/>
          <w:sz w:val="36"/>
          <w:szCs w:val="20"/>
          <w:highlight w:val="none"/>
        </w:rPr>
      </w:pPr>
    </w:p>
    <w:p>
      <w:pPr>
        <w:rPr>
          <w:rFonts w:hint="eastAsia"/>
          <w:color w:val="auto"/>
          <w:highlight w:val="none"/>
        </w:rPr>
      </w:pPr>
    </w:p>
    <w:p>
      <w:pPr>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附件2：</w:t>
      </w:r>
    </w:p>
    <w:p>
      <w:pPr>
        <w:spacing w:line="528"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中小微企业划型标准</w:t>
      </w:r>
    </w:p>
    <w:tbl>
      <w:tblPr>
        <w:tblStyle w:val="46"/>
        <w:tblW w:w="9638" w:type="dxa"/>
        <w:jc w:val="center"/>
        <w:tblInd w:w="0" w:type="dxa"/>
        <w:tblLayout w:type="fixed"/>
        <w:tblCellMar>
          <w:top w:w="0" w:type="dxa"/>
          <w:left w:w="108" w:type="dxa"/>
          <w:bottom w:w="0" w:type="dxa"/>
          <w:right w:w="108" w:type="dxa"/>
        </w:tblCellMar>
      </w:tblPr>
      <w:tblGrid>
        <w:gridCol w:w="2027"/>
        <w:gridCol w:w="1474"/>
        <w:gridCol w:w="972"/>
        <w:gridCol w:w="2093"/>
        <w:gridCol w:w="1856"/>
        <w:gridCol w:w="1216"/>
      </w:tblGrid>
      <w:tr>
        <w:tblPrEx>
          <w:tblLayout w:type="fixed"/>
          <w:tblCellMar>
            <w:top w:w="0" w:type="dxa"/>
            <w:left w:w="108" w:type="dxa"/>
            <w:bottom w:w="0" w:type="dxa"/>
            <w:right w:w="108" w:type="dxa"/>
          </w:tblCellMar>
        </w:tblPrEx>
        <w:trPr>
          <w:trHeight w:val="285" w:hRule="atLeast"/>
          <w:jc w:val="center"/>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20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8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2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Layout w:type="fixed"/>
          <w:tblCellMar>
            <w:top w:w="0" w:type="dxa"/>
            <w:left w:w="108" w:type="dxa"/>
            <w:bottom w:w="0" w:type="dxa"/>
            <w:right w:w="108" w:type="dxa"/>
          </w:tblCellMar>
        </w:tblPrEx>
        <w:trPr>
          <w:trHeight w:val="225" w:hRule="atLeast"/>
          <w:jc w:val="center"/>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Layout w:type="fixed"/>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20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47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spacing w:line="360" w:lineRule="auto"/>
        <w:ind w:firstLine="525" w:firstLineChars="250"/>
        <w:jc w:val="left"/>
        <w:rPr>
          <w:color w:val="auto"/>
          <w:highlight w:val="none"/>
        </w:rPr>
        <w:sectPr>
          <w:headerReference r:id="rId11" w:type="first"/>
          <w:footerReference r:id="rId13" w:type="first"/>
          <w:footerReference r:id="rId12" w:type="default"/>
          <w:pgSz w:w="11910" w:h="16840"/>
          <w:pgMar w:top="1134" w:right="1500" w:bottom="1134" w:left="1680" w:header="720" w:footer="720" w:gutter="0"/>
          <w:pgBorders>
            <w:top w:val="none" w:sz="0" w:space="0"/>
            <w:left w:val="none" w:sz="0" w:space="0"/>
            <w:bottom w:val="none" w:sz="0" w:space="0"/>
            <w:right w:val="none" w:sz="0" w:space="0"/>
          </w:pgBorders>
          <w:cols w:space="720" w:num="1"/>
          <w:titlePg/>
          <w:docGrid w:linePitch="286"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rFonts w:hint="eastAsia"/>
          <w:color w:val="auto"/>
          <w:highlight w:val="none"/>
        </w:rPr>
      </w:pPr>
    </w:p>
    <w:p>
      <w:pPr>
        <w:pStyle w:val="3"/>
        <w:ind w:firstLine="2209" w:firstLineChars="500"/>
        <w:jc w:val="both"/>
        <w:outlineLvl w:val="9"/>
        <w:rPr>
          <w:color w:val="auto"/>
          <w:highlight w:val="none"/>
        </w:rPr>
      </w:pPr>
    </w:p>
    <w:p>
      <w:pPr>
        <w:pStyle w:val="3"/>
        <w:ind w:firstLine="2209" w:firstLineChars="500"/>
        <w:jc w:val="both"/>
        <w:outlineLvl w:val="9"/>
        <w:rPr>
          <w:color w:val="auto"/>
          <w:highlight w:val="none"/>
        </w:rPr>
      </w:pPr>
    </w:p>
    <w:p>
      <w:pPr>
        <w:pStyle w:val="3"/>
        <w:ind w:firstLine="2209" w:firstLineChars="500"/>
        <w:jc w:val="both"/>
        <w:rPr>
          <w:color w:val="auto"/>
          <w:highlight w:val="none"/>
        </w:rPr>
      </w:pPr>
      <w:bookmarkStart w:id="22" w:name="_Toc19693"/>
      <w:r>
        <w:rPr>
          <w:rFonts w:hint="eastAsia"/>
          <w:color w:val="auto"/>
          <w:highlight w:val="none"/>
        </w:rPr>
        <w:t>第四章  采购合同书（格式）</w:t>
      </w:r>
      <w:bookmarkEnd w:id="22"/>
    </w:p>
    <w:p>
      <w:pPr>
        <w:pStyle w:val="75"/>
        <w:ind w:firstLine="480"/>
        <w:jc w:val="center"/>
        <w:rPr>
          <w:color w:val="auto"/>
          <w:highlight w:val="none"/>
        </w:rPr>
      </w:pPr>
      <w:r>
        <w:rPr>
          <w:rFonts w:hint="eastAsia"/>
          <w:color w:val="auto"/>
          <w:highlight w:val="none"/>
        </w:rPr>
        <w:cr/>
      </w:r>
      <w:r>
        <w:rPr>
          <w:rFonts w:hint="eastAsia"/>
          <w:color w:val="auto"/>
          <w:highlight w:val="none"/>
        </w:rPr>
        <w:cr/>
      </w:r>
      <w:r>
        <w:rPr>
          <w:rFonts w:hint="eastAsia"/>
          <w:color w:val="auto"/>
          <w:highlight w:val="none"/>
        </w:rPr>
        <w:cr/>
      </w:r>
    </w:p>
    <w:p>
      <w:pPr>
        <w:pStyle w:val="75"/>
        <w:ind w:firstLine="480"/>
        <w:jc w:val="center"/>
        <w:rPr>
          <w:color w:val="auto"/>
          <w:highlight w:val="none"/>
        </w:rPr>
      </w:pPr>
    </w:p>
    <w:p>
      <w:pPr>
        <w:pStyle w:val="75"/>
        <w:ind w:firstLine="480"/>
        <w:jc w:val="center"/>
        <w:rPr>
          <w:color w:val="auto"/>
          <w:highlight w:val="none"/>
        </w:rPr>
      </w:pPr>
    </w:p>
    <w:p>
      <w:pPr>
        <w:pStyle w:val="75"/>
        <w:ind w:firstLine="480"/>
        <w:jc w:val="center"/>
        <w:rPr>
          <w:color w:val="auto"/>
          <w:highlight w:val="none"/>
        </w:rPr>
      </w:pPr>
    </w:p>
    <w:p>
      <w:pPr>
        <w:pStyle w:val="75"/>
        <w:ind w:firstLine="480"/>
        <w:jc w:val="center"/>
        <w:rPr>
          <w:color w:val="auto"/>
          <w:highlight w:val="none"/>
        </w:rPr>
      </w:pPr>
    </w:p>
    <w:p>
      <w:pPr>
        <w:pStyle w:val="75"/>
        <w:ind w:firstLine="480"/>
        <w:jc w:val="center"/>
        <w:rPr>
          <w:color w:val="auto"/>
          <w:highlight w:val="none"/>
        </w:rPr>
      </w:pPr>
    </w:p>
    <w:p>
      <w:pPr>
        <w:pStyle w:val="75"/>
        <w:ind w:firstLine="0" w:firstLineChars="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采购合同</w:t>
      </w:r>
    </w:p>
    <w:p>
      <w:pPr>
        <w:jc w:val="center"/>
        <w:rPr>
          <w:rFonts w:ascii="黑体" w:eastAsia="黑体"/>
          <w:b/>
          <w:color w:val="auto"/>
          <w:sz w:val="32"/>
          <w:highlight w:val="none"/>
        </w:rPr>
      </w:pP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（注：本合同样本仅供参考，具体内容由采购人和成交供应商协商确定，但补充和修改不得造成与本章格式内容有实质性的违背。）</w:t>
      </w:r>
    </w:p>
    <w:p>
      <w:pPr>
        <w:jc w:val="center"/>
        <w:rPr>
          <w:color w:val="auto"/>
          <w:sz w:val="28"/>
          <w:highlight w:val="none"/>
        </w:rPr>
      </w:pPr>
    </w:p>
    <w:p>
      <w:pPr>
        <w:jc w:val="center"/>
        <w:rPr>
          <w:color w:val="auto"/>
          <w:sz w:val="28"/>
          <w:highlight w:val="none"/>
        </w:rPr>
      </w:pPr>
    </w:p>
    <w:p>
      <w:pPr>
        <w:jc w:val="center"/>
        <w:rPr>
          <w:color w:val="auto"/>
          <w:sz w:val="28"/>
          <w:highlight w:val="none"/>
        </w:rPr>
      </w:pPr>
    </w:p>
    <w:p>
      <w:pPr>
        <w:rPr>
          <w:color w:val="auto"/>
          <w:sz w:val="32"/>
          <w:highlight w:val="none"/>
        </w:rPr>
      </w:pPr>
    </w:p>
    <w:p>
      <w:pPr>
        <w:ind w:firstLine="1760" w:firstLineChars="550"/>
        <w:rPr>
          <w:color w:val="auto"/>
          <w:sz w:val="32"/>
          <w:highlight w:val="none"/>
        </w:rPr>
      </w:pPr>
    </w:p>
    <w:p>
      <w:pPr>
        <w:ind w:firstLine="1760" w:firstLineChars="550"/>
        <w:rPr>
          <w:color w:val="auto"/>
          <w:sz w:val="32"/>
          <w:highlight w:val="none"/>
        </w:rPr>
      </w:pPr>
    </w:p>
    <w:p>
      <w:pPr>
        <w:ind w:firstLine="1760" w:firstLineChars="550"/>
        <w:rPr>
          <w:color w:val="auto"/>
          <w:sz w:val="32"/>
          <w:highlight w:val="none"/>
        </w:rPr>
      </w:pPr>
    </w:p>
    <w:p>
      <w:pPr>
        <w:ind w:firstLine="1760" w:firstLineChars="550"/>
        <w:rPr>
          <w:color w:val="auto"/>
          <w:sz w:val="32"/>
          <w:highlight w:val="none"/>
        </w:rPr>
      </w:pPr>
    </w:p>
    <w:p>
      <w:pPr>
        <w:ind w:firstLine="1760" w:firstLineChars="550"/>
        <w:rPr>
          <w:color w:val="auto"/>
          <w:sz w:val="32"/>
          <w:highlight w:val="none"/>
        </w:rPr>
      </w:pPr>
      <w:r>
        <w:rPr>
          <w:rFonts w:hint="eastAsia"/>
          <w:color w:val="auto"/>
          <w:sz w:val="32"/>
          <w:highlight w:val="none"/>
        </w:rPr>
        <w:t>合同名称：</w:t>
      </w:r>
    </w:p>
    <w:p>
      <w:pPr>
        <w:ind w:firstLine="1760" w:firstLineChars="550"/>
        <w:rPr>
          <w:color w:val="auto"/>
          <w:sz w:val="32"/>
          <w:highlight w:val="none"/>
        </w:rPr>
      </w:pPr>
    </w:p>
    <w:p>
      <w:pPr>
        <w:ind w:firstLine="1760" w:firstLineChars="550"/>
        <w:rPr>
          <w:color w:val="auto"/>
          <w:sz w:val="32"/>
          <w:highlight w:val="none"/>
        </w:rPr>
      </w:pPr>
      <w:r>
        <w:rPr>
          <w:rFonts w:hint="eastAsia"/>
          <w:color w:val="auto"/>
          <w:sz w:val="32"/>
          <w:highlight w:val="none"/>
        </w:rPr>
        <w:t>合同编号：</w:t>
      </w:r>
    </w:p>
    <w:p>
      <w:pPr>
        <w:rPr>
          <w:color w:val="auto"/>
          <w:sz w:val="32"/>
          <w:highlight w:val="none"/>
        </w:rPr>
      </w:pPr>
    </w:p>
    <w:p>
      <w:pPr>
        <w:ind w:firstLine="1760" w:firstLineChars="550"/>
        <w:rPr>
          <w:color w:val="auto"/>
          <w:sz w:val="32"/>
          <w:highlight w:val="none"/>
        </w:rPr>
      </w:pPr>
      <w:r>
        <w:rPr>
          <w:rFonts w:hint="eastAsia"/>
          <w:color w:val="auto"/>
          <w:sz w:val="32"/>
          <w:highlight w:val="none"/>
        </w:rPr>
        <w:t>签订合同地点：</w:t>
      </w:r>
    </w:p>
    <w:p>
      <w:pPr>
        <w:ind w:firstLine="1760" w:firstLineChars="550"/>
        <w:rPr>
          <w:color w:val="auto"/>
          <w:sz w:val="32"/>
          <w:highlight w:val="none"/>
        </w:rPr>
      </w:pPr>
    </w:p>
    <w:p>
      <w:pPr>
        <w:ind w:firstLine="1760" w:firstLineChars="550"/>
        <w:rPr>
          <w:rFonts w:hAnsi="宋体"/>
          <w:color w:val="auto"/>
          <w:highlight w:val="none"/>
        </w:rPr>
      </w:pPr>
      <w:r>
        <w:rPr>
          <w:rFonts w:hint="eastAsia"/>
          <w:color w:val="auto"/>
          <w:sz w:val="32"/>
          <w:highlight w:val="none"/>
        </w:rPr>
        <w:t xml:space="preserve">签订合同时间：  </w:t>
      </w:r>
    </w:p>
    <w:p>
      <w:pPr>
        <w:pStyle w:val="20"/>
        <w:rPr>
          <w:rFonts w:hint="default" w:hAnsi="宋体"/>
          <w:b/>
          <w:color w:val="auto"/>
          <w:sz w:val="24"/>
          <w:highlight w:val="none"/>
        </w:rPr>
      </w:pPr>
    </w:p>
    <w:p>
      <w:pPr>
        <w:snapToGrid w:val="0"/>
        <w:spacing w:line="480" w:lineRule="exact"/>
        <w:jc w:val="center"/>
        <w:rPr>
          <w:rFonts w:hint="eastAsia" w:ascii="宋体" w:hAnsi="宋体"/>
          <w:b/>
          <w:bCs/>
          <w:color w:val="auto"/>
          <w:sz w:val="32"/>
          <w:szCs w:val="32"/>
          <w:highlight w:val="none"/>
        </w:rPr>
      </w:pPr>
      <w:r>
        <w:rPr>
          <w:rFonts w:hAnsi="宋体"/>
          <w:b/>
          <w:color w:val="auto"/>
          <w:sz w:val="24"/>
          <w:highlight w:val="none"/>
        </w:rPr>
        <w:br w:type="page"/>
      </w:r>
      <w:r>
        <w:rPr>
          <w:rFonts w:hint="eastAsia" w:ascii="宋体" w:hAnsi="宋体"/>
          <w:b/>
          <w:bCs/>
          <w:color w:val="auto"/>
          <w:sz w:val="32"/>
          <w:szCs w:val="32"/>
          <w:highlight w:val="none"/>
        </w:rPr>
        <w:t>政府采购合同</w:t>
      </w:r>
    </w:p>
    <w:p>
      <w:pPr>
        <w:spacing w:line="560" w:lineRule="exact"/>
        <w:ind w:firstLine="420"/>
        <w:rPr>
          <w:rFonts w:hint="eastAsia" w:ascii="宋体" w:hAnsi="宋体" w:cs="宋体"/>
          <w:color w:val="auto"/>
          <w:kern w:val="0"/>
          <w:szCs w:val="21"/>
        </w:rPr>
      </w:pPr>
      <w:r>
        <w:rPr>
          <w:rFonts w:hint="eastAsia" w:ascii="宋体" w:hAnsi="宋体" w:cs="宋体"/>
          <w:color w:val="auto"/>
          <w:kern w:val="0"/>
          <w:szCs w:val="21"/>
          <w:lang w:eastAsia="zh-CN"/>
        </w:rPr>
        <w:t>合同编</w:t>
      </w:r>
      <w:r>
        <w:rPr>
          <w:rFonts w:hint="eastAsia" w:ascii="宋体" w:hAnsi="宋体" w:cs="宋体"/>
          <w:color w:val="auto"/>
          <w:kern w:val="0"/>
          <w:szCs w:val="21"/>
        </w:rPr>
        <w:t>号：</w:t>
      </w:r>
    </w:p>
    <w:p>
      <w:pPr>
        <w:spacing w:line="560" w:lineRule="exact"/>
        <w:ind w:firstLine="420"/>
        <w:rPr>
          <w:rFonts w:ascii="宋体" w:hAnsi="宋体" w:cs="宋体"/>
          <w:color w:val="auto"/>
          <w:kern w:val="0"/>
          <w:szCs w:val="21"/>
        </w:rPr>
      </w:pPr>
      <w:r>
        <w:rPr>
          <w:rFonts w:ascii="宋体" w:hAnsi="宋体" w:cs="宋体"/>
          <w:color w:val="auto"/>
          <w:kern w:val="0"/>
          <w:szCs w:val="21"/>
        </w:rPr>
        <w:t xml:space="preserve">项目名称：           </w:t>
      </w:r>
      <w:r>
        <w:rPr>
          <w:rFonts w:hint="eastAsia" w:ascii="宋体" w:hAnsi="宋体" w:cs="宋体"/>
          <w:color w:val="auto"/>
          <w:kern w:val="0"/>
          <w:szCs w:val="21"/>
          <w:lang w:val="en-US" w:eastAsia="zh-CN"/>
        </w:rPr>
        <w:t xml:space="preserve">            </w:t>
      </w:r>
      <w:r>
        <w:rPr>
          <w:rFonts w:ascii="宋体" w:hAnsi="宋体" w:cs="宋体"/>
          <w:color w:val="auto"/>
          <w:kern w:val="0"/>
          <w:szCs w:val="21"/>
        </w:rPr>
        <w:t xml:space="preserve"> 项目编号：</w:t>
      </w:r>
    </w:p>
    <w:p>
      <w:pPr>
        <w:spacing w:line="560" w:lineRule="exact"/>
        <w:ind w:firstLine="420"/>
        <w:rPr>
          <w:rFonts w:ascii="宋体" w:hAnsi="宋体" w:cs="宋体"/>
          <w:color w:val="auto"/>
          <w:kern w:val="0"/>
          <w:szCs w:val="21"/>
        </w:rPr>
      </w:pPr>
      <w:r>
        <w:rPr>
          <w:rFonts w:ascii="宋体" w:hAnsi="宋体" w:cs="宋体"/>
          <w:color w:val="auto"/>
          <w:kern w:val="0"/>
          <w:szCs w:val="21"/>
        </w:rPr>
        <w:t>甲方（采购人）：                   乙方（成交人）：</w:t>
      </w:r>
    </w:p>
    <w:p>
      <w:pPr>
        <w:spacing w:line="360" w:lineRule="exact"/>
        <w:rPr>
          <w:rFonts w:ascii="宋体" w:hAnsi="宋体" w:cs="宋体"/>
          <w:color w:val="auto"/>
          <w:kern w:val="0"/>
          <w:szCs w:val="21"/>
        </w:rPr>
      </w:pPr>
      <w:r>
        <w:rPr>
          <w:rFonts w:ascii="宋体" w:hAnsi="宋体" w:cs="宋体"/>
          <w:color w:val="auto"/>
          <w:kern w:val="0"/>
          <w:szCs w:val="21"/>
        </w:rPr>
        <w:t xml:space="preserve">   </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根据《中华人民共和国政府采购法》、《中华人民共和国民法典》等法律、法规规定，按照</w:t>
      </w:r>
      <w:r>
        <w:rPr>
          <w:rFonts w:hint="eastAsia" w:ascii="宋体" w:hAnsi="宋体" w:cs="宋体"/>
          <w:color w:val="auto"/>
          <w:kern w:val="0"/>
          <w:szCs w:val="21"/>
          <w:lang w:eastAsia="zh-CN"/>
        </w:rPr>
        <w:t>项目采购</w:t>
      </w:r>
      <w:r>
        <w:rPr>
          <w:rFonts w:hint="eastAsia" w:ascii="宋体" w:hAnsi="宋体" w:cs="宋体"/>
          <w:color w:val="auto"/>
          <w:kern w:val="0"/>
          <w:szCs w:val="21"/>
        </w:rPr>
        <w:t>文件规定条款和乙方响应文件及其承诺，甲乙双方签订本合同。</w:t>
      </w:r>
    </w:p>
    <w:p>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一、</w:t>
      </w:r>
      <w:r>
        <w:rPr>
          <w:rFonts w:hint="eastAsia" w:ascii="宋体" w:hAnsi="宋体" w:cs="宋体"/>
          <w:b/>
          <w:bCs/>
          <w:color w:val="auto"/>
          <w:kern w:val="0"/>
          <w:szCs w:val="21"/>
          <w:highlight w:val="none"/>
        </w:rPr>
        <w:t>合同文件</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本合同所附下列文件是构成本合同不可分割的部分：</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⑴ 合同基本条款</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⑵ 乙方提交的</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、报价表和售后服务承诺等全部响应文件</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⑶ 项目需求</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⑷ 成交通知书</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⑸ 甲、乙双方商定的补充协议</w:t>
      </w:r>
    </w:p>
    <w:p>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二、</w:t>
      </w:r>
      <w:r>
        <w:rPr>
          <w:rFonts w:hint="eastAsia" w:ascii="宋体" w:hAnsi="宋体" w:cs="宋体"/>
          <w:b/>
          <w:bCs/>
          <w:color w:val="auto"/>
          <w:kern w:val="0"/>
          <w:szCs w:val="21"/>
          <w:highlight w:val="none"/>
        </w:rPr>
        <w:t>合同范围和条件</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本合同的范围和条件应与上述合同文件的规定相一致。</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甲、乙双方应将</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文件、响应文件及</w:t>
      </w:r>
      <w:r>
        <w:rPr>
          <w:rFonts w:hint="eastAsia" w:ascii="宋体" w:hAnsi="宋体" w:cs="宋体"/>
          <w:color w:val="auto"/>
          <w:kern w:val="0"/>
          <w:szCs w:val="21"/>
          <w:highlight w:val="none"/>
          <w:lang w:eastAsia="zh-CN"/>
        </w:rPr>
        <w:t>评审</w:t>
      </w:r>
      <w:r>
        <w:rPr>
          <w:rFonts w:hint="eastAsia" w:ascii="宋体" w:hAnsi="宋体" w:cs="宋体"/>
          <w:color w:val="auto"/>
          <w:kern w:val="0"/>
          <w:szCs w:val="21"/>
          <w:highlight w:val="none"/>
        </w:rPr>
        <w:t>小组确认的货物名称、规格型号、技术要求、质量标准、数量、交货日期、交货地点和售后服务内容等作为本条款的基础。</w:t>
      </w:r>
    </w:p>
    <w:p>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三、</w:t>
      </w:r>
      <w:r>
        <w:rPr>
          <w:rFonts w:hint="eastAsia" w:ascii="宋体" w:hAnsi="宋体" w:cs="宋体"/>
          <w:b/>
          <w:bCs/>
          <w:color w:val="auto"/>
          <w:kern w:val="0"/>
          <w:szCs w:val="21"/>
          <w:highlight w:val="none"/>
        </w:rPr>
        <w:t>货物采购和服务内容</w:t>
      </w:r>
    </w:p>
    <w:tbl>
      <w:tblPr>
        <w:tblStyle w:val="46"/>
        <w:tblW w:w="8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0"/>
        <w:gridCol w:w="830"/>
        <w:gridCol w:w="1875"/>
        <w:gridCol w:w="1830"/>
        <w:gridCol w:w="885"/>
        <w:gridCol w:w="1440"/>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货物名称</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数量及单位</w:t>
            </w:r>
          </w:p>
          <w:p>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①</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品牌、生产厂家及国别</w:t>
            </w:r>
          </w:p>
        </w:tc>
        <w:tc>
          <w:tcPr>
            <w:tcW w:w="183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型号规格、详细技术参数、性能配置</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单项合价</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③=①×②</w:t>
            </w: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pacing w:val="-6"/>
                <w:szCs w:val="21"/>
                <w:highlight w:val="none"/>
              </w:rPr>
            </w:pPr>
          </w:p>
        </w:tc>
      </w:tr>
    </w:tbl>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3.1乙方应按</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文件规定的时间向甲方提供安装使用货物配套件所属装置等有关技术文件资料。</w:t>
      </w:r>
    </w:p>
    <w:p>
      <w:pPr>
        <w:spacing w:line="360" w:lineRule="auto"/>
        <w:ind w:firstLine="420"/>
        <w:rPr>
          <w:rFonts w:hint="eastAsia" w:ascii="宋体" w:hAnsi="宋体" w:cs="宋体"/>
          <w:b/>
          <w:bCs/>
          <w:color w:val="auto"/>
          <w:kern w:val="0"/>
          <w:szCs w:val="21"/>
          <w:highlight w:val="none"/>
        </w:rPr>
      </w:pPr>
      <w:r>
        <w:rPr>
          <w:rFonts w:hint="eastAsia" w:ascii="宋体" w:hAnsi="宋体" w:cs="宋体"/>
          <w:color w:val="auto"/>
          <w:kern w:val="0"/>
          <w:szCs w:val="21"/>
          <w:highlight w:val="none"/>
        </w:rPr>
        <w:t>3.2乙方提供的货物应有符合国家标准以及本产品的出厂标准的质量检验证明。</w:t>
      </w:r>
    </w:p>
    <w:p>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四、</w:t>
      </w:r>
      <w:r>
        <w:rPr>
          <w:rFonts w:hint="eastAsia" w:ascii="宋体" w:hAnsi="宋体" w:cs="宋体"/>
          <w:b/>
          <w:bCs/>
          <w:color w:val="auto"/>
          <w:kern w:val="0"/>
          <w:szCs w:val="21"/>
          <w:highlight w:val="none"/>
        </w:rPr>
        <w:t>合同金额</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根据成交通知书的成交内容，合同的总金额为：</w:t>
      </w:r>
      <w:r>
        <w:rPr>
          <w:rFonts w:hint="eastAsia" w:ascii="宋体" w:hAnsi="宋体" w:cs="宋体"/>
          <w:color w:val="auto"/>
          <w:kern w:val="0"/>
          <w:szCs w:val="21"/>
          <w:highlight w:val="none"/>
          <w:u w:val="single"/>
        </w:rPr>
        <w:t>人民币（大写）（¥  元）</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Hans"/>
        </w:rPr>
        <w:t>合同金额包括但不限于货物、零配件、运输、安装、调试、培训、质保期内的维护</w:t>
      </w:r>
      <w:r>
        <w:rPr>
          <w:rFonts w:hint="eastAsia" w:ascii="宋体" w:hAnsi="宋体" w:cs="宋体"/>
          <w:color w:val="auto"/>
          <w:kern w:val="0"/>
          <w:szCs w:val="21"/>
          <w:highlight w:val="none"/>
        </w:rPr>
        <w:t>。</w:t>
      </w:r>
    </w:p>
    <w:p>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付款条件</w:t>
      </w:r>
    </w:p>
    <w:p>
      <w:pPr>
        <w:spacing w:line="360" w:lineRule="auto"/>
        <w:ind w:firstLine="420"/>
        <w:rPr>
          <w:rFonts w:hint="eastAsia" w:ascii="宋体" w:hAnsi="宋体" w:cs="宋体"/>
          <w:color w:val="auto"/>
          <w:szCs w:val="21"/>
          <w:highlight w:val="none"/>
        </w:rPr>
      </w:pPr>
      <w:r>
        <w:rPr>
          <w:rFonts w:hint="eastAsia" w:ascii="宋体" w:hAnsi="宋体" w:cs="宋体"/>
          <w:color w:val="auto"/>
          <w:kern w:val="0"/>
          <w:szCs w:val="21"/>
          <w:highlight w:val="none"/>
        </w:rPr>
        <w:t>5.1、付款方式：</w:t>
      </w:r>
      <w:r>
        <w:rPr>
          <w:rFonts w:hint="eastAsia" w:ascii="宋体" w:hAnsi="宋体" w:cs="宋体"/>
          <w:color w:val="auto"/>
          <w:szCs w:val="21"/>
          <w:highlight w:val="none"/>
          <w:lang w:eastAsia="zh-Hans"/>
        </w:rPr>
        <w:t>双方签订合同后，</w:t>
      </w:r>
      <w:r>
        <w:rPr>
          <w:rFonts w:hint="eastAsia" w:ascii="宋体" w:hAnsi="宋体" w:cs="宋体"/>
          <w:color w:val="auto"/>
          <w:szCs w:val="21"/>
          <w:highlight w:val="none"/>
        </w:rPr>
        <w:t>乙方在甲方指定地点交货、安装、调试，经甲方验收合格后，甲方一年内支付合同总价款</w:t>
      </w:r>
      <w:r>
        <w:rPr>
          <w:rFonts w:hint="eastAsia" w:ascii="宋体" w:hAnsi="宋体" w:cs="宋体"/>
          <w:color w:val="auto"/>
          <w:szCs w:val="21"/>
          <w:highlight w:val="none"/>
          <w:lang w:val="en-US" w:eastAsia="zh-CN"/>
        </w:rPr>
        <w:t>的100%</w:t>
      </w:r>
      <w:r>
        <w:rPr>
          <w:rFonts w:hint="eastAsia" w:ascii="宋体" w:hAnsi="宋体" w:cs="宋体"/>
          <w:color w:val="auto"/>
          <w:szCs w:val="21"/>
          <w:highlight w:val="none"/>
        </w:rPr>
        <w:t>。（注：甲方在付款前，通知乙方提供经甲方核定的合同标的金额的增值税发票（符合税法规定），乙方未按时提供增值税发票导致支付延时的责任自负，且乙方应在付款前向甲方提供合同标的金额的增值税发票，否则甲方有权拒绝付款，由此产生的责任由乙方承担。）</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5.2、乙方不得随意改变对公交易开户名称、开户银行、账号，若随意变动的，属于违反相关财务制度和税收制度，由此产生的后果由乙方自负。</w:t>
      </w:r>
    </w:p>
    <w:p>
      <w:pPr>
        <w:spacing w:line="360" w:lineRule="auto"/>
        <w:ind w:firstLine="422" w:firstLineChars="200"/>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六、质量保证</w:t>
      </w:r>
    </w:p>
    <w:p>
      <w:pPr>
        <w:spacing w:line="360" w:lineRule="auto"/>
        <w:ind w:firstLine="422" w:firstLineChars="200"/>
        <w:rPr>
          <w:rFonts w:hint="eastAsia" w:ascii="宋体" w:hAnsi="宋体" w:cs="宋体"/>
          <w:bCs/>
          <w:color w:val="auto"/>
          <w:kern w:val="0"/>
          <w:szCs w:val="21"/>
          <w:highlight w:val="none"/>
        </w:rPr>
      </w:pPr>
      <w:r>
        <w:rPr>
          <w:rFonts w:hint="eastAsia" w:ascii="宋体" w:hAnsi="宋体" w:cs="宋体"/>
          <w:b/>
          <w:bCs/>
          <w:color w:val="auto"/>
          <w:kern w:val="0"/>
          <w:szCs w:val="21"/>
          <w:highlight w:val="none"/>
          <w:lang w:val="en-US" w:eastAsia="zh-CN"/>
        </w:rPr>
        <w:t>6.1</w:t>
      </w:r>
      <w:r>
        <w:rPr>
          <w:rFonts w:hint="eastAsia" w:ascii="宋体" w:hAnsi="宋体" w:cs="宋体"/>
          <w:b/>
          <w:bCs/>
          <w:color w:val="auto"/>
          <w:kern w:val="0"/>
          <w:szCs w:val="21"/>
          <w:highlight w:val="none"/>
        </w:rPr>
        <w:t xml:space="preserve">质保期: </w:t>
      </w:r>
      <w:r>
        <w:rPr>
          <w:rFonts w:hint="eastAsia" w:ascii="宋体" w:hAnsi="宋体" w:cs="宋体"/>
          <w:bCs/>
          <w:color w:val="auto"/>
          <w:kern w:val="0"/>
          <w:szCs w:val="21"/>
          <w:highlight w:val="none"/>
        </w:rPr>
        <w:t xml:space="preserve">自货物验收合格之日起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6.2</w:t>
      </w:r>
      <w:r>
        <w:rPr>
          <w:rFonts w:hint="eastAsia" w:ascii="宋体" w:hAnsi="宋体" w:cs="宋体"/>
          <w:color w:val="auto"/>
          <w:kern w:val="0"/>
          <w:szCs w:val="21"/>
          <w:highlight w:val="none"/>
        </w:rPr>
        <w:t>乙方应按</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文件及响应文件的货物性能、技术要求、质量标准向甲方提供未经使用的且是近1-2年生产的全新的产品。</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6.3</w:t>
      </w:r>
      <w:r>
        <w:rPr>
          <w:rFonts w:hint="eastAsia" w:ascii="宋体" w:hAnsi="宋体" w:cs="宋体"/>
          <w:color w:val="auto"/>
          <w:kern w:val="0"/>
          <w:szCs w:val="21"/>
          <w:highlight w:val="none"/>
        </w:rPr>
        <w:t>乙方提供货物的质量保证期按交货验收合格之日起计（期限见《项目需求》中的要求）。在保证期内因货物本身的质量问题发生故障，乙方应负责免费修理和更换零部件。对达不到技术要求者，根据实际情况，经双方协商，可按以下办法处理：</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（1）更换：由乙方承担所发生的全部费用。</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（2）退货处理：乙方应退还甲方支付的货物款，同时应承担该货物的直接费用(运输、保险、检验、货款利息及银行手续费等)。</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6.4</w:t>
      </w:r>
      <w:r>
        <w:rPr>
          <w:rFonts w:hint="eastAsia" w:ascii="宋体" w:hAnsi="宋体" w:cs="宋体"/>
          <w:color w:val="auto"/>
          <w:kern w:val="0"/>
          <w:szCs w:val="21"/>
          <w:highlight w:val="none"/>
        </w:rPr>
        <w:t>如在使用过程中发生质量问题，乙方在接到甲方通知后按《项目需求》中要求的时间内到达甲方现场。</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6.5</w:t>
      </w:r>
      <w:r>
        <w:rPr>
          <w:rFonts w:hint="eastAsia" w:ascii="宋体" w:hAnsi="宋体" w:cs="宋体"/>
          <w:color w:val="auto"/>
          <w:kern w:val="0"/>
          <w:szCs w:val="21"/>
          <w:highlight w:val="none"/>
        </w:rPr>
        <w:t>在质保期内，乙方应对货物出现的质量及安全问题负责处理解决并承担一切费用。</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6.6</w:t>
      </w:r>
      <w:r>
        <w:rPr>
          <w:rFonts w:hint="eastAsia" w:ascii="宋体" w:hAnsi="宋体" w:cs="宋体"/>
          <w:color w:val="auto"/>
          <w:kern w:val="0"/>
          <w:szCs w:val="21"/>
          <w:highlight w:val="none"/>
        </w:rPr>
        <w:t>设备如有需要，乙方需配备与之相适应的不间断稳压电源（UPS），保障特殊断电情况下设备的临时电源供应。</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6.7</w:t>
      </w:r>
      <w:r>
        <w:rPr>
          <w:rFonts w:hint="eastAsia" w:ascii="宋体" w:hAnsi="宋体" w:cs="宋体"/>
          <w:color w:val="auto"/>
          <w:kern w:val="0"/>
          <w:szCs w:val="21"/>
          <w:highlight w:val="none"/>
        </w:rPr>
        <w:t>设备所用软件需提供终身免费升级。</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6.8</w:t>
      </w:r>
      <w:r>
        <w:rPr>
          <w:rFonts w:hint="eastAsia" w:ascii="宋体" w:hAnsi="宋体" w:cs="宋体"/>
          <w:color w:val="auto"/>
          <w:kern w:val="0"/>
          <w:szCs w:val="21"/>
          <w:highlight w:val="none"/>
        </w:rPr>
        <w:t>设备如有需要，乙方需免费提供与甲方系统的对接服务。</w:t>
      </w:r>
    </w:p>
    <w:p>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七、</w:t>
      </w:r>
      <w:r>
        <w:rPr>
          <w:rFonts w:hint="eastAsia" w:ascii="宋体" w:hAnsi="宋体" w:cs="宋体"/>
          <w:b/>
          <w:bCs/>
          <w:color w:val="auto"/>
          <w:kern w:val="0"/>
          <w:szCs w:val="21"/>
          <w:highlight w:val="none"/>
        </w:rPr>
        <w:t>项目完成时间</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Hans"/>
        </w:rPr>
        <w:t>自签订合同之日起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eastAsia="zh-Hans"/>
        </w:rPr>
        <w:t>日内安装调试完毕并交付使用。</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bCs/>
          <w:color w:val="auto"/>
          <w:kern w:val="0"/>
          <w:szCs w:val="21"/>
          <w:highlight w:val="none"/>
          <w:lang w:eastAsia="zh-CN"/>
        </w:rPr>
        <w:t>八、</w:t>
      </w:r>
      <w:r>
        <w:rPr>
          <w:rFonts w:hint="eastAsia" w:ascii="宋体" w:hAnsi="宋体" w:cs="宋体"/>
          <w:b/>
          <w:color w:val="auto"/>
          <w:kern w:val="0"/>
          <w:szCs w:val="21"/>
          <w:highlight w:val="none"/>
        </w:rPr>
        <w:t>验收、安装和培训</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8.1</w:t>
      </w:r>
      <w:r>
        <w:rPr>
          <w:rFonts w:hint="eastAsia" w:ascii="宋体" w:hAnsi="宋体" w:cs="宋体"/>
          <w:color w:val="auto"/>
          <w:kern w:val="0"/>
          <w:szCs w:val="21"/>
          <w:highlight w:val="none"/>
        </w:rPr>
        <w:t>乙方交货前应对产品作出全面检查和对验收文件进行整理列出清单，作为甲方收货验收和使用的技术条件依据，检验的结果应随货物交甲方。</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8.2</w:t>
      </w:r>
      <w:r>
        <w:rPr>
          <w:rFonts w:hint="eastAsia" w:ascii="宋体" w:hAnsi="宋体" w:cs="仿宋"/>
          <w:bCs/>
          <w:color w:val="auto"/>
          <w:szCs w:val="21"/>
          <w:highlight w:val="none"/>
        </w:rPr>
        <w:t>甲方自行组织或委托政府采购代理机构组织初步验收及最终（安装）验收，由甲方或政府采购代理机构组织相关专业专家到场参与验收。如项目属于技术复杂的货物，甲方聘请国家认可的专业检测机构参与初步验收及最终（安装）验收，与甲方或政府采购代理机构组织的相关专业专家共同组成验收小组。验收时乙方必须在现场，验收完毕后出具验收结果报告；验收所产生的费用（包含但不限于聘请专家、检测机构费用）由乙方承担。</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8.3</w:t>
      </w:r>
      <w:r>
        <w:rPr>
          <w:rFonts w:hint="eastAsia" w:ascii="宋体" w:hAnsi="宋体" w:cs="仿宋"/>
          <w:bCs/>
          <w:color w:val="auto"/>
          <w:szCs w:val="21"/>
          <w:highlight w:val="none"/>
        </w:rPr>
        <w:t>验收时间以本项目验收方案约定的验收时间为准，验收结果以本项目验收报告结论为准。</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初步验收：</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8.4.1</w:t>
      </w:r>
      <w:r>
        <w:rPr>
          <w:rFonts w:hint="eastAsia" w:ascii="宋体" w:hAnsi="宋体" w:cs="仿宋"/>
          <w:bCs/>
          <w:color w:val="auto"/>
          <w:szCs w:val="21"/>
          <w:highlight w:val="none"/>
        </w:rPr>
        <w:t>甲方（或验收小组）对乙方提交的货物，依据招标文件上的技术规格要求和国家有关质量标准进行现场初步验收，产品外观、说明书符合招标文件技术要求的，给予签收；对不符合要求的货物视为初步验收不合格不予签收，可立即要求退换，乙方不得拒绝和延误。</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2乙方应将所提供货物的装箱清单、用户手册、原厂保修卡、随机资料、工具和备品、备件、合格证明、医疗器械注册证及医疗器械登记表（如有）、生产许可证、经营许可证复印件加盖公章交付给甲方（或验收小组）,并列出清单,作为甲方（或验收小组）收货验收和使用的技术条件依据，检验的结果应随货物交甲方（或验收小组）。如有缺失应及时补齐，否则视为逾期交货。</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3乙方应按投标文件要求提供设备纸质版或电子版的操作规程和维护保养流程。提供设备维护手册、维修手册、软件备份、故障代码表、备件清单、零部件、维修密码、软件光盘及软件安装流程等维护维修必需的材料和信息。</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4甲方（或验收小组）应当在到货后15个工作日内进行初步验收，逾期不验收的，乙方可视同初步验收合格。初步验收合格后由甲乙双方签署货物初步验收单并加盖采购单位公章，甲乙双方各执一份。</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最终（安装后）验收：</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1初步验收合格并安装完成后，甲方对乙方提供的货物在使用运行前进行调试时，乙方需负责培训甲方的使用操作人员，并协助甲方一起调试，直到符合技术要求，甲方（或验收小组）开展最终（安装后）验收活动。</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2由甲方（或验收小组）进行最终（安装后）验收，验收内容包括采购项目的每一项技术要求和商务要求（含乙方投标文件响应的技术和商务内容）、合同与补充合同的约定，并按照招标文件上的技术规格要求和国家有关质量标准验收。</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3验收结束后，应当出具验收报告，列明各项标准的验收情况及项目总体评价，由验收各方共同签署。对不符合要求或有质量问题的货物视为最终（安装后）验收不合格的，可立即要求退换，乙方不得拒绝和延误。</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8.6</w:t>
      </w:r>
      <w:r>
        <w:rPr>
          <w:rFonts w:hint="eastAsia" w:ascii="宋体" w:hAnsi="宋体" w:cs="仿宋"/>
          <w:bCs/>
          <w:color w:val="auto"/>
          <w:szCs w:val="21"/>
          <w:highlight w:val="none"/>
        </w:rPr>
        <w:t>甲方对验收有异议的，在验收后五个工作日内以书面形式向乙方提出，乙方应自收到甲方书面异议后五个工作日内及时予以解决。</w:t>
      </w:r>
    </w:p>
    <w:p>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8.7</w:t>
      </w:r>
      <w:r>
        <w:rPr>
          <w:rFonts w:hint="eastAsia" w:ascii="宋体" w:hAnsi="宋体" w:cs="仿宋"/>
          <w:bCs/>
          <w:color w:val="auto"/>
          <w:szCs w:val="21"/>
          <w:highlight w:val="none"/>
        </w:rPr>
        <w:t>负责免费完成设备的控评和验收报告，免费配合</w:t>
      </w:r>
      <w:r>
        <w:rPr>
          <w:rFonts w:hint="eastAsia" w:ascii="宋体" w:hAnsi="宋体" w:cs="仿宋"/>
          <w:bCs/>
          <w:color w:val="auto"/>
          <w:szCs w:val="21"/>
          <w:highlight w:val="none"/>
          <w:lang w:val="en-US" w:eastAsia="zh-CN"/>
        </w:rPr>
        <w:t>甲方</w:t>
      </w:r>
      <w:r>
        <w:rPr>
          <w:rFonts w:hint="eastAsia" w:ascii="宋体" w:hAnsi="宋体" w:cs="仿宋"/>
          <w:bCs/>
          <w:color w:val="auto"/>
          <w:szCs w:val="21"/>
          <w:highlight w:val="none"/>
        </w:rPr>
        <w:t>完成设备办证工作。如属于计量器具或特种设备的，还需按国家相关要求提供合格检定证书或校准证书（或检验报告）。如设备安装场地需技术安装改造的，乙方应负责免费安装改造至设备正式投入使用。</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8.8</w:t>
      </w:r>
      <w:r>
        <w:rPr>
          <w:rFonts w:hint="eastAsia" w:ascii="宋体" w:hAnsi="宋体" w:cs="仿宋"/>
          <w:bCs/>
          <w:color w:val="auto"/>
          <w:szCs w:val="21"/>
          <w:highlight w:val="none"/>
        </w:rPr>
        <w:t>在验收过程中发现乙方有违约问题，可暂缓资金结算，待违约问题解决后，方可办理资金结算事宜。因乙方违约导致甲方迟延付款的，甲方不承担逾期付款违约责任。</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甲方应提供必要的安装条件，乙方负责货物的安装和调试。</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 xml:space="preserve"> 乙方负责甲方有关人员的培训。培训时间、地点：按甲方规定的时间和地点。</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九、</w:t>
      </w:r>
      <w:r>
        <w:rPr>
          <w:rFonts w:hint="eastAsia" w:ascii="宋体" w:hAnsi="宋体" w:cs="宋体"/>
          <w:b/>
          <w:color w:val="auto"/>
          <w:kern w:val="0"/>
          <w:szCs w:val="21"/>
          <w:highlight w:val="none"/>
        </w:rPr>
        <w:t>货物包装、发运及运输</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.1乙方应在货物发运前对其进行满足于运输距离、防潮、防震、防锈和防破损装卸要求的包装，以保证货物安全运输到达甲方指定地点。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.2使用说明书、质量检验证明书、随配附件和工具以及清单等一并附于货物内。</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.3乙方负责将货物安全运送到甲方指定地点，不另收任何费用。</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.4货物在交货前发生的不可预见的风险均由乙方负责。</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.5货物在发运手续办理完毕后24小时内或货到甲方前48小时通知甲方，以准备接货。</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w:t>
      </w:r>
      <w:r>
        <w:rPr>
          <w:rFonts w:hint="eastAsia" w:ascii="宋体" w:hAnsi="宋体" w:cs="宋体"/>
          <w:b/>
          <w:color w:val="auto"/>
          <w:kern w:val="0"/>
          <w:szCs w:val="21"/>
          <w:highlight w:val="none"/>
        </w:rPr>
        <w:t>、项目完成地点及交货方式</w:t>
      </w:r>
    </w:p>
    <w:p>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.1交货方式：现场免费安装验收。</w:t>
      </w:r>
    </w:p>
    <w:p>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项目完成地点：甲方指定地点。</w:t>
      </w:r>
    </w:p>
    <w:p>
      <w:pPr>
        <w:snapToGrid w:val="0"/>
        <w:spacing w:line="360" w:lineRule="exact"/>
        <w:ind w:left="420" w:leftChars="200" w:firstLine="0" w:firstLineChars="0"/>
        <w:rPr>
          <w:rFonts w:ascii="宋体" w:hAnsi="宋体" w:cs="仿宋"/>
          <w:b/>
          <w:color w:val="auto"/>
          <w:szCs w:val="21"/>
          <w:highlight w:val="none"/>
        </w:rPr>
      </w:pPr>
      <w:r>
        <w:rPr>
          <w:rFonts w:hint="eastAsia" w:ascii="宋体" w:hAnsi="宋体" w:cs="仿宋"/>
          <w:b/>
          <w:color w:val="auto"/>
          <w:szCs w:val="21"/>
          <w:highlight w:val="none"/>
          <w:lang w:eastAsia="zh-CN"/>
        </w:rPr>
        <w:t>十一、</w:t>
      </w:r>
      <w:r>
        <w:rPr>
          <w:rFonts w:hint="eastAsia" w:ascii="宋体" w:hAnsi="宋体" w:cs="仿宋"/>
          <w:b/>
          <w:color w:val="auto"/>
          <w:szCs w:val="21"/>
          <w:highlight w:val="none"/>
        </w:rPr>
        <w:t>售后服务、保修期</w:t>
      </w:r>
    </w:p>
    <w:p>
      <w:pPr>
        <w:snapToGrid w:val="0"/>
        <w:spacing w:line="360" w:lineRule="exact"/>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11.1</w:t>
      </w:r>
      <w:r>
        <w:rPr>
          <w:rFonts w:hint="eastAsia" w:ascii="宋体" w:hAnsi="宋体" w:cs="仿宋"/>
          <w:bCs/>
          <w:color w:val="auto"/>
          <w:szCs w:val="21"/>
          <w:highlight w:val="none"/>
        </w:rPr>
        <w:t>乙方应按照国家有关法律法规和“三包”规定以及招标文件和本合同所附的《服务承诺》，为甲方提供售后服务。国家法律法规、规章、规范性文件或相关技术标准、规范有更长质保期规定的，从其规定。</w:t>
      </w:r>
    </w:p>
    <w:p>
      <w:pPr>
        <w:snapToGrid w:val="0"/>
        <w:spacing w:line="360" w:lineRule="exact"/>
        <w:ind w:left="420" w:leftChars="200" w:firstLine="0" w:firstLineChars="0"/>
        <w:rPr>
          <w:rFonts w:hint="eastAsia" w:ascii="宋体" w:hAnsi="宋体" w:cs="仿宋"/>
          <w:bCs/>
          <w:color w:val="auto"/>
          <w:szCs w:val="21"/>
          <w:highlight w:val="none"/>
          <w:lang w:eastAsia="zh-CN"/>
        </w:rPr>
      </w:pPr>
      <w:r>
        <w:rPr>
          <w:rFonts w:hint="eastAsia" w:ascii="宋体" w:hAnsi="宋体" w:cs="仿宋"/>
          <w:bCs/>
          <w:color w:val="auto"/>
          <w:szCs w:val="21"/>
          <w:highlight w:val="none"/>
          <w:lang w:val="en-US" w:eastAsia="zh-CN"/>
        </w:rPr>
        <w:t>11.2</w:t>
      </w:r>
      <w:r>
        <w:rPr>
          <w:rFonts w:hint="eastAsia" w:ascii="宋体" w:hAnsi="宋体" w:cs="仿宋"/>
          <w:bCs/>
          <w:color w:val="auto"/>
          <w:szCs w:val="21"/>
          <w:highlight w:val="none"/>
        </w:rPr>
        <w:t>如在使用过程中发生质量问题，乙方在接到甲方通知后在</w:t>
      </w:r>
      <w:r>
        <w:rPr>
          <w:rFonts w:hint="eastAsia" w:ascii="宋体" w:hAnsi="宋体" w:cs="仿宋"/>
          <w:bCs/>
          <w:color w:val="auto"/>
          <w:szCs w:val="21"/>
          <w:highlight w:val="none"/>
          <w:u w:val="single"/>
          <w:lang w:val="en-US" w:eastAsia="zh-CN"/>
        </w:rPr>
        <w:t>24</w:t>
      </w:r>
      <w:r>
        <w:rPr>
          <w:rFonts w:hint="eastAsia" w:ascii="宋体" w:hAnsi="宋体" w:cs="仿宋"/>
          <w:bCs/>
          <w:color w:val="auto"/>
          <w:szCs w:val="21"/>
          <w:highlight w:val="none"/>
        </w:rPr>
        <w:t>小时内到达甲方现场处</w:t>
      </w:r>
      <w:r>
        <w:rPr>
          <w:rFonts w:hint="eastAsia" w:ascii="宋体" w:hAnsi="宋体" w:cs="仿宋"/>
          <w:bCs/>
          <w:color w:val="auto"/>
          <w:szCs w:val="21"/>
          <w:highlight w:val="none"/>
          <w:lang w:eastAsia="zh-CN"/>
        </w:rPr>
        <w:t>置。</w:t>
      </w:r>
    </w:p>
    <w:p>
      <w:pPr>
        <w:snapToGrid w:val="0"/>
        <w:spacing w:line="360" w:lineRule="exact"/>
        <w:ind w:left="420" w:leftChars="200" w:firstLine="0" w:firstLineChars="0"/>
        <w:rPr>
          <w:rFonts w:ascii="宋体" w:hAnsi="宋体" w:cs="仿宋"/>
          <w:bCs/>
          <w:color w:val="auto"/>
          <w:szCs w:val="21"/>
          <w:highlight w:val="none"/>
        </w:rPr>
      </w:pPr>
      <w:r>
        <w:rPr>
          <w:rFonts w:hint="eastAsia" w:ascii="宋体" w:hAnsi="宋体" w:cs="仿宋"/>
          <w:bCs/>
          <w:color w:val="auto"/>
          <w:szCs w:val="21"/>
          <w:highlight w:val="none"/>
          <w:lang w:val="en-US" w:eastAsia="zh-CN"/>
        </w:rPr>
        <w:t>11.3</w:t>
      </w:r>
      <w:r>
        <w:rPr>
          <w:rFonts w:hint="eastAsia" w:ascii="宋体" w:hAnsi="宋体" w:cs="仿宋"/>
          <w:bCs/>
          <w:color w:val="auto"/>
          <w:szCs w:val="21"/>
          <w:highlight w:val="none"/>
        </w:rPr>
        <w:t>在质保期内，乙方应对货物出现的质量问题负责处理解决并承担一切费用。</w:t>
      </w:r>
    </w:p>
    <w:p>
      <w:pPr>
        <w:snapToGrid w:val="0"/>
        <w:spacing w:line="360" w:lineRule="exact"/>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11.4</w:t>
      </w:r>
      <w:r>
        <w:rPr>
          <w:rFonts w:hint="eastAsia" w:ascii="宋体" w:hAnsi="宋体" w:cs="仿宋"/>
          <w:bCs/>
          <w:color w:val="auto"/>
          <w:szCs w:val="21"/>
          <w:highlight w:val="none"/>
        </w:rPr>
        <w:t>上述的货物质保期，按本合同</w:t>
      </w:r>
      <w:r>
        <w:rPr>
          <w:rFonts w:hint="eastAsia" w:ascii="宋体" w:hAnsi="宋体" w:cs="仿宋"/>
          <w:bCs/>
          <w:color w:val="auto"/>
          <w:szCs w:val="21"/>
          <w:highlight w:val="none"/>
          <w:lang w:eastAsia="zh-CN"/>
        </w:rPr>
        <w:t>“六、质量保证”</w:t>
      </w:r>
      <w:r>
        <w:rPr>
          <w:rFonts w:hint="eastAsia" w:ascii="宋体" w:hAnsi="宋体" w:cs="仿宋"/>
          <w:bCs/>
          <w:color w:val="auto"/>
          <w:szCs w:val="21"/>
          <w:highlight w:val="none"/>
        </w:rPr>
        <w:t>关于质保期的内容执行，免费保修包含需要更换的零配件的费用。因人为因素出现的故障不在免费保修范围内。超过保修期的机器设备，终生维修，维修时只收部件成本费。</w:t>
      </w:r>
    </w:p>
    <w:p>
      <w:pPr>
        <w:snapToGrid w:val="0"/>
        <w:spacing w:line="360" w:lineRule="exact"/>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11.5</w:t>
      </w:r>
      <w:r>
        <w:rPr>
          <w:rFonts w:hint="eastAsia" w:ascii="宋体" w:hAnsi="宋体" w:cs="仿宋"/>
          <w:bCs/>
          <w:color w:val="auto"/>
          <w:szCs w:val="21"/>
          <w:highlight w:val="none"/>
        </w:rPr>
        <w:t>乙方提供的服务承诺和售后服务及保修期责任等其它具体约定事项。（见合同附件）</w:t>
      </w:r>
    </w:p>
    <w:p>
      <w:pPr>
        <w:snapToGrid w:val="0"/>
        <w:spacing w:line="360" w:lineRule="exact"/>
        <w:ind w:firstLine="426" w:firstLineChars="20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十二、</w:t>
      </w:r>
      <w:r>
        <w:rPr>
          <w:rFonts w:hint="eastAsia" w:ascii="宋体" w:hAnsi="宋体" w:cs="宋体"/>
          <w:b/>
          <w:bCs/>
          <w:color w:val="auto"/>
          <w:kern w:val="0"/>
          <w:szCs w:val="21"/>
          <w:highlight w:val="none"/>
        </w:rPr>
        <w:t>违约责任</w:t>
      </w:r>
    </w:p>
    <w:p>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逾期交货或无正当理由拒收的，每天按合同额的万分之四支付违约金。</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.2逾期超过10天仍不能交货、或交付的货物不符合标准的，</w:t>
      </w:r>
      <w:r>
        <w:rPr>
          <w:rFonts w:hint="eastAsia" w:ascii="宋体" w:hAnsi="宋体" w:eastAsia="宋体" w:cs="宋体"/>
          <w:color w:val="auto"/>
          <w:kern w:val="0"/>
          <w:szCs w:val="21"/>
          <w:highlight w:val="none"/>
          <w:lang w:val="en-US" w:eastAsia="zh-CN"/>
        </w:rPr>
        <w:t>甲方有权单方解除合同，</w:t>
      </w:r>
      <w:r>
        <w:rPr>
          <w:rFonts w:hint="eastAsia" w:ascii="宋体" w:hAnsi="宋体" w:cs="宋体"/>
          <w:color w:val="auto"/>
          <w:kern w:val="0"/>
          <w:szCs w:val="21"/>
          <w:highlight w:val="none"/>
        </w:rPr>
        <w:t>造成甲方损失的，由乙方负责赔偿。</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.3乙方提供的货物如侵犯了第三方合法权益而引发的任何纠纷或诉讼，均由乙方负责交涉并承担全部责任。</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.4乙方未按本合同和响应文件中规定的服务承诺提供售后服务的，乙方应按本合同合计金额百分之</w:t>
      </w:r>
      <w:r>
        <w:rPr>
          <w:rFonts w:hint="eastAsia" w:ascii="宋体" w:hAnsi="宋体" w:cs="宋体"/>
          <w:color w:val="auto"/>
          <w:kern w:val="0"/>
          <w:szCs w:val="21"/>
          <w:highlight w:val="none"/>
          <w:lang w:val="en-US" w:eastAsia="zh-CN"/>
        </w:rPr>
        <w:t>十</w:t>
      </w:r>
      <w:r>
        <w:rPr>
          <w:rFonts w:hint="eastAsia" w:ascii="宋体" w:hAnsi="宋体" w:cs="宋体"/>
          <w:color w:val="auto"/>
          <w:kern w:val="0"/>
          <w:szCs w:val="21"/>
          <w:highlight w:val="none"/>
        </w:rPr>
        <w:t>向甲方支付违约金。</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.5乙方提供的货物在质量保证期内，因设计、工艺或材料的缺陷和其他质量原因造成的问题，由乙方负责，费用从余款中扣除，不足另补。</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.6其他违约行为按违约货款额百分之五收取违约金并赔偿经济损失。</w:t>
      </w:r>
    </w:p>
    <w:p>
      <w:pPr>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.7其它未尽事宜，双方签订合同时按《中华人民共和国民法典》议定。</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十三、</w:t>
      </w:r>
      <w:r>
        <w:rPr>
          <w:rFonts w:hint="eastAsia" w:ascii="宋体" w:hAnsi="宋体" w:cs="宋体"/>
          <w:b/>
          <w:color w:val="auto"/>
          <w:kern w:val="0"/>
          <w:szCs w:val="21"/>
          <w:highlight w:val="none"/>
        </w:rPr>
        <w:t>不可抗力事件处理</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.2不可抗力事件发生后，应立即通知对方，并寄送有关权威机构出具的证明。</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.3不可抗力事件延续120天以上，双方应通过友好协商，确定是否继续履行合同。</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十四</w:t>
      </w:r>
      <w:r>
        <w:rPr>
          <w:rFonts w:hint="eastAsia" w:ascii="宋体" w:hAnsi="宋体" w:cs="宋体"/>
          <w:b/>
          <w:color w:val="auto"/>
          <w:kern w:val="0"/>
          <w:szCs w:val="21"/>
          <w:highlight w:val="none"/>
        </w:rPr>
        <w:t>、争议解决</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双方在履行合同中所发生的一切争议，应通过协商解决。如协商不成，按合同事先约定的条款，可向甲方所在地人民法院提起诉讼。</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十五</w:t>
      </w:r>
      <w:r>
        <w:rPr>
          <w:rFonts w:hint="eastAsia" w:ascii="宋体" w:hAnsi="宋体" w:cs="宋体"/>
          <w:b/>
          <w:color w:val="auto"/>
          <w:kern w:val="0"/>
          <w:szCs w:val="21"/>
          <w:highlight w:val="none"/>
        </w:rPr>
        <w:t>、合同生效及其它</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.1合同经甲、乙双方法定代表人或授权委托代理人签字加盖单位公章后生效。甲乙双方各执贰份，采购代理机构执一份。</w:t>
      </w:r>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.2合同履行中，如需修改或补充合同内容，由双方协商另签署书面修改或补充协议作为主合同不可分割的一部分。</w:t>
      </w:r>
    </w:p>
    <w:p>
      <w:pPr>
        <w:spacing w:line="360" w:lineRule="auto"/>
        <w:ind w:firstLine="420"/>
        <w:rPr>
          <w:rFonts w:hint="default" w:ascii="宋体" w:hAnsi="宋体" w:eastAsia="宋体" w:cs="宋体"/>
          <w:b/>
          <w:bCs/>
          <w:i/>
          <w:iCs/>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.3本合同附件：（1）售后服务承诺书；（2）产品配置清单。</w:t>
      </w:r>
      <w:r>
        <w:rPr>
          <w:rFonts w:hint="eastAsia" w:ascii="宋体" w:hAnsi="宋体" w:cs="宋体"/>
          <w:i/>
          <w:iCs/>
          <w:color w:val="auto"/>
          <w:kern w:val="0"/>
          <w:szCs w:val="21"/>
          <w:highlight w:val="none"/>
          <w:lang w:val="en-US" w:eastAsia="zh-CN"/>
        </w:rPr>
        <w:t>(以成交供应商的响应文件内容为准)</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甲方名称及公章：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乙方名称及公章：       </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法定代表人（负责人）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法</w:t>
      </w:r>
      <w:r>
        <w:rPr>
          <w:rFonts w:hint="eastAsia" w:ascii="宋体" w:hAnsi="宋体" w:cs="宋体"/>
          <w:color w:val="auto"/>
          <w:kern w:val="0"/>
          <w:szCs w:val="21"/>
          <w:highlight w:val="none"/>
        </w:rPr>
        <w:t>定代表人 （负责人）</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或授权委托代理人：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或授权委托代理人：</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邮政编码：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邮政编码：</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地    址：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地    址：</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联系电话：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联系电话：</w:t>
      </w:r>
    </w:p>
    <w:p>
      <w:pPr>
        <w:spacing w:line="360" w:lineRule="auto"/>
        <w:ind w:firstLine="1470" w:firstLineChars="7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开户名称：</w:t>
      </w:r>
    </w:p>
    <w:p>
      <w:pPr>
        <w:spacing w:line="360" w:lineRule="auto"/>
        <w:ind w:firstLine="1470" w:firstLineChars="7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开户银行：</w:t>
      </w:r>
    </w:p>
    <w:p>
      <w:pPr>
        <w:spacing w:line="360" w:lineRule="auto"/>
        <w:ind w:firstLine="3780" w:firstLineChars="18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经办人：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经办人：    </w:t>
      </w:r>
      <w:r>
        <w:rPr>
          <w:rFonts w:hint="eastAsia" w:ascii="宋体" w:hAnsi="宋体" w:cs="宋体"/>
          <w:color w:val="auto"/>
          <w:kern w:val="0"/>
          <w:szCs w:val="21"/>
          <w:highlight w:val="none"/>
          <w:lang w:val="en-US" w:eastAsia="zh-CN"/>
        </w:rPr>
        <w:t xml:space="preserve">   </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合同签订时间：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合同签订地点：</w:t>
      </w:r>
    </w:p>
    <w:p>
      <w:pPr>
        <w:pStyle w:val="20"/>
        <w:rPr>
          <w:rFonts w:hint="default"/>
          <w:color w:val="auto"/>
          <w:highlight w:val="none"/>
        </w:rPr>
      </w:pPr>
    </w:p>
    <w:p>
      <w:pPr>
        <w:pStyle w:val="20"/>
        <w:rPr>
          <w:rFonts w:hint="default"/>
          <w:color w:val="auto"/>
          <w:highlight w:val="none"/>
        </w:rPr>
      </w:pPr>
    </w:p>
    <w:bookmarkEnd w:id="18"/>
    <w:bookmarkEnd w:id="19"/>
    <w:bookmarkEnd w:id="20"/>
    <w:bookmarkEnd w:id="21"/>
    <w:p>
      <w:pPr>
        <w:rPr>
          <w:rFonts w:hint="eastAsia" w:ascii="宋体" w:hAnsi="宋体" w:cs="方正小标宋简体"/>
          <w:b/>
          <w:bCs/>
          <w:color w:val="auto"/>
          <w:sz w:val="24"/>
          <w:highlight w:val="none"/>
        </w:rPr>
      </w:pPr>
      <w:bookmarkStart w:id="23" w:name="_Toc24288"/>
      <w:bookmarkStart w:id="24" w:name="_Toc10176"/>
      <w:bookmarkStart w:id="25" w:name="_Toc15733"/>
      <w:bookmarkStart w:id="26" w:name="_Toc21291"/>
      <w:bookmarkStart w:id="27" w:name="_Toc1719472"/>
      <w:r>
        <w:rPr>
          <w:rFonts w:hint="eastAsia" w:ascii="宋体" w:hAnsi="宋体" w:cs="方正小标宋简体"/>
          <w:b/>
          <w:bCs/>
          <w:color w:val="auto"/>
          <w:sz w:val="24"/>
          <w:highlight w:val="none"/>
        </w:rPr>
        <w:br w:type="page"/>
      </w:r>
    </w:p>
    <w:p>
      <w:pPr>
        <w:widowControl/>
        <w:jc w:val="center"/>
        <w:outlineLvl w:val="0"/>
        <w:rPr>
          <w:rFonts w:ascii="宋体" w:hAnsi="宋体" w:cs="方正小标宋简体"/>
          <w:b/>
          <w:bCs/>
          <w:color w:val="auto"/>
          <w:sz w:val="24"/>
          <w:highlight w:val="none"/>
        </w:rPr>
      </w:pPr>
      <w:r>
        <w:rPr>
          <w:rFonts w:hint="eastAsia" w:ascii="宋体" w:hAnsi="宋体" w:cs="方正小标宋简体"/>
          <w:b/>
          <w:bCs/>
          <w:color w:val="auto"/>
          <w:sz w:val="24"/>
          <w:highlight w:val="none"/>
        </w:rPr>
        <w:t>项目采购（货物、服务类）廉洁协议</w:t>
      </w:r>
      <w:bookmarkEnd w:id="23"/>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hAnsi="宋体" w:cs="宋体"/>
          <w:color w:val="auto"/>
          <w:sz w:val="24"/>
          <w:highlight w:val="none"/>
        </w:rPr>
        <w:t xml:space="preserve"> </w:t>
      </w:r>
      <w:r>
        <w:rPr>
          <w:rFonts w:hAnsi="宋体" w:cs="宋体"/>
          <w:color w:val="auto"/>
          <w:sz w:val="24"/>
          <w:highlight w:val="none"/>
        </w:rPr>
        <w:t xml:space="preserve"> </w:t>
      </w:r>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hAnsi="宋体" w:cs="宋体"/>
          <w:color w:val="auto"/>
          <w:sz w:val="24"/>
          <w:highlight w:val="none"/>
        </w:rPr>
        <w:t xml:space="preserve"> </w:t>
      </w:r>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甲方（采购单位）： </w:t>
      </w:r>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乙方（成交/中标供应商）： </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为进一步加强医疗卫生行风建设，规范甲乙双方的购销行为，有效防范商业贿赂，营造公平交易、诚实守信的购销环境，维护医院正常医疗秩序，经甲、乙双方协商，同意签订本协议，并共同遵守：</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一、甲乙双方按照《中华人民共和国民法典》《中华人民共和国政府采购法》及政府采购合同约定履行合同内容。</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二、甲方应当严格执行货物、服务类采购合同的验收、入库等制度，对采购内容及发票进行查验，不得违反有关规定合同外采购、违价采购或从非规定渠道采购。</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三、甲方严禁接受乙方以任何名义、形式给予的回扣，不得将接受捐赠资助与采购挂钩。甲方工作人员不得参加乙方安排并支付费用的宴请、旅游和营业性娱乐活动等，不得以任何形式向乙方索要现金、有价证券、支付凭证和贵重礼品等。</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四、乙方不得以回扣、宴请等方式影响甲方工作人员的采购工作，不得在学术活动中提供旅游、超标准支付食宿费用。</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五、乙方不得以围标、相互串通投标，或者排挤其他供应商的公平竞争，损害采购人或者其他供应商的合法权益，严禁以他人名义投标或允许他人以自己的名义投标，不得提供虚假资料参与投标或以其他方式弄虚作假、骗取中标。甲方发现乙方违反规定者，按甲方有关管理规定，列入医院招投标不良行为黑名单。</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六、乙方指定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七、乙方如违反本协议，一经发现，甲方有权终止采购合同。如乙方被列入政府采购严重违法失信行为记录名单，则严格按照《中华人民共和国政府采购法》相关规定处理。</w:t>
      </w:r>
    </w:p>
    <w:p>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八、本协议作为采购合同的重要组成部分，与采购合同一并执行，具有同等的法律效力，从签订之日起生效。</w:t>
      </w:r>
    </w:p>
    <w:p>
      <w:pPr>
        <w:autoSpaceDE w:val="0"/>
        <w:autoSpaceDN w:val="0"/>
        <w:adjustRightInd w:val="0"/>
        <w:spacing w:line="590" w:lineRule="exact"/>
        <w:ind w:right="-25" w:rightChars="-12"/>
        <w:rPr>
          <w:rFonts w:hAnsi="宋体" w:cs="宋体"/>
          <w:color w:val="auto"/>
          <w:sz w:val="24"/>
          <w:highlight w:val="none"/>
        </w:rPr>
      </w:pPr>
      <w:r>
        <w:rPr>
          <w:rFonts w:hint="eastAsia" w:ascii="宋体" w:hAnsi="宋体" w:cs="仿宋_GB2312"/>
          <w:color w:val="auto"/>
          <w:sz w:val="24"/>
          <w:highlight w:val="none"/>
        </w:rPr>
        <w:t>甲方（盖章）：                     乙方（盖章）：</w:t>
      </w:r>
      <w:r>
        <w:rPr>
          <w:rFonts w:hint="eastAsia" w:hAnsi="宋体" w:cs="宋体"/>
          <w:color w:val="auto"/>
          <w:sz w:val="24"/>
          <w:highlight w:val="none"/>
        </w:rPr>
        <w:t xml:space="preserve"> </w:t>
      </w:r>
    </w:p>
    <w:p>
      <w:pPr>
        <w:autoSpaceDE w:val="0"/>
        <w:autoSpaceDN w:val="0"/>
        <w:adjustRightInd w:val="0"/>
        <w:spacing w:line="590" w:lineRule="exact"/>
        <w:ind w:left="4800" w:right="-25" w:rightChars="-12" w:hanging="4800" w:hangingChars="2000"/>
        <w:rPr>
          <w:rFonts w:ascii="宋体" w:hAnsi="宋体" w:cs="仿宋_GB2312"/>
          <w:color w:val="auto"/>
          <w:sz w:val="24"/>
          <w:highlight w:val="none"/>
        </w:rPr>
      </w:pPr>
      <w:r>
        <w:rPr>
          <w:rFonts w:hint="eastAsia" w:ascii="宋体" w:hAnsi="宋体" w:cs="仿宋_GB2312"/>
          <w:color w:val="auto"/>
          <w:sz w:val="24"/>
          <w:highlight w:val="none"/>
        </w:rPr>
        <w:t xml:space="preserve">地址：                           </w:t>
      </w:r>
      <w:r>
        <w:rPr>
          <w:rFonts w:hint="eastAsia" w:hAnsi="宋体" w:cs="宋体"/>
          <w:color w:val="auto"/>
          <w:sz w:val="24"/>
          <w:highlight w:val="none"/>
        </w:rPr>
        <w:t xml:space="preserve"> </w:t>
      </w:r>
      <w:r>
        <w:rPr>
          <w:rFonts w:hint="eastAsia" w:ascii="宋体" w:hAnsi="宋体" w:cs="仿宋_GB2312"/>
          <w:color w:val="auto"/>
          <w:sz w:val="24"/>
          <w:highlight w:val="none"/>
        </w:rPr>
        <w:t xml:space="preserve"> 地址：</w:t>
      </w:r>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                  法定代表人：</w:t>
      </w:r>
    </w:p>
    <w:p>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经办人签名：                  经办人签名：</w:t>
      </w:r>
    </w:p>
    <w:p>
      <w:pPr>
        <w:autoSpaceDE w:val="0"/>
        <w:autoSpaceDN w:val="0"/>
        <w:adjustRightInd w:val="0"/>
        <w:spacing w:line="590" w:lineRule="exact"/>
        <w:ind w:right="-25" w:rightChars="-12"/>
        <w:rPr>
          <w:rFonts w:ascii="宋体" w:hAnsi="宋体" w:cs="仿宋_GB2312"/>
          <w:color w:val="auto"/>
          <w:sz w:val="24"/>
          <w:highlight w:val="none"/>
        </w:rPr>
      </w:pPr>
      <w:r>
        <w:rPr>
          <w:rFonts w:hint="eastAsia" w:ascii="宋体" w:hAnsi="宋体" w:cs="仿宋_GB2312"/>
          <w:color w:val="auto"/>
          <w:sz w:val="24"/>
          <w:highlight w:val="none"/>
        </w:rPr>
        <w:t>日期：    年    月    日           日期：    年   月  日</w:t>
      </w:r>
    </w:p>
    <w:p>
      <w:pPr>
        <w:pStyle w:val="3"/>
        <w:outlineLvl w:val="9"/>
        <w:rPr>
          <w:color w:val="auto"/>
          <w:highlight w:val="none"/>
        </w:rPr>
      </w:pPr>
    </w:p>
    <w:p>
      <w:pPr>
        <w:pStyle w:val="3"/>
        <w:outlineLvl w:val="9"/>
        <w:rPr>
          <w:color w:val="auto"/>
          <w:highlight w:val="none"/>
        </w:rPr>
      </w:pPr>
    </w:p>
    <w:p>
      <w:pPr>
        <w:pStyle w:val="3"/>
        <w:outlineLvl w:val="9"/>
        <w:rPr>
          <w:color w:val="auto"/>
          <w:highlight w:val="none"/>
        </w:rPr>
      </w:pPr>
    </w:p>
    <w:p>
      <w:pPr>
        <w:rPr>
          <w:color w:val="auto"/>
          <w:highlight w:val="none"/>
        </w:rPr>
      </w:pPr>
      <w:r>
        <w:rPr>
          <w:rFonts w:hint="eastAsia"/>
          <w:color w:val="auto"/>
          <w:highlight w:val="none"/>
        </w:rPr>
        <w:br w:type="page"/>
      </w:r>
    </w:p>
    <w:p>
      <w:pPr>
        <w:pStyle w:val="3"/>
        <w:rPr>
          <w:color w:val="auto"/>
          <w:sz w:val="22"/>
          <w:szCs w:val="22"/>
          <w:highlight w:val="none"/>
        </w:rPr>
      </w:pPr>
      <w:bookmarkStart w:id="28" w:name="_Toc2690"/>
      <w:r>
        <w:rPr>
          <w:rFonts w:hint="eastAsia"/>
          <w:color w:val="auto"/>
          <w:highlight w:val="none"/>
        </w:rPr>
        <w:t xml:space="preserve">第五章   </w:t>
      </w:r>
      <w:bookmarkEnd w:id="24"/>
      <w:bookmarkEnd w:id="25"/>
      <w:bookmarkEnd w:id="26"/>
      <w:r>
        <w:rPr>
          <w:rFonts w:hint="eastAsia"/>
          <w:color w:val="auto"/>
          <w:sz w:val="48"/>
          <w:szCs w:val="32"/>
          <w:highlight w:val="none"/>
        </w:rPr>
        <w:t>竞争性谈判响应文件格式</w:t>
      </w:r>
      <w:bookmarkEnd w:id="27"/>
      <w:bookmarkEnd w:id="28"/>
    </w:p>
    <w:p>
      <w:pPr>
        <w:pStyle w:val="7"/>
        <w:ind w:firstLine="0"/>
        <w:jc w:val="left"/>
        <w:rPr>
          <w:color w:val="auto"/>
          <w:highlight w:val="none"/>
        </w:rPr>
      </w:pPr>
      <w:r>
        <w:rPr>
          <w:rFonts w:hint="eastAsia"/>
          <w:color w:val="auto"/>
          <w:highlight w:val="none"/>
        </w:rPr>
        <w:t>竞争性谈判响应文件封面格式：</w:t>
      </w:r>
    </w:p>
    <w:p>
      <w:pPr>
        <w:pStyle w:val="7"/>
        <w:ind w:right="600" w:firstLine="0"/>
        <w:jc w:val="right"/>
        <w:outlineLvl w:val="9"/>
        <w:rPr>
          <w:color w:val="auto"/>
          <w:sz w:val="24"/>
          <w:szCs w:val="18"/>
          <w:highlight w:val="none"/>
        </w:rPr>
      </w:pPr>
    </w:p>
    <w:p>
      <w:pPr>
        <w:pStyle w:val="7"/>
        <w:ind w:right="600" w:firstLine="0"/>
        <w:jc w:val="right"/>
        <w:rPr>
          <w:color w:val="auto"/>
          <w:sz w:val="32"/>
          <w:szCs w:val="32"/>
          <w:highlight w:val="none"/>
        </w:rPr>
      </w:pPr>
      <w:r>
        <w:rPr>
          <w:rFonts w:hint="eastAsia"/>
          <w:color w:val="auto"/>
          <w:sz w:val="32"/>
          <w:szCs w:val="32"/>
          <w:highlight w:val="none"/>
        </w:rPr>
        <w:t>正/副本</w:t>
      </w:r>
    </w:p>
    <w:p>
      <w:pPr>
        <w:pStyle w:val="7"/>
        <w:ind w:firstLine="0"/>
        <w:jc w:val="right"/>
        <w:outlineLvl w:val="9"/>
        <w:rPr>
          <w:color w:val="auto"/>
          <w:highlight w:val="none"/>
        </w:rPr>
      </w:pPr>
    </w:p>
    <w:p>
      <w:pPr>
        <w:pStyle w:val="7"/>
        <w:ind w:firstLine="0"/>
        <w:jc w:val="center"/>
        <w:outlineLvl w:val="9"/>
        <w:rPr>
          <w:color w:val="auto"/>
          <w:w w:val="150"/>
          <w:sz w:val="36"/>
          <w:szCs w:val="22"/>
          <w:highlight w:val="none"/>
        </w:rPr>
      </w:pPr>
    </w:p>
    <w:p>
      <w:pPr>
        <w:pStyle w:val="7"/>
        <w:ind w:firstLine="0"/>
        <w:jc w:val="center"/>
        <w:rPr>
          <w:color w:val="auto"/>
          <w:sz w:val="48"/>
          <w:szCs w:val="32"/>
          <w:highlight w:val="none"/>
        </w:rPr>
      </w:pPr>
      <w:r>
        <w:rPr>
          <w:rFonts w:hint="eastAsia"/>
          <w:color w:val="auto"/>
          <w:sz w:val="48"/>
          <w:szCs w:val="32"/>
          <w:highlight w:val="none"/>
        </w:rPr>
        <w:t>竞争性谈判响应文件</w:t>
      </w:r>
    </w:p>
    <w:p>
      <w:pPr>
        <w:pStyle w:val="7"/>
        <w:ind w:firstLine="0"/>
        <w:jc w:val="center"/>
        <w:outlineLvl w:val="9"/>
        <w:rPr>
          <w:color w:val="auto"/>
          <w:sz w:val="40"/>
          <w:szCs w:val="24"/>
          <w:highlight w:val="none"/>
        </w:rPr>
      </w:pPr>
    </w:p>
    <w:p>
      <w:pPr>
        <w:pStyle w:val="7"/>
        <w:ind w:firstLine="0"/>
        <w:jc w:val="center"/>
        <w:outlineLvl w:val="9"/>
        <w:rPr>
          <w:color w:val="auto"/>
          <w:sz w:val="40"/>
          <w:szCs w:val="24"/>
          <w:highlight w:val="none"/>
        </w:rPr>
      </w:pPr>
    </w:p>
    <w:p>
      <w:pPr>
        <w:pStyle w:val="7"/>
        <w:ind w:firstLine="0"/>
        <w:jc w:val="center"/>
        <w:outlineLvl w:val="9"/>
        <w:rPr>
          <w:color w:val="auto"/>
          <w:sz w:val="40"/>
          <w:szCs w:val="24"/>
          <w:highlight w:val="none"/>
        </w:rPr>
      </w:pPr>
    </w:p>
    <w:p>
      <w:pPr>
        <w:pStyle w:val="7"/>
        <w:ind w:firstLine="0"/>
        <w:rPr>
          <w:color w:val="auto"/>
          <w:sz w:val="36"/>
          <w:szCs w:val="22"/>
          <w:highlight w:val="none"/>
          <w:u w:val="single"/>
        </w:rPr>
      </w:pPr>
      <w:r>
        <w:rPr>
          <w:rFonts w:hint="eastAsia"/>
          <w:color w:val="auto"/>
          <w:sz w:val="36"/>
          <w:szCs w:val="22"/>
          <w:highlight w:val="none"/>
        </w:rPr>
        <w:t xml:space="preserve">     项目名称：</w:t>
      </w:r>
    </w:p>
    <w:p>
      <w:pPr>
        <w:pStyle w:val="7"/>
        <w:ind w:firstLine="0"/>
        <w:rPr>
          <w:color w:val="auto"/>
          <w:sz w:val="36"/>
          <w:szCs w:val="22"/>
          <w:highlight w:val="none"/>
          <w:u w:val="single"/>
        </w:rPr>
      </w:pPr>
      <w:r>
        <w:rPr>
          <w:rFonts w:hint="eastAsia"/>
          <w:color w:val="auto"/>
          <w:sz w:val="36"/>
          <w:szCs w:val="22"/>
          <w:highlight w:val="none"/>
        </w:rPr>
        <w:t xml:space="preserve">     项目编号：</w:t>
      </w:r>
    </w:p>
    <w:p>
      <w:pPr>
        <w:pStyle w:val="7"/>
        <w:ind w:firstLine="0"/>
        <w:outlineLvl w:val="9"/>
        <w:rPr>
          <w:color w:val="auto"/>
          <w:sz w:val="36"/>
          <w:szCs w:val="22"/>
          <w:highlight w:val="none"/>
        </w:rPr>
      </w:pPr>
    </w:p>
    <w:p>
      <w:pPr>
        <w:pStyle w:val="7"/>
        <w:ind w:firstLine="0"/>
        <w:jc w:val="center"/>
        <w:outlineLvl w:val="9"/>
        <w:rPr>
          <w:color w:val="auto"/>
          <w:sz w:val="40"/>
          <w:szCs w:val="24"/>
          <w:highlight w:val="none"/>
        </w:rPr>
      </w:pPr>
    </w:p>
    <w:p>
      <w:pPr>
        <w:pStyle w:val="7"/>
        <w:ind w:firstLine="0"/>
        <w:rPr>
          <w:color w:val="auto"/>
          <w:highlight w:val="none"/>
          <w:u w:val="single"/>
        </w:rPr>
      </w:pPr>
      <w:r>
        <w:rPr>
          <w:rFonts w:hint="eastAsia"/>
          <w:color w:val="auto"/>
          <w:highlight w:val="none"/>
        </w:rPr>
        <w:t xml:space="preserve">      谈判供应商名称（加盖单位公章）：</w:t>
      </w:r>
    </w:p>
    <w:p>
      <w:pPr>
        <w:pStyle w:val="7"/>
        <w:ind w:firstLine="0"/>
        <w:rPr>
          <w:color w:val="auto"/>
          <w:highlight w:val="none"/>
          <w:u w:val="single"/>
        </w:rPr>
      </w:pPr>
      <w:r>
        <w:rPr>
          <w:rFonts w:hint="eastAsia"/>
          <w:color w:val="auto"/>
          <w:highlight w:val="none"/>
        </w:rPr>
        <w:t xml:space="preserve">      地    址：</w:t>
      </w:r>
    </w:p>
    <w:p>
      <w:pPr>
        <w:pStyle w:val="7"/>
        <w:ind w:firstLine="0"/>
        <w:rPr>
          <w:color w:val="auto"/>
          <w:highlight w:val="none"/>
          <w:u w:val="single"/>
        </w:rPr>
      </w:pPr>
      <w:r>
        <w:rPr>
          <w:rFonts w:hint="eastAsia"/>
          <w:color w:val="auto"/>
          <w:highlight w:val="none"/>
        </w:rPr>
        <w:t xml:space="preserve">      法定代表人（负责人）或委托代理人（签字或签章）：</w:t>
      </w:r>
    </w:p>
    <w:p>
      <w:pPr>
        <w:pStyle w:val="7"/>
        <w:ind w:firstLine="0"/>
        <w:rPr>
          <w:b w:val="0"/>
          <w:bCs/>
          <w:color w:val="auto"/>
          <w:highlight w:val="none"/>
          <w:u w:val="single"/>
        </w:rPr>
      </w:pPr>
      <w:r>
        <w:rPr>
          <w:rFonts w:hint="eastAsia"/>
          <w:color w:val="auto"/>
          <w:highlight w:val="none"/>
        </w:rPr>
        <w:t xml:space="preserve">      联系电话：</w:t>
      </w:r>
    </w:p>
    <w:p>
      <w:pPr>
        <w:pStyle w:val="7"/>
        <w:ind w:firstLine="0"/>
        <w:outlineLvl w:val="9"/>
        <w:rPr>
          <w:color w:val="auto"/>
          <w:highlight w:val="none"/>
        </w:rPr>
      </w:pPr>
    </w:p>
    <w:p>
      <w:pPr>
        <w:pStyle w:val="7"/>
        <w:ind w:firstLine="1661" w:firstLineChars="591"/>
        <w:rPr>
          <w:color w:val="auto"/>
          <w:highlight w:val="none"/>
          <w:u w:val="single"/>
        </w:rPr>
      </w:pPr>
      <w:r>
        <w:rPr>
          <w:rFonts w:hint="eastAsia"/>
          <w:color w:val="auto"/>
          <w:highlight w:val="none"/>
        </w:rPr>
        <w:t>谈判日期：</w:t>
      </w:r>
      <w:r>
        <w:rPr>
          <w:rFonts w:hint="eastAsia"/>
          <w:color w:val="auto"/>
          <w:highlight w:val="none"/>
          <w:u w:val="single"/>
        </w:rPr>
        <w:t xml:space="preserve">     年    月    日    时    分</w:t>
      </w:r>
    </w:p>
    <w:p>
      <w:pPr>
        <w:pStyle w:val="7"/>
        <w:ind w:firstLine="0"/>
        <w:jc w:val="center"/>
        <w:rPr>
          <w:color w:val="auto"/>
          <w:highlight w:val="none"/>
        </w:rPr>
      </w:pPr>
      <w:r>
        <w:rPr>
          <w:rFonts w:hint="eastAsia"/>
          <w:color w:val="auto"/>
          <w:sz w:val="40"/>
          <w:szCs w:val="24"/>
          <w:highlight w:val="none"/>
        </w:rPr>
        <w:br w:type="page"/>
      </w:r>
      <w:r>
        <w:rPr>
          <w:rFonts w:hint="eastAsia"/>
          <w:color w:val="auto"/>
          <w:highlight w:val="none"/>
        </w:rPr>
        <w:t>1．谈 判 书 格 式</w:t>
      </w:r>
    </w:p>
    <w:p>
      <w:pPr>
        <w:pStyle w:val="20"/>
        <w:spacing w:line="360" w:lineRule="auto"/>
        <w:jc w:val="left"/>
        <w:rPr>
          <w:rFonts w:hint="default"/>
          <w:color w:val="auto"/>
          <w:highlight w:val="none"/>
        </w:rPr>
      </w:pPr>
    </w:p>
    <w:p>
      <w:pPr>
        <w:pStyle w:val="20"/>
        <w:spacing w:line="360" w:lineRule="auto"/>
        <w:jc w:val="left"/>
        <w:rPr>
          <w:rFonts w:hint="default"/>
          <w:color w:val="auto"/>
          <w:highlight w:val="none"/>
          <w:u w:val="single"/>
        </w:rPr>
      </w:pPr>
      <w:r>
        <w:rPr>
          <w:color w:val="auto"/>
          <w:highlight w:val="none"/>
        </w:rPr>
        <w:t>广西中信恒泰工程顾问有限公司：</w:t>
      </w:r>
    </w:p>
    <w:p>
      <w:pPr>
        <w:pStyle w:val="20"/>
        <w:spacing w:line="360" w:lineRule="auto"/>
        <w:ind w:firstLine="420"/>
        <w:rPr>
          <w:rFonts w:hint="default"/>
          <w:color w:val="auto"/>
          <w:highlight w:val="none"/>
        </w:rPr>
      </w:pPr>
      <w:r>
        <w:rPr>
          <w:color w:val="auto"/>
          <w:highlight w:val="none"/>
        </w:rPr>
        <w:t>根据贵方</w:t>
      </w:r>
      <w:r>
        <w:rPr>
          <w:rFonts w:hAnsi="宋体"/>
          <w:color w:val="auto"/>
          <w:highlight w:val="none"/>
          <w:u w:val="single"/>
        </w:rPr>
        <w:t>（项目名称及编号）</w:t>
      </w:r>
      <w:r>
        <w:rPr>
          <w:rFonts w:hAnsi="宋体"/>
          <w:color w:val="auto"/>
          <w:highlight w:val="none"/>
        </w:rPr>
        <w:t>项目政府采购的谈判邀请，我方</w:t>
      </w:r>
      <w:r>
        <w:rPr>
          <w:color w:val="auto"/>
          <w:highlight w:val="none"/>
          <w:u w:val="single"/>
        </w:rPr>
        <w:t>（姓名和职务）</w:t>
      </w:r>
      <w:r>
        <w:rPr>
          <w:color w:val="auto"/>
          <w:highlight w:val="none"/>
        </w:rPr>
        <w:t>经正式授权并代表谈判供应商</w:t>
      </w:r>
      <w:r>
        <w:rPr>
          <w:color w:val="auto"/>
          <w:highlight w:val="none"/>
          <w:u w:val="single"/>
        </w:rPr>
        <w:t>（谈判供应商名称）</w:t>
      </w:r>
      <w:r>
        <w:rPr>
          <w:color w:val="auto"/>
          <w:highlight w:val="none"/>
        </w:rPr>
        <w:t>，提交竞争性谈判响应文件正本一份，副本三份。</w:t>
      </w:r>
    </w:p>
    <w:p>
      <w:pPr>
        <w:pStyle w:val="20"/>
        <w:spacing w:line="360" w:lineRule="auto"/>
        <w:ind w:firstLine="400" w:firstLineChars="200"/>
        <w:rPr>
          <w:rFonts w:hint="default"/>
          <w:color w:val="auto"/>
          <w:highlight w:val="none"/>
        </w:rPr>
      </w:pPr>
      <w:r>
        <w:rPr>
          <w:color w:val="auto"/>
          <w:highlight w:val="none"/>
        </w:rPr>
        <w:t>据此函，签字人兹宣布同意如下：</w:t>
      </w:r>
    </w:p>
    <w:p>
      <w:pPr>
        <w:pStyle w:val="20"/>
        <w:spacing w:line="360" w:lineRule="auto"/>
        <w:ind w:firstLine="420"/>
        <w:jc w:val="left"/>
        <w:rPr>
          <w:rFonts w:hint="default" w:hAnsi="宋体"/>
          <w:color w:val="auto"/>
          <w:spacing w:val="-6"/>
          <w:highlight w:val="none"/>
        </w:rPr>
      </w:pPr>
      <w:r>
        <w:rPr>
          <w:color w:val="auto"/>
          <w:highlight w:val="none"/>
        </w:rPr>
        <w:t>（1）根据谈判采购文件项目需求和谈判报价表，我方愿意以总报价为</w:t>
      </w:r>
      <w:r>
        <w:rPr>
          <w:color w:val="auto"/>
          <w:highlight w:val="none"/>
          <w:u w:val="single"/>
        </w:rPr>
        <w:t>人民币（大写）     (</w:t>
      </w:r>
      <w:r>
        <w:rPr>
          <w:rFonts w:asciiTheme="minorEastAsia" w:hAnsiTheme="minorEastAsia" w:eastAsiaTheme="minorEastAsia"/>
          <w:color w:val="auto"/>
          <w:highlight w:val="none"/>
          <w:u w:val="single"/>
        </w:rPr>
        <w:t>¥</w:t>
      </w:r>
      <w:r>
        <w:rPr>
          <w:color w:val="auto"/>
          <w:highlight w:val="none"/>
          <w:u w:val="single"/>
        </w:rPr>
        <w:t>元)</w:t>
      </w:r>
      <w:r>
        <w:rPr>
          <w:color w:val="auto"/>
          <w:highlight w:val="none"/>
        </w:rPr>
        <w:t>，交货时间</w:t>
      </w:r>
      <w:r>
        <w:rPr>
          <w:rFonts w:hAnsi="宋体"/>
          <w:color w:val="auto"/>
          <w:spacing w:val="-6"/>
          <w:highlight w:val="none"/>
        </w:rPr>
        <w:t>：</w:t>
      </w:r>
      <w:r>
        <w:rPr>
          <w:rFonts w:hAnsi="宋体"/>
          <w:color w:val="auto"/>
          <w:spacing w:val="-6"/>
          <w:highlight w:val="none"/>
          <w:u w:val="single"/>
        </w:rPr>
        <w:t xml:space="preserve">          </w:t>
      </w:r>
      <w:r>
        <w:rPr>
          <w:rFonts w:hAnsi="宋体"/>
          <w:color w:val="auto"/>
          <w:spacing w:val="-6"/>
          <w:highlight w:val="none"/>
        </w:rPr>
        <w:t>，交付地点：</w:t>
      </w:r>
      <w:r>
        <w:rPr>
          <w:rFonts w:hAnsi="宋体"/>
          <w:color w:val="auto"/>
          <w:spacing w:val="-6"/>
          <w:highlight w:val="none"/>
          <w:u w:val="single"/>
        </w:rPr>
        <w:t xml:space="preserve">          </w:t>
      </w:r>
      <w:r>
        <w:rPr>
          <w:rFonts w:hAnsi="宋体"/>
          <w:color w:val="auto"/>
          <w:spacing w:val="-6"/>
          <w:highlight w:val="none"/>
        </w:rPr>
        <w:t>。</w:t>
      </w:r>
    </w:p>
    <w:p>
      <w:pPr>
        <w:pStyle w:val="20"/>
        <w:spacing w:line="360" w:lineRule="auto"/>
        <w:ind w:firstLine="420"/>
        <w:rPr>
          <w:rFonts w:hint="default"/>
          <w:color w:val="auto"/>
          <w:highlight w:val="none"/>
        </w:rPr>
      </w:pPr>
      <w:r>
        <w:rPr>
          <w:color w:val="auto"/>
          <w:highlight w:val="none"/>
        </w:rPr>
        <w:t>（2）我们根据谈判采购文件的规定，承担完成合同的责任和义务。</w:t>
      </w:r>
    </w:p>
    <w:p>
      <w:pPr>
        <w:pStyle w:val="20"/>
        <w:spacing w:line="360" w:lineRule="auto"/>
        <w:ind w:firstLine="420"/>
        <w:rPr>
          <w:rFonts w:hint="default"/>
          <w:color w:val="auto"/>
          <w:highlight w:val="none"/>
        </w:rPr>
      </w:pPr>
      <w:r>
        <w:rPr>
          <w:color w:val="auto"/>
          <w:highlight w:val="none"/>
        </w:rPr>
        <w:t>（3）我们已详细审核谈判采购文件，我们知道必须放弃提出含糊不清或容易导致误解的问题的权利。</w:t>
      </w:r>
    </w:p>
    <w:p>
      <w:pPr>
        <w:pStyle w:val="20"/>
        <w:spacing w:line="360" w:lineRule="auto"/>
        <w:ind w:firstLine="400" w:firstLineChars="200"/>
        <w:rPr>
          <w:rFonts w:hint="default"/>
          <w:color w:val="auto"/>
          <w:highlight w:val="none"/>
        </w:rPr>
      </w:pPr>
      <w:r>
        <w:rPr>
          <w:color w:val="auto"/>
          <w:highlight w:val="none"/>
        </w:rPr>
        <w:t>（4）我们已详细审查全部“谈判采购文件”，包括修改文件（如有的话）以及全部参考资料和有关附件，已经了解我方对于谈判采购文件、采购过程、采购结果有依法进行询问、质疑、投诉的权利及相关渠道和要求。</w:t>
      </w:r>
    </w:p>
    <w:p>
      <w:pPr>
        <w:pStyle w:val="20"/>
        <w:spacing w:line="360" w:lineRule="auto"/>
        <w:ind w:firstLine="400" w:firstLineChars="200"/>
        <w:rPr>
          <w:rFonts w:hint="default"/>
          <w:color w:val="auto"/>
          <w:highlight w:val="none"/>
        </w:rPr>
      </w:pPr>
      <w:r>
        <w:rPr>
          <w:color w:val="auto"/>
          <w:highlight w:val="none"/>
        </w:rPr>
        <w:t>（5）我们在竞标之前已经与贵方进行了充分的沟通，完全理解并接受谈判采购文件的各项规定和要求，对谈判采购文件的合理性、合法性不再有异议。</w:t>
      </w:r>
    </w:p>
    <w:p>
      <w:pPr>
        <w:pStyle w:val="20"/>
        <w:spacing w:line="360" w:lineRule="auto"/>
        <w:ind w:firstLine="420"/>
        <w:rPr>
          <w:rFonts w:hint="default"/>
          <w:color w:val="auto"/>
          <w:highlight w:val="none"/>
        </w:rPr>
      </w:pPr>
      <w:r>
        <w:rPr>
          <w:color w:val="auto"/>
          <w:highlight w:val="none"/>
        </w:rPr>
        <w:t>（6）我们同意在谈判须知规定的截标日期起遵循本竞争性谈判响应文件，并在谈判须知第14条规定的竞标有效期满之前均具有约束力，并有可能成交。</w:t>
      </w:r>
    </w:p>
    <w:p>
      <w:pPr>
        <w:pStyle w:val="20"/>
        <w:spacing w:line="360" w:lineRule="auto"/>
        <w:ind w:firstLine="420"/>
        <w:rPr>
          <w:rFonts w:hint="default"/>
          <w:color w:val="auto"/>
          <w:highlight w:val="none"/>
        </w:rPr>
      </w:pPr>
      <w:r>
        <w:rPr>
          <w:color w:val="auto"/>
          <w:highlight w:val="none"/>
        </w:rPr>
        <w:t>（7）如果在竞标截止时间后的竞标有效期内撤回竞标或者有其他违约行为，我们的谈判保证金可被贵方全部没收。</w:t>
      </w:r>
    </w:p>
    <w:p>
      <w:pPr>
        <w:pStyle w:val="20"/>
        <w:spacing w:line="360" w:lineRule="auto"/>
        <w:ind w:firstLine="420"/>
        <w:rPr>
          <w:rFonts w:hint="default"/>
          <w:color w:val="auto"/>
          <w:highlight w:val="none"/>
        </w:rPr>
      </w:pPr>
      <w:r>
        <w:rPr>
          <w:color w:val="auto"/>
          <w:highlight w:val="none"/>
        </w:rPr>
        <w:t>（8）同意向贵方提供贵方可能要求的与本竞标有关的任何数据或资料。</w:t>
      </w:r>
    </w:p>
    <w:p>
      <w:pPr>
        <w:pStyle w:val="20"/>
        <w:spacing w:line="360" w:lineRule="auto"/>
        <w:ind w:firstLine="420"/>
        <w:rPr>
          <w:rFonts w:hint="default"/>
          <w:color w:val="auto"/>
          <w:highlight w:val="none"/>
        </w:rPr>
      </w:pPr>
      <w:r>
        <w:rPr>
          <w:color w:val="auto"/>
          <w:highlight w:val="none"/>
        </w:rPr>
        <w:t>（9）我们完全理解贵方不一定要接受最低报价的谈判供应商为成交供应商。</w:t>
      </w:r>
    </w:p>
    <w:p>
      <w:pPr>
        <w:pStyle w:val="20"/>
        <w:spacing w:line="360" w:lineRule="auto"/>
        <w:ind w:firstLine="420"/>
        <w:rPr>
          <w:rFonts w:hint="default"/>
          <w:color w:val="auto"/>
          <w:highlight w:val="none"/>
        </w:rPr>
      </w:pPr>
    </w:p>
    <w:p>
      <w:pPr>
        <w:pStyle w:val="20"/>
        <w:spacing w:line="360" w:lineRule="auto"/>
        <w:ind w:firstLine="420"/>
        <w:rPr>
          <w:rFonts w:hint="default"/>
          <w:color w:val="auto"/>
          <w:highlight w:val="none"/>
        </w:rPr>
      </w:pPr>
      <w:r>
        <w:rPr>
          <w:color w:val="auto"/>
          <w:highlight w:val="none"/>
        </w:rPr>
        <w:t>与本谈判有关的正式通讯地址如下：</w:t>
      </w:r>
    </w:p>
    <w:p>
      <w:pPr>
        <w:pStyle w:val="20"/>
        <w:spacing w:line="360" w:lineRule="auto"/>
        <w:ind w:firstLine="420"/>
        <w:rPr>
          <w:rFonts w:hint="default"/>
          <w:color w:val="auto"/>
          <w:highlight w:val="none"/>
        </w:rPr>
      </w:pPr>
      <w:r>
        <w:rPr>
          <w:color w:val="auto"/>
          <w:highlight w:val="none"/>
        </w:rPr>
        <w:t xml:space="preserve">地址：                       </w:t>
      </w:r>
    </w:p>
    <w:p>
      <w:pPr>
        <w:pStyle w:val="20"/>
        <w:spacing w:line="360" w:lineRule="auto"/>
        <w:ind w:firstLine="420"/>
        <w:rPr>
          <w:rFonts w:hint="default"/>
          <w:color w:val="auto"/>
          <w:highlight w:val="none"/>
        </w:rPr>
      </w:pPr>
      <w:r>
        <w:rPr>
          <w:color w:val="auto"/>
          <w:highlight w:val="none"/>
        </w:rPr>
        <w:t>邮政编码：</w:t>
      </w:r>
    </w:p>
    <w:p>
      <w:pPr>
        <w:pStyle w:val="20"/>
        <w:spacing w:line="360" w:lineRule="auto"/>
        <w:ind w:firstLine="420"/>
        <w:rPr>
          <w:rFonts w:hint="default"/>
          <w:color w:val="auto"/>
          <w:highlight w:val="none"/>
          <w:u w:val="single"/>
        </w:rPr>
      </w:pPr>
      <w:r>
        <w:rPr>
          <w:color w:val="auto"/>
          <w:highlight w:val="none"/>
        </w:rPr>
        <w:t>电话、传真：</w:t>
      </w:r>
    </w:p>
    <w:p>
      <w:pPr>
        <w:pStyle w:val="20"/>
        <w:spacing w:line="360" w:lineRule="auto"/>
        <w:ind w:firstLine="420"/>
        <w:rPr>
          <w:rFonts w:hint="default"/>
          <w:color w:val="auto"/>
          <w:highlight w:val="none"/>
          <w:u w:val="single"/>
        </w:rPr>
      </w:pPr>
      <w:r>
        <w:rPr>
          <w:color w:val="auto"/>
          <w:highlight w:val="none"/>
        </w:rPr>
        <w:t>开户名称：</w:t>
      </w:r>
    </w:p>
    <w:p>
      <w:pPr>
        <w:pStyle w:val="20"/>
        <w:spacing w:line="360" w:lineRule="auto"/>
        <w:ind w:firstLine="420"/>
        <w:rPr>
          <w:rFonts w:hint="default"/>
          <w:color w:val="auto"/>
          <w:highlight w:val="none"/>
          <w:u w:val="single"/>
        </w:rPr>
      </w:pPr>
      <w:r>
        <w:rPr>
          <w:color w:val="auto"/>
          <w:highlight w:val="none"/>
        </w:rPr>
        <w:t>开户银行：</w:t>
      </w:r>
    </w:p>
    <w:p>
      <w:pPr>
        <w:pStyle w:val="20"/>
        <w:spacing w:line="360" w:lineRule="auto"/>
        <w:ind w:firstLine="420"/>
        <w:rPr>
          <w:rFonts w:hint="default"/>
          <w:color w:val="auto"/>
          <w:highlight w:val="none"/>
          <w:u w:val="single"/>
        </w:rPr>
      </w:pPr>
      <w:r>
        <w:rPr>
          <w:color w:val="auto"/>
          <w:highlight w:val="none"/>
        </w:rPr>
        <w:t>帐号：</w:t>
      </w:r>
    </w:p>
    <w:p>
      <w:pPr>
        <w:pStyle w:val="20"/>
        <w:spacing w:line="360" w:lineRule="auto"/>
        <w:ind w:firstLine="420"/>
        <w:rPr>
          <w:rFonts w:hint="default"/>
          <w:color w:val="auto"/>
          <w:highlight w:val="none"/>
        </w:rPr>
      </w:pPr>
      <w:r>
        <w:rPr>
          <w:color w:val="auto"/>
          <w:highlight w:val="none"/>
        </w:rPr>
        <w:t>法定代表人（负责人）或委托代理人（签字或签章）：</w:t>
      </w:r>
    </w:p>
    <w:p>
      <w:pPr>
        <w:pStyle w:val="20"/>
        <w:spacing w:line="360" w:lineRule="auto"/>
        <w:ind w:firstLine="420"/>
        <w:rPr>
          <w:rFonts w:hint="default"/>
          <w:color w:val="auto"/>
          <w:highlight w:val="none"/>
        </w:rPr>
      </w:pPr>
      <w:r>
        <w:rPr>
          <w:color w:val="auto"/>
          <w:highlight w:val="none"/>
        </w:rPr>
        <w:t>谈判供应商名称（加盖公章）：</w:t>
      </w:r>
    </w:p>
    <w:p>
      <w:pPr>
        <w:pStyle w:val="20"/>
        <w:spacing w:line="360" w:lineRule="auto"/>
        <w:ind w:firstLine="420"/>
        <w:rPr>
          <w:rFonts w:hint="default"/>
          <w:color w:val="auto"/>
          <w:highlight w:val="none"/>
          <w:u w:val="single"/>
        </w:rPr>
      </w:pPr>
      <w:r>
        <w:rPr>
          <w:color w:val="auto"/>
          <w:highlight w:val="none"/>
        </w:rPr>
        <w:t>日期：</w:t>
      </w:r>
    </w:p>
    <w:p>
      <w:pPr>
        <w:pStyle w:val="7"/>
        <w:ind w:firstLine="0"/>
        <w:outlineLvl w:val="9"/>
        <w:rPr>
          <w:color w:val="auto"/>
          <w:highlight w:val="none"/>
        </w:rPr>
        <w:sectPr>
          <w:footerReference r:id="rId14" w:type="first"/>
          <w:pgSz w:w="11906" w:h="16838"/>
          <w:pgMar w:top="851"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pStyle w:val="7"/>
        <w:numPr>
          <w:ilvl w:val="0"/>
          <w:numId w:val="16"/>
        </w:numPr>
        <w:ind w:firstLine="0"/>
        <w:jc w:val="center"/>
        <w:rPr>
          <w:color w:val="auto"/>
          <w:highlight w:val="none"/>
        </w:rPr>
      </w:pPr>
      <w:r>
        <w:rPr>
          <w:rFonts w:hint="eastAsia"/>
          <w:color w:val="auto"/>
          <w:highlight w:val="none"/>
        </w:rPr>
        <w:t>谈判报价表格式</w:t>
      </w:r>
    </w:p>
    <w:p>
      <w:pPr>
        <w:rPr>
          <w:color w:val="auto"/>
          <w:highlight w:val="none"/>
        </w:rPr>
      </w:pPr>
    </w:p>
    <w:p>
      <w:pPr>
        <w:jc w:val="left"/>
        <w:rPr>
          <w:b/>
          <w:bCs/>
          <w:color w:val="auto"/>
          <w:szCs w:val="21"/>
          <w:highlight w:val="none"/>
        </w:rPr>
      </w:pPr>
      <w:r>
        <w:rPr>
          <w:rFonts w:hint="eastAsia"/>
          <w:b/>
          <w:bCs/>
          <w:color w:val="auto"/>
          <w:szCs w:val="21"/>
          <w:highlight w:val="none"/>
        </w:rPr>
        <w:t>项目名称：</w:t>
      </w:r>
    </w:p>
    <w:p>
      <w:pPr>
        <w:pStyle w:val="6"/>
        <w:ind w:firstLine="0"/>
        <w:jc w:val="left"/>
        <w:rPr>
          <w:b/>
          <w:bCs/>
          <w:color w:val="auto"/>
          <w:szCs w:val="21"/>
          <w:highlight w:val="none"/>
        </w:rPr>
      </w:pPr>
      <w:r>
        <w:rPr>
          <w:rFonts w:hint="eastAsia"/>
          <w:b/>
          <w:bCs/>
          <w:color w:val="auto"/>
          <w:sz w:val="21"/>
          <w:szCs w:val="21"/>
          <w:highlight w:val="none"/>
        </w:rPr>
        <w:t>项目编号：</w:t>
      </w:r>
      <w:r>
        <w:rPr>
          <w:rFonts w:hint="eastAsia"/>
          <w:b/>
          <w:bCs/>
          <w:color w:val="auto"/>
          <w:szCs w:val="21"/>
          <w:highlight w:val="none"/>
        </w:rPr>
        <w:t xml:space="preserve">      </w:t>
      </w:r>
    </w:p>
    <w:tbl>
      <w:tblPr>
        <w:tblStyle w:val="46"/>
        <w:tblW w:w="9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48"/>
        <w:gridCol w:w="1134"/>
        <w:gridCol w:w="2249"/>
        <w:gridCol w:w="1485"/>
        <w:gridCol w:w="826"/>
        <w:gridCol w:w="141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spacing w:val="-20"/>
                <w:highlight w:val="none"/>
              </w:rPr>
            </w:pPr>
            <w:r>
              <w:rPr>
                <w:color w:val="auto"/>
                <w:spacing w:val="-20"/>
                <w:highlight w:val="none"/>
              </w:rPr>
              <w:t>序号</w:t>
            </w:r>
          </w:p>
        </w:tc>
        <w:tc>
          <w:tcPr>
            <w:tcW w:w="134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spacing w:val="-20"/>
                <w:highlight w:val="none"/>
              </w:rPr>
            </w:pPr>
            <w:r>
              <w:rPr>
                <w:color w:val="auto"/>
                <w:spacing w:val="-20"/>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spacing w:val="-20"/>
                <w:highlight w:val="none"/>
              </w:rPr>
            </w:pPr>
            <w:r>
              <w:rPr>
                <w:color w:val="auto"/>
                <w:spacing w:val="-20"/>
                <w:highlight w:val="none"/>
              </w:rPr>
              <w:t>数量及单位</w:t>
            </w:r>
          </w:p>
          <w:p>
            <w:pPr>
              <w:pStyle w:val="20"/>
              <w:jc w:val="center"/>
              <w:rPr>
                <w:rFonts w:hint="default"/>
                <w:color w:val="auto"/>
                <w:spacing w:val="-20"/>
                <w:highlight w:val="none"/>
              </w:rPr>
            </w:pPr>
            <w:r>
              <w:rPr>
                <w:color w:val="auto"/>
                <w:spacing w:val="-20"/>
                <w:highlight w:val="none"/>
              </w:rPr>
              <w:t>①</w:t>
            </w:r>
          </w:p>
        </w:tc>
        <w:tc>
          <w:tcPr>
            <w:tcW w:w="224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spacing w:val="-20"/>
                <w:highlight w:val="none"/>
              </w:rPr>
            </w:pPr>
            <w:r>
              <w:rPr>
                <w:color w:val="auto"/>
                <w:spacing w:val="-20"/>
                <w:highlight w:val="none"/>
              </w:rPr>
              <w:t>品牌、生产厂家及国别</w:t>
            </w:r>
          </w:p>
        </w:tc>
        <w:tc>
          <w:tcPr>
            <w:tcW w:w="1485" w:type="dxa"/>
            <w:tcBorders>
              <w:top w:val="single" w:color="auto" w:sz="4" w:space="0"/>
              <w:left w:val="single" w:color="auto" w:sz="4" w:space="0"/>
              <w:right w:val="single" w:color="auto" w:sz="4" w:space="0"/>
            </w:tcBorders>
            <w:vAlign w:val="center"/>
          </w:tcPr>
          <w:p>
            <w:pPr>
              <w:pStyle w:val="20"/>
              <w:jc w:val="center"/>
              <w:rPr>
                <w:rFonts w:hint="default"/>
                <w:color w:val="auto"/>
                <w:highlight w:val="none"/>
              </w:rPr>
            </w:pPr>
            <w:r>
              <w:rPr>
                <w:color w:val="auto"/>
                <w:highlight w:val="none"/>
              </w:rPr>
              <w:t>型号规格、详细技术参数、性能配置</w:t>
            </w:r>
          </w:p>
        </w:tc>
        <w:tc>
          <w:tcPr>
            <w:tcW w:w="8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单价</w:t>
            </w:r>
          </w:p>
          <w:p>
            <w:pPr>
              <w:pStyle w:val="20"/>
              <w:jc w:val="center"/>
              <w:rPr>
                <w:rFonts w:hint="default"/>
                <w:color w:val="auto"/>
                <w:highlight w:val="none"/>
              </w:rPr>
            </w:pPr>
            <w:r>
              <w:rPr>
                <w:color w:val="auto"/>
                <w:highlight w:val="none"/>
              </w:rPr>
              <w:t>(元)</w:t>
            </w:r>
          </w:p>
          <w:p>
            <w:pPr>
              <w:pStyle w:val="20"/>
              <w:jc w:val="center"/>
              <w:rPr>
                <w:rFonts w:hint="default"/>
                <w:color w:val="auto"/>
                <w:highlight w:val="none"/>
              </w:rPr>
            </w:pPr>
            <w:r>
              <w:rPr>
                <w:rFonts w:hAnsi="宋体"/>
                <w:color w:val="auto"/>
                <w:highlight w:val="none"/>
              </w:rPr>
              <w:t>②</w:t>
            </w:r>
          </w:p>
        </w:tc>
        <w:tc>
          <w:tcPr>
            <w:tcW w:w="141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单项合价</w:t>
            </w:r>
          </w:p>
          <w:p>
            <w:pPr>
              <w:pStyle w:val="20"/>
              <w:jc w:val="center"/>
              <w:rPr>
                <w:rFonts w:hint="default"/>
                <w:color w:val="auto"/>
                <w:highlight w:val="none"/>
              </w:rPr>
            </w:pPr>
            <w:r>
              <w:rPr>
                <w:color w:val="auto"/>
                <w:highlight w:val="none"/>
              </w:rPr>
              <w:t>（元）</w:t>
            </w:r>
          </w:p>
          <w:p>
            <w:pPr>
              <w:pStyle w:val="20"/>
              <w:jc w:val="center"/>
              <w:rPr>
                <w:rFonts w:hint="default"/>
                <w:color w:val="auto"/>
                <w:highlight w:val="none"/>
              </w:rPr>
            </w:pPr>
            <w:r>
              <w:rPr>
                <w:rFonts w:hAnsi="宋体"/>
                <w:color w:val="auto"/>
                <w:highlight w:val="none"/>
              </w:rPr>
              <w:t>③</w:t>
            </w:r>
            <w:r>
              <w:rPr>
                <w:color w:val="auto"/>
                <w:highlight w:val="none"/>
              </w:rPr>
              <w:t>=</w:t>
            </w:r>
            <w:r>
              <w:rPr>
                <w:rFonts w:hAnsi="宋体"/>
                <w:color w:val="auto"/>
                <w:highlight w:val="none"/>
              </w:rPr>
              <w:t>①×②</w:t>
            </w:r>
          </w:p>
        </w:tc>
        <w:tc>
          <w:tcPr>
            <w:tcW w:w="108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r>
              <w:rPr>
                <w:rFonts w:hint="eastAsia"/>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r>
              <w:rPr>
                <w:rFonts w:hint="eastAsia"/>
                <w:color w:val="auto"/>
                <w:szCs w:val="21"/>
                <w:highlight w:val="none"/>
              </w:rPr>
              <w:t>2</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r>
              <w:rPr>
                <w:rFonts w:hint="eastAsia"/>
                <w:color w:val="auto"/>
                <w:szCs w:val="21"/>
                <w:highlight w:val="none"/>
              </w:rPr>
              <w:t>…</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0"/>
              <w:tabs>
                <w:tab w:val="left" w:pos="617"/>
              </w:tabs>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r>
              <w:rPr>
                <w:rFonts w:hint="eastAsia"/>
                <w:color w:val="auto"/>
                <w:szCs w:val="21"/>
                <w:highlight w:val="none"/>
              </w:rPr>
              <w:t>N</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r>
              <w:rPr>
                <w:color w:val="auto"/>
                <w:spacing w:val="-6"/>
                <w:highlight w:val="none"/>
              </w:rPr>
              <w:t>总报价（人民币大写）：</w:t>
            </w:r>
            <w:r>
              <w:rPr>
                <w:color w:val="auto"/>
                <w:spacing w:val="-6"/>
                <w:highlight w:val="none"/>
                <w:u w:val="single"/>
              </w:rPr>
              <w:t xml:space="preserve">                          </w:t>
            </w:r>
            <w:r>
              <w:rPr>
                <w:color w:val="auto"/>
                <w:spacing w:val="-6"/>
                <w:highlight w:val="none"/>
              </w:rPr>
              <w:t>（</w:t>
            </w:r>
            <w:r>
              <w:rPr>
                <w:rFonts w:asciiTheme="minorEastAsia" w:hAnsiTheme="minorEastAsia" w:eastAsiaTheme="minorEastAsia"/>
                <w:color w:val="auto"/>
                <w:spacing w:val="-6"/>
                <w:highlight w:val="none"/>
              </w:rPr>
              <w:t xml:space="preserve">¥ </w:t>
            </w:r>
            <w:r>
              <w:rPr>
                <w:rFonts w:asciiTheme="minorEastAsia" w:hAnsiTheme="minorEastAsia" w:eastAsiaTheme="minorEastAsia"/>
                <w:color w:val="auto"/>
                <w:spacing w:val="-6"/>
                <w:highlight w:val="none"/>
                <w:u w:val="single"/>
              </w:rPr>
              <w:t xml:space="preserve">     </w:t>
            </w:r>
            <w:r>
              <w:rPr>
                <w:rFonts w:asciiTheme="minorEastAsia" w:hAnsiTheme="minorEastAsia" w:eastAsiaTheme="minorEastAsia"/>
                <w:color w:val="auto"/>
                <w:spacing w:val="-6"/>
                <w:highlight w:val="none"/>
              </w:rPr>
              <w:t xml:space="preserve"> </w:t>
            </w:r>
            <w:r>
              <w:rPr>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r>
              <w:rPr>
                <w:rFonts w:hAnsi="宋体"/>
                <w:color w:val="auto"/>
                <w:highlight w:val="none"/>
              </w:rPr>
              <w:t>交货时间</w:t>
            </w:r>
            <w:r>
              <w:rPr>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spacing w:val="-6"/>
                <w:highlight w:val="none"/>
              </w:rPr>
            </w:pPr>
            <w:r>
              <w:rPr>
                <w:color w:val="auto"/>
                <w:spacing w:val="-6"/>
                <w:highlight w:val="none"/>
              </w:rPr>
              <w:t>交付地点：</w:t>
            </w:r>
          </w:p>
        </w:tc>
      </w:tr>
    </w:tbl>
    <w:p>
      <w:pPr>
        <w:pStyle w:val="20"/>
        <w:rPr>
          <w:rFonts w:hint="default"/>
          <w:color w:val="auto"/>
          <w:highlight w:val="none"/>
        </w:rPr>
      </w:pPr>
    </w:p>
    <w:p>
      <w:pPr>
        <w:pStyle w:val="20"/>
        <w:rPr>
          <w:rFonts w:hint="default"/>
          <w:color w:val="auto"/>
          <w:highlight w:val="none"/>
        </w:rPr>
      </w:pPr>
      <w:r>
        <w:rPr>
          <w:color w:val="auto"/>
          <w:highlight w:val="none"/>
        </w:rPr>
        <w:t>备注：</w:t>
      </w:r>
    </w:p>
    <w:p>
      <w:pPr>
        <w:pStyle w:val="20"/>
        <w:spacing w:line="360" w:lineRule="auto"/>
        <w:rPr>
          <w:rFonts w:hint="default" w:hAnsi="宋体"/>
          <w:color w:val="auto"/>
          <w:highlight w:val="none"/>
        </w:rPr>
      </w:pPr>
      <w:r>
        <w:rPr>
          <w:rFonts w:hAnsi="宋体"/>
          <w:color w:val="auto"/>
          <w:highlight w:val="none"/>
        </w:rPr>
        <w:t>1、谈判报价包含货物、装卸费、运费、售后服务、税金及其它完成本项目的所有费用。</w:t>
      </w:r>
      <w:r>
        <w:rPr>
          <w:color w:val="auto"/>
          <w:highlight w:val="none"/>
        </w:rPr>
        <w:t>对于采购文件中未列明，而供应商认为必需的费用也需列入总报价。在合同实施时，采购人将不予支付成交供应商没有列入的项目费用，并认为此项目的费用已包括在总报价中</w:t>
      </w:r>
      <w:r>
        <w:rPr>
          <w:rFonts w:hAnsi="宋体" w:cs="宋体"/>
          <w:bCs/>
          <w:color w:val="auto"/>
          <w:highlight w:val="none"/>
        </w:rPr>
        <w:t>。</w:t>
      </w:r>
    </w:p>
    <w:p>
      <w:pPr>
        <w:pStyle w:val="20"/>
        <w:spacing w:line="360" w:lineRule="auto"/>
        <w:rPr>
          <w:rFonts w:hAnsi="宋体"/>
          <w:color w:val="auto"/>
          <w:highlight w:val="none"/>
        </w:rPr>
      </w:pPr>
      <w:r>
        <w:rPr>
          <w:rFonts w:hAnsi="宋体"/>
          <w:color w:val="auto"/>
          <w:highlight w:val="none"/>
        </w:rPr>
        <w:t>2、表格内容均需按要求如实填写，否则作无效响应处理；</w:t>
      </w:r>
    </w:p>
    <w:p>
      <w:pPr>
        <w:pStyle w:val="20"/>
        <w:spacing w:line="360" w:lineRule="auto"/>
        <w:rPr>
          <w:rFonts w:hint="eastAsia" w:hAnsi="宋体" w:eastAsia="宋体"/>
          <w:color w:val="auto"/>
          <w:highlight w:val="none"/>
          <w:lang w:val="en-US" w:eastAsia="zh-CN"/>
        </w:rPr>
      </w:pPr>
      <w:r>
        <w:rPr>
          <w:rFonts w:hint="eastAsia" w:hAnsi="宋体"/>
          <w:color w:val="auto"/>
          <w:highlight w:val="none"/>
          <w:lang w:val="en-US" w:eastAsia="zh-CN"/>
        </w:rPr>
        <w:t>3、附件货物配置单必须提供并如实填写，</w:t>
      </w:r>
      <w:r>
        <w:rPr>
          <w:rFonts w:hAnsi="宋体"/>
          <w:color w:val="auto"/>
          <w:highlight w:val="none"/>
        </w:rPr>
        <w:t>否则作无效响应处理</w:t>
      </w:r>
      <w:r>
        <w:rPr>
          <w:rFonts w:hint="eastAsia" w:hAnsi="宋体"/>
          <w:color w:val="auto"/>
          <w:highlight w:val="none"/>
          <w:lang w:eastAsia="zh-CN"/>
        </w:rPr>
        <w:t>。</w:t>
      </w:r>
    </w:p>
    <w:p>
      <w:pPr>
        <w:pStyle w:val="20"/>
        <w:spacing w:line="560" w:lineRule="exact"/>
        <w:ind w:firstLine="3240" w:firstLineChars="1620"/>
        <w:rPr>
          <w:rFonts w:hint="default"/>
          <w:color w:val="auto"/>
          <w:highlight w:val="none"/>
        </w:rPr>
      </w:pPr>
    </w:p>
    <w:p>
      <w:pPr>
        <w:pStyle w:val="20"/>
        <w:spacing w:line="560" w:lineRule="exact"/>
        <w:ind w:firstLine="3240" w:firstLineChars="1620"/>
        <w:rPr>
          <w:rFonts w:hint="default"/>
          <w:color w:val="auto"/>
          <w:highlight w:val="none"/>
        </w:rPr>
      </w:pPr>
    </w:p>
    <w:p>
      <w:pPr>
        <w:pStyle w:val="20"/>
        <w:spacing w:line="560" w:lineRule="exact"/>
        <w:ind w:firstLine="3240" w:firstLineChars="1620"/>
        <w:rPr>
          <w:rFonts w:hint="default"/>
          <w:color w:val="auto"/>
          <w:highlight w:val="none"/>
          <w:u w:val="single"/>
        </w:rPr>
      </w:pPr>
      <w:r>
        <w:rPr>
          <w:color w:val="auto"/>
          <w:highlight w:val="none"/>
        </w:rPr>
        <w:t>谈判供应商名称（加盖单位公章）：</w:t>
      </w:r>
    </w:p>
    <w:p>
      <w:pPr>
        <w:pStyle w:val="20"/>
        <w:spacing w:line="560" w:lineRule="exact"/>
        <w:ind w:firstLine="3240" w:firstLineChars="1620"/>
        <w:rPr>
          <w:rFonts w:hint="default"/>
          <w:color w:val="auto"/>
          <w:highlight w:val="none"/>
          <w:u w:val="single"/>
        </w:rPr>
      </w:pPr>
      <w:r>
        <w:rPr>
          <w:color w:val="auto"/>
          <w:highlight w:val="none"/>
        </w:rPr>
        <w:t>法定代表人（负责人）或委托代理人（签字或签章）：</w:t>
      </w:r>
    </w:p>
    <w:p>
      <w:pPr>
        <w:pStyle w:val="20"/>
        <w:spacing w:line="440" w:lineRule="exact"/>
        <w:ind w:firstLine="4111"/>
        <w:rPr>
          <w:rFonts w:hint="default" w:hAnsi="宋体"/>
          <w:bCs/>
          <w:color w:val="auto"/>
          <w:highlight w:val="none"/>
        </w:rPr>
      </w:pPr>
      <w:r>
        <w:rPr>
          <w:rFonts w:hAnsi="宋体"/>
          <w:bCs/>
          <w:color w:val="auto"/>
          <w:highlight w:val="none"/>
        </w:rPr>
        <w:t>日期：    年   月   日</w:t>
      </w:r>
    </w:p>
    <w:p>
      <w:pPr>
        <w:rPr>
          <w:rFonts w:hint="default" w:hAnsi="宋体"/>
          <w:bCs/>
          <w:color w:val="auto"/>
          <w:highlight w:val="none"/>
        </w:rPr>
      </w:pPr>
      <w:r>
        <w:rPr>
          <w:rFonts w:hint="default" w:hAnsi="宋体"/>
          <w:bCs/>
          <w:color w:val="auto"/>
          <w:highlight w:val="none"/>
        </w:rPr>
        <w:br w:type="page"/>
      </w:r>
    </w:p>
    <w:p>
      <w:pPr>
        <w:jc w:val="left"/>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附件：</w:t>
      </w:r>
    </w:p>
    <w:p>
      <w:pPr>
        <w:jc w:val="center"/>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货物配置清单</w:t>
      </w:r>
    </w:p>
    <w:p>
      <w:pPr>
        <w:pStyle w:val="12"/>
        <w:rPr>
          <w:rFonts w:hint="eastAsia" w:hAnsi="宋体"/>
          <w:b/>
          <w:bCs w:val="0"/>
          <w:color w:val="auto"/>
          <w:sz w:val="24"/>
          <w:szCs w:val="24"/>
          <w:highlight w:val="none"/>
          <w:lang w:eastAsia="zh-CN"/>
        </w:rPr>
      </w:pPr>
    </w:p>
    <w:p>
      <w:pPr>
        <w:jc w:val="left"/>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项目编号：</w:t>
      </w:r>
    </w:p>
    <w:p>
      <w:pPr>
        <w:jc w:val="left"/>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项目名称：</w:t>
      </w:r>
    </w:p>
    <w:p>
      <w:pPr>
        <w:pStyle w:val="12"/>
        <w:ind w:left="0" w:leftChars="0" w:firstLine="0" w:firstLineChars="0"/>
        <w:rPr>
          <w:rFonts w:hint="eastAsia" w:hAnsi="宋体"/>
          <w:b/>
          <w:bCs w:val="0"/>
          <w:color w:val="auto"/>
          <w:sz w:val="24"/>
          <w:szCs w:val="24"/>
          <w:highlight w:val="none"/>
          <w:lang w:eastAsia="zh-CN"/>
        </w:rPr>
      </w:pPr>
    </w:p>
    <w:tbl>
      <w:tblPr>
        <w:tblStyle w:val="47"/>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20"/>
        <w:gridCol w:w="907"/>
        <w:gridCol w:w="1286"/>
        <w:gridCol w:w="1286"/>
        <w:gridCol w:w="1081"/>
        <w:gridCol w:w="104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82"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序号</w:t>
            </w:r>
          </w:p>
        </w:tc>
        <w:tc>
          <w:tcPr>
            <w:tcW w:w="1820"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货物名称</w:t>
            </w:r>
          </w:p>
        </w:tc>
        <w:tc>
          <w:tcPr>
            <w:tcW w:w="907"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数量及单位</w:t>
            </w:r>
          </w:p>
        </w:tc>
        <w:tc>
          <w:tcPr>
            <w:tcW w:w="1286"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品牌</w:t>
            </w:r>
          </w:p>
        </w:tc>
        <w:tc>
          <w:tcPr>
            <w:tcW w:w="1286"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规格型号</w:t>
            </w:r>
          </w:p>
        </w:tc>
        <w:tc>
          <w:tcPr>
            <w:tcW w:w="1081"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制造商</w:t>
            </w:r>
          </w:p>
        </w:tc>
        <w:tc>
          <w:tcPr>
            <w:tcW w:w="1045"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原产地</w:t>
            </w:r>
          </w:p>
        </w:tc>
        <w:tc>
          <w:tcPr>
            <w:tcW w:w="1917" w:type="dxa"/>
            <w:vAlign w:val="center"/>
          </w:tcPr>
          <w:p>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参数性能、指标及配置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82" w:type="dxa"/>
          </w:tcPr>
          <w:p>
            <w:pPr>
              <w:pStyle w:val="12"/>
              <w:rPr>
                <w:rFonts w:hint="eastAsia" w:hAnsi="宋体"/>
                <w:b/>
                <w:bCs w:val="0"/>
                <w:color w:val="auto"/>
                <w:sz w:val="24"/>
                <w:szCs w:val="24"/>
                <w:highlight w:val="none"/>
                <w:vertAlign w:val="baseline"/>
                <w:lang w:eastAsia="zh-CN"/>
              </w:rPr>
            </w:pPr>
          </w:p>
        </w:tc>
        <w:tc>
          <w:tcPr>
            <w:tcW w:w="1820" w:type="dxa"/>
          </w:tcPr>
          <w:p>
            <w:pPr>
              <w:pStyle w:val="12"/>
              <w:rPr>
                <w:rFonts w:hint="eastAsia" w:hAnsi="宋体"/>
                <w:b/>
                <w:bCs w:val="0"/>
                <w:color w:val="auto"/>
                <w:sz w:val="24"/>
                <w:szCs w:val="24"/>
                <w:highlight w:val="none"/>
                <w:vertAlign w:val="baseline"/>
                <w:lang w:eastAsia="zh-CN"/>
              </w:rPr>
            </w:pPr>
          </w:p>
        </w:tc>
        <w:tc>
          <w:tcPr>
            <w:tcW w:w="907"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081" w:type="dxa"/>
          </w:tcPr>
          <w:p>
            <w:pPr>
              <w:pStyle w:val="12"/>
              <w:rPr>
                <w:rFonts w:hint="eastAsia" w:hAnsi="宋体"/>
                <w:b/>
                <w:bCs w:val="0"/>
                <w:color w:val="auto"/>
                <w:sz w:val="24"/>
                <w:szCs w:val="24"/>
                <w:highlight w:val="none"/>
                <w:vertAlign w:val="baseline"/>
                <w:lang w:eastAsia="zh-CN"/>
              </w:rPr>
            </w:pPr>
          </w:p>
        </w:tc>
        <w:tc>
          <w:tcPr>
            <w:tcW w:w="1045" w:type="dxa"/>
          </w:tcPr>
          <w:p>
            <w:pPr>
              <w:pStyle w:val="12"/>
              <w:rPr>
                <w:rFonts w:hint="eastAsia" w:hAnsi="宋体"/>
                <w:b/>
                <w:bCs w:val="0"/>
                <w:color w:val="auto"/>
                <w:sz w:val="24"/>
                <w:szCs w:val="24"/>
                <w:highlight w:val="none"/>
                <w:vertAlign w:val="baseline"/>
                <w:lang w:eastAsia="zh-CN"/>
              </w:rPr>
            </w:pPr>
          </w:p>
        </w:tc>
        <w:tc>
          <w:tcPr>
            <w:tcW w:w="1917" w:type="dxa"/>
          </w:tcPr>
          <w:p>
            <w:pPr>
              <w:pStyle w:val="12"/>
              <w:rPr>
                <w:rFonts w:hint="eastAsia" w:hAnsi="宋体"/>
                <w:b/>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82" w:type="dxa"/>
          </w:tcPr>
          <w:p>
            <w:pPr>
              <w:pStyle w:val="12"/>
              <w:rPr>
                <w:rFonts w:hint="eastAsia" w:hAnsi="宋体"/>
                <w:b/>
                <w:bCs w:val="0"/>
                <w:color w:val="auto"/>
                <w:sz w:val="24"/>
                <w:szCs w:val="24"/>
                <w:highlight w:val="none"/>
                <w:vertAlign w:val="baseline"/>
                <w:lang w:eastAsia="zh-CN"/>
              </w:rPr>
            </w:pPr>
          </w:p>
        </w:tc>
        <w:tc>
          <w:tcPr>
            <w:tcW w:w="1820" w:type="dxa"/>
          </w:tcPr>
          <w:p>
            <w:pPr>
              <w:pStyle w:val="12"/>
              <w:rPr>
                <w:rFonts w:hint="eastAsia" w:hAnsi="宋体"/>
                <w:b/>
                <w:bCs w:val="0"/>
                <w:color w:val="auto"/>
                <w:sz w:val="24"/>
                <w:szCs w:val="24"/>
                <w:highlight w:val="none"/>
                <w:vertAlign w:val="baseline"/>
                <w:lang w:eastAsia="zh-CN"/>
              </w:rPr>
            </w:pPr>
          </w:p>
        </w:tc>
        <w:tc>
          <w:tcPr>
            <w:tcW w:w="907"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081" w:type="dxa"/>
          </w:tcPr>
          <w:p>
            <w:pPr>
              <w:pStyle w:val="12"/>
              <w:rPr>
                <w:rFonts w:hint="eastAsia" w:hAnsi="宋体"/>
                <w:b/>
                <w:bCs w:val="0"/>
                <w:color w:val="auto"/>
                <w:sz w:val="24"/>
                <w:szCs w:val="24"/>
                <w:highlight w:val="none"/>
                <w:vertAlign w:val="baseline"/>
                <w:lang w:eastAsia="zh-CN"/>
              </w:rPr>
            </w:pPr>
          </w:p>
        </w:tc>
        <w:tc>
          <w:tcPr>
            <w:tcW w:w="1045" w:type="dxa"/>
          </w:tcPr>
          <w:p>
            <w:pPr>
              <w:pStyle w:val="12"/>
              <w:rPr>
                <w:rFonts w:hint="eastAsia" w:hAnsi="宋体"/>
                <w:b/>
                <w:bCs w:val="0"/>
                <w:color w:val="auto"/>
                <w:sz w:val="24"/>
                <w:szCs w:val="24"/>
                <w:highlight w:val="none"/>
                <w:vertAlign w:val="baseline"/>
                <w:lang w:eastAsia="zh-CN"/>
              </w:rPr>
            </w:pPr>
          </w:p>
        </w:tc>
        <w:tc>
          <w:tcPr>
            <w:tcW w:w="1917" w:type="dxa"/>
          </w:tcPr>
          <w:p>
            <w:pPr>
              <w:pStyle w:val="12"/>
              <w:rPr>
                <w:rFonts w:hint="eastAsia" w:hAnsi="宋体"/>
                <w:b/>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82" w:type="dxa"/>
          </w:tcPr>
          <w:p>
            <w:pPr>
              <w:pStyle w:val="12"/>
              <w:rPr>
                <w:rFonts w:hint="eastAsia" w:hAnsi="宋体"/>
                <w:b/>
                <w:bCs w:val="0"/>
                <w:color w:val="auto"/>
                <w:sz w:val="24"/>
                <w:szCs w:val="24"/>
                <w:highlight w:val="none"/>
                <w:vertAlign w:val="baseline"/>
                <w:lang w:eastAsia="zh-CN"/>
              </w:rPr>
            </w:pPr>
          </w:p>
        </w:tc>
        <w:tc>
          <w:tcPr>
            <w:tcW w:w="1820" w:type="dxa"/>
          </w:tcPr>
          <w:p>
            <w:pPr>
              <w:pStyle w:val="12"/>
              <w:rPr>
                <w:rFonts w:hint="eastAsia" w:hAnsi="宋体"/>
                <w:b/>
                <w:bCs w:val="0"/>
                <w:color w:val="auto"/>
                <w:sz w:val="24"/>
                <w:szCs w:val="24"/>
                <w:highlight w:val="none"/>
                <w:vertAlign w:val="baseline"/>
                <w:lang w:eastAsia="zh-CN"/>
              </w:rPr>
            </w:pPr>
          </w:p>
        </w:tc>
        <w:tc>
          <w:tcPr>
            <w:tcW w:w="907"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286" w:type="dxa"/>
          </w:tcPr>
          <w:p>
            <w:pPr>
              <w:pStyle w:val="12"/>
              <w:rPr>
                <w:rFonts w:hint="eastAsia" w:hAnsi="宋体"/>
                <w:b/>
                <w:bCs w:val="0"/>
                <w:color w:val="auto"/>
                <w:sz w:val="24"/>
                <w:szCs w:val="24"/>
                <w:highlight w:val="none"/>
                <w:vertAlign w:val="baseline"/>
                <w:lang w:eastAsia="zh-CN"/>
              </w:rPr>
            </w:pPr>
          </w:p>
        </w:tc>
        <w:tc>
          <w:tcPr>
            <w:tcW w:w="1081" w:type="dxa"/>
          </w:tcPr>
          <w:p>
            <w:pPr>
              <w:pStyle w:val="12"/>
              <w:rPr>
                <w:rFonts w:hint="eastAsia" w:hAnsi="宋体"/>
                <w:b/>
                <w:bCs w:val="0"/>
                <w:color w:val="auto"/>
                <w:sz w:val="24"/>
                <w:szCs w:val="24"/>
                <w:highlight w:val="none"/>
                <w:vertAlign w:val="baseline"/>
                <w:lang w:eastAsia="zh-CN"/>
              </w:rPr>
            </w:pPr>
          </w:p>
        </w:tc>
        <w:tc>
          <w:tcPr>
            <w:tcW w:w="1045" w:type="dxa"/>
          </w:tcPr>
          <w:p>
            <w:pPr>
              <w:pStyle w:val="12"/>
              <w:rPr>
                <w:rFonts w:hint="eastAsia" w:hAnsi="宋体"/>
                <w:b/>
                <w:bCs w:val="0"/>
                <w:color w:val="auto"/>
                <w:sz w:val="24"/>
                <w:szCs w:val="24"/>
                <w:highlight w:val="none"/>
                <w:vertAlign w:val="baseline"/>
                <w:lang w:eastAsia="zh-CN"/>
              </w:rPr>
            </w:pPr>
          </w:p>
        </w:tc>
        <w:tc>
          <w:tcPr>
            <w:tcW w:w="1917" w:type="dxa"/>
          </w:tcPr>
          <w:p>
            <w:pPr>
              <w:pStyle w:val="12"/>
              <w:rPr>
                <w:rFonts w:hint="eastAsia" w:hAnsi="宋体"/>
                <w:b/>
                <w:bCs w:val="0"/>
                <w:color w:val="auto"/>
                <w:sz w:val="24"/>
                <w:szCs w:val="24"/>
                <w:highlight w:val="none"/>
                <w:vertAlign w:val="baseline"/>
                <w:lang w:eastAsia="zh-CN"/>
              </w:rPr>
            </w:pPr>
          </w:p>
        </w:tc>
      </w:tr>
    </w:tbl>
    <w:p>
      <w:pPr>
        <w:pStyle w:val="12"/>
        <w:rPr>
          <w:rFonts w:hint="eastAsia" w:hAnsi="宋体"/>
          <w:b/>
          <w:bCs w:val="0"/>
          <w:color w:val="auto"/>
          <w:sz w:val="24"/>
          <w:szCs w:val="24"/>
          <w:highlight w:val="none"/>
          <w:lang w:eastAsia="zh-CN"/>
        </w:rPr>
      </w:pPr>
    </w:p>
    <w:p>
      <w:pPr>
        <w:pStyle w:val="12"/>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备注：</w:t>
      </w:r>
    </w:p>
    <w:p>
      <w:pPr>
        <w:pStyle w:val="12"/>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以上货物配置清单中的“货物名称、数量及单位、品牌、规格型号、制造商、原产地、参数性能、指标及配置”必须如实填写完整，品牌、规格型号没有则填无，填写有缺漏的，响应文件按无效处理。</w:t>
      </w:r>
    </w:p>
    <w:p>
      <w:pPr>
        <w:pStyle w:val="12"/>
        <w:rPr>
          <w:rFonts w:hint="eastAsia" w:hAnsi="宋体"/>
          <w:b/>
          <w:bCs w:val="0"/>
          <w:color w:val="auto"/>
          <w:sz w:val="24"/>
          <w:szCs w:val="24"/>
          <w:highlight w:val="none"/>
          <w:lang w:eastAsia="zh-CN"/>
        </w:rPr>
      </w:pPr>
    </w:p>
    <w:p>
      <w:pPr>
        <w:pStyle w:val="12"/>
        <w:rPr>
          <w:rFonts w:hint="eastAsia" w:hAnsi="宋体"/>
          <w:b/>
          <w:bCs w:val="0"/>
          <w:color w:val="auto"/>
          <w:sz w:val="24"/>
          <w:szCs w:val="24"/>
          <w:highlight w:val="none"/>
          <w:lang w:eastAsia="zh-CN"/>
        </w:rPr>
      </w:pPr>
    </w:p>
    <w:p>
      <w:pPr>
        <w:pStyle w:val="20"/>
        <w:spacing w:line="560" w:lineRule="exact"/>
        <w:ind w:firstLine="3240" w:firstLineChars="1620"/>
        <w:rPr>
          <w:rFonts w:hint="default"/>
          <w:color w:val="auto"/>
          <w:highlight w:val="none"/>
          <w:u w:val="single"/>
        </w:rPr>
      </w:pPr>
      <w:r>
        <w:rPr>
          <w:color w:val="auto"/>
          <w:highlight w:val="none"/>
        </w:rPr>
        <w:t>谈判供应商名称（加盖单位公章）：</w:t>
      </w:r>
    </w:p>
    <w:p>
      <w:pPr>
        <w:pStyle w:val="20"/>
        <w:spacing w:line="560" w:lineRule="exact"/>
        <w:ind w:firstLine="3240" w:firstLineChars="1620"/>
        <w:rPr>
          <w:rFonts w:hint="default"/>
          <w:color w:val="auto"/>
          <w:highlight w:val="none"/>
          <w:u w:val="single"/>
        </w:rPr>
      </w:pPr>
      <w:r>
        <w:rPr>
          <w:color w:val="auto"/>
          <w:highlight w:val="none"/>
        </w:rPr>
        <w:t>法定代表人（负责人）或委托代理人（签字或签章）：</w:t>
      </w:r>
    </w:p>
    <w:p>
      <w:pPr>
        <w:pStyle w:val="20"/>
        <w:spacing w:line="440" w:lineRule="exact"/>
        <w:ind w:firstLine="4111"/>
        <w:rPr>
          <w:rFonts w:hint="default" w:hAnsi="宋体"/>
          <w:bCs/>
          <w:color w:val="auto"/>
          <w:highlight w:val="none"/>
        </w:rPr>
      </w:pPr>
      <w:r>
        <w:rPr>
          <w:rFonts w:hAnsi="宋体"/>
          <w:bCs/>
          <w:color w:val="auto"/>
          <w:highlight w:val="none"/>
        </w:rPr>
        <w:t>日期：    年   月   日</w:t>
      </w:r>
    </w:p>
    <w:p>
      <w:pPr>
        <w:pStyle w:val="12"/>
        <w:rPr>
          <w:rFonts w:hint="eastAsia" w:hAnsi="宋体"/>
          <w:b/>
          <w:bCs w:val="0"/>
          <w:color w:val="auto"/>
          <w:sz w:val="24"/>
          <w:szCs w:val="24"/>
          <w:highlight w:val="none"/>
          <w:lang w:eastAsia="zh-CN"/>
        </w:rPr>
        <w:sectPr>
          <w:pgSz w:w="11906" w:h="16838"/>
          <w:pgMar w:top="1276"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pStyle w:val="20"/>
        <w:rPr>
          <w:rFonts w:hint="default"/>
          <w:b/>
          <w:color w:val="auto"/>
          <w:sz w:val="30"/>
          <w:highlight w:val="none"/>
        </w:rPr>
      </w:pPr>
    </w:p>
    <w:p>
      <w:pPr>
        <w:pStyle w:val="20"/>
        <w:spacing w:line="360" w:lineRule="auto"/>
        <w:jc w:val="center"/>
        <w:rPr>
          <w:rFonts w:hint="default"/>
          <w:b/>
          <w:color w:val="auto"/>
          <w:sz w:val="28"/>
          <w:szCs w:val="28"/>
          <w:highlight w:val="none"/>
        </w:rPr>
      </w:pPr>
      <w:r>
        <w:rPr>
          <w:b/>
          <w:color w:val="auto"/>
          <w:sz w:val="30"/>
          <w:highlight w:val="none"/>
        </w:rPr>
        <w:t>3、</w:t>
      </w:r>
      <w:r>
        <w:rPr>
          <w:b/>
          <w:color w:val="auto"/>
          <w:sz w:val="28"/>
          <w:szCs w:val="28"/>
          <w:highlight w:val="none"/>
        </w:rPr>
        <w:t>谈判保证金声明（格式，采用转账或电汇形式适用）</w:t>
      </w:r>
    </w:p>
    <w:p>
      <w:pPr>
        <w:pStyle w:val="20"/>
        <w:spacing w:line="360" w:lineRule="auto"/>
        <w:rPr>
          <w:rFonts w:hint="default"/>
          <w:color w:val="auto"/>
          <w:highlight w:val="none"/>
          <w:u w:val="single"/>
        </w:rPr>
      </w:pPr>
    </w:p>
    <w:p>
      <w:pPr>
        <w:pStyle w:val="20"/>
        <w:spacing w:line="360" w:lineRule="auto"/>
        <w:rPr>
          <w:rFonts w:hint="default"/>
          <w:color w:val="auto"/>
          <w:highlight w:val="none"/>
        </w:rPr>
      </w:pPr>
      <w:r>
        <w:rPr>
          <w:color w:val="auto"/>
          <w:highlight w:val="none"/>
          <w:u w:val="single"/>
        </w:rPr>
        <w:t>广西中信恒泰工程顾问有限公司</w:t>
      </w:r>
      <w:r>
        <w:rPr>
          <w:color w:val="auto"/>
          <w:highlight w:val="none"/>
        </w:rPr>
        <w:t>：</w:t>
      </w:r>
    </w:p>
    <w:p>
      <w:pPr>
        <w:pStyle w:val="20"/>
        <w:spacing w:line="360" w:lineRule="auto"/>
        <w:ind w:firstLine="400" w:firstLineChars="200"/>
        <w:rPr>
          <w:rFonts w:hint="default"/>
          <w:color w:val="auto"/>
          <w:highlight w:val="none"/>
        </w:rPr>
      </w:pPr>
      <w:r>
        <w:rPr>
          <w:color w:val="auto"/>
          <w:highlight w:val="none"/>
        </w:rPr>
        <w:t>我方参加</w:t>
      </w:r>
      <w:r>
        <w:rPr>
          <w:color w:val="auto"/>
          <w:highlight w:val="none"/>
          <w:u w:val="single"/>
        </w:rPr>
        <w:t>（项目名称、项目编号）</w:t>
      </w:r>
      <w:r>
        <w:rPr>
          <w:color w:val="auto"/>
          <w:highlight w:val="none"/>
        </w:rPr>
        <w:t>的竞争性谈判采购活动，缴纳谈判保证金人民币</w:t>
      </w:r>
      <w:r>
        <w:rPr>
          <w:color w:val="auto"/>
          <w:highlight w:val="none"/>
          <w:u w:val="single"/>
        </w:rPr>
        <w:t xml:space="preserve">        （</w:t>
      </w:r>
      <w:r>
        <w:rPr>
          <w:rFonts w:asciiTheme="minorEastAsia" w:hAnsiTheme="minorEastAsia" w:eastAsiaTheme="minorEastAsia"/>
          <w:color w:val="auto"/>
          <w:highlight w:val="none"/>
          <w:u w:val="single"/>
        </w:rPr>
        <w:t>¥</w:t>
      </w:r>
      <w:r>
        <w:rPr>
          <w:color w:val="auto"/>
          <w:highlight w:val="none"/>
          <w:u w:val="single"/>
        </w:rPr>
        <w:t xml:space="preserve">     元）</w:t>
      </w:r>
      <w:r>
        <w:rPr>
          <w:color w:val="auto"/>
          <w:highlight w:val="none"/>
        </w:rPr>
        <w:t>。若没有成交，请贵方在退付谈判保证金时转到以下对公账户：</w:t>
      </w:r>
    </w:p>
    <w:p>
      <w:pPr>
        <w:pStyle w:val="20"/>
        <w:spacing w:line="360" w:lineRule="auto"/>
        <w:ind w:firstLine="400" w:firstLineChars="200"/>
        <w:rPr>
          <w:rFonts w:hint="default"/>
          <w:color w:val="auto"/>
          <w:highlight w:val="none"/>
          <w:u w:val="single"/>
        </w:rPr>
      </w:pPr>
      <w:r>
        <w:rPr>
          <w:color w:val="auto"/>
          <w:highlight w:val="none"/>
        </w:rPr>
        <w:t>开户名称：</w:t>
      </w:r>
    </w:p>
    <w:p>
      <w:pPr>
        <w:pStyle w:val="20"/>
        <w:spacing w:line="360" w:lineRule="auto"/>
        <w:ind w:firstLine="400" w:firstLineChars="200"/>
        <w:rPr>
          <w:rFonts w:hint="default"/>
          <w:color w:val="auto"/>
          <w:highlight w:val="none"/>
          <w:u w:val="single"/>
        </w:rPr>
      </w:pPr>
      <w:r>
        <w:rPr>
          <w:color w:val="auto"/>
          <w:highlight w:val="none"/>
        </w:rPr>
        <w:t>开户银行：</w:t>
      </w:r>
    </w:p>
    <w:p>
      <w:pPr>
        <w:pStyle w:val="20"/>
        <w:spacing w:line="360" w:lineRule="auto"/>
        <w:ind w:firstLine="400" w:firstLineChars="200"/>
        <w:rPr>
          <w:rFonts w:hint="default"/>
          <w:color w:val="auto"/>
          <w:highlight w:val="none"/>
          <w:u w:val="single"/>
        </w:rPr>
      </w:pPr>
      <w:r>
        <w:rPr>
          <w:color w:val="auto"/>
          <w:highlight w:val="none"/>
        </w:rPr>
        <w:t>银行账号：</w:t>
      </w:r>
    </w:p>
    <w:p>
      <w:pPr>
        <w:pStyle w:val="20"/>
        <w:spacing w:line="360" w:lineRule="auto"/>
        <w:ind w:firstLine="400" w:firstLineChars="200"/>
        <w:rPr>
          <w:rFonts w:hint="default"/>
          <w:color w:val="auto"/>
          <w:highlight w:val="none"/>
        </w:rPr>
      </w:pPr>
      <w:r>
        <w:rPr>
          <w:color w:val="auto"/>
          <w:highlight w:val="none"/>
        </w:rPr>
        <w:t>联系人：</w:t>
      </w:r>
    </w:p>
    <w:p>
      <w:pPr>
        <w:pStyle w:val="20"/>
        <w:spacing w:line="360" w:lineRule="auto"/>
        <w:ind w:firstLine="400" w:firstLineChars="200"/>
        <w:rPr>
          <w:rFonts w:hint="default"/>
          <w:color w:val="auto"/>
          <w:highlight w:val="none"/>
        </w:rPr>
      </w:pPr>
      <w:r>
        <w:rPr>
          <w:color w:val="auto"/>
          <w:highlight w:val="none"/>
        </w:rPr>
        <w:t>联系电话（手机）：</w:t>
      </w:r>
    </w:p>
    <w:p>
      <w:pPr>
        <w:pStyle w:val="20"/>
        <w:spacing w:line="360" w:lineRule="auto"/>
        <w:ind w:firstLine="400" w:firstLineChars="200"/>
        <w:rPr>
          <w:rFonts w:hint="default"/>
          <w:color w:val="auto"/>
          <w:highlight w:val="none"/>
        </w:rPr>
      </w:pPr>
    </w:p>
    <w:p>
      <w:pPr>
        <w:pStyle w:val="20"/>
        <w:spacing w:line="360" w:lineRule="auto"/>
        <w:ind w:firstLine="400" w:firstLineChars="200"/>
        <w:rPr>
          <w:rFonts w:hint="default"/>
          <w:color w:val="auto"/>
          <w:highlight w:val="none"/>
        </w:rPr>
      </w:pPr>
      <w:r>
        <w:rPr>
          <w:color w:val="auto"/>
          <w:highlight w:val="none"/>
        </w:rPr>
        <w:t>特此声明！</w:t>
      </w:r>
    </w:p>
    <w:p>
      <w:pPr>
        <w:pStyle w:val="20"/>
        <w:spacing w:line="360" w:lineRule="auto"/>
        <w:ind w:firstLine="400" w:firstLineChars="200"/>
        <w:rPr>
          <w:rFonts w:hint="default"/>
          <w:color w:val="auto"/>
          <w:highlight w:val="none"/>
        </w:rPr>
      </w:pPr>
    </w:p>
    <w:p>
      <w:pPr>
        <w:pStyle w:val="20"/>
        <w:spacing w:line="560" w:lineRule="exact"/>
        <w:ind w:firstLine="3240" w:firstLineChars="1620"/>
        <w:rPr>
          <w:rFonts w:hint="default"/>
          <w:color w:val="auto"/>
          <w:highlight w:val="none"/>
          <w:u w:val="single"/>
        </w:rPr>
      </w:pPr>
      <w:r>
        <w:rPr>
          <w:color w:val="auto"/>
          <w:highlight w:val="none"/>
        </w:rPr>
        <w:t>谈判供应商名称（加盖单位公章）：</w:t>
      </w:r>
    </w:p>
    <w:p>
      <w:pPr>
        <w:pStyle w:val="20"/>
        <w:spacing w:line="360" w:lineRule="auto"/>
        <w:ind w:firstLine="4860" w:firstLineChars="2430"/>
        <w:rPr>
          <w:rFonts w:hint="default"/>
          <w:color w:val="auto"/>
          <w:highlight w:val="none"/>
        </w:rPr>
      </w:pPr>
      <w:r>
        <w:rPr>
          <w:color w:val="auto"/>
          <w:highlight w:val="none"/>
        </w:rPr>
        <w:t>日期：年月日</w:t>
      </w:r>
    </w:p>
    <w:tbl>
      <w:tblPr>
        <w:tblStyle w:val="47"/>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9" w:hRule="atLeast"/>
          <w:jc w:val="center"/>
        </w:trPr>
        <w:tc>
          <w:tcPr>
            <w:tcW w:w="8900" w:type="dxa"/>
            <w:vAlign w:val="center"/>
          </w:tcPr>
          <w:p>
            <w:pPr>
              <w:pStyle w:val="20"/>
              <w:spacing w:line="560" w:lineRule="exact"/>
              <w:jc w:val="center"/>
              <w:rPr>
                <w:rFonts w:hint="default"/>
                <w:b/>
                <w:color w:val="auto"/>
                <w:sz w:val="28"/>
                <w:szCs w:val="28"/>
                <w:highlight w:val="none"/>
              </w:rPr>
            </w:pPr>
            <w:r>
              <w:rPr>
                <w:color w:val="auto"/>
                <w:highlight w:val="none"/>
              </w:rPr>
              <w:t>（粘贴谈判保证金缴纳凭证复印件）</w:t>
            </w:r>
          </w:p>
          <w:p>
            <w:pPr>
              <w:pStyle w:val="20"/>
              <w:spacing w:line="560" w:lineRule="exact"/>
              <w:jc w:val="center"/>
              <w:rPr>
                <w:rFonts w:hint="default"/>
                <w:color w:val="auto"/>
                <w:highlight w:val="none"/>
              </w:rPr>
            </w:pPr>
          </w:p>
        </w:tc>
      </w:tr>
    </w:tbl>
    <w:p>
      <w:pPr>
        <w:pStyle w:val="20"/>
        <w:spacing w:line="560" w:lineRule="exact"/>
        <w:jc w:val="center"/>
        <w:rPr>
          <w:rFonts w:hint="default"/>
          <w:color w:val="auto"/>
          <w:highlight w:val="none"/>
        </w:rPr>
      </w:pPr>
    </w:p>
    <w:p>
      <w:pPr>
        <w:pStyle w:val="20"/>
        <w:rPr>
          <w:rFonts w:hint="default"/>
          <w:b/>
          <w:color w:val="auto"/>
          <w:sz w:val="30"/>
          <w:highlight w:val="none"/>
        </w:rPr>
      </w:pPr>
    </w:p>
    <w:p>
      <w:pPr>
        <w:pStyle w:val="20"/>
        <w:jc w:val="center"/>
        <w:rPr>
          <w:rFonts w:hint="default"/>
          <w:b/>
          <w:color w:val="auto"/>
          <w:highlight w:val="none"/>
        </w:rPr>
      </w:pPr>
      <w:r>
        <w:rPr>
          <w:b/>
          <w:color w:val="auto"/>
          <w:highlight w:val="none"/>
        </w:rPr>
        <w:t>备注：1、供应商应另备一份谈判保证金声明原件，在开标会上备查；</w:t>
      </w:r>
    </w:p>
    <w:p>
      <w:pPr>
        <w:pStyle w:val="20"/>
        <w:rPr>
          <w:b/>
          <w:color w:val="auto"/>
          <w:highlight w:val="none"/>
        </w:rPr>
      </w:pPr>
      <w:r>
        <w:rPr>
          <w:b/>
          <w:color w:val="auto"/>
          <w:highlight w:val="none"/>
        </w:rPr>
        <w:t xml:space="preserve">                    2、采用支票、汇票、本票、保函形式缴纳保证金的，不用提供。</w:t>
      </w:r>
    </w:p>
    <w:p>
      <w:pPr>
        <w:rPr>
          <w:b/>
          <w:color w:val="auto"/>
          <w:highlight w:val="none"/>
        </w:rPr>
      </w:pPr>
      <w:r>
        <w:rPr>
          <w:b/>
          <w:color w:val="auto"/>
          <w:highlight w:val="none"/>
        </w:rPr>
        <w:br w:type="page"/>
      </w:r>
    </w:p>
    <w:p>
      <w:pPr>
        <w:pStyle w:val="20"/>
        <w:spacing w:before="240" w:line="560" w:lineRule="exact"/>
        <w:jc w:val="center"/>
        <w:rPr>
          <w:rFonts w:hint="default" w:asciiTheme="minorEastAsia" w:hAnsiTheme="minorEastAsia" w:eastAsiaTheme="minorEastAsia"/>
          <w:bCs/>
          <w:color w:val="auto"/>
          <w:sz w:val="28"/>
          <w:szCs w:val="28"/>
          <w:highlight w:val="none"/>
        </w:rPr>
      </w:pPr>
      <w:r>
        <w:rPr>
          <w:rFonts w:asciiTheme="minorEastAsia" w:hAnsiTheme="minorEastAsia" w:eastAsiaTheme="minorEastAsia"/>
          <w:b/>
          <w:color w:val="auto"/>
          <w:sz w:val="32"/>
          <w:highlight w:val="none"/>
        </w:rPr>
        <w:t>4</w:t>
      </w:r>
      <w:r>
        <w:rPr>
          <w:rFonts w:asciiTheme="minorEastAsia" w:hAnsiTheme="minorEastAsia" w:eastAsiaTheme="minorEastAsia"/>
          <w:b/>
          <w:color w:val="auto"/>
          <w:sz w:val="28"/>
          <w:szCs w:val="28"/>
          <w:highlight w:val="none"/>
        </w:rPr>
        <w:t>法定代表人（负责人）身份证明书（格式）</w:t>
      </w:r>
    </w:p>
    <w:p>
      <w:pPr>
        <w:spacing w:line="740" w:lineRule="exact"/>
        <w:ind w:firstLine="840" w:firstLineChars="400"/>
        <w:rPr>
          <w:color w:val="auto"/>
          <w:szCs w:val="21"/>
          <w:highlight w:val="none"/>
          <w:u w:val="single"/>
        </w:rPr>
      </w:pPr>
    </w:p>
    <w:p>
      <w:pPr>
        <w:spacing w:line="600" w:lineRule="exact"/>
        <w:ind w:firstLine="420" w:firstLineChars="200"/>
        <w:rPr>
          <w:rFonts w:hAnsi="宋体"/>
          <w:color w:val="auto"/>
          <w:highlight w:val="none"/>
        </w:rPr>
      </w:pPr>
      <w:r>
        <w:rPr>
          <w:rFonts w:hint="eastAsia" w:hAnsi="宋体"/>
          <w:color w:val="auto"/>
          <w:highlight w:val="none"/>
        </w:rPr>
        <w:t xml:space="preserve">我 </w:t>
      </w:r>
      <w:r>
        <w:rPr>
          <w:rFonts w:hint="eastAsia" w:hAnsi="宋体"/>
          <w:color w:val="auto"/>
          <w:highlight w:val="none"/>
          <w:u w:val="single"/>
        </w:rPr>
        <w:t xml:space="preserve">  （姓名） </w:t>
      </w:r>
      <w:r>
        <w:rPr>
          <w:rFonts w:hint="eastAsia" w:hAnsi="宋体"/>
          <w:color w:val="auto"/>
          <w:highlight w:val="none"/>
        </w:rPr>
        <w:t>系</w:t>
      </w:r>
      <w:r>
        <w:rPr>
          <w:rFonts w:hint="eastAsia" w:hAnsi="宋体"/>
          <w:color w:val="auto"/>
          <w:highlight w:val="none"/>
          <w:u w:val="single"/>
        </w:rPr>
        <w:t xml:space="preserve">（谈判供应商名称）     </w:t>
      </w:r>
      <w:r>
        <w:rPr>
          <w:rFonts w:hint="eastAsia" w:hAnsi="宋体"/>
          <w:color w:val="auto"/>
          <w:highlight w:val="none"/>
        </w:rPr>
        <w:t>的法定代表人（负责人），以本公司的名义参加</w:t>
      </w:r>
      <w:r>
        <w:rPr>
          <w:rFonts w:hint="eastAsia" w:hAnsi="宋体"/>
          <w:color w:val="auto"/>
          <w:highlight w:val="none"/>
          <w:u w:val="single"/>
        </w:rPr>
        <w:t xml:space="preserve">  （项目名称）  </w:t>
      </w:r>
      <w:r>
        <w:rPr>
          <w:rFonts w:hint="eastAsia" w:hAnsi="宋体"/>
          <w:color w:val="auto"/>
          <w:highlight w:val="none"/>
        </w:rPr>
        <w:t>项目的谈判活动。并在竞标和合同谈判过程中签署一切文件和处理与之有关的一切事务。</w:t>
      </w:r>
    </w:p>
    <w:p>
      <w:pPr>
        <w:spacing w:line="600" w:lineRule="exact"/>
        <w:ind w:firstLine="420" w:firstLineChars="200"/>
        <w:rPr>
          <w:rFonts w:hAnsi="宋体"/>
          <w:color w:val="auto"/>
          <w:highlight w:val="none"/>
        </w:rPr>
      </w:pPr>
      <w:r>
        <w:rPr>
          <w:rFonts w:hint="eastAsia" w:hAnsi="宋体"/>
          <w:color w:val="auto"/>
          <w:highlight w:val="none"/>
        </w:rPr>
        <w:t>特此证明。</w:t>
      </w:r>
    </w:p>
    <w:p>
      <w:pPr>
        <w:spacing w:line="600" w:lineRule="exact"/>
        <w:ind w:firstLine="420" w:firstLineChars="200"/>
        <w:rPr>
          <w:rFonts w:hAnsi="宋体"/>
          <w:color w:val="auto"/>
          <w:highlight w:val="none"/>
        </w:rPr>
      </w:pPr>
      <w:r>
        <w:rPr>
          <w:rFonts w:hint="eastAsia" w:hAnsi="宋体"/>
          <w:color w:val="auto"/>
          <w:highlight w:val="none"/>
        </w:rPr>
        <w:t>谈判供应商：（加盖公章）</w:t>
      </w:r>
    </w:p>
    <w:p>
      <w:pPr>
        <w:spacing w:line="600" w:lineRule="exact"/>
        <w:ind w:firstLine="420" w:firstLineChars="20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年    月    日</w:t>
      </w:r>
    </w:p>
    <w:p>
      <w:pPr>
        <w:spacing w:line="600" w:lineRule="exact"/>
        <w:rPr>
          <w:rFonts w:hAnsi="宋体"/>
          <w:color w:val="auto"/>
          <w:sz w:val="24"/>
          <w:highlight w:val="none"/>
        </w:rPr>
      </w:pPr>
    </w:p>
    <w:p>
      <w:pPr>
        <w:spacing w:after="50" w:line="400" w:lineRule="exact"/>
        <w:rPr>
          <w:rFonts w:hAnsi="宋体"/>
          <w:color w:val="auto"/>
          <w:sz w:val="24"/>
          <w:highlight w:val="none"/>
        </w:rPr>
      </w:pPr>
    </w:p>
    <w:p>
      <w:pPr>
        <w:spacing w:line="600" w:lineRule="exact"/>
        <w:rPr>
          <w:rFonts w:hAnsi="宋体"/>
          <w:color w:val="auto"/>
          <w:highlight w:val="none"/>
        </w:rPr>
      </w:pPr>
      <w:r>
        <w:rPr>
          <w:rFonts w:hint="eastAsia" w:hAnsi="宋体"/>
          <w:color w:val="auto"/>
          <w:highlight w:val="none"/>
        </w:rPr>
        <w:t>附：法定代表人（负责人）身份证复印件。</w:t>
      </w:r>
    </w:p>
    <w:p>
      <w:pPr>
        <w:pStyle w:val="20"/>
        <w:spacing w:before="240" w:line="560" w:lineRule="exact"/>
        <w:jc w:val="center"/>
        <w:rPr>
          <w:rFonts w:hint="default"/>
          <w:b/>
          <w:color w:val="auto"/>
          <w:highlight w:val="none"/>
          <w:u w:val="single"/>
        </w:rPr>
      </w:pPr>
      <w:r>
        <w:rPr>
          <w:rFonts w:hint="default"/>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384810</wp:posOffset>
                </wp:positionV>
                <wp:extent cx="5871210" cy="3608705"/>
                <wp:effectExtent l="5080" t="5080" r="6350" b="13335"/>
                <wp:wrapNone/>
                <wp:docPr id="6" name="文本框 11"/>
                <wp:cNvGraphicFramePr/>
                <a:graphic xmlns:a="http://schemas.openxmlformats.org/drawingml/2006/main">
                  <a:graphicData uri="http://schemas.microsoft.com/office/word/2010/wordprocessingShape">
                    <wps:wsp>
                      <wps:cNvSpPr txBox="1"/>
                      <wps:spPr>
                        <a:xfrm>
                          <a:off x="0" y="0"/>
                          <a:ext cx="5871210" cy="3608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法定代表人（负责人）身份证(正、背)面复印件粘贴处</w:t>
                            </w:r>
                          </w:p>
                          <w:p>
                            <w:pPr>
                              <w:jc w:val="center"/>
                              <w:rPr>
                                <w:color w:val="0000FF"/>
                              </w:rPr>
                            </w:pPr>
                          </w:p>
                        </w:txbxContent>
                      </wps:txbx>
                      <wps:bodyPr vert="horz" anchor="t" anchorCtr="0" upright="1"/>
                    </wps:wsp>
                  </a:graphicData>
                </a:graphic>
              </wp:anchor>
            </w:drawing>
          </mc:Choice>
          <mc:Fallback>
            <w:pict>
              <v:shape id="文本框 11" o:spid="_x0000_s1026" o:spt="202" type="#_x0000_t202" style="position:absolute;left:0pt;margin-left:9pt;margin-top:30.3pt;height:284.15pt;width:462.3pt;z-index:251661312;mso-width-relative:page;mso-height-relative:page;" fillcolor="#FFFFFF" filled="t" stroked="t" coordsize="21600,21600" o:gfxdata="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ZuZYDXAAAACQEAAA8AAAAAAAAAAQAgAAAA&#10;IgAAAGRycy9kb3ducmV2LnhtbFBLAQIUABQAAAAIAIdO4kAbgt/RDAIAAB0EAAAOAAAAAAAAAAEA&#10;IAAAACYBAABkcnMvZTJvRG9jLnhtbFBLBQYAAAAABgAGAFkBAACkBQAAAAA=&#10;">
                <v:fill on="t" focussize="0,0"/>
                <v:stroke color="#000000" joinstyle="miter"/>
                <v:imagedata o:title=""/>
                <o:lock v:ext="edit" aspectratio="f"/>
                <v:textbox>
                  <w:txbxContent>
                    <w:p>
                      <w:pPr>
                        <w:jc w:val="center"/>
                        <w:rPr>
                          <w:szCs w:val="21"/>
                        </w:rPr>
                      </w:pPr>
                      <w:r>
                        <w:rPr>
                          <w:rFonts w:hint="eastAsia"/>
                          <w:szCs w:val="21"/>
                        </w:rPr>
                        <w:t>法定代表人（负责人）身份证(正、背)面复印件粘贴处</w:t>
                      </w:r>
                    </w:p>
                    <w:p>
                      <w:pPr>
                        <w:jc w:val="center"/>
                        <w:rPr>
                          <w:color w:val="0000FF"/>
                        </w:rPr>
                      </w:pPr>
                    </w:p>
                  </w:txbxContent>
                </v:textbox>
              </v:shape>
            </w:pict>
          </mc:Fallback>
        </mc:AlternateContent>
      </w:r>
      <w:r>
        <w:rPr>
          <w:color w:val="auto"/>
          <w:highlight w:val="none"/>
        </w:rPr>
        <w:br w:type="page"/>
      </w:r>
      <w:r>
        <w:rPr>
          <w:b/>
          <w:color w:val="auto"/>
          <w:sz w:val="28"/>
          <w:szCs w:val="28"/>
          <w:highlight w:val="none"/>
        </w:rPr>
        <w:t>4.</w:t>
      </w:r>
      <w:r>
        <w:rPr>
          <w:rFonts w:hint="eastAsia"/>
          <w:b/>
          <w:color w:val="auto"/>
          <w:sz w:val="28"/>
          <w:szCs w:val="28"/>
          <w:highlight w:val="none"/>
          <w:lang w:val="en-US" w:eastAsia="zh-CN"/>
        </w:rPr>
        <w:t>1</w:t>
      </w:r>
      <w:r>
        <w:rPr>
          <w:rFonts w:asciiTheme="minorEastAsia" w:hAnsiTheme="minorEastAsia" w:eastAsiaTheme="minorEastAsia"/>
          <w:b/>
          <w:color w:val="auto"/>
          <w:sz w:val="28"/>
          <w:szCs w:val="28"/>
          <w:highlight w:val="none"/>
        </w:rPr>
        <w:t>授权委托书格式（格式）</w:t>
      </w:r>
    </w:p>
    <w:p>
      <w:pPr>
        <w:pStyle w:val="20"/>
        <w:rPr>
          <w:rFonts w:hint="default"/>
          <w:color w:val="auto"/>
          <w:highlight w:val="none"/>
        </w:rPr>
      </w:pPr>
    </w:p>
    <w:p>
      <w:pPr>
        <w:pStyle w:val="20"/>
        <w:spacing w:line="480" w:lineRule="exact"/>
        <w:rPr>
          <w:rFonts w:hint="default"/>
          <w:color w:val="auto"/>
          <w:highlight w:val="none"/>
        </w:rPr>
      </w:pPr>
      <w:r>
        <w:rPr>
          <w:color w:val="auto"/>
          <w:highlight w:val="none"/>
        </w:rPr>
        <w:t>广西中信恒泰工程顾问有限公司：</w:t>
      </w:r>
    </w:p>
    <w:p>
      <w:pPr>
        <w:pStyle w:val="20"/>
        <w:spacing w:line="480" w:lineRule="exact"/>
        <w:ind w:firstLine="420"/>
        <w:rPr>
          <w:rFonts w:hint="default"/>
          <w:color w:val="auto"/>
          <w:highlight w:val="none"/>
        </w:rPr>
      </w:pPr>
      <w:r>
        <w:rPr>
          <w:color w:val="auto"/>
          <w:highlight w:val="none"/>
        </w:rPr>
        <w:t>兹授权</w:t>
      </w:r>
      <w:r>
        <w:rPr>
          <w:color w:val="auto"/>
          <w:highlight w:val="none"/>
          <w:u w:val="single"/>
        </w:rPr>
        <w:t>（姓 名）</w:t>
      </w:r>
      <w:r>
        <w:rPr>
          <w:color w:val="auto"/>
          <w:highlight w:val="none"/>
        </w:rPr>
        <w:t>同志为我方参加贵单位组织的</w:t>
      </w:r>
      <w:r>
        <w:rPr>
          <w:color w:val="auto"/>
          <w:highlight w:val="none"/>
          <w:u w:val="single"/>
        </w:rPr>
        <w:t xml:space="preserve">   （项目名称）  </w:t>
      </w:r>
      <w:r>
        <w:rPr>
          <w:color w:val="auto"/>
          <w:highlight w:val="none"/>
        </w:rPr>
        <w:t>项目（项目编号</w:t>
      </w:r>
      <w:r>
        <w:rPr>
          <w:color w:val="auto"/>
          <w:highlight w:val="none"/>
          <w:u w:val="single"/>
        </w:rPr>
        <w:t xml:space="preserve">：      </w:t>
      </w:r>
      <w:r>
        <w:rPr>
          <w:color w:val="auto"/>
          <w:highlight w:val="none"/>
        </w:rPr>
        <w:t>）谈判活动的代理人，全权代表我方处理在该项目活动中的一切事宜。</w:t>
      </w:r>
    </w:p>
    <w:p>
      <w:pPr>
        <w:pStyle w:val="20"/>
        <w:spacing w:line="480" w:lineRule="exact"/>
        <w:ind w:firstLine="420"/>
        <w:rPr>
          <w:rFonts w:hint="default"/>
          <w:color w:val="auto"/>
          <w:highlight w:val="none"/>
        </w:rPr>
      </w:pPr>
      <w:r>
        <w:rPr>
          <w:color w:val="auto"/>
          <w:highlight w:val="none"/>
        </w:rPr>
        <w:t>代理期限从    年    月   日至    年    月    日止</w:t>
      </w:r>
    </w:p>
    <w:p>
      <w:pPr>
        <w:pStyle w:val="20"/>
        <w:spacing w:line="480" w:lineRule="exact"/>
        <w:rPr>
          <w:rFonts w:hint="default"/>
          <w:color w:val="auto"/>
          <w:highlight w:val="none"/>
        </w:rPr>
      </w:pPr>
    </w:p>
    <w:p>
      <w:pPr>
        <w:pStyle w:val="20"/>
        <w:spacing w:line="480" w:lineRule="exact"/>
        <w:ind w:firstLine="420"/>
        <w:rPr>
          <w:rFonts w:hint="default"/>
          <w:color w:val="auto"/>
          <w:highlight w:val="none"/>
        </w:rPr>
      </w:pPr>
      <w:r>
        <w:rPr>
          <w:color w:val="auto"/>
          <w:highlight w:val="none"/>
        </w:rPr>
        <w:t>授权单位（加盖单位公章）：</w:t>
      </w:r>
    </w:p>
    <w:p>
      <w:pPr>
        <w:pStyle w:val="20"/>
        <w:spacing w:line="480" w:lineRule="exact"/>
        <w:ind w:firstLine="420"/>
        <w:rPr>
          <w:rFonts w:hint="default"/>
          <w:color w:val="auto"/>
          <w:highlight w:val="none"/>
        </w:rPr>
      </w:pPr>
      <w:r>
        <w:rPr>
          <w:color w:val="auto"/>
          <w:highlight w:val="none"/>
        </w:rPr>
        <w:t>法定代表人（负责人）（签字或签章）：</w:t>
      </w:r>
    </w:p>
    <w:p>
      <w:pPr>
        <w:pStyle w:val="20"/>
        <w:spacing w:line="480" w:lineRule="exact"/>
        <w:ind w:firstLine="420"/>
        <w:rPr>
          <w:rFonts w:hint="default"/>
          <w:color w:val="auto"/>
          <w:highlight w:val="none"/>
        </w:rPr>
      </w:pPr>
      <w:r>
        <w:rPr>
          <w:color w:val="auto"/>
          <w:highlight w:val="none"/>
        </w:rPr>
        <w:t>签发日期：    年      月     日</w:t>
      </w:r>
    </w:p>
    <w:p>
      <w:pPr>
        <w:pStyle w:val="20"/>
        <w:spacing w:line="480" w:lineRule="exact"/>
        <w:rPr>
          <w:rFonts w:hint="default"/>
          <w:color w:val="auto"/>
          <w:highlight w:val="none"/>
        </w:rPr>
      </w:pPr>
    </w:p>
    <w:p>
      <w:pPr>
        <w:pStyle w:val="20"/>
        <w:spacing w:line="480" w:lineRule="exact"/>
        <w:rPr>
          <w:rFonts w:hint="default"/>
          <w:color w:val="auto"/>
          <w:highlight w:val="none"/>
        </w:rPr>
      </w:pPr>
      <w:r>
        <w:rPr>
          <w:rFonts w:hint="default"/>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5080"/>
                <wp:wrapTopAndBottom/>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wHVPfQAAAAAgEAAA8AAAAAAAAAAQAgAAAAIgAAAGRycy9kb3du&#10;cmV2LnhtbFBLAQIUABQAAAAIAIdO4kBAHhsIzgEAAGoDAAAOAAAAAAAAAAEAIAAAAB8BAABkcnMv&#10;ZTJvRG9jLnhtbFBLBQYAAAAABgAGAFkBAABfBQAAAAA=&#10;">
                <v:fill on="f" focussize="0,0"/>
                <v:stroke color="#000000" joinstyle="round"/>
                <v:imagedata o:title=""/>
                <o:lock v:ext="edit" aspectratio="f"/>
                <w10:wrap type="topAndBottom"/>
              </v:line>
            </w:pict>
          </mc:Fallback>
        </mc:AlternateContent>
      </w:r>
      <w:r>
        <w:rPr>
          <w:color w:val="auto"/>
          <w:highlight w:val="none"/>
        </w:rPr>
        <w:t xml:space="preserve">    附：代理人工作单位：                       职务：</w:t>
      </w:r>
    </w:p>
    <w:p>
      <w:pPr>
        <w:pStyle w:val="20"/>
        <w:spacing w:line="480" w:lineRule="exact"/>
        <w:ind w:firstLine="420"/>
        <w:rPr>
          <w:rFonts w:hint="default"/>
          <w:color w:val="auto"/>
          <w:highlight w:val="none"/>
        </w:rPr>
      </w:pPr>
      <w:r>
        <w:rPr>
          <w:color w:val="auto"/>
          <w:highlight w:val="none"/>
        </w:rPr>
        <w:t xml:space="preserve">    姓名：         身份证号码：                      性别：           年龄：</w:t>
      </w:r>
    </w:p>
    <w:p>
      <w:pPr>
        <w:pStyle w:val="20"/>
        <w:spacing w:line="480" w:lineRule="exact"/>
        <w:rPr>
          <w:rFonts w:hint="default"/>
          <w:color w:val="auto"/>
          <w:highlight w:val="none"/>
        </w:rPr>
      </w:pPr>
    </w:p>
    <w:p>
      <w:pPr>
        <w:pStyle w:val="20"/>
        <w:spacing w:line="480" w:lineRule="exact"/>
        <w:ind w:firstLine="420"/>
        <w:rPr>
          <w:rFonts w:hint="default"/>
          <w:color w:val="auto"/>
          <w:highlight w:val="none"/>
        </w:rPr>
      </w:pPr>
      <w:r>
        <w:rPr>
          <w:color w:val="auto"/>
          <w:highlight w:val="none"/>
        </w:rPr>
        <w:t>说明：</w:t>
      </w:r>
    </w:p>
    <w:p>
      <w:pPr>
        <w:pStyle w:val="20"/>
        <w:spacing w:line="480" w:lineRule="exact"/>
        <w:ind w:firstLine="735"/>
        <w:rPr>
          <w:rFonts w:hint="default"/>
          <w:color w:val="auto"/>
          <w:highlight w:val="none"/>
        </w:rPr>
      </w:pPr>
      <w:r>
        <w:rPr>
          <w:color w:val="auto"/>
          <w:highlight w:val="none"/>
        </w:rPr>
        <w:t>1、授权委托书所签发的代理期限必须涵盖代理人所有签字为有效的时间。</w:t>
      </w:r>
    </w:p>
    <w:p>
      <w:pPr>
        <w:pStyle w:val="20"/>
        <w:spacing w:line="480" w:lineRule="exact"/>
        <w:ind w:firstLine="735"/>
        <w:rPr>
          <w:rFonts w:hint="default"/>
          <w:color w:val="auto"/>
          <w:highlight w:val="none"/>
        </w:rPr>
      </w:pPr>
      <w:r>
        <w:rPr>
          <w:color w:val="auto"/>
          <w:highlight w:val="none"/>
        </w:rPr>
        <w:t>2、委托书内容填写要明确，文字要工整清楚，涂改无效。</w:t>
      </w:r>
    </w:p>
    <w:p>
      <w:pPr>
        <w:pStyle w:val="20"/>
        <w:spacing w:line="480" w:lineRule="exact"/>
        <w:ind w:firstLine="735"/>
        <w:rPr>
          <w:rFonts w:hint="default"/>
          <w:color w:val="auto"/>
          <w:highlight w:val="none"/>
        </w:rPr>
      </w:pPr>
      <w:r>
        <w:rPr>
          <w:color w:val="auto"/>
          <w:highlight w:val="none"/>
        </w:rPr>
        <w:t>3、委托书不得转借、转让，不得买卖。</w:t>
      </w:r>
    </w:p>
    <w:p>
      <w:pPr>
        <w:pStyle w:val="20"/>
        <w:spacing w:line="560" w:lineRule="exact"/>
        <w:ind w:firstLine="600" w:firstLineChars="300"/>
        <w:rPr>
          <w:rFonts w:hint="default"/>
          <w:color w:val="auto"/>
          <w:highlight w:val="none"/>
        </w:rPr>
      </w:pPr>
      <w:r>
        <w:rPr>
          <w:color w:val="auto"/>
          <w:highlight w:val="none"/>
        </w:rPr>
        <w:t>代理人根据授权范围，以委托单位的名义签订合同，并将此委托书提交给对方作为合同附件。</w:t>
      </w:r>
    </w:p>
    <w:tbl>
      <w:tblPr>
        <w:tblStyle w:val="47"/>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4" w:hRule="atLeast"/>
        </w:trPr>
        <w:tc>
          <w:tcPr>
            <w:tcW w:w="10024" w:type="dxa"/>
          </w:tcPr>
          <w:p>
            <w:pPr>
              <w:pStyle w:val="20"/>
              <w:spacing w:line="560" w:lineRule="exact"/>
              <w:rPr>
                <w:rFonts w:hint="default"/>
                <w:color w:val="auto"/>
                <w:highlight w:val="none"/>
              </w:rPr>
            </w:pPr>
            <w:r>
              <w:rPr>
                <w:color w:val="auto"/>
                <w:highlight w:val="none"/>
              </w:rPr>
              <w:t>黏贴代理人身份证（复印件）</w:t>
            </w:r>
          </w:p>
        </w:tc>
      </w:tr>
    </w:tbl>
    <w:p>
      <w:pPr>
        <w:rPr>
          <w:rFonts w:hint="default"/>
          <w:b/>
          <w:color w:val="auto"/>
          <w:sz w:val="30"/>
          <w:highlight w:val="none"/>
        </w:rPr>
      </w:pPr>
      <w:r>
        <w:rPr>
          <w:rFonts w:hint="eastAsia"/>
          <w:b/>
          <w:color w:val="auto"/>
          <w:sz w:val="30"/>
          <w:highlight w:val="none"/>
        </w:rPr>
        <w:br w:type="page"/>
      </w:r>
      <w:r>
        <w:rPr>
          <w:rFonts w:hint="eastAsia"/>
          <w:b/>
          <w:color w:val="auto"/>
          <w:sz w:val="30"/>
          <w:highlight w:val="none"/>
          <w:lang w:val="en-US" w:eastAsia="zh-CN"/>
        </w:rPr>
        <w:t>5</w:t>
      </w:r>
      <w:r>
        <w:rPr>
          <w:b/>
          <w:color w:val="auto"/>
          <w:sz w:val="30"/>
          <w:highlight w:val="none"/>
        </w:rPr>
        <w:t>、证明谈判供应商合格和资格的文件：（谈判供应商按谈判须知第10条要求提供）；</w:t>
      </w: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r>
        <w:rPr>
          <w:rFonts w:hint="eastAsia"/>
          <w:b/>
          <w:color w:val="auto"/>
          <w:sz w:val="28"/>
          <w:szCs w:val="28"/>
          <w:highlight w:val="none"/>
          <w:lang w:val="en-US" w:eastAsia="zh-CN"/>
        </w:rPr>
        <w:t>5</w:t>
      </w:r>
      <w:r>
        <w:rPr>
          <w:b/>
          <w:color w:val="auto"/>
          <w:sz w:val="28"/>
          <w:szCs w:val="28"/>
          <w:highlight w:val="none"/>
        </w:rPr>
        <w:t>.1、营业执照副本复印件</w:t>
      </w:r>
    </w:p>
    <w:p>
      <w:pPr>
        <w:pStyle w:val="20"/>
        <w:rPr>
          <w:rFonts w:hint="default"/>
          <w:b/>
          <w:color w:val="auto"/>
          <w:sz w:val="28"/>
          <w:szCs w:val="28"/>
          <w:highlight w:val="none"/>
        </w:rPr>
      </w:pPr>
    </w:p>
    <w:p>
      <w:pPr>
        <w:pStyle w:val="20"/>
        <w:rPr>
          <w:rFonts w:hint="default"/>
          <w:b/>
          <w:color w:val="auto"/>
          <w:sz w:val="28"/>
          <w:szCs w:val="28"/>
          <w:highlight w:val="none"/>
        </w:rPr>
      </w:pPr>
    </w:p>
    <w:p>
      <w:pPr>
        <w:pStyle w:val="20"/>
        <w:rPr>
          <w:rFonts w:hint="default"/>
          <w:b/>
          <w:color w:val="auto"/>
          <w:sz w:val="28"/>
          <w:szCs w:val="28"/>
          <w:highlight w:val="none"/>
        </w:rPr>
      </w:pPr>
    </w:p>
    <w:p>
      <w:pPr>
        <w:jc w:val="center"/>
        <w:rPr>
          <w:b/>
          <w:color w:val="auto"/>
          <w:sz w:val="30"/>
          <w:highlight w:val="none"/>
        </w:rPr>
      </w:pPr>
      <w:r>
        <w:rPr>
          <w:rFonts w:ascii="黑体" w:eastAsia="黑体"/>
          <w:b/>
          <w:color w:val="auto"/>
          <w:sz w:val="32"/>
          <w:highlight w:val="none"/>
        </w:rPr>
        <w:br w:type="page"/>
      </w:r>
    </w:p>
    <w:p>
      <w:pPr>
        <w:snapToGrid w:val="0"/>
        <w:spacing w:before="50" w:afterLines="50" w:line="360" w:lineRule="auto"/>
        <w:jc w:val="center"/>
        <w:rPr>
          <w:rFonts w:ascii="宋体" w:hAnsi="宋体"/>
          <w:b/>
          <w:color w:val="auto"/>
          <w:sz w:val="32"/>
          <w:szCs w:val="32"/>
          <w:highlight w:val="none"/>
        </w:rPr>
      </w:pPr>
      <w:r>
        <w:rPr>
          <w:rFonts w:hint="eastAsia" w:ascii="宋体" w:hAnsi="宋体" w:eastAsiaTheme="minorEastAsia"/>
          <w:b/>
          <w:color w:val="auto"/>
          <w:sz w:val="32"/>
          <w:szCs w:val="32"/>
          <w:highlight w:val="none"/>
          <w:lang w:val="en-US" w:eastAsia="zh-CN"/>
        </w:rPr>
        <w:t>5.2</w:t>
      </w:r>
      <w:r>
        <w:rPr>
          <w:rFonts w:hint="eastAsia" w:ascii="宋体" w:hAnsi="宋体" w:eastAsiaTheme="minorEastAsia"/>
          <w:b/>
          <w:color w:val="auto"/>
          <w:sz w:val="32"/>
          <w:szCs w:val="32"/>
          <w:highlight w:val="none"/>
          <w:lang w:eastAsia="zh-CN"/>
        </w:rPr>
        <w:t>供应商</w:t>
      </w:r>
      <w:r>
        <w:rPr>
          <w:rFonts w:hint="eastAsia" w:ascii="宋体" w:hAnsi="宋体"/>
          <w:b/>
          <w:color w:val="auto"/>
          <w:sz w:val="32"/>
          <w:szCs w:val="32"/>
          <w:highlight w:val="none"/>
        </w:rPr>
        <w:t>直接控股股东信息表</w:t>
      </w:r>
    </w:p>
    <w:tbl>
      <w:tblPr>
        <w:tblStyle w:val="4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pPr>
        <w:snapToGrid w:val="0"/>
        <w:spacing w:beforeLines="50" w:after="50" w:line="360" w:lineRule="auto"/>
        <w:ind w:right="480" w:firstLine="5520" w:firstLineChars="2300"/>
        <w:rPr>
          <w:rFonts w:ascii="宋体" w:hAnsi="宋体"/>
          <w:color w:val="auto"/>
          <w:szCs w:val="21"/>
          <w:highlight w:val="none"/>
        </w:rPr>
      </w:pPr>
      <w:r>
        <w:rPr>
          <w:rFonts w:hint="eastAsia" w:ascii="宋体" w:hAnsi="宋体"/>
          <w:color w:val="auto"/>
          <w:sz w:val="24"/>
          <w:highlight w:val="none"/>
        </w:rPr>
        <w:t>年    月    日</w:t>
      </w:r>
    </w:p>
    <w:p>
      <w:pPr>
        <w:rPr>
          <w:rFonts w:ascii="宋体" w:hAnsi="宋体"/>
          <w:b/>
          <w:color w:val="auto"/>
          <w:sz w:val="32"/>
          <w:szCs w:val="32"/>
          <w:highlight w:val="none"/>
        </w:rPr>
      </w:pPr>
      <w:r>
        <w:rPr>
          <w:rFonts w:hint="eastAsia" w:ascii="宋体" w:hAnsi="宋体"/>
          <w:b/>
          <w:color w:val="auto"/>
          <w:sz w:val="32"/>
          <w:szCs w:val="32"/>
          <w:highlight w:val="none"/>
        </w:rPr>
        <w:br w:type="page"/>
      </w: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lang w:val="en-US" w:eastAsia="zh-CN"/>
        </w:rPr>
        <w:t>5.3</w:t>
      </w:r>
      <w:r>
        <w:rPr>
          <w:rFonts w:hint="eastAsia" w:ascii="宋体" w:hAnsi="宋体"/>
          <w:b/>
          <w:color w:val="auto"/>
          <w:sz w:val="32"/>
          <w:szCs w:val="32"/>
          <w:highlight w:val="none"/>
          <w:lang w:eastAsia="zh-CN"/>
        </w:rPr>
        <w:t>供应商</w:t>
      </w:r>
      <w:r>
        <w:rPr>
          <w:rFonts w:hint="eastAsia" w:ascii="宋体" w:hAnsi="宋体"/>
          <w:b/>
          <w:color w:val="auto"/>
          <w:sz w:val="32"/>
          <w:szCs w:val="32"/>
          <w:highlight w:val="none"/>
        </w:rPr>
        <w:t>直接管理关系信息表</w:t>
      </w:r>
    </w:p>
    <w:tbl>
      <w:tblPr>
        <w:tblStyle w:val="4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pPr>
        <w:snapToGrid w:val="0"/>
        <w:spacing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br w:type="page"/>
      </w:r>
    </w:p>
    <w:p>
      <w:pPr>
        <w:pStyle w:val="20"/>
        <w:snapToGrid w:val="0"/>
        <w:spacing w:line="600" w:lineRule="exact"/>
        <w:ind w:firstLine="1687" w:firstLineChars="600"/>
        <w:rPr>
          <w:rFonts w:hint="default"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val="en-US" w:eastAsia="zh-CN"/>
        </w:rPr>
        <w:t>5.4</w:t>
      </w:r>
      <w:r>
        <w:rPr>
          <w:rFonts w:asciiTheme="minorEastAsia" w:hAnsiTheme="minorEastAsia" w:eastAsiaTheme="minorEastAsia"/>
          <w:b/>
          <w:bCs/>
          <w:color w:val="auto"/>
          <w:sz w:val="28"/>
          <w:szCs w:val="28"/>
          <w:highlight w:val="none"/>
        </w:rPr>
        <w:t>依法缴纳社会保障金及依法纳税或报税证明文件</w:t>
      </w:r>
    </w:p>
    <w:p>
      <w:pPr>
        <w:pStyle w:val="20"/>
        <w:snapToGrid w:val="0"/>
        <w:spacing w:line="600" w:lineRule="exact"/>
        <w:ind w:firstLine="1687" w:firstLineChars="600"/>
        <w:rPr>
          <w:rFonts w:hint="default"/>
          <w:b/>
          <w:bCs/>
          <w:color w:val="auto"/>
          <w:sz w:val="28"/>
          <w:szCs w:val="28"/>
          <w:highlight w:val="none"/>
        </w:rPr>
      </w:pPr>
      <w:r>
        <w:rPr>
          <w:rFonts w:hint="eastAsia" w:eastAsiaTheme="minorEastAsia"/>
          <w:b/>
          <w:bCs/>
          <w:color w:val="auto"/>
          <w:sz w:val="28"/>
          <w:szCs w:val="28"/>
          <w:highlight w:val="none"/>
          <w:lang w:val="en-US" w:eastAsia="zh-CN"/>
        </w:rPr>
        <w:t>5.5</w:t>
      </w:r>
      <w:r>
        <w:rPr>
          <w:rFonts w:asciiTheme="minorEastAsia" w:hAnsiTheme="minorEastAsia" w:eastAsiaTheme="minorEastAsia"/>
          <w:b/>
          <w:bCs/>
          <w:color w:val="auto"/>
          <w:sz w:val="28"/>
          <w:szCs w:val="28"/>
          <w:highlight w:val="none"/>
        </w:rPr>
        <w:t>供应商完整的财务状况报告</w:t>
      </w:r>
    </w:p>
    <w:p>
      <w:pPr>
        <w:pStyle w:val="20"/>
        <w:snapToGrid w:val="0"/>
        <w:spacing w:line="600" w:lineRule="exact"/>
        <w:rPr>
          <w:rFonts w:hint="default"/>
          <w:b/>
          <w:bCs/>
          <w:color w:val="auto"/>
          <w:sz w:val="28"/>
          <w:szCs w:val="28"/>
          <w:highlight w:val="none"/>
        </w:rPr>
      </w:pPr>
    </w:p>
    <w:p>
      <w:pPr>
        <w:pStyle w:val="20"/>
        <w:snapToGrid w:val="0"/>
        <w:spacing w:line="600" w:lineRule="exact"/>
        <w:jc w:val="center"/>
        <w:rPr>
          <w:rFonts w:hint="default"/>
          <w:b/>
          <w:bCs/>
          <w:color w:val="auto"/>
          <w:sz w:val="28"/>
          <w:szCs w:val="28"/>
          <w:highlight w:val="none"/>
        </w:rPr>
      </w:pPr>
    </w:p>
    <w:p>
      <w:pPr>
        <w:pStyle w:val="20"/>
        <w:snapToGrid w:val="0"/>
        <w:spacing w:line="600" w:lineRule="exact"/>
        <w:ind w:firstLine="1687" w:firstLineChars="600"/>
        <w:jc w:val="both"/>
        <w:rPr>
          <w:rFonts w:hint="default"/>
          <w:b/>
          <w:bCs/>
          <w:color w:val="auto"/>
          <w:sz w:val="30"/>
          <w:szCs w:val="30"/>
          <w:highlight w:val="none"/>
        </w:rPr>
      </w:pPr>
      <w:r>
        <w:rPr>
          <w:rFonts w:hint="eastAsia"/>
          <w:b/>
          <w:bCs/>
          <w:color w:val="auto"/>
          <w:sz w:val="28"/>
          <w:szCs w:val="28"/>
          <w:highlight w:val="none"/>
          <w:lang w:val="en-US" w:eastAsia="zh-CN"/>
        </w:rPr>
        <w:t>5.6</w:t>
      </w:r>
      <w:r>
        <w:rPr>
          <w:b/>
          <w:bCs/>
          <w:color w:val="auto"/>
          <w:sz w:val="28"/>
          <w:szCs w:val="28"/>
          <w:highlight w:val="none"/>
        </w:rPr>
        <w:t>无重大违法记录声明书（格式）</w:t>
      </w:r>
    </w:p>
    <w:p>
      <w:pPr>
        <w:pStyle w:val="20"/>
        <w:snapToGrid w:val="0"/>
        <w:spacing w:line="600" w:lineRule="exact"/>
        <w:rPr>
          <w:rFonts w:hint="default"/>
          <w:bCs/>
          <w:color w:val="auto"/>
          <w:sz w:val="24"/>
          <w:highlight w:val="none"/>
        </w:rPr>
      </w:pPr>
    </w:p>
    <w:p>
      <w:pPr>
        <w:pStyle w:val="20"/>
        <w:snapToGrid w:val="0"/>
        <w:spacing w:line="600" w:lineRule="exact"/>
        <w:rPr>
          <w:rFonts w:hint="default"/>
          <w:bCs/>
          <w:color w:val="auto"/>
          <w:sz w:val="24"/>
          <w:highlight w:val="none"/>
        </w:rPr>
      </w:pPr>
      <w:r>
        <w:rPr>
          <w:bCs/>
          <w:color w:val="auto"/>
          <w:sz w:val="24"/>
          <w:highlight w:val="none"/>
        </w:rPr>
        <w:t>广西中信恒泰工程顾问有限公司：</w:t>
      </w:r>
    </w:p>
    <w:p>
      <w:pPr>
        <w:pStyle w:val="20"/>
        <w:snapToGrid w:val="0"/>
        <w:spacing w:line="600" w:lineRule="exact"/>
        <w:ind w:firstLine="480" w:firstLineChars="200"/>
        <w:rPr>
          <w:rFonts w:hint="default"/>
          <w:color w:val="auto"/>
          <w:sz w:val="24"/>
          <w:highlight w:val="none"/>
        </w:rPr>
      </w:pPr>
      <w:r>
        <w:rPr>
          <w:bCs/>
          <w:color w:val="auto"/>
          <w:sz w:val="24"/>
          <w:highlight w:val="none"/>
        </w:rPr>
        <w:t>我公司参加贵公司组织的：项目的政府采购活动。我公司在此郑重声明，我公司参加本项目的政府采购活动前三年在经营中没有重大违法记录，符合《</w:t>
      </w:r>
      <w:r>
        <w:rPr>
          <w:color w:val="auto"/>
          <w:sz w:val="24"/>
          <w:highlight w:val="none"/>
        </w:rPr>
        <w:t>中华人民共和国政府采购法</w:t>
      </w:r>
      <w:r>
        <w:rPr>
          <w:bCs/>
          <w:color w:val="auto"/>
          <w:sz w:val="24"/>
          <w:highlight w:val="none"/>
        </w:rPr>
        <w:t>》及</w:t>
      </w:r>
      <w:r>
        <w:rPr>
          <w:color w:val="auto"/>
          <w:sz w:val="24"/>
          <w:highlight w:val="none"/>
        </w:rPr>
        <w:t>《中华人民共和国政府采购法实施条例》的供应商条件，我公司对此声明负全部法律责任。</w:t>
      </w:r>
    </w:p>
    <w:p>
      <w:pPr>
        <w:pStyle w:val="20"/>
        <w:snapToGrid w:val="0"/>
        <w:spacing w:line="600" w:lineRule="exact"/>
        <w:ind w:firstLine="480" w:firstLineChars="200"/>
        <w:rPr>
          <w:rFonts w:hint="default"/>
          <w:color w:val="auto"/>
          <w:sz w:val="24"/>
          <w:highlight w:val="none"/>
        </w:rPr>
      </w:pPr>
      <w:r>
        <w:rPr>
          <w:color w:val="auto"/>
          <w:sz w:val="24"/>
          <w:highlight w:val="none"/>
        </w:rPr>
        <w:t>特此承诺。</w:t>
      </w:r>
    </w:p>
    <w:p>
      <w:pPr>
        <w:pStyle w:val="20"/>
        <w:snapToGrid w:val="0"/>
        <w:spacing w:line="600" w:lineRule="exact"/>
        <w:rPr>
          <w:rFonts w:hint="default"/>
          <w:color w:val="auto"/>
          <w:sz w:val="24"/>
          <w:highlight w:val="none"/>
        </w:rPr>
      </w:pPr>
    </w:p>
    <w:p>
      <w:pPr>
        <w:pStyle w:val="20"/>
        <w:snapToGrid w:val="0"/>
        <w:spacing w:line="600" w:lineRule="exact"/>
        <w:ind w:firstLine="480" w:firstLineChars="200"/>
        <w:rPr>
          <w:rFonts w:hint="default"/>
          <w:color w:val="auto"/>
          <w:sz w:val="24"/>
          <w:highlight w:val="none"/>
          <w:u w:val="single"/>
        </w:rPr>
      </w:pPr>
      <w:r>
        <w:rPr>
          <w:color w:val="auto"/>
          <w:sz w:val="24"/>
          <w:highlight w:val="none"/>
        </w:rPr>
        <w:t>谈判供应商（加盖公章）：</w:t>
      </w:r>
    </w:p>
    <w:p>
      <w:pPr>
        <w:pStyle w:val="20"/>
        <w:snapToGrid w:val="0"/>
        <w:spacing w:line="600" w:lineRule="exact"/>
        <w:ind w:firstLine="480" w:firstLineChars="200"/>
        <w:rPr>
          <w:rFonts w:hint="default"/>
          <w:color w:val="auto"/>
          <w:sz w:val="24"/>
          <w:highlight w:val="none"/>
          <w:u w:val="single"/>
        </w:rPr>
      </w:pPr>
      <w:r>
        <w:rPr>
          <w:color w:val="auto"/>
          <w:sz w:val="24"/>
          <w:highlight w:val="none"/>
        </w:rPr>
        <w:t>法定代表人（负责人）或委托代理人（签字或签章）：</w:t>
      </w:r>
    </w:p>
    <w:p>
      <w:pPr>
        <w:pStyle w:val="20"/>
        <w:snapToGrid w:val="0"/>
        <w:spacing w:line="600" w:lineRule="exact"/>
        <w:ind w:firstLine="480" w:firstLineChars="200"/>
        <w:rPr>
          <w:color w:val="auto"/>
          <w:sz w:val="24"/>
          <w:highlight w:val="none"/>
        </w:rPr>
      </w:pPr>
      <w:r>
        <w:rPr>
          <w:color w:val="auto"/>
          <w:sz w:val="24"/>
          <w:highlight w:val="none"/>
        </w:rPr>
        <w:t>日期：    年  月  日</w:t>
      </w:r>
    </w:p>
    <w:p>
      <w:pPr>
        <w:rPr>
          <w:color w:val="auto"/>
          <w:sz w:val="24"/>
          <w:highlight w:val="none"/>
        </w:rPr>
      </w:pPr>
      <w:r>
        <w:rPr>
          <w:color w:val="auto"/>
          <w:sz w:val="24"/>
          <w:highlight w:val="none"/>
        </w:rPr>
        <w:br w:type="page"/>
      </w:r>
    </w:p>
    <w:p>
      <w:pPr>
        <w:pStyle w:val="20"/>
        <w:snapToGrid w:val="0"/>
        <w:spacing w:line="600" w:lineRule="exact"/>
        <w:jc w:val="both"/>
        <w:rPr>
          <w:rFonts w:hint="default" w:eastAsiaTheme="minorEastAsia"/>
          <w:b/>
          <w:bCs/>
          <w:color w:val="auto"/>
          <w:sz w:val="28"/>
          <w:szCs w:val="28"/>
          <w:highlight w:val="none"/>
          <w:lang w:val="en-US" w:eastAsia="zh-CN"/>
        </w:rPr>
      </w:pPr>
      <w:r>
        <w:rPr>
          <w:rFonts w:hint="eastAsia" w:eastAsiaTheme="minorEastAsia"/>
          <w:b/>
          <w:bCs/>
          <w:color w:val="auto"/>
          <w:sz w:val="28"/>
          <w:szCs w:val="28"/>
          <w:highlight w:val="none"/>
          <w:lang w:val="en-US" w:eastAsia="zh-CN"/>
        </w:rPr>
        <w:t>5.7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必须提供；</w:t>
      </w:r>
    </w:p>
    <w:p>
      <w:pPr>
        <w:pStyle w:val="20"/>
        <w:snapToGrid w:val="0"/>
        <w:spacing w:line="600" w:lineRule="exact"/>
        <w:ind w:firstLine="1687" w:firstLineChars="600"/>
        <w:jc w:val="both"/>
        <w:rPr>
          <w:rFonts w:hint="default" w:eastAsiaTheme="minorEastAsia"/>
          <w:b/>
          <w:bCs/>
          <w:color w:val="auto"/>
          <w:sz w:val="28"/>
          <w:szCs w:val="28"/>
          <w:highlight w:val="none"/>
          <w:lang w:val="en-US" w:eastAsia="zh-CN"/>
        </w:rPr>
      </w:pPr>
    </w:p>
    <w:p>
      <w:pPr>
        <w:pStyle w:val="20"/>
        <w:snapToGrid w:val="0"/>
        <w:spacing w:line="600" w:lineRule="exact"/>
        <w:ind w:firstLine="480" w:firstLineChars="200"/>
        <w:rPr>
          <w:rFonts w:hint="default"/>
          <w:color w:val="auto"/>
          <w:sz w:val="24"/>
          <w:highlight w:val="none"/>
        </w:rPr>
      </w:pPr>
    </w:p>
    <w:p>
      <w:pPr>
        <w:pStyle w:val="20"/>
        <w:snapToGrid w:val="0"/>
        <w:spacing w:line="600" w:lineRule="exact"/>
        <w:outlineLvl w:val="9"/>
        <w:rPr>
          <w:rFonts w:hint="default"/>
          <w:color w:val="auto"/>
          <w:spacing w:val="20"/>
          <w:highlight w:val="none"/>
        </w:rPr>
        <w:sectPr>
          <w:pgSz w:w="11906" w:h="16838"/>
          <w:pgMar w:top="1276"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spacing w:line="480" w:lineRule="exact"/>
        <w:jc w:val="center"/>
        <w:rPr>
          <w:rFonts w:asciiTheme="minorEastAsia" w:hAnsiTheme="minorEastAsia" w:eastAsiaTheme="minorEastAsia"/>
          <w:b/>
          <w:bCs/>
          <w:color w:val="auto"/>
          <w:spacing w:val="14"/>
          <w:sz w:val="28"/>
          <w:szCs w:val="28"/>
          <w:highlight w:val="none"/>
        </w:rPr>
      </w:pPr>
      <w:r>
        <w:rPr>
          <w:rFonts w:hint="eastAsia" w:asciiTheme="minorEastAsia" w:hAnsiTheme="minorEastAsia" w:eastAsiaTheme="minorEastAsia"/>
          <w:b/>
          <w:bCs/>
          <w:color w:val="auto"/>
          <w:spacing w:val="14"/>
          <w:sz w:val="28"/>
          <w:szCs w:val="28"/>
          <w:highlight w:val="none"/>
          <w:lang w:val="en-US" w:eastAsia="zh-CN"/>
        </w:rPr>
        <w:t>6</w:t>
      </w:r>
      <w:r>
        <w:rPr>
          <w:rFonts w:hint="eastAsia" w:asciiTheme="minorEastAsia" w:hAnsiTheme="minorEastAsia" w:eastAsiaTheme="minorEastAsia"/>
          <w:b/>
          <w:bCs/>
          <w:color w:val="auto"/>
          <w:spacing w:val="14"/>
          <w:sz w:val="28"/>
          <w:szCs w:val="28"/>
          <w:highlight w:val="none"/>
        </w:rPr>
        <w:t>、技术规格偏离表（格式）</w:t>
      </w:r>
    </w:p>
    <w:p>
      <w:pPr>
        <w:pStyle w:val="6"/>
        <w:ind w:firstLine="0"/>
        <w:outlineLvl w:val="9"/>
        <w:rPr>
          <w:rFonts w:hint="eastAsia"/>
          <w:color w:val="auto"/>
          <w:sz w:val="21"/>
          <w:szCs w:val="21"/>
          <w:highlight w:val="none"/>
        </w:rPr>
      </w:pPr>
      <w:r>
        <w:rPr>
          <w:rFonts w:hint="eastAsia"/>
          <w:color w:val="auto"/>
          <w:sz w:val="21"/>
          <w:szCs w:val="21"/>
          <w:highlight w:val="none"/>
        </w:rPr>
        <w:t>项目名称：</w:t>
      </w:r>
    </w:p>
    <w:p>
      <w:pPr>
        <w:pStyle w:val="6"/>
        <w:ind w:firstLine="0"/>
        <w:outlineLvl w:val="9"/>
        <w:rPr>
          <w:color w:val="auto"/>
          <w:sz w:val="21"/>
          <w:szCs w:val="21"/>
          <w:highlight w:val="none"/>
        </w:rPr>
      </w:pPr>
      <w:r>
        <w:rPr>
          <w:rFonts w:hint="eastAsia"/>
          <w:color w:val="auto"/>
          <w:sz w:val="21"/>
          <w:szCs w:val="21"/>
          <w:highlight w:val="none"/>
        </w:rPr>
        <w:t>项目编号：</w:t>
      </w:r>
    </w:p>
    <w:tbl>
      <w:tblPr>
        <w:tblStyle w:val="46"/>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2526"/>
        <w:gridCol w:w="189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3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b/>
                <w:color w:val="auto"/>
                <w:kern w:val="0"/>
                <w:szCs w:val="21"/>
                <w:highlight w:val="none"/>
              </w:rPr>
            </w:pPr>
            <w:r>
              <w:rPr>
                <w:rFonts w:hint="eastAsia" w:ascii="宋体" w:hAnsi="宋体" w:cs="宋体"/>
                <w:color w:val="auto"/>
                <w:kern w:val="0"/>
                <w:szCs w:val="21"/>
                <w:highlight w:val="none"/>
              </w:rPr>
              <w:t>序号</w:t>
            </w:r>
          </w:p>
        </w:tc>
        <w:tc>
          <w:tcPr>
            <w:tcW w:w="105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90" w:lineRule="atLeast"/>
              <w:jc w:val="center"/>
              <w:rPr>
                <w:rFonts w:hint="eastAsia" w:ascii="宋体" w:hAnsi="宋体" w:eastAsia="宋体" w:cs="宋体"/>
                <w:b/>
                <w:color w:val="auto"/>
                <w:kern w:val="0"/>
                <w:szCs w:val="21"/>
                <w:highlight w:val="none"/>
                <w:lang w:val="en-US" w:eastAsia="zh-CN"/>
              </w:rPr>
            </w:pPr>
            <w:r>
              <w:rPr>
                <w:rFonts w:hint="eastAsia" w:ascii="宋体" w:hAnsi="宋体" w:cs="宋体"/>
                <w:b w:val="0"/>
                <w:bCs/>
                <w:color w:val="auto"/>
                <w:kern w:val="0"/>
                <w:szCs w:val="21"/>
                <w:highlight w:val="none"/>
                <w:lang w:val="en-US" w:eastAsia="zh-CN"/>
              </w:rPr>
              <w:t>采购内容</w:t>
            </w:r>
          </w:p>
        </w:tc>
        <w:tc>
          <w:tcPr>
            <w:tcW w:w="252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90" w:lineRule="atLeast"/>
              <w:jc w:val="center"/>
              <w:rPr>
                <w:rFonts w:hint="eastAsia" w:ascii="宋体" w:hAnsi="宋体" w:eastAsia="宋体" w:cs="宋体"/>
                <w:b/>
                <w:color w:val="auto"/>
                <w:kern w:val="0"/>
                <w:szCs w:val="21"/>
                <w:highlight w:val="none"/>
                <w:lang w:eastAsia="zh-CN"/>
              </w:rPr>
            </w:pPr>
            <w:r>
              <w:rPr>
                <w:rFonts w:hint="eastAsia" w:ascii="宋体" w:hAnsi="宋体" w:cs="宋体"/>
                <w:color w:val="auto"/>
                <w:kern w:val="0"/>
                <w:szCs w:val="21"/>
                <w:highlight w:val="none"/>
                <w:lang w:eastAsia="zh-CN"/>
              </w:rPr>
              <w:t>原技术规范主要条款要求</w:t>
            </w:r>
          </w:p>
        </w:tc>
        <w:tc>
          <w:tcPr>
            <w:tcW w:w="189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9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响应文件具体响应</w:t>
            </w:r>
          </w:p>
        </w:tc>
        <w:tc>
          <w:tcPr>
            <w:tcW w:w="336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90" w:lineRule="atLeast"/>
              <w:jc w:val="center"/>
              <w:rPr>
                <w:rFonts w:hint="default" w:ascii="宋体" w:hAnsi="宋体" w:eastAsia="宋体" w:cs="宋体"/>
                <w:b/>
                <w:color w:val="auto"/>
                <w:kern w:val="0"/>
                <w:szCs w:val="21"/>
                <w:highlight w:val="none"/>
                <w:lang w:val="en-US" w:eastAsia="zh-CN"/>
              </w:rPr>
            </w:pPr>
            <w:r>
              <w:rPr>
                <w:rFonts w:hint="eastAsia" w:ascii="宋体" w:hAnsi="宋体" w:cs="宋体"/>
                <w:color w:val="auto"/>
                <w:kern w:val="0"/>
                <w:szCs w:val="21"/>
                <w:highlight w:val="none"/>
                <w:lang w:eastAsia="zh-CN"/>
              </w:rPr>
              <w:t>技术偏离情况说明（</w:t>
            </w:r>
            <w:r>
              <w:rPr>
                <w:rFonts w:hint="eastAsia" w:ascii="宋体" w:hAnsi="宋体" w:cs="宋体"/>
                <w:color w:val="auto"/>
                <w:kern w:val="0"/>
                <w:szCs w:val="21"/>
                <w:highlight w:val="none"/>
                <w:lang w:val="en-US" w:eastAsia="zh-CN"/>
              </w:rPr>
              <w:t>正/负/等同）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63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hAnsi="宋体"/>
                <w:color w:val="auto"/>
                <w:highlight w:val="none"/>
              </w:rPr>
            </w:pPr>
          </w:p>
        </w:tc>
        <w:tc>
          <w:tcPr>
            <w:tcW w:w="252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vMerge w:val="continue"/>
            <w:tcBorders>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3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25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90" w:lineRule="atLeast"/>
              <w:jc w:val="center"/>
              <w:rPr>
                <w:rFonts w:ascii="宋体" w:hAnsi="宋体" w:cs="宋体"/>
                <w:color w:val="auto"/>
                <w:kern w:val="0"/>
                <w:szCs w:val="21"/>
                <w:highlight w:val="none"/>
              </w:rPr>
            </w:pPr>
          </w:p>
        </w:tc>
        <w:tc>
          <w:tcPr>
            <w:tcW w:w="33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90" w:lineRule="atLeast"/>
              <w:jc w:val="center"/>
              <w:rPr>
                <w:rFonts w:ascii="宋体" w:hAnsi="宋体" w:cs="宋体"/>
                <w:color w:val="auto"/>
                <w:kern w:val="0"/>
                <w:szCs w:val="21"/>
                <w:highlight w:val="none"/>
              </w:rPr>
            </w:pPr>
          </w:p>
        </w:tc>
      </w:tr>
    </w:tbl>
    <w:p>
      <w:pPr>
        <w:spacing w:line="400" w:lineRule="exact"/>
        <w:ind w:firstLine="482"/>
        <w:rPr>
          <w:b/>
          <w:bCs/>
          <w:color w:val="auto"/>
          <w:sz w:val="36"/>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3685" w:firstLineChars="1755"/>
        <w:rPr>
          <w:color w:val="auto"/>
          <w:highlight w:val="none"/>
          <w:u w:val="single"/>
        </w:rPr>
      </w:pPr>
      <w:r>
        <w:rPr>
          <w:rFonts w:hint="eastAsia"/>
          <w:color w:val="auto"/>
          <w:highlight w:val="none"/>
        </w:rPr>
        <w:t>谈判供应商名称（加盖公章）：</w:t>
      </w:r>
    </w:p>
    <w:p>
      <w:pPr>
        <w:ind w:firstLine="4498" w:firstLineChars="2142"/>
        <w:rPr>
          <w:color w:val="auto"/>
          <w:highlight w:val="none"/>
        </w:rPr>
      </w:pPr>
    </w:p>
    <w:p>
      <w:pPr>
        <w:ind w:firstLine="3685" w:firstLineChars="1755"/>
        <w:rPr>
          <w:rFonts w:hint="eastAsia"/>
          <w:color w:val="auto"/>
          <w:highlight w:val="none"/>
        </w:rPr>
      </w:pPr>
      <w:r>
        <w:rPr>
          <w:rFonts w:hint="eastAsia"/>
          <w:color w:val="auto"/>
          <w:highlight w:val="none"/>
        </w:rPr>
        <w:t>法定代表人（负责人）或委托代理人（签字或签章）：</w:t>
      </w:r>
    </w:p>
    <w:p>
      <w:pPr>
        <w:pStyle w:val="12"/>
        <w:jc w:val="right"/>
        <w:rPr>
          <w:rFonts w:hint="eastAsia" w:eastAsia="宋体"/>
          <w:color w:val="auto"/>
          <w:highlight w:val="none"/>
          <w:lang w:eastAsia="zh-CN"/>
        </w:rPr>
      </w:pPr>
      <w:r>
        <w:rPr>
          <w:rFonts w:hint="eastAsia"/>
          <w:color w:val="auto"/>
          <w:highlight w:val="none"/>
          <w:lang w:eastAsia="zh-CN"/>
        </w:rPr>
        <w:t>日期：</w:t>
      </w:r>
    </w:p>
    <w:p>
      <w:pPr>
        <w:rPr>
          <w:color w:val="auto"/>
          <w:highlight w:val="none"/>
          <w:u w:val="single"/>
        </w:rPr>
      </w:pPr>
    </w:p>
    <w:p>
      <w:pPr>
        <w:rPr>
          <w:color w:val="auto"/>
          <w:highlight w:val="none"/>
          <w:u w:val="single"/>
        </w:rPr>
      </w:pPr>
    </w:p>
    <w:p>
      <w:pPr>
        <w:rPr>
          <w:color w:val="auto"/>
          <w:highlight w:val="none"/>
        </w:rPr>
      </w:pPr>
    </w:p>
    <w:p>
      <w:pPr>
        <w:spacing w:line="360" w:lineRule="auto"/>
        <w:ind w:left="424" w:hanging="424" w:hanging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注：1、此表可根据</w:t>
      </w:r>
      <w:r>
        <w:rPr>
          <w:rFonts w:hint="eastAsia" w:asciiTheme="minorEastAsia" w:hAnsiTheme="minorEastAsia" w:eastAsiaTheme="minorEastAsia"/>
          <w:color w:val="auto"/>
          <w:highlight w:val="none"/>
          <w:lang w:eastAsia="zh-CN"/>
        </w:rPr>
        <w:t>第三章项目需求所列技术参数要求逐项列明响应</w:t>
      </w:r>
      <w:r>
        <w:rPr>
          <w:rFonts w:hint="eastAsia" w:asciiTheme="minorEastAsia" w:hAnsiTheme="minorEastAsia" w:eastAsiaTheme="minorEastAsia"/>
          <w:color w:val="auto"/>
          <w:highlight w:val="none"/>
        </w:rPr>
        <w:t>，详细写明参数</w:t>
      </w:r>
      <w:r>
        <w:rPr>
          <w:rFonts w:hint="eastAsia" w:asciiTheme="minorEastAsia" w:hAnsiTheme="minorEastAsia" w:eastAsiaTheme="minorEastAsia"/>
          <w:color w:val="auto"/>
          <w:highlight w:val="none"/>
          <w:lang w:eastAsia="zh-CN"/>
        </w:rPr>
        <w:t>，不可缺项漏项，否则应标无效</w:t>
      </w:r>
      <w:r>
        <w:rPr>
          <w:rFonts w:hint="eastAsia" w:asciiTheme="minorEastAsia" w:hAnsiTheme="minorEastAsia" w:eastAsiaTheme="minorEastAsia"/>
          <w:color w:val="auto"/>
          <w:highlight w:val="none"/>
        </w:rPr>
        <w:t>。</w:t>
      </w:r>
    </w:p>
    <w:p>
      <w:pPr>
        <w:spacing w:line="360" w:lineRule="auto"/>
        <w:ind w:left="424" w:leftChars="200" w:hanging="4" w:hangingChars="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2、供应商必须如实填写不得留空，否则因虚假应标作谈判无效处理。</w:t>
      </w:r>
    </w:p>
    <w:p>
      <w:pPr>
        <w:spacing w:line="360" w:lineRule="auto"/>
        <w:ind w:left="424" w:leftChars="200" w:hanging="4" w:hangingChars="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3、附针对本项目所竞标货物的主要技术指标、参数及性能说明的资料图片，当竞标参数与厂家提供的产品参数、检测内容不一致时，以厂家提供的原件为准（此项如有请提供）。</w:t>
      </w:r>
    </w:p>
    <w:p>
      <w:pPr>
        <w:pStyle w:val="20"/>
        <w:spacing w:before="240"/>
        <w:ind w:left="420"/>
        <w:jc w:val="left"/>
        <w:rPr>
          <w:rFonts w:hint="default"/>
          <w:color w:val="auto"/>
          <w:highlight w:val="none"/>
        </w:rPr>
      </w:pPr>
    </w:p>
    <w:p>
      <w:pPr>
        <w:pStyle w:val="20"/>
        <w:spacing w:before="240"/>
        <w:ind w:left="420"/>
        <w:jc w:val="left"/>
        <w:rPr>
          <w:rFonts w:hint="default"/>
          <w:color w:val="auto"/>
          <w:highlight w:val="none"/>
        </w:rPr>
        <w:sectPr>
          <w:pgSz w:w="11906" w:h="16838"/>
          <w:pgMar w:top="993"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pStyle w:val="20"/>
        <w:spacing w:line="600" w:lineRule="exact"/>
        <w:jc w:val="center"/>
        <w:rPr>
          <w:rFonts w:hint="default"/>
          <w:b/>
          <w:bCs/>
          <w:color w:val="auto"/>
          <w:sz w:val="28"/>
          <w:szCs w:val="28"/>
          <w:highlight w:val="none"/>
        </w:rPr>
      </w:pPr>
      <w:r>
        <w:rPr>
          <w:rFonts w:hint="eastAsia"/>
          <w:b/>
          <w:bCs/>
          <w:color w:val="auto"/>
          <w:sz w:val="28"/>
          <w:szCs w:val="28"/>
          <w:highlight w:val="none"/>
          <w:lang w:val="en-US" w:eastAsia="zh-CN"/>
        </w:rPr>
        <w:t>7</w:t>
      </w:r>
      <w:r>
        <w:rPr>
          <w:b/>
          <w:bCs/>
          <w:color w:val="auto"/>
          <w:sz w:val="28"/>
          <w:szCs w:val="28"/>
          <w:highlight w:val="none"/>
        </w:rPr>
        <w:t>、商务条款偏离表（格式）</w:t>
      </w:r>
    </w:p>
    <w:p>
      <w:pPr>
        <w:pStyle w:val="20"/>
        <w:ind w:firstLine="420"/>
        <w:rPr>
          <w:rFonts w:hint="default"/>
          <w:b/>
          <w:bCs/>
          <w:color w:val="auto"/>
          <w:sz w:val="28"/>
          <w:szCs w:val="28"/>
          <w:highlight w:val="none"/>
        </w:rPr>
      </w:pPr>
    </w:p>
    <w:tbl>
      <w:tblPr>
        <w:tblStyle w:val="4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03"/>
        <w:gridCol w:w="113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b/>
                <w:color w:val="auto"/>
                <w:highlight w:val="none"/>
              </w:rPr>
            </w:pPr>
            <w:r>
              <w:rPr>
                <w:b/>
                <w:color w:val="auto"/>
                <w:highlight w:val="none"/>
              </w:rPr>
              <w:t>序号</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b/>
                <w:color w:val="auto"/>
                <w:highlight w:val="none"/>
              </w:rPr>
            </w:pPr>
            <w:r>
              <w:rPr>
                <w:b/>
                <w:color w:val="auto"/>
                <w:highlight w:val="none"/>
              </w:rPr>
              <w:t>商务条款要求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b/>
                <w:color w:val="auto"/>
                <w:highlight w:val="none"/>
              </w:rPr>
            </w:pPr>
            <w:r>
              <w:rPr>
                <w:b/>
                <w:color w:val="auto"/>
                <w:highlight w:val="none"/>
              </w:rPr>
              <w:t>是否响应</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b/>
                <w:color w:val="auto"/>
                <w:highlight w:val="none"/>
              </w:rPr>
            </w:pPr>
            <w:r>
              <w:rPr>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1</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2</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3</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4</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5</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6</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r>
              <w:rPr>
                <w:color w:val="auto"/>
                <w:highlight w:val="none"/>
              </w:rPr>
              <w:t>7</w:t>
            </w:r>
          </w:p>
        </w:tc>
        <w:tc>
          <w:tcPr>
            <w:tcW w:w="5103" w:type="dxa"/>
            <w:tcBorders>
              <w:top w:val="single" w:color="auto" w:sz="4" w:space="0"/>
              <w:left w:val="single" w:color="auto" w:sz="4" w:space="0"/>
              <w:bottom w:val="single" w:color="auto" w:sz="4" w:space="0"/>
              <w:right w:val="single" w:color="auto" w:sz="4" w:space="0"/>
            </w:tcBorders>
            <w:vAlign w:val="center"/>
          </w:tcPr>
          <w:p>
            <w:pPr>
              <w:pStyle w:val="20"/>
              <w:jc w:val="left"/>
              <w:rPr>
                <w:rFonts w:hint="default"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default"/>
                <w:color w:val="auto"/>
                <w:highlight w:val="none"/>
              </w:rPr>
            </w:pPr>
          </w:p>
        </w:tc>
      </w:tr>
    </w:tbl>
    <w:p>
      <w:pPr>
        <w:pStyle w:val="20"/>
        <w:spacing w:line="360" w:lineRule="auto"/>
        <w:rPr>
          <w:rFonts w:hint="default"/>
          <w:color w:val="auto"/>
          <w:highlight w:val="none"/>
        </w:rPr>
      </w:pPr>
    </w:p>
    <w:p>
      <w:pPr>
        <w:pStyle w:val="20"/>
        <w:spacing w:line="360" w:lineRule="auto"/>
        <w:rPr>
          <w:rFonts w:hint="default"/>
          <w:color w:val="auto"/>
          <w:highlight w:val="none"/>
        </w:rPr>
      </w:pPr>
    </w:p>
    <w:p>
      <w:pPr>
        <w:pStyle w:val="20"/>
        <w:spacing w:line="360" w:lineRule="auto"/>
        <w:rPr>
          <w:rFonts w:hint="default"/>
          <w:color w:val="auto"/>
          <w:highlight w:val="none"/>
        </w:rPr>
      </w:pPr>
    </w:p>
    <w:p>
      <w:pPr>
        <w:pStyle w:val="20"/>
        <w:spacing w:line="360" w:lineRule="auto"/>
        <w:rPr>
          <w:rFonts w:hint="default"/>
          <w:color w:val="auto"/>
          <w:highlight w:val="none"/>
        </w:rPr>
      </w:pPr>
    </w:p>
    <w:p>
      <w:pPr>
        <w:pStyle w:val="20"/>
        <w:spacing w:line="360" w:lineRule="auto"/>
        <w:rPr>
          <w:rFonts w:hint="default"/>
          <w:color w:val="auto"/>
          <w:highlight w:val="none"/>
        </w:rPr>
      </w:pPr>
    </w:p>
    <w:p>
      <w:pPr>
        <w:pStyle w:val="20"/>
        <w:spacing w:line="360" w:lineRule="auto"/>
        <w:rPr>
          <w:rFonts w:hint="default"/>
          <w:color w:val="auto"/>
          <w:highlight w:val="none"/>
          <w:u w:val="single"/>
        </w:rPr>
      </w:pPr>
      <w:r>
        <w:rPr>
          <w:color w:val="auto"/>
          <w:highlight w:val="none"/>
        </w:rPr>
        <w:t>供应商（盖单位公章）：</w:t>
      </w:r>
    </w:p>
    <w:p>
      <w:pPr>
        <w:pStyle w:val="20"/>
        <w:spacing w:line="360" w:lineRule="auto"/>
        <w:rPr>
          <w:rFonts w:hint="default"/>
          <w:color w:val="auto"/>
          <w:highlight w:val="none"/>
          <w:u w:val="single"/>
        </w:rPr>
      </w:pPr>
      <w:r>
        <w:rPr>
          <w:color w:val="auto"/>
          <w:highlight w:val="none"/>
        </w:rPr>
        <w:t>法定代表人（负责人）或其委托代理人（签字或签章）：</w:t>
      </w:r>
    </w:p>
    <w:p>
      <w:pPr>
        <w:spacing w:line="360" w:lineRule="auto"/>
        <w:rPr>
          <w:color w:val="auto"/>
          <w:highlight w:val="none"/>
          <w:u w:val="single"/>
        </w:rPr>
      </w:pPr>
      <w:bookmarkStart w:id="29" w:name="_Toc316459124"/>
      <w:bookmarkStart w:id="30" w:name="_Toc263847726"/>
      <w:r>
        <w:rPr>
          <w:rFonts w:hint="eastAsia"/>
          <w:color w:val="auto"/>
          <w:highlight w:val="none"/>
        </w:rPr>
        <w:t>日期：</w:t>
      </w:r>
      <w:bookmarkEnd w:id="29"/>
      <w:bookmarkEnd w:id="30"/>
    </w:p>
    <w:p>
      <w:pPr>
        <w:spacing w:line="320" w:lineRule="exact"/>
        <w:ind w:left="944" w:hanging="944" w:hangingChars="448"/>
        <w:rPr>
          <w:b/>
          <w:bCs/>
          <w:color w:val="auto"/>
          <w:highlight w:val="none"/>
        </w:rPr>
      </w:pPr>
    </w:p>
    <w:p>
      <w:pPr>
        <w:spacing w:line="320" w:lineRule="exact"/>
        <w:ind w:left="944" w:hanging="944" w:hangingChars="448"/>
        <w:rPr>
          <w:b/>
          <w:bCs/>
          <w:color w:val="auto"/>
          <w:highlight w:val="none"/>
        </w:rPr>
      </w:pPr>
      <w:r>
        <w:rPr>
          <w:rFonts w:hint="eastAsia"/>
          <w:b/>
          <w:bCs/>
          <w:color w:val="auto"/>
          <w:highlight w:val="none"/>
        </w:rPr>
        <w:t>说明：</w:t>
      </w:r>
    </w:p>
    <w:p>
      <w:pPr>
        <w:pStyle w:val="20"/>
        <w:spacing w:line="320" w:lineRule="exact"/>
        <w:ind w:firstLine="400" w:firstLineChars="200"/>
        <w:jc w:val="left"/>
        <w:rPr>
          <w:rFonts w:hint="default"/>
          <w:color w:val="auto"/>
          <w:highlight w:val="none"/>
          <w:lang w:val="en-GB"/>
        </w:rPr>
      </w:pPr>
      <w:r>
        <w:rPr>
          <w:color w:val="auto"/>
          <w:highlight w:val="none"/>
          <w:lang w:val="en-GB"/>
        </w:rPr>
        <w:t>请按照“第三章项目需求”商务要求填写，如供应商完全响应，则请在“是否响应”栏内</w:t>
      </w:r>
      <w:r>
        <w:rPr>
          <w:rFonts w:hint="eastAsia"/>
          <w:color w:val="auto"/>
          <w:highlight w:val="none"/>
          <w:lang w:val="en-GB" w:eastAsia="zh-CN"/>
        </w:rPr>
        <w:t>说明偏离情况：无偏离、正</w:t>
      </w:r>
      <w:r>
        <w:rPr>
          <w:color w:val="auto"/>
          <w:highlight w:val="none"/>
          <w:lang w:val="en-GB"/>
        </w:rPr>
        <w:t>偏离</w:t>
      </w:r>
      <w:r>
        <w:rPr>
          <w:rFonts w:hint="eastAsia"/>
          <w:color w:val="auto"/>
          <w:highlight w:val="none"/>
          <w:lang w:val="en-GB" w:eastAsia="zh-CN"/>
        </w:rPr>
        <w:t>、负偏离</w:t>
      </w:r>
      <w:r>
        <w:rPr>
          <w:color w:val="auto"/>
          <w:highlight w:val="none"/>
          <w:lang w:val="en-GB"/>
        </w:rPr>
        <w:t>，请在</w:t>
      </w:r>
      <w:r>
        <w:rPr>
          <w:color w:val="auto"/>
          <w:highlight w:val="none"/>
        </w:rPr>
        <w:t>“偏离说明”</w:t>
      </w:r>
      <w:r>
        <w:rPr>
          <w:color w:val="auto"/>
          <w:highlight w:val="none"/>
          <w:lang w:val="en-GB"/>
        </w:rPr>
        <w:t>栏内扼要说明偏离情况。</w:t>
      </w:r>
    </w:p>
    <w:p>
      <w:pPr>
        <w:pStyle w:val="20"/>
        <w:spacing w:before="240" w:line="500" w:lineRule="atLeast"/>
        <w:jc w:val="center"/>
        <w:rPr>
          <w:rFonts w:hint="default"/>
          <w:b/>
          <w:color w:val="auto"/>
          <w:sz w:val="30"/>
          <w:highlight w:val="none"/>
          <w:lang w:val="en-GB"/>
        </w:rPr>
        <w:sectPr>
          <w:pgSz w:w="11906" w:h="16838"/>
          <w:pgMar w:top="1134"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pStyle w:val="20"/>
        <w:spacing w:before="240" w:line="500" w:lineRule="atLeast"/>
        <w:jc w:val="center"/>
        <w:rPr>
          <w:rFonts w:hint="default"/>
          <w:b/>
          <w:color w:val="auto"/>
          <w:sz w:val="30"/>
          <w:highlight w:val="none"/>
        </w:rPr>
      </w:pPr>
      <w:r>
        <w:rPr>
          <w:rFonts w:hint="eastAsia"/>
          <w:b/>
          <w:color w:val="auto"/>
          <w:sz w:val="30"/>
          <w:highlight w:val="none"/>
          <w:lang w:val="en-US" w:eastAsia="zh-CN"/>
        </w:rPr>
        <w:t>8</w:t>
      </w:r>
      <w:r>
        <w:rPr>
          <w:b/>
          <w:color w:val="auto"/>
          <w:sz w:val="30"/>
          <w:highlight w:val="none"/>
        </w:rPr>
        <w:t>、售后服务承诺书</w:t>
      </w:r>
    </w:p>
    <w:p>
      <w:pPr>
        <w:pStyle w:val="20"/>
        <w:spacing w:before="240" w:line="500" w:lineRule="atLeast"/>
        <w:jc w:val="center"/>
        <w:rPr>
          <w:rFonts w:hint="default"/>
          <w:b/>
          <w:color w:val="auto"/>
          <w:sz w:val="30"/>
          <w:highlight w:val="none"/>
        </w:rPr>
      </w:pPr>
      <w:r>
        <w:rPr>
          <w:b/>
          <w:color w:val="auto"/>
          <w:sz w:val="30"/>
          <w:highlight w:val="none"/>
        </w:rPr>
        <w:t>（由谈判供应商按《项目需求》及售后服务要求自行填写）；</w:t>
      </w:r>
    </w:p>
    <w:p>
      <w:pPr>
        <w:pStyle w:val="20"/>
        <w:spacing w:before="240" w:line="500" w:lineRule="atLeast"/>
        <w:jc w:val="center"/>
        <w:rPr>
          <w:rFonts w:hint="default"/>
          <w:b/>
          <w:color w:val="auto"/>
          <w:sz w:val="30"/>
          <w:highlight w:val="none"/>
        </w:rPr>
      </w:pPr>
    </w:p>
    <w:p>
      <w:pPr>
        <w:pStyle w:val="20"/>
        <w:spacing w:line="400" w:lineRule="exact"/>
        <w:rPr>
          <w:rFonts w:hint="default"/>
          <w:color w:val="auto"/>
          <w:highlight w:val="none"/>
        </w:rPr>
      </w:pPr>
    </w:p>
    <w:p>
      <w:pPr>
        <w:spacing w:line="480" w:lineRule="exact"/>
        <w:ind w:firstLine="480"/>
        <w:jc w:val="center"/>
        <w:rPr>
          <w:rFonts w:ascii="宋体" w:hAnsi="Courier New"/>
          <w:b/>
          <w:color w:val="auto"/>
          <w:sz w:val="30"/>
          <w:szCs w:val="20"/>
          <w:highlight w:val="none"/>
        </w:rPr>
      </w:pPr>
    </w:p>
    <w:p>
      <w:pPr>
        <w:spacing w:line="480" w:lineRule="exact"/>
        <w:ind w:firstLine="480"/>
        <w:jc w:val="center"/>
        <w:rPr>
          <w:rFonts w:ascii="宋体" w:hAnsi="Courier New"/>
          <w:b/>
          <w:color w:val="auto"/>
          <w:sz w:val="30"/>
          <w:szCs w:val="20"/>
          <w:highlight w:val="none"/>
        </w:rPr>
      </w:pPr>
    </w:p>
    <w:p>
      <w:pPr>
        <w:tabs>
          <w:tab w:val="left" w:pos="606"/>
        </w:tabs>
        <w:spacing w:line="480" w:lineRule="auto"/>
        <w:jc w:val="center"/>
        <w:rPr>
          <w:b/>
          <w:color w:val="auto"/>
          <w:sz w:val="28"/>
          <w:szCs w:val="28"/>
          <w:highlight w:val="none"/>
        </w:rPr>
      </w:pPr>
    </w:p>
    <w:p>
      <w:pPr>
        <w:tabs>
          <w:tab w:val="left" w:pos="606"/>
        </w:tabs>
        <w:spacing w:line="480" w:lineRule="auto"/>
        <w:jc w:val="center"/>
        <w:rPr>
          <w:b/>
          <w:color w:val="auto"/>
          <w:sz w:val="28"/>
          <w:szCs w:val="28"/>
          <w:highlight w:val="none"/>
        </w:rPr>
      </w:pPr>
    </w:p>
    <w:p>
      <w:pPr>
        <w:tabs>
          <w:tab w:val="left" w:pos="606"/>
        </w:tabs>
        <w:spacing w:line="480" w:lineRule="auto"/>
        <w:jc w:val="center"/>
        <w:rPr>
          <w:b/>
          <w:color w:val="auto"/>
          <w:sz w:val="32"/>
          <w:highlight w:val="none"/>
        </w:rPr>
      </w:pPr>
    </w:p>
    <w:p>
      <w:pPr>
        <w:tabs>
          <w:tab w:val="left" w:pos="606"/>
        </w:tabs>
        <w:spacing w:line="480" w:lineRule="auto"/>
        <w:jc w:val="center"/>
        <w:rPr>
          <w:b/>
          <w:color w:val="auto"/>
          <w:sz w:val="32"/>
          <w:highlight w:val="none"/>
        </w:rPr>
      </w:pPr>
    </w:p>
    <w:p>
      <w:pPr>
        <w:tabs>
          <w:tab w:val="left" w:pos="606"/>
        </w:tabs>
        <w:spacing w:line="480" w:lineRule="auto"/>
        <w:jc w:val="center"/>
        <w:rPr>
          <w:b/>
          <w:color w:val="auto"/>
          <w:sz w:val="32"/>
          <w:highlight w:val="none"/>
        </w:rPr>
      </w:pPr>
    </w:p>
    <w:p>
      <w:pPr>
        <w:tabs>
          <w:tab w:val="left" w:pos="606"/>
        </w:tabs>
        <w:spacing w:line="480" w:lineRule="auto"/>
        <w:jc w:val="center"/>
        <w:rPr>
          <w:b/>
          <w:color w:val="auto"/>
          <w:sz w:val="32"/>
          <w:highlight w:val="none"/>
        </w:rPr>
      </w:pPr>
    </w:p>
    <w:p>
      <w:pPr>
        <w:tabs>
          <w:tab w:val="left" w:pos="606"/>
        </w:tabs>
        <w:spacing w:line="480" w:lineRule="auto"/>
        <w:jc w:val="center"/>
        <w:rPr>
          <w:b/>
          <w:color w:val="auto"/>
          <w:sz w:val="28"/>
          <w:szCs w:val="28"/>
          <w:highlight w:val="none"/>
        </w:rPr>
      </w:pPr>
      <w:r>
        <w:rPr>
          <w:rFonts w:hint="eastAsia"/>
          <w:b/>
          <w:color w:val="auto"/>
          <w:sz w:val="32"/>
          <w:highlight w:val="none"/>
          <w:lang w:val="en-US" w:eastAsia="zh-CN"/>
        </w:rPr>
        <w:t>9</w:t>
      </w:r>
      <w:r>
        <w:rPr>
          <w:rFonts w:hint="eastAsia"/>
          <w:b/>
          <w:color w:val="auto"/>
          <w:sz w:val="32"/>
          <w:highlight w:val="none"/>
        </w:rPr>
        <w:t>、</w:t>
      </w:r>
      <w:r>
        <w:rPr>
          <w:rFonts w:hint="eastAsia"/>
          <w:b/>
          <w:color w:val="auto"/>
          <w:sz w:val="30"/>
          <w:szCs w:val="30"/>
          <w:highlight w:val="none"/>
        </w:rPr>
        <w:t>其他需要提供的资料</w:t>
      </w:r>
    </w:p>
    <w:p>
      <w:pPr>
        <w:pStyle w:val="20"/>
        <w:jc w:val="center"/>
        <w:rPr>
          <w:rFonts w:hint="default"/>
          <w:b/>
          <w:color w:val="auto"/>
          <w:sz w:val="32"/>
          <w:highlight w:val="none"/>
        </w:rPr>
      </w:pPr>
    </w:p>
    <w:p>
      <w:pPr>
        <w:pStyle w:val="20"/>
        <w:jc w:val="center"/>
        <w:rPr>
          <w:rFonts w:hint="default"/>
          <w:b/>
          <w:color w:val="auto"/>
          <w:sz w:val="32"/>
          <w:highlight w:val="none"/>
        </w:rPr>
      </w:pPr>
    </w:p>
    <w:p>
      <w:pPr>
        <w:pStyle w:val="20"/>
        <w:jc w:val="center"/>
        <w:rPr>
          <w:rFonts w:hint="default"/>
          <w:b/>
          <w:color w:val="auto"/>
          <w:sz w:val="32"/>
          <w:highlight w:val="none"/>
        </w:rPr>
      </w:pPr>
    </w:p>
    <w:p>
      <w:pPr>
        <w:pStyle w:val="20"/>
        <w:jc w:val="center"/>
        <w:rPr>
          <w:rStyle w:val="121"/>
          <w:rFonts w:hint="default"/>
          <w:color w:val="auto"/>
          <w:sz w:val="36"/>
          <w:szCs w:val="36"/>
          <w:highlight w:val="none"/>
        </w:rPr>
        <w:sectPr>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r>
        <w:rPr>
          <w:rFonts w:ascii="隶书" w:eastAsia="隶书"/>
          <w:b/>
          <w:bCs/>
          <w:color w:val="auto"/>
          <w:sz w:val="44"/>
          <w:highlight w:val="none"/>
        </w:rPr>
        <w:br w:type="page"/>
      </w:r>
    </w:p>
    <w:p>
      <w:pPr>
        <w:pStyle w:val="20"/>
        <w:rPr>
          <w:rStyle w:val="121"/>
          <w:rFonts w:hint="default" w:ascii="宋体" w:hAnsi="Courier New"/>
          <w:bCs w:val="0"/>
          <w:color w:val="auto"/>
          <w:kern w:val="2"/>
          <w:sz w:val="32"/>
          <w:szCs w:val="32"/>
          <w:highlight w:val="none"/>
        </w:rPr>
      </w:pPr>
      <w:bookmarkStart w:id="31" w:name="_Toc536199440"/>
      <w:bookmarkStart w:id="32" w:name="_Toc518983403"/>
      <w:bookmarkStart w:id="33" w:name="_Toc1719473"/>
      <w:bookmarkStart w:id="34" w:name="_Toc10529"/>
      <w:bookmarkStart w:id="35" w:name="_Toc11473"/>
      <w:r>
        <w:rPr>
          <w:rStyle w:val="121"/>
          <w:rFonts w:ascii="宋体" w:hAnsi="Courier New"/>
          <w:bCs w:val="0"/>
          <w:color w:val="auto"/>
          <w:kern w:val="2"/>
          <w:sz w:val="32"/>
          <w:szCs w:val="32"/>
          <w:highlight w:val="none"/>
        </w:rPr>
        <w:t>附：</w:t>
      </w:r>
      <w:bookmarkEnd w:id="31"/>
      <w:bookmarkEnd w:id="32"/>
      <w:bookmarkEnd w:id="33"/>
    </w:p>
    <w:bookmarkEnd w:id="34"/>
    <w:bookmarkEnd w:id="35"/>
    <w:p>
      <w:pPr>
        <w:pStyle w:val="20"/>
        <w:rPr>
          <w:rStyle w:val="121"/>
          <w:rFonts w:hint="default" w:ascii="宋体" w:hAnsi="Courier New"/>
          <w:b w:val="0"/>
          <w:bCs w:val="0"/>
          <w:color w:val="auto"/>
          <w:kern w:val="2"/>
          <w:sz w:val="21"/>
          <w:szCs w:val="30"/>
          <w:highlight w:val="none"/>
        </w:rPr>
      </w:pPr>
    </w:p>
    <w:p>
      <w:pPr>
        <w:pStyle w:val="20"/>
        <w:rPr>
          <w:rStyle w:val="121"/>
          <w:rFonts w:hint="default" w:ascii="宋体" w:hAnsi="Courier New"/>
          <w:b w:val="0"/>
          <w:bCs w:val="0"/>
          <w:color w:val="auto"/>
          <w:kern w:val="2"/>
          <w:sz w:val="21"/>
          <w:szCs w:val="30"/>
          <w:highlight w:val="none"/>
        </w:rPr>
      </w:pPr>
    </w:p>
    <w:p>
      <w:pPr>
        <w:spacing w:before="240"/>
        <w:ind w:right="175"/>
        <w:jc w:val="center"/>
        <w:rPr>
          <w:color w:val="auto"/>
          <w:sz w:val="28"/>
          <w:highlight w:val="none"/>
        </w:rPr>
      </w:pPr>
      <w:r>
        <w:rPr>
          <w:color w:val="auto"/>
          <w:sz w:val="28"/>
          <w:highlight w:val="none"/>
        </w:rPr>
        <w:t>《中小企业声明函》格式</w:t>
      </w:r>
    </w:p>
    <w:p>
      <w:pPr>
        <w:spacing w:before="79"/>
        <w:ind w:right="181"/>
        <w:jc w:val="center"/>
        <w:rPr>
          <w:color w:val="auto"/>
          <w:sz w:val="24"/>
          <w:highlight w:val="none"/>
        </w:rPr>
      </w:pPr>
      <w:r>
        <w:rPr>
          <w:color w:val="auto"/>
          <w:sz w:val="24"/>
          <w:highlight w:val="none"/>
        </w:rPr>
        <w:t>（不符合《政府采购促进中小企业发展暂行办法》的供应商不需填写）</w:t>
      </w:r>
    </w:p>
    <w:p>
      <w:pPr>
        <w:pStyle w:val="8"/>
        <w:spacing w:before="138"/>
        <w:ind w:left="531" w:right="231"/>
        <w:jc w:val="center"/>
        <w:rPr>
          <w:color w:val="auto"/>
          <w:highlight w:val="none"/>
        </w:rPr>
      </w:pPr>
      <w:r>
        <w:rPr>
          <w:color w:val="auto"/>
          <w:highlight w:val="none"/>
        </w:rPr>
        <w:t>中小企业声明函（如有时）</w:t>
      </w:r>
    </w:p>
    <w:p>
      <w:pPr>
        <w:spacing w:before="222" w:line="386" w:lineRule="auto"/>
        <w:ind w:left="227" w:right="285" w:firstLine="600"/>
        <w:jc w:val="left"/>
        <w:rPr>
          <w:color w:val="auto"/>
          <w:sz w:val="24"/>
          <w:highlight w:val="none"/>
        </w:rPr>
      </w:pPr>
      <w:r>
        <w:rPr>
          <w:color w:val="auto"/>
          <w:spacing w:val="-13"/>
          <w:sz w:val="24"/>
          <w:highlight w:val="none"/>
        </w:rPr>
        <w:t>本公司郑重声明，根据《政府采购促进中小企业发展管理办法</w:t>
      </w:r>
      <w:r>
        <w:rPr>
          <w:color w:val="auto"/>
          <w:spacing w:val="-154"/>
          <w:sz w:val="24"/>
          <w:highlight w:val="none"/>
        </w:rPr>
        <w:t>》</w:t>
      </w:r>
      <w:r>
        <w:rPr>
          <w:color w:val="auto"/>
          <w:sz w:val="24"/>
          <w:highlight w:val="none"/>
        </w:rPr>
        <w:t>（财库﹝2020﹞46 号</w:t>
      </w:r>
      <w:r>
        <w:rPr>
          <w:color w:val="auto"/>
          <w:spacing w:val="-15"/>
          <w:sz w:val="24"/>
          <w:highlight w:val="none"/>
        </w:rPr>
        <w:t xml:space="preserve">） </w:t>
      </w:r>
      <w:r>
        <w:rPr>
          <w:color w:val="auto"/>
          <w:sz w:val="24"/>
          <w:highlight w:val="none"/>
        </w:rPr>
        <w:t>的规定，本公司参加</w:t>
      </w:r>
      <w:r>
        <w:rPr>
          <w:color w:val="auto"/>
          <w:sz w:val="24"/>
          <w:highlight w:val="none"/>
          <w:u w:val="single"/>
        </w:rPr>
        <w:t>（采购单位名称）</w:t>
      </w:r>
      <w:r>
        <w:rPr>
          <w:color w:val="auto"/>
          <w:sz w:val="24"/>
          <w:highlight w:val="none"/>
        </w:rPr>
        <w:t>的</w:t>
      </w:r>
      <w:r>
        <w:rPr>
          <w:color w:val="auto"/>
          <w:sz w:val="24"/>
          <w:highlight w:val="none"/>
          <w:u w:val="single"/>
        </w:rPr>
        <w:t>（项目名称）</w:t>
      </w:r>
      <w:r>
        <w:rPr>
          <w:color w:val="auto"/>
          <w:sz w:val="24"/>
          <w:highlight w:val="none"/>
        </w:rPr>
        <w:t>采购活动，提供的货物全部由符合政策要求的中小企业制造。相关企业的具体情况如下：</w:t>
      </w:r>
    </w:p>
    <w:p>
      <w:pPr>
        <w:numPr>
          <w:ilvl w:val="2"/>
          <w:numId w:val="17"/>
        </w:numPr>
        <w:tabs>
          <w:tab w:val="left" w:pos="1188"/>
          <w:tab w:val="left" w:pos="2507"/>
          <w:tab w:val="left" w:pos="5267"/>
        </w:tabs>
        <w:spacing w:before="3" w:line="388" w:lineRule="auto"/>
        <w:ind w:left="227" w:right="457" w:firstLine="600"/>
        <w:jc w:val="left"/>
        <w:rPr>
          <w:color w:val="auto"/>
          <w:sz w:val="24"/>
          <w:highlight w:val="none"/>
        </w:rPr>
      </w:pPr>
      <w:r>
        <w:rPr>
          <w:rFonts w:hint="eastAsia"/>
          <w:color w:val="auto"/>
          <w:sz w:val="24"/>
          <w:highlight w:val="none"/>
          <w:u w:val="single"/>
        </w:rPr>
        <w:t>（标的名称）</w:t>
      </w:r>
      <w:r>
        <w:rPr>
          <w:color w:val="auto"/>
          <w:sz w:val="24"/>
          <w:highlight w:val="none"/>
        </w:rPr>
        <w:t>，属于</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谈判文件中明确的所属行业</w:t>
      </w:r>
      <w:r>
        <w:rPr>
          <w:color w:val="auto"/>
          <w:sz w:val="24"/>
          <w:highlight w:val="none"/>
          <w:u w:val="single"/>
        </w:rPr>
        <w:t>）</w:t>
      </w:r>
      <w:r>
        <w:rPr>
          <w:rFonts w:hint="eastAsia"/>
          <w:color w:val="auto"/>
          <w:sz w:val="24"/>
          <w:highlight w:val="none"/>
          <w:u w:val="single"/>
        </w:rPr>
        <w:t xml:space="preserve"> </w:t>
      </w:r>
      <w:r>
        <w:rPr>
          <w:color w:val="auto"/>
          <w:sz w:val="24"/>
          <w:highlight w:val="none"/>
        </w:rPr>
        <w:t>；制造商为</w:t>
      </w:r>
      <w:r>
        <w:rPr>
          <w:color w:val="auto"/>
          <w:sz w:val="24"/>
          <w:highlight w:val="none"/>
          <w:u w:val="single"/>
        </w:rPr>
        <w:t>（企业名称）</w:t>
      </w:r>
      <w:r>
        <w:rPr>
          <w:color w:val="auto"/>
          <w:sz w:val="24"/>
          <w:highlight w:val="none"/>
        </w:rPr>
        <w:t>，从业人</w:t>
      </w:r>
      <w:r>
        <w:rPr>
          <w:color w:val="auto"/>
          <w:spacing w:val="-18"/>
          <w:sz w:val="24"/>
          <w:highlight w:val="none"/>
        </w:rPr>
        <w:t>员</w:t>
      </w:r>
      <w:r>
        <w:rPr>
          <w:rFonts w:hint="eastAsia"/>
          <w:color w:val="auto"/>
          <w:spacing w:val="-18"/>
          <w:sz w:val="24"/>
          <w:highlight w:val="none"/>
          <w:u w:val="single"/>
        </w:rPr>
        <w:t xml:space="preserve">        </w:t>
      </w:r>
      <w:r>
        <w:rPr>
          <w:color w:val="auto"/>
          <w:sz w:val="24"/>
          <w:highlight w:val="none"/>
        </w:rPr>
        <w:t>人，营业</w:t>
      </w:r>
      <w:r>
        <w:rPr>
          <w:rFonts w:hint="eastAsia"/>
          <w:color w:val="auto"/>
          <w:sz w:val="24"/>
          <w:highlight w:val="none"/>
        </w:rPr>
        <w:t>收</w:t>
      </w:r>
      <w:r>
        <w:rPr>
          <w:color w:val="auto"/>
          <w:sz w:val="24"/>
          <w:highlight w:val="none"/>
        </w:rPr>
        <w:t>入为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万元，资产总额为</w:t>
      </w:r>
      <w:r>
        <w:rPr>
          <w:color w:val="auto"/>
          <w:sz w:val="24"/>
          <w:highlight w:val="none"/>
          <w:u w:val="single"/>
        </w:rPr>
        <w:t xml:space="preserve"> </w:t>
      </w:r>
      <w:r>
        <w:rPr>
          <w:color w:val="auto"/>
          <w:sz w:val="24"/>
          <w:highlight w:val="none"/>
          <w:u w:val="single"/>
        </w:rPr>
        <w:tab/>
      </w:r>
      <w:r>
        <w:rPr>
          <w:rFonts w:hint="eastAsia"/>
          <w:color w:val="auto"/>
          <w:sz w:val="24"/>
          <w:highlight w:val="none"/>
          <w:u w:val="single"/>
        </w:rPr>
        <w:t xml:space="preserve">  </w:t>
      </w:r>
      <w:r>
        <w:rPr>
          <w:color w:val="auto"/>
          <w:sz w:val="24"/>
          <w:highlight w:val="none"/>
        </w:rPr>
        <w:t>万元，属于</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（中型企业、小型企业、微</w:t>
      </w:r>
      <w:r>
        <w:rPr>
          <w:color w:val="auto"/>
          <w:spacing w:val="-18"/>
          <w:sz w:val="24"/>
          <w:highlight w:val="none"/>
          <w:u w:val="single"/>
        </w:rPr>
        <w:t>型</w:t>
      </w:r>
      <w:r>
        <w:rPr>
          <w:color w:val="auto"/>
          <w:sz w:val="24"/>
          <w:highlight w:val="none"/>
          <w:u w:val="single"/>
        </w:rPr>
        <w:t>企业）</w:t>
      </w:r>
      <w:r>
        <w:rPr>
          <w:color w:val="auto"/>
          <w:sz w:val="24"/>
          <w:highlight w:val="none"/>
        </w:rPr>
        <w:t>。</w:t>
      </w:r>
    </w:p>
    <w:p>
      <w:pPr>
        <w:pStyle w:val="25"/>
        <w:spacing w:line="48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p>
    <w:p>
      <w:pPr>
        <w:pStyle w:val="25"/>
        <w:rPr>
          <w:color w:val="auto"/>
          <w:highlight w:val="none"/>
        </w:rPr>
      </w:pPr>
    </w:p>
    <w:p>
      <w:pPr>
        <w:spacing w:before="2" w:line="388" w:lineRule="auto"/>
        <w:ind w:left="227" w:right="405" w:firstLine="600"/>
        <w:rPr>
          <w:color w:val="auto"/>
          <w:sz w:val="24"/>
          <w:highlight w:val="none"/>
        </w:rPr>
      </w:pPr>
      <w:r>
        <w:rPr>
          <w:color w:val="auto"/>
          <w:spacing w:val="-9"/>
          <w:sz w:val="24"/>
          <w:highlight w:val="none"/>
        </w:rPr>
        <w:t>以上企业，不属于大企业的分支机构，不存在控股股东为大企业的情形，也不存在与</w:t>
      </w:r>
      <w:r>
        <w:rPr>
          <w:color w:val="auto"/>
          <w:sz w:val="24"/>
          <w:highlight w:val="none"/>
        </w:rPr>
        <w:t>大企业的负责人为同一人的情形。</w:t>
      </w:r>
    </w:p>
    <w:p>
      <w:pPr>
        <w:spacing w:before="31"/>
        <w:ind w:left="765"/>
        <w:rPr>
          <w:color w:val="auto"/>
          <w:sz w:val="24"/>
          <w:highlight w:val="none"/>
        </w:rPr>
      </w:pPr>
      <w:r>
        <w:rPr>
          <w:color w:val="auto"/>
          <w:sz w:val="24"/>
          <w:highlight w:val="none"/>
        </w:rPr>
        <w:t>本企业对上述声明内容的真实性负责。如有虚假，将依法承担相应责任。</w:t>
      </w:r>
    </w:p>
    <w:p>
      <w:pPr>
        <w:pStyle w:val="13"/>
        <w:rPr>
          <w:color w:val="auto"/>
          <w:sz w:val="24"/>
          <w:highlight w:val="none"/>
        </w:rPr>
      </w:pPr>
    </w:p>
    <w:p>
      <w:pPr>
        <w:pStyle w:val="13"/>
        <w:spacing w:before="10"/>
        <w:rPr>
          <w:color w:val="auto"/>
          <w:sz w:val="23"/>
          <w:highlight w:val="none"/>
        </w:rPr>
      </w:pPr>
    </w:p>
    <w:p>
      <w:pPr>
        <w:tabs>
          <w:tab w:val="left" w:pos="5087"/>
        </w:tabs>
        <w:spacing w:line="360" w:lineRule="auto"/>
        <w:ind w:left="4367" w:right="3517"/>
        <w:jc w:val="left"/>
        <w:rPr>
          <w:color w:val="auto"/>
          <w:sz w:val="24"/>
          <w:highlight w:val="none"/>
        </w:rPr>
      </w:pPr>
      <w:r>
        <w:rPr>
          <w:color w:val="auto"/>
          <w:sz w:val="24"/>
          <w:highlight w:val="none"/>
        </w:rPr>
        <w:t>企业名称（盖章</w:t>
      </w:r>
      <w:r>
        <w:rPr>
          <w:color w:val="auto"/>
          <w:spacing w:val="-9"/>
          <w:sz w:val="24"/>
          <w:highlight w:val="none"/>
        </w:rPr>
        <w:t xml:space="preserve">）： </w:t>
      </w:r>
      <w:r>
        <w:rPr>
          <w:color w:val="auto"/>
          <w:sz w:val="24"/>
          <w:highlight w:val="none"/>
        </w:rPr>
        <w:t>日</w:t>
      </w:r>
      <w:r>
        <w:rPr>
          <w:color w:val="auto"/>
          <w:sz w:val="24"/>
          <w:highlight w:val="none"/>
        </w:rPr>
        <w:tab/>
      </w:r>
      <w:r>
        <w:rPr>
          <w:color w:val="auto"/>
          <w:sz w:val="24"/>
          <w:highlight w:val="none"/>
        </w:rPr>
        <w:t>期：</w:t>
      </w:r>
    </w:p>
    <w:p>
      <w:pPr>
        <w:pStyle w:val="13"/>
        <w:rPr>
          <w:color w:val="auto"/>
          <w:sz w:val="24"/>
          <w:highlight w:val="none"/>
        </w:rPr>
      </w:pPr>
    </w:p>
    <w:p>
      <w:pPr>
        <w:pStyle w:val="13"/>
        <w:rPr>
          <w:color w:val="auto"/>
          <w:sz w:val="24"/>
          <w:highlight w:val="none"/>
        </w:rPr>
      </w:pPr>
    </w:p>
    <w:p>
      <w:pPr>
        <w:spacing w:before="163"/>
        <w:ind w:right="108"/>
        <w:jc w:val="center"/>
        <w:rPr>
          <w:b/>
          <w:color w:val="auto"/>
          <w:highlight w:val="none"/>
        </w:rPr>
      </w:pPr>
      <w:r>
        <w:rPr>
          <w:b/>
          <w:color w:val="auto"/>
          <w:highlight w:val="none"/>
        </w:rPr>
        <w:t>注：从业人员、营业收入、资产总额填报上一年度数据，无上一年度数据的新成立企业可不填报。</w:t>
      </w:r>
    </w:p>
    <w:p>
      <w:pPr>
        <w:rPr>
          <w:rFonts w:asciiTheme="minorEastAsia" w:hAnsiTheme="minorEastAsia" w:eastAsiaTheme="minorEastAsia"/>
          <w:b/>
          <w:color w:val="auto"/>
          <w:spacing w:val="6"/>
          <w:sz w:val="28"/>
          <w:szCs w:val="28"/>
          <w:highlight w:val="none"/>
        </w:rPr>
      </w:pPr>
      <w:r>
        <w:rPr>
          <w:rFonts w:hint="eastAsia" w:asciiTheme="minorEastAsia" w:hAnsiTheme="minorEastAsia" w:eastAsiaTheme="minorEastAsia"/>
          <w:b/>
          <w:color w:val="auto"/>
          <w:spacing w:val="6"/>
          <w:sz w:val="28"/>
          <w:szCs w:val="28"/>
          <w:highlight w:val="none"/>
        </w:rPr>
        <w:br w:type="page"/>
      </w:r>
    </w:p>
    <w:p>
      <w:pPr>
        <w:spacing w:line="588" w:lineRule="exact"/>
        <w:jc w:val="center"/>
        <w:rPr>
          <w:rFonts w:asciiTheme="minorEastAsia" w:hAnsiTheme="minorEastAsia" w:eastAsiaTheme="minorEastAsia"/>
          <w:b/>
          <w:color w:val="auto"/>
          <w:spacing w:val="6"/>
          <w:sz w:val="28"/>
          <w:szCs w:val="28"/>
          <w:highlight w:val="none"/>
        </w:rPr>
      </w:pPr>
      <w:r>
        <w:rPr>
          <w:rFonts w:hint="eastAsia" w:asciiTheme="minorEastAsia" w:hAnsiTheme="minorEastAsia" w:eastAsiaTheme="minorEastAsia"/>
          <w:b/>
          <w:color w:val="auto"/>
          <w:spacing w:val="6"/>
          <w:sz w:val="28"/>
          <w:szCs w:val="28"/>
          <w:highlight w:val="none"/>
        </w:rPr>
        <w:t>残疾人福利性单位声明函（格式，残疾人福利性单位适用）</w:t>
      </w:r>
    </w:p>
    <w:p>
      <w:pPr>
        <w:spacing w:line="588" w:lineRule="exact"/>
        <w:jc w:val="center"/>
        <w:rPr>
          <w:rFonts w:asciiTheme="minorEastAsia" w:hAnsiTheme="minorEastAsia" w:eastAsiaTheme="minorEastAsia"/>
          <w:b/>
          <w:color w:val="auto"/>
          <w:spacing w:val="6"/>
          <w:sz w:val="28"/>
          <w:szCs w:val="28"/>
          <w:highlight w:val="none"/>
        </w:rPr>
      </w:pPr>
    </w:p>
    <w:p>
      <w:pPr>
        <w:spacing w:line="588"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szCs w:val="21"/>
          <w:highlight w:val="none"/>
        </w:rPr>
        <w:t>〔2017〕 141</w:t>
      </w:r>
      <w:r>
        <w:rPr>
          <w:rFonts w:hint="eastAsia" w:asciiTheme="minorEastAsia" w:hAnsiTheme="minorEastAsia" w:eastAsiaTheme="minorEastAsia"/>
          <w:color w:val="auto"/>
          <w:spacing w:val="6"/>
          <w:szCs w:val="21"/>
          <w:highlight w:val="none"/>
        </w:rPr>
        <w:t>号）的规定，本单位为符合条件的残疾人福利性单位，且本单位参加</w:t>
      </w:r>
      <w:r>
        <w:rPr>
          <w:rFonts w:hint="eastAsia" w:asciiTheme="minorEastAsia" w:hAnsiTheme="minorEastAsia" w:eastAsiaTheme="minorEastAsia"/>
          <w:color w:val="auto"/>
          <w:spacing w:val="6"/>
          <w:szCs w:val="21"/>
          <w:highlight w:val="none"/>
          <w:u w:val="single"/>
        </w:rPr>
        <w:t>______</w:t>
      </w:r>
      <w:r>
        <w:rPr>
          <w:rFonts w:hint="eastAsia" w:asciiTheme="minorEastAsia" w:hAnsiTheme="minorEastAsia" w:eastAsiaTheme="minorEastAsia"/>
          <w:color w:val="auto"/>
          <w:spacing w:val="6"/>
          <w:szCs w:val="21"/>
          <w:highlight w:val="none"/>
        </w:rPr>
        <w:t>单位的</w:t>
      </w:r>
      <w:r>
        <w:rPr>
          <w:rFonts w:hint="eastAsia" w:asciiTheme="minorEastAsia" w:hAnsiTheme="minorEastAsia" w:eastAsiaTheme="minorEastAsia"/>
          <w:color w:val="auto"/>
          <w:spacing w:val="6"/>
          <w:szCs w:val="21"/>
          <w:highlight w:val="none"/>
          <w:u w:val="single"/>
        </w:rPr>
        <w:t>______</w:t>
      </w:r>
      <w:r>
        <w:rPr>
          <w:rFonts w:hint="eastAsia" w:asciiTheme="minorEastAsia" w:hAnsiTheme="minorEastAsia" w:eastAsiaTheme="minorEastAsia"/>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本单位对上述声明的真实性负责。如有虚假，将依法承担相应责任。</w:t>
      </w:r>
    </w:p>
    <w:p>
      <w:pPr>
        <w:spacing w:line="588" w:lineRule="exact"/>
        <w:ind w:firstLine="444" w:firstLineChars="200"/>
        <w:rPr>
          <w:rFonts w:asciiTheme="minorEastAsia" w:hAnsiTheme="minorEastAsia" w:eastAsiaTheme="minorEastAsia"/>
          <w:color w:val="auto"/>
          <w:spacing w:val="6"/>
          <w:szCs w:val="21"/>
          <w:highlight w:val="none"/>
        </w:rPr>
      </w:pPr>
    </w:p>
    <w:p>
      <w:pPr>
        <w:spacing w:line="588" w:lineRule="exact"/>
        <w:ind w:firstLine="444" w:firstLineChars="200"/>
        <w:rPr>
          <w:rFonts w:asciiTheme="minorEastAsia" w:hAnsiTheme="minorEastAsia" w:eastAsiaTheme="minorEastAsia"/>
          <w:color w:val="auto"/>
          <w:spacing w:val="6"/>
          <w:szCs w:val="21"/>
          <w:highlight w:val="none"/>
        </w:rPr>
      </w:pPr>
    </w:p>
    <w:p>
      <w:pPr>
        <w:tabs>
          <w:tab w:val="left" w:pos="4860"/>
        </w:tabs>
        <w:spacing w:line="588" w:lineRule="exact"/>
        <w:ind w:right="1560" w:firstLine="4819" w:firstLineChars="2171"/>
        <w:jc w:val="left"/>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单位名称（盖章）：</w:t>
      </w:r>
    </w:p>
    <w:p>
      <w:pPr>
        <w:pStyle w:val="20"/>
        <w:ind w:firstLine="4602" w:firstLineChars="2171"/>
        <w:rPr>
          <w:rFonts w:hint="default" w:asciiTheme="minorEastAsia" w:hAnsiTheme="minorEastAsia" w:eastAsiaTheme="minorEastAsia"/>
          <w:color w:val="auto"/>
          <w:spacing w:val="6"/>
          <w:highlight w:val="none"/>
        </w:rPr>
      </w:pPr>
      <w:r>
        <w:rPr>
          <w:rFonts w:asciiTheme="minorEastAsia" w:hAnsiTheme="minorEastAsia" w:eastAsiaTheme="minorEastAsia"/>
          <w:color w:val="auto"/>
          <w:spacing w:val="6"/>
          <w:highlight w:val="none"/>
        </w:rPr>
        <w:t>日  期：</w:t>
      </w:r>
    </w:p>
    <w:p>
      <w:pPr>
        <w:pStyle w:val="20"/>
        <w:ind w:firstLine="4602" w:firstLineChars="2171"/>
        <w:rPr>
          <w:rFonts w:hint="default" w:asciiTheme="minorEastAsia" w:hAnsiTheme="minorEastAsia" w:eastAsiaTheme="minorEastAsia"/>
          <w:color w:val="auto"/>
          <w:spacing w:val="6"/>
          <w:highlight w:val="none"/>
        </w:rPr>
      </w:pPr>
    </w:p>
    <w:p>
      <w:pPr>
        <w:pStyle w:val="20"/>
        <w:ind w:firstLine="4602" w:firstLineChars="2171"/>
        <w:rPr>
          <w:rFonts w:hint="default" w:asciiTheme="minorEastAsia" w:hAnsiTheme="minorEastAsia" w:eastAsiaTheme="minorEastAsia"/>
          <w:color w:val="auto"/>
          <w:spacing w:val="6"/>
          <w:highlight w:val="none"/>
        </w:rPr>
      </w:pPr>
    </w:p>
    <w:p>
      <w:pPr>
        <w:pStyle w:val="20"/>
        <w:ind w:firstLine="4602" w:firstLineChars="2171"/>
        <w:rPr>
          <w:rFonts w:hint="default" w:asciiTheme="minorEastAsia" w:hAnsiTheme="minorEastAsia" w:eastAsiaTheme="minorEastAsia"/>
          <w:color w:val="auto"/>
          <w:spacing w:val="6"/>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备注：1、请供应商根据自己的真实情况出具本声明函，供应商不属于残疾人福利性单位的，不用提供。</w:t>
      </w:r>
    </w:p>
    <w:p>
      <w:pPr>
        <w:pStyle w:val="20"/>
        <w:rPr>
          <w:rFonts w:hint="default" w:asciiTheme="minorEastAsia" w:hAnsiTheme="minorEastAsia" w:eastAsiaTheme="minorEastAsia"/>
          <w:color w:val="auto"/>
          <w:spacing w:val="6"/>
          <w:highlight w:val="none"/>
        </w:rPr>
      </w:pPr>
      <w:r>
        <w:rPr>
          <w:rFonts w:hAnsi="宋体"/>
          <w:color w:val="auto"/>
          <w:highlight w:val="none"/>
        </w:rPr>
        <w:t xml:space="preserve">          2、供应商应对此声明函的真实性负责。</w:t>
      </w:r>
    </w:p>
    <w:p>
      <w:pPr>
        <w:pStyle w:val="20"/>
        <w:ind w:firstLine="6538" w:firstLineChars="2171"/>
        <w:rPr>
          <w:rStyle w:val="121"/>
          <w:rFonts w:hint="default"/>
          <w:color w:val="auto"/>
          <w:sz w:val="30"/>
          <w:szCs w:val="30"/>
          <w:highlight w:val="none"/>
        </w:rPr>
      </w:pPr>
    </w:p>
    <w:p>
      <w:pPr>
        <w:pStyle w:val="20"/>
        <w:rPr>
          <w:rFonts w:hint="default" w:asciiTheme="minorEastAsia" w:hAnsiTheme="minorEastAsia" w:eastAsiaTheme="minorEastAsia"/>
          <w:color w:val="auto"/>
          <w:spacing w:val="6"/>
          <w:highlight w:val="none"/>
        </w:rPr>
      </w:pPr>
    </w:p>
    <w:p>
      <w:pPr>
        <w:pStyle w:val="20"/>
        <w:ind w:firstLine="6538" w:firstLineChars="2171"/>
        <w:rPr>
          <w:rStyle w:val="121"/>
          <w:rFonts w:hint="default"/>
          <w:color w:val="auto"/>
          <w:sz w:val="30"/>
          <w:szCs w:val="30"/>
          <w:highlight w:val="none"/>
        </w:rPr>
      </w:pPr>
    </w:p>
    <w:p>
      <w:pPr>
        <w:pStyle w:val="20"/>
        <w:jc w:val="left"/>
        <w:outlineLvl w:val="9"/>
        <w:rPr>
          <w:rStyle w:val="121"/>
          <w:rFonts w:hint="default"/>
          <w:color w:val="auto"/>
          <w:sz w:val="30"/>
          <w:szCs w:val="30"/>
          <w:highlight w:val="none"/>
        </w:rPr>
        <w:sectPr>
          <w:footerReference r:id="rId15" w:type="first"/>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pStyle w:val="20"/>
        <w:jc w:val="center"/>
        <w:outlineLvl w:val="0"/>
        <w:rPr>
          <w:rFonts w:hint="default"/>
          <w:b/>
          <w:bCs/>
          <w:color w:val="auto"/>
          <w:sz w:val="36"/>
          <w:szCs w:val="36"/>
          <w:highlight w:val="none"/>
        </w:rPr>
      </w:pPr>
      <w:bookmarkStart w:id="36" w:name="_Toc1719474"/>
      <w:bookmarkStart w:id="37" w:name="_Toc22242"/>
      <w:r>
        <w:rPr>
          <w:rStyle w:val="121"/>
          <w:color w:val="auto"/>
          <w:sz w:val="36"/>
          <w:szCs w:val="36"/>
          <w:highlight w:val="none"/>
        </w:rPr>
        <w:t>第六章 成交评审方法</w:t>
      </w:r>
      <w:bookmarkEnd w:id="36"/>
      <w:bookmarkEnd w:id="37"/>
    </w:p>
    <w:p>
      <w:pPr>
        <w:pStyle w:val="20"/>
        <w:spacing w:line="360" w:lineRule="auto"/>
        <w:rPr>
          <w:rFonts w:hint="default" w:hAnsi="宋体"/>
          <w:b/>
          <w:bCs/>
          <w:color w:val="auto"/>
          <w:sz w:val="24"/>
          <w:szCs w:val="24"/>
          <w:highlight w:val="none"/>
        </w:rPr>
      </w:pPr>
      <w:r>
        <w:rPr>
          <w:rFonts w:hAnsi="宋体"/>
          <w:b/>
          <w:bCs/>
          <w:color w:val="auto"/>
          <w:highlight w:val="none"/>
        </w:rPr>
        <w:t>一</w:t>
      </w:r>
      <w:r>
        <w:rPr>
          <w:rFonts w:hAnsi="宋体"/>
          <w:b/>
          <w:bCs/>
          <w:color w:val="auto"/>
          <w:sz w:val="24"/>
          <w:szCs w:val="24"/>
          <w:highlight w:val="none"/>
        </w:rPr>
        <w:t>、评审原则</w:t>
      </w:r>
    </w:p>
    <w:p>
      <w:pPr>
        <w:pStyle w:val="20"/>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（一） 谈判小组构成：采购人代表1人，评审专家2人，</w:t>
      </w:r>
      <w:r>
        <w:rPr>
          <w:rFonts w:hAnsi="宋体"/>
          <w:color w:val="auto"/>
          <w:spacing w:val="-1"/>
          <w:sz w:val="24"/>
          <w:szCs w:val="24"/>
          <w:highlight w:val="none"/>
        </w:rPr>
        <w:t>评</w:t>
      </w:r>
      <w:r>
        <w:rPr>
          <w:rFonts w:hAnsi="宋体"/>
          <w:color w:val="auto"/>
          <w:spacing w:val="2"/>
          <w:sz w:val="24"/>
          <w:szCs w:val="24"/>
          <w:highlight w:val="none"/>
        </w:rPr>
        <w:t>审</w:t>
      </w:r>
      <w:r>
        <w:rPr>
          <w:rFonts w:hAnsi="宋体"/>
          <w:color w:val="auto"/>
          <w:spacing w:val="-1"/>
          <w:sz w:val="24"/>
          <w:szCs w:val="24"/>
          <w:highlight w:val="none"/>
        </w:rPr>
        <w:t>专</w:t>
      </w:r>
      <w:r>
        <w:rPr>
          <w:rFonts w:hAnsi="宋体"/>
          <w:color w:val="auto"/>
          <w:spacing w:val="2"/>
          <w:sz w:val="24"/>
          <w:szCs w:val="24"/>
          <w:highlight w:val="none"/>
        </w:rPr>
        <w:t>家</w:t>
      </w:r>
      <w:r>
        <w:rPr>
          <w:rFonts w:hAnsi="宋体"/>
          <w:color w:val="auto"/>
          <w:spacing w:val="-1"/>
          <w:sz w:val="24"/>
          <w:szCs w:val="24"/>
          <w:highlight w:val="none"/>
        </w:rPr>
        <w:t>确</w:t>
      </w:r>
      <w:r>
        <w:rPr>
          <w:rFonts w:hAnsi="宋体"/>
          <w:color w:val="auto"/>
          <w:spacing w:val="2"/>
          <w:sz w:val="24"/>
          <w:szCs w:val="24"/>
          <w:highlight w:val="none"/>
        </w:rPr>
        <w:t>定</w:t>
      </w:r>
      <w:r>
        <w:rPr>
          <w:rFonts w:hAnsi="宋体"/>
          <w:color w:val="auto"/>
          <w:spacing w:val="-1"/>
          <w:sz w:val="24"/>
          <w:szCs w:val="24"/>
          <w:highlight w:val="none"/>
        </w:rPr>
        <w:t>方</w:t>
      </w:r>
      <w:r>
        <w:rPr>
          <w:rFonts w:hAnsi="宋体"/>
          <w:color w:val="auto"/>
          <w:spacing w:val="2"/>
          <w:sz w:val="24"/>
          <w:szCs w:val="24"/>
          <w:highlight w:val="none"/>
        </w:rPr>
        <w:t>式</w:t>
      </w:r>
      <w:r>
        <w:rPr>
          <w:rFonts w:hAnsi="宋体"/>
          <w:color w:val="auto"/>
          <w:spacing w:val="-1"/>
          <w:sz w:val="24"/>
          <w:szCs w:val="24"/>
          <w:highlight w:val="none"/>
        </w:rPr>
        <w:t>：在评委库</w:t>
      </w:r>
      <w:r>
        <w:rPr>
          <w:rFonts w:hAnsi="宋体"/>
          <w:color w:val="auto"/>
          <w:spacing w:val="2"/>
          <w:sz w:val="24"/>
          <w:szCs w:val="24"/>
          <w:highlight w:val="none"/>
        </w:rPr>
        <w:t>随</w:t>
      </w:r>
      <w:r>
        <w:rPr>
          <w:rFonts w:hAnsi="宋体"/>
          <w:color w:val="auto"/>
          <w:spacing w:val="-1"/>
          <w:sz w:val="24"/>
          <w:szCs w:val="24"/>
          <w:highlight w:val="none"/>
        </w:rPr>
        <w:t>机</w:t>
      </w:r>
      <w:r>
        <w:rPr>
          <w:rFonts w:hAnsi="宋体"/>
          <w:color w:val="auto"/>
          <w:spacing w:val="2"/>
          <w:sz w:val="24"/>
          <w:szCs w:val="24"/>
          <w:highlight w:val="none"/>
        </w:rPr>
        <w:t>抽</w:t>
      </w:r>
      <w:r>
        <w:rPr>
          <w:rFonts w:hAnsi="宋体"/>
          <w:color w:val="auto"/>
          <w:spacing w:val="-1"/>
          <w:sz w:val="24"/>
          <w:szCs w:val="24"/>
          <w:highlight w:val="none"/>
        </w:rPr>
        <w:t>取</w:t>
      </w:r>
      <w:r>
        <w:rPr>
          <w:rFonts w:hAnsi="宋体"/>
          <w:color w:val="auto"/>
          <w:sz w:val="24"/>
          <w:szCs w:val="24"/>
          <w:highlight w:val="none"/>
        </w:rPr>
        <w:t>。</w:t>
      </w:r>
    </w:p>
    <w:p>
      <w:pPr>
        <w:pStyle w:val="20"/>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（二）评定依据：以采购文件和竞争性谈判响应文件为评定依据。</w:t>
      </w:r>
    </w:p>
    <w:p>
      <w:pPr>
        <w:pStyle w:val="20"/>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（三）评定方法：最低评标价法。</w:t>
      </w:r>
    </w:p>
    <w:p>
      <w:pPr>
        <w:pStyle w:val="20"/>
        <w:spacing w:line="360" w:lineRule="auto"/>
        <w:rPr>
          <w:rFonts w:hint="default" w:hAnsi="宋体"/>
          <w:b/>
          <w:bCs/>
          <w:color w:val="auto"/>
          <w:sz w:val="24"/>
          <w:szCs w:val="24"/>
          <w:highlight w:val="none"/>
        </w:rPr>
      </w:pPr>
      <w:r>
        <w:rPr>
          <w:rFonts w:hAnsi="宋体"/>
          <w:b/>
          <w:bCs/>
          <w:color w:val="auto"/>
          <w:sz w:val="24"/>
          <w:szCs w:val="24"/>
          <w:highlight w:val="none"/>
        </w:rPr>
        <w:t>二、评审方法</w:t>
      </w:r>
    </w:p>
    <w:p>
      <w:pPr>
        <w:pStyle w:val="20"/>
        <w:spacing w:line="360" w:lineRule="auto"/>
        <w:ind w:firstLine="480" w:firstLine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在通过资格性审查和符合性审查、质量和服务均能满足谈判文件全部实质性响应要求的最终报价基础上，若供应商符合小型、微型企业或残疾人福利性单位条件的，并根据以下内容及第</w:t>
      </w:r>
      <w:r>
        <w:rPr>
          <w:rFonts w:hint="eastAsia" w:hAnsi="宋体" w:cs="宋体"/>
          <w:b w:val="0"/>
          <w:bCs w:val="0"/>
          <w:color w:val="auto"/>
          <w:sz w:val="24"/>
          <w:szCs w:val="24"/>
          <w:highlight w:val="none"/>
          <w:lang w:eastAsia="zh-CN"/>
        </w:rPr>
        <w:t>五</w:t>
      </w:r>
      <w:r>
        <w:rPr>
          <w:rFonts w:hint="eastAsia" w:hAnsi="宋体" w:cs="宋体"/>
          <w:b w:val="0"/>
          <w:bCs w:val="0"/>
          <w:color w:val="auto"/>
          <w:sz w:val="24"/>
          <w:szCs w:val="24"/>
          <w:highlight w:val="none"/>
        </w:rPr>
        <w:t>章要求提供声明函或证明材料的，其最后报价将按相应比例进行扣除，用扣除后的价格参与评审。</w:t>
      </w:r>
    </w:p>
    <w:p>
      <w:pPr>
        <w:pStyle w:val="20"/>
        <w:numPr>
          <w:ilvl w:val="0"/>
          <w:numId w:val="0"/>
        </w:numPr>
        <w:spacing w:line="360" w:lineRule="auto"/>
        <w:ind w:firstLine="480" w:firstLine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响应货物全部由小微企业制造，对供应商的竞标报价给予10%的扣除，扣除后的价格为评审价，即评审价=竞标报价×（1- 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价，即评审价=竞标报价×（1-4%）。除上述情况外，评审价=竞标报价。</w:t>
      </w:r>
    </w:p>
    <w:p>
      <w:pPr>
        <w:pStyle w:val="20"/>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（一）谈判小组将以采购文件、竞争性谈判响应文件为评定依据，当竞标产品性能和服务有负偏离，（按项目需求第5条规定），视作未对采购文件做出实质性响应。</w:t>
      </w:r>
    </w:p>
    <w:p>
      <w:pPr>
        <w:pStyle w:val="20"/>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（二）在全部满足采购文件实质性要求前提下，依据统一的价格要素评定最低报价，以提出最低评审价的谈判供应商作为成交供应商。</w:t>
      </w:r>
    </w:p>
    <w:p>
      <w:pPr>
        <w:pStyle w:val="20"/>
        <w:tabs>
          <w:tab w:val="center" w:pos="4904"/>
        </w:tabs>
        <w:spacing w:line="360" w:lineRule="auto"/>
        <w:rPr>
          <w:rFonts w:hint="default" w:hAnsi="宋体"/>
          <w:bCs/>
          <w:color w:val="auto"/>
          <w:sz w:val="24"/>
          <w:szCs w:val="24"/>
          <w:highlight w:val="none"/>
        </w:rPr>
      </w:pPr>
      <w:r>
        <w:rPr>
          <w:b/>
          <w:color w:val="auto"/>
          <w:sz w:val="24"/>
          <w:szCs w:val="24"/>
          <w:highlight w:val="none"/>
        </w:rPr>
        <w:t>三、成交候选供应商推荐原则</w:t>
      </w:r>
      <w:r>
        <w:rPr>
          <w:b/>
          <w:color w:val="auto"/>
          <w:sz w:val="24"/>
          <w:szCs w:val="24"/>
          <w:highlight w:val="none"/>
        </w:rPr>
        <w:tab/>
      </w:r>
    </w:p>
    <w:p>
      <w:pPr>
        <w:pStyle w:val="20"/>
        <w:spacing w:line="360" w:lineRule="auto"/>
        <w:ind w:firstLine="480" w:firstLineChars="200"/>
        <w:rPr>
          <w:rFonts w:hint="default"/>
          <w:color w:val="auto"/>
          <w:sz w:val="24"/>
          <w:szCs w:val="24"/>
          <w:highlight w:val="none"/>
        </w:rPr>
      </w:pPr>
      <w:r>
        <w:rPr>
          <w:rFonts w:hAnsi="宋体" w:cs="宋体"/>
          <w:color w:val="auto"/>
          <w:sz w:val="24"/>
          <w:szCs w:val="24"/>
          <w:highlight w:val="none"/>
        </w:rPr>
        <w:t>谈判小组从质量和服务均能满足谈判文件全部实质性响应要求的供应商中，按照评审报价（最后报价）由低到高的顺序推荐3名成交候选供应商，评审价格相同的，按最后报价由低到高顺序排序；当评审价格且最后报价相同的，则依次按节能和环境标志产品优先（适用于《节能产品政府采购品目清单》范围内非“</w:t>
      </w:r>
      <w:r>
        <w:rPr>
          <w:rFonts w:asciiTheme="minorEastAsia" w:hAnsiTheme="minorEastAsia" w:eastAsiaTheme="minorEastAsia" w:cstheme="minorEastAsia"/>
          <w:bCs/>
          <w:color w:val="auto"/>
          <w:sz w:val="24"/>
          <w:szCs w:val="24"/>
          <w:highlight w:val="none"/>
        </w:rPr>
        <w:t>★</w:t>
      </w:r>
      <w:r>
        <w:rPr>
          <w:rFonts w:hAnsi="宋体" w:cs="宋体"/>
          <w:color w:val="auto"/>
          <w:sz w:val="24"/>
          <w:szCs w:val="24"/>
          <w:highlight w:val="none"/>
        </w:rPr>
        <w:t>”标注的和《环境标志产品政府采购品目清单》范围内产品）。同为节能产品、环境标志产品的，</w:t>
      </w:r>
      <w:r>
        <w:rPr>
          <w:color w:val="auto"/>
          <w:sz w:val="24"/>
          <w:szCs w:val="24"/>
          <w:highlight w:val="none"/>
        </w:rPr>
        <w:t>则依次按技术指标高优先、售后服务优先原则排序。</w:t>
      </w:r>
    </w:p>
    <w:p>
      <w:pPr>
        <w:pStyle w:val="20"/>
        <w:spacing w:line="360" w:lineRule="auto"/>
        <w:ind w:firstLine="480" w:firstLineChars="200"/>
        <w:rPr>
          <w:rFonts w:hint="default"/>
          <w:color w:val="auto"/>
          <w:sz w:val="24"/>
          <w:szCs w:val="24"/>
          <w:highlight w:val="none"/>
        </w:rPr>
      </w:pPr>
      <w:r>
        <w:rPr>
          <w:rFonts w:hAnsi="宋体"/>
          <w:bCs/>
          <w:color w:val="auto"/>
          <w:sz w:val="24"/>
          <w:szCs w:val="24"/>
          <w:highlight w:val="none"/>
        </w:rPr>
        <w:t>供应商以明显低于行业平均水平的价格报价的，应当在响应文件中主动提交相关说明及证据。谈判小组认为供应商竞标报价明显低于其他竞标报价可能影响质量或履约的，可以要求供应商提交书面材料。包含但不限于材料、工艺、流水线、质检、运输等环节的详细技术说明及价格分项说明，并附相关真实有效的书面支持资料，以说明其过低的竞标报价不影响质量、服务或者履约。在限定的时限内不能提交证明材料或其提交的资料不能证明其报价合理性的，其响应文件将被谈判小组作为无效响应文件处理。</w:t>
      </w:r>
    </w:p>
    <w:p>
      <w:pPr>
        <w:pStyle w:val="20"/>
        <w:spacing w:line="360" w:lineRule="auto"/>
        <w:rPr>
          <w:rFonts w:hint="default" w:hAnsi="宋体"/>
          <w:b/>
          <w:bCs/>
          <w:color w:val="auto"/>
          <w:sz w:val="24"/>
          <w:szCs w:val="24"/>
          <w:highlight w:val="none"/>
        </w:rPr>
        <w:sectPr>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pPr>
        <w:widowControl/>
        <w:jc w:val="left"/>
        <w:rPr>
          <w:rFonts w:cs="仿宋" w:asciiTheme="minorEastAsia" w:hAnsiTheme="minorEastAsia" w:eastAsiaTheme="minorEastAsia"/>
          <w:b/>
          <w:bCs/>
          <w:color w:val="auto"/>
          <w:kern w:val="0"/>
          <w:sz w:val="30"/>
          <w:szCs w:val="30"/>
          <w:highlight w:val="none"/>
        </w:rPr>
      </w:pPr>
      <w:r>
        <w:rPr>
          <w:rFonts w:hint="eastAsia" w:cs="仿宋" w:asciiTheme="minorEastAsia" w:hAnsiTheme="minorEastAsia" w:eastAsiaTheme="minorEastAsia"/>
          <w:b/>
          <w:bCs/>
          <w:color w:val="auto"/>
          <w:kern w:val="0"/>
          <w:sz w:val="30"/>
          <w:szCs w:val="30"/>
          <w:highlight w:val="none"/>
        </w:rPr>
        <w:t>附件1：</w:t>
      </w:r>
    </w:p>
    <w:p>
      <w:pPr>
        <w:widowControl/>
        <w:spacing w:line="600" w:lineRule="atLeast"/>
        <w:jc w:val="center"/>
        <w:outlineLvl w:val="0"/>
        <w:rPr>
          <w:rFonts w:cs="仿宋" w:asciiTheme="minorEastAsia" w:hAnsiTheme="minorEastAsia" w:eastAsiaTheme="minorEastAsia"/>
          <w:b/>
          <w:color w:val="auto"/>
          <w:kern w:val="0"/>
          <w:sz w:val="30"/>
          <w:szCs w:val="30"/>
          <w:highlight w:val="none"/>
        </w:rPr>
      </w:pPr>
      <w:bookmarkStart w:id="38" w:name="_Toc9779"/>
      <w:r>
        <w:rPr>
          <w:rFonts w:hint="eastAsia" w:cs="仿宋" w:asciiTheme="minorEastAsia" w:hAnsiTheme="minorEastAsia" w:eastAsiaTheme="minorEastAsia"/>
          <w:b/>
          <w:bCs/>
          <w:color w:val="auto"/>
          <w:kern w:val="0"/>
          <w:sz w:val="30"/>
          <w:szCs w:val="30"/>
          <w:highlight w:val="none"/>
        </w:rPr>
        <w:t>采购项目</w:t>
      </w:r>
      <w:r>
        <w:rPr>
          <w:rFonts w:hint="eastAsia" w:cs="仿宋" w:asciiTheme="minorEastAsia" w:hAnsiTheme="minorEastAsia" w:eastAsiaTheme="minorEastAsia"/>
          <w:b/>
          <w:color w:val="auto"/>
          <w:kern w:val="0"/>
          <w:sz w:val="30"/>
          <w:szCs w:val="30"/>
          <w:highlight w:val="none"/>
        </w:rPr>
        <w:t>合同验收书（格式）</w:t>
      </w:r>
      <w:bookmarkEnd w:id="38"/>
    </w:p>
    <w:p>
      <w:pPr>
        <w:widowControl/>
        <w:spacing w:line="460" w:lineRule="exact"/>
        <w:ind w:firstLine="482"/>
        <w:jc w:val="left"/>
        <w:rPr>
          <w:rFonts w:asciiTheme="minorEastAsia" w:hAnsiTheme="minorEastAsia" w:eastAsiaTheme="minorEastAsia"/>
          <w:color w:val="auto"/>
          <w:kern w:val="0"/>
          <w:sz w:val="30"/>
          <w:szCs w:val="30"/>
          <w:highlight w:val="none"/>
        </w:rPr>
      </w:pPr>
      <w:r>
        <w:rPr>
          <w:rFonts w:hint="eastAsia" w:cs="仿宋" w:asciiTheme="minorEastAsia" w:hAnsiTheme="minorEastAsia" w:eastAsiaTheme="minorEastAsia"/>
          <w:color w:val="auto"/>
          <w:kern w:val="0"/>
          <w:sz w:val="24"/>
          <w:highlight w:val="none"/>
        </w:rPr>
        <w:t>根据采购项目（</w:t>
      </w:r>
      <w:r>
        <w:rPr>
          <w:rFonts w:hint="eastAsia" w:cs="仿宋" w:asciiTheme="minorEastAsia" w:hAnsiTheme="minorEastAsia" w:eastAsiaTheme="minorEastAsia"/>
          <w:color w:val="auto"/>
          <w:kern w:val="0"/>
          <w:sz w:val="24"/>
          <w:highlight w:val="none"/>
          <w:u w:val="single"/>
        </w:rPr>
        <w:t>采购合同编号：</w:t>
      </w:r>
      <w:r>
        <w:rPr>
          <w:rFonts w:asciiTheme="minorEastAsia" w:hAnsiTheme="minorEastAsia" w:eastAsiaTheme="minorEastAsia"/>
          <w:color w:val="auto"/>
          <w:kern w:val="0"/>
          <w:sz w:val="24"/>
          <w:highlight w:val="none"/>
          <w:u w:val="single"/>
        </w:rPr>
        <w:softHyphen/>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）的约定，我单位对（</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u w:val="single"/>
        </w:rPr>
        <w:t>项目名称</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）采购项目中标（或成交）供应商（</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u w:val="single"/>
        </w:rPr>
        <w:t>公司名称</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提供的货物（或工程、服务）进行了验收，验收情况如下：</w:t>
      </w:r>
    </w:p>
    <w:tbl>
      <w:tblPr>
        <w:tblStyle w:val="46"/>
        <w:tblW w:w="9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8"/>
        <w:gridCol w:w="2162"/>
        <w:gridCol w:w="779"/>
        <w:gridCol w:w="2916"/>
        <w:gridCol w:w="259"/>
        <w:gridCol w:w="99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3310" w:type="dxa"/>
            <w:gridSpan w:val="2"/>
            <w:vAlign w:val="center"/>
          </w:tcPr>
          <w:p>
            <w:pPr>
              <w:widowControl/>
              <w:spacing w:line="320" w:lineRule="atLeast"/>
              <w:ind w:firstLine="5"/>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验收方式：</w:t>
            </w:r>
          </w:p>
        </w:tc>
        <w:tc>
          <w:tcPr>
            <w:tcW w:w="6669" w:type="dxa"/>
            <w:gridSpan w:val="5"/>
            <w:vAlign w:val="center"/>
          </w:tcPr>
          <w:p>
            <w:pPr>
              <w:widowControl/>
              <w:spacing w:line="320" w:lineRule="atLeast"/>
              <w:ind w:firstLine="480"/>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□自行验收</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1148" w:type="dxa"/>
            <w:vAlign w:val="center"/>
          </w:tcPr>
          <w:p>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2162" w:type="dxa"/>
            <w:vAlign w:val="center"/>
          </w:tcPr>
          <w:p>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称</w:t>
            </w:r>
          </w:p>
        </w:tc>
        <w:tc>
          <w:tcPr>
            <w:tcW w:w="3695" w:type="dxa"/>
            <w:gridSpan w:val="2"/>
            <w:vAlign w:val="center"/>
          </w:tcPr>
          <w:p>
            <w:pPr>
              <w:widowControl/>
              <w:spacing w:line="320" w:lineRule="atLeast"/>
              <w:ind w:firstLine="2"/>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货物型号规格、标准及配置等</w:t>
            </w:r>
          </w:p>
          <w:p>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（或服务内容、标准）</w:t>
            </w:r>
          </w:p>
        </w:tc>
        <w:tc>
          <w:tcPr>
            <w:tcW w:w="1256" w:type="dxa"/>
            <w:gridSpan w:val="2"/>
            <w:vAlign w:val="center"/>
          </w:tcPr>
          <w:p>
            <w:pPr>
              <w:widowControl/>
              <w:spacing w:line="320" w:lineRule="atLeas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1718" w:type="dxa"/>
            <w:vAlign w:val="center"/>
          </w:tcPr>
          <w:p>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金</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48" w:type="dxa"/>
            <w:vAlign w:val="center"/>
          </w:tcPr>
          <w:p>
            <w:pPr>
              <w:widowControl/>
              <w:spacing w:line="320" w:lineRule="atLeast"/>
              <w:ind w:firstLine="5"/>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4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4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7005" w:type="dxa"/>
            <w:gridSpan w:val="4"/>
            <w:vAlign w:val="center"/>
          </w:tcPr>
          <w:p>
            <w:pPr>
              <w:widowControl/>
              <w:spacing w:line="320" w:lineRule="atLeast"/>
              <w:ind w:firstLine="5"/>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计</w:t>
            </w:r>
          </w:p>
        </w:tc>
        <w:tc>
          <w:tcPr>
            <w:tcW w:w="1256"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9979" w:type="dxa"/>
            <w:gridSpan w:val="7"/>
            <w:vAlign w:val="center"/>
          </w:tcPr>
          <w:p>
            <w:pPr>
              <w:widowControl/>
              <w:spacing w:line="320" w:lineRule="atLeast"/>
              <w:ind w:firstLine="2"/>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合计大写金额：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仟</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佰</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拾</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万</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仟</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佰</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拾</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1148" w:type="dxa"/>
            <w:vAlign w:val="center"/>
          </w:tcPr>
          <w:p>
            <w:pPr>
              <w:widowControl/>
              <w:spacing w:line="320" w:lineRule="atLeast"/>
              <w:ind w:left="5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实际供货日期</w:t>
            </w:r>
          </w:p>
        </w:tc>
        <w:tc>
          <w:tcPr>
            <w:tcW w:w="2941"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175" w:type="dxa"/>
            <w:gridSpan w:val="2"/>
            <w:vAlign w:val="center"/>
          </w:tcPr>
          <w:p>
            <w:pPr>
              <w:widowControl/>
              <w:spacing w:line="320" w:lineRule="atLeast"/>
              <w:ind w:firstLine="46"/>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合同交货验收日期</w:t>
            </w:r>
          </w:p>
        </w:tc>
        <w:tc>
          <w:tcPr>
            <w:tcW w:w="271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jc w:val="center"/>
        </w:trPr>
        <w:tc>
          <w:tcPr>
            <w:tcW w:w="1148" w:type="dxa"/>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941"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17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715" w:type="dxa"/>
            <w:gridSpan w:val="2"/>
            <w:vAlign w:val="center"/>
          </w:tcPr>
          <w:p>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9" w:hRule="atLeast"/>
          <w:jc w:val="center"/>
        </w:trPr>
        <w:tc>
          <w:tcPr>
            <w:tcW w:w="1148" w:type="dxa"/>
            <w:tcMar>
              <w:top w:w="0" w:type="dxa"/>
              <w:left w:w="108" w:type="dxa"/>
              <w:bottom w:w="0" w:type="dxa"/>
              <w:right w:w="108" w:type="dxa"/>
            </w:tcMar>
            <w:vAlign w:val="center"/>
          </w:tcPr>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验收具体内容</w:t>
            </w:r>
          </w:p>
        </w:tc>
        <w:tc>
          <w:tcPr>
            <w:tcW w:w="8831" w:type="dxa"/>
            <w:gridSpan w:val="6"/>
            <w:tcMar>
              <w:top w:w="0" w:type="dxa"/>
              <w:left w:w="108" w:type="dxa"/>
              <w:bottom w:w="0" w:type="dxa"/>
              <w:right w:w="108" w:type="dxa"/>
            </w:tcMar>
            <w:vAlign w:val="center"/>
          </w:tcPr>
          <w:p>
            <w:pPr>
              <w:widowControl/>
              <w:spacing w:line="320" w:lineRule="atLeas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148" w:type="dxa"/>
            <w:vMerge w:val="restart"/>
            <w:tcMar>
              <w:top w:w="0" w:type="dxa"/>
              <w:left w:w="108" w:type="dxa"/>
              <w:bottom w:w="0" w:type="dxa"/>
              <w:right w:w="108" w:type="dxa"/>
            </w:tcMar>
            <w:vAlign w:val="center"/>
          </w:tcPr>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验收小组意见</w:t>
            </w:r>
          </w:p>
        </w:tc>
        <w:tc>
          <w:tcPr>
            <w:tcW w:w="8831" w:type="dxa"/>
            <w:gridSpan w:val="6"/>
            <w:vAlign w:val="center"/>
          </w:tcPr>
          <w:p>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验收结论性意见：</w:t>
            </w:r>
          </w:p>
          <w:p>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148" w:type="dxa"/>
            <w:vMerge w:val="continue"/>
            <w:vAlign w:val="center"/>
          </w:tcPr>
          <w:p>
            <w:pPr>
              <w:widowControl/>
              <w:jc w:val="left"/>
              <w:rPr>
                <w:rFonts w:asciiTheme="minorEastAsia" w:hAnsiTheme="minorEastAsia" w:eastAsiaTheme="minorEastAsia"/>
                <w:color w:val="auto"/>
                <w:kern w:val="0"/>
                <w:szCs w:val="21"/>
                <w:highlight w:val="none"/>
              </w:rPr>
            </w:pPr>
          </w:p>
        </w:tc>
        <w:tc>
          <w:tcPr>
            <w:tcW w:w="8831" w:type="dxa"/>
            <w:gridSpan w:val="6"/>
            <w:vAlign w:val="center"/>
          </w:tcPr>
          <w:p>
            <w:pPr>
              <w:widowControl/>
              <w:spacing w:line="320" w:lineRule="atLeast"/>
              <w:ind w:firstLine="96"/>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有异议的意见和说明理由：</w:t>
            </w:r>
          </w:p>
          <w:p>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6" w:hRule="atLeast"/>
          <w:jc w:val="center"/>
        </w:trPr>
        <w:tc>
          <w:tcPr>
            <w:tcW w:w="9979" w:type="dxa"/>
            <w:gridSpan w:val="7"/>
            <w:tcMar>
              <w:top w:w="0" w:type="dxa"/>
              <w:left w:w="108" w:type="dxa"/>
              <w:bottom w:w="0" w:type="dxa"/>
              <w:right w:w="108" w:type="dxa"/>
            </w:tcMar>
            <w:vAlign w:val="center"/>
          </w:tcPr>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0" w:hRule="atLeast"/>
          <w:jc w:val="center"/>
        </w:trPr>
        <w:tc>
          <w:tcPr>
            <w:tcW w:w="9979" w:type="dxa"/>
            <w:gridSpan w:val="7"/>
            <w:tcMar>
              <w:top w:w="0" w:type="dxa"/>
              <w:left w:w="108" w:type="dxa"/>
              <w:bottom w:w="0" w:type="dxa"/>
              <w:right w:w="108" w:type="dxa"/>
            </w:tcMar>
            <w:vAlign w:val="center"/>
          </w:tcPr>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监督人员或其他相关人员签字：</w:t>
            </w:r>
          </w:p>
          <w:p>
            <w:pPr>
              <w:widowControl/>
              <w:spacing w:line="320" w:lineRule="atLeast"/>
              <w:ind w:firstLine="74"/>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7" w:hRule="atLeast"/>
          <w:jc w:val="center"/>
        </w:trPr>
        <w:tc>
          <w:tcPr>
            <w:tcW w:w="4089" w:type="dxa"/>
            <w:gridSpan w:val="3"/>
            <w:tcMar>
              <w:top w:w="0" w:type="dxa"/>
              <w:left w:w="108" w:type="dxa"/>
              <w:bottom w:w="0" w:type="dxa"/>
              <w:right w:w="108" w:type="dxa"/>
            </w:tcMar>
            <w:vAlign w:val="center"/>
          </w:tcPr>
          <w:p>
            <w:pPr>
              <w:widowControl/>
              <w:spacing w:line="320" w:lineRule="atLeast"/>
              <w:ind w:firstLine="74"/>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中标或者成交供应商负责人签字或盖章：</w:t>
            </w:r>
          </w:p>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年</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xml:space="preserve">月 </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日</w:t>
            </w:r>
          </w:p>
        </w:tc>
        <w:tc>
          <w:tcPr>
            <w:tcW w:w="5890" w:type="dxa"/>
            <w:gridSpan w:val="4"/>
            <w:vAlign w:val="center"/>
          </w:tcPr>
          <w:p>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采购人或受托机构的意见（盖章）：</w:t>
            </w:r>
          </w:p>
          <w:p>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年</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月</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日</w:t>
            </w:r>
          </w:p>
        </w:tc>
      </w:tr>
    </w:tbl>
    <w:p>
      <w:pPr>
        <w:rPr>
          <w:color w:val="auto"/>
          <w:highlight w:val="none"/>
        </w:rPr>
      </w:pPr>
    </w:p>
    <w:bookmarkEnd w:id="39"/>
    <w:sectPr>
      <w:pgSz w:w="11906" w:h="16838"/>
      <w:pgMar w:top="993" w:right="964" w:bottom="851" w:left="1134" w:header="720" w:footer="720"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52908"/>
    </w:sdtPr>
    <w:sdtContent>
      <w:p>
        <w:pPr>
          <w:pStyle w:val="25"/>
          <w:jc w:val="center"/>
        </w:pPr>
        <w:r>
          <w:fldChar w:fldCharType="begin"/>
        </w:r>
        <w:r>
          <w:instrText xml:space="preserve"> PAGE   \* MERGEFORMAT </w:instrText>
        </w:r>
        <w:r>
          <w:fldChar w:fldCharType="separate"/>
        </w:r>
        <w:r>
          <w:rPr>
            <w:lang w:val="zh-CN"/>
          </w:rPr>
          <w:t>1</w:t>
        </w:r>
        <w: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88"/>
    </w:sdtPr>
    <w:sdtContent>
      <w:p>
        <w:pPr>
          <w:pStyle w:val="25"/>
          <w:jc w:val="center"/>
        </w:pPr>
        <w:r>
          <w:fldChar w:fldCharType="begin"/>
        </w:r>
        <w:r>
          <w:instrText xml:space="preserve"> PAGE   \* MERGEFORMAT </w:instrText>
        </w:r>
        <w:r>
          <w:fldChar w:fldCharType="separate"/>
        </w:r>
        <w:r>
          <w:rPr>
            <w:lang w:val="zh-CN"/>
          </w:rPr>
          <w:t>15</w:t>
        </w:r>
        <w:r>
          <w:fldChar w:fldCharType="end"/>
        </w:r>
      </w:p>
    </w:sdtContent>
  </w:sdt>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90"/>
    </w:sdtPr>
    <w:sdtContent>
      <w:p>
        <w:pPr>
          <w:pStyle w:val="25"/>
          <w:jc w:val="center"/>
        </w:pPr>
        <w:r>
          <w:fldChar w:fldCharType="begin"/>
        </w:r>
        <w:r>
          <w:instrText xml:space="preserve"> PAGE   \* MERGEFORMAT </w:instrText>
        </w:r>
        <w:r>
          <w:fldChar w:fldCharType="separate"/>
        </w:r>
        <w:r>
          <w:rPr>
            <w:lang w:val="zh-CN"/>
          </w:rPr>
          <w:t>3</w:t>
        </w:r>
        <w:r>
          <w:fldChar w:fldCharType="end"/>
        </w:r>
      </w:p>
    </w:sdtContent>
  </w:sdt>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16</w:t>
                    </w:r>
                    <w:r>
                      <w:fldChar w:fldCharType="end"/>
                    </w:r>
                  </w:p>
                </w:txbxContent>
              </v:textbox>
            </v:shape>
          </w:pict>
        </mc:Fallback>
      </mc:AlternateContent>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0394"/>
    </w:sdtPr>
    <w:sdtContent>
      <w:p>
        <w:pPr>
          <w:pStyle w:val="25"/>
          <w:jc w:val="center"/>
        </w:pPr>
        <w:r>
          <w:fldChar w:fldCharType="begin"/>
        </w:r>
        <w:r>
          <w:instrText xml:space="preserve"> PAGE   \* MERGEFORMAT </w:instrText>
        </w:r>
        <w:r>
          <w:fldChar w:fldCharType="separate"/>
        </w:r>
        <w:r>
          <w:rPr>
            <w:lang w:val="zh-CN"/>
          </w:rPr>
          <w:t>43</w:t>
        </w:r>
        <w:r>
          <w:fldChar w:fldCharType="end"/>
        </w:r>
      </w:p>
    </w:sdtContent>
  </w:sdt>
  <w:p>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809"/>
    </w:sdtPr>
    <w:sdtContent>
      <w:p>
        <w:pPr>
          <w:pStyle w:val="25"/>
          <w:jc w:val="center"/>
        </w:pPr>
        <w:r>
          <w:fldChar w:fldCharType="begin"/>
        </w:r>
        <w:r>
          <w:instrText xml:space="preserve"> PAGE   \* MERGEFORMAT </w:instrText>
        </w:r>
        <w:r>
          <w:fldChar w:fldCharType="separate"/>
        </w:r>
        <w:r>
          <w:rPr>
            <w:lang w:val="zh-CN"/>
          </w:rPr>
          <w:t>14</w:t>
        </w:r>
        <w:r>
          <w:fldChar w:fldCharType="end"/>
        </w:r>
      </w:p>
    </w:sdtContent>
  </w:sdt>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52B31"/>
    <w:multiLevelType w:val="singleLevel"/>
    <w:tmpl w:val="BF352B31"/>
    <w:lvl w:ilvl="0" w:tentative="0">
      <w:start w:val="5"/>
      <w:numFmt w:val="decimal"/>
      <w:suff w:val="nothing"/>
      <w:lvlText w:val="%1、"/>
      <w:lvlJc w:val="left"/>
    </w:lvl>
  </w:abstractNum>
  <w:abstractNum w:abstractNumId="1">
    <w:nsid w:val="E61B53C9"/>
    <w:multiLevelType w:val="singleLevel"/>
    <w:tmpl w:val="E61B53C9"/>
    <w:lvl w:ilvl="0" w:tentative="0">
      <w:start w:val="2"/>
      <w:numFmt w:val="decimal"/>
      <w:suff w:val="nothing"/>
      <w:lvlText w:val="%1、"/>
      <w:lvlJc w:val="left"/>
    </w:lvl>
  </w:abstractNum>
  <w:abstractNum w:abstractNumId="2">
    <w:nsid w:val="00BD0D89"/>
    <w:multiLevelType w:val="multilevel"/>
    <w:tmpl w:val="00BD0D8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2EADF99"/>
    <w:multiLevelType w:val="multilevel"/>
    <w:tmpl w:val="12EADF99"/>
    <w:lvl w:ilvl="0" w:tentative="0">
      <w:start w:val="1"/>
      <w:numFmt w:val="decimal"/>
      <w:lvlText w:val="%1）"/>
      <w:lvlJc w:val="left"/>
      <w:pPr>
        <w:ind w:left="812" w:hanging="361"/>
      </w:pPr>
      <w:rPr>
        <w:rFonts w:hint="default" w:ascii="宋体" w:hAnsi="宋体" w:eastAsia="宋体" w:cs="宋体"/>
        <w:w w:val="100"/>
        <w:sz w:val="22"/>
        <w:szCs w:val="22"/>
        <w:lang w:val="zh-CN" w:eastAsia="zh-CN" w:bidi="zh-CN"/>
      </w:rPr>
    </w:lvl>
    <w:lvl w:ilvl="1" w:tentative="0">
      <w:start w:val="1"/>
      <w:numFmt w:val="decimal"/>
      <w:lvlText w:val="（%2）"/>
      <w:lvlJc w:val="left"/>
      <w:pPr>
        <w:ind w:left="1309" w:hanging="601"/>
      </w:pPr>
      <w:rPr>
        <w:rFonts w:hint="default" w:ascii="宋体" w:hAnsi="宋体" w:eastAsia="宋体" w:cs="宋体"/>
        <w:w w:val="100"/>
        <w:sz w:val="22"/>
        <w:szCs w:val="22"/>
        <w:lang w:val="zh-CN" w:eastAsia="zh-CN" w:bidi="zh-CN"/>
      </w:rPr>
    </w:lvl>
    <w:lvl w:ilvl="2" w:tentative="0">
      <w:start w:val="1"/>
      <w:numFmt w:val="decimal"/>
      <w:lvlText w:val="%3."/>
      <w:lvlJc w:val="left"/>
      <w:pPr>
        <w:ind w:left="228" w:hanging="360"/>
      </w:pPr>
      <w:rPr>
        <w:rFonts w:hint="default" w:ascii="宋体" w:hAnsi="宋体" w:eastAsia="宋体" w:cs="宋体"/>
        <w:spacing w:val="-18"/>
        <w:w w:val="100"/>
        <w:sz w:val="24"/>
        <w:szCs w:val="24"/>
        <w:lang w:val="zh-CN" w:eastAsia="zh-CN" w:bidi="zh-CN"/>
      </w:rPr>
    </w:lvl>
    <w:lvl w:ilvl="3" w:tentative="0">
      <w:start w:val="0"/>
      <w:numFmt w:val="bullet"/>
      <w:lvlText w:val="•"/>
      <w:lvlJc w:val="left"/>
      <w:pPr>
        <w:ind w:left="2393" w:hanging="360"/>
      </w:pPr>
      <w:rPr>
        <w:rFonts w:hint="default"/>
        <w:lang w:val="zh-CN" w:eastAsia="zh-CN" w:bidi="zh-CN"/>
      </w:rPr>
    </w:lvl>
    <w:lvl w:ilvl="4" w:tentative="0">
      <w:start w:val="0"/>
      <w:numFmt w:val="bullet"/>
      <w:lvlText w:val="•"/>
      <w:lvlJc w:val="left"/>
      <w:pPr>
        <w:ind w:left="3486" w:hanging="360"/>
      </w:pPr>
      <w:rPr>
        <w:rFonts w:hint="default"/>
        <w:lang w:val="zh-CN" w:eastAsia="zh-CN" w:bidi="zh-CN"/>
      </w:rPr>
    </w:lvl>
    <w:lvl w:ilvl="5" w:tentative="0">
      <w:start w:val="0"/>
      <w:numFmt w:val="bullet"/>
      <w:lvlText w:val="•"/>
      <w:lvlJc w:val="left"/>
      <w:pPr>
        <w:ind w:left="4579" w:hanging="360"/>
      </w:pPr>
      <w:rPr>
        <w:rFonts w:hint="default"/>
        <w:lang w:val="zh-CN" w:eastAsia="zh-CN" w:bidi="zh-CN"/>
      </w:rPr>
    </w:lvl>
    <w:lvl w:ilvl="6" w:tentative="0">
      <w:start w:val="0"/>
      <w:numFmt w:val="bullet"/>
      <w:lvlText w:val="•"/>
      <w:lvlJc w:val="left"/>
      <w:pPr>
        <w:ind w:left="5673" w:hanging="360"/>
      </w:pPr>
      <w:rPr>
        <w:rFonts w:hint="default"/>
        <w:lang w:val="zh-CN" w:eastAsia="zh-CN" w:bidi="zh-CN"/>
      </w:rPr>
    </w:lvl>
    <w:lvl w:ilvl="7" w:tentative="0">
      <w:start w:val="0"/>
      <w:numFmt w:val="bullet"/>
      <w:lvlText w:val="•"/>
      <w:lvlJc w:val="left"/>
      <w:pPr>
        <w:ind w:left="6766" w:hanging="360"/>
      </w:pPr>
      <w:rPr>
        <w:rFonts w:hint="default"/>
        <w:lang w:val="zh-CN" w:eastAsia="zh-CN" w:bidi="zh-CN"/>
      </w:rPr>
    </w:lvl>
    <w:lvl w:ilvl="8" w:tentative="0">
      <w:start w:val="0"/>
      <w:numFmt w:val="bullet"/>
      <w:lvlText w:val="•"/>
      <w:lvlJc w:val="left"/>
      <w:pPr>
        <w:ind w:left="7859" w:hanging="360"/>
      </w:pPr>
      <w:rPr>
        <w:rFonts w:hint="default"/>
        <w:lang w:val="zh-CN" w:eastAsia="zh-CN" w:bidi="zh-CN"/>
      </w:rPr>
    </w:lvl>
  </w:abstractNum>
  <w:abstractNum w:abstractNumId="4">
    <w:nsid w:val="140C353B"/>
    <w:multiLevelType w:val="multilevel"/>
    <w:tmpl w:val="140C353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17D87DCD"/>
    <w:multiLevelType w:val="multilevel"/>
    <w:tmpl w:val="17D87D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B5C4308"/>
    <w:multiLevelType w:val="multilevel"/>
    <w:tmpl w:val="1B5C430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BC19BA7"/>
    <w:multiLevelType w:val="singleLevel"/>
    <w:tmpl w:val="1BC19BA7"/>
    <w:lvl w:ilvl="0" w:tentative="0">
      <w:start w:val="1"/>
      <w:numFmt w:val="decimal"/>
      <w:lvlText w:val="%1."/>
      <w:lvlJc w:val="left"/>
      <w:pPr>
        <w:ind w:left="425" w:hanging="425"/>
      </w:pPr>
      <w:rPr>
        <w:rFonts w:hint="default"/>
      </w:rPr>
    </w:lvl>
  </w:abstractNum>
  <w:abstractNum w:abstractNumId="8">
    <w:nsid w:val="293463C5"/>
    <w:multiLevelType w:val="multilevel"/>
    <w:tmpl w:val="293463C5"/>
    <w:lvl w:ilvl="0" w:tentative="0">
      <w:start w:val="1"/>
      <w:numFmt w:val="decimal"/>
      <w:lvlText w:val="%1."/>
      <w:lvlJc w:val="left"/>
      <w:pPr>
        <w:ind w:left="425" w:hanging="425"/>
      </w:pPr>
    </w:lvl>
    <w:lvl w:ilvl="1" w:tentative="0">
      <w:start w:val="1"/>
      <w:numFmt w:val="decimal"/>
      <w:lvlText w:val="%1.%2"/>
      <w:lvlJc w:val="left"/>
      <w:pPr>
        <w:ind w:left="1985" w:hanging="567"/>
      </w:pPr>
      <w:rPr>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30BC2D16"/>
    <w:multiLevelType w:val="singleLevel"/>
    <w:tmpl w:val="30BC2D16"/>
    <w:lvl w:ilvl="0" w:tentative="0">
      <w:start w:val="1"/>
      <w:numFmt w:val="chineseCounting"/>
      <w:suff w:val="space"/>
      <w:lvlText w:val="第%1章"/>
      <w:lvlJc w:val="left"/>
      <w:rPr>
        <w:rFonts w:hint="eastAsia"/>
      </w:rPr>
    </w:lvl>
  </w:abstractNum>
  <w:abstractNum w:abstractNumId="10">
    <w:nsid w:val="38FF3C9E"/>
    <w:multiLevelType w:val="multilevel"/>
    <w:tmpl w:val="38FF3C9E"/>
    <w:lvl w:ilvl="0" w:tentative="0">
      <w:start w:val="1"/>
      <w:numFmt w:val="decimal"/>
      <w:pStyle w:val="118"/>
      <w:suff w:val="space"/>
      <w:lvlText w:val="%1、"/>
      <w:lvlJc w:val="left"/>
      <w:pPr>
        <w:ind w:left="734" w:hanging="45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35F6871"/>
    <w:multiLevelType w:val="multilevel"/>
    <w:tmpl w:val="435F68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4D5E4804"/>
    <w:multiLevelType w:val="multilevel"/>
    <w:tmpl w:val="4D5E4804"/>
    <w:lvl w:ilvl="0" w:tentative="0">
      <w:start w:val="1"/>
      <w:numFmt w:val="decimal"/>
      <w:pStyle w:val="83"/>
      <w:lvlText w:val="%1."/>
      <w:lvlJc w:val="left"/>
      <w:pPr>
        <w:tabs>
          <w:tab w:val="left" w:pos="420"/>
        </w:tabs>
        <w:ind w:left="420" w:hanging="420"/>
      </w:p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1F74909"/>
    <w:multiLevelType w:val="multilevel"/>
    <w:tmpl w:val="51F749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5D671342"/>
    <w:multiLevelType w:val="multilevel"/>
    <w:tmpl w:val="5D67134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72172B43"/>
    <w:multiLevelType w:val="multilevel"/>
    <w:tmpl w:val="72172B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2"/>
  </w:num>
  <w:num w:numId="2">
    <w:abstractNumId w:val="10"/>
  </w:num>
  <w:num w:numId="3">
    <w:abstractNumId w:val="9"/>
  </w:num>
  <w:num w:numId="4">
    <w:abstractNumId w:val="7"/>
  </w:num>
  <w:num w:numId="5">
    <w:abstractNumId w:val="0"/>
  </w:num>
  <w:num w:numId="6">
    <w:abstractNumId w:val="13"/>
  </w:num>
  <w:num w:numId="7">
    <w:abstractNumId w:val="2"/>
  </w:num>
  <w:num w:numId="8">
    <w:abstractNumId w:val="6"/>
  </w:num>
  <w:num w:numId="9">
    <w:abstractNumId w:val="13"/>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0">
    <w:abstractNumId w:val="8"/>
  </w:num>
  <w:num w:numId="11">
    <w:abstractNumId w:val="14"/>
  </w:num>
  <w:num w:numId="12">
    <w:abstractNumId w:val="15"/>
  </w:num>
  <w:num w:numId="13">
    <w:abstractNumId w:val="5"/>
  </w:num>
  <w:num w:numId="14">
    <w:abstractNumId w:val="11"/>
  </w:num>
  <w:num w:numId="15">
    <w:abstractNumId w:val="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UyMWUxYjI4NTU4YzA5ZjJhY2YxYjFhZWQ3ZGIifQ=="/>
  </w:docVars>
  <w:rsids>
    <w:rsidRoot w:val="00172A27"/>
    <w:rsid w:val="00003D0D"/>
    <w:rsid w:val="00004B63"/>
    <w:rsid w:val="0000504A"/>
    <w:rsid w:val="000060A1"/>
    <w:rsid w:val="00011D3B"/>
    <w:rsid w:val="00012144"/>
    <w:rsid w:val="000130CD"/>
    <w:rsid w:val="0001348A"/>
    <w:rsid w:val="00013C86"/>
    <w:rsid w:val="000146A2"/>
    <w:rsid w:val="00015A68"/>
    <w:rsid w:val="00015C6C"/>
    <w:rsid w:val="00020F60"/>
    <w:rsid w:val="00022ADE"/>
    <w:rsid w:val="00023814"/>
    <w:rsid w:val="00023B4B"/>
    <w:rsid w:val="00023E75"/>
    <w:rsid w:val="00025CF2"/>
    <w:rsid w:val="00026D86"/>
    <w:rsid w:val="00026EB8"/>
    <w:rsid w:val="000306F0"/>
    <w:rsid w:val="00031015"/>
    <w:rsid w:val="00031D8C"/>
    <w:rsid w:val="0003204B"/>
    <w:rsid w:val="000335D5"/>
    <w:rsid w:val="0003381F"/>
    <w:rsid w:val="00033CDA"/>
    <w:rsid w:val="00035705"/>
    <w:rsid w:val="00037B2A"/>
    <w:rsid w:val="000414F1"/>
    <w:rsid w:val="00044535"/>
    <w:rsid w:val="00045696"/>
    <w:rsid w:val="00046E58"/>
    <w:rsid w:val="000473ED"/>
    <w:rsid w:val="00047B74"/>
    <w:rsid w:val="00047B8F"/>
    <w:rsid w:val="0005069D"/>
    <w:rsid w:val="00050764"/>
    <w:rsid w:val="000508E4"/>
    <w:rsid w:val="00051E31"/>
    <w:rsid w:val="00052BC2"/>
    <w:rsid w:val="00052E8D"/>
    <w:rsid w:val="00054B99"/>
    <w:rsid w:val="00054E52"/>
    <w:rsid w:val="00055233"/>
    <w:rsid w:val="000557F4"/>
    <w:rsid w:val="0005610A"/>
    <w:rsid w:val="000569DF"/>
    <w:rsid w:val="00064889"/>
    <w:rsid w:val="00067924"/>
    <w:rsid w:val="000679AE"/>
    <w:rsid w:val="000704EC"/>
    <w:rsid w:val="0007073D"/>
    <w:rsid w:val="0007167B"/>
    <w:rsid w:val="00073729"/>
    <w:rsid w:val="00077ACC"/>
    <w:rsid w:val="00082840"/>
    <w:rsid w:val="000834E7"/>
    <w:rsid w:val="000843AE"/>
    <w:rsid w:val="000861BC"/>
    <w:rsid w:val="00086FAE"/>
    <w:rsid w:val="00087F99"/>
    <w:rsid w:val="00092058"/>
    <w:rsid w:val="000929A5"/>
    <w:rsid w:val="00094856"/>
    <w:rsid w:val="00096C96"/>
    <w:rsid w:val="000979DB"/>
    <w:rsid w:val="000A1625"/>
    <w:rsid w:val="000A4BD6"/>
    <w:rsid w:val="000A5CB4"/>
    <w:rsid w:val="000A682D"/>
    <w:rsid w:val="000A7D8A"/>
    <w:rsid w:val="000B1E08"/>
    <w:rsid w:val="000B1FA4"/>
    <w:rsid w:val="000B4850"/>
    <w:rsid w:val="000B54EE"/>
    <w:rsid w:val="000B5E22"/>
    <w:rsid w:val="000C1B67"/>
    <w:rsid w:val="000C2859"/>
    <w:rsid w:val="000C563E"/>
    <w:rsid w:val="000C66B0"/>
    <w:rsid w:val="000C76B4"/>
    <w:rsid w:val="000D0AAE"/>
    <w:rsid w:val="000D1996"/>
    <w:rsid w:val="000D1AF7"/>
    <w:rsid w:val="000D1CCB"/>
    <w:rsid w:val="000D3092"/>
    <w:rsid w:val="000D5148"/>
    <w:rsid w:val="000D5EB6"/>
    <w:rsid w:val="000D6EA5"/>
    <w:rsid w:val="000E0BBE"/>
    <w:rsid w:val="000E11D7"/>
    <w:rsid w:val="000E1DB1"/>
    <w:rsid w:val="000E3547"/>
    <w:rsid w:val="000E38B2"/>
    <w:rsid w:val="000E45FB"/>
    <w:rsid w:val="000E6126"/>
    <w:rsid w:val="000E67D5"/>
    <w:rsid w:val="000E7DC6"/>
    <w:rsid w:val="000F0A13"/>
    <w:rsid w:val="000F1673"/>
    <w:rsid w:val="000F4133"/>
    <w:rsid w:val="000F480F"/>
    <w:rsid w:val="000F51CF"/>
    <w:rsid w:val="000F5DB3"/>
    <w:rsid w:val="000F7E77"/>
    <w:rsid w:val="001007B6"/>
    <w:rsid w:val="0010233E"/>
    <w:rsid w:val="0010402E"/>
    <w:rsid w:val="00104077"/>
    <w:rsid w:val="00104318"/>
    <w:rsid w:val="00106BBC"/>
    <w:rsid w:val="00107EF2"/>
    <w:rsid w:val="00111BD3"/>
    <w:rsid w:val="00114CC4"/>
    <w:rsid w:val="00115841"/>
    <w:rsid w:val="00115F8B"/>
    <w:rsid w:val="001161E2"/>
    <w:rsid w:val="00116D42"/>
    <w:rsid w:val="00116D98"/>
    <w:rsid w:val="0012389C"/>
    <w:rsid w:val="001321D4"/>
    <w:rsid w:val="001326FE"/>
    <w:rsid w:val="001341AE"/>
    <w:rsid w:val="0013426C"/>
    <w:rsid w:val="00134D97"/>
    <w:rsid w:val="0013586D"/>
    <w:rsid w:val="00136939"/>
    <w:rsid w:val="00136975"/>
    <w:rsid w:val="00140292"/>
    <w:rsid w:val="00140B6F"/>
    <w:rsid w:val="00141B06"/>
    <w:rsid w:val="0014259E"/>
    <w:rsid w:val="001427B5"/>
    <w:rsid w:val="00143E17"/>
    <w:rsid w:val="00145FCC"/>
    <w:rsid w:val="00146E14"/>
    <w:rsid w:val="00150C6C"/>
    <w:rsid w:val="00152F65"/>
    <w:rsid w:val="00154201"/>
    <w:rsid w:val="00155CDF"/>
    <w:rsid w:val="001573AD"/>
    <w:rsid w:val="00157B7D"/>
    <w:rsid w:val="00160D91"/>
    <w:rsid w:val="00162923"/>
    <w:rsid w:val="00162D47"/>
    <w:rsid w:val="00163507"/>
    <w:rsid w:val="00163B21"/>
    <w:rsid w:val="00164E9D"/>
    <w:rsid w:val="00166D91"/>
    <w:rsid w:val="001705B9"/>
    <w:rsid w:val="00172A27"/>
    <w:rsid w:val="00174B21"/>
    <w:rsid w:val="00174BC7"/>
    <w:rsid w:val="00175F96"/>
    <w:rsid w:val="001777EE"/>
    <w:rsid w:val="001821AB"/>
    <w:rsid w:val="00182411"/>
    <w:rsid w:val="00182BF7"/>
    <w:rsid w:val="001834CA"/>
    <w:rsid w:val="00184E27"/>
    <w:rsid w:val="001862F3"/>
    <w:rsid w:val="00186F31"/>
    <w:rsid w:val="00187295"/>
    <w:rsid w:val="00190A05"/>
    <w:rsid w:val="00190E83"/>
    <w:rsid w:val="00191528"/>
    <w:rsid w:val="00191C7D"/>
    <w:rsid w:val="0019550E"/>
    <w:rsid w:val="001A13E7"/>
    <w:rsid w:val="001A29A2"/>
    <w:rsid w:val="001A2E3F"/>
    <w:rsid w:val="001A4BDF"/>
    <w:rsid w:val="001A74A2"/>
    <w:rsid w:val="001B0CE8"/>
    <w:rsid w:val="001B2CC7"/>
    <w:rsid w:val="001B3393"/>
    <w:rsid w:val="001B7864"/>
    <w:rsid w:val="001B7BF7"/>
    <w:rsid w:val="001C031E"/>
    <w:rsid w:val="001C2F4D"/>
    <w:rsid w:val="001C5D3B"/>
    <w:rsid w:val="001C6AF5"/>
    <w:rsid w:val="001D0052"/>
    <w:rsid w:val="001D07CD"/>
    <w:rsid w:val="001D4419"/>
    <w:rsid w:val="001E0311"/>
    <w:rsid w:val="001E2A62"/>
    <w:rsid w:val="001E3A09"/>
    <w:rsid w:val="001E4471"/>
    <w:rsid w:val="001E4759"/>
    <w:rsid w:val="001F251E"/>
    <w:rsid w:val="001F4BFF"/>
    <w:rsid w:val="001F54E7"/>
    <w:rsid w:val="001F5A60"/>
    <w:rsid w:val="001F6401"/>
    <w:rsid w:val="001F6E2A"/>
    <w:rsid w:val="002032D2"/>
    <w:rsid w:val="00204C01"/>
    <w:rsid w:val="0020626D"/>
    <w:rsid w:val="002062B0"/>
    <w:rsid w:val="002108BC"/>
    <w:rsid w:val="00211CCC"/>
    <w:rsid w:val="00212AFB"/>
    <w:rsid w:val="002145A6"/>
    <w:rsid w:val="002155BF"/>
    <w:rsid w:val="00216596"/>
    <w:rsid w:val="0022176F"/>
    <w:rsid w:val="00221CCF"/>
    <w:rsid w:val="00226DB3"/>
    <w:rsid w:val="00232EE8"/>
    <w:rsid w:val="002359F8"/>
    <w:rsid w:val="00237275"/>
    <w:rsid w:val="0024019C"/>
    <w:rsid w:val="00241C8B"/>
    <w:rsid w:val="002423E1"/>
    <w:rsid w:val="00242533"/>
    <w:rsid w:val="00242B38"/>
    <w:rsid w:val="00242CA9"/>
    <w:rsid w:val="0024448E"/>
    <w:rsid w:val="002450F0"/>
    <w:rsid w:val="002455BB"/>
    <w:rsid w:val="002458F6"/>
    <w:rsid w:val="00245FAF"/>
    <w:rsid w:val="00246DE2"/>
    <w:rsid w:val="002475CF"/>
    <w:rsid w:val="00250825"/>
    <w:rsid w:val="00252E0B"/>
    <w:rsid w:val="00253FE6"/>
    <w:rsid w:val="00254E60"/>
    <w:rsid w:val="002553A6"/>
    <w:rsid w:val="00255C0A"/>
    <w:rsid w:val="00261045"/>
    <w:rsid w:val="00261766"/>
    <w:rsid w:val="002622FF"/>
    <w:rsid w:val="00262701"/>
    <w:rsid w:val="00264412"/>
    <w:rsid w:val="00265639"/>
    <w:rsid w:val="00265A04"/>
    <w:rsid w:val="002671BB"/>
    <w:rsid w:val="00274DD5"/>
    <w:rsid w:val="00276D94"/>
    <w:rsid w:val="00282240"/>
    <w:rsid w:val="00285142"/>
    <w:rsid w:val="00286803"/>
    <w:rsid w:val="00291A41"/>
    <w:rsid w:val="00291A5E"/>
    <w:rsid w:val="00291F6E"/>
    <w:rsid w:val="00292057"/>
    <w:rsid w:val="002931F5"/>
    <w:rsid w:val="00293B76"/>
    <w:rsid w:val="002A2FA0"/>
    <w:rsid w:val="002A49B3"/>
    <w:rsid w:val="002A607D"/>
    <w:rsid w:val="002B09BD"/>
    <w:rsid w:val="002B2447"/>
    <w:rsid w:val="002B356C"/>
    <w:rsid w:val="002B506C"/>
    <w:rsid w:val="002B524D"/>
    <w:rsid w:val="002B71B3"/>
    <w:rsid w:val="002B7E06"/>
    <w:rsid w:val="002C13CA"/>
    <w:rsid w:val="002C3C1F"/>
    <w:rsid w:val="002C6643"/>
    <w:rsid w:val="002C72CB"/>
    <w:rsid w:val="002C781C"/>
    <w:rsid w:val="002D008D"/>
    <w:rsid w:val="002D0BB8"/>
    <w:rsid w:val="002D126E"/>
    <w:rsid w:val="002D1C8E"/>
    <w:rsid w:val="002D1CEF"/>
    <w:rsid w:val="002D5D60"/>
    <w:rsid w:val="002D5E85"/>
    <w:rsid w:val="002D6A4F"/>
    <w:rsid w:val="002D7A34"/>
    <w:rsid w:val="002E2DAD"/>
    <w:rsid w:val="002E3213"/>
    <w:rsid w:val="002E5442"/>
    <w:rsid w:val="002E6A03"/>
    <w:rsid w:val="002E6C97"/>
    <w:rsid w:val="002F085E"/>
    <w:rsid w:val="002F0A81"/>
    <w:rsid w:val="002F0C53"/>
    <w:rsid w:val="002F18EF"/>
    <w:rsid w:val="002F1962"/>
    <w:rsid w:val="002F2DF4"/>
    <w:rsid w:val="002F5189"/>
    <w:rsid w:val="002F7C28"/>
    <w:rsid w:val="00300917"/>
    <w:rsid w:val="0030197A"/>
    <w:rsid w:val="00304B72"/>
    <w:rsid w:val="00304E76"/>
    <w:rsid w:val="0030555A"/>
    <w:rsid w:val="00305682"/>
    <w:rsid w:val="003077B0"/>
    <w:rsid w:val="00310539"/>
    <w:rsid w:val="00310D11"/>
    <w:rsid w:val="00310E93"/>
    <w:rsid w:val="00311A82"/>
    <w:rsid w:val="00320028"/>
    <w:rsid w:val="00321DDC"/>
    <w:rsid w:val="003222E3"/>
    <w:rsid w:val="0032573B"/>
    <w:rsid w:val="003265AA"/>
    <w:rsid w:val="003265BE"/>
    <w:rsid w:val="00327505"/>
    <w:rsid w:val="00334139"/>
    <w:rsid w:val="00335333"/>
    <w:rsid w:val="00335FE4"/>
    <w:rsid w:val="00336BBE"/>
    <w:rsid w:val="003373B7"/>
    <w:rsid w:val="00341BC6"/>
    <w:rsid w:val="00342123"/>
    <w:rsid w:val="003426A8"/>
    <w:rsid w:val="003473F5"/>
    <w:rsid w:val="00347B27"/>
    <w:rsid w:val="00350375"/>
    <w:rsid w:val="003524EA"/>
    <w:rsid w:val="0035320C"/>
    <w:rsid w:val="00354046"/>
    <w:rsid w:val="00354389"/>
    <w:rsid w:val="003547D7"/>
    <w:rsid w:val="003609ED"/>
    <w:rsid w:val="00360D0B"/>
    <w:rsid w:val="0036136E"/>
    <w:rsid w:val="00361398"/>
    <w:rsid w:val="0036174D"/>
    <w:rsid w:val="00361D2E"/>
    <w:rsid w:val="003656D0"/>
    <w:rsid w:val="00366C63"/>
    <w:rsid w:val="00370AC7"/>
    <w:rsid w:val="00370C96"/>
    <w:rsid w:val="0037163F"/>
    <w:rsid w:val="00373913"/>
    <w:rsid w:val="00374161"/>
    <w:rsid w:val="00374737"/>
    <w:rsid w:val="003749D8"/>
    <w:rsid w:val="00374CD1"/>
    <w:rsid w:val="00376AE7"/>
    <w:rsid w:val="003778D8"/>
    <w:rsid w:val="003801EB"/>
    <w:rsid w:val="00380D7A"/>
    <w:rsid w:val="0038177E"/>
    <w:rsid w:val="003823A2"/>
    <w:rsid w:val="003824FB"/>
    <w:rsid w:val="00382519"/>
    <w:rsid w:val="00382BA6"/>
    <w:rsid w:val="00387389"/>
    <w:rsid w:val="003874E9"/>
    <w:rsid w:val="00387CDB"/>
    <w:rsid w:val="003910F0"/>
    <w:rsid w:val="00391B40"/>
    <w:rsid w:val="00392757"/>
    <w:rsid w:val="0039393A"/>
    <w:rsid w:val="00393F3A"/>
    <w:rsid w:val="003940F8"/>
    <w:rsid w:val="00395F94"/>
    <w:rsid w:val="0039620A"/>
    <w:rsid w:val="003964EE"/>
    <w:rsid w:val="00396B53"/>
    <w:rsid w:val="003A261F"/>
    <w:rsid w:val="003A428F"/>
    <w:rsid w:val="003A44ED"/>
    <w:rsid w:val="003A743A"/>
    <w:rsid w:val="003B0F7E"/>
    <w:rsid w:val="003B1F83"/>
    <w:rsid w:val="003B3B4C"/>
    <w:rsid w:val="003B5E19"/>
    <w:rsid w:val="003B7F4B"/>
    <w:rsid w:val="003C0CF2"/>
    <w:rsid w:val="003C12C0"/>
    <w:rsid w:val="003D0426"/>
    <w:rsid w:val="003D1637"/>
    <w:rsid w:val="003D1F5E"/>
    <w:rsid w:val="003E1346"/>
    <w:rsid w:val="003E1997"/>
    <w:rsid w:val="003E41A7"/>
    <w:rsid w:val="003E4878"/>
    <w:rsid w:val="003F1819"/>
    <w:rsid w:val="003F2E4A"/>
    <w:rsid w:val="003F4AB1"/>
    <w:rsid w:val="003F4D1C"/>
    <w:rsid w:val="003F518E"/>
    <w:rsid w:val="003F6BEE"/>
    <w:rsid w:val="003F7181"/>
    <w:rsid w:val="004007DF"/>
    <w:rsid w:val="00401BEB"/>
    <w:rsid w:val="00402228"/>
    <w:rsid w:val="00405BF2"/>
    <w:rsid w:val="00405F8E"/>
    <w:rsid w:val="00410F32"/>
    <w:rsid w:val="0041178D"/>
    <w:rsid w:val="00412287"/>
    <w:rsid w:val="00413EC3"/>
    <w:rsid w:val="00414F55"/>
    <w:rsid w:val="00415208"/>
    <w:rsid w:val="00415C38"/>
    <w:rsid w:val="004165DD"/>
    <w:rsid w:val="00416D85"/>
    <w:rsid w:val="00417D07"/>
    <w:rsid w:val="00420813"/>
    <w:rsid w:val="004211AA"/>
    <w:rsid w:val="00424CB8"/>
    <w:rsid w:val="0042582F"/>
    <w:rsid w:val="0042752E"/>
    <w:rsid w:val="004275E8"/>
    <w:rsid w:val="00431504"/>
    <w:rsid w:val="00431522"/>
    <w:rsid w:val="00431924"/>
    <w:rsid w:val="00433898"/>
    <w:rsid w:val="00436FAB"/>
    <w:rsid w:val="00440720"/>
    <w:rsid w:val="0044142B"/>
    <w:rsid w:val="004421AD"/>
    <w:rsid w:val="00442FD7"/>
    <w:rsid w:val="00443519"/>
    <w:rsid w:val="00446257"/>
    <w:rsid w:val="0045017E"/>
    <w:rsid w:val="00452E73"/>
    <w:rsid w:val="00455271"/>
    <w:rsid w:val="00457683"/>
    <w:rsid w:val="00460BE0"/>
    <w:rsid w:val="00464056"/>
    <w:rsid w:val="00465B84"/>
    <w:rsid w:val="0046691C"/>
    <w:rsid w:val="004672BA"/>
    <w:rsid w:val="0046774A"/>
    <w:rsid w:val="00471978"/>
    <w:rsid w:val="004734E7"/>
    <w:rsid w:val="0047385A"/>
    <w:rsid w:val="004768DF"/>
    <w:rsid w:val="00477A31"/>
    <w:rsid w:val="004819C5"/>
    <w:rsid w:val="0048316F"/>
    <w:rsid w:val="00484DA2"/>
    <w:rsid w:val="004855A7"/>
    <w:rsid w:val="00485EB9"/>
    <w:rsid w:val="00486944"/>
    <w:rsid w:val="00490E94"/>
    <w:rsid w:val="00491F0A"/>
    <w:rsid w:val="0049273A"/>
    <w:rsid w:val="00494484"/>
    <w:rsid w:val="004957A6"/>
    <w:rsid w:val="004967F7"/>
    <w:rsid w:val="00496EF8"/>
    <w:rsid w:val="004971F0"/>
    <w:rsid w:val="004A0FCB"/>
    <w:rsid w:val="004A23C4"/>
    <w:rsid w:val="004A3457"/>
    <w:rsid w:val="004A3BE9"/>
    <w:rsid w:val="004A4256"/>
    <w:rsid w:val="004A42FD"/>
    <w:rsid w:val="004A49AC"/>
    <w:rsid w:val="004A5240"/>
    <w:rsid w:val="004A565B"/>
    <w:rsid w:val="004A569A"/>
    <w:rsid w:val="004A6BA1"/>
    <w:rsid w:val="004A6BEA"/>
    <w:rsid w:val="004B0D91"/>
    <w:rsid w:val="004B1136"/>
    <w:rsid w:val="004B2605"/>
    <w:rsid w:val="004B45B5"/>
    <w:rsid w:val="004B479A"/>
    <w:rsid w:val="004B5CC2"/>
    <w:rsid w:val="004B6C2C"/>
    <w:rsid w:val="004C03A3"/>
    <w:rsid w:val="004C1C1C"/>
    <w:rsid w:val="004C20D2"/>
    <w:rsid w:val="004C2B1D"/>
    <w:rsid w:val="004C3A0C"/>
    <w:rsid w:val="004C47D4"/>
    <w:rsid w:val="004C6EFF"/>
    <w:rsid w:val="004C706B"/>
    <w:rsid w:val="004C7D93"/>
    <w:rsid w:val="004D2ECB"/>
    <w:rsid w:val="004D391C"/>
    <w:rsid w:val="004D42C0"/>
    <w:rsid w:val="004D510E"/>
    <w:rsid w:val="004D5796"/>
    <w:rsid w:val="004D5FEF"/>
    <w:rsid w:val="004E3B82"/>
    <w:rsid w:val="004E4058"/>
    <w:rsid w:val="004E412E"/>
    <w:rsid w:val="004F0439"/>
    <w:rsid w:val="004F0519"/>
    <w:rsid w:val="004F228B"/>
    <w:rsid w:val="004F3E31"/>
    <w:rsid w:val="004F491B"/>
    <w:rsid w:val="004F68D6"/>
    <w:rsid w:val="004F6EDB"/>
    <w:rsid w:val="004F730C"/>
    <w:rsid w:val="00503F47"/>
    <w:rsid w:val="00504F8A"/>
    <w:rsid w:val="00505EAF"/>
    <w:rsid w:val="005079C0"/>
    <w:rsid w:val="00507B9A"/>
    <w:rsid w:val="00511AC0"/>
    <w:rsid w:val="00512629"/>
    <w:rsid w:val="00512C30"/>
    <w:rsid w:val="005132DF"/>
    <w:rsid w:val="00514E81"/>
    <w:rsid w:val="0051510D"/>
    <w:rsid w:val="005168CC"/>
    <w:rsid w:val="00516CE2"/>
    <w:rsid w:val="005176F8"/>
    <w:rsid w:val="0052003B"/>
    <w:rsid w:val="005214C7"/>
    <w:rsid w:val="0052180E"/>
    <w:rsid w:val="00521C34"/>
    <w:rsid w:val="00522753"/>
    <w:rsid w:val="00522EB9"/>
    <w:rsid w:val="0052457D"/>
    <w:rsid w:val="005247A3"/>
    <w:rsid w:val="00524FF0"/>
    <w:rsid w:val="00525159"/>
    <w:rsid w:val="005271AA"/>
    <w:rsid w:val="005307A1"/>
    <w:rsid w:val="00530F88"/>
    <w:rsid w:val="00531627"/>
    <w:rsid w:val="005323C6"/>
    <w:rsid w:val="00533819"/>
    <w:rsid w:val="00535458"/>
    <w:rsid w:val="0053640D"/>
    <w:rsid w:val="00537520"/>
    <w:rsid w:val="0053796F"/>
    <w:rsid w:val="00540847"/>
    <w:rsid w:val="00543A75"/>
    <w:rsid w:val="0054450A"/>
    <w:rsid w:val="00545B8E"/>
    <w:rsid w:val="00547924"/>
    <w:rsid w:val="00552DE5"/>
    <w:rsid w:val="00554338"/>
    <w:rsid w:val="00555A47"/>
    <w:rsid w:val="00555B84"/>
    <w:rsid w:val="005570F3"/>
    <w:rsid w:val="0056037E"/>
    <w:rsid w:val="00560D41"/>
    <w:rsid w:val="00561D7F"/>
    <w:rsid w:val="00565047"/>
    <w:rsid w:val="00565DD9"/>
    <w:rsid w:val="00566A31"/>
    <w:rsid w:val="005677F9"/>
    <w:rsid w:val="00570603"/>
    <w:rsid w:val="00570B56"/>
    <w:rsid w:val="00570E33"/>
    <w:rsid w:val="00572E07"/>
    <w:rsid w:val="00574686"/>
    <w:rsid w:val="00575DEC"/>
    <w:rsid w:val="00576AF8"/>
    <w:rsid w:val="005772E8"/>
    <w:rsid w:val="00580517"/>
    <w:rsid w:val="00580A68"/>
    <w:rsid w:val="00581916"/>
    <w:rsid w:val="0058281B"/>
    <w:rsid w:val="00585C50"/>
    <w:rsid w:val="005906C1"/>
    <w:rsid w:val="0059089B"/>
    <w:rsid w:val="00591DE9"/>
    <w:rsid w:val="00593367"/>
    <w:rsid w:val="005953A1"/>
    <w:rsid w:val="00596FE8"/>
    <w:rsid w:val="00597E75"/>
    <w:rsid w:val="005A143A"/>
    <w:rsid w:val="005A15EF"/>
    <w:rsid w:val="005A229A"/>
    <w:rsid w:val="005A32F8"/>
    <w:rsid w:val="005A3B83"/>
    <w:rsid w:val="005A6794"/>
    <w:rsid w:val="005A68B7"/>
    <w:rsid w:val="005A70AF"/>
    <w:rsid w:val="005B0844"/>
    <w:rsid w:val="005B2885"/>
    <w:rsid w:val="005B39E1"/>
    <w:rsid w:val="005B3FB5"/>
    <w:rsid w:val="005B68BB"/>
    <w:rsid w:val="005B706A"/>
    <w:rsid w:val="005B7C11"/>
    <w:rsid w:val="005C05FA"/>
    <w:rsid w:val="005C1096"/>
    <w:rsid w:val="005C190F"/>
    <w:rsid w:val="005C1E48"/>
    <w:rsid w:val="005C612C"/>
    <w:rsid w:val="005C644C"/>
    <w:rsid w:val="005D023B"/>
    <w:rsid w:val="005D07BF"/>
    <w:rsid w:val="005D2B13"/>
    <w:rsid w:val="005D326C"/>
    <w:rsid w:val="005D3C98"/>
    <w:rsid w:val="005D4B1C"/>
    <w:rsid w:val="005D5C75"/>
    <w:rsid w:val="005D6687"/>
    <w:rsid w:val="005D69BA"/>
    <w:rsid w:val="005E7E7C"/>
    <w:rsid w:val="005F4254"/>
    <w:rsid w:val="005F47FA"/>
    <w:rsid w:val="005F4AC9"/>
    <w:rsid w:val="005F7336"/>
    <w:rsid w:val="005F7D50"/>
    <w:rsid w:val="00600B10"/>
    <w:rsid w:val="006023B7"/>
    <w:rsid w:val="00603282"/>
    <w:rsid w:val="0060351C"/>
    <w:rsid w:val="00606F57"/>
    <w:rsid w:val="00611035"/>
    <w:rsid w:val="006116F3"/>
    <w:rsid w:val="006128AA"/>
    <w:rsid w:val="00613E58"/>
    <w:rsid w:val="006154E6"/>
    <w:rsid w:val="00616B0A"/>
    <w:rsid w:val="00617D36"/>
    <w:rsid w:val="0062209E"/>
    <w:rsid w:val="00622820"/>
    <w:rsid w:val="00622913"/>
    <w:rsid w:val="006243ED"/>
    <w:rsid w:val="006245A4"/>
    <w:rsid w:val="00624854"/>
    <w:rsid w:val="00624D28"/>
    <w:rsid w:val="00624F4B"/>
    <w:rsid w:val="006304F1"/>
    <w:rsid w:val="006320B6"/>
    <w:rsid w:val="00632282"/>
    <w:rsid w:val="006333F4"/>
    <w:rsid w:val="006375AB"/>
    <w:rsid w:val="0064052C"/>
    <w:rsid w:val="006441CB"/>
    <w:rsid w:val="00647338"/>
    <w:rsid w:val="006473E9"/>
    <w:rsid w:val="006477F4"/>
    <w:rsid w:val="006528A0"/>
    <w:rsid w:val="006533C5"/>
    <w:rsid w:val="00654C69"/>
    <w:rsid w:val="00660F75"/>
    <w:rsid w:val="006615CF"/>
    <w:rsid w:val="00661ED4"/>
    <w:rsid w:val="00662BA0"/>
    <w:rsid w:val="00663685"/>
    <w:rsid w:val="006638EE"/>
    <w:rsid w:val="006643F8"/>
    <w:rsid w:val="00664CFE"/>
    <w:rsid w:val="006653D4"/>
    <w:rsid w:val="006670BC"/>
    <w:rsid w:val="00671292"/>
    <w:rsid w:val="006727EA"/>
    <w:rsid w:val="00672EEE"/>
    <w:rsid w:val="0067368C"/>
    <w:rsid w:val="00673AF1"/>
    <w:rsid w:val="00674E74"/>
    <w:rsid w:val="00676643"/>
    <w:rsid w:val="0068036B"/>
    <w:rsid w:val="00682A5A"/>
    <w:rsid w:val="006832B4"/>
    <w:rsid w:val="00684021"/>
    <w:rsid w:val="00684A81"/>
    <w:rsid w:val="00684ECB"/>
    <w:rsid w:val="00685DF1"/>
    <w:rsid w:val="00686632"/>
    <w:rsid w:val="00686F42"/>
    <w:rsid w:val="00691CC1"/>
    <w:rsid w:val="00692885"/>
    <w:rsid w:val="0069604A"/>
    <w:rsid w:val="006A0345"/>
    <w:rsid w:val="006A05B2"/>
    <w:rsid w:val="006A0713"/>
    <w:rsid w:val="006A328D"/>
    <w:rsid w:val="006A33CA"/>
    <w:rsid w:val="006A3A0C"/>
    <w:rsid w:val="006A4068"/>
    <w:rsid w:val="006A78D0"/>
    <w:rsid w:val="006A7E81"/>
    <w:rsid w:val="006B04FE"/>
    <w:rsid w:val="006B1052"/>
    <w:rsid w:val="006B293A"/>
    <w:rsid w:val="006B2E36"/>
    <w:rsid w:val="006B3710"/>
    <w:rsid w:val="006B3F42"/>
    <w:rsid w:val="006B4002"/>
    <w:rsid w:val="006B47AB"/>
    <w:rsid w:val="006B525C"/>
    <w:rsid w:val="006B52F7"/>
    <w:rsid w:val="006C17B3"/>
    <w:rsid w:val="006C563E"/>
    <w:rsid w:val="006C6A31"/>
    <w:rsid w:val="006D4AA6"/>
    <w:rsid w:val="006D5442"/>
    <w:rsid w:val="006E2634"/>
    <w:rsid w:val="006E68C1"/>
    <w:rsid w:val="006E697A"/>
    <w:rsid w:val="006F064E"/>
    <w:rsid w:val="006F27F9"/>
    <w:rsid w:val="006F2CC9"/>
    <w:rsid w:val="006F39DA"/>
    <w:rsid w:val="006F77E3"/>
    <w:rsid w:val="006F7BBE"/>
    <w:rsid w:val="006F7D85"/>
    <w:rsid w:val="006F7DA8"/>
    <w:rsid w:val="007029A4"/>
    <w:rsid w:val="00703F33"/>
    <w:rsid w:val="00707551"/>
    <w:rsid w:val="00707B56"/>
    <w:rsid w:val="0071057A"/>
    <w:rsid w:val="00713DE6"/>
    <w:rsid w:val="0071422E"/>
    <w:rsid w:val="0071426E"/>
    <w:rsid w:val="007144E9"/>
    <w:rsid w:val="0071555E"/>
    <w:rsid w:val="00715BC9"/>
    <w:rsid w:val="0071614C"/>
    <w:rsid w:val="00716381"/>
    <w:rsid w:val="00722A52"/>
    <w:rsid w:val="00723A78"/>
    <w:rsid w:val="007242CF"/>
    <w:rsid w:val="00737A62"/>
    <w:rsid w:val="00737E0B"/>
    <w:rsid w:val="007400E9"/>
    <w:rsid w:val="0074089D"/>
    <w:rsid w:val="00740A98"/>
    <w:rsid w:val="00742E80"/>
    <w:rsid w:val="007501C0"/>
    <w:rsid w:val="0075289C"/>
    <w:rsid w:val="007531C0"/>
    <w:rsid w:val="00753356"/>
    <w:rsid w:val="00753674"/>
    <w:rsid w:val="007539F4"/>
    <w:rsid w:val="007543CE"/>
    <w:rsid w:val="00754B27"/>
    <w:rsid w:val="007560C5"/>
    <w:rsid w:val="0075754E"/>
    <w:rsid w:val="00760950"/>
    <w:rsid w:val="00761615"/>
    <w:rsid w:val="00762879"/>
    <w:rsid w:val="00764989"/>
    <w:rsid w:val="00764E3F"/>
    <w:rsid w:val="00765540"/>
    <w:rsid w:val="00776711"/>
    <w:rsid w:val="00776742"/>
    <w:rsid w:val="00780B67"/>
    <w:rsid w:val="007821AB"/>
    <w:rsid w:val="007838B8"/>
    <w:rsid w:val="00783CDA"/>
    <w:rsid w:val="00784A2C"/>
    <w:rsid w:val="00785F4D"/>
    <w:rsid w:val="007860EB"/>
    <w:rsid w:val="00787C73"/>
    <w:rsid w:val="00790412"/>
    <w:rsid w:val="0079075A"/>
    <w:rsid w:val="007919C6"/>
    <w:rsid w:val="007943A5"/>
    <w:rsid w:val="007955BE"/>
    <w:rsid w:val="00797321"/>
    <w:rsid w:val="00797CF4"/>
    <w:rsid w:val="007A085D"/>
    <w:rsid w:val="007A0EAC"/>
    <w:rsid w:val="007A1089"/>
    <w:rsid w:val="007A19D0"/>
    <w:rsid w:val="007A2038"/>
    <w:rsid w:val="007A2691"/>
    <w:rsid w:val="007A385D"/>
    <w:rsid w:val="007A3964"/>
    <w:rsid w:val="007A4BC0"/>
    <w:rsid w:val="007A4D70"/>
    <w:rsid w:val="007A5D50"/>
    <w:rsid w:val="007A644E"/>
    <w:rsid w:val="007A7867"/>
    <w:rsid w:val="007B072A"/>
    <w:rsid w:val="007B2030"/>
    <w:rsid w:val="007B2695"/>
    <w:rsid w:val="007B27E6"/>
    <w:rsid w:val="007B3A23"/>
    <w:rsid w:val="007B3A58"/>
    <w:rsid w:val="007B44AA"/>
    <w:rsid w:val="007B4937"/>
    <w:rsid w:val="007B58C7"/>
    <w:rsid w:val="007B5EA7"/>
    <w:rsid w:val="007B606C"/>
    <w:rsid w:val="007B62D2"/>
    <w:rsid w:val="007C49F9"/>
    <w:rsid w:val="007D40F2"/>
    <w:rsid w:val="007D7E82"/>
    <w:rsid w:val="007E0A79"/>
    <w:rsid w:val="007E2362"/>
    <w:rsid w:val="007E490C"/>
    <w:rsid w:val="007E6998"/>
    <w:rsid w:val="007E7170"/>
    <w:rsid w:val="007E7A0B"/>
    <w:rsid w:val="007F10C3"/>
    <w:rsid w:val="007F1B9D"/>
    <w:rsid w:val="007F1E41"/>
    <w:rsid w:val="007F4F4B"/>
    <w:rsid w:val="007F4FFA"/>
    <w:rsid w:val="007F50BF"/>
    <w:rsid w:val="007F6B30"/>
    <w:rsid w:val="007F6C09"/>
    <w:rsid w:val="007F7318"/>
    <w:rsid w:val="00800BBC"/>
    <w:rsid w:val="00801E46"/>
    <w:rsid w:val="00801F92"/>
    <w:rsid w:val="00802D23"/>
    <w:rsid w:val="00802E8E"/>
    <w:rsid w:val="0080321C"/>
    <w:rsid w:val="0080402E"/>
    <w:rsid w:val="008076D8"/>
    <w:rsid w:val="008135BB"/>
    <w:rsid w:val="00813885"/>
    <w:rsid w:val="00815E3D"/>
    <w:rsid w:val="00822ACD"/>
    <w:rsid w:val="00824724"/>
    <w:rsid w:val="00825046"/>
    <w:rsid w:val="008254CD"/>
    <w:rsid w:val="0082593C"/>
    <w:rsid w:val="00827244"/>
    <w:rsid w:val="008276E6"/>
    <w:rsid w:val="008312C1"/>
    <w:rsid w:val="00834A75"/>
    <w:rsid w:val="00835D54"/>
    <w:rsid w:val="00837A13"/>
    <w:rsid w:val="00841B57"/>
    <w:rsid w:val="00841DF2"/>
    <w:rsid w:val="00842938"/>
    <w:rsid w:val="0084356C"/>
    <w:rsid w:val="0084373A"/>
    <w:rsid w:val="00844807"/>
    <w:rsid w:val="00844921"/>
    <w:rsid w:val="00845597"/>
    <w:rsid w:val="00846039"/>
    <w:rsid w:val="00846C9A"/>
    <w:rsid w:val="00846CC7"/>
    <w:rsid w:val="00846DB5"/>
    <w:rsid w:val="0084778E"/>
    <w:rsid w:val="00850BFE"/>
    <w:rsid w:val="00851EB4"/>
    <w:rsid w:val="008526D0"/>
    <w:rsid w:val="0085470F"/>
    <w:rsid w:val="00856473"/>
    <w:rsid w:val="00861A2A"/>
    <w:rsid w:val="008633F0"/>
    <w:rsid w:val="00865CD1"/>
    <w:rsid w:val="00866686"/>
    <w:rsid w:val="00870CAA"/>
    <w:rsid w:val="00872413"/>
    <w:rsid w:val="008753DF"/>
    <w:rsid w:val="008754C6"/>
    <w:rsid w:val="00880873"/>
    <w:rsid w:val="008809AF"/>
    <w:rsid w:val="00883D96"/>
    <w:rsid w:val="00885E40"/>
    <w:rsid w:val="008918F4"/>
    <w:rsid w:val="00891D2D"/>
    <w:rsid w:val="0089430A"/>
    <w:rsid w:val="00894A1B"/>
    <w:rsid w:val="008957BB"/>
    <w:rsid w:val="00896AD7"/>
    <w:rsid w:val="00897576"/>
    <w:rsid w:val="008A0598"/>
    <w:rsid w:val="008A2B16"/>
    <w:rsid w:val="008A2D2B"/>
    <w:rsid w:val="008A535E"/>
    <w:rsid w:val="008A6C35"/>
    <w:rsid w:val="008B0B36"/>
    <w:rsid w:val="008B222D"/>
    <w:rsid w:val="008B3098"/>
    <w:rsid w:val="008B50CE"/>
    <w:rsid w:val="008B6481"/>
    <w:rsid w:val="008B6F0F"/>
    <w:rsid w:val="008C372A"/>
    <w:rsid w:val="008C42D7"/>
    <w:rsid w:val="008C5433"/>
    <w:rsid w:val="008D100B"/>
    <w:rsid w:val="008D274C"/>
    <w:rsid w:val="008D292D"/>
    <w:rsid w:val="008D2AAF"/>
    <w:rsid w:val="008D335F"/>
    <w:rsid w:val="008D3852"/>
    <w:rsid w:val="008D3BA1"/>
    <w:rsid w:val="008D7BA5"/>
    <w:rsid w:val="008E4044"/>
    <w:rsid w:val="008E4F52"/>
    <w:rsid w:val="008E5C60"/>
    <w:rsid w:val="008E60C5"/>
    <w:rsid w:val="008F041A"/>
    <w:rsid w:val="008F1130"/>
    <w:rsid w:val="008F2F05"/>
    <w:rsid w:val="008F32F7"/>
    <w:rsid w:val="008F3597"/>
    <w:rsid w:val="008F48A9"/>
    <w:rsid w:val="008F58E6"/>
    <w:rsid w:val="008F5F11"/>
    <w:rsid w:val="008F7254"/>
    <w:rsid w:val="008F7C09"/>
    <w:rsid w:val="008F7CF8"/>
    <w:rsid w:val="008F7D13"/>
    <w:rsid w:val="0090060A"/>
    <w:rsid w:val="00900BAF"/>
    <w:rsid w:val="00901603"/>
    <w:rsid w:val="009019DF"/>
    <w:rsid w:val="00901CD1"/>
    <w:rsid w:val="00901EA7"/>
    <w:rsid w:val="00902023"/>
    <w:rsid w:val="00903C9D"/>
    <w:rsid w:val="009068FF"/>
    <w:rsid w:val="00906CF2"/>
    <w:rsid w:val="009076B4"/>
    <w:rsid w:val="00907C55"/>
    <w:rsid w:val="00912FB4"/>
    <w:rsid w:val="0091365A"/>
    <w:rsid w:val="009173B3"/>
    <w:rsid w:val="00920995"/>
    <w:rsid w:val="00921666"/>
    <w:rsid w:val="0092266C"/>
    <w:rsid w:val="0092378E"/>
    <w:rsid w:val="00923BEC"/>
    <w:rsid w:val="00926BA7"/>
    <w:rsid w:val="00927666"/>
    <w:rsid w:val="00927C5B"/>
    <w:rsid w:val="009300F5"/>
    <w:rsid w:val="009325CC"/>
    <w:rsid w:val="0093283D"/>
    <w:rsid w:val="00935ABF"/>
    <w:rsid w:val="00936B83"/>
    <w:rsid w:val="00940125"/>
    <w:rsid w:val="00940D3C"/>
    <w:rsid w:val="00941EBD"/>
    <w:rsid w:val="00945E60"/>
    <w:rsid w:val="00946799"/>
    <w:rsid w:val="00947087"/>
    <w:rsid w:val="00950A5C"/>
    <w:rsid w:val="00951922"/>
    <w:rsid w:val="00951B56"/>
    <w:rsid w:val="00954C07"/>
    <w:rsid w:val="00955044"/>
    <w:rsid w:val="00955483"/>
    <w:rsid w:val="00956328"/>
    <w:rsid w:val="00957497"/>
    <w:rsid w:val="00962387"/>
    <w:rsid w:val="009633D8"/>
    <w:rsid w:val="009667C8"/>
    <w:rsid w:val="00966C0B"/>
    <w:rsid w:val="0097050C"/>
    <w:rsid w:val="00974064"/>
    <w:rsid w:val="0097503A"/>
    <w:rsid w:val="00975234"/>
    <w:rsid w:val="00975C1B"/>
    <w:rsid w:val="00984FE2"/>
    <w:rsid w:val="00985E2A"/>
    <w:rsid w:val="00986F4B"/>
    <w:rsid w:val="0098792C"/>
    <w:rsid w:val="009901F6"/>
    <w:rsid w:val="009905F9"/>
    <w:rsid w:val="009907CB"/>
    <w:rsid w:val="00992A6B"/>
    <w:rsid w:val="00993408"/>
    <w:rsid w:val="00994F3C"/>
    <w:rsid w:val="009953CE"/>
    <w:rsid w:val="00996111"/>
    <w:rsid w:val="00996D71"/>
    <w:rsid w:val="00996E4B"/>
    <w:rsid w:val="0099767E"/>
    <w:rsid w:val="00997E95"/>
    <w:rsid w:val="009A037C"/>
    <w:rsid w:val="009A0C5E"/>
    <w:rsid w:val="009A167F"/>
    <w:rsid w:val="009A304B"/>
    <w:rsid w:val="009A375E"/>
    <w:rsid w:val="009A6E38"/>
    <w:rsid w:val="009A794C"/>
    <w:rsid w:val="009B151C"/>
    <w:rsid w:val="009B205E"/>
    <w:rsid w:val="009B2F96"/>
    <w:rsid w:val="009B4AAE"/>
    <w:rsid w:val="009C1027"/>
    <w:rsid w:val="009C1378"/>
    <w:rsid w:val="009C16A6"/>
    <w:rsid w:val="009C1A05"/>
    <w:rsid w:val="009C35C3"/>
    <w:rsid w:val="009C5BED"/>
    <w:rsid w:val="009C5E3F"/>
    <w:rsid w:val="009C6332"/>
    <w:rsid w:val="009D0177"/>
    <w:rsid w:val="009D2849"/>
    <w:rsid w:val="009D3A7A"/>
    <w:rsid w:val="009D4F37"/>
    <w:rsid w:val="009D6A08"/>
    <w:rsid w:val="009D7E4E"/>
    <w:rsid w:val="009E04E5"/>
    <w:rsid w:val="009E64F2"/>
    <w:rsid w:val="009E6B8A"/>
    <w:rsid w:val="009E7C76"/>
    <w:rsid w:val="009F06B2"/>
    <w:rsid w:val="009F215B"/>
    <w:rsid w:val="009F3CA3"/>
    <w:rsid w:val="009F6409"/>
    <w:rsid w:val="00A01C6D"/>
    <w:rsid w:val="00A024C8"/>
    <w:rsid w:val="00A02EBB"/>
    <w:rsid w:val="00A0343B"/>
    <w:rsid w:val="00A05D5D"/>
    <w:rsid w:val="00A06FF1"/>
    <w:rsid w:val="00A07CBF"/>
    <w:rsid w:val="00A10489"/>
    <w:rsid w:val="00A11CE1"/>
    <w:rsid w:val="00A11D14"/>
    <w:rsid w:val="00A13641"/>
    <w:rsid w:val="00A14827"/>
    <w:rsid w:val="00A14D67"/>
    <w:rsid w:val="00A161B8"/>
    <w:rsid w:val="00A16F40"/>
    <w:rsid w:val="00A2030D"/>
    <w:rsid w:val="00A20C19"/>
    <w:rsid w:val="00A239AE"/>
    <w:rsid w:val="00A2479B"/>
    <w:rsid w:val="00A251DF"/>
    <w:rsid w:val="00A25D27"/>
    <w:rsid w:val="00A25F9B"/>
    <w:rsid w:val="00A2625D"/>
    <w:rsid w:val="00A276DB"/>
    <w:rsid w:val="00A276E0"/>
    <w:rsid w:val="00A30B45"/>
    <w:rsid w:val="00A3309E"/>
    <w:rsid w:val="00A3505C"/>
    <w:rsid w:val="00A359F4"/>
    <w:rsid w:val="00A40590"/>
    <w:rsid w:val="00A4078E"/>
    <w:rsid w:val="00A464ED"/>
    <w:rsid w:val="00A54B83"/>
    <w:rsid w:val="00A55066"/>
    <w:rsid w:val="00A56158"/>
    <w:rsid w:val="00A56705"/>
    <w:rsid w:val="00A57324"/>
    <w:rsid w:val="00A576D7"/>
    <w:rsid w:val="00A57875"/>
    <w:rsid w:val="00A57E33"/>
    <w:rsid w:val="00A6357D"/>
    <w:rsid w:val="00A6469D"/>
    <w:rsid w:val="00A66C4E"/>
    <w:rsid w:val="00A66DFE"/>
    <w:rsid w:val="00A66E00"/>
    <w:rsid w:val="00A67623"/>
    <w:rsid w:val="00A7156E"/>
    <w:rsid w:val="00A7178F"/>
    <w:rsid w:val="00A760B2"/>
    <w:rsid w:val="00A77D06"/>
    <w:rsid w:val="00A81101"/>
    <w:rsid w:val="00A81979"/>
    <w:rsid w:val="00A8297B"/>
    <w:rsid w:val="00A8416E"/>
    <w:rsid w:val="00A854E2"/>
    <w:rsid w:val="00A85C84"/>
    <w:rsid w:val="00A85EBF"/>
    <w:rsid w:val="00A863D3"/>
    <w:rsid w:val="00A87020"/>
    <w:rsid w:val="00A87648"/>
    <w:rsid w:val="00A9059C"/>
    <w:rsid w:val="00A90CA6"/>
    <w:rsid w:val="00A91909"/>
    <w:rsid w:val="00A92D96"/>
    <w:rsid w:val="00A92F10"/>
    <w:rsid w:val="00A93457"/>
    <w:rsid w:val="00A9434C"/>
    <w:rsid w:val="00A969BD"/>
    <w:rsid w:val="00AA08E2"/>
    <w:rsid w:val="00AA3C4D"/>
    <w:rsid w:val="00AA53E6"/>
    <w:rsid w:val="00AA567D"/>
    <w:rsid w:val="00AA6839"/>
    <w:rsid w:val="00AA75BE"/>
    <w:rsid w:val="00AB115C"/>
    <w:rsid w:val="00AB2A44"/>
    <w:rsid w:val="00AB4FEA"/>
    <w:rsid w:val="00AB532B"/>
    <w:rsid w:val="00AB559E"/>
    <w:rsid w:val="00AB645F"/>
    <w:rsid w:val="00AB6AAB"/>
    <w:rsid w:val="00AB7EB6"/>
    <w:rsid w:val="00AC0546"/>
    <w:rsid w:val="00AC13B8"/>
    <w:rsid w:val="00AC1430"/>
    <w:rsid w:val="00AC4371"/>
    <w:rsid w:val="00AC50DF"/>
    <w:rsid w:val="00AC7A9B"/>
    <w:rsid w:val="00AD1A5B"/>
    <w:rsid w:val="00AD245A"/>
    <w:rsid w:val="00AD3D8D"/>
    <w:rsid w:val="00AD4067"/>
    <w:rsid w:val="00AD5DB3"/>
    <w:rsid w:val="00AE0736"/>
    <w:rsid w:val="00AE0887"/>
    <w:rsid w:val="00AE09A5"/>
    <w:rsid w:val="00AE3F37"/>
    <w:rsid w:val="00AE4245"/>
    <w:rsid w:val="00AE4B40"/>
    <w:rsid w:val="00AE4D42"/>
    <w:rsid w:val="00AE636C"/>
    <w:rsid w:val="00AF1F2B"/>
    <w:rsid w:val="00AF25E9"/>
    <w:rsid w:val="00AF3574"/>
    <w:rsid w:val="00AF4167"/>
    <w:rsid w:val="00AF4C0B"/>
    <w:rsid w:val="00AF6388"/>
    <w:rsid w:val="00AF6725"/>
    <w:rsid w:val="00B043A1"/>
    <w:rsid w:val="00B06E9C"/>
    <w:rsid w:val="00B1152B"/>
    <w:rsid w:val="00B1193D"/>
    <w:rsid w:val="00B12051"/>
    <w:rsid w:val="00B12FD3"/>
    <w:rsid w:val="00B13BAE"/>
    <w:rsid w:val="00B13CCC"/>
    <w:rsid w:val="00B16F4D"/>
    <w:rsid w:val="00B17DC9"/>
    <w:rsid w:val="00B21398"/>
    <w:rsid w:val="00B258A3"/>
    <w:rsid w:val="00B264F6"/>
    <w:rsid w:val="00B26527"/>
    <w:rsid w:val="00B27162"/>
    <w:rsid w:val="00B271F6"/>
    <w:rsid w:val="00B33239"/>
    <w:rsid w:val="00B446CF"/>
    <w:rsid w:val="00B44A69"/>
    <w:rsid w:val="00B45CAF"/>
    <w:rsid w:val="00B46950"/>
    <w:rsid w:val="00B4785E"/>
    <w:rsid w:val="00B47CC6"/>
    <w:rsid w:val="00B47D17"/>
    <w:rsid w:val="00B50270"/>
    <w:rsid w:val="00B50549"/>
    <w:rsid w:val="00B505A8"/>
    <w:rsid w:val="00B513F7"/>
    <w:rsid w:val="00B51BC2"/>
    <w:rsid w:val="00B52308"/>
    <w:rsid w:val="00B57E70"/>
    <w:rsid w:val="00B61F39"/>
    <w:rsid w:val="00B631FC"/>
    <w:rsid w:val="00B64F07"/>
    <w:rsid w:val="00B66442"/>
    <w:rsid w:val="00B7048B"/>
    <w:rsid w:val="00B70FD1"/>
    <w:rsid w:val="00B72CB8"/>
    <w:rsid w:val="00B735B2"/>
    <w:rsid w:val="00B73998"/>
    <w:rsid w:val="00B7554E"/>
    <w:rsid w:val="00B841B3"/>
    <w:rsid w:val="00B849C7"/>
    <w:rsid w:val="00B84EE1"/>
    <w:rsid w:val="00B85384"/>
    <w:rsid w:val="00B91D78"/>
    <w:rsid w:val="00B951B3"/>
    <w:rsid w:val="00B95B91"/>
    <w:rsid w:val="00B95ECA"/>
    <w:rsid w:val="00B96863"/>
    <w:rsid w:val="00B96CDA"/>
    <w:rsid w:val="00BA0CCA"/>
    <w:rsid w:val="00BA12ED"/>
    <w:rsid w:val="00BA131E"/>
    <w:rsid w:val="00BA1AFD"/>
    <w:rsid w:val="00BA30B9"/>
    <w:rsid w:val="00BA6DAC"/>
    <w:rsid w:val="00BA708A"/>
    <w:rsid w:val="00BA768B"/>
    <w:rsid w:val="00BB20DB"/>
    <w:rsid w:val="00BB23DF"/>
    <w:rsid w:val="00BB482A"/>
    <w:rsid w:val="00BB58CA"/>
    <w:rsid w:val="00BC1FC7"/>
    <w:rsid w:val="00BC255F"/>
    <w:rsid w:val="00BC3F43"/>
    <w:rsid w:val="00BC49A3"/>
    <w:rsid w:val="00BC5ADC"/>
    <w:rsid w:val="00BC7CBC"/>
    <w:rsid w:val="00BD0675"/>
    <w:rsid w:val="00BD2D4B"/>
    <w:rsid w:val="00BD348F"/>
    <w:rsid w:val="00BD4462"/>
    <w:rsid w:val="00BD5856"/>
    <w:rsid w:val="00BD58E9"/>
    <w:rsid w:val="00BE3D93"/>
    <w:rsid w:val="00BE49C0"/>
    <w:rsid w:val="00BE701C"/>
    <w:rsid w:val="00BF1553"/>
    <w:rsid w:val="00BF1987"/>
    <w:rsid w:val="00BF1E65"/>
    <w:rsid w:val="00BF29BC"/>
    <w:rsid w:val="00BF3E27"/>
    <w:rsid w:val="00BF5F13"/>
    <w:rsid w:val="00BF7089"/>
    <w:rsid w:val="00C0123B"/>
    <w:rsid w:val="00C019B8"/>
    <w:rsid w:val="00C028A0"/>
    <w:rsid w:val="00C02FB0"/>
    <w:rsid w:val="00C032B4"/>
    <w:rsid w:val="00C04B9A"/>
    <w:rsid w:val="00C051C7"/>
    <w:rsid w:val="00C054F8"/>
    <w:rsid w:val="00C12235"/>
    <w:rsid w:val="00C12928"/>
    <w:rsid w:val="00C133E9"/>
    <w:rsid w:val="00C13BE7"/>
    <w:rsid w:val="00C162AC"/>
    <w:rsid w:val="00C208C2"/>
    <w:rsid w:val="00C20AE7"/>
    <w:rsid w:val="00C2509D"/>
    <w:rsid w:val="00C25149"/>
    <w:rsid w:val="00C255BE"/>
    <w:rsid w:val="00C258EA"/>
    <w:rsid w:val="00C30E55"/>
    <w:rsid w:val="00C3107F"/>
    <w:rsid w:val="00C33AC1"/>
    <w:rsid w:val="00C3788E"/>
    <w:rsid w:val="00C40F83"/>
    <w:rsid w:val="00C42239"/>
    <w:rsid w:val="00C43A8E"/>
    <w:rsid w:val="00C46A86"/>
    <w:rsid w:val="00C512A0"/>
    <w:rsid w:val="00C53ABE"/>
    <w:rsid w:val="00C60A00"/>
    <w:rsid w:val="00C618EC"/>
    <w:rsid w:val="00C61951"/>
    <w:rsid w:val="00C6208E"/>
    <w:rsid w:val="00C626ED"/>
    <w:rsid w:val="00C65246"/>
    <w:rsid w:val="00C654CC"/>
    <w:rsid w:val="00C679A1"/>
    <w:rsid w:val="00C70453"/>
    <w:rsid w:val="00C7298F"/>
    <w:rsid w:val="00C75B22"/>
    <w:rsid w:val="00C815B1"/>
    <w:rsid w:val="00C83F47"/>
    <w:rsid w:val="00C846DD"/>
    <w:rsid w:val="00C85EBA"/>
    <w:rsid w:val="00C87865"/>
    <w:rsid w:val="00C87A13"/>
    <w:rsid w:val="00C92289"/>
    <w:rsid w:val="00C92EEC"/>
    <w:rsid w:val="00C93065"/>
    <w:rsid w:val="00C939A1"/>
    <w:rsid w:val="00C93A4E"/>
    <w:rsid w:val="00C94146"/>
    <w:rsid w:val="00C943CC"/>
    <w:rsid w:val="00C95F3C"/>
    <w:rsid w:val="00C96ADE"/>
    <w:rsid w:val="00CA0996"/>
    <w:rsid w:val="00CA0C2D"/>
    <w:rsid w:val="00CA2732"/>
    <w:rsid w:val="00CA2A14"/>
    <w:rsid w:val="00CA3B1B"/>
    <w:rsid w:val="00CA660B"/>
    <w:rsid w:val="00CA7954"/>
    <w:rsid w:val="00CB0138"/>
    <w:rsid w:val="00CB1B52"/>
    <w:rsid w:val="00CB229E"/>
    <w:rsid w:val="00CB294D"/>
    <w:rsid w:val="00CB341E"/>
    <w:rsid w:val="00CB3B14"/>
    <w:rsid w:val="00CB3EC6"/>
    <w:rsid w:val="00CB4745"/>
    <w:rsid w:val="00CB7438"/>
    <w:rsid w:val="00CC051A"/>
    <w:rsid w:val="00CC1D91"/>
    <w:rsid w:val="00CC1EBE"/>
    <w:rsid w:val="00CC2ADB"/>
    <w:rsid w:val="00CC648A"/>
    <w:rsid w:val="00CC7680"/>
    <w:rsid w:val="00CD0887"/>
    <w:rsid w:val="00CD0F42"/>
    <w:rsid w:val="00CD1B83"/>
    <w:rsid w:val="00CD23FE"/>
    <w:rsid w:val="00CD3430"/>
    <w:rsid w:val="00CD3566"/>
    <w:rsid w:val="00CD35FF"/>
    <w:rsid w:val="00CD3D71"/>
    <w:rsid w:val="00CD443C"/>
    <w:rsid w:val="00CD49CC"/>
    <w:rsid w:val="00CD65AB"/>
    <w:rsid w:val="00CD6F52"/>
    <w:rsid w:val="00CE13B9"/>
    <w:rsid w:val="00CE4005"/>
    <w:rsid w:val="00CE73C6"/>
    <w:rsid w:val="00CE75B8"/>
    <w:rsid w:val="00CE79DD"/>
    <w:rsid w:val="00CE7EBC"/>
    <w:rsid w:val="00CF2B86"/>
    <w:rsid w:val="00CF34A6"/>
    <w:rsid w:val="00CF3802"/>
    <w:rsid w:val="00CF5311"/>
    <w:rsid w:val="00CF7671"/>
    <w:rsid w:val="00CF7FF0"/>
    <w:rsid w:val="00D005DE"/>
    <w:rsid w:val="00D01C04"/>
    <w:rsid w:val="00D03CFC"/>
    <w:rsid w:val="00D04319"/>
    <w:rsid w:val="00D0460B"/>
    <w:rsid w:val="00D052DE"/>
    <w:rsid w:val="00D05B23"/>
    <w:rsid w:val="00D05BBC"/>
    <w:rsid w:val="00D10368"/>
    <w:rsid w:val="00D12ED4"/>
    <w:rsid w:val="00D13E0E"/>
    <w:rsid w:val="00D20B78"/>
    <w:rsid w:val="00D21B8A"/>
    <w:rsid w:val="00D21C46"/>
    <w:rsid w:val="00D22946"/>
    <w:rsid w:val="00D237AC"/>
    <w:rsid w:val="00D2463D"/>
    <w:rsid w:val="00D27499"/>
    <w:rsid w:val="00D31A18"/>
    <w:rsid w:val="00D35ECA"/>
    <w:rsid w:val="00D365F1"/>
    <w:rsid w:val="00D40DBC"/>
    <w:rsid w:val="00D429C9"/>
    <w:rsid w:val="00D4467B"/>
    <w:rsid w:val="00D465C3"/>
    <w:rsid w:val="00D52A13"/>
    <w:rsid w:val="00D6098D"/>
    <w:rsid w:val="00D615A4"/>
    <w:rsid w:val="00D61A57"/>
    <w:rsid w:val="00D625C9"/>
    <w:rsid w:val="00D645B0"/>
    <w:rsid w:val="00D67A9A"/>
    <w:rsid w:val="00D724A4"/>
    <w:rsid w:val="00D7253E"/>
    <w:rsid w:val="00D72C8B"/>
    <w:rsid w:val="00D73632"/>
    <w:rsid w:val="00D73BEF"/>
    <w:rsid w:val="00D73F27"/>
    <w:rsid w:val="00D74EA1"/>
    <w:rsid w:val="00D76695"/>
    <w:rsid w:val="00D77FB1"/>
    <w:rsid w:val="00D81021"/>
    <w:rsid w:val="00D82835"/>
    <w:rsid w:val="00D86D6D"/>
    <w:rsid w:val="00D870C8"/>
    <w:rsid w:val="00D90C28"/>
    <w:rsid w:val="00D90FDF"/>
    <w:rsid w:val="00D918C6"/>
    <w:rsid w:val="00D91CF2"/>
    <w:rsid w:val="00D92410"/>
    <w:rsid w:val="00DA15B3"/>
    <w:rsid w:val="00DA1633"/>
    <w:rsid w:val="00DA2606"/>
    <w:rsid w:val="00DA3E0C"/>
    <w:rsid w:val="00DA3EBB"/>
    <w:rsid w:val="00DA4C09"/>
    <w:rsid w:val="00DA568B"/>
    <w:rsid w:val="00DA5BF4"/>
    <w:rsid w:val="00DA5D60"/>
    <w:rsid w:val="00DA6550"/>
    <w:rsid w:val="00DA706D"/>
    <w:rsid w:val="00DB0451"/>
    <w:rsid w:val="00DB0651"/>
    <w:rsid w:val="00DB20F9"/>
    <w:rsid w:val="00DB3C88"/>
    <w:rsid w:val="00DB4660"/>
    <w:rsid w:val="00DB4AF3"/>
    <w:rsid w:val="00DB4DD0"/>
    <w:rsid w:val="00DB5293"/>
    <w:rsid w:val="00DB6219"/>
    <w:rsid w:val="00DC16E1"/>
    <w:rsid w:val="00DC1887"/>
    <w:rsid w:val="00DC36F9"/>
    <w:rsid w:val="00DC4F55"/>
    <w:rsid w:val="00DC5CCD"/>
    <w:rsid w:val="00DC6271"/>
    <w:rsid w:val="00DC6D98"/>
    <w:rsid w:val="00DC708F"/>
    <w:rsid w:val="00DC70D2"/>
    <w:rsid w:val="00DD0A50"/>
    <w:rsid w:val="00DD3651"/>
    <w:rsid w:val="00DD3B42"/>
    <w:rsid w:val="00DD4990"/>
    <w:rsid w:val="00DD4B65"/>
    <w:rsid w:val="00DD4EA3"/>
    <w:rsid w:val="00DD5044"/>
    <w:rsid w:val="00DD5EE2"/>
    <w:rsid w:val="00DD760E"/>
    <w:rsid w:val="00DD771E"/>
    <w:rsid w:val="00DE07DF"/>
    <w:rsid w:val="00DE29BE"/>
    <w:rsid w:val="00DE35A0"/>
    <w:rsid w:val="00DE61B4"/>
    <w:rsid w:val="00DE680A"/>
    <w:rsid w:val="00DF36A2"/>
    <w:rsid w:val="00DF431C"/>
    <w:rsid w:val="00DF5A5B"/>
    <w:rsid w:val="00E001BA"/>
    <w:rsid w:val="00E02313"/>
    <w:rsid w:val="00E03AAA"/>
    <w:rsid w:val="00E03AFF"/>
    <w:rsid w:val="00E03B4C"/>
    <w:rsid w:val="00E03D31"/>
    <w:rsid w:val="00E0497A"/>
    <w:rsid w:val="00E049FA"/>
    <w:rsid w:val="00E10F42"/>
    <w:rsid w:val="00E1104F"/>
    <w:rsid w:val="00E1120A"/>
    <w:rsid w:val="00E124A6"/>
    <w:rsid w:val="00E12B5A"/>
    <w:rsid w:val="00E13307"/>
    <w:rsid w:val="00E13B13"/>
    <w:rsid w:val="00E17B35"/>
    <w:rsid w:val="00E17DAE"/>
    <w:rsid w:val="00E2347C"/>
    <w:rsid w:val="00E24946"/>
    <w:rsid w:val="00E25258"/>
    <w:rsid w:val="00E334D4"/>
    <w:rsid w:val="00E35739"/>
    <w:rsid w:val="00E36752"/>
    <w:rsid w:val="00E37CC7"/>
    <w:rsid w:val="00E40642"/>
    <w:rsid w:val="00E409E5"/>
    <w:rsid w:val="00E40A0D"/>
    <w:rsid w:val="00E40D59"/>
    <w:rsid w:val="00E42509"/>
    <w:rsid w:val="00E43F24"/>
    <w:rsid w:val="00E445B1"/>
    <w:rsid w:val="00E4693B"/>
    <w:rsid w:val="00E4760F"/>
    <w:rsid w:val="00E47A4F"/>
    <w:rsid w:val="00E50DD5"/>
    <w:rsid w:val="00E529A8"/>
    <w:rsid w:val="00E53722"/>
    <w:rsid w:val="00E543A0"/>
    <w:rsid w:val="00E562E5"/>
    <w:rsid w:val="00E56DD4"/>
    <w:rsid w:val="00E60066"/>
    <w:rsid w:val="00E60768"/>
    <w:rsid w:val="00E6261F"/>
    <w:rsid w:val="00E672AD"/>
    <w:rsid w:val="00E67BD0"/>
    <w:rsid w:val="00E67C84"/>
    <w:rsid w:val="00E71AD4"/>
    <w:rsid w:val="00E71F1B"/>
    <w:rsid w:val="00E729F4"/>
    <w:rsid w:val="00E73574"/>
    <w:rsid w:val="00E73FB7"/>
    <w:rsid w:val="00E74D1F"/>
    <w:rsid w:val="00E759AD"/>
    <w:rsid w:val="00E767C7"/>
    <w:rsid w:val="00E81EC4"/>
    <w:rsid w:val="00E8211E"/>
    <w:rsid w:val="00E82E93"/>
    <w:rsid w:val="00E852B8"/>
    <w:rsid w:val="00E85668"/>
    <w:rsid w:val="00E910C2"/>
    <w:rsid w:val="00E92319"/>
    <w:rsid w:val="00E95107"/>
    <w:rsid w:val="00E95D89"/>
    <w:rsid w:val="00E9684F"/>
    <w:rsid w:val="00E9740E"/>
    <w:rsid w:val="00E9798B"/>
    <w:rsid w:val="00EA08B8"/>
    <w:rsid w:val="00EA15B8"/>
    <w:rsid w:val="00EA47C2"/>
    <w:rsid w:val="00EA6FD0"/>
    <w:rsid w:val="00EB460C"/>
    <w:rsid w:val="00EB70EA"/>
    <w:rsid w:val="00EC0663"/>
    <w:rsid w:val="00EC0E17"/>
    <w:rsid w:val="00EC1131"/>
    <w:rsid w:val="00EC138D"/>
    <w:rsid w:val="00EC1E29"/>
    <w:rsid w:val="00EC28CA"/>
    <w:rsid w:val="00EC3379"/>
    <w:rsid w:val="00EC38DE"/>
    <w:rsid w:val="00EC3E0A"/>
    <w:rsid w:val="00ED5958"/>
    <w:rsid w:val="00ED652D"/>
    <w:rsid w:val="00ED79FC"/>
    <w:rsid w:val="00EE0261"/>
    <w:rsid w:val="00EE53D1"/>
    <w:rsid w:val="00EE7237"/>
    <w:rsid w:val="00EE7A04"/>
    <w:rsid w:val="00EE7D87"/>
    <w:rsid w:val="00EF151F"/>
    <w:rsid w:val="00EF16F9"/>
    <w:rsid w:val="00F00446"/>
    <w:rsid w:val="00F008A4"/>
    <w:rsid w:val="00F01973"/>
    <w:rsid w:val="00F06789"/>
    <w:rsid w:val="00F06DE0"/>
    <w:rsid w:val="00F10B5C"/>
    <w:rsid w:val="00F10EB0"/>
    <w:rsid w:val="00F111F8"/>
    <w:rsid w:val="00F117DB"/>
    <w:rsid w:val="00F123B7"/>
    <w:rsid w:val="00F12BCE"/>
    <w:rsid w:val="00F17476"/>
    <w:rsid w:val="00F177A7"/>
    <w:rsid w:val="00F21075"/>
    <w:rsid w:val="00F2132D"/>
    <w:rsid w:val="00F2174B"/>
    <w:rsid w:val="00F21D15"/>
    <w:rsid w:val="00F22519"/>
    <w:rsid w:val="00F2303E"/>
    <w:rsid w:val="00F23411"/>
    <w:rsid w:val="00F25707"/>
    <w:rsid w:val="00F25FB4"/>
    <w:rsid w:val="00F26DCB"/>
    <w:rsid w:val="00F27F37"/>
    <w:rsid w:val="00F3217B"/>
    <w:rsid w:val="00F35975"/>
    <w:rsid w:val="00F36F76"/>
    <w:rsid w:val="00F422C1"/>
    <w:rsid w:val="00F431B6"/>
    <w:rsid w:val="00F4620A"/>
    <w:rsid w:val="00F46708"/>
    <w:rsid w:val="00F475EA"/>
    <w:rsid w:val="00F53060"/>
    <w:rsid w:val="00F53591"/>
    <w:rsid w:val="00F53710"/>
    <w:rsid w:val="00F56F6C"/>
    <w:rsid w:val="00F57A6E"/>
    <w:rsid w:val="00F6135E"/>
    <w:rsid w:val="00F6178F"/>
    <w:rsid w:val="00F728C0"/>
    <w:rsid w:val="00F747B5"/>
    <w:rsid w:val="00F7485C"/>
    <w:rsid w:val="00F77086"/>
    <w:rsid w:val="00F80CFC"/>
    <w:rsid w:val="00F814D1"/>
    <w:rsid w:val="00F81A92"/>
    <w:rsid w:val="00F81BD0"/>
    <w:rsid w:val="00F82F10"/>
    <w:rsid w:val="00F84716"/>
    <w:rsid w:val="00F863A2"/>
    <w:rsid w:val="00F91378"/>
    <w:rsid w:val="00F91CB5"/>
    <w:rsid w:val="00F91F36"/>
    <w:rsid w:val="00F92559"/>
    <w:rsid w:val="00F927C7"/>
    <w:rsid w:val="00F94425"/>
    <w:rsid w:val="00F945F9"/>
    <w:rsid w:val="00F94FEC"/>
    <w:rsid w:val="00FA0E2C"/>
    <w:rsid w:val="00FA2A51"/>
    <w:rsid w:val="00FA61B0"/>
    <w:rsid w:val="00FA71AA"/>
    <w:rsid w:val="00FA7672"/>
    <w:rsid w:val="00FB1B5E"/>
    <w:rsid w:val="00FB2234"/>
    <w:rsid w:val="00FB342E"/>
    <w:rsid w:val="00FB45D1"/>
    <w:rsid w:val="00FB45F8"/>
    <w:rsid w:val="00FB7B4B"/>
    <w:rsid w:val="00FC2B75"/>
    <w:rsid w:val="00FC4009"/>
    <w:rsid w:val="00FC551F"/>
    <w:rsid w:val="00FC5A45"/>
    <w:rsid w:val="00FC61B7"/>
    <w:rsid w:val="00FC6794"/>
    <w:rsid w:val="00FC6F79"/>
    <w:rsid w:val="00FC7906"/>
    <w:rsid w:val="00FD034E"/>
    <w:rsid w:val="00FD2D3B"/>
    <w:rsid w:val="00FD32F5"/>
    <w:rsid w:val="00FD397D"/>
    <w:rsid w:val="00FD3C35"/>
    <w:rsid w:val="00FD4DE9"/>
    <w:rsid w:val="00FE12C5"/>
    <w:rsid w:val="00FE356C"/>
    <w:rsid w:val="00FE3D1E"/>
    <w:rsid w:val="00FE3EF4"/>
    <w:rsid w:val="00FE72CA"/>
    <w:rsid w:val="00FF5E3B"/>
    <w:rsid w:val="00FF6C7A"/>
    <w:rsid w:val="00FF6CCF"/>
    <w:rsid w:val="00FF784C"/>
    <w:rsid w:val="00FF7B54"/>
    <w:rsid w:val="01AA635B"/>
    <w:rsid w:val="02664AE9"/>
    <w:rsid w:val="02D46C51"/>
    <w:rsid w:val="02D90C51"/>
    <w:rsid w:val="037A7A28"/>
    <w:rsid w:val="038135F9"/>
    <w:rsid w:val="03A549D0"/>
    <w:rsid w:val="04913B67"/>
    <w:rsid w:val="04B1051E"/>
    <w:rsid w:val="04F57708"/>
    <w:rsid w:val="052E4392"/>
    <w:rsid w:val="065672E1"/>
    <w:rsid w:val="0834033F"/>
    <w:rsid w:val="08791CCE"/>
    <w:rsid w:val="08835F84"/>
    <w:rsid w:val="08A2122B"/>
    <w:rsid w:val="093B46F0"/>
    <w:rsid w:val="099951A4"/>
    <w:rsid w:val="09B226AF"/>
    <w:rsid w:val="09FC2367"/>
    <w:rsid w:val="0A8D11B1"/>
    <w:rsid w:val="0AF006DC"/>
    <w:rsid w:val="0B2E25A7"/>
    <w:rsid w:val="0B4C01A5"/>
    <w:rsid w:val="0B853165"/>
    <w:rsid w:val="0C4B1BF8"/>
    <w:rsid w:val="0CD44AA2"/>
    <w:rsid w:val="0E2C3E16"/>
    <w:rsid w:val="0E4A5105"/>
    <w:rsid w:val="0E647CF1"/>
    <w:rsid w:val="10553DA3"/>
    <w:rsid w:val="105B0B5E"/>
    <w:rsid w:val="10912CD1"/>
    <w:rsid w:val="109B77FB"/>
    <w:rsid w:val="1181566E"/>
    <w:rsid w:val="13FC3AE6"/>
    <w:rsid w:val="142F54D0"/>
    <w:rsid w:val="147309AD"/>
    <w:rsid w:val="158F6764"/>
    <w:rsid w:val="16A25904"/>
    <w:rsid w:val="17523431"/>
    <w:rsid w:val="17DA7465"/>
    <w:rsid w:val="18400764"/>
    <w:rsid w:val="185630FE"/>
    <w:rsid w:val="1885228A"/>
    <w:rsid w:val="192D1620"/>
    <w:rsid w:val="19B3531C"/>
    <w:rsid w:val="1A3F5553"/>
    <w:rsid w:val="1AAE123C"/>
    <w:rsid w:val="1B542B1D"/>
    <w:rsid w:val="1BA05AC8"/>
    <w:rsid w:val="1C170D16"/>
    <w:rsid w:val="1CB36421"/>
    <w:rsid w:val="1CBD570C"/>
    <w:rsid w:val="1D1E0654"/>
    <w:rsid w:val="1FB72202"/>
    <w:rsid w:val="20522991"/>
    <w:rsid w:val="21333DA0"/>
    <w:rsid w:val="22654D62"/>
    <w:rsid w:val="22994233"/>
    <w:rsid w:val="22B8737E"/>
    <w:rsid w:val="23307D7D"/>
    <w:rsid w:val="23F90B7D"/>
    <w:rsid w:val="241227AF"/>
    <w:rsid w:val="24AA05EA"/>
    <w:rsid w:val="2562454C"/>
    <w:rsid w:val="259B63FC"/>
    <w:rsid w:val="25B677ED"/>
    <w:rsid w:val="26E54D23"/>
    <w:rsid w:val="27052612"/>
    <w:rsid w:val="2725093F"/>
    <w:rsid w:val="276C19BD"/>
    <w:rsid w:val="27BC2F02"/>
    <w:rsid w:val="29593885"/>
    <w:rsid w:val="295B4FD8"/>
    <w:rsid w:val="29CC7231"/>
    <w:rsid w:val="2C046BD2"/>
    <w:rsid w:val="2D3C1E23"/>
    <w:rsid w:val="2E104D96"/>
    <w:rsid w:val="2E9E5985"/>
    <w:rsid w:val="306843F1"/>
    <w:rsid w:val="309D1070"/>
    <w:rsid w:val="32087705"/>
    <w:rsid w:val="336C4B46"/>
    <w:rsid w:val="337F5BAA"/>
    <w:rsid w:val="33A94E22"/>
    <w:rsid w:val="33DD7659"/>
    <w:rsid w:val="33F7787E"/>
    <w:rsid w:val="344012AB"/>
    <w:rsid w:val="349E7ED5"/>
    <w:rsid w:val="34AA0073"/>
    <w:rsid w:val="34D643AC"/>
    <w:rsid w:val="3527382D"/>
    <w:rsid w:val="35683FBB"/>
    <w:rsid w:val="35C67E33"/>
    <w:rsid w:val="36165FAF"/>
    <w:rsid w:val="36186151"/>
    <w:rsid w:val="36286371"/>
    <w:rsid w:val="384814B6"/>
    <w:rsid w:val="39BC1C49"/>
    <w:rsid w:val="39CA5B39"/>
    <w:rsid w:val="39ED1AFA"/>
    <w:rsid w:val="3AE66D5D"/>
    <w:rsid w:val="3BD961DF"/>
    <w:rsid w:val="3CFE5A6A"/>
    <w:rsid w:val="3E2D6C71"/>
    <w:rsid w:val="3E3D063B"/>
    <w:rsid w:val="40920CEF"/>
    <w:rsid w:val="409F3F09"/>
    <w:rsid w:val="41873C25"/>
    <w:rsid w:val="425F3BD0"/>
    <w:rsid w:val="42CD77B5"/>
    <w:rsid w:val="43BC323D"/>
    <w:rsid w:val="43BE55A1"/>
    <w:rsid w:val="43BF03B3"/>
    <w:rsid w:val="43D85700"/>
    <w:rsid w:val="44114AB5"/>
    <w:rsid w:val="44B90CD6"/>
    <w:rsid w:val="44D31C9D"/>
    <w:rsid w:val="45C458FA"/>
    <w:rsid w:val="46BF768A"/>
    <w:rsid w:val="470E6F0B"/>
    <w:rsid w:val="476E56BE"/>
    <w:rsid w:val="47D45630"/>
    <w:rsid w:val="484A00F0"/>
    <w:rsid w:val="489C5555"/>
    <w:rsid w:val="49F3739B"/>
    <w:rsid w:val="4A550968"/>
    <w:rsid w:val="4C6C6A83"/>
    <w:rsid w:val="4CE237C1"/>
    <w:rsid w:val="4D9C573D"/>
    <w:rsid w:val="4DB45499"/>
    <w:rsid w:val="4E1874E4"/>
    <w:rsid w:val="4F3B46CA"/>
    <w:rsid w:val="501A6317"/>
    <w:rsid w:val="50244B3B"/>
    <w:rsid w:val="50A0659E"/>
    <w:rsid w:val="50B37FE0"/>
    <w:rsid w:val="50CC5CA0"/>
    <w:rsid w:val="51646AF0"/>
    <w:rsid w:val="51825B0A"/>
    <w:rsid w:val="523443EE"/>
    <w:rsid w:val="53016505"/>
    <w:rsid w:val="533908A1"/>
    <w:rsid w:val="53396E99"/>
    <w:rsid w:val="53896B83"/>
    <w:rsid w:val="53F466FF"/>
    <w:rsid w:val="54B0253F"/>
    <w:rsid w:val="55747DA7"/>
    <w:rsid w:val="558E301D"/>
    <w:rsid w:val="564B3DFB"/>
    <w:rsid w:val="564E754B"/>
    <w:rsid w:val="57095536"/>
    <w:rsid w:val="57420F04"/>
    <w:rsid w:val="578126B1"/>
    <w:rsid w:val="57EA39AD"/>
    <w:rsid w:val="57F61469"/>
    <w:rsid w:val="5A356CC1"/>
    <w:rsid w:val="5A645F46"/>
    <w:rsid w:val="5B1038C0"/>
    <w:rsid w:val="5B2D1B6C"/>
    <w:rsid w:val="5B9B69ED"/>
    <w:rsid w:val="5C363A90"/>
    <w:rsid w:val="5D0D242A"/>
    <w:rsid w:val="5D585F7C"/>
    <w:rsid w:val="5D9F31C6"/>
    <w:rsid w:val="5DDB7D1F"/>
    <w:rsid w:val="5E2F6DF2"/>
    <w:rsid w:val="60CA570E"/>
    <w:rsid w:val="62181C6C"/>
    <w:rsid w:val="62237E66"/>
    <w:rsid w:val="63057999"/>
    <w:rsid w:val="6345240D"/>
    <w:rsid w:val="642234CB"/>
    <w:rsid w:val="64604D6E"/>
    <w:rsid w:val="65016E18"/>
    <w:rsid w:val="6514563B"/>
    <w:rsid w:val="65516AC8"/>
    <w:rsid w:val="6631539D"/>
    <w:rsid w:val="6704790C"/>
    <w:rsid w:val="67204A5E"/>
    <w:rsid w:val="67B52503"/>
    <w:rsid w:val="68EC3A45"/>
    <w:rsid w:val="695D6138"/>
    <w:rsid w:val="69B24AEB"/>
    <w:rsid w:val="6A5A52F5"/>
    <w:rsid w:val="6A837C0B"/>
    <w:rsid w:val="6BBA4632"/>
    <w:rsid w:val="6C0D5DCA"/>
    <w:rsid w:val="6CB52EAD"/>
    <w:rsid w:val="6CB905E8"/>
    <w:rsid w:val="6D4860EC"/>
    <w:rsid w:val="6D612F6C"/>
    <w:rsid w:val="6DB01D94"/>
    <w:rsid w:val="6ECB30E8"/>
    <w:rsid w:val="6FF6598C"/>
    <w:rsid w:val="700E61C9"/>
    <w:rsid w:val="70254E6B"/>
    <w:rsid w:val="708963E1"/>
    <w:rsid w:val="71FA1D7F"/>
    <w:rsid w:val="7272299D"/>
    <w:rsid w:val="72D10366"/>
    <w:rsid w:val="73B5413A"/>
    <w:rsid w:val="74677006"/>
    <w:rsid w:val="75FD6E6E"/>
    <w:rsid w:val="762674B8"/>
    <w:rsid w:val="76893B45"/>
    <w:rsid w:val="769E1C5C"/>
    <w:rsid w:val="76A75B76"/>
    <w:rsid w:val="77831A4B"/>
    <w:rsid w:val="78B6508D"/>
    <w:rsid w:val="794609E9"/>
    <w:rsid w:val="7A1C696B"/>
    <w:rsid w:val="7A294A47"/>
    <w:rsid w:val="7B8071E0"/>
    <w:rsid w:val="7C195737"/>
    <w:rsid w:val="7C245A73"/>
    <w:rsid w:val="7C8B3E80"/>
    <w:rsid w:val="7D1D0880"/>
    <w:rsid w:val="7D5B4E6F"/>
    <w:rsid w:val="7DDD7906"/>
    <w:rsid w:val="7EC92D41"/>
    <w:rsid w:val="7F0A7D5E"/>
    <w:rsid w:val="7F96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1"/>
    <w:qFormat/>
    <w:uiPriority w:val="0"/>
    <w:pPr>
      <w:keepNext/>
      <w:keepLines/>
      <w:spacing w:before="100" w:after="90" w:line="576" w:lineRule="auto"/>
      <w:jc w:val="center"/>
      <w:outlineLvl w:val="0"/>
    </w:pPr>
    <w:rPr>
      <w:b/>
      <w:bCs/>
      <w:kern w:val="44"/>
      <w:sz w:val="44"/>
      <w:szCs w:val="44"/>
    </w:rPr>
  </w:style>
  <w:style w:type="paragraph" w:styleId="4">
    <w:name w:val="heading 2"/>
    <w:basedOn w:val="1"/>
    <w:next w:val="1"/>
    <w:qFormat/>
    <w:uiPriority w:val="0"/>
    <w:pPr>
      <w:keepLines/>
      <w:widowControl/>
      <w:tabs>
        <w:tab w:val="left" w:pos="567"/>
      </w:tabs>
      <w:spacing w:line="300" w:lineRule="auto"/>
      <w:ind w:left="567" w:hanging="567"/>
      <w:outlineLvl w:val="1"/>
    </w:pPr>
    <w:rPr>
      <w:rFonts w:ascii="宋体" w:hAnsi="宋体"/>
      <w:sz w:val="24"/>
      <w:szCs w:val="20"/>
    </w:rPr>
  </w:style>
  <w:style w:type="paragraph" w:styleId="5">
    <w:name w:val="heading 3"/>
    <w:basedOn w:val="1"/>
    <w:next w:val="1"/>
    <w:link w:val="48"/>
    <w:qFormat/>
    <w:uiPriority w:val="0"/>
    <w:pPr>
      <w:autoSpaceDE w:val="0"/>
      <w:autoSpaceDN w:val="0"/>
      <w:adjustRightInd w:val="0"/>
      <w:spacing w:before="142" w:line="320" w:lineRule="exact"/>
      <w:ind w:left="-4" w:firstLine="2"/>
      <w:jc w:val="center"/>
      <w:outlineLvl w:val="2"/>
    </w:pPr>
    <w:rPr>
      <w:rFonts w:ascii="宋体" w:hAnsi="宋体"/>
      <w:b/>
      <w:color w:val="000000"/>
      <w:kern w:val="0"/>
      <w:szCs w:val="20"/>
      <w:lang w:val="en-GB"/>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1"/>
    <w:qFormat/>
    <w:uiPriority w:val="0"/>
    <w:pPr>
      <w:spacing w:before="120"/>
      <w:ind w:firstLine="540"/>
      <w:outlineLvl w:val="4"/>
    </w:pPr>
    <w:rPr>
      <w:rFonts w:ascii="宋体"/>
      <w:b/>
      <w:sz w:val="28"/>
      <w:szCs w:val="20"/>
    </w:rPr>
  </w:style>
  <w:style w:type="paragraph" w:styleId="8">
    <w:name w:val="heading 6"/>
    <w:basedOn w:val="1"/>
    <w:next w:val="1"/>
    <w:qFormat/>
    <w:uiPriority w:val="0"/>
    <w:pPr>
      <w:ind w:firstLine="680"/>
      <w:outlineLvl w:val="5"/>
    </w:pPr>
    <w:rPr>
      <w:sz w:val="28"/>
      <w:szCs w:val="20"/>
    </w:rPr>
  </w:style>
  <w:style w:type="character" w:default="1" w:styleId="35">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10"/>
    <w:next w:val="10"/>
    <w:qFormat/>
    <w:uiPriority w:val="0"/>
    <w:rPr>
      <w:b/>
      <w:bCs/>
    </w:rPr>
  </w:style>
  <w:style w:type="paragraph" w:styleId="10">
    <w:name w:val="annotation text"/>
    <w:basedOn w:val="1"/>
    <w:link w:val="81"/>
    <w:qFormat/>
    <w:uiPriority w:val="0"/>
    <w:pPr>
      <w:jc w:val="left"/>
    </w:pPr>
  </w:style>
  <w:style w:type="paragraph" w:styleId="11">
    <w:name w:val="toc 7"/>
    <w:basedOn w:val="1"/>
    <w:next w:val="1"/>
    <w:qFormat/>
    <w:uiPriority w:val="0"/>
    <w:pPr>
      <w:ind w:left="2520" w:leftChars="1200"/>
    </w:pPr>
  </w:style>
  <w:style w:type="paragraph" w:styleId="12">
    <w:name w:val="Body Text First Indent"/>
    <w:basedOn w:val="13"/>
    <w:unhideWhenUsed/>
    <w:qFormat/>
    <w:uiPriority w:val="99"/>
    <w:pPr>
      <w:ind w:firstLine="420" w:firstLineChars="100"/>
    </w:pPr>
  </w:style>
  <w:style w:type="paragraph" w:styleId="13">
    <w:name w:val="Body Text"/>
    <w:basedOn w:val="1"/>
    <w:next w:val="14"/>
    <w:link w:val="119"/>
    <w:qFormat/>
    <w:uiPriority w:val="0"/>
    <w:pPr>
      <w:spacing w:after="120"/>
    </w:pPr>
  </w:style>
  <w:style w:type="paragraph" w:customStyle="1" w:styleId="14">
    <w:name w:val="_Style 2"/>
    <w:next w:val="1"/>
    <w:unhideWhenUsed/>
    <w:qFormat/>
    <w:uiPriority w:val="1"/>
    <w:pPr>
      <w:adjustRightInd w:val="0"/>
      <w:snapToGrid w:val="0"/>
      <w:spacing w:beforeLines="0" w:afterLines="0"/>
    </w:pPr>
    <w:rPr>
      <w:rFonts w:hint="default" w:ascii="Tahoma" w:hAnsi="Tahoma" w:eastAsia="宋体" w:cs="Times New Roman"/>
      <w:sz w:val="22"/>
      <w:lang w:val="en-US" w:eastAsia="zh-CN"/>
    </w:rPr>
  </w:style>
  <w:style w:type="paragraph" w:styleId="15">
    <w:name w:val="Normal Indent"/>
    <w:basedOn w:val="1"/>
    <w:next w:val="1"/>
    <w:link w:val="82"/>
    <w:qFormat/>
    <w:uiPriority w:val="0"/>
    <w:pPr>
      <w:ind w:firstLine="420" w:firstLineChars="200"/>
    </w:pPr>
  </w:style>
  <w:style w:type="paragraph" w:styleId="16">
    <w:name w:val="Document Map"/>
    <w:basedOn w:val="1"/>
    <w:qFormat/>
    <w:uiPriority w:val="0"/>
    <w:pPr>
      <w:shd w:val="clear" w:color="auto" w:fill="000080"/>
    </w:pPr>
  </w:style>
  <w:style w:type="paragraph" w:styleId="17">
    <w:name w:val="Body Text Indent"/>
    <w:basedOn w:val="1"/>
    <w:qFormat/>
    <w:uiPriority w:val="0"/>
    <w:pPr>
      <w:spacing w:line="200" w:lineRule="exact"/>
      <w:ind w:firstLine="301"/>
    </w:pPr>
    <w:rPr>
      <w:rFonts w:ascii="宋体" w:hAnsi="Courier New"/>
      <w:spacing w:val="-4"/>
      <w:sz w:val="18"/>
      <w:szCs w:val="20"/>
    </w:r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120"/>
    <w:qFormat/>
    <w:uiPriority w:val="0"/>
    <w:rPr>
      <w:rFonts w:hint="eastAsia" w:ascii="宋体" w:hAnsi="Courier New"/>
      <w:kern w:val="0"/>
      <w:sz w:val="20"/>
      <w:szCs w:val="21"/>
    </w:rPr>
  </w:style>
  <w:style w:type="paragraph" w:styleId="21">
    <w:name w:val="toc 8"/>
    <w:basedOn w:val="1"/>
    <w:next w:val="1"/>
    <w:qFormat/>
    <w:uiPriority w:val="0"/>
    <w:pPr>
      <w:ind w:left="2940" w:leftChars="1400"/>
    </w:pPr>
  </w:style>
  <w:style w:type="paragraph" w:styleId="22">
    <w:name w:val="Date"/>
    <w:basedOn w:val="1"/>
    <w:next w:val="1"/>
    <w:link w:val="78"/>
    <w:qFormat/>
    <w:uiPriority w:val="0"/>
    <w:pPr>
      <w:ind w:left="100" w:leftChars="2500"/>
    </w:pPr>
    <w:rPr>
      <w:spacing w:val="30"/>
      <w:sz w:val="28"/>
    </w:rPr>
  </w:style>
  <w:style w:type="paragraph" w:styleId="23">
    <w:name w:val="Body Text Indent 2"/>
    <w:basedOn w:val="1"/>
    <w:qFormat/>
    <w:uiPriority w:val="0"/>
    <w:pPr>
      <w:ind w:left="1995" w:hanging="1575"/>
    </w:pPr>
  </w:style>
  <w:style w:type="paragraph" w:styleId="24">
    <w:name w:val="Balloon Text"/>
    <w:basedOn w:val="1"/>
    <w:qFormat/>
    <w:uiPriority w:val="0"/>
    <w:rPr>
      <w:sz w:val="18"/>
      <w:szCs w:val="18"/>
    </w:rPr>
  </w:style>
  <w:style w:type="paragraph" w:styleId="25">
    <w:name w:val="footer"/>
    <w:basedOn w:val="1"/>
    <w:link w:val="74"/>
    <w:qFormat/>
    <w:uiPriority w:val="99"/>
    <w:pPr>
      <w:tabs>
        <w:tab w:val="center" w:pos="4153"/>
        <w:tab w:val="right" w:pos="8306"/>
      </w:tabs>
      <w:snapToGrid w:val="0"/>
      <w:jc w:val="left"/>
    </w:pPr>
    <w:rPr>
      <w:rFonts w:ascii="宋体" w:hAnsi="Courier New"/>
      <w:sz w:val="18"/>
      <w:szCs w:val="20"/>
    </w:rPr>
  </w:style>
  <w:style w:type="paragraph" w:styleId="26">
    <w:name w:val="Body Text First Indent 2"/>
    <w:basedOn w:val="17"/>
    <w:unhideWhenUsed/>
    <w:qFormat/>
    <w:uiPriority w:val="99"/>
    <w:pPr>
      <w:ind w:firstLine="420" w:firstLineChars="200"/>
    </w:p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36">
    <w:name w:val="Strong"/>
    <w:qFormat/>
    <w:uiPriority w:val="0"/>
    <w:rPr>
      <w:rFonts w:ascii="Tahoma" w:hAnsi="Tahoma"/>
      <w:b/>
      <w:bCs/>
      <w:sz w:val="24"/>
      <w:szCs w:val="20"/>
    </w:rPr>
  </w:style>
  <w:style w:type="character" w:styleId="37">
    <w:name w:val="page number"/>
    <w:basedOn w:val="35"/>
    <w:qFormat/>
    <w:uiPriority w:val="0"/>
  </w:style>
  <w:style w:type="character" w:styleId="38">
    <w:name w:val="FollowedHyperlink"/>
    <w:qFormat/>
    <w:uiPriority w:val="0"/>
    <w:rPr>
      <w:rFonts w:ascii="Tahoma" w:hAnsi="Tahoma"/>
      <w:color w:val="800080"/>
      <w:sz w:val="24"/>
      <w:szCs w:val="20"/>
      <w:u w:val="single"/>
    </w:rPr>
  </w:style>
  <w:style w:type="character" w:styleId="39">
    <w:name w:val="Emphasis"/>
    <w:qFormat/>
    <w:uiPriority w:val="20"/>
    <w:rPr>
      <w:rFonts w:ascii="Tahoma" w:hAnsi="Tahoma"/>
      <w:i/>
      <w:iCs/>
      <w:sz w:val="24"/>
      <w:szCs w:val="20"/>
    </w:rPr>
  </w:style>
  <w:style w:type="character" w:styleId="40">
    <w:name w:val="HTML Definition"/>
    <w:basedOn w:val="35"/>
    <w:semiHidden/>
    <w:unhideWhenUsed/>
    <w:qFormat/>
    <w:uiPriority w:val="0"/>
    <w:rPr>
      <w:i/>
    </w:rPr>
  </w:style>
  <w:style w:type="character" w:styleId="41">
    <w:name w:val="Hyperlink"/>
    <w:qFormat/>
    <w:uiPriority w:val="99"/>
    <w:rPr>
      <w:rFonts w:ascii="Tahoma" w:hAnsi="Tahoma"/>
      <w:color w:val="0000FF"/>
      <w:sz w:val="24"/>
      <w:szCs w:val="20"/>
      <w:u w:val="single"/>
    </w:rPr>
  </w:style>
  <w:style w:type="character" w:styleId="42">
    <w:name w:val="HTML Code"/>
    <w:basedOn w:val="35"/>
    <w:semiHidden/>
    <w:unhideWhenUsed/>
    <w:qFormat/>
    <w:uiPriority w:val="0"/>
    <w:rPr>
      <w:rFonts w:hint="default" w:ascii="Consolas" w:hAnsi="Consolas" w:eastAsia="Consolas" w:cs="Consolas"/>
      <w:sz w:val="21"/>
      <w:szCs w:val="21"/>
    </w:rPr>
  </w:style>
  <w:style w:type="character" w:styleId="43">
    <w:name w:val="annotation reference"/>
    <w:qFormat/>
    <w:uiPriority w:val="99"/>
    <w:rPr>
      <w:rFonts w:ascii="Tahoma" w:hAnsi="Tahoma"/>
      <w:sz w:val="21"/>
      <w:szCs w:val="21"/>
    </w:rPr>
  </w:style>
  <w:style w:type="character" w:styleId="44">
    <w:name w:val="HTML Keyboard"/>
    <w:basedOn w:val="35"/>
    <w:semiHidden/>
    <w:unhideWhenUsed/>
    <w:qFormat/>
    <w:uiPriority w:val="0"/>
    <w:rPr>
      <w:rFonts w:hint="default" w:ascii="Consolas" w:hAnsi="Consolas" w:eastAsia="Consolas" w:cs="Consolas"/>
      <w:sz w:val="21"/>
      <w:szCs w:val="21"/>
    </w:rPr>
  </w:style>
  <w:style w:type="character" w:styleId="45">
    <w:name w:val="HTML Sample"/>
    <w:basedOn w:val="35"/>
    <w:semiHidden/>
    <w:unhideWhenUsed/>
    <w:qFormat/>
    <w:uiPriority w:val="0"/>
    <w:rPr>
      <w:rFonts w:ascii="Consolas" w:hAnsi="Consolas" w:eastAsia="Consolas" w:cs="Consolas"/>
      <w:sz w:val="21"/>
      <w:szCs w:val="21"/>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3 Char"/>
    <w:link w:val="5"/>
    <w:qFormat/>
    <w:uiPriority w:val="0"/>
    <w:rPr>
      <w:rFonts w:ascii="宋体" w:hAnsi="宋体"/>
      <w:b/>
      <w:color w:val="000000"/>
      <w:sz w:val="21"/>
      <w:lang w:val="en-GB"/>
    </w:rPr>
  </w:style>
  <w:style w:type="character" w:customStyle="1" w:styleId="49">
    <w:name w:val="纯文本 Char2"/>
    <w:qFormat/>
    <w:uiPriority w:val="0"/>
    <w:rPr>
      <w:rFonts w:ascii="宋体" w:hAnsi="宋体" w:eastAsia="宋体" w:cs="宋体"/>
      <w:kern w:val="2"/>
      <w:sz w:val="21"/>
      <w:lang w:val="en-US" w:eastAsia="zh-CN" w:bidi="ar-SA"/>
    </w:rPr>
  </w:style>
  <w:style w:type="character" w:customStyle="1" w:styleId="50">
    <w:name w:val="纯文本 Char"/>
    <w:link w:val="20"/>
    <w:qFormat/>
    <w:uiPriority w:val="0"/>
    <w:rPr>
      <w:rFonts w:ascii="宋体" w:hAnsi="Courier New" w:eastAsia="宋体"/>
      <w:kern w:val="2"/>
      <w:sz w:val="21"/>
      <w:szCs w:val="20"/>
      <w:lang w:val="en-US" w:eastAsia="zh-CN" w:bidi="ar-SA"/>
    </w:rPr>
  </w:style>
  <w:style w:type="character" w:customStyle="1" w:styleId="51">
    <w:name w:val="标题 1 Char"/>
    <w:link w:val="3"/>
    <w:qFormat/>
    <w:uiPriority w:val="0"/>
    <w:rPr>
      <w:rFonts w:ascii="Times New Roman" w:hAnsi="Times New Roman" w:eastAsia="宋体"/>
      <w:b/>
      <w:bCs/>
      <w:kern w:val="44"/>
      <w:sz w:val="44"/>
      <w:szCs w:val="44"/>
    </w:rPr>
  </w:style>
  <w:style w:type="character" w:customStyle="1" w:styleId="52">
    <w:name w:val="普通文字 Char Char2"/>
    <w:qFormat/>
    <w:uiPriority w:val="0"/>
    <w:rPr>
      <w:rFonts w:ascii="宋体" w:hAnsi="Courier New" w:eastAsia="宋体"/>
      <w:kern w:val="2"/>
      <w:sz w:val="21"/>
      <w:szCs w:val="20"/>
      <w:lang w:val="en-US" w:eastAsia="zh-CN" w:bidi="ar-SA"/>
    </w:rPr>
  </w:style>
  <w:style w:type="character" w:customStyle="1" w:styleId="53">
    <w:name w:val="graytext1"/>
    <w:qFormat/>
    <w:uiPriority w:val="0"/>
    <w:rPr>
      <w:rFonts w:ascii="Tahoma" w:hAnsi="Tahoma"/>
      <w:color w:val="666666"/>
      <w:sz w:val="24"/>
      <w:szCs w:val="20"/>
    </w:rPr>
  </w:style>
  <w:style w:type="character" w:customStyle="1" w:styleId="54">
    <w:name w:val="small"/>
    <w:basedOn w:val="35"/>
    <w:qFormat/>
    <w:uiPriority w:val="0"/>
  </w:style>
  <w:style w:type="character" w:customStyle="1" w:styleId="55">
    <w:name w:val="white"/>
    <w:basedOn w:val="35"/>
    <w:qFormat/>
    <w:uiPriority w:val="0"/>
  </w:style>
  <w:style w:type="character" w:customStyle="1" w:styleId="56">
    <w:name w:val="style11"/>
    <w:qFormat/>
    <w:uiPriority w:val="0"/>
    <w:rPr>
      <w:rFonts w:hint="default" w:ascii="Arial" w:hAnsi="Arial" w:cs="Arial"/>
      <w:sz w:val="24"/>
      <w:szCs w:val="20"/>
    </w:rPr>
  </w:style>
  <w:style w:type="character" w:customStyle="1" w:styleId="57">
    <w:name w:val="f141"/>
    <w:qFormat/>
    <w:uiPriority w:val="0"/>
    <w:rPr>
      <w:rFonts w:ascii="Tahoma" w:hAnsi="Tahoma"/>
      <w:sz w:val="21"/>
      <w:szCs w:val="21"/>
    </w:rPr>
  </w:style>
  <w:style w:type="character" w:customStyle="1" w:styleId="58">
    <w:name w:val="样式3 Char"/>
    <w:link w:val="59"/>
    <w:qFormat/>
    <w:uiPriority w:val="0"/>
    <w:rPr>
      <w:rFonts w:ascii="黑体" w:hAnsi="黑体" w:eastAsia="宋体"/>
      <w:bCs/>
      <w:color w:val="000000"/>
      <w:lang w:val="en-US" w:eastAsia="zh-CN" w:bidi="ar-SA"/>
    </w:rPr>
  </w:style>
  <w:style w:type="paragraph" w:customStyle="1" w:styleId="59">
    <w:name w:val="样式3"/>
    <w:basedOn w:val="1"/>
    <w:link w:val="58"/>
    <w:qFormat/>
    <w:uiPriority w:val="0"/>
    <w:pPr>
      <w:widowControl/>
      <w:spacing w:line="324" w:lineRule="auto"/>
      <w:jc w:val="center"/>
    </w:pPr>
    <w:rPr>
      <w:rFonts w:ascii="黑体" w:hAnsi="黑体"/>
      <w:bCs/>
      <w:color w:val="000000"/>
      <w:kern w:val="0"/>
      <w:sz w:val="20"/>
      <w:szCs w:val="20"/>
    </w:rPr>
  </w:style>
  <w:style w:type="paragraph" w:customStyle="1" w:styleId="60">
    <w:name w:val="Char"/>
    <w:basedOn w:val="1"/>
    <w:qFormat/>
    <w:uiPriority w:val="0"/>
    <w:pPr>
      <w:tabs>
        <w:tab w:val="left" w:pos="360"/>
      </w:tabs>
      <w:ind w:left="252" w:hanging="252" w:hangingChars="140"/>
    </w:pPr>
    <w:rPr>
      <w:rFonts w:ascii="宋体"/>
      <w:sz w:val="18"/>
      <w:szCs w:val="18"/>
    </w:rPr>
  </w:style>
  <w:style w:type="paragraph" w:customStyle="1" w:styleId="61">
    <w:name w:val="默认段落字体 Para Char Char Char Char Char Char Char Char Char Char"/>
    <w:basedOn w:val="1"/>
    <w:qFormat/>
    <w:uiPriority w:val="0"/>
  </w:style>
  <w:style w:type="paragraph" w:customStyle="1" w:styleId="62">
    <w:name w:val="缺省文本"/>
    <w:basedOn w:val="1"/>
    <w:qFormat/>
    <w:uiPriority w:val="0"/>
    <w:pPr>
      <w:autoSpaceDE w:val="0"/>
      <w:autoSpaceDN w:val="0"/>
      <w:adjustRightInd w:val="0"/>
      <w:spacing w:line="360" w:lineRule="auto"/>
      <w:jc w:val="left"/>
    </w:pPr>
    <w:rPr>
      <w:kern w:val="0"/>
      <w:sz w:val="24"/>
      <w:szCs w:val="20"/>
    </w:rPr>
  </w:style>
  <w:style w:type="paragraph" w:customStyle="1" w:styleId="63">
    <w:name w:val="1"/>
    <w:basedOn w:val="1"/>
    <w:next w:val="20"/>
    <w:qFormat/>
    <w:uiPriority w:val="0"/>
    <w:rPr>
      <w:rFonts w:ascii="宋体" w:hAnsi="Courier New"/>
      <w:szCs w:val="20"/>
    </w:rPr>
  </w:style>
  <w:style w:type="paragraph" w:customStyle="1" w:styleId="64">
    <w:name w:val="p0"/>
    <w:basedOn w:val="1"/>
    <w:qFormat/>
    <w:uiPriority w:val="0"/>
    <w:pPr>
      <w:widowControl/>
      <w:spacing w:before="156" w:after="156" w:line="360" w:lineRule="auto"/>
      <w:ind w:firstLine="420"/>
    </w:pPr>
    <w:rPr>
      <w:rFonts w:ascii="Calibri" w:hAnsi="Calibri" w:cs="宋体"/>
      <w:kern w:val="0"/>
      <w:sz w:val="32"/>
      <w:szCs w:val="32"/>
    </w:rPr>
  </w:style>
  <w:style w:type="paragraph" w:customStyle="1" w:styleId="65">
    <w:name w:val="样式1"/>
    <w:basedOn w:val="1"/>
    <w:qFormat/>
    <w:uiPriority w:val="0"/>
    <w:pPr>
      <w:adjustRightInd w:val="0"/>
      <w:spacing w:line="420" w:lineRule="auto"/>
      <w:jc w:val="center"/>
    </w:pPr>
    <w:rPr>
      <w:rFonts w:ascii="宋体"/>
      <w:kern w:val="0"/>
      <w:sz w:val="24"/>
      <w:szCs w:val="20"/>
    </w:rPr>
  </w:style>
  <w:style w:type="paragraph" w:customStyle="1" w:styleId="66">
    <w:name w:val="列出段落1"/>
    <w:basedOn w:val="1"/>
    <w:qFormat/>
    <w:uiPriority w:val="34"/>
    <w:pPr>
      <w:ind w:firstLine="420" w:firstLineChars="200"/>
    </w:pPr>
    <w:rPr>
      <w:rFonts w:ascii="Calibri" w:hAnsi="Calibri"/>
      <w:szCs w:val="22"/>
    </w:rPr>
  </w:style>
  <w:style w:type="paragraph" w:customStyle="1" w:styleId="67">
    <w:name w:val="次小点说明 Char"/>
    <w:basedOn w:val="15"/>
    <w:qFormat/>
    <w:uiPriority w:val="0"/>
    <w:pPr>
      <w:ind w:firstLine="0" w:firstLineChars="0"/>
    </w:pPr>
    <w:rPr>
      <w:sz w:val="24"/>
    </w:rPr>
  </w:style>
  <w:style w:type="paragraph" w:customStyle="1" w:styleId="68">
    <w:name w:val="_Style 16"/>
    <w:basedOn w:val="16"/>
    <w:qFormat/>
    <w:uiPriority w:val="0"/>
    <w:rPr>
      <w:rFonts w:ascii="Tahoma" w:hAnsi="Tahoma"/>
      <w:sz w:val="24"/>
    </w:rPr>
  </w:style>
  <w:style w:type="paragraph" w:customStyle="1" w:styleId="69">
    <w:name w:val="Char Char Char Char"/>
    <w:basedOn w:val="1"/>
    <w:qFormat/>
    <w:uiPriority w:val="0"/>
    <w:rPr>
      <w:rFonts w:ascii="Tahoma" w:hAnsi="Tahoma"/>
      <w:sz w:val="24"/>
      <w:szCs w:val="20"/>
    </w:rPr>
  </w:style>
  <w:style w:type="paragraph" w:customStyle="1" w:styleId="70">
    <w:name w:val="p18"/>
    <w:basedOn w:val="1"/>
    <w:qFormat/>
    <w:uiPriority w:val="0"/>
    <w:pPr>
      <w:widowControl/>
      <w:spacing w:before="156" w:after="156" w:line="360" w:lineRule="auto"/>
      <w:ind w:firstLine="420"/>
    </w:pPr>
    <w:rPr>
      <w:rFonts w:ascii="Calibri" w:hAnsi="Calibri" w:cs="宋体"/>
      <w:kern w:val="0"/>
      <w:sz w:val="32"/>
      <w:szCs w:val="32"/>
    </w:rPr>
  </w:style>
  <w:style w:type="paragraph" w:customStyle="1" w:styleId="71">
    <w:name w:val="列出段落2"/>
    <w:basedOn w:val="1"/>
    <w:qFormat/>
    <w:uiPriority w:val="34"/>
    <w:pPr>
      <w:ind w:firstLine="420" w:firstLineChars="200"/>
    </w:pPr>
  </w:style>
  <w:style w:type="paragraph" w:customStyle="1" w:styleId="72">
    <w:name w:val="样式2"/>
    <w:basedOn w:val="1"/>
    <w:qFormat/>
    <w:uiPriority w:val="0"/>
    <w:pPr>
      <w:adjustRightInd w:val="0"/>
      <w:spacing w:line="410" w:lineRule="atLeast"/>
      <w:textAlignment w:val="baseline"/>
    </w:pPr>
    <w:rPr>
      <w:kern w:val="0"/>
      <w:sz w:val="24"/>
      <w:szCs w:val="20"/>
    </w:rPr>
  </w:style>
  <w:style w:type="character" w:customStyle="1" w:styleId="73">
    <w:name w:val="font51"/>
    <w:basedOn w:val="35"/>
    <w:qFormat/>
    <w:uiPriority w:val="0"/>
    <w:rPr>
      <w:rFonts w:hint="eastAsia" w:ascii="宋体" w:hAnsi="宋体" w:eastAsia="宋体" w:cs="宋体"/>
      <w:color w:val="000000"/>
      <w:sz w:val="20"/>
      <w:u w:val="none"/>
    </w:rPr>
  </w:style>
  <w:style w:type="character" w:customStyle="1" w:styleId="74">
    <w:name w:val="页脚 Char"/>
    <w:basedOn w:val="35"/>
    <w:link w:val="25"/>
    <w:qFormat/>
    <w:uiPriority w:val="99"/>
    <w:rPr>
      <w:rFonts w:ascii="宋体" w:hAnsi="Courier New"/>
      <w:kern w:val="2"/>
      <w:sz w:val="18"/>
    </w:rPr>
  </w:style>
  <w:style w:type="paragraph" w:customStyle="1" w:styleId="75">
    <w:name w:val="_Style 1"/>
    <w:qFormat/>
    <w:uiPriority w:val="0"/>
    <w:pPr>
      <w:widowControl w:val="0"/>
      <w:ind w:firstLine="200" w:firstLineChars="200"/>
      <w:jc w:val="both"/>
    </w:pPr>
    <w:rPr>
      <w:rFonts w:ascii="Times New Roman" w:hAnsi="Times New Roman" w:eastAsia="仿宋_GB2312" w:cs="Times New Roman"/>
      <w:kern w:val="2"/>
      <w:sz w:val="24"/>
      <w:szCs w:val="24"/>
      <w:lang w:val="en-US" w:eastAsia="zh-CN" w:bidi="ar-SA"/>
    </w:rPr>
  </w:style>
  <w:style w:type="paragraph" w:styleId="76">
    <w:name w:val="List Paragraph"/>
    <w:basedOn w:val="1"/>
    <w:link w:val="114"/>
    <w:unhideWhenUsed/>
    <w:qFormat/>
    <w:uiPriority w:val="34"/>
    <w:pPr>
      <w:ind w:firstLine="420" w:firstLineChars="200"/>
    </w:pPr>
  </w:style>
  <w:style w:type="character" w:customStyle="1" w:styleId="77">
    <w:name w:val="黑简10.5px"/>
    <w:qFormat/>
    <w:uiPriority w:val="99"/>
    <w:rPr>
      <w:rFonts w:ascii="方正黑体简体" w:eastAsia="方正黑体简体" w:cs="方正黑体简体"/>
      <w:sz w:val="21"/>
      <w:szCs w:val="21"/>
    </w:rPr>
  </w:style>
  <w:style w:type="character" w:customStyle="1" w:styleId="78">
    <w:name w:val="日期 Char1"/>
    <w:link w:val="22"/>
    <w:qFormat/>
    <w:uiPriority w:val="0"/>
    <w:rPr>
      <w:spacing w:val="30"/>
      <w:kern w:val="2"/>
      <w:sz w:val="28"/>
      <w:szCs w:val="24"/>
    </w:rPr>
  </w:style>
  <w:style w:type="paragraph" w:customStyle="1" w:styleId="79">
    <w:name w:val="正文缩进1"/>
    <w:basedOn w:val="1"/>
    <w:qFormat/>
    <w:uiPriority w:val="0"/>
    <w:pPr>
      <w:widowControl/>
      <w:spacing w:after="120" w:line="360" w:lineRule="auto"/>
      <w:ind w:left="1134"/>
      <w:jc w:val="left"/>
    </w:pPr>
    <w:rPr>
      <w:rFonts w:eastAsia="PMingLiU"/>
      <w:kern w:val="0"/>
      <w:sz w:val="22"/>
      <w:szCs w:val="20"/>
      <w:lang w:val="en-GB" w:eastAsia="en-US"/>
    </w:rPr>
  </w:style>
  <w:style w:type="character" w:customStyle="1" w:styleId="80">
    <w:name w:val="日期 Char"/>
    <w:qFormat/>
    <w:uiPriority w:val="0"/>
    <w:rPr>
      <w:rFonts w:ascii="Times New Roman" w:hAnsi="Times New Roman"/>
      <w:kern w:val="2"/>
      <w:sz w:val="21"/>
      <w:szCs w:val="24"/>
    </w:rPr>
  </w:style>
  <w:style w:type="character" w:customStyle="1" w:styleId="81">
    <w:name w:val="批注文字 Char"/>
    <w:link w:val="10"/>
    <w:qFormat/>
    <w:uiPriority w:val="0"/>
    <w:rPr>
      <w:kern w:val="2"/>
      <w:sz w:val="21"/>
      <w:szCs w:val="24"/>
    </w:rPr>
  </w:style>
  <w:style w:type="character" w:customStyle="1" w:styleId="82">
    <w:name w:val="正文缩进 Char"/>
    <w:link w:val="15"/>
    <w:qFormat/>
    <w:locked/>
    <w:uiPriority w:val="0"/>
    <w:rPr>
      <w:kern w:val="2"/>
      <w:sz w:val="21"/>
      <w:szCs w:val="24"/>
    </w:rPr>
  </w:style>
  <w:style w:type="paragraph" w:customStyle="1" w:styleId="83">
    <w:name w:val="(符号)三标题1.1"/>
    <w:basedOn w:val="1"/>
    <w:qFormat/>
    <w:uiPriority w:val="0"/>
    <w:pPr>
      <w:numPr>
        <w:ilvl w:val="0"/>
        <w:numId w:val="1"/>
      </w:numPr>
      <w:tabs>
        <w:tab w:val="left" w:pos="562"/>
      </w:tabs>
      <w:spacing w:before="140" w:after="140" w:line="500" w:lineRule="exact"/>
      <w:outlineLvl w:val="2"/>
    </w:pPr>
    <w:rPr>
      <w:rFonts w:ascii="楷体_GB2312" w:hAnsi="宋体" w:eastAsia="楷体_GB2312" w:cs="宋体"/>
      <w:b/>
      <w:bCs/>
      <w:sz w:val="28"/>
      <w:szCs w:val="20"/>
    </w:rPr>
  </w:style>
  <w:style w:type="paragraph" w:customStyle="1" w:styleId="84">
    <w:name w:val="_Style 4"/>
    <w:basedOn w:val="1"/>
    <w:qFormat/>
    <w:uiPriority w:val="34"/>
    <w:pPr>
      <w:ind w:firstLine="420" w:firstLineChars="200"/>
    </w:pPr>
  </w:style>
  <w:style w:type="character" w:customStyle="1" w:styleId="85">
    <w:name w:val="hover7"/>
    <w:basedOn w:val="35"/>
    <w:qFormat/>
    <w:uiPriority w:val="0"/>
    <w:rPr>
      <w:color w:val="3177FD"/>
    </w:rPr>
  </w:style>
  <w:style w:type="character" w:customStyle="1" w:styleId="86">
    <w:name w:val="ant-tree-iconele"/>
    <w:basedOn w:val="35"/>
    <w:qFormat/>
    <w:uiPriority w:val="0"/>
  </w:style>
  <w:style w:type="character" w:customStyle="1" w:styleId="87">
    <w:name w:val="current"/>
    <w:basedOn w:val="35"/>
    <w:qFormat/>
    <w:uiPriority w:val="0"/>
    <w:rPr>
      <w:color w:val="00C1DE"/>
    </w:rPr>
  </w:style>
  <w:style w:type="character" w:customStyle="1" w:styleId="88">
    <w:name w:val="current1"/>
    <w:basedOn w:val="35"/>
    <w:qFormat/>
    <w:uiPriority w:val="0"/>
    <w:rPr>
      <w:color w:val="00C1DE"/>
    </w:rPr>
  </w:style>
  <w:style w:type="character" w:customStyle="1" w:styleId="89">
    <w:name w:val="tag-type"/>
    <w:basedOn w:val="35"/>
    <w:qFormat/>
    <w:uiPriority w:val="0"/>
    <w:rPr>
      <w:color w:val="FFFFFF"/>
      <w:sz w:val="18"/>
      <w:szCs w:val="18"/>
      <w:shd w:val="clear" w:color="auto" w:fill="317FFD"/>
    </w:rPr>
  </w:style>
  <w:style w:type="character" w:customStyle="1" w:styleId="90">
    <w:name w:val="tag-type1"/>
    <w:basedOn w:val="35"/>
    <w:qFormat/>
    <w:uiPriority w:val="0"/>
    <w:rPr>
      <w:color w:val="FFFFFF"/>
      <w:sz w:val="18"/>
      <w:szCs w:val="18"/>
      <w:shd w:val="clear" w:color="auto" w:fill="317FFD"/>
    </w:rPr>
  </w:style>
  <w:style w:type="character" w:customStyle="1" w:styleId="91">
    <w:name w:val="all-fit-info"/>
    <w:basedOn w:val="35"/>
    <w:qFormat/>
    <w:uiPriority w:val="0"/>
    <w:rPr>
      <w:color w:val="939393"/>
    </w:rPr>
  </w:style>
  <w:style w:type="character" w:customStyle="1" w:styleId="92">
    <w:name w:val="all-fit-info1"/>
    <w:basedOn w:val="35"/>
    <w:qFormat/>
    <w:uiPriority w:val="0"/>
    <w:rPr>
      <w:color w:val="939393"/>
    </w:rPr>
  </w:style>
  <w:style w:type="character" w:customStyle="1" w:styleId="93">
    <w:name w:val="all-fit-info2"/>
    <w:basedOn w:val="35"/>
    <w:qFormat/>
    <w:uiPriority w:val="0"/>
    <w:rPr>
      <w:color w:val="939393"/>
    </w:rPr>
  </w:style>
  <w:style w:type="character" w:customStyle="1" w:styleId="94">
    <w:name w:val="ant-tree-icon_loading"/>
    <w:basedOn w:val="35"/>
    <w:qFormat/>
    <w:uiPriority w:val="0"/>
    <w:rPr>
      <w:shd w:val="clear" w:color="auto" w:fill="FFFFFF"/>
    </w:rPr>
  </w:style>
  <w:style w:type="character" w:customStyle="1" w:styleId="95">
    <w:name w:val="ant-select-tree-checkbox"/>
    <w:basedOn w:val="35"/>
    <w:qFormat/>
    <w:uiPriority w:val="0"/>
  </w:style>
  <w:style w:type="character" w:customStyle="1" w:styleId="96">
    <w:name w:val="ant-select-tree-switcher"/>
    <w:basedOn w:val="35"/>
    <w:qFormat/>
    <w:uiPriority w:val="0"/>
  </w:style>
  <w:style w:type="character" w:customStyle="1" w:styleId="97">
    <w:name w:val="ant-select-tree-iconele"/>
    <w:basedOn w:val="35"/>
    <w:qFormat/>
    <w:uiPriority w:val="0"/>
  </w:style>
  <w:style w:type="character" w:customStyle="1" w:styleId="98">
    <w:name w:val="label2"/>
    <w:basedOn w:val="35"/>
    <w:qFormat/>
    <w:uiPriority w:val="0"/>
  </w:style>
  <w:style w:type="character" w:customStyle="1" w:styleId="99">
    <w:name w:val="content"/>
    <w:basedOn w:val="35"/>
    <w:qFormat/>
    <w:uiPriority w:val="0"/>
  </w:style>
  <w:style w:type="character" w:customStyle="1" w:styleId="100">
    <w:name w:val="info-label"/>
    <w:basedOn w:val="35"/>
    <w:qFormat/>
    <w:uiPriority w:val="0"/>
    <w:rPr>
      <w:b/>
    </w:rPr>
  </w:style>
  <w:style w:type="character" w:customStyle="1" w:styleId="101">
    <w:name w:val="info-content"/>
    <w:basedOn w:val="35"/>
    <w:qFormat/>
    <w:uiPriority w:val="0"/>
    <w:rPr>
      <w:color w:val="808080"/>
    </w:rPr>
  </w:style>
  <w:style w:type="character" w:customStyle="1" w:styleId="102">
    <w:name w:val="temp"/>
    <w:basedOn w:val="35"/>
    <w:qFormat/>
    <w:uiPriority w:val="0"/>
  </w:style>
  <w:style w:type="character" w:customStyle="1" w:styleId="103">
    <w:name w:val="temp1"/>
    <w:basedOn w:val="35"/>
    <w:qFormat/>
    <w:uiPriority w:val="0"/>
  </w:style>
  <w:style w:type="character" w:customStyle="1" w:styleId="104">
    <w:name w:val="temp2"/>
    <w:basedOn w:val="35"/>
    <w:qFormat/>
    <w:uiPriority w:val="0"/>
  </w:style>
  <w:style w:type="character" w:customStyle="1" w:styleId="105">
    <w:name w:val="ant-tree-checkbox2"/>
    <w:basedOn w:val="35"/>
    <w:qFormat/>
    <w:uiPriority w:val="0"/>
  </w:style>
  <w:style w:type="character" w:customStyle="1" w:styleId="106">
    <w:name w:val="ant-tree-switcher"/>
    <w:basedOn w:val="35"/>
    <w:qFormat/>
    <w:uiPriority w:val="0"/>
  </w:style>
  <w:style w:type="character" w:customStyle="1" w:styleId="107">
    <w:name w:val="last-child6"/>
    <w:basedOn w:val="35"/>
    <w:qFormat/>
    <w:uiPriority w:val="0"/>
  </w:style>
  <w:style w:type="character" w:customStyle="1" w:styleId="108">
    <w:name w:val="last-child7"/>
    <w:basedOn w:val="35"/>
    <w:qFormat/>
    <w:uiPriority w:val="0"/>
  </w:style>
  <w:style w:type="character" w:customStyle="1" w:styleId="109">
    <w:name w:val="last-child8"/>
    <w:basedOn w:val="35"/>
    <w:qFormat/>
    <w:uiPriority w:val="0"/>
  </w:style>
  <w:style w:type="character" w:customStyle="1" w:styleId="110">
    <w:name w:val="last-child9"/>
    <w:basedOn w:val="35"/>
    <w:qFormat/>
    <w:uiPriority w:val="0"/>
  </w:style>
  <w:style w:type="character" w:customStyle="1" w:styleId="111">
    <w:name w:val="first-child9"/>
    <w:basedOn w:val="35"/>
    <w:qFormat/>
    <w:uiPriority w:val="0"/>
  </w:style>
  <w:style w:type="character" w:customStyle="1" w:styleId="112">
    <w:name w:val="change-camera-place"/>
    <w:basedOn w:val="35"/>
    <w:qFormat/>
    <w:uiPriority w:val="0"/>
    <w:rPr>
      <w:color w:val="3177FD"/>
    </w:rPr>
  </w:style>
  <w:style w:type="character" w:customStyle="1" w:styleId="113">
    <w:name w:val="NormalCharacter"/>
    <w:qFormat/>
    <w:uiPriority w:val="0"/>
  </w:style>
  <w:style w:type="character" w:customStyle="1" w:styleId="114">
    <w:name w:val="列出段落 Char"/>
    <w:link w:val="76"/>
    <w:qFormat/>
    <w:locked/>
    <w:uiPriority w:val="34"/>
    <w:rPr>
      <w:kern w:val="2"/>
      <w:sz w:val="21"/>
      <w:szCs w:val="24"/>
    </w:rPr>
  </w:style>
  <w:style w:type="character" w:customStyle="1" w:styleId="115">
    <w:name w:val="font11"/>
    <w:basedOn w:val="35"/>
    <w:qFormat/>
    <w:uiPriority w:val="0"/>
    <w:rPr>
      <w:rFonts w:hint="eastAsia" w:ascii="宋体" w:hAnsi="宋体" w:eastAsia="宋体" w:cs="宋体"/>
      <w:color w:val="000000"/>
      <w:sz w:val="20"/>
      <w:szCs w:val="20"/>
      <w:u w:val="none"/>
    </w:rPr>
  </w:style>
  <w:style w:type="character" w:customStyle="1" w:styleId="116">
    <w:name w:val="font41"/>
    <w:basedOn w:val="35"/>
    <w:qFormat/>
    <w:uiPriority w:val="0"/>
    <w:rPr>
      <w:rFonts w:hint="eastAsia" w:ascii="宋体" w:hAnsi="宋体" w:eastAsia="宋体" w:cs="宋体"/>
      <w:color w:val="000000"/>
      <w:sz w:val="21"/>
      <w:szCs w:val="21"/>
      <w:u w:val="none"/>
    </w:rPr>
  </w:style>
  <w:style w:type="paragraph" w:customStyle="1" w:styleId="117">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18">
    <w:name w:val="标题 1（绿盟科技）"/>
    <w:basedOn w:val="3"/>
    <w:next w:val="1"/>
    <w:qFormat/>
    <w:uiPriority w:val="0"/>
    <w:pPr>
      <w:pageBreakBefore/>
      <w:numPr>
        <w:ilvl w:val="0"/>
        <w:numId w:val="2"/>
      </w:numPr>
      <w:spacing w:before="600"/>
    </w:pPr>
    <w:rPr>
      <w:rFonts w:ascii="Arial" w:hAnsi="Arial" w:eastAsia="黑体"/>
      <w:sz w:val="32"/>
    </w:rPr>
  </w:style>
  <w:style w:type="character" w:customStyle="1" w:styleId="119">
    <w:name w:val="正文文本 Char"/>
    <w:basedOn w:val="35"/>
    <w:link w:val="13"/>
    <w:qFormat/>
    <w:uiPriority w:val="0"/>
    <w:rPr>
      <w:kern w:val="2"/>
      <w:sz w:val="21"/>
      <w:szCs w:val="24"/>
    </w:rPr>
  </w:style>
  <w:style w:type="character" w:customStyle="1" w:styleId="120">
    <w:name w:val="纯文本 Char1"/>
    <w:basedOn w:val="35"/>
    <w:link w:val="20"/>
    <w:qFormat/>
    <w:uiPriority w:val="0"/>
    <w:rPr>
      <w:rFonts w:hint="eastAsia" w:ascii="宋体" w:hAnsi="Courier New" w:eastAsia="宋体" w:cs="宋体"/>
      <w:szCs w:val="21"/>
    </w:rPr>
  </w:style>
  <w:style w:type="character" w:customStyle="1" w:styleId="121">
    <w:name w:val="标题 1 Char1"/>
    <w:link w:val="3"/>
    <w:qFormat/>
    <w:uiPriority w:val="0"/>
    <w:rPr>
      <w:rFonts w:ascii="Times New Roman" w:hAnsi="Times New Roman" w:eastAsia="宋体"/>
      <w:b/>
      <w:bCs/>
      <w:kern w:val="44"/>
      <w:sz w:val="44"/>
      <w:szCs w:val="44"/>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4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23956</Words>
  <Characters>27415</Characters>
  <Lines>197</Lines>
  <Paragraphs>55</Paragraphs>
  <TotalTime>1</TotalTime>
  <ScaleCrop>false</ScaleCrop>
  <LinksUpToDate>false</LinksUpToDate>
  <CharactersWithSpaces>27719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2021-10-13T09:47:00Z</dcterms:created>
  <dc:creator>ok</dc:creator>
  <cp:lastModifiedBy>Ching</cp:lastModifiedBy>
  <cp:lastPrinted>2021-10-11T09:43:00Z</cp:lastPrinted>
  <dcterms:modified xsi:type="dcterms:W3CDTF">2025-07-23T04:51:44Z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F3247FC524824A65A18640647E2A405A_13</vt:lpwstr>
  </property>
  <property fmtid="{D5CDD505-2E9C-101B-9397-08002B2CF9AE}" pid="4" name="KSOTemplateDocerSaveRecord">
    <vt:lpwstr>eyJoZGlkIjoiOWNkN2UyMWUxYjI4NTU4YzA5ZjJhY2YxYjFhZWQ3ZGIiLCJ1c2VySWQiOiI1NzE1OTMwODYifQ==</vt:lpwstr>
  </property>
</Properties>
</file>