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600" w:lineRule="exact"/>
        <w:jc w:val="center"/>
        <w:rPr>
          <w:rFonts w:ascii="方正小标宋简体" w:hAnsi="宋体" w:eastAsia="方正小标宋简体"/>
          <w:color w:val="auto"/>
          <w:sz w:val="52"/>
          <w:szCs w:val="52"/>
          <w:highlight w:val="none"/>
        </w:rPr>
      </w:pPr>
    </w:p>
    <w:p>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pPr>
        <w:spacing w:line="360" w:lineRule="auto"/>
        <w:rPr>
          <w:rFonts w:ascii="方正小标宋简体" w:hAnsi="方正小标宋简体" w:eastAsia="方正小标宋简体" w:cs="方正小标宋简体"/>
          <w:b/>
          <w:color w:val="auto"/>
          <w:sz w:val="44"/>
          <w:szCs w:val="44"/>
          <w:highlight w:val="none"/>
        </w:rPr>
      </w:pPr>
    </w:p>
    <w:p>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w:t>
      </w:r>
      <w:bookmarkStart w:id="163" w:name="_GoBack"/>
      <w:bookmarkEnd w:id="163"/>
      <w:r>
        <w:rPr>
          <w:rFonts w:hint="eastAsia" w:ascii="仿宋_GB2312" w:hAnsi="宋体" w:eastAsia="仿宋_GB2312"/>
          <w:b/>
          <w:color w:val="auto"/>
          <w:sz w:val="48"/>
          <w:szCs w:val="48"/>
          <w:highlight w:val="none"/>
        </w:rPr>
        <w:t>全流程电子化采购）</w:t>
      </w:r>
    </w:p>
    <w:p>
      <w:pPr>
        <w:snapToGrid w:val="0"/>
        <w:spacing w:line="360" w:lineRule="auto"/>
        <w:rPr>
          <w:rFonts w:ascii="仿宋_GB2312" w:hAnsi="宋体" w:eastAsia="仿宋_GB2312"/>
          <w:color w:val="auto"/>
          <w:sz w:val="30"/>
          <w:szCs w:val="72"/>
          <w:highlight w:val="none"/>
        </w:rPr>
      </w:pPr>
    </w:p>
    <w:p>
      <w:pPr>
        <w:pStyle w:val="16"/>
        <w:snapToGrid w:val="0"/>
        <w:spacing w:line="360" w:lineRule="auto"/>
        <w:ind w:left="2693" w:leftChars="568" w:hanging="1500" w:hangingChars="498"/>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bookmarkStart w:id="0" w:name="OLE_LINK87"/>
      <w:r>
        <w:rPr>
          <w:rFonts w:hint="eastAsia" w:ascii="仿宋_GB2312" w:hAnsi="宋体" w:eastAsia="仿宋_GB2312"/>
          <w:b/>
          <w:bCs/>
          <w:color w:val="auto"/>
          <w:sz w:val="30"/>
          <w:szCs w:val="30"/>
          <w:highlight w:val="none"/>
        </w:rPr>
        <w:t>职业卫生仪器设备采购项目</w:t>
      </w:r>
    </w:p>
    <w:bookmarkEnd w:id="0"/>
    <w:p>
      <w:pPr>
        <w:pStyle w:val="16"/>
        <w:snapToGrid w:val="0"/>
        <w:spacing w:line="360" w:lineRule="auto"/>
        <w:ind w:left="2693" w:leftChars="568" w:hanging="1500" w:hangingChars="498"/>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w:t>
      </w:r>
      <w:bookmarkStart w:id="1" w:name="OLE_LINK88"/>
      <w:r>
        <w:rPr>
          <w:rFonts w:hint="eastAsia" w:ascii="仿宋_GB2312" w:hAnsi="宋体" w:eastAsia="仿宋_GB2312"/>
          <w:b/>
          <w:bCs/>
          <w:color w:val="auto"/>
          <w:sz w:val="30"/>
          <w:szCs w:val="30"/>
          <w:highlight w:val="none"/>
        </w:rPr>
        <w:t>GXZC2025-J1-001571-YZLZ</w:t>
      </w:r>
      <w:bookmarkEnd w:id="1"/>
    </w:p>
    <w:p>
      <w:pPr>
        <w:pStyle w:val="16"/>
        <w:snapToGrid w:val="0"/>
        <w:spacing w:line="360" w:lineRule="auto"/>
        <w:ind w:left="2693" w:leftChars="568" w:hanging="1500" w:hangingChars="498"/>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采购人：广西壮族自治区职业病防治研究院</w:t>
      </w:r>
    </w:p>
    <w:p>
      <w:pPr>
        <w:pStyle w:val="16"/>
        <w:snapToGrid w:val="0"/>
        <w:spacing w:line="360" w:lineRule="auto"/>
        <w:ind w:left="2693" w:leftChars="568" w:hanging="1500" w:hangingChars="498"/>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采购代理机构：云之龙咨询集团有限公司</w:t>
      </w:r>
    </w:p>
    <w:p>
      <w:pPr>
        <w:pStyle w:val="16"/>
        <w:snapToGrid w:val="0"/>
        <w:spacing w:line="360" w:lineRule="auto"/>
        <w:ind w:firstLine="1125" w:firstLineChars="393"/>
        <w:rPr>
          <w:rFonts w:ascii="仿宋_GB2312" w:hAnsi="宋体" w:eastAsia="仿宋_GB2312"/>
          <w:b/>
          <w:bCs/>
          <w:color w:val="auto"/>
          <w:w w:val="95"/>
          <w:sz w:val="30"/>
          <w:szCs w:val="30"/>
          <w:highlight w:val="none"/>
        </w:rPr>
      </w:pPr>
    </w:p>
    <w:p>
      <w:pPr>
        <w:pStyle w:val="16"/>
        <w:snapToGrid w:val="0"/>
        <w:spacing w:line="360" w:lineRule="auto"/>
        <w:ind w:firstLine="1125" w:firstLineChars="393"/>
        <w:rPr>
          <w:rFonts w:ascii="仿宋_GB2312" w:hAnsi="宋体" w:eastAsia="仿宋_GB2312"/>
          <w:b/>
          <w:bCs/>
          <w:color w:val="auto"/>
          <w:w w:val="95"/>
          <w:sz w:val="30"/>
          <w:szCs w:val="30"/>
          <w:highlight w:val="none"/>
        </w:rPr>
      </w:pPr>
    </w:p>
    <w:p>
      <w:pPr>
        <w:pStyle w:val="16"/>
        <w:snapToGrid w:val="0"/>
        <w:spacing w:line="360" w:lineRule="auto"/>
        <w:jc w:val="center"/>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6</w:t>
      </w:r>
      <w:r>
        <w:rPr>
          <w:rFonts w:hint="eastAsia" w:ascii="仿宋_GB2312" w:hAnsi="宋体" w:eastAsia="仿宋_GB2312"/>
          <w:b/>
          <w:bCs/>
          <w:color w:val="auto"/>
          <w:w w:val="95"/>
          <w:sz w:val="30"/>
          <w:szCs w:val="30"/>
          <w:highlight w:val="none"/>
        </w:rPr>
        <w:t>月</w:t>
      </w:r>
    </w:p>
    <w:p>
      <w:pPr>
        <w:pStyle w:val="8"/>
        <w:ind w:firstLine="803"/>
        <w:jc w:val="center"/>
        <w:rPr>
          <w:rFonts w:ascii="宋体" w:hAnsi="宋体"/>
          <w:b/>
          <w:color w:val="auto"/>
          <w:sz w:val="44"/>
          <w:szCs w:val="44"/>
          <w:highlight w:val="none"/>
        </w:rPr>
      </w:pPr>
      <w:r>
        <w:rPr>
          <w:rFonts w:ascii="仿宋_GB2312" w:hAnsi="宋体" w:eastAsia="仿宋_GB2312"/>
          <w:b/>
          <w:color w:val="auto"/>
          <w:sz w:val="30"/>
          <w:szCs w:val="30"/>
          <w:highlight w:val="none"/>
        </w:rPr>
        <w:br w:type="page"/>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目录</w:t>
      </w:r>
    </w:p>
    <w:p>
      <w:pPr>
        <w:spacing w:line="400" w:lineRule="exact"/>
        <w:jc w:val="center"/>
        <w:rPr>
          <w:rFonts w:ascii="宋体" w:hAnsi="宋体"/>
          <w:b/>
          <w:color w:val="auto"/>
          <w:sz w:val="44"/>
          <w:szCs w:val="44"/>
          <w:highlight w:val="none"/>
        </w:rPr>
      </w:pPr>
    </w:p>
    <w:p>
      <w:pPr>
        <w:pStyle w:val="21"/>
        <w:tabs>
          <w:tab w:val="right" w:leader="dot" w:pos="8879"/>
        </w:tabs>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TOC \o "1-1" \h \z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"_Toc1567" </w:instrText>
      </w:r>
      <w:r>
        <w:rPr>
          <w:color w:val="auto"/>
          <w:highlight w:val="none"/>
        </w:rPr>
        <w:fldChar w:fldCharType="separate"/>
      </w:r>
      <w:r>
        <w:rPr>
          <w:rFonts w:hint="eastAsia" w:ascii="宋体" w:hAnsi="宋体" w:cs="宋体"/>
          <w:b/>
          <w:bCs/>
          <w:color w:val="auto"/>
          <w:sz w:val="32"/>
          <w:szCs w:val="32"/>
          <w:highlight w:val="none"/>
        </w:rPr>
        <w:t>第一章  竞争性谈判公告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_Toc1567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1"/>
        <w:tabs>
          <w:tab w:val="right" w:leader="dot" w:pos="8879"/>
        </w:tabs>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"_Toc7662" </w:instrText>
      </w:r>
      <w:r>
        <w:rPr>
          <w:color w:val="auto"/>
          <w:highlight w:val="none"/>
        </w:rPr>
        <w:fldChar w:fldCharType="separate"/>
      </w:r>
      <w:r>
        <w:rPr>
          <w:rFonts w:hint="eastAsia" w:ascii="宋体" w:hAnsi="宋体" w:cs="宋体"/>
          <w:b/>
          <w:bCs/>
          <w:color w:val="auto"/>
          <w:sz w:val="32"/>
          <w:szCs w:val="32"/>
          <w:highlight w:val="none"/>
        </w:rPr>
        <w:t>第二章  供应商须知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_Toc7662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4</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1"/>
        <w:tabs>
          <w:tab w:val="right" w:leader="dot" w:pos="8879"/>
        </w:tabs>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"_Toc14190" </w:instrText>
      </w:r>
      <w:r>
        <w:rPr>
          <w:color w:val="auto"/>
          <w:highlight w:val="none"/>
        </w:rPr>
        <w:fldChar w:fldCharType="separate"/>
      </w:r>
      <w:r>
        <w:rPr>
          <w:rFonts w:hint="eastAsia" w:ascii="宋体" w:hAnsi="宋体" w:cs="宋体"/>
          <w:b/>
          <w:bCs/>
          <w:color w:val="auto"/>
          <w:sz w:val="32"/>
          <w:szCs w:val="32"/>
          <w:highlight w:val="none"/>
        </w:rPr>
        <w:t>第三章  采购需求</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_Toc14190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1"/>
        <w:tabs>
          <w:tab w:val="right" w:leader="dot" w:pos="8879"/>
        </w:tabs>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"_Toc26130" </w:instrText>
      </w:r>
      <w:r>
        <w:rPr>
          <w:color w:val="auto"/>
          <w:highlight w:val="none"/>
        </w:rPr>
        <w:fldChar w:fldCharType="separate"/>
      </w:r>
      <w:r>
        <w:rPr>
          <w:rFonts w:hint="eastAsia" w:ascii="宋体" w:hAnsi="宋体" w:cs="宋体"/>
          <w:b/>
          <w:bCs/>
          <w:color w:val="auto"/>
          <w:sz w:val="32"/>
          <w:szCs w:val="32"/>
          <w:highlight w:val="none"/>
        </w:rPr>
        <w:t>第四章  评审程序和评定成交的标准</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_Toc26130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50</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1"/>
        <w:tabs>
          <w:tab w:val="right" w:leader="dot" w:pos="8879"/>
        </w:tabs>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"_Toc20203" </w:instrText>
      </w:r>
      <w:r>
        <w:rPr>
          <w:color w:val="auto"/>
          <w:highlight w:val="none"/>
        </w:rPr>
        <w:fldChar w:fldCharType="separate"/>
      </w:r>
      <w:r>
        <w:rPr>
          <w:rFonts w:hint="eastAsia" w:ascii="宋体" w:hAnsi="宋体" w:cs="宋体"/>
          <w:b/>
          <w:bCs/>
          <w:color w:val="auto"/>
          <w:sz w:val="32"/>
          <w:szCs w:val="32"/>
          <w:highlight w:val="none"/>
        </w:rPr>
        <w:t>第五章  响应文件格式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_Toc20203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56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1"/>
        <w:tabs>
          <w:tab w:val="right" w:leader="dot" w:pos="8879"/>
        </w:tabs>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"_Toc17282" </w:instrText>
      </w:r>
      <w:r>
        <w:rPr>
          <w:color w:val="auto"/>
          <w:highlight w:val="none"/>
        </w:rPr>
        <w:fldChar w:fldCharType="separate"/>
      </w:r>
      <w:r>
        <w:rPr>
          <w:rFonts w:hint="eastAsia" w:ascii="宋体" w:hAnsi="宋体" w:cs="宋体"/>
          <w:b/>
          <w:bCs/>
          <w:color w:val="auto"/>
          <w:sz w:val="32"/>
          <w:szCs w:val="32"/>
          <w:highlight w:val="none"/>
        </w:rPr>
        <w:t>第六章  合同文本</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_Toc17282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83</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2"/>
        <w:tabs>
          <w:tab w:val="right" w:leader="dot" w:pos="8931"/>
          <w:tab w:val="clear" w:pos="8296"/>
        </w:tabs>
        <w:snapToGrid w:val="0"/>
        <w:spacing w:line="500" w:lineRule="atLeast"/>
        <w:ind w:left="0" w:leftChars="0"/>
        <w:rPr>
          <w:rFonts w:ascii="宋体" w:hAnsi="宋体"/>
          <w:b/>
          <w:color w:val="auto"/>
          <w:sz w:val="24"/>
          <w:highlight w:val="none"/>
        </w:rPr>
      </w:pPr>
      <w:r>
        <w:rPr>
          <w:rFonts w:hint="eastAsia" w:ascii="宋体" w:hAnsi="宋体" w:cs="宋体"/>
          <w:b/>
          <w:bCs/>
          <w:color w:val="auto"/>
          <w:sz w:val="32"/>
          <w:szCs w:val="32"/>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rPr>
          <w:rFonts w:ascii="宋体" w:hAnsi="宋体"/>
          <w:b/>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jc w:val="cente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pPr>
        <w:pStyle w:val="2"/>
        <w:spacing w:after="100" w:line="480" w:lineRule="auto"/>
        <w:jc w:val="center"/>
        <w:rPr>
          <w:color w:val="auto"/>
          <w:highlight w:val="none"/>
        </w:rPr>
      </w:pPr>
      <w:bookmarkStart w:id="2" w:name="_Toc1567"/>
      <w:r>
        <w:rPr>
          <w:rFonts w:hint="eastAsia"/>
          <w:color w:val="auto"/>
          <w:highlight w:val="none"/>
        </w:rPr>
        <w:t>第一章竞争性谈判公告</w:t>
      </w:r>
      <w:bookmarkEnd w:id="2"/>
    </w:p>
    <w:p>
      <w:pPr>
        <w:spacing w:line="400" w:lineRule="exact"/>
        <w:jc w:val="center"/>
        <w:rPr>
          <w:rFonts w:ascii="宋体" w:hAnsi="宋体"/>
          <w:b/>
          <w:bCs/>
          <w:color w:val="auto"/>
          <w:sz w:val="32"/>
          <w:szCs w:val="32"/>
          <w:highlight w:val="none"/>
        </w:rPr>
      </w:pPr>
      <w:bookmarkStart w:id="3" w:name="OLE_LINK43"/>
      <w:r>
        <w:rPr>
          <w:rFonts w:hint="eastAsia" w:ascii="宋体" w:hAnsi="宋体"/>
          <w:b/>
          <w:bCs/>
          <w:color w:val="auto"/>
          <w:sz w:val="32"/>
          <w:szCs w:val="32"/>
          <w:highlight w:val="none"/>
        </w:rPr>
        <w:t>竞争性谈判公告</w:t>
      </w:r>
    </w:p>
    <w:p>
      <w:pPr>
        <w:spacing w:line="360" w:lineRule="exact"/>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职业卫生仪器设备采购项目</w:t>
      </w:r>
      <w:r>
        <w:rPr>
          <w:rFonts w:hint="eastAsia" w:ascii="宋体" w:hAnsi="宋体"/>
          <w:color w:val="auto"/>
          <w:szCs w:val="21"/>
          <w:highlight w:val="none"/>
        </w:rPr>
        <w:t>的潜在供应商应在广西政府采购云平台（</w:t>
      </w:r>
      <w:r>
        <w:rPr>
          <w:rStyle w:val="33"/>
          <w:rFonts w:hint="eastAsia" w:ascii="宋体" w:hAnsi="宋体"/>
          <w:color w:val="auto"/>
          <w:szCs w:val="21"/>
          <w:highlight w:val="none"/>
        </w:rPr>
        <w:t>https://www.gcy.zfcg.gxzf.gov.cn/）获取（下载）竞争性谈判文件，并于2025年</w:t>
      </w:r>
      <w:r>
        <w:rPr>
          <w:rStyle w:val="33"/>
          <w:rFonts w:ascii="宋体" w:hAnsi="宋体"/>
          <w:color w:val="auto"/>
          <w:szCs w:val="21"/>
          <w:highlight w:val="none"/>
        </w:rPr>
        <w:t>6</w:t>
      </w:r>
      <w:r>
        <w:rPr>
          <w:rStyle w:val="33"/>
          <w:rFonts w:hint="eastAsia" w:ascii="宋体" w:hAnsi="宋体"/>
          <w:color w:val="auto"/>
          <w:szCs w:val="21"/>
          <w:highlight w:val="none"/>
        </w:rPr>
        <w:t>月</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日09时30分</w:t>
      </w:r>
      <w:r>
        <w:rPr>
          <w:rFonts w:hint="eastAsia" w:ascii="宋体" w:hAnsi="宋体"/>
          <w:bCs/>
          <w:color w:val="auto"/>
          <w:szCs w:val="21"/>
          <w:highlight w:val="none"/>
          <w:u w:val="single"/>
        </w:rPr>
        <w:t>（北京时间）</w:t>
      </w:r>
      <w:r>
        <w:rPr>
          <w:rFonts w:hint="eastAsia" w:ascii="宋体" w:hAnsi="宋体"/>
          <w:bCs/>
          <w:color w:val="auto"/>
          <w:szCs w:val="21"/>
          <w:highlight w:val="none"/>
        </w:rPr>
        <w:t>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exact"/>
        <w:ind w:firstLine="360" w:firstLineChars="150"/>
        <w:rPr>
          <w:rFonts w:ascii="黑体" w:hAnsi="黑体" w:eastAsia="黑体"/>
          <w:color w:val="auto"/>
          <w:sz w:val="24"/>
          <w:highlight w:val="none"/>
        </w:rPr>
      </w:pPr>
      <w:bookmarkStart w:id="5" w:name="_Toc35393629"/>
      <w:bookmarkStart w:id="6" w:name="_Toc28359089"/>
      <w:bookmarkStart w:id="7" w:name="_Toc71366040"/>
      <w:bookmarkStart w:id="8" w:name="_Toc71365362"/>
      <w:bookmarkStart w:id="9" w:name="_Toc28359012"/>
      <w:bookmarkStart w:id="10" w:name="_Toc35393798"/>
      <w:r>
        <w:rPr>
          <w:rFonts w:hint="eastAsia" w:ascii="黑体" w:hAnsi="黑体" w:eastAsia="黑体"/>
          <w:color w:val="auto"/>
          <w:sz w:val="24"/>
          <w:highlight w:val="none"/>
        </w:rPr>
        <w:t>一、项目基本情况</w:t>
      </w:r>
      <w:bookmarkEnd w:id="5"/>
      <w:bookmarkEnd w:id="6"/>
      <w:bookmarkEnd w:id="7"/>
      <w:bookmarkEnd w:id="8"/>
      <w:bookmarkEnd w:id="9"/>
      <w:bookmarkEnd w:id="10"/>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项目编号：</w:t>
      </w:r>
      <w:bookmarkStart w:id="11" w:name="OLE_LINK3"/>
      <w:r>
        <w:rPr>
          <w:rFonts w:hint="eastAsia" w:ascii="宋体" w:hAnsi="宋体"/>
          <w:color w:val="auto"/>
          <w:szCs w:val="21"/>
          <w:highlight w:val="none"/>
        </w:rPr>
        <w:t>GXZC2025-J1-001571-YZLZ</w:t>
      </w:r>
      <w:bookmarkEnd w:id="11"/>
      <w:r>
        <w:rPr>
          <w:rFonts w:hint="eastAsia" w:ascii="宋体" w:hAnsi="宋体"/>
          <w:color w:val="auto"/>
          <w:szCs w:val="21"/>
          <w:highlight w:val="none"/>
        </w:rPr>
        <w:t>（采购</w:t>
      </w:r>
      <w:r>
        <w:rPr>
          <w:rFonts w:ascii="宋体" w:hAnsi="宋体"/>
          <w:color w:val="auto"/>
          <w:szCs w:val="21"/>
          <w:highlight w:val="none"/>
        </w:rPr>
        <w:t>计划编号</w:t>
      </w:r>
      <w:r>
        <w:rPr>
          <w:rFonts w:hint="eastAsia" w:ascii="宋体" w:hAnsi="宋体"/>
          <w:color w:val="auto"/>
          <w:szCs w:val="21"/>
          <w:highlight w:val="none"/>
        </w:rPr>
        <w:t>：广西政采[2025]9722号）</w:t>
      </w:r>
    </w:p>
    <w:p>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项目名称：职业卫生仪器设备采购项目</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bookmarkStart w:id="12" w:name="OLE_LINK7"/>
      <w:r>
        <w:rPr>
          <w:rFonts w:ascii="宋体" w:hAnsi="宋体"/>
          <w:color w:val="auto"/>
          <w:szCs w:val="21"/>
          <w:highlight w:val="none"/>
        </w:rPr>
        <w:t>225.55</w:t>
      </w:r>
      <w:r>
        <w:rPr>
          <w:rFonts w:hint="eastAsia" w:ascii="宋体" w:hAnsi="宋体"/>
          <w:color w:val="auto"/>
          <w:szCs w:val="21"/>
          <w:highlight w:val="none"/>
        </w:rPr>
        <w:t>万元</w:t>
      </w:r>
      <w:bookmarkEnd w:id="12"/>
      <w:r>
        <w:rPr>
          <w:rFonts w:hint="eastAsia" w:ascii="宋体" w:hAnsi="宋体"/>
          <w:color w:val="auto"/>
          <w:szCs w:val="21"/>
          <w:highlight w:val="none"/>
        </w:rPr>
        <w:t>（其中：A</w:t>
      </w:r>
      <w:r>
        <w:rPr>
          <w:rFonts w:ascii="宋体" w:hAnsi="宋体"/>
          <w:color w:val="auto"/>
          <w:szCs w:val="21"/>
          <w:highlight w:val="none"/>
        </w:rPr>
        <w:t>分标</w:t>
      </w:r>
      <w:r>
        <w:rPr>
          <w:rFonts w:hint="eastAsia" w:ascii="宋体" w:hAnsi="宋体"/>
          <w:color w:val="auto"/>
          <w:szCs w:val="21"/>
          <w:highlight w:val="none"/>
        </w:rPr>
        <w:t>预算金额</w:t>
      </w:r>
      <w:r>
        <w:rPr>
          <w:rFonts w:ascii="宋体" w:hAnsi="宋体"/>
          <w:color w:val="auto"/>
          <w:szCs w:val="21"/>
          <w:highlight w:val="none"/>
        </w:rPr>
        <w:t>118万元；B分标</w:t>
      </w:r>
      <w:r>
        <w:rPr>
          <w:rFonts w:hint="eastAsia" w:ascii="宋体" w:hAnsi="宋体"/>
          <w:color w:val="auto"/>
          <w:szCs w:val="21"/>
          <w:highlight w:val="none"/>
        </w:rPr>
        <w:t>预算金额80.55万元；C分标预算金额27万元）</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ascii="宋体" w:hAnsi="宋体"/>
          <w:color w:val="auto"/>
          <w:szCs w:val="21"/>
          <w:highlight w:val="none"/>
        </w:rPr>
        <w:t>225.55</w:t>
      </w:r>
      <w:r>
        <w:rPr>
          <w:rFonts w:hint="eastAsia" w:ascii="宋体" w:hAnsi="宋体"/>
          <w:color w:val="auto"/>
          <w:szCs w:val="21"/>
          <w:highlight w:val="none"/>
        </w:rPr>
        <w:t>万元（其中：A分标最高限价118万元；B分标最高限价</w:t>
      </w:r>
      <w:bookmarkStart w:id="13" w:name="OLE_LINK6"/>
      <w:r>
        <w:rPr>
          <w:rFonts w:hint="eastAsia" w:ascii="宋体" w:hAnsi="宋体"/>
          <w:color w:val="auto"/>
          <w:szCs w:val="21"/>
          <w:highlight w:val="none"/>
        </w:rPr>
        <w:t>80.55</w:t>
      </w:r>
      <w:bookmarkEnd w:id="13"/>
      <w:r>
        <w:rPr>
          <w:rFonts w:hint="eastAsia" w:ascii="宋体" w:hAnsi="宋体"/>
          <w:color w:val="auto"/>
          <w:szCs w:val="21"/>
          <w:highlight w:val="none"/>
        </w:rPr>
        <w:t>万元；C分标最高限价</w:t>
      </w:r>
      <w:bookmarkStart w:id="14" w:name="OLE_LINK13"/>
      <w:r>
        <w:rPr>
          <w:rFonts w:hint="eastAsia" w:ascii="宋体" w:hAnsi="宋体"/>
          <w:color w:val="auto"/>
          <w:szCs w:val="21"/>
          <w:highlight w:val="none"/>
        </w:rPr>
        <w:t>27</w:t>
      </w:r>
      <w:bookmarkEnd w:id="14"/>
      <w:r>
        <w:rPr>
          <w:rFonts w:hint="eastAsia" w:ascii="宋体" w:hAnsi="宋体"/>
          <w:color w:val="auto"/>
          <w:szCs w:val="21"/>
          <w:highlight w:val="none"/>
        </w:rPr>
        <w:t>万元）</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A分标：</w:t>
      </w:r>
    </w:p>
    <w:tbl>
      <w:tblPr>
        <w:tblStyle w:val="28"/>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1394"/>
        <w:gridCol w:w="1016"/>
        <w:gridCol w:w="60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bookmarkStart w:id="15" w:name="_Hlk100245383"/>
            <w:bookmarkStart w:id="16" w:name="OLE_LINK10"/>
            <w:r>
              <w:rPr>
                <w:rFonts w:hint="eastAsia" w:ascii="宋体" w:hAnsi="宋体" w:cs="宋体"/>
                <w:color w:val="auto"/>
                <w:szCs w:val="21"/>
                <w:highlight w:val="none"/>
              </w:rPr>
              <w:t>序号</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0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4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风源及调控装置</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6051" w:type="dxa"/>
            <w:tcBorders>
              <w:top w:val="single" w:color="auto" w:sz="4" w:space="0"/>
              <w:left w:val="single" w:color="auto" w:sz="4" w:space="0"/>
              <w:bottom w:val="single" w:color="auto" w:sz="4" w:space="0"/>
              <w:right w:val="single" w:color="auto" w:sz="4" w:space="0"/>
            </w:tcBorders>
            <w:vAlign w:val="center"/>
          </w:tcPr>
          <w:p>
            <w:pPr>
              <w:pStyle w:val="10"/>
              <w:spacing w:after="0" w:line="360" w:lineRule="exact"/>
              <w:rPr>
                <w:rFonts w:hint="eastAsia" w:ascii="宋体" w:hAnsi="宋体" w:cs="宋体"/>
                <w:color w:val="auto"/>
                <w:szCs w:val="21"/>
                <w:highlight w:val="none"/>
              </w:rPr>
            </w:pPr>
            <w:r>
              <w:rPr>
                <w:rFonts w:hint="eastAsia" w:ascii="宋体" w:hAnsi="宋体" w:cs="宋体"/>
                <w:color w:val="auto"/>
                <w:szCs w:val="21"/>
                <w:highlight w:val="none"/>
              </w:rPr>
              <w:t>功能：用于为吹吸式通风实验系统提供风源动力，风源风量大小可根据实验需求进行变频调节。</w:t>
            </w:r>
          </w:p>
          <w:p>
            <w:pPr>
              <w:pStyle w:val="10"/>
              <w:spacing w:after="0"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▲1.含风源动力系统、通风管道系统和</w:t>
            </w:r>
            <w:r>
              <w:rPr>
                <w:rFonts w:hint="eastAsia" w:ascii="宋体" w:hAnsi="宋体" w:cs="宋体"/>
                <w:color w:val="auto"/>
                <w:szCs w:val="21"/>
                <w:highlight w:val="none"/>
                <w:lang w:val="en-US" w:eastAsia="zh-CN"/>
              </w:rPr>
              <w:t>......</w:t>
            </w:r>
          </w:p>
        </w:tc>
      </w:tr>
      <w:bookmarkEnd w:id="1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6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合同履行期限：</w:t>
            </w:r>
            <w:bookmarkStart w:id="17" w:name="OLE_LINK5"/>
            <w:r>
              <w:rPr>
                <w:rFonts w:hint="eastAsia" w:ascii="宋体" w:hAnsi="宋体" w:cs="宋体"/>
                <w:color w:val="auto"/>
                <w:szCs w:val="21"/>
                <w:highlight w:val="none"/>
              </w:rPr>
              <w:t>合同签订之日起120个日历日内交货并安装调试完毕。</w:t>
            </w:r>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本项目不接受联合体。</w:t>
            </w:r>
          </w:p>
        </w:tc>
      </w:tr>
      <w:bookmarkEnd w:id="16"/>
    </w:tbl>
    <w:p>
      <w:pPr>
        <w:spacing w:line="360" w:lineRule="exact"/>
        <w:ind w:firstLine="420" w:firstLineChars="200"/>
        <w:rPr>
          <w:rFonts w:ascii="宋体" w:hAnsi="宋体"/>
          <w:color w:val="auto"/>
          <w:szCs w:val="21"/>
          <w:highlight w:val="none"/>
        </w:rPr>
      </w:pPr>
      <w:bookmarkStart w:id="18" w:name="_Toc71365363"/>
      <w:bookmarkStart w:id="19" w:name="_Toc35393799"/>
      <w:bookmarkStart w:id="20" w:name="_Toc28359013"/>
      <w:bookmarkStart w:id="21" w:name="_Toc28359090"/>
      <w:bookmarkStart w:id="22" w:name="_Toc35393630"/>
      <w:bookmarkStart w:id="23" w:name="_Toc71366041"/>
      <w:r>
        <w:rPr>
          <w:rFonts w:ascii="宋体" w:hAnsi="宋体"/>
          <w:color w:val="auto"/>
          <w:szCs w:val="21"/>
          <w:highlight w:val="none"/>
        </w:rPr>
        <w:t>B分标：</w:t>
      </w:r>
    </w:p>
    <w:tbl>
      <w:tblPr>
        <w:tblStyle w:val="28"/>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1394"/>
        <w:gridCol w:w="1016"/>
        <w:gridCol w:w="60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0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4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定点气体/个体金属/有机毒物采样器</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0台</w:t>
            </w:r>
          </w:p>
        </w:tc>
        <w:tc>
          <w:tcPr>
            <w:tcW w:w="60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1.1采样流量：10-300ml/min；</w:t>
            </w:r>
          </w:p>
          <w:p>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1.2分辨率：1ml/min；准确度：不高于±5%</w:t>
            </w: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6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合同履行期限：</w:t>
            </w:r>
            <w:bookmarkStart w:id="24" w:name="OLE_LINK12"/>
            <w:r>
              <w:rPr>
                <w:rFonts w:hint="eastAsia" w:ascii="宋体" w:hAnsi="宋体" w:cs="宋体"/>
                <w:color w:val="auto"/>
                <w:szCs w:val="21"/>
                <w:highlight w:val="none"/>
              </w:rPr>
              <w:t>合同签订之日起30个工作日内交货并安装调试完毕。</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本项目不接受联合体。</w:t>
            </w:r>
          </w:p>
        </w:tc>
      </w:tr>
    </w:tbl>
    <w:p>
      <w:pPr>
        <w:spacing w:line="360" w:lineRule="exact"/>
        <w:ind w:firstLine="420" w:firstLineChars="200"/>
        <w:rPr>
          <w:rFonts w:ascii="宋体" w:hAnsi="宋体"/>
          <w:color w:val="auto"/>
          <w:szCs w:val="21"/>
          <w:highlight w:val="none"/>
        </w:rPr>
      </w:pPr>
      <w:r>
        <w:rPr>
          <w:rFonts w:ascii="宋体" w:hAnsi="宋体"/>
          <w:color w:val="auto"/>
          <w:szCs w:val="21"/>
          <w:highlight w:val="none"/>
        </w:rPr>
        <w:t>C分标：</w:t>
      </w:r>
    </w:p>
    <w:tbl>
      <w:tblPr>
        <w:tblStyle w:val="28"/>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1394"/>
        <w:gridCol w:w="1016"/>
        <w:gridCol w:w="60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0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4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心电图仪</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3台</w:t>
            </w:r>
          </w:p>
        </w:tc>
        <w:tc>
          <w:tcPr>
            <w:tcW w:w="60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一、技术参数：</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▲1.具备不低于12 导联心电同步采集</w:t>
            </w:r>
          </w:p>
          <w:p>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2.输入阻抗： ≥100MΩ</w:t>
            </w: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合同履行期限：</w:t>
            </w:r>
            <w:bookmarkStart w:id="25" w:name="OLE_LINK18"/>
            <w:r>
              <w:rPr>
                <w:rFonts w:hint="eastAsia" w:ascii="宋体" w:hAnsi="宋体" w:cs="宋体"/>
                <w:color w:val="auto"/>
                <w:szCs w:val="21"/>
                <w:highlight w:val="none"/>
              </w:rPr>
              <w:t>合同签订之日起30个工作日内交货并安装调试完毕。</w:t>
            </w:r>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本项目不接受联合体。</w:t>
            </w:r>
          </w:p>
        </w:tc>
      </w:tr>
    </w:tbl>
    <w:p>
      <w:pPr>
        <w:spacing w:line="36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二、供应商的资格条件：</w:t>
      </w:r>
      <w:bookmarkEnd w:id="18"/>
      <w:bookmarkEnd w:id="19"/>
      <w:bookmarkEnd w:id="20"/>
      <w:bookmarkEnd w:id="21"/>
      <w:bookmarkEnd w:id="22"/>
      <w:bookmarkEnd w:id="23"/>
    </w:p>
    <w:p>
      <w:pPr>
        <w:spacing w:line="360" w:lineRule="exact"/>
        <w:ind w:firstLine="420" w:firstLineChars="200"/>
        <w:rPr>
          <w:rFonts w:ascii="宋体" w:hAnsi="宋体"/>
          <w:color w:val="auto"/>
          <w:szCs w:val="21"/>
          <w:highlight w:val="none"/>
        </w:rPr>
      </w:pPr>
      <w:bookmarkStart w:id="26" w:name="_Toc28359014"/>
      <w:bookmarkStart w:id="27" w:name="_Toc28359091"/>
      <w:r>
        <w:rPr>
          <w:rFonts w:hint="eastAsia" w:ascii="宋体" w:hAnsi="宋体"/>
          <w:color w:val="auto"/>
          <w:szCs w:val="21"/>
          <w:highlight w:val="none"/>
        </w:rPr>
        <w:t>1.满足《中华人民共和国政府采购法》第二十二条规定；</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bookmarkStart w:id="28" w:name="OLE_LINK20"/>
      <w:r>
        <w:rPr>
          <w:rFonts w:hint="eastAsia" w:ascii="宋体" w:hAnsi="宋体"/>
          <w:color w:val="auto"/>
          <w:szCs w:val="21"/>
          <w:highlight w:val="none"/>
        </w:rPr>
        <w:t>无；</w:t>
      </w:r>
      <w:bookmarkEnd w:id="28"/>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29" w:name="OLE_LINK21"/>
      <w:r>
        <w:rPr>
          <w:rFonts w:hint="eastAsia" w:ascii="宋体" w:hAnsi="宋体"/>
          <w:color w:val="auto"/>
          <w:szCs w:val="21"/>
          <w:highlight w:val="none"/>
        </w:rPr>
        <w:t>C分标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29"/>
    </w:p>
    <w:p>
      <w:pPr>
        <w:spacing w:line="360" w:lineRule="exact"/>
        <w:ind w:firstLine="480" w:firstLineChars="200"/>
        <w:rPr>
          <w:rFonts w:ascii="黑体" w:hAnsi="黑体" w:eastAsia="黑体"/>
          <w:color w:val="auto"/>
          <w:sz w:val="24"/>
          <w:highlight w:val="none"/>
        </w:rPr>
      </w:pPr>
      <w:bookmarkStart w:id="30" w:name="_Toc35393631"/>
      <w:bookmarkStart w:id="31" w:name="_Toc35393800"/>
      <w:bookmarkStart w:id="32" w:name="_Toc71365364"/>
      <w:bookmarkStart w:id="33" w:name="_Toc71366042"/>
      <w:r>
        <w:rPr>
          <w:rFonts w:hint="eastAsia" w:ascii="黑体" w:hAnsi="黑体" w:eastAsia="黑体"/>
          <w:color w:val="auto"/>
          <w:sz w:val="24"/>
          <w:highlight w:val="none"/>
        </w:rPr>
        <w:t>三、获取竞争性谈判文件</w:t>
      </w:r>
      <w:bookmarkEnd w:id="26"/>
      <w:bookmarkEnd w:id="27"/>
      <w:bookmarkEnd w:id="30"/>
      <w:bookmarkEnd w:id="31"/>
      <w:bookmarkEnd w:id="32"/>
      <w:bookmarkEnd w:id="33"/>
    </w:p>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日，每天00：00至23：59（北京时间）</w:t>
      </w:r>
    </w:p>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bookmarkStart w:id="34" w:name="OLE_LINK9"/>
      <w:r>
        <w:rPr>
          <w:rFonts w:hint="eastAsia" w:ascii="宋体" w:hAnsi="宋体" w:cs="宋体"/>
          <w:bCs/>
          <w:color w:val="auto"/>
          <w:kern w:val="0"/>
          <w:szCs w:val="21"/>
          <w:highlight w:val="none"/>
        </w:rPr>
        <w:t>广西政府采购云平台（https://www.gcy.zfcg.gxzf.gov.cn/）</w:t>
      </w:r>
      <w:bookmarkEnd w:id="34"/>
    </w:p>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w:t>
      </w:r>
      <w:bookmarkStart w:id="35" w:name="OLE_LINK8"/>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35"/>
    <w:p>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pPr>
        <w:spacing w:line="360" w:lineRule="exact"/>
        <w:ind w:firstLine="360" w:firstLineChars="150"/>
        <w:rPr>
          <w:rFonts w:ascii="黑体" w:hAnsi="黑体" w:eastAsia="黑体"/>
          <w:color w:val="auto"/>
          <w:sz w:val="24"/>
          <w:highlight w:val="none"/>
        </w:rPr>
      </w:pPr>
      <w:bookmarkStart w:id="36" w:name="_Toc71366043"/>
      <w:bookmarkStart w:id="37" w:name="_Toc71365365"/>
      <w:bookmarkStart w:id="38" w:name="_Toc35393632"/>
      <w:bookmarkStart w:id="39" w:name="_Toc28359015"/>
      <w:bookmarkStart w:id="40" w:name="_Toc28359092"/>
      <w:bookmarkStart w:id="41" w:name="_Toc35393801"/>
      <w:r>
        <w:rPr>
          <w:rFonts w:hint="eastAsia" w:ascii="黑体" w:hAnsi="黑体" w:eastAsia="黑体"/>
          <w:color w:val="auto"/>
          <w:sz w:val="24"/>
          <w:highlight w:val="none"/>
        </w:rPr>
        <w:t>四、响应文件提交</w:t>
      </w:r>
      <w:bookmarkEnd w:id="36"/>
      <w:bookmarkEnd w:id="37"/>
      <w:bookmarkEnd w:id="38"/>
      <w:bookmarkEnd w:id="39"/>
      <w:bookmarkEnd w:id="40"/>
      <w:bookmarkEnd w:id="41"/>
    </w:p>
    <w:p>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2025年</w:t>
      </w:r>
      <w:bookmarkStart w:id="42" w:name="OLE_LINK4"/>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日09时30分</w:t>
      </w:r>
      <w:bookmarkEnd w:id="42"/>
      <w:r>
        <w:rPr>
          <w:rFonts w:hint="eastAsia" w:ascii="宋体" w:hAnsi="宋体"/>
          <w:bCs/>
          <w:color w:val="auto"/>
          <w:szCs w:val="21"/>
          <w:highlight w:val="none"/>
        </w:rPr>
        <w:t>（北京时间）</w:t>
      </w:r>
    </w:p>
    <w:p>
      <w:pPr>
        <w:spacing w:line="360" w:lineRule="exact"/>
        <w:ind w:left="422"/>
        <w:rPr>
          <w:rFonts w:ascii="宋体" w:hAnsi="宋体"/>
          <w:bCs/>
          <w:color w:val="auto"/>
          <w:szCs w:val="21"/>
          <w:highlight w:val="none"/>
          <w:u w:val="single"/>
        </w:rPr>
      </w:pPr>
      <w:r>
        <w:rPr>
          <w:rFonts w:hint="eastAsia" w:ascii="宋体" w:hAnsi="宋体"/>
          <w:color w:val="auto"/>
          <w:szCs w:val="21"/>
          <w:highlight w:val="none"/>
        </w:rPr>
        <w:t>地点：</w:t>
      </w:r>
      <w:bookmarkStart w:id="43" w:name="OLE_LINK22"/>
      <w:r>
        <w:rPr>
          <w:rFonts w:hint="eastAsia" w:ascii="宋体" w:hAnsi="宋体"/>
          <w:color w:val="auto"/>
          <w:szCs w:val="21"/>
          <w:highlight w:val="none"/>
        </w:rPr>
        <w:t>广西政府采购云平台（https://www.gcy.zfcg.gxzf.gov.cn/）</w:t>
      </w:r>
    </w:p>
    <w:bookmarkEnd w:id="43"/>
    <w:p>
      <w:pPr>
        <w:spacing w:line="360" w:lineRule="exact"/>
        <w:ind w:firstLine="360" w:firstLineChars="150"/>
        <w:rPr>
          <w:rFonts w:ascii="黑体" w:hAnsi="黑体" w:eastAsia="黑体"/>
          <w:color w:val="auto"/>
          <w:sz w:val="24"/>
          <w:highlight w:val="none"/>
        </w:rPr>
      </w:pPr>
      <w:bookmarkStart w:id="44" w:name="_Toc28359016"/>
      <w:bookmarkStart w:id="45" w:name="_Toc35393802"/>
      <w:bookmarkStart w:id="46" w:name="_Toc28359093"/>
      <w:bookmarkStart w:id="47" w:name="_Toc71366044"/>
      <w:bookmarkStart w:id="48" w:name="_Toc71365366"/>
      <w:bookmarkStart w:id="49" w:name="_Toc35393633"/>
      <w:r>
        <w:rPr>
          <w:rFonts w:hint="eastAsia" w:ascii="黑体" w:hAnsi="黑体" w:eastAsia="黑体"/>
          <w:color w:val="auto"/>
          <w:sz w:val="24"/>
          <w:highlight w:val="none"/>
        </w:rPr>
        <w:t>五、开启</w:t>
      </w:r>
      <w:bookmarkEnd w:id="44"/>
      <w:bookmarkEnd w:id="45"/>
      <w:bookmarkEnd w:id="46"/>
      <w:bookmarkEnd w:id="47"/>
      <w:bookmarkEnd w:id="48"/>
      <w:bookmarkEnd w:id="49"/>
    </w:p>
    <w:p>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日09时30分</w:t>
      </w:r>
      <w:r>
        <w:rPr>
          <w:rFonts w:hint="eastAsia" w:ascii="宋体" w:hAnsi="宋体"/>
          <w:bCs/>
          <w:color w:val="auto"/>
          <w:szCs w:val="21"/>
          <w:highlight w:val="none"/>
          <w:u w:val="single"/>
        </w:rPr>
        <w:t>（北京时间）</w:t>
      </w:r>
    </w:p>
    <w:p>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w:t>
      </w:r>
      <w:bookmarkStart w:id="50" w:name="OLE_LINK44"/>
      <w:bookmarkStart w:id="51" w:name="OLE_LINK11"/>
      <w:r>
        <w:rPr>
          <w:rFonts w:hint="eastAsia" w:ascii="宋体" w:hAnsi="宋体"/>
          <w:color w:val="auto"/>
          <w:szCs w:val="21"/>
          <w:highlight w:val="none"/>
        </w:rPr>
        <w:t>广西政府采购云平台（https://www.gcy.zfcg.gxzf.gov.cn/）</w:t>
      </w:r>
      <w:bookmarkEnd w:id="50"/>
    </w:p>
    <w:bookmarkEnd w:id="51"/>
    <w:p>
      <w:pPr>
        <w:spacing w:line="360" w:lineRule="exact"/>
        <w:ind w:firstLine="360" w:firstLineChars="150"/>
        <w:rPr>
          <w:rFonts w:ascii="黑体" w:hAnsi="黑体" w:eastAsia="黑体"/>
          <w:color w:val="auto"/>
          <w:sz w:val="24"/>
          <w:highlight w:val="none"/>
        </w:rPr>
      </w:pPr>
      <w:bookmarkStart w:id="52" w:name="_Toc35393803"/>
      <w:bookmarkStart w:id="53" w:name="_Toc28359017"/>
      <w:bookmarkStart w:id="54" w:name="_Toc28359094"/>
      <w:bookmarkStart w:id="55" w:name="_Toc35393634"/>
      <w:bookmarkStart w:id="56" w:name="_Toc71366045"/>
      <w:bookmarkStart w:id="57" w:name="_Toc71365367"/>
      <w:r>
        <w:rPr>
          <w:rFonts w:hint="eastAsia" w:ascii="黑体" w:hAnsi="黑体" w:eastAsia="黑体"/>
          <w:color w:val="auto"/>
          <w:sz w:val="24"/>
          <w:highlight w:val="none"/>
        </w:rPr>
        <w:t>六、公告期限</w:t>
      </w:r>
      <w:bookmarkEnd w:id="52"/>
      <w:bookmarkEnd w:id="53"/>
      <w:bookmarkEnd w:id="54"/>
      <w:bookmarkEnd w:id="55"/>
      <w:bookmarkEnd w:id="56"/>
      <w:bookmarkEnd w:id="57"/>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exact"/>
        <w:ind w:firstLine="360" w:firstLineChars="150"/>
        <w:rPr>
          <w:rFonts w:ascii="黑体" w:hAnsi="黑体" w:eastAsia="黑体"/>
          <w:color w:val="auto"/>
          <w:sz w:val="24"/>
          <w:highlight w:val="none"/>
        </w:rPr>
      </w:pPr>
      <w:bookmarkStart w:id="58" w:name="_Toc71365368"/>
      <w:bookmarkStart w:id="59" w:name="_Toc35393804"/>
      <w:bookmarkStart w:id="60" w:name="_Toc71366046"/>
      <w:bookmarkStart w:id="61" w:name="_Toc35393635"/>
      <w:r>
        <w:rPr>
          <w:rFonts w:hint="eastAsia" w:ascii="黑体" w:hAnsi="黑体" w:eastAsia="黑体"/>
          <w:color w:val="auto"/>
          <w:sz w:val="24"/>
          <w:highlight w:val="none"/>
        </w:rPr>
        <w:t>七、其他补充事宜</w:t>
      </w:r>
      <w:bookmarkEnd w:id="58"/>
      <w:bookmarkEnd w:id="59"/>
      <w:bookmarkEnd w:id="60"/>
      <w:bookmarkEnd w:id="61"/>
    </w:p>
    <w:p>
      <w:pPr>
        <w:spacing w:line="360" w:lineRule="exact"/>
        <w:ind w:firstLine="420" w:firstLineChars="200"/>
        <w:rPr>
          <w:rFonts w:ascii="宋体" w:hAnsi="宋体" w:cs="宋体"/>
          <w:color w:val="auto"/>
          <w:kern w:val="0"/>
          <w:szCs w:val="21"/>
          <w:highlight w:val="none"/>
        </w:rPr>
      </w:pPr>
      <w:bookmarkStart w:id="62" w:name="OLE_LINK16"/>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wordWrap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中国政府采购网（http://www.ccgp.gov.cn）、广西壮族自治区政府采购网（http://zfcg.gxzf.gov.cn）</w:t>
      </w:r>
    </w:p>
    <w:p>
      <w:pPr>
        <w:spacing w:line="360" w:lineRule="exact"/>
        <w:ind w:firstLine="424" w:firstLineChars="202"/>
        <w:rPr>
          <w:rFonts w:ascii="宋体" w:hAnsi="宋体" w:cs="宋体"/>
          <w:color w:val="auto"/>
          <w:kern w:val="0"/>
          <w:szCs w:val="21"/>
          <w:highlight w:val="none"/>
        </w:rPr>
      </w:pPr>
      <w:bookmarkStart w:id="63" w:name="_Hlk37429674"/>
      <w:bookmarkStart w:id="64" w:name="_Toc35393636"/>
      <w:bookmarkStart w:id="65" w:name="_Toc71366047"/>
      <w:bookmarkStart w:id="66" w:name="_Toc71365369"/>
      <w:bookmarkStart w:id="67" w:name="_Toc28359095"/>
      <w:bookmarkStart w:id="68" w:name="_Toc28359018"/>
      <w:bookmarkStart w:id="69"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（4）供应商需要在具备有摄像头及语音功能且互联网网络状况良好的电脑登录广西政府采购云平台远程开标大厅参与本次谈判，否则后果自负。</w:t>
      </w:r>
    </w:p>
    <w:bookmarkEnd w:id="62"/>
    <w:bookmarkEnd w:id="63"/>
    <w:p>
      <w:pPr>
        <w:spacing w:line="36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64"/>
      <w:bookmarkEnd w:id="65"/>
      <w:bookmarkEnd w:id="66"/>
      <w:bookmarkEnd w:id="67"/>
      <w:bookmarkEnd w:id="68"/>
      <w:bookmarkEnd w:id="69"/>
    </w:p>
    <w:bookmarkEnd w:id="4"/>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1.采购单位</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名称：广西壮族自治区职业病防治研究院</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70" w:name="OLE_LINK51"/>
      <w:r>
        <w:rPr>
          <w:rFonts w:hint="eastAsia" w:ascii="宋体" w:hAnsi="宋体" w:cs="宋体"/>
          <w:color w:val="auto"/>
          <w:kern w:val="0"/>
          <w:szCs w:val="21"/>
          <w:highlight w:val="none"/>
        </w:rPr>
        <w:t>广西南宁市青秀区柳沙路2号</w:t>
      </w:r>
      <w:bookmarkEnd w:id="70"/>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bookmarkStart w:id="71" w:name="OLE_LINK49"/>
      <w:r>
        <w:rPr>
          <w:rFonts w:hint="eastAsia" w:ascii="宋体" w:hAnsi="宋体" w:cs="宋体"/>
          <w:color w:val="auto"/>
          <w:kern w:val="0"/>
          <w:szCs w:val="21"/>
          <w:highlight w:val="none"/>
        </w:rPr>
        <w:t>蒋琼</w:t>
      </w:r>
      <w:bookmarkEnd w:id="71"/>
      <w:bookmarkStart w:id="72" w:name="OLE_LINK50"/>
      <w:r>
        <w:rPr>
          <w:rFonts w:hint="eastAsia" w:ascii="宋体" w:hAnsi="宋体" w:cs="宋体"/>
          <w:color w:val="auto"/>
          <w:kern w:val="0"/>
          <w:szCs w:val="21"/>
          <w:highlight w:val="none"/>
        </w:rPr>
        <w:t>0771-5719960</w:t>
      </w:r>
      <w:bookmarkEnd w:id="72"/>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称：云之龙咨询集团有限公司</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73" w:name="OLE_LINK54"/>
      <w:r>
        <w:rPr>
          <w:rFonts w:hint="eastAsia" w:ascii="宋体" w:hAnsi="宋体" w:cs="宋体"/>
          <w:color w:val="auto"/>
          <w:kern w:val="0"/>
          <w:szCs w:val="21"/>
          <w:highlight w:val="none"/>
        </w:rPr>
        <w:t>南宁市良庆区云英路15号3号楼云之龙咨询集团大厦6楼</w:t>
      </w:r>
      <w:bookmarkEnd w:id="73"/>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联系方式：李鸿海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 xml:space="preserve">杨丽敏 </w:t>
      </w:r>
      <w:r>
        <w:rPr>
          <w:rFonts w:hint="eastAsia" w:ascii="宋体" w:hAnsi="宋体" w:cs="宋体"/>
          <w:color w:val="auto"/>
          <w:kern w:val="0"/>
          <w:szCs w:val="21"/>
          <w:highlight w:val="none"/>
        </w:rPr>
        <w:t>0771-2618199、0771-2618118</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pPr>
        <w:snapToGrid w:val="0"/>
        <w:spacing w:line="36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bookmarkStart w:id="74" w:name="OLE_LINK19"/>
      <w:bookmarkStart w:id="75" w:name="OLE_LINK52"/>
      <w:r>
        <w:rPr>
          <w:rFonts w:hint="eastAsia" w:ascii="宋体" w:hAnsi="宋体" w:cs="宋体"/>
          <w:color w:val="auto"/>
          <w:kern w:val="0"/>
          <w:szCs w:val="21"/>
          <w:highlight w:val="none"/>
        </w:rPr>
        <w:t>李鸿海</w:t>
      </w:r>
      <w:bookmarkEnd w:id="74"/>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杨丽敏</w:t>
      </w:r>
      <w:bookmarkEnd w:id="75"/>
    </w:p>
    <w:p>
      <w:pPr>
        <w:snapToGrid w:val="0"/>
        <w:spacing w:line="360" w:lineRule="exact"/>
        <w:ind w:firstLine="420" w:firstLineChars="200"/>
        <w:rPr>
          <w:color w:val="auto"/>
          <w:highlight w:val="none"/>
        </w:rPr>
      </w:pPr>
      <w:r>
        <w:rPr>
          <w:rFonts w:hint="eastAsia" w:ascii="宋体" w:hAnsi="宋体" w:cs="宋体"/>
          <w:color w:val="auto"/>
          <w:kern w:val="0"/>
          <w:szCs w:val="21"/>
          <w:highlight w:val="none"/>
        </w:rPr>
        <w:t>电　　话：</w:t>
      </w:r>
      <w:bookmarkStart w:id="76" w:name="OLE_LINK53"/>
      <w:r>
        <w:rPr>
          <w:rFonts w:hint="eastAsia" w:ascii="宋体" w:hAnsi="宋体" w:cs="宋体"/>
          <w:color w:val="auto"/>
          <w:kern w:val="0"/>
          <w:szCs w:val="21"/>
          <w:highlight w:val="none"/>
        </w:rPr>
        <w:t>0771-2618199、0771-2618118</w:t>
      </w:r>
      <w:bookmarkEnd w:id="76"/>
    </w:p>
    <w:p>
      <w:pPr>
        <w:spacing w:line="360" w:lineRule="exact"/>
        <w:ind w:firstLine="420" w:firstLineChars="200"/>
        <w:jc w:val="right"/>
        <w:rPr>
          <w:color w:val="auto"/>
          <w:highlight w:val="none"/>
        </w:rPr>
      </w:pPr>
      <w:r>
        <w:rPr>
          <w:rFonts w:hint="eastAsia" w:ascii="宋体" w:hAnsi="宋体"/>
          <w:bCs/>
          <w:color w:val="auto"/>
          <w:szCs w:val="21"/>
          <w:highlight w:val="none"/>
        </w:rPr>
        <w:t>2025年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w:t>
      </w:r>
      <w:bookmarkEnd w:id="3"/>
      <w:r>
        <w:rPr>
          <w:rFonts w:ascii="方正小标宋简体" w:hAnsi="方正小标宋简体" w:eastAsia="方正小标宋简体" w:cs="方正小标宋简体"/>
          <w:bCs/>
          <w:color w:val="auto"/>
          <w:sz w:val="44"/>
          <w:szCs w:val="44"/>
          <w:highlight w:val="none"/>
        </w:rPr>
        <w:br w:type="page"/>
      </w:r>
    </w:p>
    <w:p>
      <w:pPr>
        <w:pStyle w:val="2"/>
        <w:jc w:val="center"/>
        <w:rPr>
          <w:color w:val="auto"/>
          <w:highlight w:val="none"/>
        </w:rPr>
      </w:pPr>
      <w:bookmarkStart w:id="77" w:name="_Toc7662"/>
      <w:r>
        <w:rPr>
          <w:rFonts w:hint="eastAsia"/>
          <w:color w:val="auto"/>
          <w:highlight w:val="none"/>
        </w:rPr>
        <w:t>第二章供应商须知</w:t>
      </w:r>
      <w:bookmarkEnd w:id="77"/>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28"/>
        <w:tblW w:w="89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pPr>
              <w:pStyle w:val="8"/>
              <w:spacing w:line="360" w:lineRule="auto"/>
              <w:rPr>
                <w:color w:val="auto"/>
                <w:highlight w:val="none"/>
              </w:rPr>
            </w:pPr>
            <w:r>
              <w:rPr>
                <w:rFonts w:hint="eastAsia" w:ascii="MS Mincho" w:hAnsi="MS Mincho" w:eastAsia="MS Mincho" w:cs="MS Mincho"/>
                <w:color w:val="auto"/>
                <w:highlight w:val="none"/>
              </w:rPr>
              <w:t>☑</w:t>
            </w:r>
            <w:r>
              <w:rPr>
                <w:rFonts w:hint="eastAsia"/>
                <w:color w:val="auto"/>
                <w:highlight w:val="none"/>
              </w:rPr>
              <w:t>不允许分包</w:t>
            </w:r>
          </w:p>
          <w:p>
            <w:pPr>
              <w:pStyle w:val="8"/>
              <w:spacing w:line="360" w:lineRule="auto"/>
              <w:rPr>
                <w:color w:val="auto"/>
                <w:highlight w:val="none"/>
              </w:rPr>
            </w:pPr>
            <w:r>
              <w:rPr>
                <w:rFonts w:hint="eastAsia"/>
                <w:color w:val="auto"/>
                <w:highlight w:val="none"/>
              </w:rPr>
              <w:t>□允许分包</w:t>
            </w:r>
          </w:p>
          <w:p>
            <w:pPr>
              <w:pStyle w:val="8"/>
              <w:spacing w:line="360" w:lineRule="auto"/>
              <w:rPr>
                <w:color w:val="auto"/>
                <w:highlight w:val="none"/>
                <w:u w:val="single"/>
              </w:rPr>
            </w:pPr>
            <w:r>
              <w:rPr>
                <w:rFonts w:hint="eastAsia"/>
                <w:color w:val="auto"/>
                <w:highlight w:val="none"/>
              </w:rPr>
              <w:t>分包内容：</w:t>
            </w:r>
            <w:r>
              <w:rPr>
                <w:rFonts w:hint="eastAsia"/>
                <w:color w:val="auto"/>
                <w:highlight w:val="none"/>
                <w:u w:val="single"/>
              </w:rPr>
              <w:t>。</w:t>
            </w:r>
          </w:p>
          <w:p>
            <w:pPr>
              <w:pStyle w:val="8"/>
              <w:spacing w:line="360" w:lineRule="auto"/>
              <w:rPr>
                <w:color w:val="auto"/>
                <w:highlight w:val="none"/>
                <w:u w:val="single"/>
              </w:rPr>
            </w:pPr>
            <w:r>
              <w:rPr>
                <w:rFonts w:hint="eastAsia"/>
                <w:color w:val="auto"/>
                <w:highlight w:val="none"/>
              </w:rPr>
              <w:t>分包金额或者比例：</w:t>
            </w:r>
            <w:r>
              <w:rPr>
                <w:rFonts w:hint="eastAsia"/>
                <w:color w:val="auto"/>
                <w:highlight w:val="none"/>
                <w:u w:val="single"/>
              </w:rPr>
              <w:t>。</w:t>
            </w:r>
          </w:p>
          <w:p>
            <w:pPr>
              <w:pStyle w:val="8"/>
              <w:spacing w:line="360" w:lineRule="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p>
            <w:pPr>
              <w:pStyle w:val="8"/>
              <w:spacing w:line="360" w:lineRule="auto"/>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由谈判小组自主选择确定一家供应商参加评审，其他竞标无效。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snapToGrid w:val="0"/>
              <w:spacing w:line="360" w:lineRule="auto"/>
              <w:ind w:firstLine="411" w:firstLineChars="196"/>
              <w:jc w:val="left"/>
              <w:rPr>
                <w:rFonts w:ascii="宋体" w:hAnsi="宋体" w:cs="宋体"/>
                <w:color w:val="auto"/>
                <w:szCs w:val="21"/>
                <w:highlight w:val="none"/>
              </w:rPr>
            </w:pPr>
            <w:bookmarkStart w:id="78" w:name="OLE_LINK55"/>
            <w:bookmarkStart w:id="79" w:name="OLE_LINK23"/>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bookmarkEnd w:id="78"/>
            <w:bookmarkStart w:id="80" w:name="OLE_LINK56"/>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79"/>
          <w:bookmarkEnd w:id="80"/>
          <w:p>
            <w:pPr>
              <w:snapToGrid w:val="0"/>
              <w:spacing w:line="360" w:lineRule="auto"/>
              <w:ind w:firstLine="411" w:firstLineChars="196"/>
              <w:jc w:val="left"/>
              <w:rPr>
                <w:rFonts w:ascii="宋体" w:hAnsi="宋体" w:cs="宋体"/>
                <w:color w:val="auto"/>
                <w:szCs w:val="21"/>
                <w:highlight w:val="none"/>
              </w:rPr>
            </w:pPr>
            <w:bookmarkStart w:id="81" w:name="OLE_LINK57"/>
            <w:bookmarkStart w:id="82" w:name="OLE_LINK24"/>
            <w:r>
              <w:rPr>
                <w:rFonts w:hint="eastAsia" w:ascii="宋体" w:hAnsi="宋体" w:cs="宋体"/>
                <w:color w:val="auto"/>
                <w:szCs w:val="21"/>
                <w:highlight w:val="none"/>
              </w:rPr>
              <w:t>2.供应商依法缴纳税收的相关材料（</w:t>
            </w:r>
            <w:bookmarkStart w:id="83" w:name="OLE_LINK14"/>
            <w:r>
              <w:rPr>
                <w:rFonts w:hint="eastAsia" w:ascii="宋体" w:hAnsi="宋体" w:cs="宋体"/>
                <w:color w:val="auto"/>
                <w:szCs w:val="21"/>
                <w:highlight w:val="none"/>
                <w:u w:val="single"/>
              </w:rPr>
              <w:t>2024年</w:t>
            </w:r>
            <w:r>
              <w:rPr>
                <w:rFonts w:ascii="宋体" w:hAnsi="宋体" w:cs="宋体"/>
                <w:color w:val="auto"/>
                <w:szCs w:val="21"/>
                <w:highlight w:val="none"/>
                <w:u w:val="single"/>
              </w:rPr>
              <w:t>12</w:t>
            </w:r>
            <w:r>
              <w:rPr>
                <w:rFonts w:hint="eastAsia" w:ascii="宋体" w:hAnsi="宋体" w:cs="宋体"/>
                <w:color w:val="auto"/>
                <w:szCs w:val="21"/>
                <w:highlight w:val="none"/>
                <w:u w:val="single"/>
              </w:rPr>
              <w:t>月至2025年</w:t>
            </w:r>
            <w:r>
              <w:rPr>
                <w:rFonts w:ascii="宋体" w:hAnsi="宋体" w:cs="宋体"/>
                <w:color w:val="auto"/>
                <w:szCs w:val="21"/>
                <w:highlight w:val="none"/>
                <w:u w:val="single"/>
              </w:rPr>
              <w:t>6</w:t>
            </w:r>
            <w:r>
              <w:rPr>
                <w:rFonts w:hint="eastAsia" w:ascii="宋体" w:hAnsi="宋体" w:cs="宋体"/>
                <w:color w:val="auto"/>
                <w:szCs w:val="21"/>
                <w:highlight w:val="none"/>
                <w:u w:val="single"/>
              </w:rPr>
              <w:t>月内连续3个月</w:t>
            </w:r>
            <w:bookmarkEnd w:id="83"/>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bookmarkEnd w:id="81"/>
            <w:bookmarkStart w:id="84" w:name="OLE_LINK58"/>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84"/>
          </w:p>
          <w:bookmarkEnd w:id="82"/>
          <w:p>
            <w:pPr>
              <w:snapToGrid w:val="0"/>
              <w:spacing w:line="360" w:lineRule="auto"/>
              <w:ind w:firstLine="411" w:firstLineChars="196"/>
              <w:jc w:val="left"/>
              <w:rPr>
                <w:rFonts w:ascii="宋体" w:hAnsi="宋体" w:cs="宋体"/>
                <w:color w:val="auto"/>
                <w:szCs w:val="21"/>
                <w:highlight w:val="none"/>
              </w:rPr>
            </w:pPr>
            <w:bookmarkStart w:id="85" w:name="OLE_LINK59"/>
            <w:bookmarkStart w:id="86" w:name="OLE_LINK25"/>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2024年</w:t>
            </w:r>
            <w:r>
              <w:rPr>
                <w:rFonts w:ascii="宋体" w:hAnsi="宋体" w:cs="宋体"/>
                <w:color w:val="auto"/>
                <w:szCs w:val="21"/>
                <w:highlight w:val="none"/>
                <w:u w:val="single"/>
              </w:rPr>
              <w:t>12</w:t>
            </w:r>
            <w:r>
              <w:rPr>
                <w:rFonts w:hint="eastAsia" w:ascii="宋体" w:hAnsi="宋体" w:cs="宋体"/>
                <w:color w:val="auto"/>
                <w:szCs w:val="21"/>
                <w:highlight w:val="none"/>
                <w:u w:val="single"/>
              </w:rPr>
              <w:t>月至2025年</w:t>
            </w:r>
            <w:r>
              <w:rPr>
                <w:rFonts w:ascii="宋体" w:hAnsi="宋体" w:cs="宋体"/>
                <w:color w:val="auto"/>
                <w:szCs w:val="21"/>
                <w:highlight w:val="none"/>
                <w:u w:val="single"/>
              </w:rPr>
              <w:t>6</w:t>
            </w:r>
            <w:r>
              <w:rPr>
                <w:rFonts w:hint="eastAsia" w:ascii="宋体" w:hAnsi="宋体" w:cs="宋体"/>
                <w:color w:val="auto"/>
                <w:szCs w:val="21"/>
                <w:highlight w:val="none"/>
                <w:u w:val="single"/>
              </w:rPr>
              <w:t>月内连续3个月</w:t>
            </w:r>
            <w:r>
              <w:rPr>
                <w:rFonts w:hint="eastAsia" w:ascii="宋体" w:hAnsi="宋体" w:cs="宋体"/>
                <w:color w:val="auto"/>
                <w:szCs w:val="21"/>
                <w:highlight w:val="none"/>
              </w:rPr>
              <w:t>的依法缴纳社会保障资金的缴费凭证（如：专用收据、社会保险缴纳清单或者社保部门的证明）复印件；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bookmarkEnd w:id="85"/>
            <w:bookmarkStart w:id="87" w:name="OLE_LINK60"/>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86"/>
          <w:bookmarkEnd w:id="87"/>
          <w:p>
            <w:pPr>
              <w:snapToGrid w:val="0"/>
              <w:spacing w:line="360" w:lineRule="auto"/>
              <w:ind w:firstLine="411" w:firstLineChars="196"/>
              <w:jc w:val="left"/>
              <w:rPr>
                <w:rFonts w:ascii="宋体" w:hAnsi="宋体" w:cs="宋体"/>
                <w:b/>
                <w:color w:val="auto"/>
                <w:szCs w:val="21"/>
                <w:highlight w:val="none"/>
              </w:rPr>
            </w:pPr>
            <w:bookmarkStart w:id="88" w:name="OLE_LINK61"/>
            <w:bookmarkStart w:id="89" w:name="OLE_LINK26"/>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u w:val="single"/>
              </w:rPr>
              <w:t>20</w:t>
            </w:r>
            <w:r>
              <w:rPr>
                <w:rFonts w:ascii="宋体" w:hAnsi="宋体" w:cs="宋体"/>
                <w:color w:val="auto"/>
                <w:szCs w:val="21"/>
                <w:highlight w:val="none"/>
                <w:u w:val="single"/>
              </w:rPr>
              <w:t>2</w:t>
            </w:r>
            <w:r>
              <w:rPr>
                <w:rFonts w:hint="eastAsia" w:ascii="宋体" w:hAnsi="宋体" w:cs="宋体"/>
                <w:color w:val="auto"/>
                <w:szCs w:val="21"/>
                <w:highlight w:val="none"/>
                <w:u w:val="single"/>
              </w:rPr>
              <w:t>3或2024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bookmarkEnd w:id="88"/>
            <w:bookmarkStart w:id="90" w:name="OLE_LINK62"/>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bookmarkEnd w:id="89"/>
          <w:bookmarkEnd w:id="90"/>
          <w:p>
            <w:pPr>
              <w:snapToGrid w:val="0"/>
              <w:spacing w:line="360" w:lineRule="auto"/>
              <w:ind w:firstLine="411" w:firstLineChars="196"/>
              <w:jc w:val="left"/>
              <w:rPr>
                <w:rFonts w:ascii="宋体" w:hAnsi="宋体" w:cs="宋体"/>
                <w:color w:val="auto"/>
                <w:szCs w:val="21"/>
                <w:highlight w:val="none"/>
              </w:rPr>
            </w:pPr>
            <w:bookmarkStart w:id="91" w:name="OLE_LINK63"/>
            <w:bookmarkStart w:id="92" w:name="OLE_LINK27"/>
            <w:r>
              <w:rPr>
                <w:rFonts w:hint="eastAsia" w:ascii="宋体" w:hAnsi="宋体" w:cs="宋体"/>
                <w:color w:val="auto"/>
                <w:szCs w:val="21"/>
                <w:highlight w:val="none"/>
              </w:rPr>
              <w:t>5.供应商直接控股信息表</w:t>
            </w:r>
            <w:bookmarkEnd w:id="91"/>
            <w:r>
              <w:rPr>
                <w:rFonts w:hint="eastAsia" w:ascii="宋体" w:hAnsi="宋体" w:cs="宋体"/>
                <w:color w:val="auto"/>
                <w:szCs w:val="21"/>
                <w:highlight w:val="none"/>
              </w:rPr>
              <w:t>（格式后附）；</w:t>
            </w:r>
            <w:bookmarkStart w:id="93" w:name="OLE_LINK64"/>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92"/>
          <w:bookmarkEnd w:id="93"/>
          <w:p>
            <w:pPr>
              <w:snapToGrid w:val="0"/>
              <w:spacing w:line="360" w:lineRule="auto"/>
              <w:ind w:firstLine="411" w:firstLineChars="196"/>
              <w:jc w:val="left"/>
              <w:rPr>
                <w:rFonts w:ascii="宋体" w:hAnsi="宋体" w:cs="宋体"/>
                <w:color w:val="auto"/>
                <w:szCs w:val="21"/>
                <w:highlight w:val="none"/>
              </w:rPr>
            </w:pPr>
            <w:bookmarkStart w:id="94" w:name="OLE_LINK65"/>
            <w:bookmarkStart w:id="95" w:name="OLE_LINK28"/>
            <w:r>
              <w:rPr>
                <w:rFonts w:hint="eastAsia" w:ascii="宋体" w:hAnsi="宋体" w:cs="宋体"/>
                <w:color w:val="auto"/>
                <w:szCs w:val="21"/>
                <w:highlight w:val="none"/>
              </w:rPr>
              <w:t>6.供应商直接管理关系信息表</w:t>
            </w:r>
            <w:bookmarkEnd w:id="94"/>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95"/>
          <w:p>
            <w:pPr>
              <w:snapToGrid w:val="0"/>
              <w:spacing w:line="360" w:lineRule="auto"/>
              <w:ind w:firstLine="411" w:firstLineChars="196"/>
              <w:jc w:val="left"/>
              <w:rPr>
                <w:rFonts w:ascii="宋体" w:hAnsi="宋体" w:cs="宋体"/>
                <w:color w:val="auto"/>
                <w:szCs w:val="21"/>
                <w:highlight w:val="none"/>
              </w:rPr>
            </w:pPr>
            <w:bookmarkStart w:id="96" w:name="OLE_LINK66"/>
            <w:bookmarkStart w:id="97" w:name="OLE_LINK29"/>
            <w:r>
              <w:rPr>
                <w:rFonts w:hint="eastAsia" w:ascii="宋体" w:hAnsi="宋体" w:cs="宋体"/>
                <w:color w:val="auto"/>
                <w:szCs w:val="21"/>
                <w:highlight w:val="none"/>
              </w:rPr>
              <w:t>7.竞标声明</w:t>
            </w:r>
            <w:bookmarkEnd w:id="96"/>
            <w:r>
              <w:rPr>
                <w:rFonts w:hint="eastAsia" w:ascii="宋体" w:hAnsi="宋体" w:cs="宋体"/>
                <w:color w:val="auto"/>
                <w:szCs w:val="21"/>
                <w:highlight w:val="none"/>
              </w:rPr>
              <w:t>（格式后附）；</w:t>
            </w:r>
            <w:bookmarkStart w:id="98" w:name="OLE_LINK67"/>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97"/>
          <w:bookmarkEnd w:id="98"/>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8.联合体竞标协议书（格式后附）；（</w:t>
            </w:r>
            <w:r>
              <w:rPr>
                <w:rFonts w:hint="eastAsia" w:ascii="宋体" w:hAnsi="宋体" w:cs="宋体"/>
                <w:b/>
                <w:color w:val="auto"/>
                <w:szCs w:val="21"/>
                <w:highlight w:val="none"/>
              </w:rPr>
              <w:t>联合体竞标时必须提供，否则响应文件按无效处理</w:t>
            </w:r>
            <w:r>
              <w:rPr>
                <w:rFonts w:hint="eastAsia" w:ascii="宋体" w:hAnsi="宋体" w:cs="宋体"/>
                <w:color w:val="auto"/>
                <w:szCs w:val="21"/>
                <w:highlight w:val="none"/>
              </w:rPr>
              <w:t>）</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color w:val="auto"/>
                <w:highlight w:val="none"/>
              </w:rPr>
              <w:t>针对C分标供应商：</w:t>
            </w:r>
            <w:r>
              <w:rPr>
                <w:rFonts w:hint="eastAsia" w:ascii="宋体" w:hAnsi="宋体"/>
                <w:color w:val="auto"/>
                <w:szCs w:val="21"/>
                <w:highlight w:val="none"/>
              </w:rPr>
              <w:t>①本项目有第二类医疗器械的，应该提供有效的医疗器械经营备案凭证（经营范围包含采购的第二类医疗器械）复印件，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复印件；</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②本项目有第三类医疗器械的，应该提供有效的医疗器械经营许可证（经营范围包含采购的第三类医疗器械）复印件；如供应商符合《医疗器械监督管理条例》第四十三条“医疗器械注册人、备案人经营其注册、备案的医疗器械，无需办理医疗器械经营许可或者备案，但应当符合本条例规定的经营条件”规定的，仅需提供该医疗器械注册证复印件；</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③本项目有第二类和第三类医疗器械的。应按上述①、②要求提供</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pPr>
              <w:snapToGrid w:val="0"/>
              <w:spacing w:line="360" w:lineRule="auto"/>
              <w:ind w:firstLine="411" w:firstLineChars="196"/>
              <w:jc w:val="left"/>
              <w:rPr>
                <w:rFonts w:ascii="宋体" w:hAnsi="宋体"/>
                <w:i/>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hint="eastAsia" w:ascii="宋体" w:hAnsi="宋体" w:cs="宋体"/>
                <w:color w:val="auto"/>
                <w:szCs w:val="21"/>
                <w:highlight w:val="none"/>
              </w:rPr>
              <w:t>除谈判文件规定必须提供以外，供应商认为需要提供的其他证明材料；</w:t>
            </w:r>
          </w:p>
          <w:p>
            <w:pPr>
              <w:snapToGrid w:val="0"/>
              <w:spacing w:line="360" w:lineRule="auto"/>
              <w:ind w:firstLine="413" w:firstLineChars="196"/>
              <w:jc w:val="left"/>
              <w:rPr>
                <w:rFonts w:ascii="宋体" w:hAnsi="宋体" w:cs="宋体"/>
                <w:b/>
                <w:color w:val="auto"/>
                <w:szCs w:val="21"/>
                <w:highlight w:val="none"/>
              </w:rPr>
            </w:pPr>
            <w:bookmarkStart w:id="99" w:name="OLE_LINK30"/>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bookmarkEnd w:id="9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报价文件</w:t>
            </w:r>
          </w:p>
          <w:p>
            <w:pPr>
              <w:spacing w:line="360" w:lineRule="auto"/>
              <w:ind w:firstLine="420" w:firstLineChars="200"/>
              <w:jc w:val="left"/>
              <w:rPr>
                <w:rFonts w:ascii="宋体" w:hAnsi="宋体" w:cs="宋体"/>
                <w:color w:val="auto"/>
                <w:szCs w:val="21"/>
                <w:highlight w:val="none"/>
              </w:rPr>
            </w:pPr>
            <w:bookmarkStart w:id="100" w:name="OLE_LINK68"/>
            <w:bookmarkStart w:id="101" w:name="OLE_LINK31"/>
            <w:r>
              <w:rPr>
                <w:rFonts w:hint="eastAsia" w:ascii="宋体" w:hAnsi="宋体" w:cs="宋体"/>
                <w:color w:val="auto"/>
                <w:szCs w:val="21"/>
                <w:highlight w:val="none"/>
              </w:rPr>
              <w:t>1.竞标报价表</w:t>
            </w:r>
            <w:bookmarkEnd w:id="100"/>
            <w:r>
              <w:rPr>
                <w:rFonts w:hint="eastAsia" w:ascii="宋体" w:hAnsi="宋体" w:cs="宋体"/>
                <w:color w:val="auto"/>
                <w:szCs w:val="21"/>
                <w:highlight w:val="none"/>
              </w:rPr>
              <w:t>（格式后附）；</w:t>
            </w:r>
            <w:bookmarkStart w:id="102" w:name="OLE_LINK69"/>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bookmarkEnd w:id="102"/>
          </w:p>
          <w:bookmarkEnd w:id="101"/>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3.《中小企业声明函》</w:t>
            </w:r>
            <w:r>
              <w:rPr>
                <w:color w:val="auto"/>
                <w:highlight w:val="none"/>
              </w:rPr>
              <w:t>或《残疾人福利性单位声明函》（格式见第五章）或由省级(或以上)监狱管理局、戒毒管理局（含新疆生产建设兵团）出具的属于监狱企业的证明文件复印件</w:t>
            </w:r>
            <w:r>
              <w:rPr>
                <w:rFonts w:hint="eastAsia" w:ascii="宋体" w:hAnsi="宋体" w:cs="宋体"/>
                <w:color w:val="auto"/>
                <w:szCs w:val="21"/>
                <w:highlight w:val="none"/>
              </w:rPr>
              <w:t>。</w:t>
            </w:r>
          </w:p>
          <w:p>
            <w:pPr>
              <w:spacing w:line="360" w:lineRule="auto"/>
              <w:ind w:firstLine="422" w:firstLineChars="200"/>
              <w:jc w:val="left"/>
              <w:rPr>
                <w:rFonts w:ascii="宋体" w:hAnsi="宋体" w:cs="宋体"/>
                <w:color w:val="auto"/>
                <w:szCs w:val="21"/>
                <w:highlight w:val="none"/>
              </w:rPr>
            </w:pPr>
            <w:bookmarkStart w:id="103" w:name="OLE_LINK32"/>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bookmarkEnd w:id="10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商务技术文件</w:t>
            </w:r>
          </w:p>
          <w:p>
            <w:pPr>
              <w:spacing w:line="360" w:lineRule="auto"/>
              <w:ind w:firstLine="420" w:firstLineChars="200"/>
              <w:jc w:val="left"/>
              <w:rPr>
                <w:rFonts w:ascii="宋体" w:hAnsi="宋体" w:cs="宋体"/>
                <w:color w:val="auto"/>
                <w:szCs w:val="21"/>
                <w:highlight w:val="none"/>
              </w:rPr>
            </w:pPr>
            <w:bookmarkStart w:id="104" w:name="OLE_LINK70"/>
            <w:bookmarkStart w:id="105" w:name="OLE_LINK33"/>
            <w:r>
              <w:rPr>
                <w:rFonts w:hint="eastAsia" w:ascii="宋体" w:hAnsi="宋体" w:cs="宋体"/>
                <w:color w:val="auto"/>
                <w:szCs w:val="21"/>
                <w:highlight w:val="none"/>
              </w:rPr>
              <w:t>1.无串通竞标行为的承诺函</w:t>
            </w:r>
            <w:bookmarkEnd w:id="104"/>
            <w:r>
              <w:rPr>
                <w:rFonts w:hint="eastAsia" w:ascii="宋体" w:hAnsi="宋体" w:cs="宋体"/>
                <w:color w:val="auto"/>
                <w:szCs w:val="21"/>
                <w:highlight w:val="none"/>
              </w:rPr>
              <w:t>（格式后附）；</w:t>
            </w:r>
            <w:bookmarkStart w:id="106" w:name="OLE_LINK71"/>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105"/>
          <w:bookmarkEnd w:id="106"/>
          <w:p>
            <w:pPr>
              <w:snapToGrid w:val="0"/>
              <w:spacing w:line="360" w:lineRule="auto"/>
              <w:ind w:firstLine="420" w:firstLineChars="200"/>
              <w:jc w:val="left"/>
              <w:rPr>
                <w:rFonts w:ascii="宋体" w:hAnsi="宋体" w:cs="宋体"/>
                <w:color w:val="auto"/>
                <w:szCs w:val="21"/>
                <w:highlight w:val="none"/>
              </w:rPr>
            </w:pPr>
            <w:bookmarkStart w:id="107" w:name="OLE_LINK72"/>
            <w:bookmarkStart w:id="108" w:name="OLE_LINK34"/>
            <w:r>
              <w:rPr>
                <w:rFonts w:hint="eastAsia" w:ascii="宋体" w:hAnsi="宋体" w:cs="宋体"/>
                <w:color w:val="auto"/>
                <w:szCs w:val="21"/>
                <w:highlight w:val="none"/>
              </w:rPr>
              <w:t>2.法定代表人身份证明书及法定代表人有效身份证正反面复印件</w:t>
            </w:r>
            <w:bookmarkEnd w:id="107"/>
            <w:r>
              <w:rPr>
                <w:rFonts w:hint="eastAsia" w:ascii="宋体" w:hAnsi="宋体" w:cs="宋体"/>
                <w:color w:val="auto"/>
                <w:szCs w:val="21"/>
                <w:highlight w:val="none"/>
              </w:rPr>
              <w:t>（格式后附）；</w:t>
            </w:r>
            <w:bookmarkStart w:id="109" w:name="OLE_LINK73"/>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bookmarkEnd w:id="109"/>
          </w:p>
          <w:bookmarkEnd w:id="108"/>
          <w:p>
            <w:pPr>
              <w:spacing w:line="360" w:lineRule="auto"/>
              <w:ind w:firstLine="420" w:firstLineChars="200"/>
              <w:jc w:val="left"/>
              <w:rPr>
                <w:rFonts w:ascii="宋体" w:hAnsi="宋体" w:cs="宋体"/>
                <w:b/>
                <w:color w:val="auto"/>
                <w:szCs w:val="21"/>
                <w:highlight w:val="none"/>
              </w:rPr>
            </w:pPr>
            <w:bookmarkStart w:id="110" w:name="OLE_LINK74"/>
            <w:bookmarkStart w:id="111" w:name="OLE_LINK35"/>
            <w:r>
              <w:rPr>
                <w:rFonts w:hint="eastAsia" w:ascii="宋体" w:hAnsi="宋体" w:cs="宋体"/>
                <w:color w:val="auto"/>
                <w:szCs w:val="21"/>
                <w:highlight w:val="none"/>
              </w:rPr>
              <w:t>3.授权委托书及委托代理人有效身份证正反面复印件</w:t>
            </w:r>
            <w:bookmarkEnd w:id="110"/>
            <w:r>
              <w:rPr>
                <w:rFonts w:hint="eastAsia" w:ascii="宋体" w:hAnsi="宋体" w:cs="宋体"/>
                <w:color w:val="auto"/>
                <w:szCs w:val="21"/>
                <w:highlight w:val="none"/>
              </w:rPr>
              <w:t>（格式后附）；</w:t>
            </w:r>
            <w:bookmarkStart w:id="112" w:name="OLE_LINK75"/>
            <w:r>
              <w:rPr>
                <w:rFonts w:hint="eastAsia" w:ascii="宋体" w:hAnsi="宋体" w:cs="宋体"/>
                <w:color w:val="auto"/>
                <w:szCs w:val="21"/>
                <w:highlight w:val="none"/>
              </w:rPr>
              <w:t>（</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bookmarkEnd w:id="111"/>
          <w:bookmarkEnd w:id="112"/>
          <w:p>
            <w:pPr>
              <w:spacing w:line="360" w:lineRule="auto"/>
              <w:ind w:firstLine="420" w:firstLineChars="200"/>
              <w:jc w:val="left"/>
              <w:rPr>
                <w:rFonts w:ascii="宋体" w:hAnsi="宋体" w:cs="宋体"/>
                <w:color w:val="auto"/>
                <w:szCs w:val="21"/>
                <w:highlight w:val="none"/>
              </w:rPr>
            </w:pPr>
            <w:bookmarkStart w:id="113" w:name="OLE_LINK76"/>
            <w:bookmarkStart w:id="114" w:name="OLE_LINK36"/>
            <w:r>
              <w:rPr>
                <w:rFonts w:hint="eastAsia" w:ascii="宋体" w:hAnsi="宋体" w:cs="宋体"/>
                <w:color w:val="auto"/>
                <w:szCs w:val="21"/>
                <w:highlight w:val="none"/>
              </w:rPr>
              <w:t>4.竞标保证金提交凭证；</w:t>
            </w:r>
            <w:bookmarkEnd w:id="113"/>
            <w:bookmarkStart w:id="115" w:name="OLE_LINK77"/>
            <w:r>
              <w:rPr>
                <w:rFonts w:hint="eastAsia" w:ascii="宋体" w:hAnsi="宋体" w:cs="宋体"/>
                <w:color w:val="auto"/>
                <w:szCs w:val="21"/>
                <w:highlight w:val="none"/>
              </w:rPr>
              <w:t>（</w:t>
            </w:r>
            <w:r>
              <w:rPr>
                <w:rFonts w:hint="eastAsia"/>
                <w:b/>
                <w:bCs/>
                <w:color w:val="auto"/>
                <w:highlight w:val="none"/>
              </w:rPr>
              <w:t>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bookmarkEnd w:id="114"/>
          <w:bookmarkEnd w:id="115"/>
          <w:p>
            <w:pPr>
              <w:spacing w:line="360" w:lineRule="auto"/>
              <w:ind w:firstLine="420" w:firstLineChars="200"/>
              <w:jc w:val="left"/>
              <w:rPr>
                <w:rFonts w:ascii="宋体" w:hAnsi="宋体" w:cs="宋体"/>
                <w:color w:val="auto"/>
                <w:szCs w:val="21"/>
                <w:highlight w:val="none"/>
              </w:rPr>
            </w:pPr>
            <w:bookmarkStart w:id="116" w:name="OLE_LINK78"/>
            <w:bookmarkStart w:id="117" w:name="OLE_LINK38"/>
            <w:r>
              <w:rPr>
                <w:rFonts w:hint="eastAsia" w:ascii="宋体" w:hAnsi="宋体" w:cs="宋体"/>
                <w:color w:val="auto"/>
                <w:szCs w:val="21"/>
                <w:highlight w:val="none"/>
              </w:rPr>
              <w:t>5.商务要求偏离表</w:t>
            </w:r>
            <w:bookmarkEnd w:id="116"/>
            <w:r>
              <w:rPr>
                <w:rFonts w:hint="eastAsia" w:ascii="宋体" w:hAnsi="宋体" w:cs="宋体"/>
                <w:color w:val="auto"/>
                <w:szCs w:val="21"/>
                <w:highlight w:val="none"/>
              </w:rPr>
              <w:t>（格式后附）；</w:t>
            </w:r>
            <w:bookmarkStart w:id="118" w:name="OLE_LINK79"/>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bookmarkEnd w:id="118"/>
          </w:p>
          <w:bookmarkEnd w:id="117"/>
          <w:p>
            <w:pPr>
              <w:spacing w:line="360" w:lineRule="auto"/>
              <w:ind w:firstLine="420" w:firstLineChars="200"/>
              <w:jc w:val="left"/>
              <w:rPr>
                <w:rFonts w:ascii="宋体" w:hAnsi="宋体" w:cs="宋体"/>
                <w:color w:val="auto"/>
                <w:szCs w:val="21"/>
                <w:highlight w:val="none"/>
              </w:rPr>
            </w:pPr>
            <w:bookmarkStart w:id="119" w:name="OLE_LINK80"/>
            <w:bookmarkStart w:id="120" w:name="OLE_LINK39"/>
            <w:r>
              <w:rPr>
                <w:rFonts w:hint="eastAsia" w:ascii="宋体" w:hAnsi="宋体" w:cs="宋体"/>
                <w:color w:val="auto"/>
                <w:szCs w:val="21"/>
                <w:highlight w:val="none"/>
              </w:rPr>
              <w:t>6.售后服务承诺</w:t>
            </w:r>
            <w:bookmarkEnd w:id="119"/>
            <w:r>
              <w:rPr>
                <w:rFonts w:hint="eastAsia" w:ascii="宋体" w:hAnsi="宋体" w:cs="宋体"/>
                <w:color w:val="auto"/>
                <w:szCs w:val="21"/>
                <w:highlight w:val="none"/>
              </w:rPr>
              <w:t>（格式自拟）；</w:t>
            </w:r>
            <w:bookmarkStart w:id="121" w:name="OLE_LINK81"/>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120"/>
          <w:bookmarkEnd w:id="121"/>
          <w:p>
            <w:pPr>
              <w:spacing w:line="360" w:lineRule="auto"/>
              <w:ind w:firstLine="420" w:firstLineChars="200"/>
              <w:jc w:val="left"/>
              <w:rPr>
                <w:rFonts w:ascii="宋体" w:hAnsi="宋体" w:cs="宋体"/>
                <w:color w:val="auto"/>
                <w:szCs w:val="21"/>
                <w:highlight w:val="none"/>
              </w:rPr>
            </w:pPr>
            <w:bookmarkStart w:id="122" w:name="OLE_LINK82"/>
            <w:bookmarkStart w:id="123" w:name="OLE_LINK40"/>
            <w:r>
              <w:rPr>
                <w:rFonts w:hint="eastAsia" w:ascii="宋体" w:hAnsi="宋体" w:cs="宋体"/>
                <w:color w:val="auto"/>
                <w:szCs w:val="21"/>
                <w:highlight w:val="none"/>
              </w:rPr>
              <w:t>7.货物配置清单（均不含报价）</w:t>
            </w:r>
            <w:bookmarkEnd w:id="122"/>
            <w:r>
              <w:rPr>
                <w:rFonts w:hint="eastAsia" w:ascii="宋体" w:hAnsi="宋体" w:cs="宋体"/>
                <w:color w:val="auto"/>
                <w:szCs w:val="21"/>
                <w:highlight w:val="none"/>
              </w:rPr>
              <w:t>（格式后附）；</w:t>
            </w:r>
            <w:bookmarkStart w:id="124" w:name="OLE_LINK83"/>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123"/>
          <w:bookmarkEnd w:id="124"/>
          <w:p>
            <w:pPr>
              <w:spacing w:line="360" w:lineRule="auto"/>
              <w:ind w:firstLine="420" w:firstLineChars="200"/>
              <w:jc w:val="left"/>
              <w:rPr>
                <w:rFonts w:ascii="宋体" w:hAnsi="宋体" w:cs="宋体"/>
                <w:color w:val="auto"/>
                <w:szCs w:val="21"/>
                <w:highlight w:val="none"/>
              </w:rPr>
            </w:pPr>
            <w:bookmarkStart w:id="125" w:name="OLE_LINK84"/>
            <w:bookmarkStart w:id="126" w:name="OLE_LINK41"/>
            <w:r>
              <w:rPr>
                <w:rFonts w:hint="eastAsia" w:ascii="宋体" w:hAnsi="宋体" w:cs="宋体"/>
                <w:color w:val="auto"/>
                <w:szCs w:val="21"/>
                <w:highlight w:val="none"/>
              </w:rPr>
              <w:t>8.技术要求偏离表</w:t>
            </w:r>
            <w:bookmarkEnd w:id="125"/>
            <w:r>
              <w:rPr>
                <w:rFonts w:hint="eastAsia" w:ascii="宋体" w:hAnsi="宋体" w:cs="宋体"/>
                <w:color w:val="auto"/>
                <w:szCs w:val="21"/>
                <w:highlight w:val="none"/>
              </w:rPr>
              <w:t>（格式后附）；</w:t>
            </w:r>
            <w:bookmarkStart w:id="127" w:name="OLE_LINK85"/>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bookmarkEnd w:id="127"/>
          </w:p>
          <w:bookmarkEnd w:id="126"/>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9.代理服务费承诺书（格式后附）；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11.供应商认为需要提供的其他有关资料。</w:t>
            </w:r>
          </w:p>
          <w:p>
            <w:pPr>
              <w:snapToGrid w:val="0"/>
              <w:spacing w:line="360" w:lineRule="auto"/>
              <w:ind w:firstLine="422" w:firstLineChars="200"/>
              <w:jc w:val="left"/>
              <w:rPr>
                <w:rFonts w:ascii="宋体" w:hAnsi="宋体" w:cs="宋体"/>
                <w:b/>
                <w:color w:val="auto"/>
                <w:szCs w:val="21"/>
                <w:highlight w:val="none"/>
              </w:rPr>
            </w:pPr>
            <w:bookmarkStart w:id="128" w:name="OLE_LINK42"/>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，否则响应文件按无效处理。</w:t>
            </w:r>
            <w:bookmarkEnd w:id="1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竞标报价：具体详见第三章采购需求。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pPr>
              <w:pStyle w:val="7"/>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pPr>
              <w:snapToGrid w:val="0"/>
              <w:spacing w:line="360" w:lineRule="auto"/>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本项目收取竞标保证金，具体规定如下：</w:t>
            </w:r>
          </w:p>
          <w:p>
            <w:pPr>
              <w:snapToGrid w:val="0"/>
              <w:spacing w:line="360" w:lineRule="auto"/>
              <w:rPr>
                <w:rFonts w:ascii="宋体" w:hAnsi="宋体" w:cs="宋体"/>
                <w:color w:val="auto"/>
                <w:kern w:val="0"/>
                <w:szCs w:val="21"/>
                <w:highlight w:val="none"/>
              </w:rPr>
            </w:pPr>
            <w:bookmarkStart w:id="129" w:name="OLE_LINK15"/>
            <w:r>
              <w:rPr>
                <w:rFonts w:hint="eastAsia" w:ascii="宋体" w:hAnsi="宋体" w:cs="宋体"/>
                <w:b/>
                <w:bCs/>
                <w:color w:val="auto"/>
                <w:kern w:val="0"/>
                <w:szCs w:val="21"/>
                <w:highlight w:val="none"/>
                <w:u w:val="single"/>
              </w:rPr>
              <w:t>竞标保证金：A分标人民币</w:t>
            </w:r>
            <w:bookmarkEnd w:id="129"/>
            <w:bookmarkStart w:id="130" w:name="OLE_LINK45"/>
            <w:r>
              <w:rPr>
                <w:rFonts w:hint="eastAsia" w:ascii="宋体" w:hAnsi="宋体" w:cs="宋体"/>
                <w:b/>
                <w:bCs/>
                <w:color w:val="auto"/>
                <w:kern w:val="0"/>
                <w:szCs w:val="21"/>
                <w:highlight w:val="none"/>
                <w:u w:val="single"/>
              </w:rPr>
              <w:t>1</w:t>
            </w:r>
            <w:r>
              <w:rPr>
                <w:rFonts w:ascii="宋体" w:hAnsi="宋体" w:cs="宋体"/>
                <w:b/>
                <w:bCs/>
                <w:color w:val="auto"/>
                <w:kern w:val="0"/>
                <w:szCs w:val="21"/>
                <w:highlight w:val="none"/>
                <w:u w:val="single"/>
              </w:rPr>
              <w:t>.1</w:t>
            </w:r>
            <w:bookmarkEnd w:id="130"/>
            <w:r>
              <w:rPr>
                <w:rFonts w:ascii="宋体" w:hAnsi="宋体" w:cs="宋体"/>
                <w:b/>
                <w:bCs/>
                <w:color w:val="auto"/>
                <w:kern w:val="0"/>
                <w:szCs w:val="21"/>
                <w:highlight w:val="none"/>
                <w:u w:val="single"/>
              </w:rPr>
              <w:t>万元；B分标</w:t>
            </w:r>
            <w:r>
              <w:rPr>
                <w:rFonts w:hint="eastAsia" w:ascii="宋体" w:hAnsi="宋体" w:cs="宋体"/>
                <w:b/>
                <w:bCs/>
                <w:color w:val="auto"/>
                <w:kern w:val="0"/>
                <w:szCs w:val="21"/>
                <w:highlight w:val="none"/>
                <w:u w:val="single"/>
              </w:rPr>
              <w:t>0</w:t>
            </w:r>
            <w:r>
              <w:rPr>
                <w:rFonts w:ascii="宋体" w:hAnsi="宋体" w:cs="宋体"/>
                <w:b/>
                <w:bCs/>
                <w:color w:val="auto"/>
                <w:kern w:val="0"/>
                <w:szCs w:val="21"/>
                <w:highlight w:val="none"/>
                <w:u w:val="single"/>
              </w:rPr>
              <w:t>.8万元；C分标：</w:t>
            </w:r>
            <w:r>
              <w:rPr>
                <w:rFonts w:hint="eastAsia" w:ascii="宋体" w:hAnsi="宋体" w:cs="宋体"/>
                <w:b/>
                <w:bCs/>
                <w:color w:val="auto"/>
                <w:kern w:val="0"/>
                <w:szCs w:val="21"/>
                <w:highlight w:val="none"/>
                <w:u w:val="single"/>
              </w:rPr>
              <w:t>0</w:t>
            </w:r>
            <w:r>
              <w:rPr>
                <w:rFonts w:ascii="宋体" w:hAnsi="宋体" w:cs="宋体"/>
                <w:b/>
                <w:bCs/>
                <w:color w:val="auto"/>
                <w:kern w:val="0"/>
                <w:szCs w:val="21"/>
                <w:highlight w:val="none"/>
                <w:u w:val="single"/>
              </w:rPr>
              <w:t>.27万元</w:t>
            </w:r>
            <w:r>
              <w:rPr>
                <w:rFonts w:hint="eastAsia" w:ascii="宋体" w:hAnsi="宋体" w:cs="宋体"/>
                <w:color w:val="auto"/>
                <w:kern w:val="0"/>
                <w:szCs w:val="21"/>
                <w:highlight w:val="none"/>
              </w:rPr>
              <w:t>。</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名称：</w:t>
            </w:r>
            <w:bookmarkStart w:id="131" w:name="OLE_LINK47"/>
            <w:r>
              <w:rPr>
                <w:rFonts w:hint="eastAsia" w:ascii="宋体" w:hAnsi="宋体" w:cs="宋体"/>
                <w:color w:val="auto"/>
                <w:kern w:val="0"/>
                <w:szCs w:val="21"/>
                <w:highlight w:val="none"/>
              </w:rPr>
              <w:t>云之龙咨询集团有限公司</w:t>
            </w:r>
            <w:bookmarkEnd w:id="131"/>
            <w:r>
              <w:rPr>
                <w:rFonts w:hint="eastAsia" w:ascii="宋体" w:hAnsi="宋体" w:cs="宋体"/>
                <w:color w:val="auto"/>
                <w:kern w:val="0"/>
                <w:szCs w:val="21"/>
                <w:highlight w:val="none"/>
              </w:rPr>
              <w:t>；银行账号：</w:t>
            </w:r>
            <w:bookmarkStart w:id="132" w:name="OLE_LINK48"/>
            <w:r>
              <w:rPr>
                <w:rFonts w:hint="eastAsia" w:ascii="宋体" w:hAnsi="宋体" w:cs="宋体"/>
                <w:color w:val="auto"/>
                <w:kern w:val="0"/>
                <w:szCs w:val="21"/>
                <w:highlight w:val="none"/>
              </w:rPr>
              <w:t>8113001013400293071</w:t>
            </w:r>
            <w:bookmarkEnd w:id="132"/>
            <w:r>
              <w:rPr>
                <w:rFonts w:hint="eastAsia" w:ascii="宋体" w:hAnsi="宋体" w:cs="宋体"/>
                <w:color w:val="auto"/>
                <w:kern w:val="0"/>
                <w:szCs w:val="21"/>
                <w:highlight w:val="none"/>
              </w:rPr>
              <w:t>；开户银行：</w:t>
            </w:r>
            <w:bookmarkStart w:id="133" w:name="OLE_LINK46"/>
            <w:r>
              <w:rPr>
                <w:rFonts w:hint="eastAsia" w:ascii="宋体" w:hAnsi="宋体" w:cs="宋体"/>
                <w:color w:val="auto"/>
                <w:kern w:val="0"/>
                <w:szCs w:val="21"/>
                <w:highlight w:val="none"/>
              </w:rPr>
              <w:t>中信银行南宁东葛支行</w:t>
            </w:r>
            <w:bookmarkEnd w:id="133"/>
            <w:r>
              <w:rPr>
                <w:rFonts w:hint="eastAsia" w:ascii="宋体" w:hAnsi="宋体" w:cs="宋体"/>
                <w:color w:val="auto"/>
                <w:kern w:val="0"/>
                <w:szCs w:val="21"/>
                <w:highlight w:val="none"/>
              </w:rPr>
              <w:t>；开户行行号：302611029137]；采用支票、汇票、本票或者保函等方式的，在响应文件提交截止时间前，供应商必须提交单独密封的支票、汇票、本票或者保函原件。否则视为无效竞标保证金。</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竞标保证金采用支票、汇票、本票或者银行、保险机构出具的保函（包含电子保函）交纳方式的，供应商应将支票、汇票、本票或者银行、保险机构出具的保函（包含电子保函）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ascii="宋体" w:hAnsi="宋体" w:cs="宋体"/>
                <w:color w:val="auto"/>
                <w:highlight w:val="none"/>
              </w:rPr>
              <w:t>现场提交地址：</w:t>
            </w:r>
            <w:r>
              <w:rPr>
                <w:rFonts w:hint="eastAsia" w:ascii="宋体" w:hAnsi="宋体" w:cs="宋体"/>
                <w:color w:val="auto"/>
                <w:highlight w:val="none"/>
                <w:u w:val="single"/>
              </w:rPr>
              <w:t>南宁市良庆区云英路15号3号楼云之龙咨询集团大厦6楼</w:t>
            </w:r>
            <w:r>
              <w:rPr>
                <w:rFonts w:hint="eastAsia" w:ascii="宋体" w:hAnsi="宋体" w:cs="宋体"/>
                <w:color w:val="auto"/>
                <w:highlight w:val="none"/>
              </w:rPr>
              <w:t>；邮寄地址：</w:t>
            </w:r>
            <w:r>
              <w:rPr>
                <w:rFonts w:hint="eastAsia" w:ascii="宋体" w:hAnsi="宋体" w:cs="宋体"/>
                <w:color w:val="auto"/>
                <w:highlight w:val="none"/>
                <w:u w:val="single"/>
              </w:rPr>
              <w:t>南宁市良庆区云英路15号3号楼云之龙咨询集团大厦6楼</w:t>
            </w:r>
            <w:r>
              <w:rPr>
                <w:rFonts w:hint="eastAsia" w:ascii="宋体" w:hAnsi="宋体" w:cs="宋体"/>
                <w:color w:val="auto"/>
                <w:highlight w:val="none"/>
              </w:rPr>
              <w:t>，收件人：</w:t>
            </w:r>
            <w:r>
              <w:rPr>
                <w:rFonts w:hint="eastAsia" w:ascii="宋体" w:hAnsi="宋体" w:cs="宋体"/>
                <w:color w:val="auto"/>
                <w:highlight w:val="none"/>
                <w:u w:val="single"/>
              </w:rPr>
              <w:t>李鸿海</w:t>
            </w:r>
            <w:r>
              <w:rPr>
                <w:rFonts w:hint="eastAsia" w:ascii="宋体" w:hAnsi="宋体" w:cs="宋体"/>
                <w:color w:val="auto"/>
                <w:highlight w:val="none"/>
              </w:rPr>
              <w:t>，联系方式：</w:t>
            </w:r>
            <w:r>
              <w:rPr>
                <w:rFonts w:hint="eastAsia" w:ascii="宋体" w:hAnsi="宋体" w:cs="宋体"/>
                <w:color w:val="auto"/>
                <w:highlight w:val="none"/>
                <w:u w:val="single"/>
              </w:rPr>
              <w:t>0771-2618199、0771-2618118</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支票、汇票、本票或者银行、保险机构出具的保函原件提交给采购人或者采购代理机构，由采购人或者采购代理机构向供应商出具回执（邮寄方式的除</w:t>
            </w:r>
            <w:r>
              <w:rPr>
                <w:rFonts w:hint="eastAsia" w:ascii="宋体" w:hAnsi="宋体"/>
                <w:color w:val="auto"/>
                <w:szCs w:val="21"/>
                <w:highlight w:val="none"/>
              </w:rPr>
              <w:t>外），并妥善保管。</w:t>
            </w:r>
          </w:p>
          <w:p>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5.竞标保证金采用银行、保险机构出具的保函为有条件保函的，视为无效竞标保证金。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pPr>
              <w:snapToGrid w:val="0"/>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首次响应文件开启时间详见“竞争性谈判公告”</w:t>
            </w:r>
          </w:p>
          <w:p>
            <w:pPr>
              <w:snapToGrid w:val="0"/>
              <w:spacing w:line="360" w:lineRule="auto"/>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asciiTheme="minorEastAsia" w:hAnsiTheme="minorEastAsia" w:eastAsiaTheme="minorEastAsia"/>
                <w:color w:val="auto"/>
                <w:highlight w:val="none"/>
                <w:u w:val="single"/>
              </w:rPr>
              <w:t>30</w:t>
            </w:r>
            <w:r>
              <w:rPr>
                <w:rFonts w:hint="eastAsia" w:asciiTheme="minorEastAsia" w:hAnsiTheme="minorEastAsia" w:eastAsiaTheme="minorEastAsia"/>
                <w:color w:val="auto"/>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pPr>
              <w:spacing w:line="360" w:lineRule="auto"/>
              <w:contextualSpacing/>
              <w:rPr>
                <w:rFonts w:ascii="宋体" w:hAnsi="宋体" w:cs="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带“▲”的实质性要求正偏离项数多的优先、均无正偏离或者正偏离项数一致时负偏离项数少的优先、质保期长优先、交货期短优先、故障响应时间短优先的顺序推荐。</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auto"/>
                <w:szCs w:val="21"/>
                <w:highlight w:val="none"/>
              </w:rPr>
            </w:pPr>
          </w:p>
        </w:tc>
        <w:tc>
          <w:tcPr>
            <w:tcW w:w="791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hAnsi="宋体" w:cs="宋体"/>
                <w:color w:val="auto"/>
                <w:szCs w:val="21"/>
                <w:highlight w:val="none"/>
                <w:u w:val="single"/>
              </w:rPr>
              <w:t>0</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本项目不收取履约保证金。</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本项目收取履约保证金，具体规定如下：</w:t>
            </w:r>
          </w:p>
          <w:p>
            <w:pPr>
              <w:pStyle w:val="8"/>
              <w:spacing w:line="400" w:lineRule="exact"/>
              <w:rPr>
                <w:rFonts w:ascii="宋体" w:hAnsi="宋体" w:cs="宋体"/>
                <w:color w:val="auto"/>
                <w:szCs w:val="21"/>
                <w:highlight w:val="none"/>
              </w:rPr>
            </w:pPr>
            <w:r>
              <w:rPr>
                <w:rFonts w:hint="eastAsia" w:ascii="宋体" w:hAnsi="宋体" w:cs="宋体"/>
                <w:color w:val="auto"/>
                <w:szCs w:val="21"/>
                <w:highlight w:val="none"/>
              </w:rPr>
              <w:t>履约保证金金额：成交金额的</w:t>
            </w:r>
            <w:r>
              <w:rPr>
                <w:rFonts w:ascii="宋体" w:hAnsi="宋体" w:cs="宋体"/>
                <w:color w:val="auto"/>
                <w:szCs w:val="21"/>
                <w:highlight w:val="none"/>
                <w:u w:val="single"/>
              </w:rPr>
              <w:t>2</w:t>
            </w:r>
            <w:r>
              <w:rPr>
                <w:rFonts w:hint="eastAsia" w:ascii="宋体" w:hAnsi="宋体" w:cs="宋体"/>
                <w:color w:val="auto"/>
                <w:szCs w:val="21"/>
                <w:highlight w:val="none"/>
              </w:rPr>
              <w:t>%。</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pPr>
              <w:spacing w:line="400" w:lineRule="exact"/>
              <w:contextualSpacing/>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质保期结束后，保证金收取单位在收到合格材料后退还。</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如：由成交供应商向履约保证金收取单位提供《广西壮族自治区政府采购项目合同验收书》（详见桂财采〔2015〕22号），保证金收取单位在收到合格材料后10个工作日内办理退还手续（不计利息）。</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开户名称：成交后提供</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开户银行：成交后提供</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银行账号：成交后提供</w:t>
            </w: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开户行行号：成交后提供</w:t>
            </w:r>
          </w:p>
          <w:p>
            <w:pPr>
              <w:spacing w:line="400" w:lineRule="exact"/>
              <w:contextualSpacing/>
              <w:rPr>
                <w:rFonts w:ascii="宋体" w:hAnsi="宋体" w:cs="宋体"/>
                <w:color w:val="auto"/>
                <w:szCs w:val="21"/>
                <w:highlight w:val="none"/>
              </w:rPr>
            </w:pPr>
          </w:p>
          <w:p>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备注：</w:t>
            </w:r>
          </w:p>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w:t>
            </w:r>
            <w:bookmarkStart w:id="134" w:name="_Hlk54170335"/>
            <w:r>
              <w:rPr>
                <w:rFonts w:hint="eastAsia" w:ascii="宋体" w:hAnsi="宋体" w:cs="宋体"/>
                <w:b/>
                <w:color w:val="auto"/>
                <w:szCs w:val="21"/>
                <w:highlight w:val="none"/>
              </w:rPr>
              <w:t xml:space="preserve"> 根据《广西壮族自治区财政厅关于持续优化政府采购营商环境推动高质量发展的通知》（桂财采〔2024〕55号）的规定，履约保证金</w:t>
            </w:r>
            <w:bookmarkEnd w:id="134"/>
            <w:r>
              <w:rPr>
                <w:rFonts w:hint="eastAsia" w:ascii="宋体" w:hAnsi="宋体" w:cs="宋体"/>
                <w:b/>
                <w:color w:val="auto"/>
                <w:szCs w:val="21"/>
                <w:highlight w:val="none"/>
              </w:rPr>
              <w:t>数额不得超过政府采购合同金额的5%；对中小企业收取的履约保证金数额不得超过政府采购合同金额的2%。</w:t>
            </w:r>
          </w:p>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3.采用银行、保险机构出具的保函的，必须为无条件保函，否则不予签订合同。</w:t>
            </w:r>
          </w:p>
          <w:p>
            <w:pPr>
              <w:pStyle w:val="10"/>
              <w:rPr>
                <w:color w:val="auto"/>
                <w:highlight w:val="none"/>
              </w:rPr>
            </w:pPr>
            <w:r>
              <w:rPr>
                <w:rFonts w:hint="eastAsia" w:ascii="宋体" w:hAnsi="宋体" w:cs="宋体"/>
                <w:b/>
                <w:color w:val="auto"/>
                <w:szCs w:val="21"/>
                <w:highlight w:val="none"/>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签订合同携带的证明材料：</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16"/>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云之龙咨询集团有限公司南宁分公司</w:t>
            </w:r>
            <w:r>
              <w:rPr>
                <w:rFonts w:hint="eastAsia" w:hAnsi="宋体" w:cs="宋体"/>
                <w:color w:val="auto"/>
                <w:kern w:val="2"/>
                <w:sz w:val="21"/>
                <w:highlight w:val="none"/>
              </w:rPr>
              <w:t>，联系电话：0771-2618199、0771-2618118，通讯地址：南宁市良庆区云英路15号3号楼云之龙咨询集团大厦6楼</w:t>
            </w:r>
          </w:p>
          <w:p>
            <w:pPr>
              <w:pStyle w:val="16"/>
              <w:snapToGrid w:val="0"/>
              <w:spacing w:line="360" w:lineRule="auto"/>
              <w:rPr>
                <w:rFonts w:hAnsi="宋体" w:cs="宋体"/>
                <w:color w:val="auto"/>
                <w:kern w:val="2"/>
                <w:sz w:val="21"/>
                <w:highlight w:val="none"/>
              </w:rPr>
            </w:pPr>
            <w:r>
              <w:rPr>
                <w:rFonts w:hint="eastAsia" w:hAnsi="宋体" w:cs="宋体"/>
                <w:color w:val="auto"/>
                <w:sz w:val="21"/>
                <w:highlight w:val="none"/>
              </w:rPr>
              <w:t>业务时间：工作日每天上午</w:t>
            </w:r>
            <w:r>
              <w:rPr>
                <w:rFonts w:hAnsi="宋体" w:cs="宋体"/>
                <w:color w:val="auto"/>
                <w:sz w:val="21"/>
                <w:highlight w:val="none"/>
              </w:rPr>
              <w:t>8</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分到</w:t>
            </w:r>
            <w:r>
              <w:rPr>
                <w:rFonts w:hAnsi="宋体" w:cs="宋体"/>
                <w:color w:val="auto"/>
                <w:sz w:val="21"/>
                <w:highlight w:val="none"/>
              </w:rPr>
              <w:t>12</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分，下午</w:t>
            </w:r>
            <w:r>
              <w:rPr>
                <w:rFonts w:hAnsi="宋体" w:cs="宋体"/>
                <w:color w:val="auto"/>
                <w:sz w:val="21"/>
                <w:highlight w:val="none"/>
              </w:rPr>
              <w:t>3</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分到</w:t>
            </w:r>
            <w:r>
              <w:rPr>
                <w:rFonts w:hAnsi="宋体" w:cs="宋体"/>
                <w:color w:val="auto"/>
                <w:sz w:val="21"/>
                <w:highlight w:val="none"/>
              </w:rPr>
              <w:t>6</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pPr>
              <w:pStyle w:val="16"/>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pPr>
              <w:pStyle w:val="16"/>
              <w:snapToGrid w:val="0"/>
              <w:spacing w:line="360" w:lineRule="auto"/>
              <w:rPr>
                <w:rFonts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本项目代理服务费按如下规定由</w:t>
            </w:r>
            <w:r>
              <w:rPr>
                <w:rFonts w:hint="eastAsia" w:hAnsi="宋体" w:cs="宋体"/>
                <w:color w:val="auto"/>
                <w:sz w:val="21"/>
                <w:highlight w:val="none"/>
                <w:u w:val="single"/>
              </w:rPr>
              <w:t>成交供应商</w:t>
            </w:r>
            <w:r>
              <w:rPr>
                <w:rFonts w:hint="eastAsia" w:hAnsi="宋体" w:cs="宋体"/>
                <w:color w:val="auto"/>
                <w:sz w:val="21"/>
                <w:highlight w:val="none"/>
              </w:rPr>
              <w:t>一次性向采购代理机构支付。</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□采购人支付。</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pPr>
              <w:pStyle w:val="16"/>
              <w:snapToGrid w:val="0"/>
              <w:spacing w:line="360" w:lineRule="auto"/>
              <w:rPr>
                <w:rFonts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以分标（</w:t>
            </w:r>
            <w:r>
              <w:rPr>
                <w:rFonts w:hint="eastAsia" w:ascii="MS Mincho" w:hAnsi="MS Mincho" w:eastAsia="MS Mincho" w:cs="MS Mincho"/>
                <w:color w:val="auto"/>
                <w:sz w:val="21"/>
                <w:highlight w:val="none"/>
              </w:rPr>
              <w:t>☑</w:t>
            </w:r>
            <w:r>
              <w:rPr>
                <w:rFonts w:hint="eastAsia" w:hAnsi="宋体" w:cs="宋体"/>
                <w:color w:val="auto"/>
                <w:sz w:val="21"/>
                <w:highlight w:val="none"/>
              </w:rPr>
              <w:t>成交金额/</w:t>
            </w:r>
            <w:bookmarkStart w:id="135" w:name="OLE_LINK17"/>
            <w:r>
              <w:rPr>
                <w:rFonts w:hint="eastAsia" w:hAnsi="宋体" w:cs="宋体"/>
                <w:color w:val="auto"/>
                <w:sz w:val="21"/>
                <w:highlight w:val="none"/>
              </w:rPr>
              <w:t>□</w:t>
            </w:r>
            <w:bookmarkEnd w:id="135"/>
            <w:r>
              <w:rPr>
                <w:rFonts w:hint="eastAsia" w:hAnsi="宋体" w:cs="宋体"/>
                <w:color w:val="auto"/>
                <w:sz w:val="21"/>
                <w:highlight w:val="none"/>
              </w:rPr>
              <w:t>采购预算/□暂定成交金额/□其他）为计费额，按本须知正文第3</w:t>
            </w:r>
            <w:r>
              <w:rPr>
                <w:rFonts w:hAnsi="宋体" w:cs="宋体"/>
                <w:color w:val="auto"/>
                <w:sz w:val="21"/>
                <w:highlight w:val="none"/>
              </w:rPr>
              <w:t>5</w:t>
            </w:r>
            <w:r>
              <w:rPr>
                <w:rFonts w:hint="eastAsia" w:hAnsi="宋体" w:cs="宋体"/>
                <w:color w:val="auto"/>
                <w:sz w:val="21"/>
                <w:highlight w:val="none"/>
              </w:rPr>
              <w:t>.1条规定的（</w:t>
            </w:r>
            <w:r>
              <w:rPr>
                <w:rFonts w:hint="eastAsia" w:ascii="MS Mincho" w:hAnsi="MS Mincho" w:eastAsia="MS Mincho" w:cs="MS Mincho"/>
                <w:color w:val="auto"/>
                <w:sz w:val="21"/>
                <w:highlight w:val="none"/>
              </w:rPr>
              <w:t>☑</w:t>
            </w:r>
            <w:r>
              <w:rPr>
                <w:rFonts w:hint="eastAsia" w:hAnsi="宋体" w:cs="宋体"/>
                <w:color w:val="auto"/>
                <w:sz w:val="21"/>
                <w:highlight w:val="none"/>
              </w:rPr>
              <w:t>货物类/□服务类/□工程类）标准采用差额定率累进法计算出收费基准价格，采购代理收费以（</w:t>
            </w:r>
            <w:r>
              <w:rPr>
                <w:rFonts w:hint="eastAsia" w:ascii="MS Mincho" w:hAnsi="MS Mincho" w:eastAsia="MS Mincho" w:cs="MS Mincho"/>
                <w:color w:val="auto"/>
                <w:sz w:val="21"/>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w:t>
            </w:r>
          </w:p>
          <w:p>
            <w:pPr>
              <w:pStyle w:val="16"/>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开户名称：云之龙咨询集团有限公司</w:t>
            </w:r>
          </w:p>
          <w:p>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银行账号：8113001013400293071</w:t>
            </w:r>
          </w:p>
          <w:p>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开户银行：中信银行南宁东葛支行</w:t>
            </w:r>
          </w:p>
          <w:p>
            <w:pPr>
              <w:pStyle w:val="16"/>
              <w:snapToGrid w:val="0"/>
              <w:spacing w:line="360" w:lineRule="auto"/>
              <w:rPr>
                <w:rFonts w:hAnsi="宋体" w:cs="宋体"/>
                <w:color w:val="auto"/>
                <w:sz w:val="21"/>
                <w:highlight w:val="none"/>
                <w:u w:val="single"/>
              </w:rPr>
            </w:pPr>
            <w:r>
              <w:rPr>
                <w:rFonts w:hint="eastAsia" w:hAnsi="宋体" w:cs="宋体"/>
                <w:color w:val="auto"/>
                <w:sz w:val="21"/>
                <w:highlight w:val="none"/>
              </w:rPr>
              <w:t>开户行行号：302611029137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pPr>
              <w:pStyle w:val="16"/>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pPr>
              <w:pStyle w:val="16"/>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2.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5.本谈判文件所称的“以上”“以下”“以内”“届满”，包括本数；所称的“不满”“超过”“以外”，不包括本数。</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pPr>
        <w:spacing w:line="400" w:lineRule="exact"/>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bookmarkStart w:id="136" w:name="_Hlk66782192"/>
      <w:r>
        <w:rPr>
          <w:rFonts w:hint="eastAsia" w:ascii="宋体" w:hAnsi="宋体" w:cs="宋体"/>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36"/>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pPr>
        <w:spacing w:line="360" w:lineRule="auto"/>
        <w:ind w:firstLine="420" w:firstLineChars="200"/>
        <w:rPr>
          <w:rFonts w:ascii="宋体" w:hAnsi="宋体" w:cs="宋体"/>
          <w:color w:val="auto"/>
          <w:szCs w:val="21"/>
          <w:highlight w:val="none"/>
        </w:rPr>
      </w:pPr>
      <w:bookmarkStart w:id="137" w:name="_Toc254970673"/>
      <w:bookmarkStart w:id="138" w:name="_Toc254970532"/>
      <w:r>
        <w:rPr>
          <w:rFonts w:hint="eastAsia" w:ascii="宋体" w:hAnsi="宋体" w:cs="宋体"/>
          <w:color w:val="auto"/>
          <w:szCs w:val="21"/>
          <w:highlight w:val="none"/>
        </w:rPr>
        <w:t>6.1本项目不允许转包。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137"/>
      <w:bookmarkEnd w:id="138"/>
    </w:p>
    <w:p>
      <w:pPr>
        <w:spacing w:line="360" w:lineRule="auto"/>
        <w:ind w:firstLine="420" w:firstLineChars="200"/>
        <w:rPr>
          <w:rFonts w:ascii="宋体" w:hAnsi="宋体" w:cs="宋体"/>
          <w:color w:val="auto"/>
          <w:szCs w:val="21"/>
          <w:highlight w:val="none"/>
        </w:rPr>
      </w:pPr>
      <w:bookmarkStart w:id="139" w:name="_8.1提供相同品牌产品且通过资格审查、符合性审查的不同投标人参加同一合"/>
      <w:bookmarkEnd w:id="139"/>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140" w:name="_Hlk54682620"/>
      <w:r>
        <w:rPr>
          <w:rFonts w:hint="eastAsia" w:ascii="宋体" w:hAnsi="宋体" w:cs="宋体"/>
          <w:color w:val="auto"/>
          <w:szCs w:val="21"/>
          <w:highlight w:val="none"/>
        </w:rPr>
        <w:t>，将报同级监督管理部门</w:t>
      </w:r>
      <w:bookmarkEnd w:id="140"/>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olor w:val="auto"/>
          <w:highlight w:val="none"/>
        </w:rPr>
      </w:pPr>
      <w:bookmarkStart w:id="141" w:name="_Toc254970675"/>
      <w:bookmarkStart w:id="142" w:name="_Toc254970534"/>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141"/>
      <w:bookmarkEnd w:id="142"/>
    </w:p>
    <w:p>
      <w:pPr>
        <w:spacing w:line="360" w:lineRule="auto"/>
        <w:jc w:val="center"/>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pPr>
        <w:spacing w:line="360" w:lineRule="auto"/>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竞标有效期应由供应商按“供应商须知前附表”规定的期限作出响应。承诺的竞标有效期低于采购文件规定期限的，供应商的响应文件作无效处理。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未成交供应商的竞标保证金自成交通知书发出之日起5个工作日内退还；成交供应商的竞标保证金自签订合同之日起5个工作日内退还。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”的文件，是否接受电子备份响应文件详见</w:t>
      </w:r>
      <w:r>
        <w:rPr>
          <w:rFonts w:hint="eastAsia" w:hAnsi="宋体"/>
          <w:bCs/>
          <w:color w:val="auto"/>
          <w:szCs w:val="21"/>
          <w:highlight w:val="none"/>
        </w:rPr>
        <w:t>“供应商须知前附表”。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napToGrid w:val="0"/>
        <w:spacing w:line="360" w:lineRule="auto"/>
        <w:ind w:firstLine="420"/>
        <w:jc w:val="left"/>
        <w:rPr>
          <w:rFonts w:ascii="宋体" w:hAnsi="宋体"/>
          <w:color w:val="auto"/>
          <w:szCs w:val="21"/>
          <w:highlight w:val="none"/>
        </w:rPr>
      </w:pPr>
      <w:bookmarkStart w:id="143" w:name="_Toc254970543"/>
      <w:bookmarkStart w:id="144"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143"/>
    <w:bookmarkEnd w:id="144"/>
    <w:p>
      <w:pPr>
        <w:pStyle w:val="65"/>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pPr>
        <w:spacing w:line="360" w:lineRule="auto"/>
        <w:ind w:left="420" w:firstLine="420"/>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pPr>
        <w:spacing w:line="360" w:lineRule="auto"/>
        <w:ind w:firstLine="420" w:firstLineChars="200"/>
        <w:rPr>
          <w:color w:val="auto"/>
          <w:highlight w:val="none"/>
        </w:rPr>
      </w:pPr>
      <w:r>
        <w:rPr>
          <w:rFonts w:hint="eastAsia"/>
          <w:color w:val="auto"/>
          <w:highlight w:val="none"/>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8"/>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（3）在采购过程中符合竞争要求的供应商或者报价未超过采购预算的供应商不足3家的，但“第四章评审程序和评定成交的标准”第3.7条规定的情形除外。</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pStyle w:val="8"/>
        <w:spacing w:line="360" w:lineRule="auto"/>
        <w:ind w:firstLine="420" w:firstLineChars="200"/>
        <w:rPr>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pStyle w:val="6"/>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807"/>
        <w:gridCol w:w="166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Borders>
              <w:tl2br w:val="single" w:color="auto" w:sz="4" w:space="0"/>
            </w:tcBorders>
          </w:tcPr>
          <w:p>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807"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6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807"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85"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80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85"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807"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85"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80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85"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0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85"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80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6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807"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6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85"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807"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85"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80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85"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80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6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85"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注：</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pPr>
        <w:pStyle w:val="16"/>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其他事</w:t>
      </w:r>
      <w:r>
        <w:rPr>
          <w:rFonts w:hint="eastAsia" w:hAnsi="宋体"/>
          <w:color w:val="auto"/>
          <w:highlight w:val="none"/>
        </w:rPr>
        <w:t>项详见“供应商须知前附表”。</w:t>
      </w:r>
    </w:p>
    <w:p>
      <w:pPr>
        <w:pStyle w:val="16"/>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145"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b/>
          <w:bCs/>
          <w:color w:val="auto"/>
          <w:sz w:val="18"/>
          <w:szCs w:val="18"/>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145"/>
      <w:r>
        <w:rPr>
          <w:rFonts w:ascii="黑体" w:hAnsi="黑体" w:eastAsia="黑体" w:cs="黑体"/>
          <w:bCs/>
          <w:color w:val="auto"/>
          <w:sz w:val="32"/>
          <w:szCs w:val="32"/>
          <w:highlight w:val="none"/>
        </w:rPr>
        <w:br w:type="page"/>
      </w:r>
    </w:p>
    <w:p>
      <w:pPr>
        <w:jc w:val="left"/>
        <w:rPr>
          <w:rFonts w:hAnsi="宋体"/>
          <w:b/>
          <w:color w:val="auto"/>
          <w:sz w:val="32"/>
          <w:szCs w:val="32"/>
          <w:highlight w:val="none"/>
        </w:rPr>
      </w:pPr>
    </w:p>
    <w:p>
      <w:pPr>
        <w:pStyle w:val="2"/>
        <w:jc w:val="center"/>
        <w:rPr>
          <w:color w:val="auto"/>
          <w:highlight w:val="none"/>
        </w:rPr>
      </w:pPr>
      <w:bookmarkStart w:id="146" w:name="_Toc14190"/>
      <w:r>
        <w:rPr>
          <w:rFonts w:hint="eastAsia"/>
          <w:color w:val="auto"/>
          <w:highlight w:val="none"/>
        </w:rPr>
        <w:t>第三章采购需求</w:t>
      </w:r>
      <w:bookmarkEnd w:id="146"/>
    </w:p>
    <w:p>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pPr>
        <w:spacing w:line="360" w:lineRule="auto"/>
        <w:jc w:val="left"/>
        <w:rPr>
          <w:color w:val="auto"/>
          <w:highlight w:val="none"/>
        </w:rPr>
      </w:pPr>
      <w:r>
        <w:rPr>
          <w:rFonts w:hint="eastAsia" w:ascii="宋体" w:hAnsi="宋体" w:cs="宋体"/>
          <w:color w:val="auto"/>
          <w:szCs w:val="21"/>
          <w:highlight w:val="none"/>
        </w:rPr>
        <w:t>说明：</w:t>
      </w:r>
    </w:p>
    <w:p>
      <w:pPr>
        <w:spacing w:line="380" w:lineRule="exact"/>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二、网络安全专用产品”内“产品类别”中的所描述的产品，但不属于所列“产品描述”情形的，应提供相应的说明及证明材料。</w:t>
      </w:r>
    </w:p>
    <w:p>
      <w:pPr>
        <w:spacing w:line="38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pPr>
        <w:spacing w:line="38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pPr>
        <w:spacing w:line="38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pPr>
        <w:spacing w:line="380" w:lineRule="exact"/>
        <w:ind w:firstLine="424" w:firstLineChars="202"/>
        <w:jc w:val="left"/>
        <w:rPr>
          <w:color w:val="auto"/>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pPr>
        <w:spacing w:line="380" w:lineRule="exact"/>
        <w:ind w:firstLine="424" w:firstLineChars="202"/>
        <w:jc w:val="left"/>
        <w:rPr>
          <w:color w:val="auto"/>
          <w:highlight w:val="none"/>
        </w:rPr>
      </w:pPr>
    </w:p>
    <w:p>
      <w:pPr>
        <w:spacing w:line="380" w:lineRule="exact"/>
        <w:ind w:firstLine="424" w:firstLineChars="202"/>
        <w:jc w:val="left"/>
        <w:rPr>
          <w:color w:val="auto"/>
          <w:highlight w:val="none"/>
        </w:rPr>
      </w:pPr>
    </w:p>
    <w:p>
      <w:pPr>
        <w:spacing w:line="380" w:lineRule="exact"/>
        <w:ind w:firstLine="424" w:firstLineChars="202"/>
        <w:jc w:val="left"/>
        <w:rPr>
          <w:color w:val="auto"/>
          <w:highlight w:val="none"/>
        </w:rPr>
      </w:pPr>
      <w:r>
        <w:rPr>
          <w:color w:val="auto"/>
          <w:highlight w:val="none"/>
        </w:rPr>
        <w:t>A分标</w:t>
      </w:r>
    </w:p>
    <w:tbl>
      <w:tblPr>
        <w:tblStyle w:val="28"/>
        <w:tblW w:w="8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38"/>
        <w:gridCol w:w="312"/>
        <w:gridCol w:w="851"/>
        <w:gridCol w:w="708"/>
        <w:gridCol w:w="6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vAlign w:val="center"/>
          </w:tcPr>
          <w:p>
            <w:pPr>
              <w:pStyle w:val="27"/>
              <w:ind w:left="0" w:firstLine="0" w:firstLineChars="0"/>
              <w:jc w:val="left"/>
              <w:rPr>
                <w:b/>
                <w:bCs/>
                <w:color w:val="auto"/>
                <w:highlight w:val="none"/>
              </w:rPr>
            </w:pPr>
            <w:bookmarkStart w:id="147" w:name="OLE_LINK1"/>
            <w:bookmarkStart w:id="148" w:name="OLE_LINK2"/>
            <w:bookmarkStart w:id="149" w:name="_Hlk100245950"/>
            <w:bookmarkStart w:id="150" w:name="_Hlk48036094"/>
            <w:bookmarkStart w:id="151" w:name="OLE_LINK37"/>
            <w:r>
              <w:rPr>
                <w:rFonts w:hint="eastAsia"/>
                <w:b/>
                <w:color w:val="auto"/>
                <w:szCs w:val="21"/>
                <w:highlight w:val="none"/>
              </w:rPr>
              <w:t>本分标的核心产品为下表的第</w:t>
            </w:r>
            <w:r>
              <w:rPr>
                <w:b/>
                <w:color w:val="auto"/>
                <w:szCs w:val="21"/>
                <w:highlight w:val="none"/>
              </w:rPr>
              <w:t>1</w:t>
            </w:r>
            <w:r>
              <w:rPr>
                <w:rFonts w:hint="eastAsia"/>
                <w:b/>
                <w:color w:val="auto"/>
                <w:szCs w:val="21"/>
                <w:highlight w:val="none"/>
              </w:rPr>
              <w:t>项产品“风源及调控装置”。</w:t>
            </w:r>
            <w:bookmarkEnd w:id="147"/>
            <w:bookmarkEnd w:id="1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0" w:type="dxa"/>
            <w:gridSpan w:val="2"/>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51"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08"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6003" w:type="dxa"/>
            <w:shd w:val="clear" w:color="auto" w:fill="auto"/>
            <w:vAlign w:val="center"/>
          </w:tcPr>
          <w:p>
            <w:pPr>
              <w:pStyle w:val="27"/>
              <w:ind w:left="0" w:firstLine="0" w:firstLineChars="0"/>
              <w:jc w:val="center"/>
              <w:rPr>
                <w:rFonts w:cs="宋体"/>
                <w:color w:val="auto"/>
                <w:sz w:val="21"/>
                <w:szCs w:val="21"/>
                <w:highlight w:val="none"/>
              </w:rPr>
            </w:pPr>
            <w:r>
              <w:rPr>
                <w:rFonts w:hint="eastAsia" w:cs="宋体"/>
                <w:color w:val="auto"/>
                <w:sz w:val="21"/>
                <w:szCs w:val="21"/>
                <w:highlight w:val="none"/>
              </w:rPr>
              <w:t>技术要求</w:t>
            </w:r>
          </w:p>
        </w:tc>
      </w:tr>
      <w:bookmarkEnd w:id="149"/>
      <w:bookmarkEnd w:id="15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风源及调控装置</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功能：用于为吹吸式通风实验系统提供风源动力，风源风量大小可根据实验需求进行变频调节。</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▲1.含风源动力系统、通风管道系统和通风调控系统；【响应文件中提供产品介绍彩页或技术说明书或技术白皮书或检测机构出具的检测报告（包括注册证等）等复印件】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2.风源系统提供通风风量≥4000m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/h，风源额定功率≤6kw，风量大小可根据实验需求变频调节；</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3.通风管道采用多段模块化设计方案，各段通风管道采用便捷拆装的连接方式；</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4.通风管道采用碳钢喷塑或碳钢喷漆材质，管道颜色根据采购人需求定制（项目成交后协商）；</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▲5.通风管道各支路管段应设置静压测孔，主管设置管道内风压和风量测孔；【响应文件中提供产品介绍彩页或技术说明书或技术白皮书或检测机构出具的检测报告（包括注册证等）等复印件】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▲6.通风管道的三通采用变径三通管设计，主管上夹角应≤15°，下部支管和主管夹角为30°；【响应文件中提供产品介绍彩页或技术说明书或技术白皮书或检测机构出具的检测报告（包括注册证等）等复印件】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为满足不同通风平台实验需求，通风管道设置≥4个实验排风支路，每个支路管道设置风量调节阀；【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▲8.通风管道主管和各支路风管设置电子风速风量检测装置。【响应文件中提供产品介绍彩页或技术说明书或技术白皮书或检测机构出具的检测报告（包括注册证等）等复印件】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尘毒实验排空净化保障装置</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一、功能：与风源动力系统组合使用，用于为吹吸式通风实验系统提供尘毒净化保障的功能。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1.包含粉尘和有毒气体两级净化处理装置；</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▲2.污染气体净化模块除尘器净化风量≥4000m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/h；【响应文件中提供产品介绍彩页或技术说明书或技术白皮书或检测机构出具的检测报告（包括注册证等）等复印件】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▲3.污染气体净化模块粉尘过滤效率≥99%；【响应文件中提供产品介绍彩页或技术说明书或技术白皮书或检测机构出具的检测报告（包括注册证等）等复印件】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▲4.除尘器末端需预留一路送风实验接口，支路设风量调节阀。【响应文件中提供产品介绍彩页或技术说明书或技术白皮书或检测机构出具的检测报告（包括注册证等）等复印件】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改造符合现场实际需求和功能标准的实验空间，改造内容包括：新建5.5×3.2×3.4米隔声室（含配电、照明、防水隔热顶棚、隔声降噪门、隔声观察窗、含消音进排风口、踏步梯、穿管降噪设施）；隔声室铺设符合现场实际情况和0.75吨净化装置承重要求的地面负载，并设置三重减振措施满足净化装置减振要求；响应文件中须提供设计图纸作为技术支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吹吸式通风实验装置</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一、功能：用于开展垂直流和水平流吹吸式通风、局部排风等通风技术实验，可为开展尘毒危害通风控制技术和装备的研发提供基础实验条件。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▲1.含垂直流吹吸式通风平台、水平流吹吸式通风平台、外部伞形罩通风平台，各通风实验平台采用碳钢喷塑或碳钢喷漆材料制作；</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▲2.垂直流吹吸式通风平台和水平流吹吸式通风平台的均匀送风装置和均匀排风装置的送排风风流为均匀风流，当排风风速在0.4-0.6m/s之间时，排风面排风风速不均匀度≤0.25；</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3.垂直流吹吸式通风平台含均匀流上送风装置和均匀流下排风装置：</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▲3.1 垂直流吹吸式通风平台均匀流上送风装置和均匀流下排风装置可根据实验需求单独使用；</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3.2 均匀流上送风装置尺寸应为：长度1.1-1.3m，宽度0.5-0.7m；</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3.3均匀流送风装置安装高度≥2m，且高度可手动可调；</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3.4 均匀流下排风装置工作台尺寸应</w:t>
            </w:r>
            <w:r>
              <w:rPr>
                <w:rStyle w:val="128"/>
                <w:rFonts w:hint="eastAsia"/>
                <w:color w:val="auto"/>
                <w:sz w:val="21"/>
                <w:szCs w:val="21"/>
                <w:highlight w:val="none"/>
                <w:lang w:val="en-US" w:eastAsia="zh-CN"/>
              </w:rPr>
              <w:t>约</w:t>
            </w:r>
            <w:r>
              <w:rPr>
                <w:rStyle w:val="128"/>
                <w:rFonts w:hint="default"/>
                <w:color w:val="auto"/>
                <w:sz w:val="21"/>
                <w:szCs w:val="21"/>
                <w:highlight w:val="none"/>
              </w:rPr>
              <w:t>为：长度1.2*宽度0.6m。</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4.水平流吹吸式通风实验装置含均匀送风装置和均匀排风装置和工作台。</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▲4.1 均匀送风装置和均匀排风装置均可根据实验需求单独使用开展实验研究；</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4.2 均匀送风装置送风罩罩口尺寸为：长度0.6-0.8m；宽度0.6-0.8m；</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▲4.3 均匀排风装置尺寸为：长度0.6-0.8m,宽度0.6-0.8m；当送风风速在0.4-0.6m/s之间时，送风面风速不均匀度≤0.25；</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4.4 工作台尺寸</w:t>
            </w:r>
            <w:r>
              <w:rPr>
                <w:rStyle w:val="128"/>
                <w:rFonts w:hint="eastAsia"/>
                <w:color w:val="auto"/>
                <w:sz w:val="21"/>
                <w:szCs w:val="21"/>
                <w:highlight w:val="none"/>
                <w:lang w:val="en-US" w:eastAsia="zh-CN"/>
              </w:rPr>
              <w:t>约</w:t>
            </w:r>
            <w:r>
              <w:rPr>
                <w:rStyle w:val="128"/>
                <w:rFonts w:hint="default"/>
                <w:color w:val="auto"/>
                <w:sz w:val="21"/>
                <w:szCs w:val="21"/>
                <w:highlight w:val="none"/>
              </w:rPr>
              <w:t>为：长度1.9*宽度0.7m；</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5.外部伞形罩通风平台含伞型排风罩和工作台；</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5.1伞型排风罩排风口的尺寸为：长度0.4-0.6m，宽度0.4-0.6m；</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5.2工作台尺寸为：长度1.9-2.1m；宽度0.7-0.9m。</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二、改造符合现场实际需求的实验空间，改造内容包括：场地原有设施拆除、钢结构改造、地面找平及排水移位；新建13.3×5.5×3.5米实验室（含防水隔热顶棚、照明、2个钢化玻璃窗户、双开视窗门、复合地板）；室内温度常年达到≤26℃；</w:t>
            </w:r>
            <w:r>
              <w:rPr>
                <w:rStyle w:val="128"/>
                <w:color w:val="auto"/>
                <w:sz w:val="21"/>
                <w:szCs w:val="21"/>
                <w:highlight w:val="none"/>
              </w:rPr>
              <w:t>响应文件中须提供设计图纸作为技术支持材料</w:t>
            </w:r>
            <w:r>
              <w:rPr>
                <w:rStyle w:val="128"/>
                <w:rFonts w:hint="default"/>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多通道风速仪</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功能：用于同时精准检测通风系统中多点的风速和温度，为通风效果提供依据。</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▲1.含多通道风速仪主机和≥8个无指向性风速和温度在线检测探头；</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2. 配置测试软件，可显示检测结果的实时数据和平均值，测试结果可实时图表显示，也可导出Excel文件数据；</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▲3.风速测试范围为0.01—25m/s；测试精度≤读数值的±2%；</w:t>
            </w:r>
            <w:r>
              <w:rPr>
                <w:rStyle w:val="128"/>
                <w:color w:val="auto"/>
                <w:sz w:val="21"/>
                <w:szCs w:val="21"/>
                <w:highlight w:val="none"/>
              </w:rPr>
              <w:t>【响应文件中提供产品介绍彩页或技术说明书或技术白皮书或检测机构出具的检测报告（包括注册证等）等复印件】</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4.风速检测时间间隔≤到0.1秒，检测次数可在1-36000次内设置；</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5.温度测试范围为0-100℃，测试精度≤±0.5℃；</w:t>
            </w:r>
          </w:p>
          <w:p>
            <w:pPr>
              <w:widowControl/>
              <w:spacing w:line="400" w:lineRule="exact"/>
              <w:ind w:firstLine="420" w:firstLineChars="200"/>
              <w:jc w:val="left"/>
              <w:textAlignment w:val="center"/>
              <w:rPr>
                <w:rStyle w:val="128"/>
                <w:rFonts w:hint="default"/>
                <w:color w:val="auto"/>
                <w:sz w:val="21"/>
                <w:szCs w:val="21"/>
                <w:highlight w:val="none"/>
              </w:rPr>
            </w:pPr>
            <w:r>
              <w:rPr>
                <w:rStyle w:val="128"/>
                <w:rFonts w:hint="default"/>
                <w:color w:val="auto"/>
                <w:sz w:val="21"/>
                <w:szCs w:val="21"/>
                <w:highlight w:val="none"/>
              </w:rPr>
              <w:t>6.多通道通风参数在线测试数据线长度≥15m。</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合同签订期</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质量保证</w:t>
            </w:r>
          </w:p>
        </w:tc>
        <w:tc>
          <w:tcPr>
            <w:tcW w:w="78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国家有关规定或厂家承诺实行“三包”，整机质保期从验收合格之日起不少于1年（如采购需求中有特殊要求的，按特殊要求执行），所提供的货物必须是全新的合格产品，质保期内负责上门维修、更换零部件；质保期过后提供终身维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1.交货时间：合同签订之日起120日历日内交货并安装调试完毕。</w:t>
            </w:r>
          </w:p>
          <w:p>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2.交货地点：广西壮族自治区职业病防治研究院。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合同签订后，成交供应商提交付款申请并经采购人审核，审核同意后采购人可以支付合同金额的5</w:t>
            </w:r>
            <w:r>
              <w:rPr>
                <w:rFonts w:ascii="宋体" w:hAnsi="宋体" w:cs="宋体"/>
                <w:color w:val="auto"/>
                <w:szCs w:val="21"/>
                <w:highlight w:val="none"/>
              </w:rPr>
              <w:t>0%；所有货物到货并初步清点验收后，再支付合同金额的</w:t>
            </w:r>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其余款项在项目验收合格、成交供应商提供100%合同金额的合法发票后的10个工作日内支付。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售后服务要求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1.负责送货上门及安装调试并承担相应费用；分项有服务要求的按分项服务要求。</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2.在交货地点对采购人进行安装调试以及技术培训。技术培训要求满足8小时及以上。</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故障响应时间：电话响应时间要求为7×24小时，出现故障1小时内做出响应，2小时内通过电话、邮件、微信等方式指导采购人排除故障，24小时内到场维修。一般问题应在24小时内解决，重大问题或其它无法迅速解决的问题应在一周内解决。</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4.技术文件：供货时应提供全套、完整的技术资料，包括设备说明书、操作手册、维修说明、产品合格证等技术文件。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5.质量保证期内提供保修并承担相应费用，更换同品牌不低于原价位、规格、型号的部件。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报价及其他要求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竞标报价为采购人指定地点的现场交货价，包括：</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1.货物的价格：包括货款、杂配件、安装调试费、验收费；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4.招标代理服务费、保险费和各项税金。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注：竞标人自行考虑完成项目所需的辅材、杂配件等数量，竞标报价中应包含全部内容，成交后采购人不再另行支付额外费用。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t>验收方式</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ascii="宋体" w:hAnsi="宋体" w:cs="宋体"/>
                <w:color w:val="auto"/>
                <w:sz w:val="21"/>
                <w:szCs w:val="21"/>
                <w:highlight w:val="none"/>
              </w:rPr>
              <w:t>成交供应商安装调试完成后，需现场逐一演示产品的功能，</w:t>
            </w:r>
            <w:r>
              <w:rPr>
                <w:rFonts w:hint="eastAsia" w:ascii="宋体" w:hAnsi="宋体" w:cs="宋体"/>
                <w:color w:val="auto"/>
                <w:kern w:val="2"/>
                <w:sz w:val="21"/>
                <w:szCs w:val="21"/>
                <w:highlight w:val="none"/>
              </w:rPr>
              <w:t>提供不符合竞争性谈判文件规定或者响应文件承诺的和本合同规定的货物，采购人有权拒绝接受。</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sz w:val="21"/>
                <w:szCs w:val="21"/>
                <w:highlight w:val="none"/>
              </w:rPr>
              <w:t>成交供应商</w:t>
            </w:r>
            <w:r>
              <w:rPr>
                <w:rFonts w:hint="eastAsia" w:ascii="宋体" w:hAnsi="宋体" w:cs="宋体"/>
                <w:color w:val="auto"/>
                <w:kern w:val="2"/>
                <w:sz w:val="21"/>
                <w:szCs w:val="21"/>
                <w:highlight w:val="none"/>
              </w:rPr>
              <w:t>应将所提供货物的装箱清单、用户手册、随机资料、工具和备品、备件等交付给采购人，如有缺失应在合理的规定时间内补齐，否则视为逾期交货。</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3.采购人应当在货物达到验收条件后十五个工作日内进行验收。验收合格后由双方签署货物验收单并加盖采购人公章，双方各执一份。</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4.采购人委托采购代理机构组织的验收项目，其验收时间以该项目验收方案确定的验收时间为准，验收结果以该项目验收报告结论为准。在验收过程中发现成交供应商有违约问题，可暂缓资金结算，待违约问题解决后，方可办理资金结算事宜。</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5.采购人对验收有异议的，在验收后五个工作日内以书面形式向成交供应商提出，成交供应商应自收到采购人书面异议后合同约定的时间内及时予以解决。</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验收标准</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1.采购人对成交供应商提交的货物依据竞争性谈判文件上的技术规格要求和国家有关质量标准进行现场签收，外观、说明书符合采购文件技术要求的，给予签收，不合格的不予签收。</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2．项目验收按以下流程进行：</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（1）成交人按采购人要求送货至指定地点，双方一起开箱验货并签字确认。</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（2）成交人按采购人指定的设备安装地点，完成设备的安装与调试。</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（3）成交人提出验收申请，经采购人同意后共同组织验收，签写相应验收意见并签名确认。如对验收存在异议的，可聘请第三方按合同约定组织验收。</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（4）项目验收合格，项目约定产品或服务才正式交接。交接完毕，才作为项目的最终验收。</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3.检查供货范围。成交人提供的产品到达采购人指定现场后，成交人应在采购人单位项目负责人在场情况下，对着供货清单，当面开箱，共同清点、检查外观，作出开箱记录，并对相关产品的型号、规格、数量、性能参数等进行初步核对，双方签字确认。成交人应保证货物到达采购人所在地时完好无损，与合同约定一致，如有缺漏、损坏，由成交人负责调换、补齐或赔偿，否则采购人可拒绝签字确认。</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4．成交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5．采购人需要制造商对成交人交付的产品或服务（包括质量、参数等）进行确认的，制造商应予以配合并出具书面意见，相关配合事项由成交人与制造商协调。</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6．产品包装材料归采购人所有。</w:t>
            </w:r>
          </w:p>
          <w:p>
            <w:pPr>
              <w:pStyle w:val="24"/>
              <w:snapToGrid w:val="0"/>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7．未尽事宜按照《关于印发广西壮族自治区政府采购项目履约验收管理办法的通知》[桂财采〔2015〕22号]以及《财政部关于进一步加强政府采购需求和履约验收管理的指导意见》[财库〔2016〕205号]规定执行。</w:t>
            </w:r>
          </w:p>
          <w:p>
            <w:pPr>
              <w:pStyle w:val="24"/>
              <w:snapToGrid w:val="0"/>
              <w:spacing w:line="400" w:lineRule="exact"/>
              <w:ind w:firstLine="420" w:firstLineChars="200"/>
              <w:rPr>
                <w:rFonts w:ascii="宋体" w:hAnsi="宋体" w:cs="宋体"/>
                <w:color w:val="auto"/>
                <w:sz w:val="21"/>
                <w:szCs w:val="21"/>
                <w:highlight w:val="none"/>
              </w:rPr>
            </w:pPr>
            <w:r>
              <w:rPr>
                <w:rFonts w:hint="eastAsia" w:ascii="宋体" w:hAnsi="宋体" w:cs="宋体"/>
                <w:color w:val="auto"/>
                <w:kern w:val="2"/>
                <w:sz w:val="21"/>
                <w:szCs w:val="21"/>
                <w:highlight w:val="none"/>
              </w:rPr>
              <w:t>8.验收过程中所产生的一切费用均由成交人承担。报价时应考虑相关费用。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知识产权</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竞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管理体系要求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业绩要求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（二）验收要求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合同履行过程中，采购人按照本项目合同及谈判文件、成交供应商响应文件承诺进行验收（或采购人有权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pPr>
              <w:tabs>
                <w:tab w:val="left" w:pos="180"/>
                <w:tab w:val="left" w:pos="1620"/>
              </w:tabs>
              <w:spacing w:line="400" w:lineRule="exact"/>
              <w:ind w:left="315" w:hanging="315" w:hangingChars="150"/>
              <w:rPr>
                <w:rFonts w:ascii="宋体" w:hAnsi="宋体" w:cs="宋体"/>
                <w:bCs/>
                <w:color w:val="auto"/>
                <w:szCs w:val="21"/>
                <w:highlight w:val="none"/>
              </w:rPr>
            </w:pPr>
            <w:r>
              <w:rPr>
                <w:rFonts w:hint="eastAsia" w:ascii="宋体" w:hAnsi="宋体" w:cs="宋体"/>
                <w:color w:val="auto"/>
                <w:szCs w:val="21"/>
                <w:highlight w:val="none"/>
              </w:rPr>
              <w:t>2、验收所需工具、器材由成交供应商自理；各项性能指标达到技术要求的，由供需双方共同签字认可，现场验收；提供全套说明书并包括简易的中文操作说明和注意事项；</w:t>
            </w:r>
          </w:p>
          <w:p>
            <w:pPr>
              <w:tabs>
                <w:tab w:val="left" w:pos="180"/>
                <w:tab w:val="left" w:pos="1620"/>
              </w:tabs>
              <w:spacing w:line="400" w:lineRule="exact"/>
              <w:ind w:left="315" w:hanging="315" w:hangingChars="150"/>
              <w:rPr>
                <w:rFonts w:ascii="宋体" w:hAnsi="宋体" w:cs="宋体"/>
                <w:color w:val="auto"/>
                <w:szCs w:val="21"/>
                <w:highlight w:val="none"/>
              </w:rPr>
            </w:pPr>
            <w:r>
              <w:rPr>
                <w:rFonts w:hint="eastAsia" w:ascii="宋体" w:hAnsi="宋体" w:cs="宋体"/>
                <w:bCs/>
                <w:color w:val="auto"/>
                <w:szCs w:val="21"/>
                <w:highlight w:val="none"/>
              </w:rPr>
              <w:t>3、符合现行国家相关标准、行业标准、地方标准或者其他标准、规范。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宋体" w:hAnsi="宋体" w:cs="宋体"/>
                <w:b/>
                <w:color w:val="auto"/>
                <w:szCs w:val="21"/>
                <w:highlight w:val="none"/>
              </w:rPr>
              <w:t>否则其响应文件按无效处理。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如有进口产品参与竞标的，其响应文件按无效处理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（四）其他要求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pStyle w:val="1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供应商必须对照竞争性谈判文件“技术需求”的采购项目技术规格、技术参数及要求，在技术响应表中逐条说明所提供货物和服务已对竞争性谈判文件的技术要求做出了实质性的响应，并如实申明与技术要求条文的响应和偏离情况。</w:t>
            </w:r>
          </w:p>
          <w:p>
            <w:pPr>
              <w:pStyle w:val="10"/>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2.产品验收达不到采购文件要求的视为产品不合格，有权按虚假应标上报财政监督管理部门并有权解除采购合同。追究成交供应商的一切相关责任，造成的损失及一切费用由成交人负责。</w:t>
            </w:r>
          </w:p>
          <w:p>
            <w:pPr>
              <w:pStyle w:val="10"/>
              <w:spacing w:after="0" w:line="40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3.现场考察</w:t>
            </w:r>
          </w:p>
          <w:p>
            <w:pPr>
              <w:pStyle w:val="10"/>
              <w:spacing w:after="0" w:line="400" w:lineRule="exact"/>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1.本项目涉及</w:t>
            </w:r>
            <w:r>
              <w:rPr>
                <w:rFonts w:hint="eastAsia" w:ascii="宋体" w:hAnsi="宋体" w:cs="宋体"/>
                <w:color w:val="auto"/>
                <w:szCs w:val="21"/>
                <w:highlight w:val="none"/>
                <w:lang w:val="en-US" w:eastAsia="zh-CN"/>
              </w:rPr>
              <w:t>场地改造问题</w:t>
            </w:r>
            <w:r>
              <w:rPr>
                <w:rFonts w:hint="default" w:ascii="宋体" w:hAnsi="宋体" w:cs="宋体"/>
                <w:color w:val="auto"/>
                <w:szCs w:val="21"/>
                <w:highlight w:val="none"/>
                <w:lang w:val="en-US" w:eastAsia="zh-CN"/>
              </w:rPr>
              <w:t>问题，为了投标人能充分了解</w:t>
            </w:r>
            <w:r>
              <w:rPr>
                <w:rFonts w:hint="eastAsia" w:ascii="宋体" w:hAnsi="宋体" w:cs="宋体"/>
                <w:color w:val="auto"/>
                <w:szCs w:val="21"/>
                <w:highlight w:val="none"/>
                <w:lang w:val="en-US" w:eastAsia="zh-CN"/>
              </w:rPr>
              <w:t>场地</w:t>
            </w:r>
            <w:r>
              <w:rPr>
                <w:rFonts w:hint="default" w:ascii="宋体" w:hAnsi="宋体" w:cs="宋体"/>
                <w:color w:val="auto"/>
                <w:szCs w:val="21"/>
                <w:highlight w:val="none"/>
                <w:lang w:val="en-US" w:eastAsia="zh-CN"/>
              </w:rPr>
              <w:t>的情况，采购人组织集中考察，</w:t>
            </w:r>
            <w:r>
              <w:rPr>
                <w:rFonts w:hint="eastAsia" w:ascii="宋体" w:hAnsi="宋体" w:cs="宋体"/>
                <w:color w:val="auto"/>
                <w:szCs w:val="21"/>
                <w:highlight w:val="none"/>
                <w:lang w:val="en-US" w:eastAsia="zh-CN"/>
              </w:rPr>
              <w:t>供应商</w:t>
            </w:r>
            <w:r>
              <w:rPr>
                <w:rFonts w:hint="default" w:ascii="宋体" w:hAnsi="宋体" w:cs="宋体"/>
                <w:color w:val="auto"/>
                <w:szCs w:val="21"/>
                <w:highlight w:val="none"/>
                <w:lang w:val="en-US" w:eastAsia="zh-CN"/>
              </w:rPr>
              <w:t>可以自行选择是否前前往考察。</w:t>
            </w:r>
          </w:p>
          <w:p>
            <w:pPr>
              <w:pStyle w:val="10"/>
              <w:spacing w:after="0" w:line="400" w:lineRule="exact"/>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2.集中考察时间：2025年</w:t>
            </w:r>
            <w:r>
              <w:rPr>
                <w:rFonts w:hint="eastAsia" w:ascii="宋体" w:hAnsi="宋体" w:cs="宋体"/>
                <w:color w:val="auto"/>
                <w:szCs w:val="21"/>
                <w:highlight w:val="none"/>
                <w:lang w:val="en-US" w:eastAsia="zh-CN"/>
              </w:rPr>
              <w:t>6</w:t>
            </w:r>
            <w:r>
              <w:rPr>
                <w:rFonts w:hint="default" w:ascii="宋体" w:hAnsi="宋体" w:cs="宋体"/>
                <w:color w:val="auto"/>
                <w:szCs w:val="21"/>
                <w:highlight w:val="none"/>
                <w:lang w:val="en-US" w:eastAsia="zh-CN"/>
              </w:rPr>
              <w:t>月</w:t>
            </w:r>
            <w:r>
              <w:rPr>
                <w:rFonts w:hint="eastAsia" w:ascii="宋体" w:hAnsi="宋体" w:cs="宋体"/>
                <w:color w:val="auto"/>
                <w:szCs w:val="21"/>
                <w:highlight w:val="none"/>
                <w:lang w:val="en-US" w:eastAsia="zh-CN"/>
              </w:rPr>
              <w:t>16</w:t>
            </w:r>
            <w:r>
              <w:rPr>
                <w:rFonts w:hint="default" w:ascii="宋体" w:hAnsi="宋体" w:cs="宋体"/>
                <w:color w:val="auto"/>
                <w:szCs w:val="21"/>
                <w:highlight w:val="none"/>
                <w:lang w:val="en-US" w:eastAsia="zh-CN"/>
              </w:rPr>
              <w:t>日上午 9 时正集中，逾时不予接待。未在规定时间到场的供应商将视为自动放弃现场考察的权利。</w:t>
            </w:r>
          </w:p>
          <w:p>
            <w:pPr>
              <w:pStyle w:val="10"/>
              <w:spacing w:after="0" w:line="400" w:lineRule="exact"/>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3.联系人：蒋老师，电话：0771-5719960；集中地点：广西南宁市青秀区柳沙路2号广西壮族自治区职业病防治研究院医院综合楼1楼。</w:t>
            </w:r>
          </w:p>
          <w:p>
            <w:pPr>
              <w:pStyle w:val="10"/>
              <w:spacing w:after="0" w:line="400" w:lineRule="exact"/>
              <w:ind w:firstLine="420" w:firstLineChars="200"/>
              <w:rPr>
                <w:rFonts w:hint="default"/>
                <w:color w:val="auto"/>
                <w:highlight w:val="none"/>
                <w:lang w:val="en-US" w:eastAsia="zh-CN"/>
              </w:rPr>
            </w:pPr>
            <w:r>
              <w:rPr>
                <w:rFonts w:hint="default" w:ascii="宋体" w:hAnsi="宋体" w:cs="宋体"/>
                <w:color w:val="auto"/>
                <w:szCs w:val="21"/>
                <w:highlight w:val="none"/>
                <w:lang w:val="en-US" w:eastAsia="zh-CN"/>
              </w:rPr>
              <w:t>4.现场考察带的资料：法人或委托代理人须持单位介绍信原件、个人有效身份证原件前往以及能有效证明已经合法获取招标文件的资料（采购云平台报名截图等）。以上人员进行到场登记，未按要求提供材料的不予接待。</w:t>
            </w:r>
          </w:p>
        </w:tc>
      </w:tr>
      <w:bookmarkEnd w:id="151"/>
    </w:tbl>
    <w:p>
      <w:pPr>
        <w:pStyle w:val="10"/>
        <w:rPr>
          <w:rFonts w:cs="宋体" w:asciiTheme="minorEastAsia" w:hAnsiTheme="minorEastAsia" w:eastAsiaTheme="minorEastAsia"/>
          <w:color w:val="auto"/>
          <w:szCs w:val="21"/>
          <w:highlight w:val="none"/>
        </w:rPr>
      </w:pPr>
    </w:p>
    <w:p>
      <w:pPr>
        <w:widowControl/>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br w:type="page"/>
      </w:r>
    </w:p>
    <w:p>
      <w:pPr>
        <w:pStyle w:val="1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B分标：</w:t>
      </w:r>
    </w:p>
    <w:tbl>
      <w:tblPr>
        <w:tblStyle w:val="28"/>
        <w:tblW w:w="8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38"/>
        <w:gridCol w:w="312"/>
        <w:gridCol w:w="851"/>
        <w:gridCol w:w="708"/>
        <w:gridCol w:w="6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vAlign w:val="center"/>
          </w:tcPr>
          <w:p>
            <w:pPr>
              <w:jc w:val="left"/>
              <w:rPr>
                <w:rFonts w:ascii="宋体" w:hAnsi="宋体"/>
                <w:b/>
                <w:bCs/>
                <w:color w:val="auto"/>
                <w:sz w:val="28"/>
                <w:highlight w:val="none"/>
              </w:rPr>
            </w:pPr>
            <w:r>
              <w:rPr>
                <w:rFonts w:hint="eastAsia" w:ascii="宋体" w:hAnsi="宋体"/>
                <w:b/>
                <w:color w:val="auto"/>
                <w:sz w:val="28"/>
                <w:szCs w:val="21"/>
                <w:highlight w:val="none"/>
              </w:rPr>
              <w:t>本分标的核心产品为下表的第</w:t>
            </w:r>
            <w:r>
              <w:rPr>
                <w:rFonts w:ascii="宋体" w:hAnsi="宋体"/>
                <w:b/>
                <w:color w:val="auto"/>
                <w:sz w:val="28"/>
                <w:szCs w:val="21"/>
                <w:highlight w:val="none"/>
              </w:rPr>
              <w:t>2</w:t>
            </w:r>
            <w:r>
              <w:rPr>
                <w:rFonts w:hint="eastAsia" w:ascii="宋体" w:hAnsi="宋体"/>
                <w:b/>
                <w:color w:val="auto"/>
                <w:sz w:val="28"/>
                <w:szCs w:val="21"/>
                <w:highlight w:val="none"/>
              </w:rPr>
              <w:t>项产品“气体流量校准器”。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0" w:type="dxa"/>
            <w:gridSpan w:val="2"/>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51"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08"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6003" w:type="dxa"/>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color w:val="auto"/>
                <w:highlight w:val="none"/>
              </w:rPr>
              <w:t>定点气体/个体金属/有机毒物采样器</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color w:val="auto"/>
                <w:highlight w:val="none"/>
              </w:rPr>
              <w:t>10台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1.1采样流量：10-300ml/min；</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1.2分辨率：1ml/min；准确度：不高于±5%；</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▲1.3续航时间：≥50小时；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1.4充电时间：≤6小时；</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1.5充电方式：座充、三联充、五联充；</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1.6数据储存：具有事件记录功能，存储数据不小于200组，支持数据下载或打印；</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1.7温度显示：-20至60℃  </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1.8大气压显示：70至110kPa；</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1.9自动校准：开放的校正权限，用户可对采样流量进行自主校正；</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1.10整机防滑、采样嘴防摔：内嵌式防摔气嘴设计避免进气嘴摔断；</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1.11数字恒流：采用闭环控制技术，流量随负载变化而自动调节以达到流量采样，不受电压波动和阻力变化影响流量等。 </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1.13采样模式：定时、定容、循环采样；</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1.14负载能力：≥25KPa； 仪器噪声：≤60dB（A）</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1.15防爆标志：本安II类不低于Exia IIC T4 Ga ；</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▲1.16本安I类不低于Exia I Ma、矿用产品安标证</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1.17多重防护：整机具有过压、过流、过热等自保护及普通应用场所及煤矿井防爆功能；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1.18防护等级：≥IP64；</w:t>
            </w:r>
            <w:r>
              <w:rPr>
                <w:rFonts w:hint="eastAsia" w:ascii="宋体" w:hAnsi="宋体" w:cs="宋体"/>
                <w:color w:val="auto"/>
                <w:kern w:val="0"/>
                <w:szCs w:val="21"/>
                <w:highlight w:val="none"/>
                <w:lang w:val="en-US" w:eastAsia="zh-CN"/>
              </w:rPr>
              <w:t>通过</w:t>
            </w:r>
            <w:r>
              <w:rPr>
                <w:rFonts w:hint="eastAsia" w:ascii="宋体" w:hAnsi="宋体" w:cs="宋体"/>
                <w:color w:val="auto"/>
                <w:kern w:val="0"/>
                <w:szCs w:val="21"/>
                <w:highlight w:val="none"/>
              </w:rPr>
              <w:t>耐高低温、耐高湿、耐盐雾、抗跌落实验。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color w:val="auto"/>
                <w:highlight w:val="none"/>
              </w:rPr>
              <w:t>气体流量校准器</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color w:val="auto"/>
                <w:highlight w:val="none"/>
              </w:rPr>
              <w:t>4套</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1、流量范围:低流量L:5-500 ml/min;高流量L:0.03-30L/min</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2、精度等级:1级精度;</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3、显示分辨率:小数点后2位;</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4、连续工作时长:≥10h,可更换电池模块无限延长工作时长;</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5、使用环境:温度(0~50)℃;相对湿度(0~85)%RH，无凝结;</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6、存储环境:温度(0~65)℃;相对湿度(0~95)%RH，无凝结;</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7、瞬时、连续、平均测量模式，自动计算平均值功能;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▲8、显示方式:触摸屏，人机交互;</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9、测量单位 cc/min、ml/min、L/min 可切换;</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10、管路可做密闭性检测，保障测量流量精度;</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11、具有流量槽水平自检功能;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12、具有自动计算标况流量功能;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13、多种连接方式：蓝牙、Type-C等;</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14、数据支持打印;</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15、内置灯光，可实时观察机器内部状况;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个体噪声计</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一、概述：噪声监测，应支持同时测量等效声级、统计声级、声暴露级，应支持在测量的过程中同时记录声压级随时间的变化及录制声音文件。</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二、主要指标：</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1、执行标准：个人声暴露计符合GB/T 15952-2010；声级计符合GB/T 3785.1-2023 2级。</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2、防爆类型：本质安全型，防爆标志不低于Exia IIC T4 Ga。</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3、传声器组合：标称灵敏度级-33.0dB ～-33.9dB。</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4、频率范围：20Hz～12.5kHz。</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5、测量范围：A计权声级51dB～142 dB，C计权声级51 dB～142 dB，Z计权声级56 dB～142 dB，C计权峰值声级68 dBC～145 dBC；噪声剂量0% ～ 99999%；声暴露量0.01 Pa2h ～ 999.99 Pa2h。</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6、主要测量指标：E、Lp、Leq,T、Lmax、Lmin、L10、L50、L90、SEL、Lex,8h、LAVG、TWA、DOSE、SD、Lpeak、NLApeak&gt;120、NLApeak&gt;130、NLApeak&gt;140、gravityX、gravityY、gravityZ、Kurt。</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7、显示器：TFT-LCD显示屏。</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8、数据存储：≥64G存储。</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9、电源：防爆锂电池，充满电后可连续使用10h以上。</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10、应具备录音功能：采样频率及数据长度支持12 kHz 16 bit、24 kHz 16 bit、48 kHz 32 bit可选；采样频率及数据长度为48 kHz 32 bit时，可保存至少90 h录音文件；采样频率及数据长度为12 kHz 16 bit时，可保存至少720h录音文件。</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三、主要配置：主机1台、使用说明书1份，电源适配器1个、携带箱。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仿宋" w:hAnsi="仿宋" w:eastAsia="仿宋"/>
                <w:color w:val="auto"/>
                <w:sz w:val="24"/>
                <w:highlight w:val="none"/>
              </w:rPr>
              <w:t>声校准器</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仿宋" w:hAnsi="仿宋" w:eastAsia="仿宋"/>
                <w:color w:val="auto"/>
                <w:sz w:val="24"/>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一、概述：噪声计校准，用来对声学测量仪器进行声压灵敏度校准，应具有气压自动补偿功能，性能符合GB/T 15173-2010对1级声校准器的技术要求。</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二、主要技术性能</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1、符合标准：GB/T 15173-2010。</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2、声压级：114.0dB和94.0dB。</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3、声压级误差：±0.25 dB。</w:t>
            </w:r>
            <w:r>
              <w:rPr>
                <w:rFonts w:hint="eastAsia" w:ascii="宋体" w:hAnsi="宋体" w:cs="宋体"/>
                <w:color w:val="auto"/>
                <w:szCs w:val="21"/>
                <w:highlight w:val="none"/>
              </w:rPr>
              <w:tab/>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4、频率：1000.0Hz±0.7%。</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5、谐波失真：≤1.0 %。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6、总失真：≤2.5 %。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7、电池：2×1.5V 碱性电池 LR6（5号），最长连续使用时间不小于7小时</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8、稳定时间：小于15s</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9、使用环境：温度范围：-10 ℃ ~ +50 ℃，相对湿度：25 %～90 %，大气压力：65 kPa~108 kPa</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三、配置：主机1台、配合器1只、说明书1份、便携包1只。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温湿度计</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▲1、档位：湿度:10% ~ 95% R.H.温度:-20℃ ~ +60℃ (-4℉ ~ +140℉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2、分辨率：湿度:0.1% R.H.；温度:0.1℃, 0.1℉</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3、准确度：湿度:± 3% R.H.(at 30~95% R.H.) ；温度:± 0.8℃（±1.5℉）</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4、存储数据：99笔</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5、温度、湿度双显示</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6、操作及储存温湿度：0℃ to 50℃＜80%R.H.；-10℃ to 60℃＜70% R.H.</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7、电源：9V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仿宋" w:hAnsi="仿宋" w:eastAsia="仿宋"/>
                <w:color w:val="auto"/>
                <w:sz w:val="24"/>
                <w:highlight w:val="none"/>
              </w:rPr>
              <w:t>风速计</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仿宋" w:hAnsi="仿宋" w:eastAsia="仿宋"/>
                <w:color w:val="auto"/>
                <w:sz w:val="24"/>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▲1.风速基本量程：0.05～30m/s；</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2.风速基本误差：0.05～5.00m/s : ±（4%U+0.1）m/s；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5.0～30.0m/s : ±（4%U+0.2）m/s 。其中U为实测风速（下同）</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3.响应时间：测头的响应时间不大于 3 秒;</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4.最小分辨率：0.02m/s；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5.使用环境：环境温度5～40℃，相对湿度不大于90%RH的清洁空气中；</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6.电源：4节7号碱性AAA电池；</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7.测杆尺寸: 最长1200mm,最短270mm,探头直径φ11mm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8.探杆可伸缩，探杆头部可弯曲，便于狭缝位置监测。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气压计</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▲1、大气压测量范围：800～1060hpa</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2、气压示度盘最小分度值：1hpa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3、温度测量范围：-10～+42℃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4、温度表最小分度值：1℃</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5、大气压测量误差：经过温度、湿度示度和补充订正后的大气压测量误差不大于2.0hpa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多通道噪声测量系统</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一、概述：多通道噪声测量系统是用于监测噪声源，是由多通道信号分析仪、测量传声器、声校准器、噪声频谱分析软件、声压级声功率级测量软件、时域频域分析软件组成。</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二、主要技术参数</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（一）多通道信号分析仪</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1.输入通道：不少于10通道。</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2.输入信号类型：ICP或电压。</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3.输入插座类型：BNC和LEMO。</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4.频率范围：1Hz～80KHz（&lt;0.1dB）。</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5.测量范围：20dBA～145dBA（配置50mV灵敏度的传声器）。</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6.供电：ICP供电，工作电流5mA，电压28V；LEMO供电，30V。</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▲7.采样频率：每通道8192、16384、32768、65536、131072、12k、24k、48k、96k、192kHz（192kHz采样支持8通道同步采样，48k支持20通道同步采样）。</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（二）测量传声器</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1.外径：1/2英寸。</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2.声场类型：自由场。</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3.灵敏度（mV/Pa）：约50.0。</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4.频率范围（Hz）：10～20k。</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5.动态范围（dB）：16～146。</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6.温度系数（dB/℃）：0.01（-10 ℃～50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（三）声校准器</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1.执行标准：GB/T 15173-2010 1级。</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2.声压级：94.0dB。</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3.声压级准确度：±0.25 dB。</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▲4.频率：1000.0Hz、500Hz、250Hz、125Hz。</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5.频率准确度：±0.7%。</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6.总失真：≤2.5%。</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7.主要功能：校准声压和频率、环境温度、相对湿度、大气压、时钟日历。</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（四）分析软件</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1.测量指标：声压级、A计权声功率级、频谱声功率级。</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2.频谱分析：OCT及1/3 OCT分析模块、1/n OCT分析模块、FFT分析模块。</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3.其他功能：采集分析（原始波形采集）、时间历程分析（记录噪声随时间变化的曲线）、频域分析（频率、时间、幅值三维色谱图展示）、数据库管理。</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三、主要配置：多通道信号分析仪（1台）、测量传声器（10只）、声校准器（1台）、分析软件包（1套）、三脚架（10个）、工作站（2套）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粉尘发生器</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1.粒径范围：0.1～10μm</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2.质量流量范围：支持两种模式，微调200mg/h---20g/h 全开模式 20-100g/h；</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3.体积流量范围：微调模式下发尘流量0-14L/min；</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4.供气方式：内置气泵；</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5.电源：220V AC, 50Hz；</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6.重量：&lt;7kg；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烟雾发生器</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1.输 出：≥3m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/min</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2.功 耗：≥90W</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3.液体箱容量：≥60毫升</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4.电 源：16.8V DC/2Ah</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5.控制方式：支持遥控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p>
        </w:tc>
        <w:tc>
          <w:tcPr>
            <w:tcW w:w="850" w:type="dxa"/>
            <w:gridSpan w:val="2"/>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粉尘粒度分析仪</w:t>
            </w:r>
          </w:p>
        </w:tc>
        <w:tc>
          <w:tcPr>
            <w:tcW w:w="851" w:type="dxa"/>
            <w:vAlign w:val="center"/>
          </w:tcPr>
          <w:p>
            <w:pPr>
              <w:tabs>
                <w:tab w:val="left" w:pos="180"/>
                <w:tab w:val="left" w:pos="1620"/>
              </w:tabs>
              <w:spacing w:line="4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1、粉尘粒度分布测定范围:0~150μm。测定粉尘累积质量筛上分布,粉尘粒度分级为150、100、80、60、50、40、30、20、10、8、7、6、5、4、3、2、1μm。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2、测定误差:d&lt;40μm时,粉尘粒度分布重复测定误差≤10%,粉尘粒度测量误差(用GBW(E)120004a微粒标准物质为试验粉尘):d50=10μm~13μm。 </w:t>
            </w:r>
          </w:p>
          <w:p>
            <w:pPr>
              <w:widowControl/>
              <w:spacing w:line="400" w:lineRule="exact"/>
              <w:ind w:firstLine="420" w:firstLineChars="200"/>
              <w:jc w:val="left"/>
              <w:textAlignment w:val="center"/>
              <w:rPr>
                <w:rFonts w:ascii="宋体" w:hAnsi="宋体" w:cs="宋体"/>
                <w:color w:val="auto"/>
                <w:szCs w:val="21"/>
                <w:highlight w:val="none"/>
              </w:rPr>
            </w:pPr>
            <w:r>
              <w:rPr>
                <w:rFonts w:hint="eastAsia" w:ascii="宋体" w:hAnsi="宋体" w:cs="宋体"/>
                <w:color w:val="auto"/>
                <w:szCs w:val="21"/>
                <w:highlight w:val="none"/>
              </w:rPr>
              <w:t>3.工作电源:220V AC</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合同签订期</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质量保证</w:t>
            </w:r>
          </w:p>
        </w:tc>
        <w:tc>
          <w:tcPr>
            <w:tcW w:w="78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国家有关规定或厂家承诺实行“三包”，整机质保期从验收合格之日起不少于1年（如采购需求中有特殊要求的，按特殊要求执行），所提供的货物必须是全新的合格产品，质保期内负责上门维修、更换零部件；质保期过后提供终身维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1.交货时间：合同签订之日起30个工作日内交货并安装调试完毕。</w:t>
            </w:r>
          </w:p>
          <w:p>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2.交货地点：广西壮族自治区职业病防治研究院。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合同签订后，成交供应商提交付款申请并经采购人审核，审核同意后采购人可以支付合同金额的50%，其余款项在项目验收合格、成交供应商提供100%合同金额的合法发票后的10个工作日内支付。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售后服务要求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1.负责送货上门及安装调试并承担相应费用；分项有服务要求的按分项服务要求。</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2.在交货地点对采购人进行安装调试以及技术培训。技术培训要求满足8小时及以上。</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故障响应时间：电话响应时间要求为7×24小时，出现故障1小时内做出响应，2小时内通过电话、邮件、微信等方式指导采购人排除故障，24小时内到场维修。一般问题应在24小时内解决，重大问题或其它无法迅速解决的问题应在一周内解决。</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4.技术文件：供货时应提供全套、完整的技术资料，包括设备说明书、操作手册、维修说明、产品合格证等技术文件。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5.质量保证期内提供保修并承担相应费用，更换同品牌不低于原价位、规格、型号的部件。</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color w:val="auto"/>
                <w:highlight w:val="none"/>
              </w:rPr>
              <w:t>本分标</w:t>
            </w:r>
            <w:r>
              <w:rPr>
                <w:rFonts w:hint="eastAsia" w:ascii="宋体" w:hAnsi="宋体" w:cs="宋体"/>
                <w:color w:val="auto"/>
                <w:szCs w:val="21"/>
                <w:highlight w:val="none"/>
              </w:rPr>
              <w:t>所有仪器设备交付时要提供第一次检定校准证书及提供厂家授权书和售后服务。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报价及其他要求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竞标报价为采购人指定地点的现场交货价，包括：</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1.货物的价格：包括货款、杂配件、安装调试费、验收费；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4.招标代理服务费、保险费和各项税金。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注：竞标人自行考虑完成项目所需的辅材、杂配件等数量，竞标报价中应包含全部内容，成交后采购人不再另行支付额外费用。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t>验收方式</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成交供应商安装调试完成后，需现场逐一演示产品的功能，</w:t>
            </w:r>
            <w:r>
              <w:rPr>
                <w:rFonts w:hint="eastAsia" w:ascii="宋体" w:hAnsi="宋体" w:cs="宋体"/>
                <w:color w:val="auto"/>
                <w:szCs w:val="21"/>
                <w:highlight w:val="none"/>
              </w:rPr>
              <w:t>提供不符合竞争性谈判文件规定或者响应文件承诺的和本合同规定的货物，采购人有权拒绝接受。</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成交供应商</w:t>
            </w:r>
            <w:r>
              <w:rPr>
                <w:rFonts w:hint="eastAsia" w:ascii="宋体" w:hAnsi="宋体" w:cs="宋体"/>
                <w:color w:val="auto"/>
                <w:szCs w:val="21"/>
                <w:highlight w:val="none"/>
              </w:rPr>
              <w:t>应将所提供货物的装箱清单、用户手册、随机资料、工具和备品、备件等交付给采购人，如有缺失应在合理的规定时间内补齐，否则视为逾期交货。</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3.采购人应当在货物达到验收条件后十五个工作日内进行验收。验收合格后由双方签署货物验收单并加盖采购人公章，双方各执一份。</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人委托采购代理机构组织的验收项目，其验收时间以该项目验收方案确定的验收时间为准，验收结果以该项目验收报告结论为准。在验收过程中发现成交供应商有违约问题，可暂缓资金结算，待违约问题解决后，方可办理资金结算事宜。</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5.采购人对验收有异议的，在验收后五个工作日内以书面形式向成交供应商提出，成交供应商应自收到采购人书面异议后合同约定的时间内及时予以解决。</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验收标准</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1.采购人对成交供应商提交的货物依据竞争性谈判文件上的技术规格要求和国家有关质量标准进行现场签收，外观、说明书符合采购文件技术要求的，给予签收，不合格的不予签收。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2．项目验收按以下流程进行：</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（1）成交人按采购人要求送货至指定地点，双方一起开箱验货并签字确认。</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（2）成交人按采购人指定的设备安装地点，完成设备的安装与调试。</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（3）成交人提出验收申请，经采购人同意后共同组织验收，签写相应验收意见并签名确认。如对验收存在异议的，可聘请第三方按合同约定组织验收。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（4）项目验收合格，项目约定产品或服务才正式交接。交接完毕，才作为项目的最终验收。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检查供货范围。成交人提供的产品到达采购人指定现场后，成交人应在采购人单位项目负责人在场情况下，对着供货清单，当面开箱，共同清点、检查外观，作出开箱记录，并对相关产品的型号、规格、数量、性能参数等进行初步核对，双方签字确认。成交人应保证货物到达采购人所在地时完好无损，与合同约定一致，如有缺漏、损坏，由成交人负责调换、补齐或赔偿，否则采购人可拒绝签字确认。</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成交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5．采购人需要制造商对成交人交付的产品或服务（包括质量、参数等）进行确认的，制造商应予以配合并出具书面意见，相关配合事项由成交人与制造商协调。</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6．产品包装材料归采购人所有。</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7．未尽事宜按照《关于印发广西壮族自治区政府采购项目履约验收管理办法的通知》[桂财采〔2015〕22号]以及《财政部关于进一步加强政府采购需求和履约验收管理的指导意见》[财库〔2016〕205号]规定执行。</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8.验收过程中所产生的一切费用均由成交人承担。报价时应考虑相关费用。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知识产权</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竞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管理体系要求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业绩要求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（二）验收要求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合同履行过程中，采购人按照本项目合同及谈判文件、成交供应商响应文件承诺进行验收（或采购人有权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pPr>
              <w:tabs>
                <w:tab w:val="left" w:pos="180"/>
                <w:tab w:val="left" w:pos="1620"/>
              </w:tabs>
              <w:spacing w:line="400" w:lineRule="exact"/>
              <w:ind w:left="315" w:hanging="315" w:hangingChars="150"/>
              <w:rPr>
                <w:rFonts w:ascii="宋体" w:hAnsi="宋体" w:cs="宋体"/>
                <w:bCs/>
                <w:color w:val="auto"/>
                <w:szCs w:val="21"/>
                <w:highlight w:val="none"/>
              </w:rPr>
            </w:pPr>
            <w:r>
              <w:rPr>
                <w:rFonts w:hint="eastAsia" w:ascii="宋体" w:hAnsi="宋体" w:cs="宋体"/>
                <w:color w:val="auto"/>
                <w:szCs w:val="21"/>
                <w:highlight w:val="none"/>
              </w:rPr>
              <w:t>2、验收所需工具、器材由成交供应商自理；各项性能指标达到技术要求的，由供需双方共同签字认可，现场验收；提供全套说明书并包括简易的中文操作说明和注意事项；</w:t>
            </w:r>
          </w:p>
          <w:p>
            <w:pPr>
              <w:tabs>
                <w:tab w:val="left" w:pos="180"/>
                <w:tab w:val="left" w:pos="1620"/>
              </w:tabs>
              <w:spacing w:line="400" w:lineRule="exact"/>
              <w:ind w:left="315" w:hanging="315" w:hangingChars="150"/>
              <w:rPr>
                <w:rFonts w:ascii="宋体" w:hAnsi="宋体" w:cs="宋体"/>
                <w:color w:val="auto"/>
                <w:szCs w:val="21"/>
                <w:highlight w:val="none"/>
              </w:rPr>
            </w:pPr>
            <w:r>
              <w:rPr>
                <w:rFonts w:hint="eastAsia" w:ascii="宋体" w:hAnsi="宋体" w:cs="宋体"/>
                <w:bCs/>
                <w:color w:val="auto"/>
                <w:szCs w:val="21"/>
                <w:highlight w:val="none"/>
              </w:rPr>
              <w:t>3、符合现行国家相关标准、行业标准、地方标准或者其他标准、规范。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宋体" w:hAnsi="宋体" w:cs="宋体"/>
                <w:b/>
                <w:color w:val="auto"/>
                <w:szCs w:val="21"/>
                <w:highlight w:val="none"/>
              </w:rPr>
              <w:t>否则其响应文件按无效处理。</w:t>
            </w:r>
          </w:p>
          <w:p>
            <w:pPr>
              <w:spacing w:line="400" w:lineRule="exact"/>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本项目货物不接受进口产品（即通过中国海关报关验放进入中国境内且产自关境外的产品）参与竞标，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如有进口产品参与竞标的，其响应文件按无效处理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（四）其他要求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供应商必须对照竞争性谈判文件“技术需求”的采购项目技术规格、技术参数及要求，在技术响应表中逐条说明所提供货物和服务已对竞争性谈判文件的技术要求做出了实质性的响应，并如实申明与技术要求条文的响应和偏离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2.产品验收达不到采购文件要求的视为产品不合格，有权按虚假应标上报财政监督管理部门并有权解除采购合同。追究成交供应商的一切相关责任，造成的损失及一切费用由成交人负责。</w:t>
            </w:r>
          </w:p>
          <w:p>
            <w:pPr>
              <w:spacing w:line="400" w:lineRule="exact"/>
              <w:ind w:firstLine="420" w:firstLineChars="200"/>
              <w:rPr>
                <w:color w:val="auto"/>
                <w:highlight w:val="none"/>
              </w:rPr>
            </w:pPr>
          </w:p>
        </w:tc>
      </w:tr>
    </w:tbl>
    <w:p>
      <w:pPr>
        <w:pStyle w:val="11"/>
        <w:rPr>
          <w:color w:val="auto"/>
          <w:highlight w:val="none"/>
        </w:rPr>
      </w:pPr>
    </w:p>
    <w:p>
      <w:pPr>
        <w:widowControl/>
        <w:jc w:val="left"/>
        <w:rPr>
          <w:rFonts w:ascii="Calibri" w:hAnsi="Calibri" w:cs="Calibri"/>
          <w:color w:val="auto"/>
          <w:kern w:val="0"/>
          <w:sz w:val="24"/>
          <w:highlight w:val="none"/>
        </w:rPr>
      </w:pPr>
      <w:r>
        <w:rPr>
          <w:color w:val="auto"/>
          <w:highlight w:val="none"/>
        </w:rPr>
        <w:br w:type="page"/>
      </w:r>
    </w:p>
    <w:p>
      <w:pPr>
        <w:pStyle w:val="11"/>
        <w:rPr>
          <w:color w:val="auto"/>
          <w:highlight w:val="none"/>
        </w:rPr>
      </w:pPr>
      <w:r>
        <w:rPr>
          <w:rFonts w:hint="eastAsia"/>
          <w:color w:val="auto"/>
          <w:highlight w:val="none"/>
        </w:rPr>
        <w:t>C分标：</w:t>
      </w:r>
    </w:p>
    <w:tbl>
      <w:tblPr>
        <w:tblStyle w:val="28"/>
        <w:tblW w:w="8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38"/>
        <w:gridCol w:w="312"/>
        <w:gridCol w:w="851"/>
        <w:gridCol w:w="708"/>
        <w:gridCol w:w="6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vAlign w:val="center"/>
          </w:tcPr>
          <w:p>
            <w:pPr>
              <w:jc w:val="left"/>
              <w:rPr>
                <w:rFonts w:ascii="宋体" w:hAnsi="宋体"/>
                <w:b/>
                <w:bCs/>
                <w:color w:val="auto"/>
                <w:sz w:val="28"/>
                <w:highlight w:val="none"/>
              </w:rPr>
            </w:pPr>
            <w:r>
              <w:rPr>
                <w:rFonts w:hint="eastAsia" w:ascii="宋体" w:hAnsi="宋体"/>
                <w:b/>
                <w:color w:val="auto"/>
                <w:sz w:val="28"/>
                <w:szCs w:val="21"/>
                <w:highlight w:val="none"/>
              </w:rPr>
              <w:t>本分标的核心产品为下表的第</w:t>
            </w:r>
            <w:r>
              <w:rPr>
                <w:rFonts w:ascii="宋体" w:hAnsi="宋体"/>
                <w:b/>
                <w:color w:val="auto"/>
                <w:sz w:val="28"/>
                <w:szCs w:val="21"/>
                <w:highlight w:val="none"/>
              </w:rPr>
              <w:t>1</w:t>
            </w:r>
            <w:r>
              <w:rPr>
                <w:rFonts w:hint="eastAsia" w:ascii="宋体" w:hAnsi="宋体"/>
                <w:b/>
                <w:color w:val="auto"/>
                <w:sz w:val="28"/>
                <w:szCs w:val="21"/>
                <w:highlight w:val="none"/>
              </w:rPr>
              <w:t>项产品“心电图仪”。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0" w:type="dxa"/>
            <w:gridSpan w:val="2"/>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51"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08" w:type="dxa"/>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6003" w:type="dxa"/>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50" w:type="dxa"/>
            <w:gridSpan w:val="2"/>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心电图仪</w:t>
            </w:r>
          </w:p>
        </w:tc>
        <w:tc>
          <w:tcPr>
            <w:tcW w:w="851" w:type="dxa"/>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3台</w:t>
            </w:r>
          </w:p>
        </w:tc>
        <w:tc>
          <w:tcPr>
            <w:tcW w:w="708" w:type="dxa"/>
            <w:vAlign w:val="center"/>
          </w:tcPr>
          <w:p>
            <w:pPr>
              <w:tabs>
                <w:tab w:val="left" w:pos="180"/>
                <w:tab w:val="left" w:pos="1620"/>
              </w:tabs>
              <w:spacing w:line="400" w:lineRule="exact"/>
              <w:jc w:val="center"/>
              <w:rPr>
                <w:rFonts w:ascii="宋体" w:hAnsi="宋体" w:cs="宋体"/>
                <w:color w:val="auto"/>
                <w:szCs w:val="21"/>
                <w:highlight w:val="none"/>
              </w:rPr>
            </w:pPr>
            <w:r>
              <w:rPr>
                <w:rFonts w:ascii="宋体" w:hAnsi="宋体" w:cs="宋体"/>
                <w:color w:val="auto"/>
                <w:szCs w:val="21"/>
                <w:highlight w:val="none"/>
              </w:rPr>
              <w:t>工业</w:t>
            </w:r>
          </w:p>
        </w:tc>
        <w:tc>
          <w:tcPr>
            <w:tcW w:w="6003" w:type="dxa"/>
            <w:vAlign w:val="center"/>
          </w:tcPr>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一、技术参数：</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▲1.具备不低于12 导联心电同步采集</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2.输入阻抗： ≥100MΩ</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▲3.共模抑制比： ≥130dB</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4.频率响应：0.01z~350Hz</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5.耐极化电压： ≥±850mV</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6.灵敏度/增益：（1.25 mm/mV，2.5 mm/mV，5 mm/mV，10 mm/mV， 20 mm/mV, 10/5 mm/mV，AGC） ±5%。</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7.时间常数： ≥5s。</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▲8.心电波形采样率： ≥60,000 Hz/导联。</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9.屏幕尺寸≥10 英寸，彩色液晶显示屏，支持全屏多点触控。</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10.内置储存空间≥16GB，具有 SD 卡、U 盘扩展存储功能。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▲11.具备直流电源，内置可充电锂电池，额定容量≥50Wh。</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12.机身重量≤1.5kg。</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13.主机具备无线传输功能，内置蓝牙 4.2或以上，无线 Wi-Fi，支持 2.4GHz/5GHz 双频段。</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14.主机具备移动通信功能：支持eSIM 卡和标准 SIM卡，不接受外挂 4G 模块。</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15.具备 NFC 近场通信，内置具有红外条码扫描功能。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16.具备药物试验，心向量，心率变异，心室晚电位等功能。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17.具备病人数据同屏对比，</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18.具备病人信息加密显示，具备用户指纹登录。</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19.具备波形预览和报告预览；可 USB 外接打印机或 WIFI 连接打印机，通过 A4 纸打印心电波形和报告。</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20.具备导联脱落提示，异常心率预警功能；</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21.具备采集波形质量颜色指示；可辅助判断心电波形质量，待波形稳定后，机器可自动触发采集，支持采集过程中出现干扰自动重采、分析、存储、上传、打印。</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22.具备重分析、重新采样、切换报告格式；</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23.实现与服务器时间同步；</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24.配套便携手提箱。</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▲25.实现与院内心电系统（河北网星体检系统）对接，实现原始心电数据上传分析诊断，互联互通。</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二、配置要求：</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主机  1套</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电极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1套</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校准参考资料  1套</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中文使用手册   1套</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电源线    1套</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便携式手提箱或拉杆箱   1套        </w:t>
            </w:r>
          </w:p>
          <w:p>
            <w:pPr>
              <w:widowControl/>
              <w:spacing w:line="400" w:lineRule="exact"/>
              <w:ind w:firstLine="420" w:firstLineChars="20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三、要求有产品合格证，有计量部门检定合格证书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合同签订期</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质量保证</w:t>
            </w:r>
          </w:p>
        </w:tc>
        <w:tc>
          <w:tcPr>
            <w:tcW w:w="78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国家有关规定或厂家承诺实行“三包”，整机质保期从验收合格之日起不少于1年（如采购需求中有特殊要求的，按特殊要求执行），所提供的货物必须是全新的合格产品，质保期内负责上门维修、更换零部件；质保期过后提供终身维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1.交货时间：合同签订之日起30个工作日内交货并安装调试完毕。</w:t>
            </w:r>
          </w:p>
          <w:p>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2.交货地点：广西壮族自治区职业病防治研究院。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合同签订后，成交供应商提交付款申请并经采购人审核，审核同意后采购人可以支付合同金额的50%，其余款项在项目验收合格、成交供应商提供100%合同金额的合法发票后的10个工作日内支付。</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售后服务要求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1.负责送货上门及安装调试并承担相应费用；分项有服务要求的按分项服务要求。</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2.在交货地点对采购人进行安装调试以及技术培训。技术培训要求满足8小时及以上。</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故障响应时间：电话响应时间要求为7×24小时，出现故障1小时内做出响应，2小时内通过电话、邮件、微信等方式指导采购人排除故障，24小时内到场维修。一般问题应在24小时内解决，重大问题或其它无法迅速解决的问题应在一周内解决。</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4.技术文件：供货时应提供全套、完整的技术资料，包括设备说明书、操作手册、维修说明、产品合格证等技术文件。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5.质量保证期内提供保修并承担相应费用，更换同品牌不低于原价位、规格、型号的部件。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报价及其他要求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竞标报价为采购人指定地点的现场交货价，包括：</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1.货物的价格：包括货款、杂配件、安装调试费、验收费；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4.招标代理服务费、保险费和各项税金。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注：竞标人自行考虑完成项目所需的辅材、杂配件等数量，竞标报价中应包含全部内容，成交后采购人不再另行支付额外费用。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t>验收方式</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成交供应商安装调试完成后，需现场逐一演示产品的功能，</w:t>
            </w:r>
            <w:r>
              <w:rPr>
                <w:rFonts w:hint="eastAsia" w:ascii="宋体" w:hAnsi="宋体" w:cs="宋体"/>
                <w:color w:val="auto"/>
                <w:szCs w:val="21"/>
                <w:highlight w:val="none"/>
              </w:rPr>
              <w:t>提供不符合竞争性谈判文件规定或者响应文件承诺的和本合同规定的货物，采购人有权拒绝接受。</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成交供应商</w:t>
            </w:r>
            <w:r>
              <w:rPr>
                <w:rFonts w:hint="eastAsia" w:ascii="宋体" w:hAnsi="宋体" w:cs="宋体"/>
                <w:color w:val="auto"/>
                <w:szCs w:val="21"/>
                <w:highlight w:val="none"/>
              </w:rPr>
              <w:t>应将所提供货物的装箱清单、用户手册、随机资料、工具和备品、备件等交付给采购人，如有缺失应在合理的规定时间内补齐，否则视为逾期交货。</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3.采购人应当在货物达到验收条件后十五个工作日内进行验收。验收合格后由双方签署货物验收单并加盖采购人公章，双方各执一份。</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人委托采购代理机构组织的验收项目，其验收时间以该项目验收方案确定的验收时间为准，验收结果以该项目验收报告结论为准。在验收过程中发现成交供应商有违约问题，可暂缓资金结算，待违约问题解决后，方可办理资金结算事宜。</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5.采购人对验收有异议的，在验收后五个工作日内以书面形式向成交供应商提出，成交供应商应自收到采购人书面异议后合同约定的时间内及时予以解决。</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验收标准</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1.采购人对成交供应商提交的货物依据竞争性谈判文件上的技术规格要求和国家有关质量标准进行现场签收，外观、说明书符合采购文件技术要求的，给予签收，不合格的不予签收。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2．项目验收按以下流程进行：</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（1）成交人按采购人要求送货至指定地点，双方一起开箱验货并签字确认。</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（2）成交人按采购人指定的设备安装地点，完成设备的安装与调试。</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（3）成交人提出验收申请，经采购人同意后共同组织验收，签写相应验收意见并签名确认。如对验收存在异议的，可聘请第三方按合同约定组织验收。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（4）项目验收合格，项目约定产品或服务才正式交接。交接完毕，才作为项目的最终验收。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检查供货范围。成交人提供的产品到达采购人指定现场后，成交人应在采购人单位项目负责人在场情况下，对着供货清单，当面开箱，共同清点、检查外观，作出开箱记录，并对相关产品的型号、规格、数量、性能参数等进行初步核对，双方签字确认。成交人应保证货物到达采购人所在地时完好无损，与合同约定一致，如有缺漏、损坏，由成交人负责调换、补齐或赔偿，否则采购人可拒绝签字确认。</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成交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5．采购人需要制造商对成交人交付的产品或服务（包括质量、参数等）进行确认的，制造商应予以配合并出具书面意见，相关配合事项由成交人与制造商协调。</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6．产品包装材料归采购人所有。</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7．未尽事宜按照《关于印发广西壮族自治区政府采购项目履约验收管理办法的通知》[桂财采〔2015〕22号]以及《财政部关于进一步加强政府采购需求和履约验收管理的指导意见》[财库〔2016〕205号]规定执行。</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8.验收过程中所产生的一切费用均由成交人承担。报价时应考虑相关费用。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知识产权</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竞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管理体系要求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业绩要求</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（二）验收要求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1、合同履行过程中，采购人按照本项目合同及谈判文件、成交供应商响应文件承诺进行验收（或采购人有权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pPr>
              <w:tabs>
                <w:tab w:val="left" w:pos="180"/>
                <w:tab w:val="left" w:pos="1620"/>
              </w:tabs>
              <w:spacing w:line="400" w:lineRule="exact"/>
              <w:ind w:left="315" w:hanging="315" w:hangingChars="150"/>
              <w:rPr>
                <w:rFonts w:ascii="宋体" w:hAnsi="宋体" w:cs="宋体"/>
                <w:bCs/>
                <w:color w:val="auto"/>
                <w:szCs w:val="21"/>
                <w:highlight w:val="none"/>
              </w:rPr>
            </w:pPr>
            <w:r>
              <w:rPr>
                <w:rFonts w:hint="eastAsia" w:ascii="宋体" w:hAnsi="宋体" w:cs="宋体"/>
                <w:color w:val="auto"/>
                <w:szCs w:val="21"/>
                <w:highlight w:val="none"/>
              </w:rPr>
              <w:t>2、验收所需工具、器材由成交供应商自理；各项性能指标达到技术要求的，由供需双方共同签字认可，现场验收；提供全套说明书并包括简易的中文操作说明和注意事项；</w:t>
            </w:r>
          </w:p>
          <w:p>
            <w:pPr>
              <w:tabs>
                <w:tab w:val="left" w:pos="180"/>
                <w:tab w:val="left" w:pos="1620"/>
              </w:tabs>
              <w:spacing w:line="400" w:lineRule="exact"/>
              <w:ind w:left="315" w:hanging="315" w:hangingChars="150"/>
              <w:rPr>
                <w:rFonts w:ascii="宋体" w:hAnsi="宋体" w:cs="宋体"/>
                <w:color w:val="auto"/>
                <w:szCs w:val="21"/>
                <w:highlight w:val="none"/>
              </w:rPr>
            </w:pPr>
            <w:r>
              <w:rPr>
                <w:rFonts w:hint="eastAsia" w:ascii="宋体" w:hAnsi="宋体" w:cs="宋体"/>
                <w:bCs/>
                <w:color w:val="auto"/>
                <w:szCs w:val="21"/>
                <w:highlight w:val="none"/>
              </w:rPr>
              <w:t>3、符合现行国家相关标准、行业标准、地方标准或者其他标准、规范。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进口产品说明</w:t>
            </w:r>
          </w:p>
        </w:tc>
        <w:tc>
          <w:tcPr>
            <w:tcW w:w="78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宋体" w:hAnsi="宋体" w:cs="宋体"/>
                <w:b/>
                <w:color w:val="auto"/>
                <w:szCs w:val="21"/>
                <w:highlight w:val="none"/>
              </w:rPr>
              <w:t>否则其响应文件按无效处理。</w:t>
            </w:r>
          </w:p>
          <w:p>
            <w:pPr>
              <w:spacing w:line="400" w:lineRule="exact"/>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本项目货物不接受进口产品（即通过中国海关报关验放进入中国境内且产自关境外的产品）参与竞标，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如有进口产品参与竞标的，其响应文件按无效处理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（四）其他要求</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4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供应商必须对照竞争性谈判文件“技术需求”的采购项目技术规格、技术参数及要求，在技术响应表中逐条说明所提供货物和服务已对竞争性谈判文件的技术要求做出了实质性的响应，并如实申明与技术要求条文的响应和偏离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2.产品验收达不到采购文件要求的视为产品不合格，有权按虚假应标上报财政监督管理部门并有权解除采购合同。追究成交供应商的一切相关责任，造成的损失及一切费用由成交人负责。</w:t>
            </w:r>
          </w:p>
          <w:p>
            <w:pPr>
              <w:spacing w:line="400" w:lineRule="exact"/>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竞标产品属第一类医疗器械产品的，响应文件中须按《医疗器械注册与备案管理办法》（国家市场监督管理总局令第47号）提供该设备在负责药品监督管理的部门提交备案资料证明材料复印件（或扫描件）加盖供应商电子签章；投标产品属第二、三类医疗器械产品的，响应文件中须按《医疗器械注册与备案管理办法》（国家市场监督管理总局令第47号）提供该设备有效的药品监督管理部门出具的医疗器械注册证复印件（或扫描件）加盖供应商电子签章，否则竞标无效。</w:t>
            </w:r>
          </w:p>
        </w:tc>
      </w:tr>
    </w:tbl>
    <w:p>
      <w:pPr>
        <w:pStyle w:val="12"/>
        <w:rPr>
          <w:color w:val="auto"/>
          <w:highlight w:val="none"/>
        </w:rPr>
      </w:pPr>
    </w:p>
    <w:p>
      <w:pPr>
        <w:rPr>
          <w:color w:val="auto"/>
          <w:highlight w:val="none"/>
        </w:rPr>
      </w:pPr>
      <w:r>
        <w:rPr>
          <w:color w:val="auto"/>
          <w:highlight w:val="none"/>
        </w:rPr>
        <w:br w:type="page"/>
      </w:r>
    </w:p>
    <w:p>
      <w:pPr>
        <w:pStyle w:val="10"/>
        <w:rPr>
          <w:color w:val="auto"/>
          <w:highlight w:val="none"/>
        </w:rPr>
      </w:pPr>
    </w:p>
    <w:p>
      <w:pPr>
        <w:pStyle w:val="10"/>
        <w:rPr>
          <w:color w:val="auto"/>
          <w:highlight w:val="none"/>
        </w:rPr>
      </w:pPr>
    </w:p>
    <w:p>
      <w:pPr>
        <w:spacing w:line="428" w:lineRule="exact"/>
        <w:ind w:left="119"/>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附件1：</w:t>
      </w:r>
    </w:p>
    <w:p>
      <w:pPr>
        <w:spacing w:before="7"/>
        <w:rPr>
          <w:rFonts w:ascii="Arial Unicode MS" w:hAnsi="Arial Unicode MS" w:eastAsia="Arial Unicode MS" w:cs="Arial Unicode MS"/>
          <w:color w:val="auto"/>
          <w:sz w:val="17"/>
          <w:szCs w:val="17"/>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节能产品政府采购品目清单</w:t>
      </w:r>
    </w:p>
    <w:p>
      <w:pPr>
        <w:rPr>
          <w:rFonts w:ascii="Arial Unicode MS" w:hAnsi="Arial Unicode MS" w:eastAsia="Arial Unicode MS" w:cs="Arial Unicode MS"/>
          <w:color w:val="auto"/>
          <w:sz w:val="20"/>
          <w:szCs w:val="20"/>
          <w:highlight w:val="none"/>
        </w:rPr>
      </w:pPr>
      <w:r>
        <w:rPr>
          <w:color w:val="auto"/>
          <w:highlight w:val="none"/>
        </w:rPr>
        <w:pict>
          <v:shape id="_x0000_s1026"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334rtkAAAALAQAADwAAAAAAAAABACAAAAAiAAAAZHJzL2Rvd25yZXYu&#10;eG1sUEsBAhQAFAAAAAgAh07iQCN5NrrBAQAAgQMAAA4AAAAAAAAAAQAgAAAAKAEAAGRycy9lMm9E&#10;b2MueG1sUEsFBgAAAAAGAAYAWQEAAFsFAAAAAA==&#10;">
            <v:path/>
            <v:fill on="f" focussize="0,0"/>
            <v:stroke on="f" joinstyle="miter"/>
            <v:imagedata o:title=""/>
            <o:lock v:ext="edit"/>
            <v:textbox inset="0mm,0mm,0mm,0mm">
              <w:txbxContent>
                <w:tbl>
                  <w:tblPr>
                    <w:tblStyle w:val="28"/>
                    <w:tblW w:w="9125" w:type="dxa"/>
                    <w:tblInd w:w="632" w:type="dxa"/>
                    <w:tblLayout w:type="fixed"/>
                    <w:tblCellMar>
                      <w:top w:w="0" w:type="dxa"/>
                      <w:left w:w="0" w:type="dxa"/>
                      <w:bottom w:w="0" w:type="dxa"/>
                      <w:right w:w="0" w:type="dxa"/>
                    </w:tblCellMar>
                  </w:tblPr>
                  <w:tblGrid>
                    <w:gridCol w:w="574"/>
                    <w:gridCol w:w="1166"/>
                    <w:gridCol w:w="1800"/>
                    <w:gridCol w:w="1823"/>
                    <w:gridCol w:w="3762"/>
                  </w:tblGrid>
                  <w:tr>
                    <w:tblPrEx>
                      <w:tblLayout w:type="fixed"/>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58"/>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pPr>
                          <w:pStyle w:val="58"/>
                          <w:spacing w:before="4"/>
                          <w:rPr>
                            <w:rFonts w:ascii="宋体" w:hAnsi="宋体" w:cs="宋体"/>
                            <w:sz w:val="16"/>
                            <w:szCs w:val="16"/>
                          </w:rPr>
                        </w:pPr>
                      </w:p>
                      <w:p>
                        <w:pPr>
                          <w:pStyle w:val="58"/>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4"/>
                          <w:rPr>
                            <w:rFonts w:ascii="宋体" w:hAnsi="宋体" w:cs="宋体"/>
                            <w:sz w:val="16"/>
                            <w:szCs w:val="16"/>
                          </w:rPr>
                        </w:pPr>
                      </w:p>
                      <w:p>
                        <w:pPr>
                          <w:pStyle w:val="58"/>
                          <w:ind w:left="926"/>
                          <w:rPr>
                            <w:rFonts w:ascii="宋体" w:hAnsi="宋体" w:cs="宋体"/>
                          </w:rPr>
                        </w:pPr>
                        <w:r>
                          <w:rPr>
                            <w:rFonts w:hint="eastAsia" w:ascii="宋体" w:hAnsi="宋体" w:cs="宋体"/>
                            <w:b/>
                            <w:bCs/>
                            <w:w w:val="99"/>
                          </w:rPr>
                          <w:t>依据的标准</w:t>
                        </w:r>
                      </w:p>
                    </w:tc>
                  </w:tr>
                  <w:tr>
                    <w:tblPrEx>
                      <w:tblLayout w:type="fixed"/>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spacing w:before="11"/>
                          <w:rPr>
                            <w:rFonts w:ascii="宋体" w:hAnsi="宋体" w:cs="宋体"/>
                            <w:sz w:val="15"/>
                            <w:szCs w:val="15"/>
                          </w:rPr>
                        </w:pPr>
                      </w:p>
                      <w:p>
                        <w:pPr>
                          <w:pStyle w:val="58"/>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12"/>
                          <w:rPr>
                            <w:rFonts w:ascii="宋体" w:hAnsi="宋体" w:cs="宋体"/>
                            <w:sz w:val="23"/>
                            <w:szCs w:val="23"/>
                          </w:rPr>
                        </w:pPr>
                      </w:p>
                      <w:p>
                        <w:pPr>
                          <w:pStyle w:val="5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58"/>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2"/>
                          <w:rPr>
                            <w:rFonts w:ascii="宋体" w:hAnsi="宋体" w:cs="宋体"/>
                            <w:sz w:val="14"/>
                            <w:szCs w:val="14"/>
                            <w:lang w:eastAsia="zh-CN"/>
                          </w:rPr>
                        </w:pPr>
                      </w:p>
                      <w:p>
                        <w:pPr>
                          <w:pStyle w:val="58"/>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spacing w:before="3"/>
                          <w:rPr>
                            <w:rFonts w:ascii="宋体" w:hAnsi="宋体" w:cs="宋体"/>
                          </w:rPr>
                        </w:pPr>
                      </w:p>
                      <w:p>
                        <w:pPr>
                          <w:pStyle w:val="5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5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pPr>
                          <w:pStyle w:val="5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58"/>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58"/>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58"/>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2"/>
                          <w:rPr>
                            <w:rFonts w:ascii="宋体" w:hAnsi="宋体" w:cs="宋体"/>
                            <w:sz w:val="17"/>
                            <w:szCs w:val="17"/>
                            <w:lang w:eastAsia="zh-CN"/>
                          </w:rPr>
                        </w:pPr>
                      </w:p>
                      <w:p>
                        <w:pPr>
                          <w:pStyle w:val="5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pPr>
                          <w:pStyle w:val="5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58"/>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8"/>
                          <w:rPr>
                            <w:rFonts w:ascii="宋体" w:hAnsi="宋体" w:cs="宋体"/>
                            <w:sz w:val="27"/>
                            <w:szCs w:val="27"/>
                            <w:lang w:eastAsia="zh-CN"/>
                          </w:rPr>
                        </w:pPr>
                      </w:p>
                      <w:p>
                        <w:pPr>
                          <w:pStyle w:val="5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spacing w:before="7"/>
                          <w:rPr>
                            <w:rFonts w:ascii="宋体" w:hAnsi="宋体" w:cs="宋体"/>
                            <w:sz w:val="19"/>
                            <w:szCs w:val="19"/>
                          </w:rPr>
                        </w:pPr>
                      </w:p>
                      <w:p>
                        <w:pPr>
                          <w:pStyle w:val="5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Layout w:type="fixed"/>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58"/>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5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58"/>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58"/>
                          <w:spacing w:before="13"/>
                          <w:rPr>
                            <w:rFonts w:ascii="宋体" w:hAnsi="宋体" w:cs="宋体"/>
                            <w:sz w:val="16"/>
                            <w:szCs w:val="16"/>
                            <w:lang w:eastAsia="zh-CN"/>
                          </w:rPr>
                        </w:pPr>
                      </w:p>
                      <w:p>
                        <w:pPr>
                          <w:pStyle w:val="58"/>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5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5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pPr>
                          <w:pStyle w:val="58"/>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5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7"/>
                          <w:rPr>
                            <w:rFonts w:ascii="宋体" w:hAnsi="宋体" w:cs="宋体"/>
                            <w:sz w:val="26"/>
                            <w:szCs w:val="26"/>
                            <w:lang w:eastAsia="zh-CN"/>
                          </w:rPr>
                        </w:pPr>
                      </w:p>
                      <w:p>
                        <w:pPr>
                          <w:pStyle w:val="58"/>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8"/>
                          <w:rPr>
                            <w:rFonts w:ascii="宋体" w:hAnsi="宋体" w:cs="宋体"/>
                            <w:sz w:val="14"/>
                            <w:szCs w:val="14"/>
                          </w:rPr>
                        </w:pPr>
                      </w:p>
                      <w:p>
                        <w:pPr>
                          <w:pStyle w:val="5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5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8"/>
                          <w:rPr>
                            <w:rFonts w:ascii="宋体" w:hAnsi="宋体" w:cs="宋体"/>
                            <w:sz w:val="14"/>
                            <w:szCs w:val="14"/>
                          </w:rPr>
                        </w:pPr>
                      </w:p>
                      <w:p>
                        <w:pPr>
                          <w:pStyle w:val="5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spacing w:before="1"/>
                          <w:rPr>
                            <w:rFonts w:ascii="宋体" w:hAnsi="宋体" w:cs="宋体"/>
                            <w:sz w:val="18"/>
                            <w:szCs w:val="18"/>
                          </w:rPr>
                        </w:pPr>
                      </w:p>
                      <w:p>
                        <w:pPr>
                          <w:pStyle w:val="58"/>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Layout w:type="fixed"/>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8"/>
                          <w:spacing w:before="12"/>
                          <w:rPr>
                            <w:rFonts w:ascii="宋体" w:hAnsi="宋体" w:cs="宋体"/>
                            <w:sz w:val="15"/>
                            <w:szCs w:val="15"/>
                            <w:lang w:eastAsia="zh-CN"/>
                          </w:rPr>
                        </w:pPr>
                      </w:p>
                      <w:p>
                        <w:pPr>
                          <w:pStyle w:val="5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pPr>
                          <w:pStyle w:val="5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w: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spacing w:before="16"/>
        <w:rPr>
          <w:rFonts w:ascii="Arial Unicode MS" w:hAnsi="Arial Unicode MS" w:eastAsia="Arial Unicode MS" w:cs="Arial Unicode MS"/>
          <w:color w:val="auto"/>
          <w:sz w:val="17"/>
          <w:szCs w:val="17"/>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15"/>
          <w:szCs w:val="15"/>
          <w:highlight w:val="none"/>
        </w:rPr>
      </w:pPr>
    </w:p>
    <w:p>
      <w:pPr>
        <w:widowControl/>
        <w:jc w:val="left"/>
        <w:rPr>
          <w:rFonts w:ascii="宋体" w:hAnsi="宋体" w:cs="宋体"/>
          <w:color w:val="auto"/>
          <w:sz w:val="20"/>
          <w:szCs w:val="20"/>
          <w:highlight w:val="none"/>
        </w:rPr>
        <w:sectPr>
          <w:headerReference r:id="rId5" w:type="default"/>
          <w:footerReference r:id="rId6" w:type="default"/>
          <w:pgSz w:w="11910" w:h="16840"/>
          <w:pgMar w:top="1520" w:right="1500" w:bottom="280" w:left="1680" w:header="720" w:footer="720" w:gutter="0"/>
          <w:pgNumType w:start="1"/>
          <w:cols w:space="720" w:num="1"/>
        </w:sectPr>
      </w:pPr>
    </w:p>
    <w:p>
      <w:pPr>
        <w:rPr>
          <w:rFonts w:ascii="宋体" w:hAnsi="宋体" w:cs="宋体"/>
          <w:color w:val="auto"/>
          <w:sz w:val="20"/>
          <w:szCs w:val="20"/>
          <w:highlight w:val="none"/>
        </w:rPr>
      </w:pPr>
      <w:r>
        <w:rPr>
          <w:color w:val="auto"/>
          <w:highlight w:val="none"/>
        </w:rPr>
        <w:pict>
          <v:shape id="文本框 3" o:spid="_x0000_s1028"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j9s7XAAAACwEAAA8AAAAAAAAAAQAgAAAAIgAAAGRycy9kb3ducmV2Lnht&#10;bFBLAQIUABQAAAAIAIdO4kDZK/kmwQEAAIEDAAAOAAAAAAAAAAEAIAAAACYBAABkcnMvZTJvRG9j&#10;LnhtbFBLBQYAAAAABgAGAFkBAABZBQAAAAA=&#10;">
            <v:path/>
            <v:fill on="f" focussize="0,0"/>
            <v:stroke on="f" joinstyle="miter"/>
            <v:imagedata o:title=""/>
            <o:lock v:ext="edit"/>
            <v:textbox inset="0mm,0mm,0mm,0mm">
              <w:txbxContent>
                <w:tbl>
                  <w:tblPr>
                    <w:tblStyle w:val="28"/>
                    <w:tblW w:w="9105" w:type="dxa"/>
                    <w:tblInd w:w="7" w:type="dxa"/>
                    <w:tblLayout w:type="fixed"/>
                    <w:tblCellMar>
                      <w:top w:w="0" w:type="dxa"/>
                      <w:left w:w="0" w:type="dxa"/>
                      <w:bottom w:w="0" w:type="dxa"/>
                      <w:right w:w="0" w:type="dxa"/>
                    </w:tblCellMar>
                  </w:tblPr>
                  <w:tblGrid>
                    <w:gridCol w:w="570"/>
                    <w:gridCol w:w="1163"/>
                    <w:gridCol w:w="1800"/>
                    <w:gridCol w:w="1792"/>
                    <w:gridCol w:w="3780"/>
                  </w:tblGrid>
                  <w:tr>
                    <w:tblPrEx>
                      <w:tblLayout w:type="fixed"/>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pPr>
                          <w:pStyle w:val="58"/>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pPr>
                          <w:pStyle w:val="58"/>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pPr>
                          <w:pStyle w:val="5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tblPrEx>
                      <w:tblLayout w:type="fixed"/>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lang w:eastAsia="zh-CN"/>
                          </w:rPr>
                        </w:pPr>
                      </w:p>
                    </w:tc>
                  </w:tr>
                  <w:tr>
                    <w:tblPrEx>
                      <w:tblLayout w:type="fixed"/>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3"/>
                          <w:rPr>
                            <w:rFonts w:ascii="宋体" w:hAnsi="宋体" w:cs="宋体"/>
                            <w:sz w:val="21"/>
                            <w:szCs w:val="21"/>
                            <w:lang w:eastAsia="zh-CN"/>
                          </w:rPr>
                        </w:pPr>
                      </w:p>
                      <w:p>
                        <w:pPr>
                          <w:pStyle w:val="58"/>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pPr>
                          <w:pStyle w:val="58"/>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pPr>
                          <w:pStyle w:val="58"/>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pPr>
                          <w:pStyle w:val="5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pPr>
                          <w:pStyle w:val="58"/>
                          <w:spacing w:before="7"/>
                          <w:rPr>
                            <w:rFonts w:ascii="宋体" w:hAnsi="宋体" w:cs="宋体"/>
                            <w:sz w:val="24"/>
                            <w:szCs w:val="24"/>
                            <w:lang w:eastAsia="zh-CN"/>
                          </w:rPr>
                        </w:pPr>
                      </w:p>
                      <w:p>
                        <w:pPr>
                          <w:pStyle w:val="58"/>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58"/>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tblPrEx>
                      <w:tblLayout w:type="fixed"/>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pPr>
                          <w:pStyle w:val="58"/>
                          <w:spacing w:line="256" w:lineRule="exact"/>
                          <w:rPr>
                            <w:rFonts w:ascii="宋体" w:hAnsi="宋体" w:cs="宋体"/>
                            <w:sz w:val="20"/>
                            <w:szCs w:val="20"/>
                            <w:lang w:eastAsia="zh-CN"/>
                          </w:rPr>
                        </w:pPr>
                      </w:p>
                    </w:tc>
                  </w:tr>
                  <w:tr>
                    <w:tblPrEx>
                      <w:tblLayout w:type="fixed"/>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58"/>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58"/>
                          <w:spacing w:before="1"/>
                          <w:rPr>
                            <w:rFonts w:ascii="宋体" w:hAnsi="宋体" w:cs="宋体"/>
                            <w:sz w:val="18"/>
                            <w:szCs w:val="18"/>
                          </w:rPr>
                        </w:pPr>
                      </w:p>
                      <w:p>
                        <w:pPr>
                          <w:pStyle w:val="58"/>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pPr>
                          <w:pStyle w:val="58"/>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tblPrEx>
                      <w:tblLayout w:type="fixed"/>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58"/>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pPr>
                          <w:pStyle w:val="5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tblPrEx>
                      <w:tblLayout w:type="fixed"/>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pPr>
                          <w:pStyle w:val="58"/>
                          <w:rPr>
                            <w:rFonts w:ascii="宋体" w:hAnsi="宋体" w:cs="宋体"/>
                            <w:sz w:val="20"/>
                            <w:szCs w:val="20"/>
                            <w:lang w:eastAsia="zh-CN"/>
                          </w:rPr>
                        </w:pPr>
                      </w:p>
                      <w:p>
                        <w:pPr>
                          <w:pStyle w:val="58"/>
                          <w:spacing w:before="9"/>
                          <w:rPr>
                            <w:rFonts w:ascii="宋体" w:hAnsi="宋体" w:cs="宋体"/>
                            <w:sz w:val="20"/>
                            <w:szCs w:val="20"/>
                            <w:lang w:eastAsia="zh-CN"/>
                          </w:rPr>
                        </w:pPr>
                      </w:p>
                      <w:p>
                        <w:pPr>
                          <w:pStyle w:val="58"/>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pPr>
                          <w:pStyle w:val="58"/>
                          <w:spacing w:before="11"/>
                          <w:rPr>
                            <w:rFonts w:ascii="宋体" w:hAnsi="宋体" w:cs="宋体"/>
                            <w:sz w:val="16"/>
                            <w:szCs w:val="16"/>
                            <w:lang w:eastAsia="zh-CN"/>
                          </w:rPr>
                        </w:pPr>
                      </w:p>
                      <w:p>
                        <w:pPr>
                          <w:pStyle w:val="58"/>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pPr>
                          <w:pStyle w:val="58"/>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tblPrEx>
                      <w:tblLayout w:type="fixed"/>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pPr>
                          <w:pStyle w:val="58"/>
                          <w:spacing w:line="256" w:lineRule="exact"/>
                          <w:ind w:left="7"/>
                          <w:rPr>
                            <w:rFonts w:ascii="宋体" w:hAnsi="宋体" w:cs="宋体"/>
                            <w:sz w:val="20"/>
                            <w:szCs w:val="20"/>
                            <w:lang w:eastAsia="zh-CN"/>
                          </w:rPr>
                        </w:pPr>
                      </w:p>
                    </w:tc>
                  </w:tr>
                  <w:tr>
                    <w:tblPrEx>
                      <w:tblLayout w:type="fixed"/>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pPr>
                          <w:pStyle w:val="58"/>
                          <w:spacing w:before="12"/>
                          <w:rPr>
                            <w:rFonts w:ascii="宋体" w:hAnsi="宋体" w:cs="宋体"/>
                            <w:sz w:val="15"/>
                            <w:szCs w:val="15"/>
                            <w:lang w:eastAsia="zh-CN"/>
                          </w:rPr>
                        </w:pPr>
                      </w:p>
                      <w:p>
                        <w:pPr>
                          <w:pStyle w:val="58"/>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pPr>
                          <w:pStyle w:val="58"/>
                          <w:spacing w:before="12"/>
                          <w:rPr>
                            <w:rFonts w:ascii="宋体" w:hAnsi="宋体" w:cs="宋体"/>
                            <w:sz w:val="15"/>
                            <w:szCs w:val="15"/>
                          </w:rPr>
                        </w:pPr>
                      </w:p>
                      <w:p>
                        <w:pPr>
                          <w:pStyle w:val="58"/>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8"/>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tblPrEx>
                      <w:tblLayout w:type="fixed"/>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8"/>
                          <w:spacing w:before="3"/>
                          <w:rPr>
                            <w:rFonts w:ascii="宋体" w:hAnsi="宋体" w:cs="宋体"/>
                            <w:sz w:val="14"/>
                            <w:szCs w:val="14"/>
                            <w:lang w:eastAsia="zh-CN"/>
                          </w:rPr>
                        </w:pPr>
                      </w:p>
                      <w:p>
                        <w:pPr>
                          <w:pStyle w:val="58"/>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pPr>
                          <w:pStyle w:val="58"/>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spacing w:before="3"/>
                          <w:rPr>
                            <w:rFonts w:ascii="宋体" w:hAnsi="宋体" w:cs="宋体"/>
                            <w:sz w:val="14"/>
                            <w:szCs w:val="14"/>
                          </w:rPr>
                        </w:pPr>
                      </w:p>
                      <w:p>
                        <w:pPr>
                          <w:pStyle w:val="58"/>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pPr>
                          <w:pStyle w:val="58"/>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tblPrEx>
                      <w:tblLayout w:type="fixed"/>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能效等级》（GB20052）</w:t>
                        </w:r>
                      </w:p>
                    </w:tc>
                  </w:tr>
                  <w:tr>
                    <w:tblPrEx>
                      <w:tblLayout w:type="fixed"/>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8"/>
                          <w:spacing w:before="8"/>
                          <w:rPr>
                            <w:rFonts w:ascii="宋体" w:hAnsi="宋体" w:cs="宋体"/>
                            <w:sz w:val="21"/>
                            <w:szCs w:val="21"/>
                          </w:rPr>
                        </w:pPr>
                      </w:p>
                      <w:p>
                        <w:pPr>
                          <w:pStyle w:val="58"/>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pPr>
                          <w:pStyle w:val="58"/>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spacing w:before="8"/>
                          <w:rPr>
                            <w:rFonts w:ascii="宋体" w:hAnsi="宋体" w:cs="宋体"/>
                            <w:sz w:val="21"/>
                            <w:szCs w:val="21"/>
                          </w:rPr>
                        </w:pPr>
                      </w:p>
                      <w:p>
                        <w:pPr>
                          <w:pStyle w:val="58"/>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pPr>
                          <w:pStyle w:val="58"/>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tblPrEx>
                      <w:tblLayout w:type="fixed"/>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lang w:eastAsia="zh-CN"/>
                          </w:rPr>
                        </w:pPr>
                      </w:p>
                    </w:tc>
                  </w:tr>
                  <w:tr>
                    <w:tblPrEx>
                      <w:tblLayout w:type="fixed"/>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5"/>
                          <w:rPr>
                            <w:rFonts w:ascii="宋体" w:hAnsi="宋体" w:cs="宋体"/>
                            <w:sz w:val="18"/>
                            <w:szCs w:val="18"/>
                            <w:lang w:eastAsia="zh-CN"/>
                          </w:rPr>
                        </w:pPr>
                      </w:p>
                      <w:p>
                        <w:pPr>
                          <w:pStyle w:val="58"/>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spacing w:before="6"/>
                          <w:rPr>
                            <w:rFonts w:ascii="宋体" w:hAnsi="宋体" w:cs="宋体"/>
                            <w:sz w:val="26"/>
                            <w:szCs w:val="26"/>
                          </w:rPr>
                        </w:pPr>
                      </w:p>
                      <w:p>
                        <w:pPr>
                          <w:pStyle w:val="58"/>
                          <w:ind w:left="7"/>
                          <w:rPr>
                            <w:rFonts w:ascii="宋体" w:hAnsi="宋体" w:cs="宋体"/>
                            <w:sz w:val="20"/>
                            <w:szCs w:val="20"/>
                          </w:rPr>
                        </w:pPr>
                        <w:r>
                          <w:rPr>
                            <w:rFonts w:hint="eastAsia" w:ascii="宋体" w:hAnsi="宋体" w:cs="宋体"/>
                            <w:w w:val="99"/>
                            <w:sz w:val="20"/>
                            <w:szCs w:val="20"/>
                          </w:rPr>
                          <w:t>A020618生活</w:t>
                        </w:r>
                      </w:p>
                      <w:p>
                        <w:pPr>
                          <w:pStyle w:val="5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spacing w:before="1"/>
                          <w:rPr>
                            <w:rFonts w:ascii="宋体" w:hAnsi="宋体" w:cs="宋体"/>
                            <w:sz w:val="16"/>
                            <w:szCs w:val="16"/>
                          </w:rPr>
                        </w:pPr>
                      </w:p>
                      <w:p>
                        <w:pPr>
                          <w:pStyle w:val="58"/>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8"/>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tblPrEx>
                      <w:tblLayout w:type="fixed"/>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171"/>
                          <w:ind w:left="7"/>
                          <w:rPr>
                            <w:rFonts w:ascii="宋体" w:hAnsi="宋体" w:cs="宋体"/>
                            <w:sz w:val="20"/>
                            <w:szCs w:val="20"/>
                          </w:rPr>
                        </w:pPr>
                        <w:r>
                          <w:rPr>
                            <w:rFonts w:hint="eastAsia" w:ascii="宋体" w:hAnsi="宋体" w:cs="宋体"/>
                            <w:w w:val="99"/>
                            <w:sz w:val="20"/>
                            <w:szCs w:val="20"/>
                          </w:rPr>
                          <w:t>★A0206180203空调</w:t>
                        </w:r>
                      </w:p>
                      <w:p>
                        <w:pPr>
                          <w:pStyle w:val="58"/>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12"/>
                          <w:rPr>
                            <w:rFonts w:ascii="宋体" w:hAnsi="宋体" w:cs="宋体"/>
                            <w:sz w:val="19"/>
                            <w:szCs w:val="19"/>
                          </w:rPr>
                        </w:pPr>
                      </w:p>
                      <w:p>
                        <w:pPr>
                          <w:pStyle w:val="58"/>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pPr>
                          <w:pStyle w:val="58"/>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pPr>
                          <w:pStyle w:val="5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pPr>
                          <w:pStyle w:val="58"/>
                          <w:spacing w:line="256" w:lineRule="exact"/>
                          <w:ind w:left="7"/>
                          <w:rPr>
                            <w:rFonts w:ascii="宋体" w:hAnsi="宋体" w:cs="宋体"/>
                            <w:sz w:val="20"/>
                            <w:szCs w:val="20"/>
                          </w:rPr>
                        </w:pPr>
                        <w:r>
                          <w:rPr>
                            <w:rFonts w:hint="eastAsia" w:ascii="宋体" w:hAnsi="宋体" w:cs="宋体"/>
                            <w:w w:val="99"/>
                            <w:sz w:val="20"/>
                            <w:szCs w:val="20"/>
                          </w:rPr>
                          <w:t>实施。</w:t>
                        </w:r>
                      </w:p>
                    </w:tc>
                  </w:tr>
                  <w:tr>
                    <w:tblPrEx>
                      <w:tblLayout w:type="fixed"/>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pPr>
                          <w:pStyle w:val="58"/>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pPr>
                          <w:pStyle w:val="5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pPr>
                          <w:pStyle w:val="58"/>
                          <w:spacing w:before="2"/>
                          <w:rPr>
                            <w:rFonts w:ascii="宋体" w:hAnsi="宋体" w:cs="宋体"/>
                            <w:sz w:val="24"/>
                            <w:szCs w:val="24"/>
                            <w:lang w:eastAsia="zh-CN"/>
                          </w:rPr>
                        </w:pPr>
                      </w:p>
                      <w:p>
                        <w:pPr>
                          <w:pStyle w:val="58"/>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58"/>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tblPrEx>
                      <w:tblLayout w:type="fixed"/>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58"/>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pPr>
                          <w:pStyle w:val="58"/>
                          <w:spacing w:line="256" w:lineRule="exact"/>
                          <w:ind w:left="7"/>
                          <w:rPr>
                            <w:rFonts w:ascii="宋体" w:hAnsi="宋体" w:cs="宋体"/>
                            <w:sz w:val="20"/>
                            <w:szCs w:val="20"/>
                            <w:lang w:eastAsia="zh-CN"/>
                          </w:rPr>
                        </w:pPr>
                      </w:p>
                    </w:tc>
                  </w:tr>
                  <w:tr>
                    <w:tblPrEx>
                      <w:tblLayout w:type="fixed"/>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58"/>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8"/>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pPr>
                    <w:rPr>
                      <w:rFonts w:ascii="Calibri" w:hAnsi="Calibri"/>
                      <w:sz w:val="22"/>
                      <w:szCs w:val="22"/>
                    </w:rPr>
                  </w:pPr>
                </w:p>
              </w:txbxContent>
            </v:textbox>
          </v:shape>
        </w:pict>
      </w: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2"/>
        <w:rPr>
          <w:rFonts w:ascii="宋体" w:hAnsi="宋体" w:cs="宋体"/>
          <w:color w:val="auto"/>
          <w:sz w:val="23"/>
          <w:szCs w:val="23"/>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6"/>
        <w:rPr>
          <w:rFonts w:ascii="宋体" w:hAnsi="宋体" w:cs="宋体"/>
          <w:color w:val="auto"/>
          <w:sz w:val="29"/>
          <w:szCs w:val="29"/>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22"/>
          <w:szCs w:val="22"/>
          <w:highlight w:val="none"/>
        </w:rPr>
      </w:pPr>
    </w:p>
    <w:p>
      <w:pPr>
        <w:widowControl/>
        <w:jc w:val="left"/>
        <w:rPr>
          <w:rFonts w:ascii="宋体" w:hAnsi="宋体" w:cs="宋体"/>
          <w:color w:val="auto"/>
          <w:sz w:val="20"/>
          <w:szCs w:val="20"/>
          <w:highlight w:val="none"/>
        </w:rPr>
        <w:sectPr>
          <w:pgSz w:w="11910" w:h="16840"/>
          <w:pgMar w:top="1340" w:right="1500" w:bottom="280" w:left="1680" w:header="720" w:footer="720" w:gutter="0"/>
          <w:cols w:space="720" w:num="1"/>
        </w:sectPr>
      </w:pPr>
    </w:p>
    <w:p>
      <w:pPr>
        <w:rPr>
          <w:rFonts w:ascii="宋体" w:hAnsi="宋体" w:cs="宋体"/>
          <w:color w:val="auto"/>
          <w:sz w:val="20"/>
          <w:szCs w:val="20"/>
          <w:highlight w:val="none"/>
        </w:rPr>
      </w:pPr>
    </w:p>
    <w:p>
      <w:pPr>
        <w:rPr>
          <w:rFonts w:ascii="宋体" w:hAnsi="宋体" w:cs="宋体"/>
          <w:color w:val="auto"/>
          <w:sz w:val="20"/>
          <w:szCs w:val="20"/>
          <w:highlight w:val="none"/>
        </w:rPr>
      </w:pPr>
      <w:r>
        <w:rPr>
          <w:color w:val="auto"/>
          <w:highlight w:val="none"/>
        </w:rPr>
        <w:pict>
          <v:shape id="文本框 4" o:spid="_x0000_s1027" o:spt="202" type="#_x0000_t202" style="position:absolute;left:0pt;margin-left:65.15pt;margin-top:3.6pt;height:651.6pt;width:472pt;mso-position-horizontal-relative:page;z-index:251660288;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Nwl0NgAAAALAQAADwAAAAAAAAABACAAAAAiAAAAZHJzL2Rvd25yZXYu&#10;eG1sUEsBAhQAFAAAAAgAh07iQOVgZkbCAQAAgQMAAA4AAAAAAAAAAQAgAAAAJwEAAGRycy9lMm9E&#10;b2MueG1sUEsFBgAAAAAGAAYAWQEAAFsFAAAAAA==&#10;">
            <v:path/>
            <v:fill on="f" focussize="0,0"/>
            <v:stroke on="f" joinstyle="miter"/>
            <v:imagedata o:title=""/>
            <o:lock v:ext="edit"/>
            <v:textbox inset="0mm,0mm,0mm,0mm">
              <w:txbxContent>
                <w:tbl>
                  <w:tblPr>
                    <w:tblStyle w:val="28"/>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pPr>
                          <w:pStyle w:val="58"/>
                          <w:spacing w:before="12"/>
                          <w:rPr>
                            <w:rFonts w:ascii="宋体" w:hAnsi="宋体" w:cs="宋体"/>
                            <w:sz w:val="15"/>
                            <w:szCs w:val="15"/>
                          </w:rPr>
                        </w:pPr>
                      </w:p>
                      <w:p>
                        <w:pPr>
                          <w:pStyle w:val="58"/>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8"/>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8"/>
                          <w:spacing w:before="2"/>
                          <w:rPr>
                            <w:rFonts w:ascii="宋体" w:hAnsi="宋体" w:cs="宋体"/>
                            <w:sz w:val="24"/>
                            <w:szCs w:val="24"/>
                            <w:lang w:eastAsia="zh-CN"/>
                          </w:rPr>
                        </w:pPr>
                      </w:p>
                      <w:p>
                        <w:pPr>
                          <w:pStyle w:val="58"/>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8"/>
                          <w:rPr>
                            <w:rFonts w:ascii="宋体" w:hAnsi="宋体" w:cs="宋体"/>
                            <w:sz w:val="19"/>
                            <w:szCs w:val="19"/>
                            <w:lang w:eastAsia="zh-CN"/>
                          </w:rPr>
                        </w:pPr>
                      </w:p>
                      <w:p>
                        <w:pPr>
                          <w:pStyle w:val="58"/>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8"/>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8"/>
                          <w:spacing w:before="12"/>
                          <w:rPr>
                            <w:rFonts w:ascii="宋体" w:hAnsi="宋体" w:cs="宋体"/>
                            <w:sz w:val="15"/>
                            <w:szCs w:val="15"/>
                            <w:lang w:eastAsia="zh-CN"/>
                          </w:rPr>
                        </w:pPr>
                      </w:p>
                      <w:p>
                        <w:pPr>
                          <w:pStyle w:val="58"/>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pPr>
                          <w:pStyle w:val="5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12"/>
                          <w:rPr>
                            <w:rFonts w:ascii="宋体" w:hAnsi="宋体" w:cs="宋体"/>
                            <w:sz w:val="23"/>
                            <w:szCs w:val="23"/>
                            <w:lang w:eastAsia="zh-CN"/>
                          </w:rPr>
                        </w:pPr>
                      </w:p>
                      <w:p>
                        <w:pPr>
                          <w:pStyle w:val="58"/>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rPr>
                            <w:rFonts w:ascii="宋体" w:hAnsi="宋体" w:cs="宋体"/>
                            <w:sz w:val="20"/>
                            <w:szCs w:val="20"/>
                          </w:rPr>
                        </w:pPr>
                      </w:p>
                      <w:p>
                        <w:pPr>
                          <w:pStyle w:val="58"/>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58"/>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pPr>
                          <w:pStyle w:val="58"/>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8"/>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8"/>
                          <w:spacing w:before="4"/>
                          <w:rPr>
                            <w:rFonts w:ascii="宋体" w:hAnsi="宋体" w:cs="宋体"/>
                            <w:sz w:val="18"/>
                            <w:szCs w:val="18"/>
                            <w:lang w:eastAsia="zh-CN"/>
                          </w:rPr>
                        </w:pPr>
                      </w:p>
                      <w:p>
                        <w:pPr>
                          <w:pStyle w:val="58"/>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8"/>
                          <w:spacing w:before="5"/>
                          <w:rPr>
                            <w:rFonts w:ascii="宋体" w:hAnsi="宋体" w:cs="宋体"/>
                            <w:sz w:val="15"/>
                            <w:szCs w:val="15"/>
                            <w:lang w:eastAsia="zh-CN"/>
                          </w:rPr>
                        </w:pPr>
                      </w:p>
                      <w:p>
                        <w:pPr>
                          <w:pStyle w:val="58"/>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5"/>
                          <w:rPr>
                            <w:rFonts w:ascii="宋体" w:hAnsi="宋体" w:cs="宋体"/>
                            <w:sz w:val="15"/>
                            <w:szCs w:val="15"/>
                            <w:lang w:eastAsia="zh-CN"/>
                          </w:rPr>
                        </w:pPr>
                      </w:p>
                      <w:p>
                        <w:pPr>
                          <w:pStyle w:val="58"/>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pPr>
                          <w:pStyle w:val="58"/>
                          <w:spacing w:before="1"/>
                          <w:rPr>
                            <w:rFonts w:ascii="宋体" w:hAnsi="宋体" w:cs="宋体"/>
                            <w:sz w:val="18"/>
                            <w:szCs w:val="18"/>
                            <w:lang w:eastAsia="zh-CN"/>
                          </w:rPr>
                        </w:pPr>
                      </w:p>
                      <w:p>
                        <w:pPr>
                          <w:pStyle w:val="58"/>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pPr>
                          <w:pStyle w:val="58"/>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58"/>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pPr>
                          <w:pStyle w:val="58"/>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10"/>
                          <w:rPr>
                            <w:rFonts w:ascii="宋体" w:hAnsi="宋体" w:cs="宋体"/>
                            <w:sz w:val="21"/>
                            <w:szCs w:val="21"/>
                            <w:lang w:eastAsia="zh-CN"/>
                          </w:rPr>
                        </w:pPr>
                      </w:p>
                      <w:p>
                        <w:pPr>
                          <w:pStyle w:val="58"/>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rPr>
                        </w:pPr>
                      </w:p>
                      <w:p>
                        <w:pPr>
                          <w:pStyle w:val="58"/>
                          <w:spacing w:before="11"/>
                          <w:rPr>
                            <w:rFonts w:ascii="宋体" w:hAnsi="宋体" w:cs="宋体"/>
                            <w:sz w:val="29"/>
                            <w:szCs w:val="29"/>
                          </w:rPr>
                        </w:pPr>
                      </w:p>
                      <w:p>
                        <w:pPr>
                          <w:pStyle w:val="5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58"/>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rPr>
                        </w:pPr>
                      </w:p>
                      <w:p>
                        <w:pPr>
                          <w:pStyle w:val="58"/>
                          <w:spacing w:before="11"/>
                          <w:rPr>
                            <w:rFonts w:ascii="宋体" w:hAnsi="宋体" w:cs="宋体"/>
                            <w:sz w:val="29"/>
                            <w:szCs w:val="29"/>
                          </w:rPr>
                        </w:pPr>
                      </w:p>
                      <w:p>
                        <w:pPr>
                          <w:pStyle w:val="5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10"/>
                          <w:rPr>
                            <w:rFonts w:ascii="宋体" w:hAnsi="宋体" w:cs="宋体"/>
                            <w:sz w:val="21"/>
                            <w:szCs w:val="21"/>
                          </w:rPr>
                        </w:pPr>
                      </w:p>
                      <w:p>
                        <w:pPr>
                          <w:pStyle w:val="58"/>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pPr>
                          <w:pStyle w:val="58"/>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pPr>
                          <w:pStyle w:val="58"/>
                          <w:spacing w:before="10"/>
                          <w:rPr>
                            <w:rFonts w:ascii="宋体" w:hAnsi="宋体" w:cs="宋体"/>
                            <w:sz w:val="17"/>
                            <w:szCs w:val="17"/>
                            <w:lang w:eastAsia="zh-CN"/>
                          </w:rPr>
                        </w:pPr>
                      </w:p>
                      <w:p>
                        <w:pPr>
                          <w:pStyle w:val="58"/>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pPr>
                          <w:pStyle w:val="58"/>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58"/>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pPr>
                          <w:pStyle w:val="58"/>
                          <w:spacing w:before="10"/>
                          <w:rPr>
                            <w:rFonts w:ascii="宋体" w:hAnsi="宋体" w:cs="宋体"/>
                            <w:sz w:val="17"/>
                            <w:szCs w:val="17"/>
                          </w:rPr>
                        </w:pPr>
                      </w:p>
                      <w:p>
                        <w:pPr>
                          <w:pStyle w:val="58"/>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rPr>
                            <w:rFonts w:ascii="宋体" w:hAnsi="宋体" w:cs="宋体"/>
                            <w:sz w:val="20"/>
                            <w:szCs w:val="20"/>
                            <w:lang w:eastAsia="zh-CN"/>
                          </w:rPr>
                        </w:pPr>
                      </w:p>
                      <w:p>
                        <w:pPr>
                          <w:pStyle w:val="58"/>
                          <w:spacing w:before="1"/>
                          <w:rPr>
                            <w:rFonts w:ascii="宋体" w:hAnsi="宋体" w:cs="宋体"/>
                            <w:sz w:val="29"/>
                            <w:szCs w:val="29"/>
                            <w:lang w:eastAsia="zh-CN"/>
                          </w:rPr>
                        </w:pPr>
                      </w:p>
                      <w:p>
                        <w:pPr>
                          <w:pStyle w:val="58"/>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pPr>
                          <w:pStyle w:val="58"/>
                          <w:rPr>
                            <w:rFonts w:ascii="宋体" w:hAnsi="宋体" w:cs="宋体"/>
                            <w:sz w:val="20"/>
                            <w:szCs w:val="20"/>
                          </w:rPr>
                        </w:pPr>
                      </w:p>
                      <w:p>
                        <w:pPr>
                          <w:pStyle w:val="58"/>
                          <w:rPr>
                            <w:rFonts w:ascii="宋体" w:hAnsi="宋体" w:cs="宋体"/>
                            <w:sz w:val="20"/>
                            <w:szCs w:val="20"/>
                          </w:rPr>
                        </w:pPr>
                      </w:p>
                      <w:p>
                        <w:pPr>
                          <w:pStyle w:val="58"/>
                          <w:spacing w:before="9"/>
                          <w:rPr>
                            <w:rFonts w:ascii="宋体" w:hAnsi="宋体" w:cs="宋体"/>
                            <w:sz w:val="17"/>
                            <w:szCs w:val="17"/>
                          </w:rPr>
                        </w:pPr>
                      </w:p>
                      <w:p>
                        <w:pPr>
                          <w:pStyle w:val="58"/>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pPr>
                          <w:pStyle w:val="58"/>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pPr>
                          <w:pStyle w:val="58"/>
                          <w:spacing w:before="5"/>
                          <w:rPr>
                            <w:rFonts w:ascii="宋体" w:hAnsi="宋体" w:cs="宋体"/>
                            <w:sz w:val="21"/>
                            <w:szCs w:val="21"/>
                          </w:rPr>
                        </w:pPr>
                      </w:p>
                      <w:p>
                        <w:pPr>
                          <w:pStyle w:val="58"/>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5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pPr>
                          <w:pStyle w:val="58"/>
                          <w:spacing w:before="5"/>
                          <w:rPr>
                            <w:rFonts w:ascii="宋体" w:hAnsi="宋体" w:cs="宋体"/>
                            <w:sz w:val="21"/>
                            <w:szCs w:val="21"/>
                          </w:rPr>
                        </w:pPr>
                      </w:p>
                      <w:p>
                        <w:pPr>
                          <w:pStyle w:val="58"/>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8"/>
                          <w:spacing w:before="5"/>
                          <w:rPr>
                            <w:rFonts w:ascii="宋体" w:hAnsi="宋体" w:cs="宋体"/>
                            <w:sz w:val="21"/>
                            <w:szCs w:val="21"/>
                            <w:lang w:eastAsia="zh-CN"/>
                          </w:rPr>
                        </w:pPr>
                      </w:p>
                      <w:p>
                        <w:pPr>
                          <w:pStyle w:val="58"/>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v:textbox>
          </v:shape>
        </w:pict>
      </w: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13"/>
        <w:rPr>
          <w:rFonts w:ascii="宋体" w:hAnsi="宋体" w:cs="宋体"/>
          <w:color w:val="auto"/>
          <w:sz w:val="24"/>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29"/>
          <w:szCs w:val="29"/>
          <w:highlight w:val="none"/>
        </w:rPr>
      </w:pPr>
    </w:p>
    <w:p>
      <w:pPr>
        <w:widowControl/>
        <w:jc w:val="left"/>
        <w:rPr>
          <w:rFonts w:ascii="宋体" w:hAnsi="宋体" w:cs="宋体"/>
          <w:color w:val="auto"/>
          <w:sz w:val="20"/>
          <w:szCs w:val="20"/>
          <w:highlight w:val="none"/>
        </w:rPr>
      </w:pPr>
    </w:p>
    <w:p>
      <w:pPr>
        <w:spacing w:before="4"/>
        <w:rPr>
          <w:rFonts w:ascii="宋体" w:hAnsi="宋体" w:cs="宋体"/>
          <w:color w:val="auto"/>
          <w:sz w:val="6"/>
          <w:szCs w:val="6"/>
          <w:highlight w:val="none"/>
        </w:rPr>
      </w:pPr>
      <w:r>
        <w:rPr>
          <w:rFonts w:ascii="宋体" w:hAnsi="宋体" w:cs="宋体"/>
          <w:color w:val="auto"/>
          <w:sz w:val="20"/>
          <w:szCs w:val="20"/>
          <w:highlight w:val="none"/>
        </w:rPr>
        <w:br w:type="page"/>
      </w:r>
    </w:p>
    <w:tbl>
      <w:tblPr>
        <w:tblStyle w:val="28"/>
        <w:tblW w:w="9120" w:type="dxa"/>
        <w:tblInd w:w="-339" w:type="dxa"/>
        <w:tblLayout w:type="fixed"/>
        <w:tblCellMar>
          <w:top w:w="0" w:type="dxa"/>
          <w:left w:w="0" w:type="dxa"/>
          <w:bottom w:w="0" w:type="dxa"/>
          <w:right w:w="0" w:type="dxa"/>
        </w:tblCellMar>
      </w:tblPr>
      <w:tblGrid>
        <w:gridCol w:w="615"/>
        <w:gridCol w:w="1290"/>
        <w:gridCol w:w="2077"/>
        <w:gridCol w:w="1373"/>
        <w:gridCol w:w="3765"/>
      </w:tblGrid>
      <w:tr>
        <w:tblPrEx>
          <w:tblLayout w:type="fixed"/>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pPr>
              <w:pStyle w:val="58"/>
              <w:spacing w:before="8"/>
              <w:rPr>
                <w:rFonts w:ascii="宋体" w:hAnsi="宋体" w:cs="宋体"/>
                <w:color w:val="auto"/>
                <w:sz w:val="23"/>
                <w:szCs w:val="23"/>
                <w:highlight w:val="none"/>
                <w:lang w:eastAsia="zh-CN"/>
              </w:rPr>
            </w:pPr>
          </w:p>
          <w:p>
            <w:pPr>
              <w:pStyle w:val="58"/>
              <w:ind w:left="182"/>
              <w:rPr>
                <w:rFonts w:ascii="宋体" w:hAnsi="宋体" w:cs="宋体"/>
                <w:color w:val="auto"/>
                <w:sz w:val="20"/>
                <w:szCs w:val="20"/>
                <w:highlight w:val="none"/>
              </w:rPr>
            </w:pPr>
            <w:r>
              <w:rPr>
                <w:rFonts w:hint="eastAsia" w:ascii="宋体"/>
                <w:color w:val="auto"/>
                <w:sz w:val="20"/>
                <w:highlight w:val="none"/>
              </w:rPr>
              <w:t>16</w:t>
            </w:r>
          </w:p>
        </w:tc>
        <w:tc>
          <w:tcPr>
            <w:tcW w:w="1290" w:type="dxa"/>
            <w:tcBorders>
              <w:top w:val="single" w:color="000000" w:sz="4" w:space="0"/>
              <w:left w:val="single" w:color="000000" w:sz="4" w:space="0"/>
              <w:bottom w:val="single" w:color="000000" w:sz="4" w:space="0"/>
              <w:right w:val="single" w:color="000000" w:sz="4" w:space="0"/>
            </w:tcBorders>
          </w:tcPr>
          <w:p>
            <w:pPr>
              <w:pStyle w:val="58"/>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5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pPr>
              <w:pStyle w:val="58"/>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Layout w:type="fixed"/>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pPr>
              <w:pStyle w:val="58"/>
              <w:spacing w:before="6"/>
              <w:rPr>
                <w:rFonts w:ascii="宋体" w:hAnsi="宋体" w:cs="宋体"/>
                <w:color w:val="auto"/>
                <w:sz w:val="20"/>
                <w:szCs w:val="20"/>
                <w:highlight w:val="none"/>
                <w:lang w:eastAsia="zh-CN"/>
              </w:rPr>
            </w:pPr>
          </w:p>
          <w:p>
            <w:pPr>
              <w:pStyle w:val="58"/>
              <w:ind w:left="182"/>
              <w:rPr>
                <w:rFonts w:ascii="宋体" w:hAnsi="宋体" w:cs="宋体"/>
                <w:color w:val="auto"/>
                <w:sz w:val="20"/>
                <w:szCs w:val="20"/>
                <w:highlight w:val="none"/>
              </w:rPr>
            </w:pPr>
            <w:r>
              <w:rPr>
                <w:rFonts w:hint="eastAsia" w:ascii="宋体"/>
                <w:color w:val="auto"/>
                <w:sz w:val="20"/>
                <w:highlight w:val="none"/>
              </w:rPr>
              <w:t>17</w:t>
            </w:r>
          </w:p>
        </w:tc>
        <w:tc>
          <w:tcPr>
            <w:tcW w:w="1290" w:type="dxa"/>
            <w:tcBorders>
              <w:top w:val="single" w:color="000000" w:sz="4" w:space="0"/>
              <w:left w:val="single" w:color="000000" w:sz="4" w:space="0"/>
              <w:bottom w:val="single" w:color="000000" w:sz="4" w:space="0"/>
              <w:right w:val="single" w:color="000000" w:sz="4" w:space="0"/>
            </w:tcBorders>
          </w:tcPr>
          <w:p>
            <w:pPr>
              <w:pStyle w:val="58"/>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58"/>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pPr>
              <w:pStyle w:val="58"/>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Layout w:type="fixed"/>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pPr>
              <w:pStyle w:val="58"/>
              <w:spacing w:before="12"/>
              <w:rPr>
                <w:rFonts w:ascii="宋体" w:hAnsi="宋体" w:cs="宋体"/>
                <w:color w:val="auto"/>
                <w:sz w:val="21"/>
                <w:szCs w:val="21"/>
                <w:highlight w:val="none"/>
                <w:lang w:eastAsia="zh-CN"/>
              </w:rPr>
            </w:pPr>
          </w:p>
          <w:p>
            <w:pPr>
              <w:pStyle w:val="58"/>
              <w:ind w:left="182"/>
              <w:rPr>
                <w:rFonts w:ascii="宋体" w:hAnsi="宋体" w:cs="宋体"/>
                <w:color w:val="auto"/>
                <w:sz w:val="20"/>
                <w:szCs w:val="20"/>
                <w:highlight w:val="none"/>
              </w:rPr>
            </w:pPr>
            <w:r>
              <w:rPr>
                <w:rFonts w:hint="eastAsia" w:ascii="宋体"/>
                <w:color w:val="auto"/>
                <w:sz w:val="20"/>
                <w:highlight w:val="none"/>
              </w:rPr>
              <w:t>18</w:t>
            </w:r>
          </w:p>
        </w:tc>
        <w:tc>
          <w:tcPr>
            <w:tcW w:w="1290" w:type="dxa"/>
            <w:tcBorders>
              <w:top w:val="single" w:color="000000" w:sz="4" w:space="0"/>
              <w:left w:val="single" w:color="000000" w:sz="4" w:space="0"/>
              <w:bottom w:val="single" w:color="000000" w:sz="4" w:space="0"/>
              <w:right w:val="single" w:color="000000" w:sz="4" w:space="0"/>
            </w:tcBorders>
          </w:tcPr>
          <w:p>
            <w:pPr>
              <w:pStyle w:val="58"/>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58"/>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pPr>
              <w:pStyle w:val="58"/>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pStyle w:val="10"/>
        <w:spacing w:line="360" w:lineRule="auto"/>
        <w:rPr>
          <w:color w:val="auto"/>
          <w:spacing w:val="-3"/>
          <w:szCs w:val="21"/>
          <w:highlight w:val="none"/>
        </w:rPr>
      </w:pPr>
      <w:r>
        <w:rPr>
          <w:rFonts w:hint="eastAsia"/>
          <w:color w:val="auto"/>
          <w:spacing w:val="-3"/>
          <w:szCs w:val="21"/>
          <w:highlight w:val="none"/>
        </w:rPr>
        <w:t>注：</w:t>
      </w:r>
    </w:p>
    <w:p>
      <w:pPr>
        <w:pStyle w:val="10"/>
        <w:spacing w:line="360" w:lineRule="auto"/>
        <w:rPr>
          <w:rFonts w:ascii="宋体" w:hAnsi="宋体"/>
          <w:color w:val="auto"/>
          <w:szCs w:val="21"/>
          <w:highlight w:val="none"/>
        </w:rPr>
      </w:pP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0"/>
        <w:spacing w:line="360" w:lineRule="auto"/>
        <w:rPr>
          <w:color w:val="auto"/>
          <w:szCs w:val="21"/>
          <w:highlight w:val="none"/>
        </w:rPr>
      </w:pPr>
      <w:r>
        <w:rPr>
          <w:color w:val="auto"/>
          <w:szCs w:val="21"/>
          <w:highlight w:val="none"/>
        </w:rPr>
        <w:t>2.</w:t>
      </w:r>
      <w:r>
        <w:rPr>
          <w:rFonts w:hint="eastAsia"/>
          <w:color w:val="auto"/>
          <w:szCs w:val="21"/>
          <w:highlight w:val="none"/>
        </w:rPr>
        <w:t>以</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标注的为政府强制采购产品。</w:t>
      </w:r>
    </w:p>
    <w:p>
      <w:pPr>
        <w:rPr>
          <w:rFonts w:ascii="宋体" w:hAnsi="宋体" w:cs="宋体"/>
          <w:color w:val="auto"/>
          <w:sz w:val="20"/>
          <w:szCs w:val="20"/>
          <w:highlight w:val="none"/>
        </w:rPr>
      </w:pPr>
      <w:r>
        <w:rPr>
          <w:rFonts w:ascii="宋体" w:hAnsi="宋体" w:cs="宋体"/>
          <w:color w:val="auto"/>
          <w:sz w:val="20"/>
          <w:szCs w:val="20"/>
          <w:highlight w:val="none"/>
        </w:rPr>
        <w:br w:type="page"/>
      </w:r>
    </w:p>
    <w:p>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pStyle w:val="10"/>
        <w:jc w:val="center"/>
        <w:rPr>
          <w:b/>
          <w:color w:val="auto"/>
          <w:sz w:val="28"/>
          <w:szCs w:val="28"/>
          <w:highlight w:val="none"/>
        </w:rPr>
      </w:pPr>
      <w:r>
        <w:rPr>
          <w:rFonts w:hint="eastAsia"/>
          <w:b/>
          <w:color w:val="auto"/>
          <w:sz w:val="28"/>
          <w:szCs w:val="28"/>
          <w:highlight w:val="none"/>
        </w:rPr>
        <w:t>中小企业划型标准规定</w:t>
      </w:r>
    </w:p>
    <w:p>
      <w:pPr>
        <w:pStyle w:val="10"/>
        <w:jc w:val="center"/>
        <w:rPr>
          <w:rFonts w:ascii="宋体" w:hAnsi="宋体"/>
          <w:color w:val="auto"/>
          <w:szCs w:val="21"/>
          <w:highlight w:val="none"/>
        </w:rPr>
      </w:pPr>
      <w:r>
        <w:rPr>
          <w:rFonts w:hint="eastAsia" w:ascii="宋体" w:hAnsi="宋体"/>
          <w:color w:val="auto"/>
          <w:szCs w:val="21"/>
          <w:highlight w:val="none"/>
        </w:rPr>
        <w:t>工信部联企业〔2011〕300号</w:t>
      </w:r>
    </w:p>
    <w:p>
      <w:pPr>
        <w:pStyle w:val="10"/>
        <w:rPr>
          <w:color w:val="auto"/>
          <w:szCs w:val="21"/>
          <w:highlight w:val="none"/>
        </w:rPr>
      </w:pPr>
    </w:p>
    <w:p>
      <w:pPr>
        <w:pStyle w:val="10"/>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国发〔2009〕36号</w:t>
      </w:r>
      <w:r>
        <w:rPr>
          <w:color w:val="auto"/>
          <w:szCs w:val="21"/>
          <w:highlight w:val="none"/>
        </w:rPr>
        <w:t>)</w:t>
      </w:r>
      <w:r>
        <w:rPr>
          <w:rFonts w:hint="eastAsia"/>
          <w:color w:val="auto"/>
          <w:szCs w:val="21"/>
          <w:highlight w:val="none"/>
        </w:rPr>
        <w:t>，制定本规定。</w:t>
      </w:r>
    </w:p>
    <w:p>
      <w:pPr>
        <w:pStyle w:val="10"/>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pPr>
        <w:pStyle w:val="10"/>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0"/>
        <w:rPr>
          <w:color w:val="auto"/>
          <w:szCs w:val="21"/>
          <w:highlight w:val="none"/>
        </w:rPr>
      </w:pPr>
      <w:r>
        <w:rPr>
          <w:rFonts w:hint="eastAsia"/>
          <w:color w:val="auto"/>
          <w:szCs w:val="21"/>
          <w:highlight w:val="none"/>
        </w:rPr>
        <w:t>　　四、各行业划型标准为：</w:t>
      </w:r>
    </w:p>
    <w:p>
      <w:pPr>
        <w:pStyle w:val="10"/>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pPr>
        <w:pStyle w:val="10"/>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pPr>
        <w:pStyle w:val="10"/>
        <w:rPr>
          <w:color w:val="auto"/>
          <w:szCs w:val="21"/>
          <w:highlight w:val="none"/>
        </w:rPr>
      </w:pPr>
      <w:r>
        <w:rPr>
          <w:rFonts w:hint="eastAsia"/>
          <w:color w:val="auto"/>
          <w:szCs w:val="21"/>
          <w:highlight w:val="none"/>
        </w:rPr>
        <w:t>　　五、企业类型的划分以统计部门的统计数据为依据。</w:t>
      </w:r>
    </w:p>
    <w:p>
      <w:pPr>
        <w:pStyle w:val="10"/>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pPr>
        <w:pStyle w:val="10"/>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0"/>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pPr>
        <w:pStyle w:val="10"/>
        <w:rPr>
          <w:color w:val="auto"/>
          <w:szCs w:val="21"/>
          <w:highlight w:val="none"/>
        </w:rPr>
      </w:pPr>
      <w:r>
        <w:rPr>
          <w:rFonts w:hint="eastAsia"/>
          <w:color w:val="auto"/>
          <w:szCs w:val="21"/>
          <w:highlight w:val="none"/>
        </w:rPr>
        <w:t>　　九、本规定由工业和信息化部、国家统计局会同有关部门负责解释。</w:t>
      </w:r>
    </w:p>
    <w:p>
      <w:pPr>
        <w:pStyle w:val="10"/>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pPr>
        <w:widowControl/>
        <w:jc w:val="left"/>
        <w:rPr>
          <w:rFonts w:ascii="宋体" w:hAnsi="宋体" w:cs="宋体"/>
          <w:color w:val="auto"/>
          <w:sz w:val="20"/>
          <w:szCs w:val="20"/>
          <w:highlight w:val="none"/>
        </w:rPr>
      </w:pPr>
    </w:p>
    <w:p>
      <w:pPr>
        <w:pStyle w:val="2"/>
        <w:jc w:val="center"/>
        <w:rPr>
          <w:color w:val="auto"/>
          <w:highlight w:val="none"/>
        </w:rPr>
      </w:pPr>
      <w:r>
        <w:rPr>
          <w:rFonts w:ascii="宋体" w:hAnsi="宋体" w:cs="宋体"/>
          <w:color w:val="auto"/>
          <w:sz w:val="20"/>
          <w:szCs w:val="20"/>
          <w:highlight w:val="none"/>
        </w:rPr>
        <w:br w:type="page"/>
      </w:r>
      <w:bookmarkStart w:id="152" w:name="_Toc26130"/>
      <w:r>
        <w:rPr>
          <w:rFonts w:hint="eastAsia"/>
          <w:color w:val="auto"/>
          <w:highlight w:val="none"/>
        </w:rPr>
        <w:t>第四章</w:t>
      </w:r>
      <w:bookmarkStart w:id="153" w:name="_Hlk68601507"/>
      <w:r>
        <w:rPr>
          <w:rFonts w:hint="eastAsia"/>
          <w:color w:val="auto"/>
          <w:highlight w:val="none"/>
        </w:rPr>
        <w:t>评审程序和评定成交的标准</w:t>
      </w:r>
      <w:bookmarkEnd w:id="152"/>
      <w:bookmarkEnd w:id="153"/>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154"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154"/>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pPr>
        <w:spacing w:line="360" w:lineRule="auto"/>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-6%的扣除，用扣除后的价格参加评审，扣除后的价格为评审价，即评审价=竞标报价×（1-4%）。除上述情况外，评审价=竞标报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pPr>
        <w:rPr>
          <w:rFonts w:ascii="宋体" w:hAnsi="宋体" w:cs="宋体"/>
          <w:color w:val="auto"/>
          <w:highlight w:val="none"/>
        </w:rPr>
      </w:pPr>
      <w:r>
        <w:rPr>
          <w:rFonts w:ascii="宋体" w:hAnsi="宋体" w:cs="宋体"/>
          <w:color w:val="auto"/>
          <w:highlight w:val="none"/>
        </w:rPr>
        <w:br w:type="page"/>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成交候选人推荐</w:t>
      </w:r>
    </w:p>
    <w:p>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pPr>
        <w:spacing w:line="360" w:lineRule="auto"/>
        <w:ind w:firstLine="420" w:firstLineChars="200"/>
        <w:rPr>
          <w:rFonts w:ascii="宋体" w:hAnsi="宋体" w:cs="宋体"/>
          <w:color w:val="auto"/>
          <w:highlight w:val="none"/>
        </w:rPr>
      </w:pPr>
    </w:p>
    <w:p>
      <w:pPr>
        <w:pStyle w:val="2"/>
        <w:jc w:val="center"/>
        <w:rPr>
          <w:color w:val="auto"/>
          <w:highlight w:val="none"/>
        </w:rPr>
      </w:pP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jc w:val="center"/>
        <w:rPr>
          <w:color w:val="auto"/>
          <w:highlight w:val="none"/>
        </w:rPr>
      </w:pPr>
      <w:bookmarkStart w:id="155" w:name="_Toc20203"/>
      <w:r>
        <w:rPr>
          <w:rFonts w:hint="eastAsia"/>
          <w:color w:val="auto"/>
          <w:highlight w:val="none"/>
        </w:rPr>
        <w:t>第五章响应文件格式</w:t>
      </w:r>
      <w:bookmarkEnd w:id="155"/>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b/>
          <w:color w:val="auto"/>
          <w:sz w:val="32"/>
          <w:szCs w:val="32"/>
          <w:highlight w:val="none"/>
        </w:rPr>
      </w:pPr>
      <w:r>
        <w:rPr>
          <w:rFonts w:ascii="宋体" w:hAnsi="宋体"/>
          <w:bCs/>
          <w:color w:val="auto"/>
          <w:sz w:val="24"/>
          <w:highlight w:val="none"/>
        </w:rPr>
        <w:br w:type="page"/>
      </w:r>
      <w:bookmarkStart w:id="156" w:name="_Toc71365382"/>
      <w:bookmarkStart w:id="157" w:name="_Toc71366060"/>
      <w:r>
        <w:rPr>
          <w:rFonts w:hint="eastAsia"/>
          <w:b/>
          <w:color w:val="auto"/>
          <w:sz w:val="32"/>
          <w:szCs w:val="32"/>
          <w:highlight w:val="none"/>
        </w:rPr>
        <w:t>一、资格证明文件格式</w:t>
      </w:r>
      <w:bookmarkEnd w:id="156"/>
      <w:bookmarkEnd w:id="157"/>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pPr>
        <w:snapToGrid w:val="0"/>
        <w:spacing w:before="120" w:beforeLines="50" w:after="50"/>
        <w:rPr>
          <w:rFonts w:ascii="宋体" w:hAnsi="宋体"/>
          <w:bCs/>
          <w:color w:val="auto"/>
          <w:sz w:val="32"/>
          <w:szCs w:val="20"/>
          <w:highlight w:val="none"/>
        </w:rPr>
      </w:pPr>
    </w:p>
    <w:p>
      <w:pPr>
        <w:snapToGrid w:val="0"/>
        <w:spacing w:before="120" w:beforeLines="50" w:after="50"/>
        <w:jc w:val="center"/>
        <w:rPr>
          <w:rFonts w:ascii="宋体" w:hAnsi="宋体"/>
          <w:color w:val="auto"/>
          <w:sz w:val="44"/>
          <w:szCs w:val="44"/>
          <w:highlight w:val="none"/>
        </w:rPr>
      </w:pPr>
      <w:r>
        <w:rPr>
          <w:rFonts w:hint="eastAsia" w:ascii="宋体" w:hAnsi="宋体"/>
          <w:color w:val="auto"/>
          <w:sz w:val="44"/>
          <w:szCs w:val="44"/>
          <w:highlight w:val="none"/>
        </w:rPr>
        <w:t>电子响应文件</w:t>
      </w: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120" w:beforeLines="50" w:after="50"/>
        <w:ind w:firstLine="640" w:firstLineChars="200"/>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 xml:space="preserve">年  月  日 </w:t>
      </w:r>
    </w:p>
    <w:p>
      <w:pPr>
        <w:snapToGrid w:val="0"/>
        <w:spacing w:before="120"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pPr>
        <w:snapToGrid w:val="0"/>
        <w:spacing w:before="120" w:beforeLines="50" w:after="50" w:line="360" w:lineRule="auto"/>
        <w:rPr>
          <w:rFonts w:ascii="宋体" w:hAnsi="宋体"/>
          <w:color w:val="auto"/>
          <w:sz w:val="24"/>
          <w:szCs w:val="20"/>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20" w:lineRule="exact"/>
        <w:jc w:val="left"/>
        <w:rPr>
          <w:rFonts w:ascii="宋体" w:hAnsi="宋体"/>
          <w:color w:val="auto"/>
          <w:szCs w:val="21"/>
          <w:highlight w:val="none"/>
        </w:rPr>
      </w:pPr>
    </w:p>
    <w:p>
      <w:pPr>
        <w:snapToGrid w:val="0"/>
        <w:spacing w:before="120" w:beforeLines="50" w:after="50"/>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供应商直接控股股东信息表</w:t>
      </w:r>
    </w:p>
    <w:p>
      <w:pPr>
        <w:snapToGrid w:val="0"/>
        <w:spacing w:before="50" w:after="120" w:afterLines="50"/>
        <w:jc w:val="center"/>
        <w:rPr>
          <w:rFonts w:ascii="宋体" w:hAnsi="宋体"/>
          <w:b/>
          <w:color w:val="auto"/>
          <w:sz w:val="32"/>
          <w:szCs w:val="32"/>
          <w:highlight w:val="none"/>
        </w:rPr>
      </w:pPr>
    </w:p>
    <w:tbl>
      <w:tblPr>
        <w:tblStyle w:val="28"/>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pPr>
        <w:spacing w:line="360" w:lineRule="auto"/>
        <w:ind w:firstLine="420" w:firstLineChars="200"/>
        <w:contextualSpacing/>
        <w:jc w:val="left"/>
        <w:rPr>
          <w:rFonts w:ascii="宋体" w:hAnsi="宋体" w:cs="宋体"/>
          <w:color w:val="auto"/>
          <w:szCs w:val="21"/>
          <w:highlight w:val="none"/>
        </w:rPr>
      </w:pPr>
    </w:p>
    <w:p>
      <w:pPr>
        <w:spacing w:line="360" w:lineRule="auto"/>
        <w:ind w:firstLine="560" w:firstLineChars="200"/>
        <w:contextualSpacing/>
        <w:jc w:val="left"/>
        <w:rPr>
          <w:rFonts w:ascii="宋体" w:hAnsi="宋体" w:cs="宋体"/>
          <w:color w:val="auto"/>
          <w:sz w:val="28"/>
          <w:szCs w:val="28"/>
          <w:highlight w:val="none"/>
        </w:rPr>
      </w:pPr>
    </w:p>
    <w:p>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p>
    <w:p>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napToGrid w:val="0"/>
        <w:jc w:val="center"/>
        <w:rPr>
          <w:rFonts w:ascii="宋体" w:hAnsi="宋体"/>
          <w:b/>
          <w:color w:val="auto"/>
          <w:sz w:val="32"/>
          <w:szCs w:val="32"/>
          <w:highlight w:val="none"/>
        </w:rPr>
      </w:pPr>
    </w:p>
    <w:tbl>
      <w:tblPr>
        <w:tblStyle w:val="28"/>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bl>
    <w:p>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pPr>
        <w:spacing w:line="360" w:lineRule="auto"/>
        <w:contextualSpacing/>
        <w:jc w:val="left"/>
        <w:rPr>
          <w:rFonts w:ascii="宋体" w:hAnsi="宋体"/>
          <w:color w:val="auto"/>
          <w:sz w:val="28"/>
          <w:szCs w:val="28"/>
          <w:highlight w:val="none"/>
        </w:rPr>
      </w:pPr>
    </w:p>
    <w:p>
      <w:pPr>
        <w:spacing w:line="360" w:lineRule="auto"/>
        <w:contextualSpacing/>
        <w:jc w:val="left"/>
        <w:rPr>
          <w:rFonts w:ascii="宋体" w:hAnsi="宋体"/>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rFonts w:ascii="宋体" w:hAnsi="宋体"/>
          <w:color w:val="auto"/>
          <w:sz w:val="28"/>
          <w:szCs w:val="28"/>
          <w:highlight w:val="none"/>
        </w:rPr>
      </w:pPr>
    </w:p>
    <w:p>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供应商名称（电子签章）：</w:t>
      </w:r>
    </w:p>
    <w:p>
      <w:pPr>
        <w:spacing w:line="500" w:lineRule="exact"/>
        <w:jc w:val="center"/>
        <w:rPr>
          <w:rFonts w:ascii="方正小标宋简体" w:hAnsi="宋体" w:eastAsia="方正小标宋简体"/>
          <w:b/>
          <w:color w:val="auto"/>
          <w:sz w:val="32"/>
          <w:szCs w:val="32"/>
          <w:highlight w:val="none"/>
        </w:rPr>
      </w:pPr>
      <w:r>
        <w:rPr>
          <w:rFonts w:hint="eastAsia" w:ascii="宋体" w:hAnsi="宋体"/>
          <w:color w:val="auto"/>
          <w:sz w:val="24"/>
          <w:highlight w:val="none"/>
        </w:rPr>
        <w:t xml:space="preserve">                                        年    月    日</w:t>
      </w: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pPr>
        <w:spacing w:line="320" w:lineRule="exact"/>
        <w:jc w:val="center"/>
        <w:rPr>
          <w:rFonts w:ascii="宋体" w:hAnsi="宋体"/>
          <w:color w:val="auto"/>
          <w:sz w:val="24"/>
          <w:szCs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pPr>
        <w:pStyle w:val="16"/>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     邮政编号：</w:t>
      </w:r>
    </w:p>
    <w:p>
      <w:pPr>
        <w:pStyle w:val="16"/>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账号/行号：</w:t>
      </w:r>
    </w:p>
    <w:p>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注：如为联合体竞标，盖章处须加盖联合体牵头人电子签章并由联合体牵头人法定代表人分别签字或者盖章或者电子签名，否则响应文件按无效处理。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highlight w:val="none"/>
        </w:rPr>
      </w:pPr>
    </w:p>
    <w:p>
      <w:pPr>
        <w:pStyle w:val="6"/>
        <w:overflowPunct w:val="0"/>
        <w:spacing w:line="520" w:lineRule="exact"/>
        <w:ind w:firstLine="0"/>
        <w:jc w:val="center"/>
        <w:rPr>
          <w:color w:val="auto"/>
          <w:highlight w:val="none"/>
        </w:rPr>
      </w:pPr>
      <w:r>
        <w:rPr>
          <w:rFonts w:hint="eastAsia"/>
          <w:color w:val="auto"/>
          <w:highlight w:val="none"/>
        </w:rPr>
        <w:t xml:space="preserve">法定代表人（签字或者盖章或者电子签名）：                                                </w:t>
      </w:r>
    </w:p>
    <w:p>
      <w:pPr>
        <w:pStyle w:val="6"/>
        <w:overflowPunct w:val="0"/>
        <w:spacing w:line="520" w:lineRule="exact"/>
        <w:ind w:firstLine="0"/>
        <w:jc w:val="center"/>
        <w:rPr>
          <w:color w:val="auto"/>
          <w:highlight w:val="none"/>
        </w:rPr>
      </w:pPr>
      <w:r>
        <w:rPr>
          <w:rFonts w:hint="eastAsia"/>
          <w:color w:val="auto"/>
          <w:highlight w:val="none"/>
        </w:rPr>
        <w:t xml:space="preserve">供应商名称（电子签章）：                                          </w:t>
      </w:r>
    </w:p>
    <w:p>
      <w:pPr>
        <w:pStyle w:val="6"/>
        <w:overflowPunct w:val="0"/>
        <w:spacing w:line="520" w:lineRule="exact"/>
        <w:ind w:firstLine="0"/>
        <w:jc w:val="center"/>
        <w:rPr>
          <w:color w:val="auto"/>
          <w:highlight w:val="none"/>
        </w:rPr>
      </w:pPr>
      <w:r>
        <w:rPr>
          <w:rFonts w:hint="eastAsia"/>
          <w:color w:val="auto"/>
          <w:highlight w:val="none"/>
        </w:rPr>
        <w:t xml:space="preserve">                                                         年    月    日 </w:t>
      </w:r>
    </w:p>
    <w:p>
      <w:pPr>
        <w:pStyle w:val="6"/>
        <w:overflowPunct w:val="0"/>
        <w:spacing w:line="520" w:lineRule="exact"/>
        <w:ind w:firstLine="0"/>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br w:type="page"/>
      </w:r>
      <w:r>
        <w:rPr>
          <w:rFonts w:hint="eastAsia" w:ascii="方正小标宋简体" w:hAnsi="方正小标宋简体" w:eastAsia="方正小标宋简体" w:cs="方正小标宋简体"/>
          <w:color w:val="auto"/>
          <w:sz w:val="32"/>
          <w:szCs w:val="32"/>
          <w:highlight w:val="none"/>
        </w:rPr>
        <w:t>联合体竞标协议书</w:t>
      </w:r>
    </w:p>
    <w:p>
      <w:pPr>
        <w:pStyle w:val="6"/>
        <w:overflowPunct w:val="0"/>
        <w:spacing w:line="360" w:lineRule="auto"/>
        <w:ind w:firstLine="0"/>
        <w:contextualSpacing/>
        <w:rPr>
          <w:rFonts w:ascii="宋体" w:hAnsi="宋体"/>
          <w:color w:val="auto"/>
          <w:sz w:val="24"/>
          <w:szCs w:val="24"/>
          <w:highlight w:val="none"/>
        </w:rPr>
      </w:pP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1.（某成员单位名称）为（联合体名称）牵头人。</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协议书自所有成员单位法定代表人或者其委托代理人签字或者盖单位章之日起生效，合同履行完毕后自动失效。</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6.本协议书一式份，联合体成员和采购人各执一份。</w:t>
      </w:r>
    </w:p>
    <w:p>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pPr>
        <w:pStyle w:val="6"/>
        <w:overflowPunct w:val="0"/>
        <w:spacing w:line="360" w:lineRule="auto"/>
        <w:ind w:firstLineChars="175"/>
        <w:contextualSpacing/>
        <w:rPr>
          <w:rFonts w:ascii="宋体" w:hAnsi="宋体" w:cs="仿宋_GB2312"/>
          <w:color w:val="auto"/>
          <w:sz w:val="24"/>
          <w:szCs w:val="24"/>
          <w:highlight w:val="none"/>
        </w:rPr>
      </w:pP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6"/>
        <w:overflowPunct w:val="0"/>
        <w:spacing w:line="360" w:lineRule="auto"/>
        <w:ind w:firstLine="0"/>
        <w:contextualSpacing/>
        <w:rPr>
          <w:rFonts w:ascii="宋体" w:hAnsi="宋体" w:cs="仿宋_GB2312"/>
          <w:color w:val="auto"/>
          <w:sz w:val="24"/>
          <w:szCs w:val="24"/>
          <w:highlight w:val="none"/>
        </w:rPr>
      </w:pP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6"/>
        <w:overflowPunct w:val="0"/>
        <w:spacing w:line="360" w:lineRule="auto"/>
        <w:ind w:firstLine="0"/>
        <w:contextualSpacing/>
        <w:rPr>
          <w:rFonts w:ascii="宋体" w:hAnsi="宋体" w:cs="仿宋_GB2312"/>
          <w:color w:val="auto"/>
          <w:sz w:val="24"/>
          <w:szCs w:val="24"/>
          <w:highlight w:val="none"/>
        </w:rPr>
      </w:pP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jc w:val="right"/>
        <w:rPr>
          <w:rFonts w:ascii="宋体" w:hAnsi="宋体" w:cs="仿宋_GB2312"/>
          <w:color w:val="auto"/>
          <w:sz w:val="24"/>
          <w:highlight w:val="none"/>
        </w:rPr>
      </w:pPr>
      <w:r>
        <w:rPr>
          <w:rFonts w:hint="eastAsia" w:ascii="宋体" w:hAnsi="宋体" w:cs="仿宋_GB2312"/>
          <w:color w:val="auto"/>
          <w:sz w:val="24"/>
          <w:highlight w:val="none"/>
        </w:rPr>
        <w:t>日期：年月日</w:t>
      </w:r>
    </w:p>
    <w:p>
      <w:pPr>
        <w:spacing w:line="360" w:lineRule="auto"/>
        <w:ind w:right="420"/>
        <w:contextualSpacing/>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pPr>
        <w:snapToGrid w:val="0"/>
        <w:spacing w:before="120" w:beforeLines="50" w:after="50"/>
        <w:rPr>
          <w:rFonts w:ascii="宋体" w:hAnsi="宋体"/>
          <w:bCs/>
          <w:color w:val="auto"/>
          <w:sz w:val="32"/>
          <w:szCs w:val="20"/>
          <w:highlight w:val="none"/>
        </w:rPr>
      </w:pPr>
    </w:p>
    <w:p>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640" w:firstLineChars="200"/>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0"/>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pPr>
        <w:snapToGrid w:val="0"/>
        <w:spacing w:before="120"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竞标报价表</w:t>
      </w:r>
    </w:p>
    <w:p>
      <w:pPr>
        <w:spacing w:line="520" w:lineRule="exact"/>
        <w:jc w:val="center"/>
        <w:rPr>
          <w:rFonts w:ascii="方正小标宋简体" w:hAnsi="方正小标宋简体" w:eastAsia="方正小标宋简体" w:cs="方正小标宋简体"/>
          <w:bCs/>
          <w:color w:val="auto"/>
          <w:sz w:val="32"/>
          <w:szCs w:val="32"/>
          <w:highlight w:val="none"/>
        </w:rPr>
      </w:pPr>
    </w:p>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项目名称：         项目编号：              分标（如有）：</w:t>
      </w:r>
    </w:p>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w:t>
      </w:r>
    </w:p>
    <w:p>
      <w:pPr>
        <w:snapToGrid w:val="0"/>
        <w:spacing w:before="50" w:after="50" w:line="360" w:lineRule="auto"/>
        <w:ind w:firstLine="5520" w:firstLineChars="2300"/>
        <w:rPr>
          <w:rFonts w:ascii="宋体" w:hAnsi="宋体" w:cs="仿宋_GB2312"/>
          <w:color w:val="auto"/>
          <w:sz w:val="24"/>
          <w:highlight w:val="none"/>
        </w:rPr>
      </w:pPr>
      <w:r>
        <w:rPr>
          <w:rFonts w:hint="eastAsia" w:ascii="宋体" w:hAnsi="宋体" w:cs="仿宋_GB2312"/>
          <w:color w:val="auto"/>
          <w:sz w:val="24"/>
          <w:highlight w:val="none"/>
        </w:rPr>
        <w:t>单位：元</w:t>
      </w:r>
    </w:p>
    <w:tbl>
      <w:tblPr>
        <w:tblStyle w:val="28"/>
        <w:tblW w:w="1055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504"/>
        <w:gridCol w:w="414"/>
        <w:gridCol w:w="1065"/>
        <w:gridCol w:w="1200"/>
        <w:gridCol w:w="1095"/>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数量</w:t>
            </w:r>
          </w:p>
          <w:p>
            <w:pPr>
              <w:pStyle w:val="57"/>
              <w:numPr>
                <w:ilvl w:val="0"/>
                <w:numId w:val="2"/>
              </w:numPr>
              <w:spacing w:line="400" w:lineRule="exact"/>
              <w:ind w:firstLineChars="0"/>
              <w:jc w:val="center"/>
              <w:rPr>
                <w:rFonts w:ascii="宋体" w:hAnsi="宋体" w:cs="仿宋_GB2312"/>
                <w:b/>
                <w:bCs/>
                <w:color w:val="auto"/>
                <w:sz w:val="24"/>
                <w:highlight w:val="none"/>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单位</w:t>
            </w:r>
          </w:p>
        </w:tc>
        <w:tc>
          <w:tcPr>
            <w:tcW w:w="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单价</w:t>
            </w:r>
          </w:p>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b/>
                <w:bCs/>
                <w:color w:val="auto"/>
                <w:sz w:val="24"/>
                <w:highlight w:val="none"/>
              </w:rPr>
            </w:pPr>
            <w:bookmarkStart w:id="158" w:name="OLE_LINK86"/>
            <w:r>
              <w:rPr>
                <w:rFonts w:hint="eastAsia" w:ascii="宋体" w:hAnsi="宋体" w:cs="仿宋_GB2312"/>
                <w:b/>
                <w:bCs/>
                <w:color w:val="auto"/>
                <w:sz w:val="24"/>
                <w:highlight w:val="none"/>
              </w:rPr>
              <w:t>竞标报价</w:t>
            </w:r>
          </w:p>
          <w:bookmarkEnd w:id="158"/>
          <w:p>
            <w:pPr>
              <w:spacing w:line="40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10555" w:type="dxa"/>
            <w:gridSpan w:val="11"/>
            <w:tcBorders>
              <w:top w:val="single" w:color="auto" w:sz="4" w:space="0"/>
              <w:left w:val="single" w:color="auto" w:sz="4" w:space="0"/>
              <w:bottom w:val="single" w:color="auto" w:sz="4" w:space="0"/>
              <w:right w:val="single" w:color="auto" w:sz="4" w:space="0"/>
            </w:tcBorders>
          </w:tcPr>
          <w:p>
            <w:pPr>
              <w:snapToGrid w:val="0"/>
              <w:spacing w:before="50" w:after="50" w:line="400" w:lineRule="exact"/>
              <w:rPr>
                <w:rFonts w:ascii="宋体" w:hAnsi="宋体" w:cs="仿宋_GB2312"/>
                <w:color w:val="auto"/>
                <w:sz w:val="24"/>
                <w:highlight w:val="none"/>
              </w:rPr>
            </w:pPr>
            <w:r>
              <w:rPr>
                <w:rFonts w:hint="eastAsia" w:ascii="宋体" w:hAnsi="宋体" w:cs="仿宋_GB2312"/>
                <w:color w:val="auto"/>
                <w:sz w:val="24"/>
                <w:highlight w:val="none"/>
              </w:rPr>
              <w:t>合计金额大写：</w:t>
            </w:r>
            <w:r>
              <w:rPr>
                <w:rFonts w:hint="eastAsia" w:ascii="宋体" w:hAnsi="宋体" w:cs="仿宋_GB2312"/>
                <w:color w:val="auto"/>
                <w:sz w:val="24"/>
                <w:highlight w:val="none"/>
                <w:u w:val="single"/>
              </w:rPr>
              <w:t>人民币                         （¥）</w:t>
            </w:r>
          </w:p>
          <w:p>
            <w:pPr>
              <w:snapToGrid w:val="0"/>
              <w:spacing w:before="50" w:after="50" w:line="400" w:lineRule="exact"/>
              <w:rPr>
                <w:rFonts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竞标货物中，属于优先采购节能产品总值为¥（具体明细详见附表，附表格式自拟），占本竞标报价的比例为    %；属于优先采购环境标志产品总值为¥（具体明细详见附表，附表格式自拟），占本竞标报价的比例为   %。</w:t>
            </w:r>
          </w:p>
        </w:tc>
      </w:tr>
    </w:tbl>
    <w:p>
      <w:pPr>
        <w:spacing w:line="380" w:lineRule="exact"/>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8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olor w:val="auto"/>
          <w:sz w:val="24"/>
          <w:highlight w:val="none"/>
        </w:rPr>
        <w:t>以上竞标报价表中“货物名称、数量及单位、品牌、规格型号、制造商、原产地、参数性能、指标及配置”必须如实填写完整，品牌、规格型号没有则填无，填写有缺漏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pPr>
        <w:spacing w:line="380" w:lineRule="exact"/>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pPr>
        <w:spacing w:line="380" w:lineRule="exact"/>
        <w:ind w:firstLine="480" w:firstLineChars="200"/>
        <w:contextualSpacing/>
        <w:jc w:val="left"/>
        <w:rPr>
          <w:rFonts w:ascii="宋体" w:hAnsi="宋体" w:cs="仿宋_GB2312"/>
          <w:b/>
          <w:color w:val="auto"/>
          <w:sz w:val="24"/>
          <w:highlight w:val="none"/>
        </w:rPr>
      </w:pPr>
      <w:r>
        <w:rPr>
          <w:rFonts w:ascii="宋体" w:hAnsi="宋体" w:cs="仿宋_GB2312"/>
          <w:bCs/>
          <w:color w:val="auto"/>
          <w:sz w:val="24"/>
          <w:highlight w:val="none"/>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pPr>
        <w:spacing w:line="380" w:lineRule="exact"/>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.谈判文件中列明采购专用耗材的，应按谈判文件规定的耗材量或者按耗材的常规使用量提供报价。</w:t>
      </w:r>
    </w:p>
    <w:p>
      <w:pPr>
        <w:spacing w:line="380" w:lineRule="exact"/>
        <w:ind w:firstLine="480" w:firstLineChars="200"/>
        <w:contextualSpacing/>
        <w:jc w:val="left"/>
        <w:rPr>
          <w:rFonts w:ascii="宋体" w:hAnsi="宋体" w:cs="仿宋_GB2312"/>
          <w:i/>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pPr>
        <w:spacing w:line="380" w:lineRule="exact"/>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pPr>
        <w:spacing w:line="380" w:lineRule="exact"/>
        <w:ind w:firstLine="480" w:firstLineChars="200"/>
        <w:contextualSpacing/>
        <w:rPr>
          <w:rFonts w:ascii="宋体" w:hAnsi="宋体" w:cs="仿宋_GB2312"/>
          <w:b/>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pPr>
        <w:spacing w:line="380" w:lineRule="exact"/>
        <w:ind w:right="-817" w:rightChars="-389" w:firstLine="2640" w:firstLineChars="1100"/>
        <w:contextualSpacing/>
        <w:rPr>
          <w:rFonts w:ascii="宋体" w:hAnsi="宋体" w:cs="仿宋_GB2312"/>
          <w:color w:val="auto"/>
          <w:sz w:val="24"/>
          <w:highlight w:val="none"/>
        </w:rPr>
      </w:pPr>
    </w:p>
    <w:p>
      <w:pPr>
        <w:spacing w:line="380" w:lineRule="exact"/>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80" w:lineRule="exact"/>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pacing w:line="380" w:lineRule="exact"/>
        <w:ind w:right="-817" w:rightChars="-389"/>
        <w:contextualSpacing/>
        <w:jc w:val="right"/>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pPr>
        <w:spacing w:line="360" w:lineRule="auto"/>
        <w:ind w:right="420"/>
        <w:contextualSpacing/>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pPr>
        <w:snapToGrid w:val="0"/>
        <w:spacing w:before="120" w:beforeLines="50" w:after="50"/>
        <w:rPr>
          <w:rFonts w:ascii="宋体" w:hAnsi="宋体"/>
          <w:bCs/>
          <w:color w:val="auto"/>
          <w:sz w:val="32"/>
          <w:szCs w:val="20"/>
          <w:highlight w:val="none"/>
        </w:rPr>
      </w:pPr>
    </w:p>
    <w:p>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640" w:firstLineChars="200"/>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0"/>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pPr>
        <w:snapToGrid w:val="0"/>
        <w:spacing w:before="120"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pPr>
        <w:spacing w:line="400" w:lineRule="exact"/>
        <w:rPr>
          <w:rFonts w:ascii="仿宋_GB2312" w:hAnsi="仿宋_GB2312" w:eastAsia="仿宋_GB2312" w:cs="仿宋_GB2312"/>
          <w:color w:val="auto"/>
          <w:sz w:val="32"/>
          <w:szCs w:val="32"/>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highlight w:val="none"/>
        </w:rPr>
      </w:pP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仿宋_GB2312"/>
          <w:color w:val="auto"/>
          <w:sz w:val="24"/>
          <w:highlight w:val="none"/>
        </w:rPr>
      </w:pP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ind w:firstLine="480" w:firstLineChars="200"/>
        <w:contextualSpacing/>
        <w:rPr>
          <w:rFonts w:ascii="宋体" w:hAnsi="宋体" w:cs="仿宋_GB2312"/>
          <w:color w:val="auto"/>
          <w:sz w:val="24"/>
          <w:highlight w:val="none"/>
        </w:rPr>
      </w:pPr>
    </w:p>
    <w:p>
      <w:pPr>
        <w:spacing w:line="360" w:lineRule="auto"/>
        <w:ind w:firstLine="480" w:firstLineChars="200"/>
        <w:contextualSpacing/>
        <w:jc w:val="center"/>
        <w:rPr>
          <w:rFonts w:ascii="宋体" w:hAnsi="宋体" w:cs="仿宋_GB2312"/>
          <w:color w:val="auto"/>
          <w:sz w:val="24"/>
          <w:highlight w:val="none"/>
        </w:rPr>
      </w:pPr>
    </w:p>
    <w:p>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ind w:firstLine="640" w:firstLineChars="200"/>
        <w:contextualSpacing/>
        <w:jc w:val="center"/>
        <w:rPr>
          <w:rFonts w:ascii="宋体" w:hAnsi="宋体" w:cs="仿宋_GB2312"/>
          <w:color w:val="auto"/>
          <w:sz w:val="32"/>
          <w:szCs w:val="32"/>
          <w:highlight w:val="none"/>
        </w:rPr>
      </w:pPr>
    </w:p>
    <w:p>
      <w:pPr>
        <w:spacing w:before="240" w:beforeLines="100" w:after="12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地址：</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姓名：                  性别：</w:t>
      </w:r>
    </w:p>
    <w:p>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年龄：                  职务：</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ascii="宋体" w:hAnsi="宋体" w:cs="仿宋_GB2312"/>
          <w:color w:val="auto"/>
          <w:sz w:val="24"/>
          <w:highlight w:val="none"/>
        </w:rPr>
      </w:pPr>
    </w:p>
    <w:p>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contextualSpacing/>
        <w:jc w:val="center"/>
        <w:rPr>
          <w:rFonts w:ascii="宋体" w:hAnsi="宋体" w:cs="仿宋_GB2312"/>
          <w:b/>
          <w:color w:val="auto"/>
          <w:sz w:val="24"/>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pPr>
        <w:adjustRightInd w:val="0"/>
        <w:snapToGrid w:val="0"/>
        <w:spacing w:line="300" w:lineRule="auto"/>
        <w:jc w:val="left"/>
        <w:rPr>
          <w:rFonts w:ascii="宋体" w:hAnsi="宋体"/>
          <w:b/>
          <w:color w:val="auto"/>
          <w:szCs w:val="21"/>
          <w:highlight w:val="none"/>
        </w:rPr>
      </w:pP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360" w:lineRule="auto"/>
        <w:contextualSpacing/>
        <w:rPr>
          <w:rFonts w:ascii="仿宋_GB2312" w:hAnsi="仿宋_GB2312" w:eastAsia="仿宋_GB2312" w:cs="仿宋_GB2312"/>
          <w:color w:val="auto"/>
          <w:sz w:val="32"/>
          <w:szCs w:val="32"/>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20" w:firstLineChars="175"/>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pPr>
        <w:spacing w:line="360" w:lineRule="auto"/>
        <w:ind w:firstLine="420" w:firstLineChars="175"/>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我方对委托代理人的签字或者电子签名事项负全部责任。</w:t>
      </w:r>
    </w:p>
    <w:p>
      <w:pPr>
        <w:spacing w:line="360" w:lineRule="auto"/>
        <w:ind w:firstLine="420" w:firstLineChars="175"/>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175"/>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20" w:firstLineChars="175"/>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委托代理人（签字或者电子签名）：     法定代表人（签字或者盖章或者电子签名）：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pPr>
        <w:spacing w:line="360" w:lineRule="auto"/>
        <w:ind w:firstLine="420" w:firstLineChars="200"/>
        <w:contextualSpacing/>
        <w:jc w:val="left"/>
        <w:rPr>
          <w:rFonts w:ascii="仿宋_GB2312" w:hAnsi="仿宋_GB2312" w:eastAsia="仿宋_GB2312" w:cs="仿宋_GB2312"/>
          <w:color w:val="auto"/>
          <w:szCs w:val="21"/>
          <w:highlight w:val="none"/>
        </w:rPr>
      </w:pPr>
    </w:p>
    <w:p>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（联合体竞标格式）</w:t>
      </w:r>
    </w:p>
    <w:p>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360" w:lineRule="auto"/>
        <w:contextualSpacing/>
        <w:rPr>
          <w:rFonts w:ascii="仿宋_GB2312" w:hAnsi="仿宋_GB2312" w:eastAsia="仿宋_GB2312" w:cs="仿宋_GB2312"/>
          <w:color w:val="auto"/>
          <w:sz w:val="32"/>
          <w:szCs w:val="32"/>
          <w:highlight w:val="none"/>
        </w:rPr>
      </w:pPr>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spacing w:line="360" w:lineRule="auto"/>
        <w:contextualSpacing/>
        <w:rPr>
          <w:rFonts w:ascii="宋体" w:hAnsi="宋体" w:cs="仿宋_GB2312"/>
          <w:color w:val="auto"/>
          <w:sz w:val="24"/>
          <w:highlight w:val="none"/>
        </w:rPr>
      </w:pPr>
    </w:p>
    <w:p>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pPr>
        <w:spacing w:line="500" w:lineRule="exact"/>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pPr>
        <w:spacing w:line="500" w:lineRule="exact"/>
        <w:jc w:val="center"/>
        <w:rPr>
          <w:rFonts w:ascii="宋体" w:hAnsi="宋体"/>
          <w:b/>
          <w:i/>
          <w:color w:val="auto"/>
          <w:sz w:val="32"/>
          <w:szCs w:val="32"/>
          <w:highlight w:val="none"/>
        </w:rPr>
      </w:pPr>
      <w:r>
        <w:rPr>
          <w:rFonts w:hint="eastAsia" w:ascii="方正小标宋简体" w:hAnsi="方正小标宋简体" w:eastAsia="方正小标宋简体" w:cs="方正小标宋简体"/>
          <w:bCs/>
          <w:i/>
          <w:color w:val="auto"/>
          <w:sz w:val="32"/>
          <w:szCs w:val="32"/>
          <w:highlight w:val="none"/>
        </w:rPr>
        <w:t>（注：按采购需求具体条款修改）</w:t>
      </w:r>
    </w:p>
    <w:p>
      <w:pPr>
        <w:snapToGrid w:val="0"/>
        <w:spacing w:before="50"/>
        <w:jc w:val="left"/>
        <w:rPr>
          <w:rFonts w:ascii="宋体" w:hAnsi="宋体"/>
          <w:color w:val="auto"/>
          <w:sz w:val="24"/>
          <w:highlight w:val="none"/>
        </w:rPr>
      </w:pPr>
    </w:p>
    <w:p>
      <w:pPr>
        <w:pStyle w:val="16"/>
        <w:spacing w:line="360" w:lineRule="auto"/>
        <w:rPr>
          <w:rFonts w:hAnsi="宋体" w:cs="仿宋_GB2312"/>
          <w:color w:val="auto"/>
          <w:sz w:val="24"/>
          <w:szCs w:val="24"/>
          <w:highlight w:val="none"/>
        </w:rPr>
      </w:pPr>
      <w:r>
        <w:rPr>
          <w:rFonts w:hint="eastAsia" w:hAnsi="宋体" w:cs="仿宋_GB2312"/>
          <w:color w:val="auto"/>
          <w:sz w:val="24"/>
          <w:szCs w:val="24"/>
          <w:highlight w:val="none"/>
        </w:rPr>
        <w:t>所竞分标：</w:t>
      </w:r>
    </w:p>
    <w:tbl>
      <w:tblPr>
        <w:tblStyle w:val="28"/>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cs="仿宋_GB2312"/>
                <w:color w:val="auto"/>
                <w:sz w:val="24"/>
                <w:highlight w:val="none"/>
              </w:rPr>
            </w:pPr>
          </w:p>
        </w:tc>
      </w:tr>
    </w:tbl>
    <w:p>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说明：应对照谈判文件“第三章采购需求”中的商务要求逐条明确响应，并作出偏离说明。</w:t>
      </w:r>
    </w:p>
    <w:p>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pPr>
        <w:spacing w:line="360" w:lineRule="auto"/>
        <w:contextualSpacing/>
        <w:jc w:val="left"/>
        <w:rPr>
          <w:rFonts w:ascii="宋体" w:hAnsi="宋体" w:cs="仿宋_GB2312"/>
          <w:color w:val="auto"/>
          <w:sz w:val="24"/>
          <w:highlight w:val="none"/>
          <w:u w:val="single"/>
        </w:rPr>
      </w:pPr>
    </w:p>
    <w:p>
      <w:pPr>
        <w:spacing w:line="360" w:lineRule="auto"/>
        <w:contextualSpacing/>
        <w:jc w:val="left"/>
        <w:rPr>
          <w:rFonts w:ascii="宋体" w:hAnsi="宋体" w:cs="仿宋_GB2312"/>
          <w:color w:val="auto"/>
          <w:sz w:val="24"/>
          <w:highlight w:val="none"/>
          <w:u w:val="single"/>
        </w:rPr>
      </w:pPr>
    </w:p>
    <w:p>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520" w:lineRule="exact"/>
        <w:jc w:val="center"/>
        <w:rPr>
          <w:rFonts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pPr>
        <w:spacing w:line="300" w:lineRule="auto"/>
        <w:rPr>
          <w:rFonts w:ascii="宋体" w:hAnsi="宋体"/>
          <w:color w:val="auto"/>
          <w:szCs w:val="21"/>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p>
    <w:tbl>
      <w:tblPr>
        <w:tblStyle w:val="28"/>
        <w:tblW w:w="89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tabs>
          <w:tab w:val="left" w:pos="1065"/>
        </w:tabs>
        <w:adjustRightInd w:val="0"/>
        <w:spacing w:line="360" w:lineRule="auto"/>
        <w:contextualSpacing/>
        <w:rPr>
          <w:rFonts w:ascii="宋体" w:hAnsi="宋体" w:cs="仿宋_GB2312"/>
          <w:color w:val="auto"/>
          <w:sz w:val="24"/>
          <w:highlight w:val="none"/>
        </w:rPr>
      </w:pPr>
      <w:r>
        <w:rPr>
          <w:rFonts w:hint="eastAsia" w:ascii="宋体" w:hAnsi="宋体"/>
          <w:b/>
          <w:bCs/>
          <w:color w:val="auto"/>
          <w:sz w:val="24"/>
          <w:highlight w:val="none"/>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olor w:val="auto"/>
          <w:sz w:val="24"/>
          <w:highlight w:val="none"/>
        </w:rPr>
        <w:t>货物名称、数量及单位、品牌必须与“竞标报价表”一致，</w:t>
      </w:r>
      <w:r>
        <w:rPr>
          <w:rFonts w:hint="eastAsia" w:ascii="宋体" w:hAnsi="宋体"/>
          <w:bCs/>
          <w:color w:val="auto"/>
          <w:sz w:val="24"/>
          <w:highlight w:val="none"/>
        </w:rPr>
        <w:t>否则响应文件按无效处理</w:t>
      </w:r>
      <w:r>
        <w:rPr>
          <w:rFonts w:hint="eastAsia" w:ascii="宋体" w:hAnsi="宋体"/>
          <w:b/>
          <w:color w:val="auto"/>
          <w:sz w:val="24"/>
          <w:highlight w:val="none"/>
        </w:rPr>
        <w:t>。</w:t>
      </w:r>
    </w:p>
    <w:p>
      <w:pPr>
        <w:adjustRightInd w:val="0"/>
        <w:spacing w:line="360" w:lineRule="auto"/>
        <w:contextualSpacing/>
        <w:jc w:val="left"/>
        <w:rPr>
          <w:rFonts w:ascii="宋体" w:hAnsi="宋体" w:cs="仿宋_GB2312"/>
          <w:color w:val="auto"/>
          <w:sz w:val="24"/>
          <w:highlight w:val="none"/>
        </w:rPr>
      </w:pPr>
    </w:p>
    <w:p>
      <w:pPr>
        <w:adjustRightInd w:val="0"/>
        <w:spacing w:line="360" w:lineRule="auto"/>
        <w:contextualSpacing/>
        <w:jc w:val="left"/>
        <w:rPr>
          <w:rFonts w:ascii="宋体" w:hAnsi="宋体" w:cs="仿宋_GB2312"/>
          <w:color w:val="auto"/>
          <w:sz w:val="24"/>
          <w:highlight w:val="none"/>
        </w:rPr>
      </w:pPr>
    </w:p>
    <w:p>
      <w:pPr>
        <w:adjustRightInd w:val="0"/>
        <w:spacing w:line="360" w:lineRule="auto"/>
        <w:contextualSpacing/>
        <w:jc w:val="left"/>
        <w:rPr>
          <w:rFonts w:ascii="宋体" w:hAnsi="宋体" w:cs="仿宋_GB2312"/>
          <w:color w:val="auto"/>
          <w:sz w:val="24"/>
          <w:highlight w:val="none"/>
        </w:rPr>
      </w:pPr>
    </w:p>
    <w:p>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8"/>
        <w:tblW w:w="894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供应商的响应</w:t>
            </w:r>
          </w:p>
        </w:tc>
        <w:tc>
          <w:tcPr>
            <w:tcW w:w="1467"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901"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901"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988" w:type="dxa"/>
            <w:tcBorders>
              <w:lef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2689" w:type="dxa"/>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c>
          <w:tcPr>
            <w:tcW w:w="1467" w:type="dxa"/>
            <w:tcBorders>
              <w:right w:val="single" w:color="auto" w:sz="4" w:space="0"/>
            </w:tcBorders>
            <w:vAlign w:val="center"/>
          </w:tcPr>
          <w:p>
            <w:pPr>
              <w:pStyle w:val="13"/>
              <w:spacing w:line="360" w:lineRule="auto"/>
              <w:ind w:firstLine="0" w:firstLineChars="0"/>
              <w:jc w:val="center"/>
              <w:rPr>
                <w:rFonts w:ascii="宋体" w:hAnsi="宋体" w:eastAsia="宋体" w:cs="仿宋_GB2312"/>
                <w:color w:val="auto"/>
                <w:kern w:val="2"/>
                <w:sz w:val="24"/>
                <w:szCs w:val="24"/>
                <w:highlight w:val="none"/>
              </w:rPr>
            </w:pPr>
          </w:p>
        </w:tc>
      </w:tr>
    </w:tbl>
    <w:p>
      <w:pPr>
        <w:pStyle w:val="1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pPr>
        <w:pStyle w:val="1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说明：应对照谈判文件“第三章采购需求”中的技术要求逐条实质性响应，并作出偏离说明。</w:t>
      </w:r>
    </w:p>
    <w:p>
      <w:pPr>
        <w:pStyle w:val="13"/>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pPr>
        <w:pStyle w:val="13"/>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3.如技术要求偏离表中的竞标响应与佐证材料不一致的，以佐证材料为准。</w:t>
      </w:r>
    </w:p>
    <w:p>
      <w:pPr>
        <w:pStyle w:val="13"/>
        <w:spacing w:line="360" w:lineRule="auto"/>
        <w:ind w:firstLine="0" w:firstLineChars="0"/>
        <w:contextualSpacing/>
        <w:rPr>
          <w:rFonts w:ascii="宋体" w:hAnsi="宋体" w:eastAsia="宋体" w:cs="仿宋_GB2312"/>
          <w:color w:val="auto"/>
          <w:sz w:val="24"/>
          <w:szCs w:val="24"/>
          <w:highlight w:val="none"/>
        </w:rPr>
      </w:pPr>
    </w:p>
    <w:p>
      <w:pPr>
        <w:spacing w:line="360" w:lineRule="auto"/>
        <w:ind w:right="-817" w:rightChars="-389"/>
        <w:contextualSpacing/>
        <w:rPr>
          <w:rFonts w:ascii="宋体" w:hAnsi="宋体" w:cs="仿宋_GB2312"/>
          <w:color w:val="auto"/>
          <w:sz w:val="24"/>
          <w:highlight w:val="none"/>
        </w:rPr>
      </w:pPr>
    </w:p>
    <w:p>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rPr>
          <w:rFonts w:ascii="宋体" w:hAnsi="宋体"/>
          <w:b/>
          <w:bCs/>
          <w:color w:val="auto"/>
          <w:sz w:val="24"/>
          <w:highlight w:val="none"/>
        </w:rPr>
      </w:pPr>
      <w:r>
        <w:rPr>
          <w:rFonts w:ascii="宋体" w:hAnsi="宋体"/>
          <w:b/>
          <w:bCs/>
          <w:color w:val="auto"/>
          <w:sz w:val="24"/>
          <w:highlight w:val="none"/>
        </w:rPr>
        <w:br w:type="page"/>
      </w:r>
    </w:p>
    <w:p>
      <w:pPr>
        <w:snapToGrid w:val="0"/>
        <w:spacing w:before="120"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pPr>
        <w:snapToGrid w:val="0"/>
        <w:spacing w:before="120" w:beforeLines="50" w:after="50"/>
        <w:jc w:val="left"/>
        <w:rPr>
          <w:rFonts w:ascii="方正小标宋简体" w:hAnsi="方正小标宋简体" w:eastAsia="方正小标宋简体" w:cs="方正小标宋简体"/>
          <w:bCs/>
          <w:color w:val="auto"/>
          <w:szCs w:val="21"/>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pPr>
        <w:snapToGrid w:val="0"/>
        <w:spacing w:before="120" w:beforeLines="50" w:after="50"/>
        <w:jc w:val="center"/>
        <w:rPr>
          <w:rFonts w:ascii="宋体" w:hAnsi="宋体"/>
          <w:b/>
          <w:color w:val="auto"/>
          <w:sz w:val="24"/>
          <w:highlight w:val="none"/>
        </w:rPr>
      </w:pPr>
    </w:p>
    <w:p>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1.我方承诺，若本单位中标，保证在发出中标通知书之后，按本项目采购文件的规定标准向贵单位一次性足额支付代理服务费， 在领取中标通知书后，由于被质疑、投诉或者其他原因而导致中标结果改变，我方将放弃对已缴纳的中标服务费追还的一切权利。</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2.本单位选择第种方式作为代理服务费开票类型：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（1）公司名称_；</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（2）纳税人识别号_。</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pPr>
        <w:snapToGrid w:val="0"/>
        <w:spacing w:before="50" w:after="50" w:line="360" w:lineRule="auto"/>
        <w:ind w:right="-817" w:rightChars="-389" w:firstLine="4080" w:firstLineChars="1700"/>
        <w:rPr>
          <w:rFonts w:ascii="仿宋_GB2312" w:hAnsi="仿宋_GB2312" w:eastAsia="仿宋_GB2312" w:cs="仿宋_GB2312"/>
          <w:b/>
          <w:color w:val="auto"/>
          <w:sz w:val="32"/>
          <w:szCs w:val="32"/>
          <w:highlight w:val="none"/>
        </w:rPr>
      </w:pPr>
      <w:r>
        <w:rPr>
          <w:rFonts w:hint="eastAsia" w:ascii="宋体" w:hAnsi="宋体"/>
          <w:color w:val="auto"/>
          <w:sz w:val="24"/>
          <w:highlight w:val="none"/>
        </w:rPr>
        <w:t xml:space="preserve">                   日期：    年   月   日</w:t>
      </w:r>
    </w:p>
    <w:p>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159" w:name="_Toc71365383"/>
      <w:bookmarkStart w:id="160"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159"/>
      <w:bookmarkEnd w:id="160"/>
    </w:p>
    <w:p>
      <w:pPr>
        <w:rPr>
          <w:color w:val="auto"/>
          <w:highlight w:val="none"/>
        </w:rPr>
      </w:pPr>
    </w:p>
    <w:p>
      <w:pPr>
        <w:pStyle w:val="10"/>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pPr>
        <w:pStyle w:val="10"/>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pPr>
        <w:pStyle w:val="10"/>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pStyle w:val="10"/>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pStyle w:val="10"/>
        <w:spacing w:after="0" w:line="360" w:lineRule="auto"/>
        <w:ind w:left="3960" w:right="1808"/>
        <w:contextualSpacing/>
        <w:rPr>
          <w:rFonts w:ascii="宋体" w:hAnsi="宋体"/>
          <w:color w:val="auto"/>
          <w:sz w:val="24"/>
          <w:highlight w:val="none"/>
        </w:rPr>
      </w:pPr>
    </w:p>
    <w:p>
      <w:pPr>
        <w:pStyle w:val="10"/>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pPr>
        <w:pStyle w:val="10"/>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日期：</w:t>
      </w:r>
    </w:p>
    <w:p>
      <w:pPr>
        <w:pStyle w:val="10"/>
        <w:spacing w:after="0" w:line="360" w:lineRule="auto"/>
        <w:ind w:left="3960" w:right="1808"/>
        <w:contextualSpacing/>
        <w:rPr>
          <w:color w:val="auto"/>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日期：</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pPr>
        <w:spacing w:line="360" w:lineRule="auto"/>
        <w:jc w:val="center"/>
        <w:rPr>
          <w:rFonts w:ascii="宋体" w:hAnsi="宋体"/>
          <w:b/>
          <w:bCs/>
          <w:color w:val="auto"/>
          <w:sz w:val="32"/>
          <w:szCs w:val="32"/>
          <w:highlight w:val="none"/>
        </w:rPr>
      </w:pPr>
    </w:p>
    <w:p>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6"/>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pPr>
        <w:pStyle w:val="16"/>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pPr>
        <w:pStyle w:val="16"/>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pPr>
        <w:pStyle w:val="1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□采购文件获取日期：</w:t>
      </w:r>
    </w:p>
    <w:p>
      <w:pPr>
        <w:pStyle w:val="1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pPr>
        <w:pStyle w:val="16"/>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pPr>
        <w:pStyle w:val="16"/>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pPr>
        <w:pStyle w:val="16"/>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pPr>
        <w:pStyle w:val="16"/>
        <w:spacing w:line="360" w:lineRule="auto"/>
        <w:ind w:left="25" w:leftChars="12" w:firstLine="352" w:firstLineChars="147"/>
        <w:contextualSpacing/>
        <w:rPr>
          <w:rFonts w:hAnsi="宋体"/>
          <w:color w:val="auto"/>
          <w:sz w:val="24"/>
          <w:szCs w:val="24"/>
          <w:highlight w:val="none"/>
        </w:rPr>
      </w:pP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pPr>
        <w:pStyle w:val="16"/>
        <w:spacing w:line="360" w:lineRule="auto"/>
        <w:ind w:left="25" w:leftChars="12" w:firstLine="352" w:firstLineChars="147"/>
        <w:contextualSpacing/>
        <w:rPr>
          <w:rFonts w:hAnsi="宋体"/>
          <w:color w:val="auto"/>
          <w:sz w:val="24"/>
          <w:szCs w:val="24"/>
          <w:highlight w:val="none"/>
        </w:rPr>
      </w:pPr>
    </w:p>
    <w:p>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pPr>
        <w:pStyle w:val="16"/>
        <w:spacing w:line="360" w:lineRule="auto"/>
        <w:contextualSpacing/>
        <w:rPr>
          <w:rFonts w:hAnsi="宋体"/>
          <w:b/>
          <w:color w:val="auto"/>
          <w:sz w:val="24"/>
          <w:szCs w:val="24"/>
          <w:highlight w:val="none"/>
        </w:rPr>
      </w:pPr>
    </w:p>
    <w:p>
      <w:pPr>
        <w:pStyle w:val="16"/>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pPr>
        <w:pStyle w:val="16"/>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16"/>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6"/>
        <w:snapToGrid w:val="0"/>
        <w:rPr>
          <w:b/>
          <w:color w:val="auto"/>
          <w:sz w:val="24"/>
          <w:szCs w:val="24"/>
          <w:highlight w:val="none"/>
        </w:rPr>
      </w:pPr>
    </w:p>
    <w:p>
      <w:pPr>
        <w:rPr>
          <w:color w:val="auto"/>
          <w:highlight w:val="none"/>
        </w:rPr>
      </w:pPr>
      <w:r>
        <w:rPr>
          <w:color w:val="auto"/>
          <w:highlight w:val="none"/>
        </w:rPr>
        <w:br w:type="page"/>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pPr>
        <w:pStyle w:val="1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pPr>
        <w:pStyle w:val="1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pPr>
        <w:pStyle w:val="16"/>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16"/>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16"/>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投诉人于年月日，向提出质疑，质疑事项为：</w:t>
      </w:r>
    </w:p>
    <w:p>
      <w:pPr>
        <w:pStyle w:val="16"/>
        <w:spacing w:line="360" w:lineRule="auto"/>
        <w:ind w:left="23" w:leftChars="11" w:firstLine="540" w:firstLineChars="225"/>
        <w:rPr>
          <w:rFonts w:hAnsi="宋体"/>
          <w:bCs/>
          <w:color w:val="auto"/>
          <w:sz w:val="24"/>
          <w:szCs w:val="24"/>
          <w:highlight w:val="none"/>
          <w:u w:val="single"/>
        </w:rPr>
      </w:pPr>
    </w:p>
    <w:p>
      <w:pPr>
        <w:pStyle w:val="16"/>
        <w:spacing w:line="360" w:lineRule="auto"/>
        <w:ind w:left="23" w:leftChars="11" w:firstLine="540" w:firstLineChars="225"/>
        <w:rPr>
          <w:rFonts w:hAnsi="宋体"/>
          <w:bCs/>
          <w:color w:val="auto"/>
          <w:sz w:val="24"/>
          <w:szCs w:val="24"/>
          <w:highlight w:val="none"/>
          <w:u w:val="single"/>
        </w:rPr>
      </w:pPr>
    </w:p>
    <w:p>
      <w:pPr>
        <w:pStyle w:val="16"/>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pPr>
        <w:pStyle w:val="1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pPr>
        <w:pStyle w:val="16"/>
        <w:spacing w:line="360" w:lineRule="auto"/>
        <w:ind w:left="25" w:leftChars="12" w:firstLine="472" w:firstLineChars="197"/>
        <w:rPr>
          <w:rFonts w:hAnsi="宋体"/>
          <w:color w:val="auto"/>
          <w:sz w:val="24"/>
          <w:szCs w:val="24"/>
          <w:highlight w:val="none"/>
        </w:rPr>
      </w:pPr>
    </w:p>
    <w:p>
      <w:pPr>
        <w:pStyle w:val="1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pPr>
        <w:pStyle w:val="16"/>
        <w:spacing w:line="360" w:lineRule="auto"/>
        <w:ind w:left="25" w:leftChars="12" w:firstLine="352" w:firstLineChars="147"/>
        <w:rPr>
          <w:rFonts w:hAnsi="宋体"/>
          <w:bCs/>
          <w:color w:val="auto"/>
          <w:sz w:val="24"/>
          <w:szCs w:val="24"/>
          <w:highlight w:val="none"/>
          <w:u w:val="single"/>
        </w:rPr>
      </w:pPr>
    </w:p>
    <w:p>
      <w:pPr>
        <w:pStyle w:val="16"/>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pPr>
        <w:pStyle w:val="16"/>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16"/>
        <w:spacing w:line="360" w:lineRule="auto"/>
        <w:ind w:left="25" w:leftChars="12" w:firstLine="352" w:firstLineChars="147"/>
        <w:rPr>
          <w:rFonts w:hAnsi="宋体"/>
          <w:color w:val="auto"/>
          <w:sz w:val="24"/>
          <w:szCs w:val="24"/>
          <w:highlight w:val="none"/>
        </w:rPr>
      </w:pPr>
    </w:p>
    <w:p>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pPr>
        <w:pStyle w:val="16"/>
        <w:spacing w:line="360" w:lineRule="auto"/>
        <w:ind w:left="25" w:leftChars="12" w:firstLine="352" w:firstLineChars="147"/>
        <w:rPr>
          <w:rFonts w:hAnsi="宋体"/>
          <w:color w:val="auto"/>
          <w:sz w:val="24"/>
          <w:szCs w:val="24"/>
          <w:highlight w:val="none"/>
        </w:rPr>
      </w:pPr>
    </w:p>
    <w:p>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16"/>
        <w:spacing w:line="360" w:lineRule="auto"/>
        <w:ind w:left="25" w:leftChars="12" w:firstLine="472" w:firstLineChars="197"/>
        <w:rPr>
          <w:rFonts w:hAnsi="宋体"/>
          <w:color w:val="auto"/>
          <w:sz w:val="24"/>
          <w:szCs w:val="24"/>
          <w:highlight w:val="none"/>
        </w:rPr>
      </w:pPr>
    </w:p>
    <w:p>
      <w:pPr>
        <w:pStyle w:val="16"/>
        <w:snapToGrid w:val="0"/>
        <w:spacing w:line="360" w:lineRule="auto"/>
        <w:rPr>
          <w:rFonts w:hAnsi="宋体"/>
          <w:b/>
          <w:color w:val="auto"/>
          <w:sz w:val="24"/>
          <w:szCs w:val="24"/>
          <w:highlight w:val="none"/>
        </w:rPr>
      </w:pPr>
    </w:p>
    <w:p>
      <w:pPr>
        <w:pStyle w:val="16"/>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16"/>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snapToGrid w:val="0"/>
        <w:spacing w:line="400" w:lineRule="exact"/>
        <w:jc w:val="center"/>
        <w:rPr>
          <w:color w:val="auto"/>
          <w:highlight w:val="none"/>
        </w:rPr>
      </w:pPr>
      <w:r>
        <w:rPr>
          <w:color w:val="auto"/>
          <w:highlight w:val="none"/>
        </w:rPr>
        <w:br w:type="page"/>
      </w:r>
    </w:p>
    <w:p>
      <w:pPr>
        <w:pStyle w:val="2"/>
        <w:jc w:val="center"/>
        <w:rPr>
          <w:color w:val="auto"/>
          <w:highlight w:val="none"/>
        </w:rPr>
      </w:pPr>
      <w:bookmarkStart w:id="161" w:name="_Toc17282"/>
      <w:bookmarkStart w:id="162" w:name="_Toc74322013"/>
      <w:r>
        <w:rPr>
          <w:rFonts w:hint="eastAsia"/>
          <w:color w:val="auto"/>
          <w:highlight w:val="none"/>
        </w:rPr>
        <w:t>第六章 合同文本</w:t>
      </w:r>
      <w:bookmarkEnd w:id="161"/>
      <w:bookmarkEnd w:id="162"/>
    </w:p>
    <w:p>
      <w:pPr>
        <w:snapToGrid w:val="0"/>
        <w:spacing w:line="360" w:lineRule="auto"/>
        <w:jc w:val="center"/>
        <w:rPr>
          <w:rFonts w:ascii="宋体" w:hAnsi="宋体"/>
          <w:b/>
          <w:bCs/>
          <w:color w:val="auto"/>
          <w:sz w:val="32"/>
          <w:szCs w:val="32"/>
          <w:highlight w:val="none"/>
        </w:rPr>
      </w:pPr>
    </w:p>
    <w:p>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p>
    <w:p>
      <w:pPr>
        <w:snapToGrid w:val="0"/>
        <w:spacing w:line="360" w:lineRule="auto"/>
        <w:rPr>
          <w:rFonts w:ascii="宋体" w:hAnsi="宋体"/>
          <w:color w:val="auto"/>
          <w:szCs w:val="21"/>
          <w:highlight w:val="none"/>
        </w:rPr>
      </w:pPr>
      <w:r>
        <w:rPr>
          <w:rFonts w:hint="eastAsia" w:ascii="宋体" w:hAnsi="宋体"/>
          <w:color w:val="auto"/>
          <w:spacing w:val="-20"/>
          <w:szCs w:val="21"/>
          <w:highlight w:val="none"/>
        </w:rPr>
        <w:t>采 购 计 划 号：</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项目名称：项目编号：</w:t>
      </w:r>
    </w:p>
    <w:p>
      <w:pPr>
        <w:snapToGrid w:val="0"/>
        <w:spacing w:line="360" w:lineRule="auto"/>
        <w:rPr>
          <w:rFonts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r>
        <w:rPr>
          <w:rFonts w:hint="eastAsia" w:ascii="宋体" w:hAnsi="宋体"/>
          <w:i/>
          <w:color w:val="auto"/>
          <w:szCs w:val="21"/>
          <w:highlight w:val="none"/>
        </w:rPr>
        <w:t>（备注：货物采购一般为买卖合同）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pPr>
        <w:pStyle w:val="10"/>
        <w:spacing w:line="360" w:lineRule="auto"/>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28"/>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第二条　标的质量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1.乙方所提供标的的名称、商标品牌、生产厂家、规格型号、技术参数等内容必须与乙方投标文件及有关承诺相一致，且满足项目实施要求。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2.乙方所提供的货物必须是全新、未使用的原装产品，且在正常安装、使用和保养条件下，其使用寿命期内各项指标均达到投标文件的承诺。</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pPr>
        <w:snapToGrid w:val="0"/>
        <w:spacing w:line="360" w:lineRule="auto"/>
        <w:ind w:firstLine="420" w:firstLineChars="200"/>
        <w:rPr>
          <w:rFonts w:ascii="宋体" w:hAnsi="宋体"/>
          <w:i/>
          <w:color w:val="auto"/>
          <w:szCs w:val="21"/>
          <w:highlight w:val="none"/>
        </w:rPr>
      </w:pPr>
      <w:r>
        <w:rPr>
          <w:rFonts w:hint="eastAsia" w:ascii="宋体" w:hAnsi="宋体" w:cs="宋体"/>
          <w:color w:val="auto"/>
          <w:szCs w:val="21"/>
          <w:highlight w:val="none"/>
        </w:rPr>
        <w:t>1.履行时间（期限）：</w:t>
      </w:r>
      <w:r>
        <w:rPr>
          <w:rFonts w:hint="eastAsia" w:ascii="宋体" w:hAnsi="宋体"/>
          <w:i/>
          <w:color w:val="auto"/>
          <w:szCs w:val="21"/>
          <w:highlight w:val="none"/>
        </w:rPr>
        <w:t>自签订合同之日起个工作日内交付使用（</w:t>
      </w:r>
      <w:r>
        <w:rPr>
          <w:rFonts w:hint="eastAsia" w:ascii="宋体" w:hAnsi="宋体"/>
          <w:i/>
          <w:color w:val="auto"/>
          <w:szCs w:val="21"/>
          <w:highlight w:val="none"/>
          <w:u w:val="single"/>
        </w:rPr>
        <w:t>注：根据项目实际情况填写，且与投标文件承诺一致</w:t>
      </w:r>
      <w:r>
        <w:rPr>
          <w:rFonts w:hint="eastAsia" w:ascii="宋体" w:hAnsi="宋体"/>
          <w:i/>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2.履行地点：</w:t>
      </w:r>
      <w:r>
        <w:rPr>
          <w:rFonts w:hint="eastAsia" w:ascii="宋体" w:hAnsi="宋体" w:cs="宋体"/>
          <w:i/>
          <w:color w:val="auto"/>
          <w:szCs w:val="21"/>
          <w:highlight w:val="none"/>
        </w:rPr>
        <w:t>（注：根据项目实际情况填写，且与投标文件承诺一致）</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3.履行方式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包装方式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1.乙方提供的货物均应按投标文件承诺的要求的包装材料、包装标准、包装方式进行包装。</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2.乙方应在货物发运前对其进行满足运输距离、防水、防潮、防震、防锈和防破损装卸等要求包装，以保证货物安全运达甲方指定地点。</w:t>
      </w:r>
    </w:p>
    <w:p>
      <w:pPr>
        <w:pStyle w:val="10"/>
        <w:spacing w:line="360" w:lineRule="auto"/>
        <w:ind w:firstLine="420" w:firstLineChars="200"/>
        <w:rPr>
          <w:rFonts w:hAnsi="宋体"/>
          <w:color w:val="auto"/>
          <w:szCs w:val="21"/>
          <w:highlight w:val="none"/>
        </w:rPr>
      </w:pPr>
      <w:r>
        <w:rPr>
          <w:rFonts w:hAnsi="宋体"/>
          <w:color w:val="auto"/>
          <w:szCs w:val="21"/>
          <w:highlight w:val="none"/>
        </w:rPr>
        <w:t>3.</w:t>
      </w:r>
      <w:r>
        <w:rPr>
          <w:rFonts w:hint="eastAsia" w:hAnsi="宋体"/>
          <w:color w:val="auto"/>
          <w:szCs w:val="21"/>
          <w:highlight w:val="none"/>
        </w:rPr>
        <w:t>货物的使用说明书（货物属于进口产品的，供货时应同时附上中文使用说明书）、质量检验证明书、质量合格证、随配附件和工具以及清单一并附于货物包装内。</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1.安装时间：；安装地点：。</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2.安装要求：</w:t>
      </w:r>
      <w:r>
        <w:rPr>
          <w:rFonts w:hint="eastAsia" w:ascii="宋体" w:hAnsi="宋体"/>
          <w:i/>
          <w:color w:val="auto"/>
          <w:szCs w:val="21"/>
          <w:highlight w:val="none"/>
          <w:u w:val="single"/>
        </w:rPr>
        <w:t>乙方应当按招标文件要求（如有）或甲方要求进行安装</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3.甲方应提供必要安装条件（如场地、电源、水源等）。</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4.乙方应当按照投标文件的承诺对甲方有关人员进行培训。培训时间：；培训地点：。</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　合同价款及支付</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1.本合同以人民币付款。</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2.合同价款（或者报酬）：。</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3.合同价款包括</w:t>
      </w:r>
      <w:r>
        <w:rPr>
          <w:rFonts w:hint="eastAsia" w:ascii="宋体" w:hAnsi="宋体"/>
          <w:i/>
          <w:color w:val="auto"/>
          <w:szCs w:val="21"/>
          <w:highlight w:val="none"/>
          <w:u w:val="single"/>
        </w:rPr>
        <w:t>。</w:t>
      </w:r>
      <w:r>
        <w:rPr>
          <w:rFonts w:hint="eastAsia" w:ascii="宋体" w:hAnsi="宋体"/>
          <w:color w:val="auto"/>
          <w:szCs w:val="21"/>
          <w:highlight w:val="none"/>
        </w:rPr>
        <w:t>（注：根据项目实际情况填写，且与采购需求及须知前附表一致）</w:t>
      </w:r>
    </w:p>
    <w:p>
      <w:pPr>
        <w:pStyle w:val="16"/>
        <w:snapToGrid w:val="0"/>
        <w:spacing w:line="360" w:lineRule="auto"/>
        <w:ind w:firstLine="420" w:firstLineChars="200"/>
        <w:rPr>
          <w:rFonts w:hAnsi="宋体"/>
          <w:i/>
          <w:color w:val="auto"/>
          <w:sz w:val="21"/>
          <w:highlight w:val="none"/>
        </w:rPr>
      </w:pPr>
      <w:r>
        <w:rPr>
          <w:rFonts w:hint="eastAsia" w:hAnsi="宋体"/>
          <w:bCs/>
          <w:color w:val="auto"/>
          <w:sz w:val="21"/>
          <w:highlight w:val="none"/>
        </w:rPr>
        <w:t>4.</w:t>
      </w:r>
      <w:r>
        <w:rPr>
          <w:rFonts w:hint="eastAsia" w:hAnsi="宋体"/>
          <w:color w:val="auto"/>
          <w:sz w:val="21"/>
          <w:highlight w:val="none"/>
        </w:rPr>
        <w:t>付款进度安排：</w:t>
      </w:r>
    </w:p>
    <w:p>
      <w:pPr>
        <w:snapToGrid w:val="0"/>
        <w:spacing w:line="360" w:lineRule="auto"/>
        <w:ind w:firstLine="420" w:firstLineChars="200"/>
        <w:rPr>
          <w:rFonts w:ascii="宋体" w:hAnsi="宋体"/>
          <w:b/>
          <w:color w:val="auto"/>
          <w:szCs w:val="21"/>
          <w:highlight w:val="none"/>
        </w:rPr>
      </w:pPr>
      <w:r>
        <w:rPr>
          <w:rFonts w:hAnsi="宋体"/>
          <w:color w:val="auto"/>
          <w:szCs w:val="21"/>
          <w:highlight w:val="none"/>
        </w:rPr>
        <w:t>5.</w:t>
      </w:r>
      <w:r>
        <w:rPr>
          <w:rFonts w:hint="eastAsia" w:hAnsi="宋体"/>
          <w:color w:val="auto"/>
          <w:szCs w:val="21"/>
          <w:highlight w:val="none"/>
        </w:rPr>
        <w:t>资金支付方式：</w:t>
      </w:r>
      <w:r>
        <w:rPr>
          <w:rFonts w:hint="eastAsia" w:hAnsi="宋体"/>
          <w:i/>
          <w:color w:val="auto"/>
          <w:szCs w:val="21"/>
          <w:highlight w:val="none"/>
          <w:u w:val="single"/>
        </w:rPr>
        <w:t>（银行转账）</w:t>
      </w:r>
      <w:r>
        <w:rPr>
          <w:rFonts w:hint="eastAsia" w:hAnsi="宋体"/>
          <w:color w:val="auto"/>
          <w:szCs w:val="21"/>
          <w:highlight w:val="none"/>
        </w:rPr>
        <w:t>。</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第七条　验收、交付标准和方法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1.验收标准和方法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（1）验收标准：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（2）验收程序及方法：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1）乙方完成货物安装调试和培训后，书面向甲方提交验收申请。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2）甲方收到乙方验收申请之日起个工作日进行验收。甲方委托第三方机构组织项目验收的，其验收时间以该项目验收方案确定的验收时间为准。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3）负责本项目验收的单位按下列方式确定：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①甲方自行组织；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②甲方委托的第三方机构组织；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pPr>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验收书一式份，甲乙双方各执份、受托第三方机构一份（如有）</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7）验收结论不合格的，乙方应自收到验收书后日内及时予以解决。经乙方对验收结论不合格的货物进行整改后，仍然达不到要求的，经双方协商，可按以下办法处理：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①更换：由乙方承担所发生的全部费用。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②贬值处理：由甲乙双方合议定价。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color w:val="auto"/>
          <w:highlight w:val="none"/>
        </w:rPr>
        <w:t>验收费用</w:t>
      </w:r>
      <w:r>
        <w:rPr>
          <w:rFonts w:hint="eastAsia" w:ascii="宋体" w:hAnsi="宋体"/>
          <w:color w:val="auto"/>
          <w:szCs w:val="21"/>
          <w:highlight w:val="none"/>
        </w:rPr>
        <w:t>按下列方式确定：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①甲方支付；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②乙方支付；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2.交付标准和方法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（1）除售后服务验收外，验收结论合格的，乙方应自收到验收书后日内向甲方交付使用。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3.验收相关人员</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验收小组参与部门：</w:t>
      </w:r>
    </w:p>
    <w:tbl>
      <w:tblPr>
        <w:tblStyle w:val="2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1900"/>
        <w:gridCol w:w="156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3" w:type="dxa"/>
            <w:vAlign w:val="center"/>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部门名称</w:t>
            </w:r>
          </w:p>
        </w:tc>
        <w:tc>
          <w:tcPr>
            <w:tcW w:w="1900" w:type="dxa"/>
            <w:vAlign w:val="center"/>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参与人姓名</w:t>
            </w:r>
          </w:p>
        </w:tc>
        <w:tc>
          <w:tcPr>
            <w:tcW w:w="1564" w:type="dxa"/>
            <w:vAlign w:val="center"/>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人数</w:t>
            </w:r>
          </w:p>
        </w:tc>
        <w:tc>
          <w:tcPr>
            <w:tcW w:w="1513" w:type="dxa"/>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3" w:type="dxa"/>
            <w:vAlign w:val="center"/>
          </w:tcPr>
          <w:p>
            <w:pPr>
              <w:snapToGrid w:val="0"/>
              <w:spacing w:before="120" w:line="400" w:lineRule="atLeast"/>
              <w:ind w:firstLine="420" w:firstLineChars="200"/>
              <w:rPr>
                <w:rFonts w:ascii="宋体" w:hAnsi="宋体" w:cs="宋体"/>
                <w:color w:val="auto"/>
                <w:szCs w:val="21"/>
                <w:highlight w:val="none"/>
              </w:rPr>
            </w:pPr>
          </w:p>
        </w:tc>
        <w:tc>
          <w:tcPr>
            <w:tcW w:w="1900" w:type="dxa"/>
            <w:vAlign w:val="center"/>
          </w:tcPr>
          <w:p>
            <w:pPr>
              <w:snapToGrid w:val="0"/>
              <w:spacing w:before="120" w:line="400" w:lineRule="atLeast"/>
              <w:ind w:firstLine="420" w:firstLineChars="200"/>
              <w:rPr>
                <w:rFonts w:ascii="宋体" w:hAnsi="宋体" w:cs="宋体"/>
                <w:color w:val="auto"/>
                <w:szCs w:val="21"/>
                <w:highlight w:val="none"/>
              </w:rPr>
            </w:pPr>
          </w:p>
        </w:tc>
        <w:tc>
          <w:tcPr>
            <w:tcW w:w="1564" w:type="dxa"/>
            <w:vAlign w:val="center"/>
          </w:tcPr>
          <w:p>
            <w:pPr>
              <w:snapToGrid w:val="0"/>
              <w:spacing w:before="120" w:line="400" w:lineRule="atLeast"/>
              <w:ind w:firstLine="420" w:firstLineChars="200"/>
              <w:rPr>
                <w:rFonts w:ascii="宋体" w:hAnsi="宋体" w:cs="宋体"/>
                <w:color w:val="auto"/>
                <w:szCs w:val="21"/>
                <w:highlight w:val="none"/>
              </w:rPr>
            </w:pPr>
          </w:p>
        </w:tc>
        <w:tc>
          <w:tcPr>
            <w:tcW w:w="1513" w:type="dxa"/>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验收组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3" w:type="dxa"/>
            <w:vAlign w:val="center"/>
          </w:tcPr>
          <w:p>
            <w:pPr>
              <w:snapToGrid w:val="0"/>
              <w:spacing w:before="120" w:line="400" w:lineRule="atLeast"/>
              <w:ind w:firstLine="420" w:firstLineChars="200"/>
              <w:rPr>
                <w:rFonts w:ascii="宋体" w:hAnsi="宋体" w:cs="宋体"/>
                <w:color w:val="auto"/>
                <w:szCs w:val="21"/>
                <w:highlight w:val="none"/>
              </w:rPr>
            </w:pPr>
          </w:p>
        </w:tc>
        <w:tc>
          <w:tcPr>
            <w:tcW w:w="1900" w:type="dxa"/>
            <w:vAlign w:val="center"/>
          </w:tcPr>
          <w:p>
            <w:pPr>
              <w:snapToGrid w:val="0"/>
              <w:spacing w:before="120" w:line="400" w:lineRule="atLeast"/>
              <w:ind w:firstLine="420" w:firstLineChars="200"/>
              <w:rPr>
                <w:rFonts w:ascii="宋体" w:hAnsi="宋体" w:cs="宋体"/>
                <w:color w:val="auto"/>
                <w:szCs w:val="21"/>
                <w:highlight w:val="none"/>
              </w:rPr>
            </w:pPr>
          </w:p>
        </w:tc>
        <w:tc>
          <w:tcPr>
            <w:tcW w:w="1564" w:type="dxa"/>
            <w:vAlign w:val="center"/>
          </w:tcPr>
          <w:p>
            <w:pPr>
              <w:snapToGrid w:val="0"/>
              <w:spacing w:before="120" w:line="400" w:lineRule="atLeast"/>
              <w:ind w:firstLine="420" w:firstLineChars="200"/>
              <w:rPr>
                <w:rFonts w:ascii="宋体" w:hAnsi="宋体" w:cs="宋体"/>
                <w:color w:val="auto"/>
                <w:szCs w:val="21"/>
                <w:highlight w:val="none"/>
              </w:rPr>
            </w:pPr>
          </w:p>
        </w:tc>
        <w:tc>
          <w:tcPr>
            <w:tcW w:w="1513" w:type="dxa"/>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验收组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3" w:type="dxa"/>
            <w:vAlign w:val="center"/>
          </w:tcPr>
          <w:p>
            <w:pPr>
              <w:snapToGrid w:val="0"/>
              <w:spacing w:before="120" w:line="400" w:lineRule="atLeast"/>
              <w:ind w:firstLine="420" w:firstLineChars="200"/>
              <w:rPr>
                <w:rFonts w:ascii="宋体" w:hAnsi="宋体" w:cs="宋体"/>
                <w:color w:val="auto"/>
                <w:szCs w:val="21"/>
                <w:highlight w:val="none"/>
              </w:rPr>
            </w:pPr>
          </w:p>
        </w:tc>
        <w:tc>
          <w:tcPr>
            <w:tcW w:w="1900" w:type="dxa"/>
            <w:vAlign w:val="center"/>
          </w:tcPr>
          <w:p>
            <w:pPr>
              <w:snapToGrid w:val="0"/>
              <w:spacing w:before="120" w:line="400" w:lineRule="atLeast"/>
              <w:ind w:firstLine="420" w:firstLineChars="200"/>
              <w:rPr>
                <w:rFonts w:ascii="宋体" w:hAnsi="宋体" w:cs="宋体"/>
                <w:color w:val="auto"/>
                <w:szCs w:val="21"/>
                <w:highlight w:val="none"/>
              </w:rPr>
            </w:pPr>
          </w:p>
        </w:tc>
        <w:tc>
          <w:tcPr>
            <w:tcW w:w="1564" w:type="dxa"/>
            <w:vAlign w:val="center"/>
          </w:tcPr>
          <w:p>
            <w:pPr>
              <w:snapToGrid w:val="0"/>
              <w:spacing w:before="120" w:line="400" w:lineRule="atLeast"/>
              <w:ind w:firstLine="420" w:firstLineChars="200"/>
              <w:rPr>
                <w:rFonts w:ascii="宋体" w:hAnsi="宋体" w:cs="宋体"/>
                <w:color w:val="auto"/>
                <w:szCs w:val="21"/>
                <w:highlight w:val="none"/>
              </w:rPr>
            </w:pPr>
          </w:p>
        </w:tc>
        <w:tc>
          <w:tcPr>
            <w:tcW w:w="1513" w:type="dxa"/>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验收组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3" w:type="dxa"/>
            <w:vAlign w:val="center"/>
          </w:tcPr>
          <w:p>
            <w:pPr>
              <w:snapToGrid w:val="0"/>
              <w:spacing w:before="120" w:line="400" w:lineRule="atLeast"/>
              <w:ind w:firstLine="420" w:firstLineChars="200"/>
              <w:rPr>
                <w:rFonts w:ascii="宋体" w:hAnsi="宋体" w:cs="宋体"/>
                <w:color w:val="auto"/>
                <w:szCs w:val="21"/>
                <w:highlight w:val="none"/>
              </w:rPr>
            </w:pPr>
          </w:p>
        </w:tc>
        <w:tc>
          <w:tcPr>
            <w:tcW w:w="1900" w:type="dxa"/>
            <w:vAlign w:val="center"/>
          </w:tcPr>
          <w:p>
            <w:pPr>
              <w:snapToGrid w:val="0"/>
              <w:spacing w:before="120" w:line="400" w:lineRule="atLeast"/>
              <w:ind w:firstLine="420" w:firstLineChars="200"/>
              <w:rPr>
                <w:rFonts w:ascii="宋体" w:hAnsi="宋体" w:cs="宋体"/>
                <w:color w:val="auto"/>
                <w:szCs w:val="21"/>
                <w:highlight w:val="none"/>
              </w:rPr>
            </w:pPr>
          </w:p>
        </w:tc>
        <w:tc>
          <w:tcPr>
            <w:tcW w:w="1564" w:type="dxa"/>
            <w:vAlign w:val="center"/>
          </w:tcPr>
          <w:p>
            <w:pPr>
              <w:snapToGrid w:val="0"/>
              <w:spacing w:before="120" w:line="400" w:lineRule="atLeast"/>
              <w:ind w:firstLine="420" w:firstLineChars="200"/>
              <w:rPr>
                <w:rFonts w:ascii="宋体" w:hAnsi="宋体" w:cs="宋体"/>
                <w:color w:val="auto"/>
                <w:szCs w:val="21"/>
                <w:highlight w:val="none"/>
              </w:rPr>
            </w:pPr>
          </w:p>
        </w:tc>
        <w:tc>
          <w:tcPr>
            <w:tcW w:w="1513" w:type="dxa"/>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3" w:type="dxa"/>
            <w:vAlign w:val="center"/>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w:t>
            </w:r>
          </w:p>
        </w:tc>
        <w:tc>
          <w:tcPr>
            <w:tcW w:w="1900" w:type="dxa"/>
            <w:vAlign w:val="center"/>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w:t>
            </w:r>
          </w:p>
        </w:tc>
        <w:tc>
          <w:tcPr>
            <w:tcW w:w="1564" w:type="dxa"/>
            <w:vAlign w:val="center"/>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w:t>
            </w:r>
          </w:p>
        </w:tc>
        <w:tc>
          <w:tcPr>
            <w:tcW w:w="1513" w:type="dxa"/>
          </w:tcPr>
          <w:p>
            <w:pPr>
              <w:snapToGrid w:val="0"/>
              <w:spacing w:before="120"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w:t>
            </w:r>
          </w:p>
        </w:tc>
      </w:tr>
    </w:tbl>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验收小组</w:t>
      </w:r>
      <w:r>
        <w:rPr>
          <w:rFonts w:hint="eastAsia" w:ascii="宋体" w:hAnsi="宋体" w:cs="宋体"/>
          <w:color w:val="auto"/>
          <w:szCs w:val="21"/>
          <w:highlight w:val="none"/>
        </w:rPr>
        <w:t>应由3人以上单数组成。</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验收组根据本项目采购合同及补充协议的约定对每一项技术、服务、安全标准的履约情况进行确认。</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验收小组对验收过程中对实际查验结果如实反馈，最后所有过程表单由该验收组所有成员（含验收专家、</w:t>
      </w:r>
      <w:r>
        <w:rPr>
          <w:rFonts w:hint="eastAsia" w:ascii="宋体" w:hAnsi="宋体" w:cs="宋体"/>
          <w:color w:val="auto"/>
          <w:szCs w:val="21"/>
          <w:highlight w:val="none"/>
        </w:rPr>
        <w:t>甲方</w:t>
      </w:r>
      <w:r>
        <w:rPr>
          <w:rFonts w:ascii="宋体" w:hAnsi="宋体" w:cs="宋体"/>
          <w:color w:val="auto"/>
          <w:szCs w:val="21"/>
          <w:highlight w:val="none"/>
        </w:rPr>
        <w:t>代表）、</w:t>
      </w:r>
      <w:r>
        <w:rPr>
          <w:rFonts w:hint="eastAsia" w:ascii="宋体" w:hAnsi="宋体" w:cs="宋体"/>
          <w:color w:val="auto"/>
          <w:szCs w:val="21"/>
          <w:highlight w:val="none"/>
        </w:rPr>
        <w:t>乙方</w:t>
      </w:r>
      <w:r>
        <w:rPr>
          <w:rFonts w:ascii="宋体" w:hAnsi="宋体" w:cs="宋体"/>
          <w:color w:val="auto"/>
          <w:szCs w:val="21"/>
          <w:highlight w:val="none"/>
        </w:rPr>
        <w:t>授权人、监督代表统一签字，作出验收结论性意见，明确本次验收是否合格，并出具验收书。</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验收结果应当与采购合同约定的资金支付及履约保证金返还条件挂钩。履约验收的各项资料应当存档备查，验收原始记录、验收书等资料作为该采购项目档案妥善保管，不得伪造、变造、隐匿或者销毁，验收资料保存期为采购结束之日起至少保存15年。</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第八条  售后服务</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1.乙方应按照国家有关法律法规规定以及投标文件承诺，为甲方提供售后服务。</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2.质量保修范围:；质保期：。</w:t>
      </w:r>
    </w:p>
    <w:p>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w:t>
      </w:r>
    </w:p>
    <w:p>
      <w:pPr>
        <w:spacing w:line="400" w:lineRule="exact"/>
        <w:ind w:firstLine="420" w:firstLineChars="200"/>
        <w:contextualSpacing/>
        <w:rPr>
          <w:rFonts w:ascii="宋体" w:hAnsi="宋体" w:cs="宋体"/>
          <w:color w:val="auto"/>
          <w:szCs w:val="21"/>
          <w:highlight w:val="none"/>
        </w:rPr>
      </w:pPr>
      <w:r>
        <w:rPr>
          <w:rFonts w:hint="eastAsia" w:ascii="宋体" w:hAnsi="宋体"/>
          <w:color w:val="auto"/>
          <w:szCs w:val="21"/>
          <w:highlight w:val="none"/>
        </w:rPr>
        <w:t>本项目不收取履约保证金。</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第十条　违约责任</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2.乙方未能按时交付货物的，应向甲方支付迟延交付违约金。迟延交付违约金的计算方法如下：</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（1）从迟交的第一周到第四周，每周迟延交付违约金为合同价款（报酬）的</w:t>
      </w:r>
      <w:r>
        <w:rPr>
          <w:rFonts w:hint="eastAsia" w:hAnsi="宋体"/>
          <w:i/>
          <w:color w:val="auto"/>
          <w:sz w:val="21"/>
          <w:highlight w:val="none"/>
          <w:u w:val="single"/>
        </w:rPr>
        <w:t xml:space="preserve"> 0.5% </w:t>
      </w:r>
      <w:r>
        <w:rPr>
          <w:rFonts w:hint="eastAsia" w:hAnsi="宋体"/>
          <w:color w:val="auto"/>
          <w:sz w:val="21"/>
          <w:highlight w:val="none"/>
        </w:rPr>
        <w:t>；</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（2）从迟交的第五周到第八周，每周迟延交付违约金为合同价款（报酬）的</w:t>
      </w:r>
      <w:r>
        <w:rPr>
          <w:rFonts w:hint="eastAsia" w:hAnsi="宋体"/>
          <w:i/>
          <w:color w:val="auto"/>
          <w:sz w:val="21"/>
          <w:highlight w:val="none"/>
          <w:u w:val="single"/>
        </w:rPr>
        <w:t xml:space="preserve"> 1% </w:t>
      </w:r>
      <w:r>
        <w:rPr>
          <w:rFonts w:hint="eastAsia" w:hAnsi="宋体"/>
          <w:color w:val="auto"/>
          <w:sz w:val="21"/>
          <w:highlight w:val="none"/>
        </w:rPr>
        <w:t>；</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（3）从迟交第九周起，每周迟延交付违约金为合同价款（报酬）的</w:t>
      </w:r>
      <w:r>
        <w:rPr>
          <w:rFonts w:hint="eastAsia" w:hAnsi="宋体"/>
          <w:i/>
          <w:color w:val="auto"/>
          <w:sz w:val="21"/>
          <w:highlight w:val="none"/>
          <w:u w:val="single"/>
        </w:rPr>
        <w:t xml:space="preserve"> 1.5% </w:t>
      </w:r>
      <w:r>
        <w:rPr>
          <w:rFonts w:hint="eastAsia" w:hAnsi="宋体"/>
          <w:color w:val="auto"/>
          <w:sz w:val="21"/>
          <w:highlight w:val="none"/>
        </w:rPr>
        <w:t>。在计算迟延交付违约金时，迟交不足一周的按一周计算。迟延交付违约金的总额不得超过合同价款（报酬）的</w:t>
      </w:r>
      <w:r>
        <w:rPr>
          <w:rFonts w:hint="eastAsia" w:hAnsi="宋体"/>
          <w:color w:val="auto"/>
          <w:sz w:val="21"/>
          <w:highlight w:val="none"/>
          <w:u w:val="single"/>
        </w:rPr>
        <w:t xml:space="preserve"> 10% </w:t>
      </w:r>
      <w:r>
        <w:rPr>
          <w:rFonts w:hint="eastAsia" w:hAnsi="宋体"/>
          <w:color w:val="auto"/>
          <w:sz w:val="21"/>
          <w:highlight w:val="none"/>
        </w:rPr>
        <w:t>。迟延交付违约金的支付不能免除乙方继续交付相关合同货物的义务，但如迟延交付必然导致合同货物安装、调试、验收等工作推迟的，相关工作应相应顺延。</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3.甲方未能按合同约定支付合同价款的，应向乙方支付延迟付款违约金。迟延付款违约金的计算方法如下：</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（1）从迟付的第一周到第四周，每周迟延付款违约金为迟延付款金额的</w:t>
      </w:r>
      <w:r>
        <w:rPr>
          <w:rFonts w:hint="eastAsia" w:hAnsi="宋体"/>
          <w:i/>
          <w:color w:val="auto"/>
          <w:sz w:val="21"/>
          <w:highlight w:val="none"/>
          <w:u w:val="single"/>
        </w:rPr>
        <w:t xml:space="preserve"> 0.5% </w:t>
      </w:r>
      <w:r>
        <w:rPr>
          <w:rFonts w:hint="eastAsia" w:hAnsi="宋体"/>
          <w:color w:val="auto"/>
          <w:sz w:val="21"/>
          <w:highlight w:val="none"/>
        </w:rPr>
        <w:t>；</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（2）从迟付的第五周到第八周，每周迟延付款违约金为迟延付款金额的</w:t>
      </w:r>
      <w:r>
        <w:rPr>
          <w:rFonts w:hint="eastAsia" w:hAnsi="宋体"/>
          <w:i/>
          <w:color w:val="auto"/>
          <w:sz w:val="21"/>
          <w:highlight w:val="none"/>
          <w:u w:val="single"/>
        </w:rPr>
        <w:t xml:space="preserve"> 1% </w:t>
      </w:r>
      <w:r>
        <w:rPr>
          <w:rFonts w:hint="eastAsia" w:hAnsi="宋体"/>
          <w:color w:val="auto"/>
          <w:sz w:val="21"/>
          <w:highlight w:val="none"/>
        </w:rPr>
        <w:t>；</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（3）从迟付第九周起，每周迟延付款违约金为迟延付款金额的</w:t>
      </w:r>
      <w:r>
        <w:rPr>
          <w:rFonts w:hint="eastAsia" w:hAnsi="宋体"/>
          <w:i/>
          <w:color w:val="auto"/>
          <w:sz w:val="21"/>
          <w:highlight w:val="none"/>
          <w:u w:val="single"/>
        </w:rPr>
        <w:t xml:space="preserve"> 1.5% </w:t>
      </w:r>
      <w:r>
        <w:rPr>
          <w:rFonts w:hint="eastAsia" w:hAnsi="宋体"/>
          <w:color w:val="auto"/>
          <w:sz w:val="21"/>
          <w:highlight w:val="none"/>
        </w:rPr>
        <w:t>。在计算迟延付款违约金时，迟付不足一周的按一周计算。迟延付款违约金的总额不得超过合同价格的</w:t>
      </w:r>
      <w:r>
        <w:rPr>
          <w:rFonts w:hint="eastAsia" w:hAnsi="宋体"/>
          <w:color w:val="auto"/>
          <w:sz w:val="21"/>
          <w:highlight w:val="none"/>
          <w:u w:val="single"/>
        </w:rPr>
        <w:t xml:space="preserve"> 10% </w:t>
      </w:r>
      <w:r>
        <w:rPr>
          <w:rFonts w:hint="eastAsia" w:hAnsi="宋体"/>
          <w:color w:val="auto"/>
          <w:sz w:val="21"/>
          <w:highlight w:val="none"/>
        </w:rPr>
        <w:t>。</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4.乙方未按本合同和投标文件承诺提供售后服务的，乙方应按本合同价款（报酬）的 %向甲方支付违约金。</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5.因某一方原因导致变更、中止或者终止政府采购合同的，该方应当对另一方受到的损失予以赔偿或者补偿。</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6.其他违约责任按《中华人民共和国民法典》处理。</w:t>
      </w:r>
    </w:p>
    <w:p>
      <w:pPr>
        <w:pStyle w:val="16"/>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第十一条  不可抗力事件处理</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第十二条  合同争议解决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autoSpaceDE w:val="0"/>
        <w:autoSpaceDN w:val="0"/>
        <w:adjustRightInd w:val="0"/>
        <w:spacing w:line="360" w:lineRule="auto"/>
        <w:ind w:left="100" w:right="42" w:firstLine="420"/>
        <w:rPr>
          <w:rFonts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2.因履行本合同引起的或者与本合同有关的争议，甲乙双方应首先通过友好协商解决，如果协商不能解决，按下列方式解决：</w:t>
      </w:r>
    </w:p>
    <w:p>
      <w:pPr>
        <w:autoSpaceDE w:val="0"/>
        <w:autoSpaceDN w:val="0"/>
        <w:adjustRightInd w:val="0"/>
        <w:spacing w:line="360" w:lineRule="auto"/>
        <w:ind w:right="40" w:firstLine="420"/>
        <w:rPr>
          <w:rFonts w:ascii="宋体" w:hAnsi="宋体"/>
          <w:color w:val="auto"/>
          <w:szCs w:val="21"/>
          <w:highlight w:val="none"/>
        </w:rPr>
      </w:pPr>
      <w:r>
        <w:rPr>
          <w:rFonts w:hint="eastAsia" w:ascii="宋体" w:hAnsi="宋体"/>
          <w:color w:val="auto"/>
          <w:szCs w:val="21"/>
          <w:highlight w:val="none"/>
        </w:rPr>
        <w:t>（1）向仲裁委员会申请仲裁；</w:t>
      </w:r>
    </w:p>
    <w:p>
      <w:pPr>
        <w:autoSpaceDE w:val="0"/>
        <w:autoSpaceDN w:val="0"/>
        <w:adjustRightInd w:val="0"/>
        <w:spacing w:line="360" w:lineRule="auto"/>
        <w:ind w:right="40" w:firstLine="420"/>
        <w:rPr>
          <w:rFonts w:ascii="宋体" w:hAnsi="宋体"/>
          <w:color w:val="auto"/>
          <w:szCs w:val="21"/>
          <w:highlight w:val="none"/>
        </w:rPr>
      </w:pPr>
      <w:r>
        <w:rPr>
          <w:rFonts w:hint="eastAsia" w:ascii="宋体" w:hAnsi="宋体"/>
          <w:color w:val="auto"/>
          <w:szCs w:val="21"/>
          <w:highlight w:val="none"/>
        </w:rPr>
        <w:t>（2）向对甲方有管辖权的人民法院提起诉讼。</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第十三条　合同的变更、中止或者终止</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1.政府采购合同</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2.成交通知书；</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3.响应文件；</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4.采购文件及更正公告（澄清或补充通知）；</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5.标准、规范及有关技术文件；</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6.双方约定的其他合同文件。</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rPr>
        <w:t>十五</w:t>
      </w:r>
      <w:r>
        <w:rPr>
          <w:rFonts w:hint="eastAsia" w:ascii="宋体" w:hAnsi="宋体"/>
          <w:b/>
          <w:color w:val="auto"/>
          <w:szCs w:val="21"/>
          <w:highlight w:val="none"/>
        </w:rPr>
        <w:t>条　知识产权和保密要求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pPr>
        <w:pStyle w:val="16"/>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第十六条  合同生效及其他</w:t>
      </w:r>
    </w:p>
    <w:p>
      <w:pPr>
        <w:pStyle w:val="16"/>
        <w:snapToGrid w:val="0"/>
        <w:spacing w:line="360" w:lineRule="auto"/>
        <w:ind w:firstLine="420" w:firstLineChars="200"/>
        <w:rPr>
          <w:rFonts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2.合同执行中涉及采购资金和采购内容修改或者补充的，并签书面补充协议报财政部门备案，方可作为主合同不可分割的一部分。</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3.合同生效后，甲乙双方不得因姓名、名称的变更或者法定代表人、负责人、承办人的变动而不履行合同义务。</w:t>
      </w:r>
    </w:p>
    <w:p>
      <w:pPr>
        <w:pStyle w:val="16"/>
        <w:snapToGrid w:val="0"/>
        <w:spacing w:line="360" w:lineRule="auto"/>
        <w:ind w:left="420" w:leftChars="200"/>
        <w:rPr>
          <w:rFonts w:hAnsi="宋体"/>
          <w:color w:val="auto"/>
          <w:sz w:val="21"/>
          <w:highlight w:val="none"/>
        </w:rPr>
      </w:pPr>
      <w:r>
        <w:rPr>
          <w:rFonts w:hint="eastAsia" w:hAnsi="宋体"/>
          <w:color w:val="auto"/>
          <w:sz w:val="21"/>
          <w:highlight w:val="none"/>
        </w:rPr>
        <w:t>4.本合同未尽事宜，遵照《中华人民共和国民法典》有关条文执行。</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5.本合同一式</w:t>
      </w:r>
      <w:r>
        <w:rPr>
          <w:rFonts w:hint="eastAsia" w:ascii="宋体" w:hAnsi="宋体"/>
          <w:i/>
          <w:color w:val="auto"/>
          <w:szCs w:val="21"/>
          <w:highlight w:val="none"/>
          <w:u w:val="single"/>
        </w:rPr>
        <w:t>五</w:t>
      </w:r>
      <w:r>
        <w:rPr>
          <w:rFonts w:hint="eastAsia" w:ascii="宋体" w:hAnsi="宋体"/>
          <w:color w:val="auto"/>
          <w:szCs w:val="21"/>
          <w:highlight w:val="none"/>
        </w:rPr>
        <w:t>份，具有同等法律效力，甲方三份，乙方二份</w:t>
      </w:r>
      <w:r>
        <w:rPr>
          <w:rFonts w:hint="eastAsia" w:ascii="宋体" w:hAnsi="宋体"/>
          <w:i/>
          <w:color w:val="auto"/>
          <w:szCs w:val="21"/>
          <w:highlight w:val="none"/>
        </w:rPr>
        <w:t>（可根据需要另增加）</w:t>
      </w:r>
      <w:r>
        <w:rPr>
          <w:rFonts w:hint="eastAsia" w:ascii="宋体" w:hAnsi="宋体"/>
          <w:color w:val="auto"/>
          <w:szCs w:val="21"/>
          <w:highlight w:val="none"/>
        </w:rPr>
        <w:t>。</w:t>
      </w:r>
    </w:p>
    <w:tbl>
      <w:tblPr>
        <w:tblStyle w:val="28"/>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1"/>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before="120" w:line="360" w:lineRule="exact"/>
              <w:rPr>
                <w:rFonts w:ascii="宋体" w:hAnsi="宋体"/>
                <w:color w:val="auto"/>
                <w:szCs w:val="21"/>
                <w:highlight w:val="none"/>
              </w:rPr>
            </w:pPr>
          </w:p>
          <w:p>
            <w:pPr>
              <w:snapToGrid w:val="0"/>
              <w:spacing w:before="120" w:line="360" w:lineRule="exact"/>
              <w:rPr>
                <w:rFonts w:ascii="宋体" w:hAnsi="宋体"/>
                <w:color w:val="auto"/>
                <w:szCs w:val="21"/>
                <w:highlight w:val="none"/>
              </w:rPr>
            </w:pPr>
          </w:p>
          <w:p>
            <w:pPr>
              <w:snapToGrid w:val="0"/>
              <w:spacing w:before="120" w:line="36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before="120" w:line="360" w:lineRule="exact"/>
              <w:rPr>
                <w:rFonts w:ascii="宋体" w:hAnsi="宋体"/>
                <w:color w:val="auto"/>
                <w:szCs w:val="21"/>
                <w:highlight w:val="none"/>
              </w:rPr>
            </w:pPr>
          </w:p>
          <w:p>
            <w:pPr>
              <w:snapToGrid w:val="0"/>
              <w:spacing w:before="120" w:line="360" w:lineRule="exact"/>
              <w:rPr>
                <w:rFonts w:ascii="宋体" w:hAnsi="宋体"/>
                <w:color w:val="auto"/>
                <w:szCs w:val="21"/>
                <w:highlight w:val="none"/>
              </w:rPr>
            </w:pPr>
          </w:p>
          <w:p>
            <w:pPr>
              <w:snapToGrid w:val="0"/>
              <w:spacing w:before="120" w:line="360" w:lineRule="exact"/>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单位地址：</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法定代表人：</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委托代理人：</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电话：</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电子邮箱：</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开户银行：</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账号：</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邮政编码：</w:t>
            </w:r>
          </w:p>
        </w:tc>
        <w:tc>
          <w:tcPr>
            <w:tcW w:w="4471"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exact"/>
              <w:rPr>
                <w:rFonts w:ascii="宋体" w:hAnsi="宋体"/>
                <w:color w:val="auto"/>
                <w:szCs w:val="21"/>
                <w:highlight w:val="none"/>
              </w:rPr>
            </w:pPr>
            <w:r>
              <w:rPr>
                <w:rFonts w:hint="eastAsia" w:ascii="宋体" w:hAnsi="宋体"/>
                <w:color w:val="auto"/>
                <w:szCs w:val="21"/>
                <w:highlight w:val="none"/>
              </w:rPr>
              <w:t>邮政编码：</w:t>
            </w:r>
          </w:p>
        </w:tc>
      </w:tr>
    </w:tbl>
    <w:p>
      <w:pPr>
        <w:rPr>
          <w:rFonts w:ascii="宋体" w:hAnsi="宋体"/>
          <w:color w:val="auto"/>
          <w:sz w:val="24"/>
          <w:highlight w:val="none"/>
        </w:rPr>
      </w:pPr>
    </w:p>
    <w:sectPr>
      <w:footerReference r:id="rId7"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D13E83-305F-47FD-933B-0CEF408EF71A}"/>
  </w:font>
  <w:font w:name="黑体">
    <w:panose1 w:val="02010609060101010101"/>
    <w:charset w:val="86"/>
    <w:family w:val="auto"/>
    <w:pitch w:val="default"/>
    <w:sig w:usb0="800002BF" w:usb1="38CF7CFA" w:usb2="00000016" w:usb3="00000000" w:csb0="00040001" w:csb1="00000000"/>
    <w:embedRegular r:id="rId2" w:fontKey="{7A746B50-C457-4690-A440-12C8FA797F4E}"/>
  </w:font>
  <w:font w:name="Courier New">
    <w:panose1 w:val="02070309020205020404"/>
    <w:charset w:val="01"/>
    <w:family w:val="modern"/>
    <w:pitch w:val="default"/>
    <w:sig w:usb0="E0002EFF" w:usb1="C0007843" w:usb2="00000009" w:usb3="00000000" w:csb0="400001FF" w:csb1="FFFF0000"/>
    <w:embedRegular r:id="rId3" w:fontKey="{DAB9BD90-3191-465F-9DAF-7126097CCA7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DA36D129-16C9-4CF7-BAAD-95D28AEEE62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30E95B66-40B1-41C1-88DE-BC5888A6FE17}"/>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6" w:fontKey="{7CD62642-1705-4063-9691-A6B5A60576A6}"/>
  </w:font>
  <w:font w:name="华文新魏">
    <w:panose1 w:val="02010800040101010101"/>
    <w:charset w:val="86"/>
    <w:family w:val="auto"/>
    <w:pitch w:val="default"/>
    <w:sig w:usb0="00000001" w:usb1="080F0000" w:usb2="00000000" w:usb3="00000000" w:csb0="00040000" w:csb1="00000000"/>
    <w:embedRegular r:id="rId7" w:fontKey="{39089827-E537-4CB9-9F35-EBB2316890F2}"/>
  </w:font>
  <w:font w:name="MS Mincho">
    <w:panose1 w:val="02020609040205080304"/>
    <w:charset w:val="80"/>
    <w:family w:val="roman"/>
    <w:pitch w:val="default"/>
    <w:sig w:usb0="00000000" w:usb1="00000000" w:usb2="00000000" w:usb3="00000000" w:csb0="00000000" w:csb1="00000000"/>
    <w:embedRegular r:id="rId8" w:fontKey="{25DE0DC6-C58C-4E55-BC68-95A21C674384}"/>
  </w:font>
  <w:font w:name="Wingdings 2">
    <w:panose1 w:val="05020102010507070707"/>
    <w:charset w:val="02"/>
    <w:family w:val="roman"/>
    <w:pitch w:val="default"/>
    <w:sig w:usb0="00000000" w:usb1="00000000" w:usb2="00000000" w:usb3="00000000" w:csb0="80000000" w:csb1="00000000"/>
    <w:embedRegular r:id="rId9" w:fontKey="{B3D06DBA-4327-43FA-89BF-BC3F8732E1D8}"/>
  </w:font>
  <w:font w:name="仿宋">
    <w:panose1 w:val="02010609060101010101"/>
    <w:charset w:val="86"/>
    <w:family w:val="modern"/>
    <w:pitch w:val="default"/>
    <w:sig w:usb0="800002BF" w:usb1="38CF7CFA" w:usb2="00000016" w:usb3="00000000" w:csb0="00040001" w:csb1="00000000"/>
    <w:embedRegular r:id="rId10" w:fontKey="{E531ACB0-9CBC-4E7C-A404-EB80BAD39AAF}"/>
  </w:font>
  <w:font w:name="Segoe UI Symbol">
    <w:panose1 w:val="020B0502040204020203"/>
    <w:charset w:val="00"/>
    <w:family w:val="swiss"/>
    <w:pitch w:val="default"/>
    <w:sig w:usb0="800001E3" w:usb1="1200FFEF" w:usb2="00040000" w:usb3="04000000" w:csb0="00000001" w:csb1="40000000"/>
    <w:embedRegular r:id="rId11" w:fontKey="{FAAE3816-80F6-4C54-8C9E-63B08A949E8F}"/>
  </w:font>
  <w:font w:name="Arial Unicode MS">
    <w:panose1 w:val="020B0604020202020204"/>
    <w:charset w:val="86"/>
    <w:family w:val="swiss"/>
    <w:pitch w:val="default"/>
    <w:sig w:usb0="00000000" w:usb1="00000000" w:usb2="00000000" w:usb3="00000000" w:csb0="00000000" w:csb1="00000000"/>
    <w:embedRegular r:id="rId12" w:fontKey="{813591D5-0C91-4DF0-8B77-E4ACB6A50DE6}"/>
  </w:font>
  <w:font w:name="微软雅黑">
    <w:panose1 w:val="020B0503020204020204"/>
    <w:charset w:val="86"/>
    <w:family w:val="swiss"/>
    <w:pitch w:val="default"/>
    <w:sig w:usb0="80000287" w:usb1="2ACF3C50" w:usb2="00000016" w:usb3="00000000" w:csb0="0004001F" w:csb1="00000000"/>
    <w:embedRegular r:id="rId13" w:fontKey="{D8111A52-87D6-4611-ADE7-60A2029FAB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5122"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AEB"/>
    <w:multiLevelType w:val="multilevel"/>
    <w:tmpl w:val="11342AEB"/>
    <w:lvl w:ilvl="0" w:tentative="0">
      <w:start w:val="1"/>
      <w:numFmt w:val="decimal"/>
      <w:lvlText w:val="%1."/>
      <w:lvlJc w:val="left"/>
      <w:pPr>
        <w:tabs>
          <w:tab w:val="left" w:pos="1276"/>
        </w:tabs>
        <w:ind w:left="1276" w:hanging="425"/>
      </w:pPr>
      <w:rPr>
        <w:rFonts w:hint="eastAsia"/>
      </w:rPr>
    </w:lvl>
    <w:lvl w:ilvl="1" w:tentative="0">
      <w:start w:val="1"/>
      <w:numFmt w:val="decimal"/>
      <w:lvlText w:val="4.%2."/>
      <w:lvlJc w:val="left"/>
      <w:pPr>
        <w:tabs>
          <w:tab w:val="left" w:pos="1418"/>
        </w:tabs>
        <w:ind w:left="1418" w:hanging="567"/>
      </w:pPr>
      <w:rPr>
        <w:rFonts w:hint="eastAsia"/>
      </w:rPr>
    </w:lvl>
    <w:lvl w:ilvl="2" w:tentative="0">
      <w:start w:val="1"/>
      <w:numFmt w:val="decimal"/>
      <w:pStyle w:val="4"/>
      <w:lvlText w:val="4.%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abstractNum w:abstractNumId="1">
    <w:nsid w:val="7ED45875"/>
    <w:multiLevelType w:val="multilevel"/>
    <w:tmpl w:val="7ED458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kOTM4ZmU1NGFiODQwMjUwZWQxMjAwNzY2MzFkZTUifQ=="/>
  </w:docVars>
  <w:rsids>
    <w:rsidRoot w:val="003512C6"/>
    <w:rsid w:val="00000672"/>
    <w:rsid w:val="00000B45"/>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6BE9"/>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6E43"/>
    <w:rsid w:val="00030496"/>
    <w:rsid w:val="000329A1"/>
    <w:rsid w:val="000329E0"/>
    <w:rsid w:val="00032E91"/>
    <w:rsid w:val="000333A0"/>
    <w:rsid w:val="000352E9"/>
    <w:rsid w:val="00036A07"/>
    <w:rsid w:val="00036E33"/>
    <w:rsid w:val="000376EF"/>
    <w:rsid w:val="00037E2D"/>
    <w:rsid w:val="00040571"/>
    <w:rsid w:val="0004156E"/>
    <w:rsid w:val="00041597"/>
    <w:rsid w:val="0004440C"/>
    <w:rsid w:val="00045880"/>
    <w:rsid w:val="000462CB"/>
    <w:rsid w:val="00046B5E"/>
    <w:rsid w:val="0004783A"/>
    <w:rsid w:val="000509D9"/>
    <w:rsid w:val="000526AE"/>
    <w:rsid w:val="000541D2"/>
    <w:rsid w:val="000552A6"/>
    <w:rsid w:val="00055D41"/>
    <w:rsid w:val="00057CEC"/>
    <w:rsid w:val="00060DCE"/>
    <w:rsid w:val="000623B4"/>
    <w:rsid w:val="000634A7"/>
    <w:rsid w:val="00063E85"/>
    <w:rsid w:val="00063F81"/>
    <w:rsid w:val="00064847"/>
    <w:rsid w:val="0006484B"/>
    <w:rsid w:val="000655AC"/>
    <w:rsid w:val="00065BBC"/>
    <w:rsid w:val="000673E2"/>
    <w:rsid w:val="000711E4"/>
    <w:rsid w:val="00072AED"/>
    <w:rsid w:val="00073F47"/>
    <w:rsid w:val="00075B7E"/>
    <w:rsid w:val="00076408"/>
    <w:rsid w:val="00077C70"/>
    <w:rsid w:val="00080B57"/>
    <w:rsid w:val="000817D1"/>
    <w:rsid w:val="00081BA3"/>
    <w:rsid w:val="00081D2E"/>
    <w:rsid w:val="0008267B"/>
    <w:rsid w:val="00082D02"/>
    <w:rsid w:val="000831E0"/>
    <w:rsid w:val="00083B91"/>
    <w:rsid w:val="00083F12"/>
    <w:rsid w:val="00084B4A"/>
    <w:rsid w:val="0008520B"/>
    <w:rsid w:val="0008538C"/>
    <w:rsid w:val="0008630C"/>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A35"/>
    <w:rsid w:val="000A2B0E"/>
    <w:rsid w:val="000A3865"/>
    <w:rsid w:val="000A398F"/>
    <w:rsid w:val="000A3BBD"/>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6C95"/>
    <w:rsid w:val="000B728B"/>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AF"/>
    <w:rsid w:val="000D73DD"/>
    <w:rsid w:val="000D7D9B"/>
    <w:rsid w:val="000E18E2"/>
    <w:rsid w:val="000E28AB"/>
    <w:rsid w:val="000E2E3E"/>
    <w:rsid w:val="000E33C5"/>
    <w:rsid w:val="000E3583"/>
    <w:rsid w:val="000E3AF0"/>
    <w:rsid w:val="000E3D53"/>
    <w:rsid w:val="000E4B00"/>
    <w:rsid w:val="000E4E04"/>
    <w:rsid w:val="000E6EC9"/>
    <w:rsid w:val="000E70B4"/>
    <w:rsid w:val="000F15B9"/>
    <w:rsid w:val="000F3281"/>
    <w:rsid w:val="000F3733"/>
    <w:rsid w:val="000F3B2C"/>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6588"/>
    <w:rsid w:val="00117CBD"/>
    <w:rsid w:val="0012006A"/>
    <w:rsid w:val="00120990"/>
    <w:rsid w:val="001217B5"/>
    <w:rsid w:val="00121979"/>
    <w:rsid w:val="00122064"/>
    <w:rsid w:val="00125004"/>
    <w:rsid w:val="001263B8"/>
    <w:rsid w:val="00126763"/>
    <w:rsid w:val="00130217"/>
    <w:rsid w:val="00130783"/>
    <w:rsid w:val="00131081"/>
    <w:rsid w:val="001312CB"/>
    <w:rsid w:val="00131B75"/>
    <w:rsid w:val="00132B47"/>
    <w:rsid w:val="00132E64"/>
    <w:rsid w:val="001351CB"/>
    <w:rsid w:val="001359A2"/>
    <w:rsid w:val="00135E37"/>
    <w:rsid w:val="00136020"/>
    <w:rsid w:val="00136445"/>
    <w:rsid w:val="00140126"/>
    <w:rsid w:val="00140132"/>
    <w:rsid w:val="0014061C"/>
    <w:rsid w:val="0014083F"/>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CA7"/>
    <w:rsid w:val="001778C5"/>
    <w:rsid w:val="00177B2C"/>
    <w:rsid w:val="00177E56"/>
    <w:rsid w:val="00177F0A"/>
    <w:rsid w:val="00180024"/>
    <w:rsid w:val="00180669"/>
    <w:rsid w:val="00182B6B"/>
    <w:rsid w:val="00183088"/>
    <w:rsid w:val="00183B78"/>
    <w:rsid w:val="00185617"/>
    <w:rsid w:val="00186926"/>
    <w:rsid w:val="0019171E"/>
    <w:rsid w:val="0019220F"/>
    <w:rsid w:val="001928B1"/>
    <w:rsid w:val="00194ED5"/>
    <w:rsid w:val="00195424"/>
    <w:rsid w:val="001955FF"/>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B7EFA"/>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3F22"/>
    <w:rsid w:val="001E4A8D"/>
    <w:rsid w:val="001E5A94"/>
    <w:rsid w:val="001E6607"/>
    <w:rsid w:val="001E7648"/>
    <w:rsid w:val="001F127B"/>
    <w:rsid w:val="001F1EA3"/>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4C7"/>
    <w:rsid w:val="002118F3"/>
    <w:rsid w:val="00212756"/>
    <w:rsid w:val="0021302C"/>
    <w:rsid w:val="00213045"/>
    <w:rsid w:val="00213483"/>
    <w:rsid w:val="00213B1C"/>
    <w:rsid w:val="00213E67"/>
    <w:rsid w:val="00214202"/>
    <w:rsid w:val="002146F3"/>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30AA"/>
    <w:rsid w:val="00266165"/>
    <w:rsid w:val="0027125E"/>
    <w:rsid w:val="00271767"/>
    <w:rsid w:val="00272293"/>
    <w:rsid w:val="002723C8"/>
    <w:rsid w:val="00272676"/>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6BB"/>
    <w:rsid w:val="002918A7"/>
    <w:rsid w:val="00291CD3"/>
    <w:rsid w:val="00291D6D"/>
    <w:rsid w:val="00291FF1"/>
    <w:rsid w:val="002923F6"/>
    <w:rsid w:val="00293361"/>
    <w:rsid w:val="00293770"/>
    <w:rsid w:val="00293FE5"/>
    <w:rsid w:val="00295287"/>
    <w:rsid w:val="002952B1"/>
    <w:rsid w:val="00295D11"/>
    <w:rsid w:val="00295FA0"/>
    <w:rsid w:val="00297A7A"/>
    <w:rsid w:val="002A0C3A"/>
    <w:rsid w:val="002A1130"/>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991"/>
    <w:rsid w:val="002B0C16"/>
    <w:rsid w:val="002B11C9"/>
    <w:rsid w:val="002B169E"/>
    <w:rsid w:val="002B2621"/>
    <w:rsid w:val="002B2AC5"/>
    <w:rsid w:val="002B3528"/>
    <w:rsid w:val="002B3539"/>
    <w:rsid w:val="002B3B2B"/>
    <w:rsid w:val="002B6D17"/>
    <w:rsid w:val="002C0C1C"/>
    <w:rsid w:val="002C184E"/>
    <w:rsid w:val="002C29C1"/>
    <w:rsid w:val="002C483B"/>
    <w:rsid w:val="002C54C2"/>
    <w:rsid w:val="002C58F6"/>
    <w:rsid w:val="002C5D34"/>
    <w:rsid w:val="002C5EA7"/>
    <w:rsid w:val="002C661A"/>
    <w:rsid w:val="002C730C"/>
    <w:rsid w:val="002C7378"/>
    <w:rsid w:val="002D0AF5"/>
    <w:rsid w:val="002D1C54"/>
    <w:rsid w:val="002D1FD4"/>
    <w:rsid w:val="002D2231"/>
    <w:rsid w:val="002D25FC"/>
    <w:rsid w:val="002D318B"/>
    <w:rsid w:val="002D3380"/>
    <w:rsid w:val="002D3D7B"/>
    <w:rsid w:val="002D4925"/>
    <w:rsid w:val="002D4AC6"/>
    <w:rsid w:val="002D5450"/>
    <w:rsid w:val="002D5C7B"/>
    <w:rsid w:val="002D6DFC"/>
    <w:rsid w:val="002D7648"/>
    <w:rsid w:val="002D7909"/>
    <w:rsid w:val="002D7E56"/>
    <w:rsid w:val="002E109C"/>
    <w:rsid w:val="002E115E"/>
    <w:rsid w:val="002E193E"/>
    <w:rsid w:val="002E1BE6"/>
    <w:rsid w:val="002E1D76"/>
    <w:rsid w:val="002E243C"/>
    <w:rsid w:val="002E26C4"/>
    <w:rsid w:val="002E31DC"/>
    <w:rsid w:val="002E45E8"/>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202C"/>
    <w:rsid w:val="0031299F"/>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3CD"/>
    <w:rsid w:val="00334415"/>
    <w:rsid w:val="0033445C"/>
    <w:rsid w:val="00334F92"/>
    <w:rsid w:val="0033555E"/>
    <w:rsid w:val="0033691E"/>
    <w:rsid w:val="00336CCB"/>
    <w:rsid w:val="00336D6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A4F"/>
    <w:rsid w:val="00351CB0"/>
    <w:rsid w:val="00351E7F"/>
    <w:rsid w:val="00352953"/>
    <w:rsid w:val="00354062"/>
    <w:rsid w:val="00355C0D"/>
    <w:rsid w:val="00355C69"/>
    <w:rsid w:val="003561F1"/>
    <w:rsid w:val="003566A9"/>
    <w:rsid w:val="00356988"/>
    <w:rsid w:val="00356B20"/>
    <w:rsid w:val="00356E94"/>
    <w:rsid w:val="00357128"/>
    <w:rsid w:val="0035755E"/>
    <w:rsid w:val="00357A80"/>
    <w:rsid w:val="00360EC0"/>
    <w:rsid w:val="00361B8B"/>
    <w:rsid w:val="00361B95"/>
    <w:rsid w:val="00363F39"/>
    <w:rsid w:val="00364738"/>
    <w:rsid w:val="00364AB0"/>
    <w:rsid w:val="00364AB3"/>
    <w:rsid w:val="003667B0"/>
    <w:rsid w:val="003667DD"/>
    <w:rsid w:val="00366B48"/>
    <w:rsid w:val="00367764"/>
    <w:rsid w:val="00367B65"/>
    <w:rsid w:val="00370316"/>
    <w:rsid w:val="00370DC7"/>
    <w:rsid w:val="0037156C"/>
    <w:rsid w:val="00371CBD"/>
    <w:rsid w:val="00372D57"/>
    <w:rsid w:val="00373CBE"/>
    <w:rsid w:val="003740CC"/>
    <w:rsid w:val="0037435E"/>
    <w:rsid w:val="00374E79"/>
    <w:rsid w:val="00375388"/>
    <w:rsid w:val="00375FB9"/>
    <w:rsid w:val="0037634C"/>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1765"/>
    <w:rsid w:val="00392A7A"/>
    <w:rsid w:val="0039327C"/>
    <w:rsid w:val="003933A2"/>
    <w:rsid w:val="0039366C"/>
    <w:rsid w:val="003938F3"/>
    <w:rsid w:val="00393BAE"/>
    <w:rsid w:val="00393EC8"/>
    <w:rsid w:val="00394BC6"/>
    <w:rsid w:val="00395E42"/>
    <w:rsid w:val="00396052"/>
    <w:rsid w:val="00396A2D"/>
    <w:rsid w:val="00396FC3"/>
    <w:rsid w:val="003A0B61"/>
    <w:rsid w:val="003A1554"/>
    <w:rsid w:val="003A18B5"/>
    <w:rsid w:val="003A1A94"/>
    <w:rsid w:val="003A204E"/>
    <w:rsid w:val="003A277E"/>
    <w:rsid w:val="003A2D25"/>
    <w:rsid w:val="003A39B2"/>
    <w:rsid w:val="003A4DDB"/>
    <w:rsid w:val="003A4F21"/>
    <w:rsid w:val="003A60E7"/>
    <w:rsid w:val="003A6E03"/>
    <w:rsid w:val="003B0B6A"/>
    <w:rsid w:val="003B0F79"/>
    <w:rsid w:val="003B1483"/>
    <w:rsid w:val="003B1CFD"/>
    <w:rsid w:val="003B24DB"/>
    <w:rsid w:val="003B29CF"/>
    <w:rsid w:val="003B2AA0"/>
    <w:rsid w:val="003B2B2E"/>
    <w:rsid w:val="003B41B5"/>
    <w:rsid w:val="003B54DF"/>
    <w:rsid w:val="003B5F96"/>
    <w:rsid w:val="003B6659"/>
    <w:rsid w:val="003B7733"/>
    <w:rsid w:val="003C0166"/>
    <w:rsid w:val="003C350C"/>
    <w:rsid w:val="003C3903"/>
    <w:rsid w:val="003C3BA0"/>
    <w:rsid w:val="003C4580"/>
    <w:rsid w:val="003C52D8"/>
    <w:rsid w:val="003C5597"/>
    <w:rsid w:val="003C5C5E"/>
    <w:rsid w:val="003C6746"/>
    <w:rsid w:val="003C7133"/>
    <w:rsid w:val="003C7555"/>
    <w:rsid w:val="003C7898"/>
    <w:rsid w:val="003D010A"/>
    <w:rsid w:val="003D0FF5"/>
    <w:rsid w:val="003D194F"/>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59CC"/>
    <w:rsid w:val="003E65AC"/>
    <w:rsid w:val="003E6E24"/>
    <w:rsid w:val="003E72B9"/>
    <w:rsid w:val="003E7ED4"/>
    <w:rsid w:val="003F0E52"/>
    <w:rsid w:val="003F0EF2"/>
    <w:rsid w:val="003F0F6B"/>
    <w:rsid w:val="003F1F40"/>
    <w:rsid w:val="003F1FE3"/>
    <w:rsid w:val="003F3865"/>
    <w:rsid w:val="003F3A0A"/>
    <w:rsid w:val="003F4539"/>
    <w:rsid w:val="003F4632"/>
    <w:rsid w:val="003F47BA"/>
    <w:rsid w:val="003F5C65"/>
    <w:rsid w:val="003F5CAB"/>
    <w:rsid w:val="003F6617"/>
    <w:rsid w:val="00400A3B"/>
    <w:rsid w:val="0040194E"/>
    <w:rsid w:val="00402127"/>
    <w:rsid w:val="00402332"/>
    <w:rsid w:val="004025C2"/>
    <w:rsid w:val="00402C31"/>
    <w:rsid w:val="00403E55"/>
    <w:rsid w:val="00404532"/>
    <w:rsid w:val="00404681"/>
    <w:rsid w:val="0040496D"/>
    <w:rsid w:val="00405010"/>
    <w:rsid w:val="0040595A"/>
    <w:rsid w:val="004066A7"/>
    <w:rsid w:val="00406923"/>
    <w:rsid w:val="0040713A"/>
    <w:rsid w:val="0040763D"/>
    <w:rsid w:val="004105B0"/>
    <w:rsid w:val="00410624"/>
    <w:rsid w:val="00410EC5"/>
    <w:rsid w:val="00411A3D"/>
    <w:rsid w:val="0041250F"/>
    <w:rsid w:val="004133A8"/>
    <w:rsid w:val="00413821"/>
    <w:rsid w:val="00413D43"/>
    <w:rsid w:val="004141A3"/>
    <w:rsid w:val="00414909"/>
    <w:rsid w:val="00414D27"/>
    <w:rsid w:val="004154E9"/>
    <w:rsid w:val="00415E66"/>
    <w:rsid w:val="00416112"/>
    <w:rsid w:val="0041617A"/>
    <w:rsid w:val="00416DF0"/>
    <w:rsid w:val="00417AE0"/>
    <w:rsid w:val="00417BAA"/>
    <w:rsid w:val="00420BA9"/>
    <w:rsid w:val="00420D7A"/>
    <w:rsid w:val="004223DE"/>
    <w:rsid w:val="0042293E"/>
    <w:rsid w:val="00422A10"/>
    <w:rsid w:val="00423D86"/>
    <w:rsid w:val="00424A63"/>
    <w:rsid w:val="00424D1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4BA2"/>
    <w:rsid w:val="00465EEF"/>
    <w:rsid w:val="00466D03"/>
    <w:rsid w:val="0046711B"/>
    <w:rsid w:val="00467312"/>
    <w:rsid w:val="00471156"/>
    <w:rsid w:val="00472429"/>
    <w:rsid w:val="004725E5"/>
    <w:rsid w:val="004726FE"/>
    <w:rsid w:val="00472751"/>
    <w:rsid w:val="00473128"/>
    <w:rsid w:val="00475078"/>
    <w:rsid w:val="00475226"/>
    <w:rsid w:val="0047734F"/>
    <w:rsid w:val="004779A0"/>
    <w:rsid w:val="004808E3"/>
    <w:rsid w:val="00481016"/>
    <w:rsid w:val="004814D3"/>
    <w:rsid w:val="0048204C"/>
    <w:rsid w:val="004820D6"/>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5B87"/>
    <w:rsid w:val="004C65A8"/>
    <w:rsid w:val="004C6F74"/>
    <w:rsid w:val="004C786C"/>
    <w:rsid w:val="004C7963"/>
    <w:rsid w:val="004D2F63"/>
    <w:rsid w:val="004D35BA"/>
    <w:rsid w:val="004D4701"/>
    <w:rsid w:val="004D47C7"/>
    <w:rsid w:val="004D618D"/>
    <w:rsid w:val="004D62A9"/>
    <w:rsid w:val="004D6AEE"/>
    <w:rsid w:val="004D6FC3"/>
    <w:rsid w:val="004D7476"/>
    <w:rsid w:val="004D7CEE"/>
    <w:rsid w:val="004E0306"/>
    <w:rsid w:val="004E0572"/>
    <w:rsid w:val="004E25A8"/>
    <w:rsid w:val="004E2AA0"/>
    <w:rsid w:val="004E3376"/>
    <w:rsid w:val="004E3930"/>
    <w:rsid w:val="004E3ED9"/>
    <w:rsid w:val="004E5866"/>
    <w:rsid w:val="004E5D94"/>
    <w:rsid w:val="004E6097"/>
    <w:rsid w:val="004E61EF"/>
    <w:rsid w:val="004E6772"/>
    <w:rsid w:val="004E76A7"/>
    <w:rsid w:val="004E7736"/>
    <w:rsid w:val="004E7B03"/>
    <w:rsid w:val="004F0064"/>
    <w:rsid w:val="004F028B"/>
    <w:rsid w:val="004F06AC"/>
    <w:rsid w:val="004F0C76"/>
    <w:rsid w:val="004F1AE6"/>
    <w:rsid w:val="004F243F"/>
    <w:rsid w:val="004F258B"/>
    <w:rsid w:val="004F3E0C"/>
    <w:rsid w:val="004F4B37"/>
    <w:rsid w:val="004F6272"/>
    <w:rsid w:val="004F6A2D"/>
    <w:rsid w:val="004F7160"/>
    <w:rsid w:val="00500258"/>
    <w:rsid w:val="00500916"/>
    <w:rsid w:val="00500F0F"/>
    <w:rsid w:val="0050175E"/>
    <w:rsid w:val="00501A99"/>
    <w:rsid w:val="00503180"/>
    <w:rsid w:val="0050417C"/>
    <w:rsid w:val="00505450"/>
    <w:rsid w:val="00505BFB"/>
    <w:rsid w:val="0050609A"/>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95F"/>
    <w:rsid w:val="00521A44"/>
    <w:rsid w:val="00521D16"/>
    <w:rsid w:val="005222BE"/>
    <w:rsid w:val="005224EE"/>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0EA2"/>
    <w:rsid w:val="00552563"/>
    <w:rsid w:val="005531DF"/>
    <w:rsid w:val="00553874"/>
    <w:rsid w:val="00553ACC"/>
    <w:rsid w:val="00554AD8"/>
    <w:rsid w:val="00554F78"/>
    <w:rsid w:val="005556A5"/>
    <w:rsid w:val="00556BF7"/>
    <w:rsid w:val="00562149"/>
    <w:rsid w:val="005630D8"/>
    <w:rsid w:val="00563FFD"/>
    <w:rsid w:val="00564A2C"/>
    <w:rsid w:val="00565855"/>
    <w:rsid w:val="005677CE"/>
    <w:rsid w:val="00567B5D"/>
    <w:rsid w:val="00573595"/>
    <w:rsid w:val="00573733"/>
    <w:rsid w:val="00574554"/>
    <w:rsid w:val="00576089"/>
    <w:rsid w:val="005764B1"/>
    <w:rsid w:val="00576A56"/>
    <w:rsid w:val="00576D06"/>
    <w:rsid w:val="00577853"/>
    <w:rsid w:val="005779E4"/>
    <w:rsid w:val="00580AC5"/>
    <w:rsid w:val="00580EB3"/>
    <w:rsid w:val="00581A2A"/>
    <w:rsid w:val="00581DB7"/>
    <w:rsid w:val="00581EAB"/>
    <w:rsid w:val="0058289C"/>
    <w:rsid w:val="00582C35"/>
    <w:rsid w:val="00582DC6"/>
    <w:rsid w:val="005836C7"/>
    <w:rsid w:val="00583E30"/>
    <w:rsid w:val="0058408E"/>
    <w:rsid w:val="005845AF"/>
    <w:rsid w:val="00585374"/>
    <w:rsid w:val="00586F3C"/>
    <w:rsid w:val="00590B77"/>
    <w:rsid w:val="005913A3"/>
    <w:rsid w:val="00591DCD"/>
    <w:rsid w:val="00591E6C"/>
    <w:rsid w:val="0059236D"/>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A6FD5"/>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5C7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59B0"/>
    <w:rsid w:val="005F5CF0"/>
    <w:rsid w:val="005F6A62"/>
    <w:rsid w:val="005F77C8"/>
    <w:rsid w:val="005F7DA4"/>
    <w:rsid w:val="005F7EA8"/>
    <w:rsid w:val="006003C5"/>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0383"/>
    <w:rsid w:val="006210FE"/>
    <w:rsid w:val="00622811"/>
    <w:rsid w:val="00622894"/>
    <w:rsid w:val="00622BB7"/>
    <w:rsid w:val="00622F3B"/>
    <w:rsid w:val="00623389"/>
    <w:rsid w:val="0062352A"/>
    <w:rsid w:val="00625E45"/>
    <w:rsid w:val="006265C4"/>
    <w:rsid w:val="00627383"/>
    <w:rsid w:val="006274C3"/>
    <w:rsid w:val="00627733"/>
    <w:rsid w:val="006301BB"/>
    <w:rsid w:val="0063025C"/>
    <w:rsid w:val="006319FC"/>
    <w:rsid w:val="006319FD"/>
    <w:rsid w:val="00632605"/>
    <w:rsid w:val="00633695"/>
    <w:rsid w:val="00633F8D"/>
    <w:rsid w:val="006341EF"/>
    <w:rsid w:val="00634BED"/>
    <w:rsid w:val="00635A4A"/>
    <w:rsid w:val="00635FB9"/>
    <w:rsid w:val="00636148"/>
    <w:rsid w:val="006370CF"/>
    <w:rsid w:val="00637774"/>
    <w:rsid w:val="0064024C"/>
    <w:rsid w:val="00640291"/>
    <w:rsid w:val="00640661"/>
    <w:rsid w:val="00640E37"/>
    <w:rsid w:val="00641967"/>
    <w:rsid w:val="00641FAC"/>
    <w:rsid w:val="006432A5"/>
    <w:rsid w:val="00643664"/>
    <w:rsid w:val="00643CAA"/>
    <w:rsid w:val="00644075"/>
    <w:rsid w:val="00652137"/>
    <w:rsid w:val="00652680"/>
    <w:rsid w:val="00652A09"/>
    <w:rsid w:val="006530A1"/>
    <w:rsid w:val="00653CDE"/>
    <w:rsid w:val="006540B4"/>
    <w:rsid w:val="0065636A"/>
    <w:rsid w:val="00656C3C"/>
    <w:rsid w:val="00656CA9"/>
    <w:rsid w:val="00656EBE"/>
    <w:rsid w:val="00657003"/>
    <w:rsid w:val="00657126"/>
    <w:rsid w:val="006572C1"/>
    <w:rsid w:val="00657382"/>
    <w:rsid w:val="00657930"/>
    <w:rsid w:val="00660238"/>
    <w:rsid w:val="006602EF"/>
    <w:rsid w:val="00660F41"/>
    <w:rsid w:val="00661277"/>
    <w:rsid w:val="006616FE"/>
    <w:rsid w:val="006619D1"/>
    <w:rsid w:val="00663FEA"/>
    <w:rsid w:val="00664253"/>
    <w:rsid w:val="006647AE"/>
    <w:rsid w:val="00664803"/>
    <w:rsid w:val="00664A29"/>
    <w:rsid w:val="006661A4"/>
    <w:rsid w:val="006670E0"/>
    <w:rsid w:val="00667457"/>
    <w:rsid w:val="00667532"/>
    <w:rsid w:val="006704FD"/>
    <w:rsid w:val="006716B4"/>
    <w:rsid w:val="0067223C"/>
    <w:rsid w:val="0067246A"/>
    <w:rsid w:val="0067294B"/>
    <w:rsid w:val="006738F2"/>
    <w:rsid w:val="00673AA4"/>
    <w:rsid w:val="00674187"/>
    <w:rsid w:val="006744E8"/>
    <w:rsid w:val="0067508F"/>
    <w:rsid w:val="00675349"/>
    <w:rsid w:val="006754B2"/>
    <w:rsid w:val="00675E7E"/>
    <w:rsid w:val="0068051E"/>
    <w:rsid w:val="00680B9D"/>
    <w:rsid w:val="00681F13"/>
    <w:rsid w:val="0068231C"/>
    <w:rsid w:val="00682344"/>
    <w:rsid w:val="00682F28"/>
    <w:rsid w:val="00684842"/>
    <w:rsid w:val="0068494E"/>
    <w:rsid w:val="00685BD6"/>
    <w:rsid w:val="006878A6"/>
    <w:rsid w:val="00690437"/>
    <w:rsid w:val="00690E65"/>
    <w:rsid w:val="0069188E"/>
    <w:rsid w:val="00691974"/>
    <w:rsid w:val="00692CE6"/>
    <w:rsid w:val="00693B6C"/>
    <w:rsid w:val="00694202"/>
    <w:rsid w:val="006942AE"/>
    <w:rsid w:val="0069483C"/>
    <w:rsid w:val="00695421"/>
    <w:rsid w:val="00695A2F"/>
    <w:rsid w:val="00696D4B"/>
    <w:rsid w:val="0069720B"/>
    <w:rsid w:val="00697BD3"/>
    <w:rsid w:val="00697DFA"/>
    <w:rsid w:val="006A0C53"/>
    <w:rsid w:val="006A10F3"/>
    <w:rsid w:val="006A16D5"/>
    <w:rsid w:val="006A1772"/>
    <w:rsid w:val="006A1780"/>
    <w:rsid w:val="006A258B"/>
    <w:rsid w:val="006A25A5"/>
    <w:rsid w:val="006A2790"/>
    <w:rsid w:val="006A3CEC"/>
    <w:rsid w:val="006A3F75"/>
    <w:rsid w:val="006A4FB3"/>
    <w:rsid w:val="006A5543"/>
    <w:rsid w:val="006A5A3E"/>
    <w:rsid w:val="006A6454"/>
    <w:rsid w:val="006A69FE"/>
    <w:rsid w:val="006A6CA7"/>
    <w:rsid w:val="006A703E"/>
    <w:rsid w:val="006A7BE3"/>
    <w:rsid w:val="006B01D1"/>
    <w:rsid w:val="006B16EA"/>
    <w:rsid w:val="006B1780"/>
    <w:rsid w:val="006B224E"/>
    <w:rsid w:val="006B376E"/>
    <w:rsid w:val="006B4589"/>
    <w:rsid w:val="006B5910"/>
    <w:rsid w:val="006B6805"/>
    <w:rsid w:val="006B6BBE"/>
    <w:rsid w:val="006B6DE0"/>
    <w:rsid w:val="006B7D5F"/>
    <w:rsid w:val="006C143B"/>
    <w:rsid w:val="006C22A6"/>
    <w:rsid w:val="006C32F4"/>
    <w:rsid w:val="006C390F"/>
    <w:rsid w:val="006C3C54"/>
    <w:rsid w:val="006C4015"/>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3FC2"/>
    <w:rsid w:val="006E4309"/>
    <w:rsid w:val="006E5DD8"/>
    <w:rsid w:val="006E5EA1"/>
    <w:rsid w:val="006E5F4A"/>
    <w:rsid w:val="006E7ABC"/>
    <w:rsid w:val="006F0760"/>
    <w:rsid w:val="006F0FF1"/>
    <w:rsid w:val="006F11E2"/>
    <w:rsid w:val="006F12F5"/>
    <w:rsid w:val="006F1B8A"/>
    <w:rsid w:val="006F1FD6"/>
    <w:rsid w:val="006F2574"/>
    <w:rsid w:val="006F309E"/>
    <w:rsid w:val="006F3231"/>
    <w:rsid w:val="006F3DE3"/>
    <w:rsid w:val="006F511F"/>
    <w:rsid w:val="006F54B3"/>
    <w:rsid w:val="006F61D8"/>
    <w:rsid w:val="006F62B7"/>
    <w:rsid w:val="006F70BC"/>
    <w:rsid w:val="006F713A"/>
    <w:rsid w:val="006F76BF"/>
    <w:rsid w:val="006F7A2F"/>
    <w:rsid w:val="00700077"/>
    <w:rsid w:val="0070114D"/>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4044"/>
    <w:rsid w:val="007244E1"/>
    <w:rsid w:val="007248D3"/>
    <w:rsid w:val="00725137"/>
    <w:rsid w:val="007263ED"/>
    <w:rsid w:val="00727A43"/>
    <w:rsid w:val="00727FF2"/>
    <w:rsid w:val="007306C7"/>
    <w:rsid w:val="0073161F"/>
    <w:rsid w:val="007323E0"/>
    <w:rsid w:val="00733791"/>
    <w:rsid w:val="0073391B"/>
    <w:rsid w:val="00733DE2"/>
    <w:rsid w:val="007352EA"/>
    <w:rsid w:val="00735DFA"/>
    <w:rsid w:val="007364E5"/>
    <w:rsid w:val="0073792F"/>
    <w:rsid w:val="00740DA6"/>
    <w:rsid w:val="00741A0E"/>
    <w:rsid w:val="00741D1E"/>
    <w:rsid w:val="00741EE2"/>
    <w:rsid w:val="00742367"/>
    <w:rsid w:val="00742BA5"/>
    <w:rsid w:val="00742EAA"/>
    <w:rsid w:val="00743818"/>
    <w:rsid w:val="007439E2"/>
    <w:rsid w:val="00743D6F"/>
    <w:rsid w:val="00743DD8"/>
    <w:rsid w:val="007441FB"/>
    <w:rsid w:val="00744517"/>
    <w:rsid w:val="007445DB"/>
    <w:rsid w:val="00744810"/>
    <w:rsid w:val="00747C88"/>
    <w:rsid w:val="00747DE2"/>
    <w:rsid w:val="007504BF"/>
    <w:rsid w:val="007506CD"/>
    <w:rsid w:val="00750BD6"/>
    <w:rsid w:val="0075267F"/>
    <w:rsid w:val="007526EC"/>
    <w:rsid w:val="0075310C"/>
    <w:rsid w:val="00753347"/>
    <w:rsid w:val="00753C48"/>
    <w:rsid w:val="00754C97"/>
    <w:rsid w:val="00754FE4"/>
    <w:rsid w:val="00755538"/>
    <w:rsid w:val="00756236"/>
    <w:rsid w:val="00756271"/>
    <w:rsid w:val="00756521"/>
    <w:rsid w:val="007565F7"/>
    <w:rsid w:val="00756AB7"/>
    <w:rsid w:val="00757535"/>
    <w:rsid w:val="00760477"/>
    <w:rsid w:val="00761AF4"/>
    <w:rsid w:val="00762071"/>
    <w:rsid w:val="007623FB"/>
    <w:rsid w:val="0076376A"/>
    <w:rsid w:val="0076435B"/>
    <w:rsid w:val="0076500F"/>
    <w:rsid w:val="0076504E"/>
    <w:rsid w:val="00765E6A"/>
    <w:rsid w:val="00767EA0"/>
    <w:rsid w:val="0077068F"/>
    <w:rsid w:val="0077408D"/>
    <w:rsid w:val="00774270"/>
    <w:rsid w:val="00775679"/>
    <w:rsid w:val="00775803"/>
    <w:rsid w:val="00777B32"/>
    <w:rsid w:val="0078051E"/>
    <w:rsid w:val="00781C16"/>
    <w:rsid w:val="00781FDD"/>
    <w:rsid w:val="00782A9F"/>
    <w:rsid w:val="00782DDC"/>
    <w:rsid w:val="0078508A"/>
    <w:rsid w:val="00786D5C"/>
    <w:rsid w:val="00786E96"/>
    <w:rsid w:val="00787F93"/>
    <w:rsid w:val="007907CA"/>
    <w:rsid w:val="007913A1"/>
    <w:rsid w:val="0079143D"/>
    <w:rsid w:val="00791E6D"/>
    <w:rsid w:val="007928DC"/>
    <w:rsid w:val="007939CC"/>
    <w:rsid w:val="00793C79"/>
    <w:rsid w:val="00794AD7"/>
    <w:rsid w:val="00796FB8"/>
    <w:rsid w:val="00797E7F"/>
    <w:rsid w:val="007A0A5E"/>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59D3"/>
    <w:rsid w:val="007B7490"/>
    <w:rsid w:val="007B774A"/>
    <w:rsid w:val="007C0525"/>
    <w:rsid w:val="007C0B56"/>
    <w:rsid w:val="007C1176"/>
    <w:rsid w:val="007C13F7"/>
    <w:rsid w:val="007C218D"/>
    <w:rsid w:val="007C2D28"/>
    <w:rsid w:val="007C33A8"/>
    <w:rsid w:val="007C3E22"/>
    <w:rsid w:val="007C4273"/>
    <w:rsid w:val="007C5153"/>
    <w:rsid w:val="007C67C6"/>
    <w:rsid w:val="007C707A"/>
    <w:rsid w:val="007C7E59"/>
    <w:rsid w:val="007D0B91"/>
    <w:rsid w:val="007D0F53"/>
    <w:rsid w:val="007D1452"/>
    <w:rsid w:val="007D1E29"/>
    <w:rsid w:val="007D460C"/>
    <w:rsid w:val="007D4AD3"/>
    <w:rsid w:val="007D4C8D"/>
    <w:rsid w:val="007D534A"/>
    <w:rsid w:val="007D5D19"/>
    <w:rsid w:val="007D5FDC"/>
    <w:rsid w:val="007D6232"/>
    <w:rsid w:val="007D6D68"/>
    <w:rsid w:val="007E01DA"/>
    <w:rsid w:val="007E0533"/>
    <w:rsid w:val="007E1603"/>
    <w:rsid w:val="007E18F4"/>
    <w:rsid w:val="007E32DA"/>
    <w:rsid w:val="007E42C1"/>
    <w:rsid w:val="007E4578"/>
    <w:rsid w:val="007E4998"/>
    <w:rsid w:val="007E4A9C"/>
    <w:rsid w:val="007E6914"/>
    <w:rsid w:val="007E707F"/>
    <w:rsid w:val="007E7F78"/>
    <w:rsid w:val="007F07E7"/>
    <w:rsid w:val="007F0A89"/>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2824"/>
    <w:rsid w:val="008131C3"/>
    <w:rsid w:val="008140A5"/>
    <w:rsid w:val="0081477C"/>
    <w:rsid w:val="0081481D"/>
    <w:rsid w:val="008148B2"/>
    <w:rsid w:val="00814BE8"/>
    <w:rsid w:val="00814F6E"/>
    <w:rsid w:val="00815B84"/>
    <w:rsid w:val="008211EF"/>
    <w:rsid w:val="00821A3D"/>
    <w:rsid w:val="00821B36"/>
    <w:rsid w:val="00822037"/>
    <w:rsid w:val="00823C6E"/>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0ADF"/>
    <w:rsid w:val="0085270D"/>
    <w:rsid w:val="008532BF"/>
    <w:rsid w:val="00853BF4"/>
    <w:rsid w:val="00854294"/>
    <w:rsid w:val="0085595B"/>
    <w:rsid w:val="00855F80"/>
    <w:rsid w:val="00856280"/>
    <w:rsid w:val="008566B8"/>
    <w:rsid w:val="00856C23"/>
    <w:rsid w:val="00857606"/>
    <w:rsid w:val="0085788B"/>
    <w:rsid w:val="00857A9E"/>
    <w:rsid w:val="00857DE2"/>
    <w:rsid w:val="0086274D"/>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80F95"/>
    <w:rsid w:val="008819C6"/>
    <w:rsid w:val="00882B44"/>
    <w:rsid w:val="00882FE5"/>
    <w:rsid w:val="00883A04"/>
    <w:rsid w:val="008845A4"/>
    <w:rsid w:val="00886138"/>
    <w:rsid w:val="00886E66"/>
    <w:rsid w:val="008871B0"/>
    <w:rsid w:val="0089217C"/>
    <w:rsid w:val="008928A1"/>
    <w:rsid w:val="00893671"/>
    <w:rsid w:val="00894CF2"/>
    <w:rsid w:val="00895838"/>
    <w:rsid w:val="00895A72"/>
    <w:rsid w:val="00895CDF"/>
    <w:rsid w:val="008968C7"/>
    <w:rsid w:val="008971DB"/>
    <w:rsid w:val="00897A55"/>
    <w:rsid w:val="008A0FC9"/>
    <w:rsid w:val="008A1956"/>
    <w:rsid w:val="008A1B84"/>
    <w:rsid w:val="008A2B5F"/>
    <w:rsid w:val="008A40D3"/>
    <w:rsid w:val="008A469C"/>
    <w:rsid w:val="008A484A"/>
    <w:rsid w:val="008A5877"/>
    <w:rsid w:val="008A6539"/>
    <w:rsid w:val="008A701C"/>
    <w:rsid w:val="008A7378"/>
    <w:rsid w:val="008A79F6"/>
    <w:rsid w:val="008B05DD"/>
    <w:rsid w:val="008B17E8"/>
    <w:rsid w:val="008B1925"/>
    <w:rsid w:val="008B266C"/>
    <w:rsid w:val="008B2D03"/>
    <w:rsid w:val="008B2E7C"/>
    <w:rsid w:val="008B32F0"/>
    <w:rsid w:val="008B356D"/>
    <w:rsid w:val="008B42EB"/>
    <w:rsid w:val="008B45A7"/>
    <w:rsid w:val="008B4A70"/>
    <w:rsid w:val="008B502F"/>
    <w:rsid w:val="008B5A88"/>
    <w:rsid w:val="008B61F0"/>
    <w:rsid w:val="008B6AFE"/>
    <w:rsid w:val="008B7034"/>
    <w:rsid w:val="008B7227"/>
    <w:rsid w:val="008C0A3C"/>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4D"/>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17C5"/>
    <w:rsid w:val="00902623"/>
    <w:rsid w:val="00902890"/>
    <w:rsid w:val="00903E79"/>
    <w:rsid w:val="00904BE4"/>
    <w:rsid w:val="0090504A"/>
    <w:rsid w:val="00905231"/>
    <w:rsid w:val="00905D7E"/>
    <w:rsid w:val="009063B7"/>
    <w:rsid w:val="00906B83"/>
    <w:rsid w:val="00907037"/>
    <w:rsid w:val="009070F0"/>
    <w:rsid w:val="0091114B"/>
    <w:rsid w:val="0091160A"/>
    <w:rsid w:val="0091316C"/>
    <w:rsid w:val="00913258"/>
    <w:rsid w:val="0091564D"/>
    <w:rsid w:val="009156DA"/>
    <w:rsid w:val="00916BC5"/>
    <w:rsid w:val="0091726A"/>
    <w:rsid w:val="009172CF"/>
    <w:rsid w:val="00917CEA"/>
    <w:rsid w:val="00920184"/>
    <w:rsid w:val="009206A8"/>
    <w:rsid w:val="00920A19"/>
    <w:rsid w:val="00920EA4"/>
    <w:rsid w:val="00921792"/>
    <w:rsid w:val="00921860"/>
    <w:rsid w:val="00921BEA"/>
    <w:rsid w:val="00923998"/>
    <w:rsid w:val="00923DB4"/>
    <w:rsid w:val="0092430E"/>
    <w:rsid w:val="009249D7"/>
    <w:rsid w:val="00925349"/>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173"/>
    <w:rsid w:val="00971CF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4ACC"/>
    <w:rsid w:val="009866F3"/>
    <w:rsid w:val="00987812"/>
    <w:rsid w:val="00990225"/>
    <w:rsid w:val="00991B6B"/>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5AF2"/>
    <w:rsid w:val="009B6753"/>
    <w:rsid w:val="009B6A26"/>
    <w:rsid w:val="009C079D"/>
    <w:rsid w:val="009C0D70"/>
    <w:rsid w:val="009C0D9D"/>
    <w:rsid w:val="009C13D1"/>
    <w:rsid w:val="009C1BFF"/>
    <w:rsid w:val="009C2913"/>
    <w:rsid w:val="009C3008"/>
    <w:rsid w:val="009C38CA"/>
    <w:rsid w:val="009C3FA2"/>
    <w:rsid w:val="009C5AFE"/>
    <w:rsid w:val="009C6606"/>
    <w:rsid w:val="009C6AC3"/>
    <w:rsid w:val="009C6CE5"/>
    <w:rsid w:val="009C6D50"/>
    <w:rsid w:val="009C7547"/>
    <w:rsid w:val="009D1678"/>
    <w:rsid w:val="009D1693"/>
    <w:rsid w:val="009D2721"/>
    <w:rsid w:val="009D2F60"/>
    <w:rsid w:val="009D338C"/>
    <w:rsid w:val="009D3D0D"/>
    <w:rsid w:val="009D5BAC"/>
    <w:rsid w:val="009D6248"/>
    <w:rsid w:val="009D64BD"/>
    <w:rsid w:val="009E0D0A"/>
    <w:rsid w:val="009E0D1A"/>
    <w:rsid w:val="009E153F"/>
    <w:rsid w:val="009E2D6C"/>
    <w:rsid w:val="009E388B"/>
    <w:rsid w:val="009E393E"/>
    <w:rsid w:val="009E444E"/>
    <w:rsid w:val="009E4968"/>
    <w:rsid w:val="009E663C"/>
    <w:rsid w:val="009E6BB1"/>
    <w:rsid w:val="009E6DDD"/>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B54"/>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27FC6"/>
    <w:rsid w:val="00A30D5A"/>
    <w:rsid w:val="00A3142C"/>
    <w:rsid w:val="00A324C1"/>
    <w:rsid w:val="00A337DB"/>
    <w:rsid w:val="00A3467F"/>
    <w:rsid w:val="00A34AAA"/>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2A"/>
    <w:rsid w:val="00A5008C"/>
    <w:rsid w:val="00A50171"/>
    <w:rsid w:val="00A5102E"/>
    <w:rsid w:val="00A51083"/>
    <w:rsid w:val="00A5132E"/>
    <w:rsid w:val="00A51533"/>
    <w:rsid w:val="00A51547"/>
    <w:rsid w:val="00A51E68"/>
    <w:rsid w:val="00A52F3B"/>
    <w:rsid w:val="00A531D4"/>
    <w:rsid w:val="00A53436"/>
    <w:rsid w:val="00A53770"/>
    <w:rsid w:val="00A55970"/>
    <w:rsid w:val="00A55ACD"/>
    <w:rsid w:val="00A55C91"/>
    <w:rsid w:val="00A55CFA"/>
    <w:rsid w:val="00A575B8"/>
    <w:rsid w:val="00A6172C"/>
    <w:rsid w:val="00A6189D"/>
    <w:rsid w:val="00A647B1"/>
    <w:rsid w:val="00A64C35"/>
    <w:rsid w:val="00A64DEF"/>
    <w:rsid w:val="00A65E4E"/>
    <w:rsid w:val="00A665DF"/>
    <w:rsid w:val="00A67F1B"/>
    <w:rsid w:val="00A67FCC"/>
    <w:rsid w:val="00A716DC"/>
    <w:rsid w:val="00A71ABE"/>
    <w:rsid w:val="00A7217B"/>
    <w:rsid w:val="00A7293E"/>
    <w:rsid w:val="00A72CAE"/>
    <w:rsid w:val="00A72EE4"/>
    <w:rsid w:val="00A73067"/>
    <w:rsid w:val="00A736CA"/>
    <w:rsid w:val="00A737C4"/>
    <w:rsid w:val="00A739A6"/>
    <w:rsid w:val="00A73BB5"/>
    <w:rsid w:val="00A74AD3"/>
    <w:rsid w:val="00A75EF9"/>
    <w:rsid w:val="00A76BC9"/>
    <w:rsid w:val="00A76FD8"/>
    <w:rsid w:val="00A77566"/>
    <w:rsid w:val="00A80563"/>
    <w:rsid w:val="00A8162F"/>
    <w:rsid w:val="00A82650"/>
    <w:rsid w:val="00A8311C"/>
    <w:rsid w:val="00A84189"/>
    <w:rsid w:val="00A84BC8"/>
    <w:rsid w:val="00A84C5F"/>
    <w:rsid w:val="00A84F86"/>
    <w:rsid w:val="00A86973"/>
    <w:rsid w:val="00A8721F"/>
    <w:rsid w:val="00A8740B"/>
    <w:rsid w:val="00A87519"/>
    <w:rsid w:val="00A90DE4"/>
    <w:rsid w:val="00A9246D"/>
    <w:rsid w:val="00A93375"/>
    <w:rsid w:val="00A93644"/>
    <w:rsid w:val="00A93BD0"/>
    <w:rsid w:val="00A95D69"/>
    <w:rsid w:val="00A975A4"/>
    <w:rsid w:val="00AA2001"/>
    <w:rsid w:val="00AA2B5C"/>
    <w:rsid w:val="00AA4E59"/>
    <w:rsid w:val="00AA5328"/>
    <w:rsid w:val="00AA5393"/>
    <w:rsid w:val="00AA5771"/>
    <w:rsid w:val="00AA63D4"/>
    <w:rsid w:val="00AA6767"/>
    <w:rsid w:val="00AB03FD"/>
    <w:rsid w:val="00AB251B"/>
    <w:rsid w:val="00AB38CB"/>
    <w:rsid w:val="00AB3BEC"/>
    <w:rsid w:val="00AB44E4"/>
    <w:rsid w:val="00AB4AEB"/>
    <w:rsid w:val="00AB5352"/>
    <w:rsid w:val="00AB56AE"/>
    <w:rsid w:val="00AB62D5"/>
    <w:rsid w:val="00AB65B5"/>
    <w:rsid w:val="00AB6DCD"/>
    <w:rsid w:val="00AB6EE0"/>
    <w:rsid w:val="00AB7D91"/>
    <w:rsid w:val="00AC1CB2"/>
    <w:rsid w:val="00AC2DFD"/>
    <w:rsid w:val="00AC352D"/>
    <w:rsid w:val="00AC39B7"/>
    <w:rsid w:val="00AC40B7"/>
    <w:rsid w:val="00AC531F"/>
    <w:rsid w:val="00AC6121"/>
    <w:rsid w:val="00AC626D"/>
    <w:rsid w:val="00AC6CB1"/>
    <w:rsid w:val="00AC7558"/>
    <w:rsid w:val="00AD0091"/>
    <w:rsid w:val="00AD23D8"/>
    <w:rsid w:val="00AD23EF"/>
    <w:rsid w:val="00AD307B"/>
    <w:rsid w:val="00AD41B3"/>
    <w:rsid w:val="00AD4275"/>
    <w:rsid w:val="00AD4C48"/>
    <w:rsid w:val="00AD57AF"/>
    <w:rsid w:val="00AD6267"/>
    <w:rsid w:val="00AD6E90"/>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1A6"/>
    <w:rsid w:val="00AF6C33"/>
    <w:rsid w:val="00B0098A"/>
    <w:rsid w:val="00B00A5F"/>
    <w:rsid w:val="00B0225F"/>
    <w:rsid w:val="00B0235A"/>
    <w:rsid w:val="00B025BF"/>
    <w:rsid w:val="00B029B8"/>
    <w:rsid w:val="00B02F60"/>
    <w:rsid w:val="00B032B8"/>
    <w:rsid w:val="00B04B46"/>
    <w:rsid w:val="00B0534D"/>
    <w:rsid w:val="00B06368"/>
    <w:rsid w:val="00B06520"/>
    <w:rsid w:val="00B06FC6"/>
    <w:rsid w:val="00B07163"/>
    <w:rsid w:val="00B07429"/>
    <w:rsid w:val="00B079A8"/>
    <w:rsid w:val="00B12FE6"/>
    <w:rsid w:val="00B1303F"/>
    <w:rsid w:val="00B1364A"/>
    <w:rsid w:val="00B13D3C"/>
    <w:rsid w:val="00B151E9"/>
    <w:rsid w:val="00B1525C"/>
    <w:rsid w:val="00B16242"/>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208"/>
    <w:rsid w:val="00B363BD"/>
    <w:rsid w:val="00B369F7"/>
    <w:rsid w:val="00B36A99"/>
    <w:rsid w:val="00B37537"/>
    <w:rsid w:val="00B41B81"/>
    <w:rsid w:val="00B42980"/>
    <w:rsid w:val="00B434B2"/>
    <w:rsid w:val="00B434C7"/>
    <w:rsid w:val="00B43B69"/>
    <w:rsid w:val="00B43D45"/>
    <w:rsid w:val="00B44771"/>
    <w:rsid w:val="00B4650E"/>
    <w:rsid w:val="00B468F2"/>
    <w:rsid w:val="00B46B45"/>
    <w:rsid w:val="00B46F6B"/>
    <w:rsid w:val="00B47286"/>
    <w:rsid w:val="00B472BE"/>
    <w:rsid w:val="00B47894"/>
    <w:rsid w:val="00B50234"/>
    <w:rsid w:val="00B51794"/>
    <w:rsid w:val="00B51BF4"/>
    <w:rsid w:val="00B52C68"/>
    <w:rsid w:val="00B542FE"/>
    <w:rsid w:val="00B55A1B"/>
    <w:rsid w:val="00B561DB"/>
    <w:rsid w:val="00B57494"/>
    <w:rsid w:val="00B60D5F"/>
    <w:rsid w:val="00B61DCE"/>
    <w:rsid w:val="00B62188"/>
    <w:rsid w:val="00B6223E"/>
    <w:rsid w:val="00B62467"/>
    <w:rsid w:val="00B62F79"/>
    <w:rsid w:val="00B62F82"/>
    <w:rsid w:val="00B6325B"/>
    <w:rsid w:val="00B648FA"/>
    <w:rsid w:val="00B662FF"/>
    <w:rsid w:val="00B66345"/>
    <w:rsid w:val="00B6712F"/>
    <w:rsid w:val="00B7102F"/>
    <w:rsid w:val="00B72C80"/>
    <w:rsid w:val="00B730B4"/>
    <w:rsid w:val="00B74340"/>
    <w:rsid w:val="00B744E0"/>
    <w:rsid w:val="00B7481A"/>
    <w:rsid w:val="00B74F2F"/>
    <w:rsid w:val="00B756FB"/>
    <w:rsid w:val="00B75AD9"/>
    <w:rsid w:val="00B769BC"/>
    <w:rsid w:val="00B77349"/>
    <w:rsid w:val="00B7761E"/>
    <w:rsid w:val="00B80A37"/>
    <w:rsid w:val="00B80A3D"/>
    <w:rsid w:val="00B823E0"/>
    <w:rsid w:val="00B82B78"/>
    <w:rsid w:val="00B82F8A"/>
    <w:rsid w:val="00B83199"/>
    <w:rsid w:val="00B83E3C"/>
    <w:rsid w:val="00B84662"/>
    <w:rsid w:val="00B85402"/>
    <w:rsid w:val="00B864A3"/>
    <w:rsid w:val="00B86C2A"/>
    <w:rsid w:val="00B86D6F"/>
    <w:rsid w:val="00B902A5"/>
    <w:rsid w:val="00B90420"/>
    <w:rsid w:val="00B913E4"/>
    <w:rsid w:val="00B918C0"/>
    <w:rsid w:val="00B91DB9"/>
    <w:rsid w:val="00B933CC"/>
    <w:rsid w:val="00B93EFE"/>
    <w:rsid w:val="00B94956"/>
    <w:rsid w:val="00B94C7F"/>
    <w:rsid w:val="00B956B5"/>
    <w:rsid w:val="00B95776"/>
    <w:rsid w:val="00B95904"/>
    <w:rsid w:val="00B95C3A"/>
    <w:rsid w:val="00B95FCE"/>
    <w:rsid w:val="00BA0D44"/>
    <w:rsid w:val="00BA0E26"/>
    <w:rsid w:val="00BA31BF"/>
    <w:rsid w:val="00BA3AF6"/>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C0A"/>
    <w:rsid w:val="00BE3537"/>
    <w:rsid w:val="00BE360F"/>
    <w:rsid w:val="00BE50FD"/>
    <w:rsid w:val="00BE51CA"/>
    <w:rsid w:val="00BE5E5A"/>
    <w:rsid w:val="00BE6D47"/>
    <w:rsid w:val="00BE7032"/>
    <w:rsid w:val="00BE7330"/>
    <w:rsid w:val="00BF01C5"/>
    <w:rsid w:val="00BF045B"/>
    <w:rsid w:val="00BF066A"/>
    <w:rsid w:val="00BF361C"/>
    <w:rsid w:val="00BF39EC"/>
    <w:rsid w:val="00BF4342"/>
    <w:rsid w:val="00BF5050"/>
    <w:rsid w:val="00BF5422"/>
    <w:rsid w:val="00BF54CF"/>
    <w:rsid w:val="00BF5513"/>
    <w:rsid w:val="00BF59B1"/>
    <w:rsid w:val="00BF6A78"/>
    <w:rsid w:val="00BF6E19"/>
    <w:rsid w:val="00BF77A8"/>
    <w:rsid w:val="00BF79B4"/>
    <w:rsid w:val="00C0099F"/>
    <w:rsid w:val="00C01427"/>
    <w:rsid w:val="00C016A1"/>
    <w:rsid w:val="00C04AAB"/>
    <w:rsid w:val="00C052E5"/>
    <w:rsid w:val="00C058AF"/>
    <w:rsid w:val="00C06395"/>
    <w:rsid w:val="00C124C1"/>
    <w:rsid w:val="00C128AE"/>
    <w:rsid w:val="00C136D6"/>
    <w:rsid w:val="00C13D5B"/>
    <w:rsid w:val="00C16615"/>
    <w:rsid w:val="00C17AE2"/>
    <w:rsid w:val="00C20F27"/>
    <w:rsid w:val="00C215CF"/>
    <w:rsid w:val="00C22293"/>
    <w:rsid w:val="00C2244B"/>
    <w:rsid w:val="00C2263D"/>
    <w:rsid w:val="00C22B0D"/>
    <w:rsid w:val="00C22F55"/>
    <w:rsid w:val="00C240C1"/>
    <w:rsid w:val="00C250D0"/>
    <w:rsid w:val="00C252AC"/>
    <w:rsid w:val="00C255AB"/>
    <w:rsid w:val="00C27214"/>
    <w:rsid w:val="00C27417"/>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544A"/>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2D4D"/>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E4"/>
    <w:rsid w:val="00C71C15"/>
    <w:rsid w:val="00C71F3D"/>
    <w:rsid w:val="00C72B53"/>
    <w:rsid w:val="00C72F53"/>
    <w:rsid w:val="00C73F38"/>
    <w:rsid w:val="00C74035"/>
    <w:rsid w:val="00C74A46"/>
    <w:rsid w:val="00C76FF4"/>
    <w:rsid w:val="00C77773"/>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97F6C"/>
    <w:rsid w:val="00CA08FE"/>
    <w:rsid w:val="00CA0B8A"/>
    <w:rsid w:val="00CA0FAC"/>
    <w:rsid w:val="00CA2513"/>
    <w:rsid w:val="00CA25C0"/>
    <w:rsid w:val="00CA3451"/>
    <w:rsid w:val="00CA36FD"/>
    <w:rsid w:val="00CA421F"/>
    <w:rsid w:val="00CA4948"/>
    <w:rsid w:val="00CA52F9"/>
    <w:rsid w:val="00CA568B"/>
    <w:rsid w:val="00CA7500"/>
    <w:rsid w:val="00CA7C34"/>
    <w:rsid w:val="00CB0696"/>
    <w:rsid w:val="00CB1239"/>
    <w:rsid w:val="00CB19FE"/>
    <w:rsid w:val="00CB304C"/>
    <w:rsid w:val="00CB4E55"/>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5F9"/>
    <w:rsid w:val="00CF6905"/>
    <w:rsid w:val="00CF71A6"/>
    <w:rsid w:val="00CF7495"/>
    <w:rsid w:val="00CF7671"/>
    <w:rsid w:val="00CF7C5B"/>
    <w:rsid w:val="00D01CF9"/>
    <w:rsid w:val="00D02246"/>
    <w:rsid w:val="00D0334D"/>
    <w:rsid w:val="00D0374D"/>
    <w:rsid w:val="00D03BAF"/>
    <w:rsid w:val="00D05A76"/>
    <w:rsid w:val="00D07BEF"/>
    <w:rsid w:val="00D07F1D"/>
    <w:rsid w:val="00D10558"/>
    <w:rsid w:val="00D1203E"/>
    <w:rsid w:val="00D1379B"/>
    <w:rsid w:val="00D13E70"/>
    <w:rsid w:val="00D16C58"/>
    <w:rsid w:val="00D16E51"/>
    <w:rsid w:val="00D17019"/>
    <w:rsid w:val="00D170C1"/>
    <w:rsid w:val="00D178DE"/>
    <w:rsid w:val="00D17C6E"/>
    <w:rsid w:val="00D20818"/>
    <w:rsid w:val="00D21168"/>
    <w:rsid w:val="00D235C8"/>
    <w:rsid w:val="00D2384A"/>
    <w:rsid w:val="00D2438C"/>
    <w:rsid w:val="00D26C3F"/>
    <w:rsid w:val="00D27185"/>
    <w:rsid w:val="00D276B8"/>
    <w:rsid w:val="00D31CA2"/>
    <w:rsid w:val="00D320E8"/>
    <w:rsid w:val="00D32B84"/>
    <w:rsid w:val="00D337AE"/>
    <w:rsid w:val="00D33AB3"/>
    <w:rsid w:val="00D33F24"/>
    <w:rsid w:val="00D346B7"/>
    <w:rsid w:val="00D346B8"/>
    <w:rsid w:val="00D35AC8"/>
    <w:rsid w:val="00D35D34"/>
    <w:rsid w:val="00D36F87"/>
    <w:rsid w:val="00D37E4E"/>
    <w:rsid w:val="00D41AC3"/>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3B6F"/>
    <w:rsid w:val="00D54A6A"/>
    <w:rsid w:val="00D54B7B"/>
    <w:rsid w:val="00D54BF8"/>
    <w:rsid w:val="00D54D7C"/>
    <w:rsid w:val="00D55792"/>
    <w:rsid w:val="00D55951"/>
    <w:rsid w:val="00D572BE"/>
    <w:rsid w:val="00D57EB6"/>
    <w:rsid w:val="00D60ED7"/>
    <w:rsid w:val="00D612CA"/>
    <w:rsid w:val="00D63586"/>
    <w:rsid w:val="00D65538"/>
    <w:rsid w:val="00D664BF"/>
    <w:rsid w:val="00D66D8B"/>
    <w:rsid w:val="00D67919"/>
    <w:rsid w:val="00D67D04"/>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62D1"/>
    <w:rsid w:val="00D86469"/>
    <w:rsid w:val="00D873C6"/>
    <w:rsid w:val="00D91027"/>
    <w:rsid w:val="00D94C7D"/>
    <w:rsid w:val="00D94CA4"/>
    <w:rsid w:val="00D94FB4"/>
    <w:rsid w:val="00D95E99"/>
    <w:rsid w:val="00DA098C"/>
    <w:rsid w:val="00DA1A3A"/>
    <w:rsid w:val="00DA2712"/>
    <w:rsid w:val="00DA2C65"/>
    <w:rsid w:val="00DA395D"/>
    <w:rsid w:val="00DA49E8"/>
    <w:rsid w:val="00DA6D33"/>
    <w:rsid w:val="00DB16B8"/>
    <w:rsid w:val="00DB1869"/>
    <w:rsid w:val="00DB1D52"/>
    <w:rsid w:val="00DB1F62"/>
    <w:rsid w:val="00DB2E03"/>
    <w:rsid w:val="00DB3369"/>
    <w:rsid w:val="00DB3742"/>
    <w:rsid w:val="00DB3F4B"/>
    <w:rsid w:val="00DB61A4"/>
    <w:rsid w:val="00DB67C1"/>
    <w:rsid w:val="00DB6F6F"/>
    <w:rsid w:val="00DB70CD"/>
    <w:rsid w:val="00DB70F4"/>
    <w:rsid w:val="00DB7343"/>
    <w:rsid w:val="00DC1056"/>
    <w:rsid w:val="00DC211E"/>
    <w:rsid w:val="00DC21D8"/>
    <w:rsid w:val="00DC282A"/>
    <w:rsid w:val="00DC34C5"/>
    <w:rsid w:val="00DC34DC"/>
    <w:rsid w:val="00DC3584"/>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D7D8E"/>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44E"/>
    <w:rsid w:val="00E16EC7"/>
    <w:rsid w:val="00E1714F"/>
    <w:rsid w:val="00E177D2"/>
    <w:rsid w:val="00E17995"/>
    <w:rsid w:val="00E21576"/>
    <w:rsid w:val="00E21801"/>
    <w:rsid w:val="00E219CE"/>
    <w:rsid w:val="00E23961"/>
    <w:rsid w:val="00E24071"/>
    <w:rsid w:val="00E24EBC"/>
    <w:rsid w:val="00E2522C"/>
    <w:rsid w:val="00E2599B"/>
    <w:rsid w:val="00E27383"/>
    <w:rsid w:val="00E2793D"/>
    <w:rsid w:val="00E31A25"/>
    <w:rsid w:val="00E31AFA"/>
    <w:rsid w:val="00E324EE"/>
    <w:rsid w:val="00E359FF"/>
    <w:rsid w:val="00E36083"/>
    <w:rsid w:val="00E36AA7"/>
    <w:rsid w:val="00E36E39"/>
    <w:rsid w:val="00E405F1"/>
    <w:rsid w:val="00E42336"/>
    <w:rsid w:val="00E43054"/>
    <w:rsid w:val="00E434C4"/>
    <w:rsid w:val="00E44FE4"/>
    <w:rsid w:val="00E46013"/>
    <w:rsid w:val="00E4671C"/>
    <w:rsid w:val="00E477C3"/>
    <w:rsid w:val="00E5048D"/>
    <w:rsid w:val="00E50AC4"/>
    <w:rsid w:val="00E51077"/>
    <w:rsid w:val="00E5132D"/>
    <w:rsid w:val="00E51741"/>
    <w:rsid w:val="00E51E16"/>
    <w:rsid w:val="00E52151"/>
    <w:rsid w:val="00E53730"/>
    <w:rsid w:val="00E53C46"/>
    <w:rsid w:val="00E544C3"/>
    <w:rsid w:val="00E54511"/>
    <w:rsid w:val="00E548BE"/>
    <w:rsid w:val="00E54978"/>
    <w:rsid w:val="00E5504D"/>
    <w:rsid w:val="00E55DC3"/>
    <w:rsid w:val="00E57577"/>
    <w:rsid w:val="00E577A3"/>
    <w:rsid w:val="00E62043"/>
    <w:rsid w:val="00E626B9"/>
    <w:rsid w:val="00E627C9"/>
    <w:rsid w:val="00E630F3"/>
    <w:rsid w:val="00E65198"/>
    <w:rsid w:val="00E664FB"/>
    <w:rsid w:val="00E66F0D"/>
    <w:rsid w:val="00E70615"/>
    <w:rsid w:val="00E713FB"/>
    <w:rsid w:val="00E71A5E"/>
    <w:rsid w:val="00E7207B"/>
    <w:rsid w:val="00E7347A"/>
    <w:rsid w:val="00E746F4"/>
    <w:rsid w:val="00E75325"/>
    <w:rsid w:val="00E75A47"/>
    <w:rsid w:val="00E75D8C"/>
    <w:rsid w:val="00E7688E"/>
    <w:rsid w:val="00E77771"/>
    <w:rsid w:val="00E777F2"/>
    <w:rsid w:val="00E779ED"/>
    <w:rsid w:val="00E802C9"/>
    <w:rsid w:val="00E80809"/>
    <w:rsid w:val="00E80EDD"/>
    <w:rsid w:val="00E80F0A"/>
    <w:rsid w:val="00E81A6A"/>
    <w:rsid w:val="00E8291B"/>
    <w:rsid w:val="00E8395F"/>
    <w:rsid w:val="00E83BAE"/>
    <w:rsid w:val="00E8473F"/>
    <w:rsid w:val="00E857EB"/>
    <w:rsid w:val="00E85E41"/>
    <w:rsid w:val="00E85EA1"/>
    <w:rsid w:val="00E8610B"/>
    <w:rsid w:val="00E86C86"/>
    <w:rsid w:val="00E87AEC"/>
    <w:rsid w:val="00E91044"/>
    <w:rsid w:val="00E910D3"/>
    <w:rsid w:val="00E9214B"/>
    <w:rsid w:val="00E923CF"/>
    <w:rsid w:val="00E9335F"/>
    <w:rsid w:val="00E95111"/>
    <w:rsid w:val="00E95FC0"/>
    <w:rsid w:val="00E9783B"/>
    <w:rsid w:val="00EA061E"/>
    <w:rsid w:val="00EA14C8"/>
    <w:rsid w:val="00EA19D3"/>
    <w:rsid w:val="00EA1FEE"/>
    <w:rsid w:val="00EA2358"/>
    <w:rsid w:val="00EA2C8B"/>
    <w:rsid w:val="00EA3582"/>
    <w:rsid w:val="00EA50D8"/>
    <w:rsid w:val="00EA6649"/>
    <w:rsid w:val="00EB05D0"/>
    <w:rsid w:val="00EB07C5"/>
    <w:rsid w:val="00EB107E"/>
    <w:rsid w:val="00EB11D8"/>
    <w:rsid w:val="00EB1D49"/>
    <w:rsid w:val="00EB42DD"/>
    <w:rsid w:val="00EB559F"/>
    <w:rsid w:val="00EB5F3D"/>
    <w:rsid w:val="00EB6EC2"/>
    <w:rsid w:val="00EC06CC"/>
    <w:rsid w:val="00EC1CD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3E11"/>
    <w:rsid w:val="00ED4469"/>
    <w:rsid w:val="00ED5F23"/>
    <w:rsid w:val="00ED6DC0"/>
    <w:rsid w:val="00ED799B"/>
    <w:rsid w:val="00ED79CE"/>
    <w:rsid w:val="00ED7A7A"/>
    <w:rsid w:val="00EE038C"/>
    <w:rsid w:val="00EE040B"/>
    <w:rsid w:val="00EE47C5"/>
    <w:rsid w:val="00EE490C"/>
    <w:rsid w:val="00EE4E02"/>
    <w:rsid w:val="00EE613B"/>
    <w:rsid w:val="00EE658C"/>
    <w:rsid w:val="00EE6911"/>
    <w:rsid w:val="00EE7E17"/>
    <w:rsid w:val="00EF0A5F"/>
    <w:rsid w:val="00EF19B3"/>
    <w:rsid w:val="00EF2C8E"/>
    <w:rsid w:val="00EF3A0D"/>
    <w:rsid w:val="00EF3CEB"/>
    <w:rsid w:val="00EF41A8"/>
    <w:rsid w:val="00EF44FB"/>
    <w:rsid w:val="00EF4B4E"/>
    <w:rsid w:val="00EF4D3C"/>
    <w:rsid w:val="00EF517C"/>
    <w:rsid w:val="00EF5554"/>
    <w:rsid w:val="00EF5AD8"/>
    <w:rsid w:val="00EF5D2F"/>
    <w:rsid w:val="00EF61E5"/>
    <w:rsid w:val="00EF63F5"/>
    <w:rsid w:val="00EF64C2"/>
    <w:rsid w:val="00EF6549"/>
    <w:rsid w:val="00EF666F"/>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4B15"/>
    <w:rsid w:val="00F2504D"/>
    <w:rsid w:val="00F2637F"/>
    <w:rsid w:val="00F263A8"/>
    <w:rsid w:val="00F268F7"/>
    <w:rsid w:val="00F26B0C"/>
    <w:rsid w:val="00F27280"/>
    <w:rsid w:val="00F3053D"/>
    <w:rsid w:val="00F30BDB"/>
    <w:rsid w:val="00F30CF8"/>
    <w:rsid w:val="00F3104D"/>
    <w:rsid w:val="00F317E3"/>
    <w:rsid w:val="00F31EDF"/>
    <w:rsid w:val="00F32CDE"/>
    <w:rsid w:val="00F32D4C"/>
    <w:rsid w:val="00F32F57"/>
    <w:rsid w:val="00F34811"/>
    <w:rsid w:val="00F34B14"/>
    <w:rsid w:val="00F36A6A"/>
    <w:rsid w:val="00F40101"/>
    <w:rsid w:val="00F40474"/>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0805"/>
    <w:rsid w:val="00F61B12"/>
    <w:rsid w:val="00F61CC5"/>
    <w:rsid w:val="00F62398"/>
    <w:rsid w:val="00F631E8"/>
    <w:rsid w:val="00F63223"/>
    <w:rsid w:val="00F63264"/>
    <w:rsid w:val="00F635F4"/>
    <w:rsid w:val="00F6379E"/>
    <w:rsid w:val="00F64142"/>
    <w:rsid w:val="00F657E9"/>
    <w:rsid w:val="00F70799"/>
    <w:rsid w:val="00F70906"/>
    <w:rsid w:val="00F70A8B"/>
    <w:rsid w:val="00F724FB"/>
    <w:rsid w:val="00F72578"/>
    <w:rsid w:val="00F72A26"/>
    <w:rsid w:val="00F733C3"/>
    <w:rsid w:val="00F747A6"/>
    <w:rsid w:val="00F756DD"/>
    <w:rsid w:val="00F75DB3"/>
    <w:rsid w:val="00F766DD"/>
    <w:rsid w:val="00F80047"/>
    <w:rsid w:val="00F8104D"/>
    <w:rsid w:val="00F81587"/>
    <w:rsid w:val="00F82571"/>
    <w:rsid w:val="00F83379"/>
    <w:rsid w:val="00F83DB4"/>
    <w:rsid w:val="00F85B72"/>
    <w:rsid w:val="00F86B6D"/>
    <w:rsid w:val="00F8766F"/>
    <w:rsid w:val="00F87A81"/>
    <w:rsid w:val="00F9104C"/>
    <w:rsid w:val="00F91082"/>
    <w:rsid w:val="00F91A9A"/>
    <w:rsid w:val="00F93ABB"/>
    <w:rsid w:val="00F94D79"/>
    <w:rsid w:val="00F97E7E"/>
    <w:rsid w:val="00FA118A"/>
    <w:rsid w:val="00FA31C7"/>
    <w:rsid w:val="00FA472D"/>
    <w:rsid w:val="00FA7254"/>
    <w:rsid w:val="00FB0214"/>
    <w:rsid w:val="00FB080C"/>
    <w:rsid w:val="00FB0FAF"/>
    <w:rsid w:val="00FB12BC"/>
    <w:rsid w:val="00FB18F6"/>
    <w:rsid w:val="00FB2A52"/>
    <w:rsid w:val="00FB2D6B"/>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6325"/>
    <w:rsid w:val="00FC75AC"/>
    <w:rsid w:val="00FD01BF"/>
    <w:rsid w:val="00FD0525"/>
    <w:rsid w:val="00FD297D"/>
    <w:rsid w:val="00FD298C"/>
    <w:rsid w:val="00FD2D13"/>
    <w:rsid w:val="00FD365E"/>
    <w:rsid w:val="00FD3D26"/>
    <w:rsid w:val="00FD4789"/>
    <w:rsid w:val="00FD59FE"/>
    <w:rsid w:val="00FD6071"/>
    <w:rsid w:val="00FD61FE"/>
    <w:rsid w:val="00FE0780"/>
    <w:rsid w:val="00FE0794"/>
    <w:rsid w:val="00FE1041"/>
    <w:rsid w:val="00FE24CB"/>
    <w:rsid w:val="00FE2B52"/>
    <w:rsid w:val="00FE2D46"/>
    <w:rsid w:val="00FE3166"/>
    <w:rsid w:val="00FE3320"/>
    <w:rsid w:val="00FE3473"/>
    <w:rsid w:val="00FE353B"/>
    <w:rsid w:val="00FE3E81"/>
    <w:rsid w:val="00FE4049"/>
    <w:rsid w:val="00FE4794"/>
    <w:rsid w:val="00FE4AF9"/>
    <w:rsid w:val="00FE5DF7"/>
    <w:rsid w:val="00FE5F72"/>
    <w:rsid w:val="00FF0231"/>
    <w:rsid w:val="00FF1C9B"/>
    <w:rsid w:val="00FF1D49"/>
    <w:rsid w:val="00FF2562"/>
    <w:rsid w:val="00FF2CE1"/>
    <w:rsid w:val="00FF3565"/>
    <w:rsid w:val="00FF3687"/>
    <w:rsid w:val="00FF3A41"/>
    <w:rsid w:val="00FF3E5B"/>
    <w:rsid w:val="00FF544F"/>
    <w:rsid w:val="00FF57E4"/>
    <w:rsid w:val="00FF75D9"/>
    <w:rsid w:val="00FF78E5"/>
    <w:rsid w:val="017F6F52"/>
    <w:rsid w:val="01DA3C65"/>
    <w:rsid w:val="01DF0948"/>
    <w:rsid w:val="02511F9D"/>
    <w:rsid w:val="02E5364E"/>
    <w:rsid w:val="02FD5966"/>
    <w:rsid w:val="03056ED3"/>
    <w:rsid w:val="036426F9"/>
    <w:rsid w:val="03A314B8"/>
    <w:rsid w:val="03D82B98"/>
    <w:rsid w:val="03F83E8B"/>
    <w:rsid w:val="04E20566"/>
    <w:rsid w:val="050F35F4"/>
    <w:rsid w:val="057370DB"/>
    <w:rsid w:val="05F23B74"/>
    <w:rsid w:val="06E767BB"/>
    <w:rsid w:val="06F70E89"/>
    <w:rsid w:val="077A3324"/>
    <w:rsid w:val="07B72767"/>
    <w:rsid w:val="07EF7881"/>
    <w:rsid w:val="08077E72"/>
    <w:rsid w:val="08826A86"/>
    <w:rsid w:val="08DA5CDA"/>
    <w:rsid w:val="09187954"/>
    <w:rsid w:val="09270E73"/>
    <w:rsid w:val="09681DB7"/>
    <w:rsid w:val="09A33297"/>
    <w:rsid w:val="09AF4D93"/>
    <w:rsid w:val="09BD6B8A"/>
    <w:rsid w:val="09CC2AAC"/>
    <w:rsid w:val="09D820EE"/>
    <w:rsid w:val="0A652D3E"/>
    <w:rsid w:val="0A7A46D0"/>
    <w:rsid w:val="0AE465EC"/>
    <w:rsid w:val="0B253A7F"/>
    <w:rsid w:val="0B3A48F0"/>
    <w:rsid w:val="0B731C1E"/>
    <w:rsid w:val="0BE737F4"/>
    <w:rsid w:val="0C30080D"/>
    <w:rsid w:val="0C92213C"/>
    <w:rsid w:val="0CBA4EED"/>
    <w:rsid w:val="0D4F2043"/>
    <w:rsid w:val="0D4F221D"/>
    <w:rsid w:val="0D5254CF"/>
    <w:rsid w:val="0D84032B"/>
    <w:rsid w:val="0ED317E0"/>
    <w:rsid w:val="0F0A0484"/>
    <w:rsid w:val="10476D2B"/>
    <w:rsid w:val="109C3DB3"/>
    <w:rsid w:val="10A27F31"/>
    <w:rsid w:val="10AD5929"/>
    <w:rsid w:val="10CA487C"/>
    <w:rsid w:val="11085422"/>
    <w:rsid w:val="11927058"/>
    <w:rsid w:val="11F962DC"/>
    <w:rsid w:val="126537F7"/>
    <w:rsid w:val="12D0036B"/>
    <w:rsid w:val="138A52B7"/>
    <w:rsid w:val="13AF4F03"/>
    <w:rsid w:val="14736E66"/>
    <w:rsid w:val="149A198A"/>
    <w:rsid w:val="149B6AC2"/>
    <w:rsid w:val="14C33A41"/>
    <w:rsid w:val="15196FAC"/>
    <w:rsid w:val="15293653"/>
    <w:rsid w:val="1534169A"/>
    <w:rsid w:val="15B32016"/>
    <w:rsid w:val="15C03E03"/>
    <w:rsid w:val="162A25EB"/>
    <w:rsid w:val="163B614A"/>
    <w:rsid w:val="16D105EF"/>
    <w:rsid w:val="16FD2A55"/>
    <w:rsid w:val="17366761"/>
    <w:rsid w:val="17494CC2"/>
    <w:rsid w:val="17512E29"/>
    <w:rsid w:val="177C01F0"/>
    <w:rsid w:val="178057B9"/>
    <w:rsid w:val="17CE6630"/>
    <w:rsid w:val="184E6AEE"/>
    <w:rsid w:val="19820BA0"/>
    <w:rsid w:val="19A13261"/>
    <w:rsid w:val="1A0D77DF"/>
    <w:rsid w:val="1A85175F"/>
    <w:rsid w:val="1AAE7552"/>
    <w:rsid w:val="1AFA16D5"/>
    <w:rsid w:val="1B4F19F8"/>
    <w:rsid w:val="1BD92184"/>
    <w:rsid w:val="1C5170A2"/>
    <w:rsid w:val="1C5A616E"/>
    <w:rsid w:val="1D4061A8"/>
    <w:rsid w:val="1D961F13"/>
    <w:rsid w:val="1E9B4F4B"/>
    <w:rsid w:val="1F063325"/>
    <w:rsid w:val="1F3A2EC9"/>
    <w:rsid w:val="1FBC5DF5"/>
    <w:rsid w:val="1FC55574"/>
    <w:rsid w:val="20005763"/>
    <w:rsid w:val="20FF0485"/>
    <w:rsid w:val="21B83F86"/>
    <w:rsid w:val="21E55E66"/>
    <w:rsid w:val="221178A8"/>
    <w:rsid w:val="221213CF"/>
    <w:rsid w:val="22327A92"/>
    <w:rsid w:val="22605823"/>
    <w:rsid w:val="22965435"/>
    <w:rsid w:val="229B128E"/>
    <w:rsid w:val="22BD6F35"/>
    <w:rsid w:val="23050055"/>
    <w:rsid w:val="231D53A2"/>
    <w:rsid w:val="232F75C6"/>
    <w:rsid w:val="23B7504C"/>
    <w:rsid w:val="23BB05E0"/>
    <w:rsid w:val="23C93A7A"/>
    <w:rsid w:val="24217114"/>
    <w:rsid w:val="24571307"/>
    <w:rsid w:val="24642DFB"/>
    <w:rsid w:val="24910954"/>
    <w:rsid w:val="24BA2984"/>
    <w:rsid w:val="25246333"/>
    <w:rsid w:val="25413EA7"/>
    <w:rsid w:val="2586513A"/>
    <w:rsid w:val="25CA67E5"/>
    <w:rsid w:val="26446DE3"/>
    <w:rsid w:val="264D165B"/>
    <w:rsid w:val="26D7699F"/>
    <w:rsid w:val="26F209C8"/>
    <w:rsid w:val="2721378D"/>
    <w:rsid w:val="274A5E17"/>
    <w:rsid w:val="278B34B9"/>
    <w:rsid w:val="28004BE0"/>
    <w:rsid w:val="28CD1A76"/>
    <w:rsid w:val="29A23B7C"/>
    <w:rsid w:val="2A043BBD"/>
    <w:rsid w:val="2A2F792D"/>
    <w:rsid w:val="2A6D6A34"/>
    <w:rsid w:val="2B09065E"/>
    <w:rsid w:val="2B0B528D"/>
    <w:rsid w:val="2B0D6AA1"/>
    <w:rsid w:val="2B2A692F"/>
    <w:rsid w:val="2B774624"/>
    <w:rsid w:val="2BC068DD"/>
    <w:rsid w:val="2BEB6DE3"/>
    <w:rsid w:val="2C7A72BE"/>
    <w:rsid w:val="2D393D96"/>
    <w:rsid w:val="2DF22376"/>
    <w:rsid w:val="2F401D3C"/>
    <w:rsid w:val="2FA95C88"/>
    <w:rsid w:val="2FD7548C"/>
    <w:rsid w:val="3041370F"/>
    <w:rsid w:val="306D4AE2"/>
    <w:rsid w:val="309C7FC2"/>
    <w:rsid w:val="31083A05"/>
    <w:rsid w:val="31DD48DC"/>
    <w:rsid w:val="32016E38"/>
    <w:rsid w:val="32453A27"/>
    <w:rsid w:val="324B14F1"/>
    <w:rsid w:val="3263064A"/>
    <w:rsid w:val="32A63380"/>
    <w:rsid w:val="32AC0C06"/>
    <w:rsid w:val="333A108C"/>
    <w:rsid w:val="33521EC0"/>
    <w:rsid w:val="33CC5BF5"/>
    <w:rsid w:val="3406575B"/>
    <w:rsid w:val="34191B03"/>
    <w:rsid w:val="34320E7A"/>
    <w:rsid w:val="34773B5B"/>
    <w:rsid w:val="3537750C"/>
    <w:rsid w:val="3537798C"/>
    <w:rsid w:val="357F7ED5"/>
    <w:rsid w:val="358C11CC"/>
    <w:rsid w:val="35C13FC9"/>
    <w:rsid w:val="35FE3B9E"/>
    <w:rsid w:val="362E6D87"/>
    <w:rsid w:val="364257B6"/>
    <w:rsid w:val="364E0A16"/>
    <w:rsid w:val="36D725C2"/>
    <w:rsid w:val="36F834D1"/>
    <w:rsid w:val="374264D3"/>
    <w:rsid w:val="37DB7874"/>
    <w:rsid w:val="37EA5922"/>
    <w:rsid w:val="38032D5E"/>
    <w:rsid w:val="38276B93"/>
    <w:rsid w:val="39C80BDA"/>
    <w:rsid w:val="3A0B64A7"/>
    <w:rsid w:val="3A3941B7"/>
    <w:rsid w:val="3AF74C02"/>
    <w:rsid w:val="3B6C3370"/>
    <w:rsid w:val="3BD13856"/>
    <w:rsid w:val="3C0059A5"/>
    <w:rsid w:val="3C134E78"/>
    <w:rsid w:val="3CF67D6F"/>
    <w:rsid w:val="3CFA1ECB"/>
    <w:rsid w:val="3D06102C"/>
    <w:rsid w:val="3DF6345D"/>
    <w:rsid w:val="3E0514DE"/>
    <w:rsid w:val="3EC357A9"/>
    <w:rsid w:val="3EE13701"/>
    <w:rsid w:val="3F1A4BB3"/>
    <w:rsid w:val="3F473DFB"/>
    <w:rsid w:val="3FDA2718"/>
    <w:rsid w:val="3FE61943"/>
    <w:rsid w:val="40192BA6"/>
    <w:rsid w:val="40821474"/>
    <w:rsid w:val="40A63038"/>
    <w:rsid w:val="40A87283"/>
    <w:rsid w:val="40E86709"/>
    <w:rsid w:val="4182575B"/>
    <w:rsid w:val="41DC7A61"/>
    <w:rsid w:val="42550A18"/>
    <w:rsid w:val="42947A49"/>
    <w:rsid w:val="42CF43AB"/>
    <w:rsid w:val="42F473A1"/>
    <w:rsid w:val="43881465"/>
    <w:rsid w:val="441E62C0"/>
    <w:rsid w:val="44274ACD"/>
    <w:rsid w:val="45017990"/>
    <w:rsid w:val="4529189E"/>
    <w:rsid w:val="45811C7C"/>
    <w:rsid w:val="46053138"/>
    <w:rsid w:val="460D0D2A"/>
    <w:rsid w:val="468B3EFB"/>
    <w:rsid w:val="470A6193"/>
    <w:rsid w:val="47936BDD"/>
    <w:rsid w:val="47DC4F5C"/>
    <w:rsid w:val="480269BD"/>
    <w:rsid w:val="48B40671"/>
    <w:rsid w:val="48E13021"/>
    <w:rsid w:val="48E90C29"/>
    <w:rsid w:val="497F41A4"/>
    <w:rsid w:val="499B5738"/>
    <w:rsid w:val="499F244D"/>
    <w:rsid w:val="49B6309E"/>
    <w:rsid w:val="4A6A4F1F"/>
    <w:rsid w:val="4A8F58C2"/>
    <w:rsid w:val="4AB337D6"/>
    <w:rsid w:val="4AB6085F"/>
    <w:rsid w:val="4AF96BC7"/>
    <w:rsid w:val="4BB03B82"/>
    <w:rsid w:val="4BFB4050"/>
    <w:rsid w:val="4CED25F5"/>
    <w:rsid w:val="4CEF36E2"/>
    <w:rsid w:val="4D08596F"/>
    <w:rsid w:val="4D3B1120"/>
    <w:rsid w:val="4F372FFB"/>
    <w:rsid w:val="4FA76FA4"/>
    <w:rsid w:val="4FAC6DE4"/>
    <w:rsid w:val="5003642A"/>
    <w:rsid w:val="50094601"/>
    <w:rsid w:val="50216869"/>
    <w:rsid w:val="50970F0C"/>
    <w:rsid w:val="50CD4DA0"/>
    <w:rsid w:val="513F391C"/>
    <w:rsid w:val="51460589"/>
    <w:rsid w:val="51564E44"/>
    <w:rsid w:val="51F36455"/>
    <w:rsid w:val="52134E60"/>
    <w:rsid w:val="527C0FAC"/>
    <w:rsid w:val="52812D2E"/>
    <w:rsid w:val="52C10D75"/>
    <w:rsid w:val="52F60935"/>
    <w:rsid w:val="53302A84"/>
    <w:rsid w:val="537A4727"/>
    <w:rsid w:val="53D855EF"/>
    <w:rsid w:val="550C4BD7"/>
    <w:rsid w:val="55572986"/>
    <w:rsid w:val="56077193"/>
    <w:rsid w:val="56537644"/>
    <w:rsid w:val="567C377F"/>
    <w:rsid w:val="583A4F4D"/>
    <w:rsid w:val="585C1D88"/>
    <w:rsid w:val="592E3A9D"/>
    <w:rsid w:val="595828E8"/>
    <w:rsid w:val="59D714F6"/>
    <w:rsid w:val="5A957D93"/>
    <w:rsid w:val="5AC81722"/>
    <w:rsid w:val="5B2A3B29"/>
    <w:rsid w:val="5B3166E2"/>
    <w:rsid w:val="5B3760D9"/>
    <w:rsid w:val="5B5E2A04"/>
    <w:rsid w:val="5BBA452D"/>
    <w:rsid w:val="5C3D2992"/>
    <w:rsid w:val="5C490455"/>
    <w:rsid w:val="5CCF447F"/>
    <w:rsid w:val="5D2317D1"/>
    <w:rsid w:val="5D2E510B"/>
    <w:rsid w:val="5D3B14B0"/>
    <w:rsid w:val="5D7719D5"/>
    <w:rsid w:val="5E277F5F"/>
    <w:rsid w:val="5E723E4D"/>
    <w:rsid w:val="5EBB7FE7"/>
    <w:rsid w:val="5EEB44A8"/>
    <w:rsid w:val="5F80710D"/>
    <w:rsid w:val="5FA40A7B"/>
    <w:rsid w:val="606007BB"/>
    <w:rsid w:val="60745960"/>
    <w:rsid w:val="607C6CCC"/>
    <w:rsid w:val="60AC7F66"/>
    <w:rsid w:val="60F53959"/>
    <w:rsid w:val="618835DC"/>
    <w:rsid w:val="61BF10D9"/>
    <w:rsid w:val="62797AD8"/>
    <w:rsid w:val="629F7BDB"/>
    <w:rsid w:val="62D01377"/>
    <w:rsid w:val="63DD3565"/>
    <w:rsid w:val="63FD16E6"/>
    <w:rsid w:val="640C7C21"/>
    <w:rsid w:val="64641867"/>
    <w:rsid w:val="64D4607B"/>
    <w:rsid w:val="64E45EF7"/>
    <w:rsid w:val="657221F5"/>
    <w:rsid w:val="65A43583"/>
    <w:rsid w:val="66A57729"/>
    <w:rsid w:val="673B426B"/>
    <w:rsid w:val="67653675"/>
    <w:rsid w:val="677435B2"/>
    <w:rsid w:val="67C65A5D"/>
    <w:rsid w:val="67D02821"/>
    <w:rsid w:val="67EF75F1"/>
    <w:rsid w:val="68BA0A96"/>
    <w:rsid w:val="68EF4270"/>
    <w:rsid w:val="69124F16"/>
    <w:rsid w:val="69A2598F"/>
    <w:rsid w:val="69C64B0E"/>
    <w:rsid w:val="69CD5C14"/>
    <w:rsid w:val="69CF0D33"/>
    <w:rsid w:val="69EB1E27"/>
    <w:rsid w:val="6A161E20"/>
    <w:rsid w:val="6AB24495"/>
    <w:rsid w:val="6B0D4F31"/>
    <w:rsid w:val="6B521148"/>
    <w:rsid w:val="6B9946B3"/>
    <w:rsid w:val="6BCA73F8"/>
    <w:rsid w:val="6C973071"/>
    <w:rsid w:val="6D1837C6"/>
    <w:rsid w:val="6DE76850"/>
    <w:rsid w:val="6E9A1018"/>
    <w:rsid w:val="6ED61E75"/>
    <w:rsid w:val="6FB20BD4"/>
    <w:rsid w:val="6FBA59BE"/>
    <w:rsid w:val="6FC72562"/>
    <w:rsid w:val="70296B3E"/>
    <w:rsid w:val="7033300E"/>
    <w:rsid w:val="70377729"/>
    <w:rsid w:val="7055204A"/>
    <w:rsid w:val="70611204"/>
    <w:rsid w:val="70D04A09"/>
    <w:rsid w:val="70F42F73"/>
    <w:rsid w:val="71A053FA"/>
    <w:rsid w:val="721B2E1F"/>
    <w:rsid w:val="7234593E"/>
    <w:rsid w:val="72534E9D"/>
    <w:rsid w:val="72B45B55"/>
    <w:rsid w:val="72C5775B"/>
    <w:rsid w:val="72EF4CB6"/>
    <w:rsid w:val="73293BFC"/>
    <w:rsid w:val="732C550A"/>
    <w:rsid w:val="73462082"/>
    <w:rsid w:val="737D1C56"/>
    <w:rsid w:val="748C14DE"/>
    <w:rsid w:val="74FA2C30"/>
    <w:rsid w:val="750006C1"/>
    <w:rsid w:val="75962822"/>
    <w:rsid w:val="75AC3156"/>
    <w:rsid w:val="763B214A"/>
    <w:rsid w:val="7659792B"/>
    <w:rsid w:val="766D0827"/>
    <w:rsid w:val="76BC49EB"/>
    <w:rsid w:val="76DA32A9"/>
    <w:rsid w:val="77000DA2"/>
    <w:rsid w:val="77027AD0"/>
    <w:rsid w:val="77B412AD"/>
    <w:rsid w:val="781E69D1"/>
    <w:rsid w:val="78340059"/>
    <w:rsid w:val="783E7867"/>
    <w:rsid w:val="784775B0"/>
    <w:rsid w:val="78EF4FEB"/>
    <w:rsid w:val="794910DC"/>
    <w:rsid w:val="794A298F"/>
    <w:rsid w:val="796B74D3"/>
    <w:rsid w:val="7A340543"/>
    <w:rsid w:val="7ADD0453"/>
    <w:rsid w:val="7AF46346"/>
    <w:rsid w:val="7B0F5EBF"/>
    <w:rsid w:val="7B130FB9"/>
    <w:rsid w:val="7B95154C"/>
    <w:rsid w:val="7B9C2CFF"/>
    <w:rsid w:val="7BDE0625"/>
    <w:rsid w:val="7BF64EDE"/>
    <w:rsid w:val="7C400C1E"/>
    <w:rsid w:val="7C5324B3"/>
    <w:rsid w:val="7CCD298A"/>
    <w:rsid w:val="7DD11708"/>
    <w:rsid w:val="7E8E6727"/>
    <w:rsid w:val="7EBC46EA"/>
    <w:rsid w:val="7EC167BD"/>
    <w:rsid w:val="7F294B2C"/>
    <w:rsid w:val="7FF8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9"/>
    <w:qFormat/>
    <w:uiPriority w:val="9"/>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1"/>
    <w:next w:val="6"/>
    <w:link w:val="37"/>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8"/>
    <w:qFormat/>
    <w:uiPriority w:val="0"/>
    <w:pPr>
      <w:jc w:val="left"/>
    </w:pPr>
  </w:style>
  <w:style w:type="paragraph" w:styleId="9">
    <w:name w:val="Body Text 3"/>
    <w:basedOn w:val="1"/>
    <w:link w:val="39"/>
    <w:unhideWhenUsed/>
    <w:qFormat/>
    <w:uiPriority w:val="99"/>
    <w:pPr>
      <w:spacing w:after="120"/>
    </w:pPr>
    <w:rPr>
      <w:sz w:val="16"/>
      <w:szCs w:val="16"/>
    </w:rPr>
  </w:style>
  <w:style w:type="paragraph" w:styleId="10">
    <w:name w:val="Body Text"/>
    <w:basedOn w:val="1"/>
    <w:next w:val="11"/>
    <w:link w:val="40"/>
    <w:unhideWhenUsed/>
    <w:qFormat/>
    <w:uiPriority w:val="99"/>
    <w:pPr>
      <w:spacing w:after="120"/>
    </w:pPr>
  </w:style>
  <w:style w:type="paragraph" w:customStyle="1" w:styleId="11">
    <w:name w:val="Default"/>
    <w:next w:val="12"/>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3">
    <w:name w:val="Body Text Indent"/>
    <w:basedOn w:val="1"/>
    <w:link w:val="41"/>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2"/>
    <w:qFormat/>
    <w:uiPriority w:val="0"/>
    <w:rPr>
      <w:rFonts w:ascii="宋体" w:hAnsi="Courier New"/>
      <w:kern w:val="0"/>
      <w:sz w:val="20"/>
      <w:szCs w:val="21"/>
    </w:rPr>
  </w:style>
  <w:style w:type="paragraph" w:styleId="17">
    <w:name w:val="Date"/>
    <w:basedOn w:val="1"/>
    <w:next w:val="1"/>
    <w:link w:val="43"/>
    <w:unhideWhenUsed/>
    <w:qFormat/>
    <w:uiPriority w:val="99"/>
    <w:pPr>
      <w:ind w:left="100" w:leftChars="2500"/>
    </w:pPr>
  </w:style>
  <w:style w:type="paragraph" w:styleId="18">
    <w:name w:val="Balloon Text"/>
    <w:basedOn w:val="1"/>
    <w:link w:val="118"/>
    <w:semiHidden/>
    <w:qFormat/>
    <w:uiPriority w:val="99"/>
    <w:rPr>
      <w:sz w:val="18"/>
      <w:szCs w:val="18"/>
    </w:rPr>
  </w:style>
  <w:style w:type="paragraph" w:styleId="19">
    <w:name w:val="footer"/>
    <w:basedOn w:val="1"/>
    <w:link w:val="44"/>
    <w:unhideWhenUsed/>
    <w:qFormat/>
    <w:uiPriority w:val="99"/>
    <w:pPr>
      <w:tabs>
        <w:tab w:val="center" w:pos="4153"/>
        <w:tab w:val="right" w:pos="8306"/>
      </w:tabs>
      <w:snapToGrid w:val="0"/>
      <w:jc w:val="left"/>
    </w:pPr>
    <w:rPr>
      <w:kern w:val="0"/>
      <w:sz w:val="18"/>
      <w:szCs w:val="18"/>
    </w:rPr>
  </w:style>
  <w:style w:type="paragraph" w:styleId="20">
    <w:name w:val="header"/>
    <w:basedOn w:val="1"/>
    <w:link w:val="4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Body Text 2"/>
    <w:basedOn w:val="1"/>
    <w:next w:val="10"/>
    <w:link w:val="120"/>
    <w:unhideWhenUsed/>
    <w:qFormat/>
    <w:uiPriority w:val="99"/>
    <w:pPr>
      <w:spacing w:after="120" w:line="480" w:lineRule="auto"/>
    </w:pPr>
  </w:style>
  <w:style w:type="paragraph" w:styleId="24">
    <w:name w:val="Normal (Web)"/>
    <w:basedOn w:val="1"/>
    <w:unhideWhenUsed/>
    <w:qFormat/>
    <w:uiPriority w:val="99"/>
    <w:rPr>
      <w:rFonts w:ascii="Calibri" w:hAnsi="Calibri"/>
      <w:kern w:val="0"/>
      <w:sz w:val="24"/>
    </w:rPr>
  </w:style>
  <w:style w:type="paragraph" w:styleId="25">
    <w:name w:val="Title"/>
    <w:basedOn w:val="1"/>
    <w:link w:val="133"/>
    <w:qFormat/>
    <w:uiPriority w:val="0"/>
    <w:pPr>
      <w:spacing w:before="240" w:after="60"/>
      <w:jc w:val="center"/>
      <w:outlineLvl w:val="0"/>
    </w:pPr>
    <w:rPr>
      <w:rFonts w:ascii="Arial" w:hAnsi="Arial"/>
      <w:b/>
      <w:sz w:val="32"/>
    </w:rPr>
  </w:style>
  <w:style w:type="paragraph" w:styleId="26">
    <w:name w:val="annotation subject"/>
    <w:basedOn w:val="8"/>
    <w:next w:val="8"/>
    <w:link w:val="46"/>
    <w:qFormat/>
    <w:uiPriority w:val="99"/>
    <w:rPr>
      <w:b/>
      <w:bCs/>
    </w:rPr>
  </w:style>
  <w:style w:type="paragraph" w:styleId="27">
    <w:name w:val="Body Text First Indent"/>
    <w:basedOn w:val="10"/>
    <w:qFormat/>
    <w:uiPriority w:val="99"/>
    <w:pPr>
      <w:spacing w:after="0"/>
      <w:ind w:left="138" w:firstLine="420" w:firstLineChars="100"/>
    </w:pPr>
    <w:rPr>
      <w:rFonts w:ascii="宋体" w:hAnsi="宋体"/>
      <w:sz w:val="28"/>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1">
    <w:name w:val="Strong"/>
    <w:basedOn w:val="30"/>
    <w:qFormat/>
    <w:uiPriority w:val="22"/>
    <w:rPr>
      <w:b/>
    </w:rPr>
  </w:style>
  <w:style w:type="character" w:styleId="32">
    <w:name w:val="FollowedHyperlink"/>
    <w:basedOn w:val="30"/>
    <w:semiHidden/>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qFormat/>
    <w:uiPriority w:val="99"/>
    <w:rPr>
      <w:sz w:val="21"/>
      <w:szCs w:val="21"/>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9"/>
    <w:rPr>
      <w:rFonts w:ascii="Cambria" w:hAnsi="Cambria" w:eastAsia="宋体" w:cs="Times New Roman"/>
      <w:b/>
      <w:bCs/>
      <w:kern w:val="2"/>
      <w:sz w:val="32"/>
      <w:szCs w:val="32"/>
    </w:rPr>
  </w:style>
  <w:style w:type="character" w:customStyle="1" w:styleId="37">
    <w:name w:val="标题 5 Char"/>
    <w:link w:val="5"/>
    <w:qFormat/>
    <w:uiPriority w:val="9"/>
    <w:rPr>
      <w:rFonts w:ascii="Times New Roman" w:hAnsi="Times New Roman"/>
      <w:b/>
      <w:bCs/>
      <w:kern w:val="2"/>
      <w:sz w:val="28"/>
      <w:szCs w:val="28"/>
    </w:rPr>
  </w:style>
  <w:style w:type="character" w:customStyle="1" w:styleId="38">
    <w:name w:val="批注文字 Char"/>
    <w:link w:val="8"/>
    <w:qFormat/>
    <w:uiPriority w:val="0"/>
    <w:rPr>
      <w:rFonts w:ascii="Times New Roman" w:hAnsi="Times New Roman"/>
      <w:kern w:val="2"/>
      <w:sz w:val="21"/>
      <w:szCs w:val="24"/>
    </w:rPr>
  </w:style>
  <w:style w:type="character" w:customStyle="1" w:styleId="39">
    <w:name w:val="正文文本 3 Char"/>
    <w:link w:val="9"/>
    <w:qFormat/>
    <w:uiPriority w:val="99"/>
    <w:rPr>
      <w:rFonts w:ascii="Times New Roman" w:hAnsi="Times New Roman"/>
      <w:kern w:val="2"/>
      <w:sz w:val="16"/>
      <w:szCs w:val="16"/>
    </w:rPr>
  </w:style>
  <w:style w:type="character" w:customStyle="1" w:styleId="40">
    <w:name w:val="正文文本 Char"/>
    <w:link w:val="10"/>
    <w:qFormat/>
    <w:uiPriority w:val="99"/>
    <w:rPr>
      <w:rFonts w:ascii="Times New Roman" w:hAnsi="Times New Roman"/>
      <w:kern w:val="2"/>
      <w:sz w:val="21"/>
      <w:szCs w:val="24"/>
    </w:rPr>
  </w:style>
  <w:style w:type="character" w:customStyle="1" w:styleId="41">
    <w:name w:val="正文文本缩进 Char"/>
    <w:link w:val="13"/>
    <w:qFormat/>
    <w:uiPriority w:val="0"/>
    <w:rPr>
      <w:rFonts w:ascii="仿宋_GB2312" w:hAnsi="Times New Roman" w:eastAsia="仿宋_GB2312" w:cs="Times New Roman"/>
      <w:sz w:val="32"/>
      <w:szCs w:val="20"/>
    </w:rPr>
  </w:style>
  <w:style w:type="character" w:customStyle="1" w:styleId="42">
    <w:name w:val="纯文本 Char"/>
    <w:link w:val="16"/>
    <w:qFormat/>
    <w:uiPriority w:val="0"/>
    <w:rPr>
      <w:rFonts w:ascii="宋体" w:hAnsi="Courier New" w:eastAsia="宋体" w:cs="Courier New"/>
      <w:szCs w:val="21"/>
    </w:rPr>
  </w:style>
  <w:style w:type="character" w:customStyle="1" w:styleId="43">
    <w:name w:val="日期 Char"/>
    <w:link w:val="17"/>
    <w:qFormat/>
    <w:uiPriority w:val="99"/>
    <w:rPr>
      <w:rFonts w:ascii="Times New Roman" w:hAnsi="Times New Roman"/>
      <w:kern w:val="2"/>
      <w:sz w:val="21"/>
      <w:szCs w:val="24"/>
    </w:rPr>
  </w:style>
  <w:style w:type="character" w:customStyle="1" w:styleId="44">
    <w:name w:val="页脚 Char1"/>
    <w:link w:val="19"/>
    <w:qFormat/>
    <w:uiPriority w:val="99"/>
    <w:rPr>
      <w:sz w:val="18"/>
      <w:szCs w:val="18"/>
    </w:rPr>
  </w:style>
  <w:style w:type="character" w:customStyle="1" w:styleId="45">
    <w:name w:val="页眉 Char"/>
    <w:link w:val="20"/>
    <w:qFormat/>
    <w:uiPriority w:val="0"/>
    <w:rPr>
      <w:sz w:val="18"/>
      <w:szCs w:val="18"/>
    </w:rPr>
  </w:style>
  <w:style w:type="character" w:customStyle="1" w:styleId="46">
    <w:name w:val="批注主题 Char"/>
    <w:link w:val="26"/>
    <w:qFormat/>
    <w:uiPriority w:val="99"/>
    <w:rPr>
      <w:rFonts w:ascii="Times New Roman" w:hAnsi="Times New Roman"/>
      <w:b/>
      <w:bCs/>
      <w:kern w:val="2"/>
      <w:sz w:val="21"/>
      <w:szCs w:val="24"/>
    </w:rPr>
  </w:style>
  <w:style w:type="character" w:customStyle="1" w:styleId="47">
    <w:name w:val="正文文本缩进 字符1"/>
    <w:qFormat/>
    <w:uiPriority w:val="0"/>
    <w:rPr>
      <w:rFonts w:ascii="仿宋_GB2312" w:hAnsi="Times New Roman" w:eastAsia="仿宋_GB2312" w:cs="Times New Roman"/>
      <w:sz w:val="32"/>
      <w:szCs w:val="20"/>
    </w:rPr>
  </w:style>
  <w:style w:type="character" w:customStyle="1" w:styleId="48">
    <w:name w:val="apple-style-span"/>
    <w:qFormat/>
    <w:uiPriority w:val="0"/>
  </w:style>
  <w:style w:type="character" w:customStyle="1" w:styleId="49">
    <w:name w:val="标题 1 字符"/>
    <w:qFormat/>
    <w:uiPriority w:val="9"/>
    <w:rPr>
      <w:b/>
      <w:bCs/>
      <w:kern w:val="44"/>
      <w:sz w:val="44"/>
      <w:szCs w:val="44"/>
    </w:rPr>
  </w:style>
  <w:style w:type="character" w:customStyle="1" w:styleId="50">
    <w:name w:val="textcontents"/>
    <w:qFormat/>
    <w:uiPriority w:val="0"/>
  </w:style>
  <w:style w:type="character" w:customStyle="1" w:styleId="51">
    <w:name w:val="纯文本 字符1"/>
    <w:qFormat/>
    <w:uiPriority w:val="0"/>
    <w:rPr>
      <w:rFonts w:ascii="宋体" w:hAnsi="Courier New"/>
    </w:rPr>
  </w:style>
  <w:style w:type="character" w:customStyle="1" w:styleId="52">
    <w:name w:val="批注文字 字符1"/>
    <w:qFormat/>
    <w:uiPriority w:val="0"/>
    <w:rPr>
      <w:kern w:val="2"/>
      <w:sz w:val="21"/>
      <w:szCs w:val="24"/>
    </w:rPr>
  </w:style>
  <w:style w:type="character" w:customStyle="1" w:styleId="53">
    <w:name w:val="纯文本 字符2"/>
    <w:qFormat/>
    <w:uiPriority w:val="0"/>
    <w:rPr>
      <w:rFonts w:ascii="宋体" w:hAnsi="Courier New" w:eastAsia="宋体" w:cs="Courier New"/>
      <w:szCs w:val="21"/>
    </w:rPr>
  </w:style>
  <w:style w:type="character" w:customStyle="1" w:styleId="54">
    <w:name w:val="页脚 Char"/>
    <w:qFormat/>
    <w:uiPriority w:val="99"/>
    <w:rPr>
      <w:lang w:eastAsia="zh-CN"/>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7">
    <w:name w:val="List Paragraph"/>
    <w:basedOn w:val="1"/>
    <w:qFormat/>
    <w:uiPriority w:val="34"/>
    <w:pPr>
      <w:ind w:firstLine="420" w:firstLineChars="200"/>
    </w:pPr>
  </w:style>
  <w:style w:type="paragraph" w:customStyle="1" w:styleId="58">
    <w:name w:val="Table Paragraph"/>
    <w:basedOn w:val="1"/>
    <w:qFormat/>
    <w:uiPriority w:val="1"/>
    <w:pPr>
      <w:jc w:val="left"/>
    </w:pPr>
    <w:rPr>
      <w:rFonts w:ascii="Calibri" w:hAnsi="Calibri"/>
      <w:kern w:val="0"/>
      <w:sz w:val="22"/>
      <w:szCs w:val="22"/>
      <w:lang w:eastAsia="en-US"/>
    </w:rPr>
  </w:style>
  <w:style w:type="character" w:customStyle="1" w:styleId="59">
    <w:name w:val="批注文字 Char1"/>
    <w:qFormat/>
    <w:uiPriority w:val="0"/>
    <w:rPr>
      <w:rFonts w:ascii="Times New Roman" w:hAnsi="Times New Roman"/>
      <w:kern w:val="2"/>
      <w:sz w:val="21"/>
      <w:szCs w:val="24"/>
    </w:rPr>
  </w:style>
  <w:style w:type="character" w:customStyle="1" w:styleId="60">
    <w:name w:val="批注文字 字符2"/>
    <w:qFormat/>
    <w:uiPriority w:val="0"/>
    <w:rPr>
      <w:rFonts w:ascii="Times New Roman" w:hAnsi="Times New Roman"/>
      <w:kern w:val="2"/>
      <w:sz w:val="21"/>
      <w:szCs w:val="24"/>
    </w:rPr>
  </w:style>
  <w:style w:type="character" w:customStyle="1" w:styleId="61">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2">
    <w:name w:val="纯文本 Char1"/>
    <w:qFormat/>
    <w:uiPriority w:val="0"/>
    <w:rPr>
      <w:rFonts w:ascii="宋体" w:hAnsi="Courier New" w:eastAsia="宋体" w:cs="Courier New"/>
      <w:szCs w:val="21"/>
    </w:rPr>
  </w:style>
  <w:style w:type="character" w:customStyle="1" w:styleId="63">
    <w:name w:val="批注文字 Char2"/>
    <w:qFormat/>
    <w:uiPriority w:val="0"/>
    <w:rPr>
      <w:rFonts w:ascii="Times New Roman" w:hAnsi="Times New Roman"/>
      <w:kern w:val="2"/>
      <w:sz w:val="21"/>
      <w:szCs w:val="24"/>
    </w:rPr>
  </w:style>
  <w:style w:type="character" w:customStyle="1" w:styleId="64">
    <w:name w:val="正文2 Char Char"/>
    <w:link w:val="65"/>
    <w:qFormat/>
    <w:uiPriority w:val="0"/>
    <w:rPr>
      <w:kern w:val="2"/>
      <w:sz w:val="24"/>
    </w:rPr>
  </w:style>
  <w:style w:type="paragraph" w:customStyle="1" w:styleId="65">
    <w:name w:val="正文2"/>
    <w:basedOn w:val="1"/>
    <w:link w:val="64"/>
    <w:qFormat/>
    <w:uiPriority w:val="0"/>
    <w:pPr>
      <w:adjustRightInd w:val="0"/>
      <w:spacing w:before="156" w:line="360" w:lineRule="auto"/>
      <w:ind w:firstLine="510" w:firstLineChars="200"/>
    </w:pPr>
    <w:rPr>
      <w:sz w:val="24"/>
      <w:szCs w:val="20"/>
    </w:rPr>
  </w:style>
  <w:style w:type="paragraph" w:customStyle="1" w:styleId="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8">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xl9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1">
    <w:name w:val="xl9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2">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4">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
    <w:name w:val="xl102"/>
    <w:basedOn w:val="1"/>
    <w:qFormat/>
    <w:uiPriority w:val="0"/>
    <w:pPr>
      <w:widowControl/>
      <w:pBdr>
        <w:top w:val="single" w:color="000000" w:sz="4" w:space="0"/>
        <w:left w:val="single" w:color="000000" w:sz="4" w:space="0"/>
        <w:right w:val="single" w:color="000000"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6">
    <w:name w:val="xl1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8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1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xl1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3">
    <w:name w:val="xl12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121"/>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6">
    <w:name w:val="xl123"/>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7">
    <w:name w:val="xl12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99">
    <w:name w:val="xl12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1">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2">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3">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0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10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107">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109">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0">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5">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7">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character" w:customStyle="1" w:styleId="118">
    <w:name w:val="批注框文本 Char"/>
    <w:basedOn w:val="30"/>
    <w:link w:val="18"/>
    <w:semiHidden/>
    <w:qFormat/>
    <w:uiPriority w:val="99"/>
    <w:rPr>
      <w:kern w:val="2"/>
      <w:sz w:val="18"/>
      <w:szCs w:val="18"/>
    </w:rPr>
  </w:style>
  <w:style w:type="character" w:customStyle="1" w:styleId="119">
    <w:name w:val="标题 3 Char"/>
    <w:basedOn w:val="30"/>
    <w:link w:val="4"/>
    <w:qFormat/>
    <w:uiPriority w:val="9"/>
    <w:rPr>
      <w:rFonts w:eastAsia="黑体"/>
      <w:b/>
      <w:bCs/>
      <w:kern w:val="2"/>
      <w:sz w:val="28"/>
      <w:szCs w:val="32"/>
    </w:rPr>
  </w:style>
  <w:style w:type="character" w:customStyle="1" w:styleId="120">
    <w:name w:val="正文文本 2 Char"/>
    <w:basedOn w:val="30"/>
    <w:link w:val="23"/>
    <w:qFormat/>
    <w:uiPriority w:val="99"/>
    <w:rPr>
      <w:kern w:val="2"/>
      <w:sz w:val="21"/>
      <w:szCs w:val="24"/>
    </w:rPr>
  </w:style>
  <w:style w:type="paragraph" w:customStyle="1" w:styleId="121">
    <w:name w:val="正文_0_1"/>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正文首行缩进两字符"/>
    <w:basedOn w:val="1"/>
    <w:qFormat/>
    <w:uiPriority w:val="0"/>
    <w:pPr>
      <w:spacing w:line="360" w:lineRule="auto"/>
      <w:ind w:firstLine="200" w:firstLineChars="200"/>
    </w:pPr>
  </w:style>
  <w:style w:type="paragraph" w:customStyle="1" w:styleId="123">
    <w:name w:val="p0"/>
    <w:basedOn w:val="1"/>
    <w:qFormat/>
    <w:uiPriority w:val="0"/>
    <w:pPr>
      <w:widowControl/>
    </w:pPr>
    <w:rPr>
      <w:sz w:val="24"/>
      <w:szCs w:val="21"/>
    </w:rPr>
  </w:style>
  <w:style w:type="paragraph" w:customStyle="1" w:styleId="12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2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font11"/>
    <w:basedOn w:val="30"/>
    <w:qFormat/>
    <w:uiPriority w:val="0"/>
    <w:rPr>
      <w:rFonts w:hint="eastAsia" w:ascii="宋体" w:hAnsi="宋体" w:eastAsia="宋体" w:cs="宋体"/>
      <w:color w:val="000000"/>
      <w:sz w:val="24"/>
      <w:szCs w:val="24"/>
      <w:u w:val="none"/>
    </w:rPr>
  </w:style>
  <w:style w:type="paragraph" w:customStyle="1" w:styleId="127">
    <w:name w:val="首行缩进"/>
    <w:basedOn w:val="1"/>
    <w:qFormat/>
    <w:uiPriority w:val="0"/>
    <w:pPr>
      <w:ind w:firstLine="480" w:firstLineChars="200"/>
    </w:pPr>
  </w:style>
  <w:style w:type="character" w:customStyle="1" w:styleId="128">
    <w:name w:val="font01"/>
    <w:basedOn w:val="30"/>
    <w:qFormat/>
    <w:uiPriority w:val="0"/>
    <w:rPr>
      <w:rFonts w:hint="eastAsia" w:ascii="宋体" w:hAnsi="宋体" w:eastAsia="宋体" w:cs="宋体"/>
      <w:color w:val="000000"/>
      <w:sz w:val="24"/>
      <w:szCs w:val="24"/>
      <w:u w:val="none"/>
    </w:rPr>
  </w:style>
  <w:style w:type="character" w:customStyle="1" w:styleId="129">
    <w:name w:val="font21"/>
    <w:basedOn w:val="30"/>
    <w:qFormat/>
    <w:uiPriority w:val="0"/>
    <w:rPr>
      <w:rFonts w:hint="eastAsia" w:ascii="宋体" w:hAnsi="宋体" w:eastAsia="宋体" w:cs="宋体"/>
      <w:color w:val="000000"/>
      <w:sz w:val="24"/>
      <w:szCs w:val="24"/>
      <w:u w:val="none"/>
      <w:vertAlign w:val="superscript"/>
    </w:rPr>
  </w:style>
  <w:style w:type="character" w:customStyle="1" w:styleId="130">
    <w:name w:val="font31"/>
    <w:basedOn w:val="30"/>
    <w:qFormat/>
    <w:uiPriority w:val="0"/>
    <w:rPr>
      <w:rFonts w:hint="eastAsia" w:ascii="宋体" w:hAnsi="宋体" w:eastAsia="宋体" w:cs="宋体"/>
      <w:color w:val="000000"/>
      <w:sz w:val="24"/>
      <w:szCs w:val="24"/>
      <w:u w:val="none"/>
      <w:vertAlign w:val="subscript"/>
    </w:rPr>
  </w:style>
  <w:style w:type="paragraph" w:customStyle="1" w:styleId="1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2">
    <w:name w:val="列出段落1"/>
    <w:basedOn w:val="1"/>
    <w:qFormat/>
    <w:uiPriority w:val="0"/>
    <w:pPr>
      <w:ind w:firstLine="420" w:firstLineChars="200"/>
    </w:pPr>
    <w:rPr>
      <w:szCs w:val="21"/>
    </w:rPr>
  </w:style>
  <w:style w:type="character" w:customStyle="1" w:styleId="133">
    <w:name w:val="标题 Char"/>
    <w:basedOn w:val="30"/>
    <w:link w:val="25"/>
    <w:qFormat/>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C004E-88FE-4462-BF22-EE8E0475BF99}">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【2022.2.21审核1】县级快速检测卡采购.dotx</Template>
  <Company>广西云龙招标有限公司</Company>
  <Pages>90</Pages>
  <Words>34610</Words>
  <Characters>37481</Characters>
  <Lines>449</Lines>
  <Paragraphs>126</Paragraphs>
  <TotalTime>142</TotalTime>
  <ScaleCrop>false</ScaleCrop>
  <LinksUpToDate>false</LinksUpToDate>
  <CharactersWithSpaces>37898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2023-12-29T07:21:00Z</dcterms:created>
  <dc:creator>周振新</dc:creator>
  <cp:lastModifiedBy>Mike</cp:lastModifiedBy>
  <cp:lastPrinted>2023-12-25T03:04:00Z</cp:lastPrinted>
  <dcterms:modified xsi:type="dcterms:W3CDTF">2025-06-10T10:27:56Z</dcterms:modified>
  <dc:title>竞争性谈判文件规范</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BA197ABE2D0348BF99EDE24D41E78C85_13</vt:lpwstr>
  </property>
  <property fmtid="{D5CDD505-2E9C-101B-9397-08002B2CF9AE}" pid="4" name="KSOTemplateDocerSaveRecord">
    <vt:lpwstr>eyJoZGlkIjoiMjU2MDI4ZmIwNDExYzhlY2FlMDNkNGE0Yjk1ZmUyOWEiLCJ1c2VySWQiOiIxNTE3MTAwMjI2In0=</vt:lpwstr>
  </property>
</Properties>
</file>