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806A8">
      <w:pPr>
        <w:spacing w:line="360" w:lineRule="auto"/>
        <w:jc w:val="center"/>
        <w:rPr>
          <w:rFonts w:ascii="方正小标宋简体" w:hAnsi="宋体" w:eastAsia="方正小标宋简体"/>
          <w:color w:val="000000" w:themeColor="text1"/>
          <w:sz w:val="52"/>
          <w:szCs w:val="52"/>
          <w14:textFill>
            <w14:solidFill>
              <w14:schemeClr w14:val="tx1"/>
            </w14:solidFill>
          </w14:textFill>
        </w:rPr>
      </w:pPr>
      <w:r>
        <w:rPr>
          <w:rFonts w:hint="eastAsia" w:ascii="方正小标宋简体" w:hAnsi="宋体" w:eastAsia="方正小标宋简体"/>
          <w:color w:val="000000" w:themeColor="text1"/>
          <w:sz w:val="52"/>
          <w:szCs w:val="52"/>
          <w14:textFill>
            <w14:solidFill>
              <w14:schemeClr w14:val="tx1"/>
            </w14:solidFill>
          </w14:textFill>
        </w:rPr>
        <w:t>云之龙咨询集团有限公司</w:t>
      </w:r>
    </w:p>
    <w:p w14:paraId="40D434CC">
      <w:pPr>
        <w:spacing w:line="360" w:lineRule="auto"/>
        <w:jc w:val="center"/>
        <w:rPr>
          <w:rFonts w:ascii="方正小标宋简体" w:hAnsi="宋体" w:eastAsia="方正小标宋简体"/>
          <w:color w:val="000000" w:themeColor="text1"/>
          <w:sz w:val="52"/>
          <w:szCs w:val="52"/>
          <w14:textFill>
            <w14:solidFill>
              <w14:schemeClr w14:val="tx1"/>
            </w14:solidFill>
          </w14:textFill>
        </w:rPr>
      </w:pPr>
    </w:p>
    <w:p w14:paraId="27FA40D1">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46954913">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68212BC0">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5B985A63">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7ED0688B">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1C47A1DF">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0319A7C8">
      <w:pPr>
        <w:pStyle w:val="13"/>
        <w:snapToGrid w:val="0"/>
        <w:spacing w:line="360" w:lineRule="auto"/>
        <w:ind w:left="2678" w:leftChars="564" w:hanging="1494" w:hangingChars="496"/>
        <w:rPr>
          <w:rFonts w:ascii="仿宋_GB2312" w:hAnsi="宋体" w:eastAsia="仿宋_GB2312"/>
          <w:b/>
          <w:bCs/>
          <w:color w:val="000000" w:themeColor="text1"/>
          <w:sz w:val="30"/>
          <w:szCs w:val="30"/>
          <w14:textFill>
            <w14:solidFill>
              <w14:schemeClr w14:val="tx1"/>
            </w14:solidFill>
          </w14:textFill>
        </w:rPr>
      </w:pPr>
      <w:r>
        <w:rPr>
          <w:rFonts w:hint="eastAsia" w:ascii="仿宋_GB2312" w:hAnsi="宋体" w:eastAsia="仿宋_GB2312"/>
          <w:b/>
          <w:bCs/>
          <w:color w:val="000000" w:themeColor="text1"/>
          <w:sz w:val="30"/>
          <w:szCs w:val="30"/>
          <w14:textFill>
            <w14:solidFill>
              <w14:schemeClr w14:val="tx1"/>
            </w14:solidFill>
          </w14:textFill>
        </w:rPr>
        <w:t>项目</w:t>
      </w:r>
      <w:r>
        <w:rPr>
          <w:rFonts w:hint="eastAsia" w:ascii="仿宋_GB2312" w:hAnsi="宋体" w:eastAsia="仿宋_GB2312" w:cs="Courier New"/>
          <w:b/>
          <w:bCs/>
          <w:color w:val="000000" w:themeColor="text1"/>
          <w:w w:val="95"/>
          <w:sz w:val="30"/>
          <w:szCs w:val="30"/>
          <w14:textFill>
            <w14:solidFill>
              <w14:schemeClr w14:val="tx1"/>
            </w14:solidFill>
          </w14:textFill>
        </w:rPr>
        <w:t>名称</w:t>
      </w:r>
      <w:r>
        <w:rPr>
          <w:rFonts w:hint="eastAsia" w:ascii="仿宋_GB2312" w:hAnsi="宋体" w:eastAsia="仿宋_GB2312"/>
          <w:b/>
          <w:bCs/>
          <w:color w:val="000000" w:themeColor="text1"/>
          <w:sz w:val="30"/>
          <w:szCs w:val="30"/>
          <w14:textFill>
            <w14:solidFill>
              <w14:schemeClr w14:val="tx1"/>
            </w14:solidFill>
          </w14:textFill>
        </w:rPr>
        <w:t>：2025年钦州市秸秆焚烧智能化监控系统运维服务</w:t>
      </w:r>
    </w:p>
    <w:p w14:paraId="0A4646E0">
      <w:pPr>
        <w:snapToGrid w:val="0"/>
        <w:spacing w:line="360" w:lineRule="auto"/>
        <w:ind w:firstLine="1145" w:firstLineChars="400"/>
        <w:rPr>
          <w:rFonts w:ascii="仿宋_GB2312" w:hAnsi="宋体" w:eastAsia="仿宋_GB2312"/>
          <w:color w:val="000000" w:themeColor="text1"/>
          <w:sz w:val="30"/>
          <w:szCs w:val="72"/>
          <w14:textFill>
            <w14:solidFill>
              <w14:schemeClr w14:val="tx1"/>
            </w14:solidFill>
          </w14:textFill>
        </w:rPr>
      </w:pPr>
      <w:r>
        <w:rPr>
          <w:rFonts w:hint="eastAsia" w:ascii="仿宋_GB2312" w:hAnsi="宋体" w:eastAsia="仿宋_GB2312" w:cs="Courier New"/>
          <w:b/>
          <w:bCs/>
          <w:color w:val="000000" w:themeColor="text1"/>
          <w:w w:val="95"/>
          <w:sz w:val="30"/>
          <w:szCs w:val="30"/>
          <w14:textFill>
            <w14:solidFill>
              <w14:schemeClr w14:val="tx1"/>
            </w14:solidFill>
          </w14:textFill>
        </w:rPr>
        <w:t>项目</w:t>
      </w:r>
      <w:r>
        <w:rPr>
          <w:rFonts w:hint="eastAsia" w:ascii="仿宋_GB2312" w:hAnsi="宋体" w:eastAsia="仿宋_GB2312"/>
          <w:b/>
          <w:bCs/>
          <w:color w:val="000000" w:themeColor="text1"/>
          <w:sz w:val="30"/>
          <w:szCs w:val="30"/>
          <w14:textFill>
            <w14:solidFill>
              <w14:schemeClr w14:val="tx1"/>
            </w14:solidFill>
          </w14:textFill>
        </w:rPr>
        <w:t>编号</w:t>
      </w:r>
      <w:r>
        <w:rPr>
          <w:rFonts w:hint="eastAsia" w:ascii="仿宋_GB2312" w:hAnsi="宋体" w:eastAsia="仿宋_GB2312" w:cs="Courier New"/>
          <w:b/>
          <w:bCs/>
          <w:color w:val="000000" w:themeColor="text1"/>
          <w:w w:val="95"/>
          <w:sz w:val="30"/>
          <w:szCs w:val="30"/>
          <w14:textFill>
            <w14:solidFill>
              <w14:schemeClr w14:val="tx1"/>
            </w14:solidFill>
          </w14:textFill>
        </w:rPr>
        <w:t>：QZZC2025-C3-990302-YZLZ</w:t>
      </w:r>
    </w:p>
    <w:p w14:paraId="4519C117">
      <w:pPr>
        <w:pStyle w:val="13"/>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r>
        <w:rPr>
          <w:rFonts w:hint="eastAsia" w:ascii="仿宋_GB2312" w:hAnsi="宋体" w:eastAsia="仿宋_GB2312"/>
          <w:b/>
          <w:bCs/>
          <w:color w:val="000000" w:themeColor="text1"/>
          <w:w w:val="95"/>
          <w:sz w:val="30"/>
          <w:szCs w:val="30"/>
          <w14:textFill>
            <w14:solidFill>
              <w14:schemeClr w14:val="tx1"/>
            </w14:solidFill>
          </w14:textFill>
        </w:rPr>
        <w:t>采 购 人：钦州市生态环境局</w:t>
      </w:r>
    </w:p>
    <w:p w14:paraId="0811654B">
      <w:pPr>
        <w:pStyle w:val="13"/>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r>
        <w:rPr>
          <w:rFonts w:hint="eastAsia" w:ascii="仿宋_GB2312" w:hAnsi="宋体" w:eastAsia="仿宋_GB2312"/>
          <w:b/>
          <w:bCs/>
          <w:color w:val="000000" w:themeColor="text1"/>
          <w:w w:val="95"/>
          <w:sz w:val="30"/>
          <w:szCs w:val="30"/>
          <w14:textFill>
            <w14:solidFill>
              <w14:schemeClr w14:val="tx1"/>
            </w14:solidFill>
          </w14:textFill>
        </w:rPr>
        <w:t>采购代理机构：云之龙咨询集团有限公司</w:t>
      </w:r>
    </w:p>
    <w:p w14:paraId="1E679F8D">
      <w:pPr>
        <w:pStyle w:val="13"/>
        <w:snapToGrid w:val="0"/>
        <w:spacing w:line="360" w:lineRule="auto"/>
        <w:rPr>
          <w:rFonts w:ascii="仿宋_GB2312" w:hAnsi="宋体" w:eastAsia="仿宋_GB2312"/>
          <w:b/>
          <w:bCs/>
          <w:color w:val="000000" w:themeColor="text1"/>
          <w:w w:val="95"/>
          <w:sz w:val="30"/>
          <w:szCs w:val="30"/>
          <w14:textFill>
            <w14:solidFill>
              <w14:schemeClr w14:val="tx1"/>
            </w14:solidFill>
          </w14:textFill>
        </w:rPr>
      </w:pPr>
    </w:p>
    <w:p w14:paraId="0860ABA2">
      <w:pPr>
        <w:pStyle w:val="13"/>
        <w:snapToGrid w:val="0"/>
        <w:spacing w:line="360" w:lineRule="auto"/>
        <w:ind w:left="420" w:firstLine="841" w:firstLineChars="294"/>
        <w:rPr>
          <w:rFonts w:ascii="仿宋_GB2312" w:eastAsia="仿宋_GB2312"/>
          <w:color w:val="000000" w:themeColor="text1"/>
          <w:szCs w:val="20"/>
          <w14:textFill>
            <w14:solidFill>
              <w14:schemeClr w14:val="tx1"/>
            </w14:solidFill>
          </w14:textFill>
        </w:rPr>
      </w:pPr>
      <w:r>
        <w:rPr>
          <w:rFonts w:hint="eastAsia" w:ascii="仿宋_GB2312" w:hAnsi="宋体" w:eastAsia="仿宋_GB2312"/>
          <w:b/>
          <w:bCs/>
          <w:color w:val="000000" w:themeColor="text1"/>
          <w:w w:val="95"/>
          <w:sz w:val="30"/>
          <w:szCs w:val="30"/>
          <w14:textFill>
            <w14:solidFill>
              <w14:schemeClr w14:val="tx1"/>
            </w14:solidFill>
          </w14:textFill>
        </w:rPr>
        <w:t xml:space="preserve">               2025年</w:t>
      </w:r>
      <w:r>
        <w:rPr>
          <w:rFonts w:hint="eastAsia" w:ascii="仿宋_GB2312" w:hAnsi="宋体" w:eastAsia="仿宋_GB2312"/>
          <w:b/>
          <w:bCs/>
          <w:color w:val="000000" w:themeColor="text1"/>
          <w:w w:val="95"/>
          <w:sz w:val="30"/>
          <w:szCs w:val="30"/>
          <w:lang w:val="en-US" w:eastAsia="zh-CN"/>
          <w14:textFill>
            <w14:solidFill>
              <w14:schemeClr w14:val="tx1"/>
            </w14:solidFill>
          </w14:textFill>
        </w:rPr>
        <w:t>10</w:t>
      </w:r>
      <w:r>
        <w:rPr>
          <w:rFonts w:hint="eastAsia" w:ascii="仿宋_GB2312" w:hAnsi="宋体" w:eastAsia="仿宋_GB2312"/>
          <w:b/>
          <w:bCs/>
          <w:color w:val="000000" w:themeColor="text1"/>
          <w:w w:val="95"/>
          <w:sz w:val="30"/>
          <w:szCs w:val="30"/>
          <w14:textFill>
            <w14:solidFill>
              <w14:schemeClr w14:val="tx1"/>
            </w14:solidFill>
          </w14:textFill>
        </w:rPr>
        <w:t>月</w:t>
      </w:r>
      <w:r>
        <w:rPr>
          <w:rFonts w:hint="eastAsia" w:ascii="仿宋_GB2312" w:hAnsi="宋体" w:eastAsia="仿宋_GB2312"/>
          <w:b/>
          <w:bCs/>
          <w:color w:val="000000" w:themeColor="text1"/>
          <w:w w:val="95"/>
          <w:sz w:val="30"/>
          <w:szCs w:val="30"/>
          <w:lang w:val="en-US" w:eastAsia="zh-CN"/>
          <w14:textFill>
            <w14:solidFill>
              <w14:schemeClr w14:val="tx1"/>
            </w14:solidFill>
          </w14:textFill>
        </w:rPr>
        <w:t>16</w:t>
      </w:r>
      <w:r>
        <w:rPr>
          <w:rFonts w:hint="eastAsia" w:ascii="仿宋_GB2312" w:hAnsi="宋体" w:eastAsia="仿宋_GB2312"/>
          <w:b/>
          <w:bCs/>
          <w:color w:val="000000" w:themeColor="text1"/>
          <w:w w:val="95"/>
          <w:sz w:val="30"/>
          <w:szCs w:val="30"/>
          <w14:textFill>
            <w14:solidFill>
              <w14:schemeClr w14:val="tx1"/>
            </w14:solidFill>
          </w14:textFill>
        </w:rPr>
        <w:t>日</w:t>
      </w:r>
    </w:p>
    <w:p w14:paraId="7FA51D4C">
      <w:pPr>
        <w:spacing w:line="360" w:lineRule="auto"/>
        <w:jc w:val="center"/>
        <w:rPr>
          <w:rFonts w:ascii="宋体" w:hAnsi="宋体" w:cs="宋体"/>
          <w:b/>
          <w:bCs/>
          <w:color w:val="000000" w:themeColor="text1"/>
          <w:kern w:val="0"/>
          <w:sz w:val="32"/>
          <w:szCs w:val="32"/>
          <w14:textFill>
            <w14:solidFill>
              <w14:schemeClr w14:val="tx1"/>
            </w14:solidFill>
          </w14:textFill>
        </w:rPr>
      </w:pPr>
    </w:p>
    <w:p w14:paraId="7C61D654">
      <w:pPr>
        <w:spacing w:line="360" w:lineRule="auto"/>
        <w:jc w:val="center"/>
        <w:rPr>
          <w:rFonts w:ascii="宋体" w:hAnsi="宋体" w:cs="宋体"/>
          <w:b/>
          <w:bCs/>
          <w:color w:val="000000" w:themeColor="text1"/>
          <w:kern w:val="0"/>
          <w:sz w:val="32"/>
          <w:szCs w:val="32"/>
          <w14:textFill>
            <w14:solidFill>
              <w14:schemeClr w14:val="tx1"/>
            </w14:solidFill>
          </w14:textFill>
        </w:rPr>
      </w:pPr>
    </w:p>
    <w:p w14:paraId="5068601B">
      <w:pPr>
        <w:spacing w:line="360" w:lineRule="auto"/>
        <w:jc w:val="center"/>
        <w:rPr>
          <w:rFonts w:ascii="宋体" w:hAnsi="宋体"/>
          <w:b/>
          <w:color w:val="000000" w:themeColor="text1"/>
          <w:sz w:val="44"/>
          <w:szCs w:val="44"/>
          <w14:textFill>
            <w14:solidFill>
              <w14:schemeClr w14:val="tx1"/>
            </w14:solidFill>
          </w14:textFill>
        </w:rPr>
      </w:pPr>
      <w:r>
        <w:rPr>
          <w:rFonts w:ascii="黑体" w:hAnsi="黑体" w:eastAsia="黑体" w:cs="宋体"/>
          <w:b/>
          <w:bCs/>
          <w:color w:val="000000" w:themeColor="text1"/>
          <w:kern w:val="0"/>
          <w:sz w:val="32"/>
          <w:szCs w:val="32"/>
          <w14:textFill>
            <w14:solidFill>
              <w14:schemeClr w14:val="tx1"/>
            </w14:solidFill>
          </w14:textFill>
        </w:rPr>
        <w:br w:type="page"/>
      </w:r>
    </w:p>
    <w:p w14:paraId="4F3BD4EF">
      <w:pPr>
        <w:spacing w:line="360" w:lineRule="auto"/>
        <w:jc w:val="center"/>
        <w:rPr>
          <w:rFonts w:ascii="宋体" w:hAnsi="宋体"/>
          <w:b/>
          <w:color w:val="000000" w:themeColor="text1"/>
          <w:sz w:val="44"/>
          <w:szCs w:val="44"/>
          <w14:textFill>
            <w14:solidFill>
              <w14:schemeClr w14:val="tx1"/>
            </w14:solidFill>
          </w14:textFill>
        </w:rPr>
      </w:pPr>
    </w:p>
    <w:p w14:paraId="4564A898">
      <w:pPr>
        <w:spacing w:line="360" w:lineRule="auto"/>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41A4ABE8">
      <w:pPr>
        <w:spacing w:line="400" w:lineRule="exact"/>
        <w:jc w:val="center"/>
        <w:rPr>
          <w:rFonts w:ascii="宋体" w:hAnsi="宋体"/>
          <w:b/>
          <w:color w:val="000000" w:themeColor="text1"/>
          <w:sz w:val="44"/>
          <w:szCs w:val="44"/>
          <w14:textFill>
            <w14:solidFill>
              <w14:schemeClr w14:val="tx1"/>
            </w14:solidFill>
          </w14:textFill>
        </w:rPr>
      </w:pPr>
    </w:p>
    <w:p w14:paraId="6563B134">
      <w:pPr>
        <w:pStyle w:val="18"/>
        <w:tabs>
          <w:tab w:val="right" w:leader="dot" w:pos="8879"/>
        </w:tabs>
        <w:rPr>
          <w:color w:val="000000" w:themeColor="text1"/>
          <w:sz w:val="28"/>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fldChar w:fldCharType="begin"/>
      </w:r>
      <w:r>
        <w:rPr>
          <w:rFonts w:hint="eastAsia" w:ascii="宋体" w:hAnsi="宋体"/>
          <w:b/>
          <w:color w:val="000000" w:themeColor="text1"/>
          <w:sz w:val="36"/>
          <w:szCs w:val="36"/>
          <w14:textFill>
            <w14:solidFill>
              <w14:schemeClr w14:val="tx1"/>
            </w14:solidFill>
          </w14:textFill>
        </w:rPr>
        <w:instrText xml:space="preserve">TOC \o "1-3" \h \z \u</w:instrText>
      </w:r>
      <w:r>
        <w:rPr>
          <w:rFonts w:ascii="宋体" w:hAnsi="宋体"/>
          <w:b/>
          <w:color w:val="000000" w:themeColor="text1"/>
          <w:sz w:val="36"/>
          <w:szCs w:val="36"/>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"_Toc27473"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第一章 竞争性磋商公告</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_Toc27473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2</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3C92147F">
      <w:pPr>
        <w:pStyle w:val="18"/>
        <w:tabs>
          <w:tab w:val="right" w:leader="dot" w:pos="8879"/>
        </w:tabs>
        <w:rPr>
          <w:color w:val="000000" w:themeColor="text1"/>
          <w:sz w:val="28"/>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"_Toc332"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第二章 供应商须知</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_Toc332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6</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4B292899">
      <w:pPr>
        <w:pStyle w:val="18"/>
        <w:tabs>
          <w:tab w:val="right" w:leader="dot" w:pos="8879"/>
        </w:tabs>
        <w:rPr>
          <w:color w:val="000000" w:themeColor="text1"/>
          <w:sz w:val="28"/>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"_Toc29402"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第三章 采购需求</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_Toc29402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25</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050754F8">
      <w:pPr>
        <w:pStyle w:val="18"/>
        <w:tabs>
          <w:tab w:val="right" w:leader="dot" w:pos="8879"/>
        </w:tabs>
        <w:rPr>
          <w:color w:val="000000" w:themeColor="text1"/>
          <w:sz w:val="28"/>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"_Toc10276"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第四章  评审程序、评审方法和评审标准</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_Toc10276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35</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05536A57">
      <w:pPr>
        <w:pStyle w:val="18"/>
        <w:tabs>
          <w:tab w:val="right" w:leader="dot" w:pos="8879"/>
        </w:tabs>
        <w:rPr>
          <w:color w:val="000000" w:themeColor="text1"/>
          <w:sz w:val="28"/>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"_Toc15639"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第五章 响应文件格式</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_Toc15639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44</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6C234094">
      <w:pPr>
        <w:pStyle w:val="18"/>
        <w:tabs>
          <w:tab w:val="right" w:leader="dot" w:pos="8879"/>
        </w:tabs>
        <w:rPr>
          <w:color w:val="000000" w:themeColor="text1"/>
          <w:sz w:val="28"/>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"_Toc10171" </w:instrText>
      </w:r>
      <w:r>
        <w:rPr>
          <w:color w:val="000000" w:themeColor="text1"/>
          <w14:textFill>
            <w14:solidFill>
              <w14:schemeClr w14:val="tx1"/>
            </w14:solidFill>
          </w14:textFill>
        </w:rPr>
        <w:fldChar w:fldCharType="separate"/>
      </w:r>
      <w:r>
        <w:rPr>
          <w:rFonts w:hint="eastAsia"/>
          <w:color w:val="000000" w:themeColor="text1"/>
          <w:sz w:val="28"/>
          <w:szCs w:val="36"/>
          <w14:textFill>
            <w14:solidFill>
              <w14:schemeClr w14:val="tx1"/>
            </w14:solidFill>
          </w14:textFill>
        </w:rPr>
        <w:t>第六章 合同文本</w:t>
      </w:r>
      <w:r>
        <w:rPr>
          <w:color w:val="000000" w:themeColor="text1"/>
          <w:sz w:val="28"/>
          <w:szCs w:val="36"/>
          <w14:textFill>
            <w14:solidFill>
              <w14:schemeClr w14:val="tx1"/>
            </w14:solidFill>
          </w14:textFill>
        </w:rPr>
        <w:tab/>
      </w:r>
      <w:r>
        <w:rPr>
          <w:color w:val="000000" w:themeColor="text1"/>
          <w:sz w:val="28"/>
          <w:szCs w:val="36"/>
          <w14:textFill>
            <w14:solidFill>
              <w14:schemeClr w14:val="tx1"/>
            </w14:solidFill>
          </w14:textFill>
        </w:rPr>
        <w:fldChar w:fldCharType="begin"/>
      </w:r>
      <w:r>
        <w:rPr>
          <w:color w:val="000000" w:themeColor="text1"/>
          <w:sz w:val="28"/>
          <w:szCs w:val="36"/>
          <w14:textFill>
            <w14:solidFill>
              <w14:schemeClr w14:val="tx1"/>
            </w14:solidFill>
          </w14:textFill>
        </w:rPr>
        <w:instrText xml:space="preserve"> PAGEREF _Toc10171 \h </w:instrText>
      </w:r>
      <w:r>
        <w:rPr>
          <w:color w:val="000000" w:themeColor="text1"/>
          <w:sz w:val="28"/>
          <w:szCs w:val="36"/>
          <w14:textFill>
            <w14:solidFill>
              <w14:schemeClr w14:val="tx1"/>
            </w14:solidFill>
          </w14:textFill>
        </w:rPr>
        <w:fldChar w:fldCharType="separate"/>
      </w:r>
      <w:r>
        <w:rPr>
          <w:color w:val="000000" w:themeColor="text1"/>
          <w:sz w:val="28"/>
          <w:szCs w:val="36"/>
          <w14:textFill>
            <w14:solidFill>
              <w14:schemeClr w14:val="tx1"/>
            </w14:solidFill>
          </w14:textFill>
        </w:rPr>
        <w:t>69</w:t>
      </w:r>
      <w:r>
        <w:rPr>
          <w:color w:val="000000" w:themeColor="text1"/>
          <w:sz w:val="28"/>
          <w:szCs w:val="36"/>
          <w14:textFill>
            <w14:solidFill>
              <w14:schemeClr w14:val="tx1"/>
            </w14:solidFill>
          </w14:textFill>
        </w:rPr>
        <w:fldChar w:fldCharType="end"/>
      </w:r>
      <w:r>
        <w:rPr>
          <w:color w:val="000000" w:themeColor="text1"/>
          <w:sz w:val="28"/>
          <w:szCs w:val="36"/>
          <w14:textFill>
            <w14:solidFill>
              <w14:schemeClr w14:val="tx1"/>
            </w14:solidFill>
          </w14:textFill>
        </w:rPr>
        <w:fldChar w:fldCharType="end"/>
      </w:r>
    </w:p>
    <w:p w14:paraId="1F7157B7">
      <w:pPr>
        <w:pStyle w:val="19"/>
        <w:tabs>
          <w:tab w:val="right" w:leader="dot" w:pos="8931"/>
          <w:tab w:val="clear" w:pos="8296"/>
        </w:tabs>
        <w:snapToGrid w:val="0"/>
        <w:spacing w:line="500" w:lineRule="atLeast"/>
        <w:ind w:left="0" w:leftChars="0"/>
        <w:rPr>
          <w:rFonts w:ascii="宋体" w:hAnsi="宋体"/>
          <w:b/>
          <w:color w:val="000000" w:themeColor="text1"/>
          <w:sz w:val="24"/>
          <w14:textFill>
            <w14:solidFill>
              <w14:schemeClr w14:val="tx1"/>
            </w14:solidFill>
          </w14:textFill>
        </w:rPr>
      </w:pPr>
      <w:r>
        <w:rPr>
          <w:rFonts w:ascii="宋体" w:hAnsi="宋体"/>
          <w:color w:val="000000" w:themeColor="text1"/>
          <w:sz w:val="28"/>
          <w:szCs w:val="36"/>
          <w14:textFill>
            <w14:solidFill>
              <w14:schemeClr w14:val="tx1"/>
            </w14:solidFill>
          </w14:textFill>
        </w:rPr>
        <w:fldChar w:fldCharType="end"/>
      </w:r>
    </w:p>
    <w:p w14:paraId="5A3EDB53">
      <w:pPr>
        <w:spacing w:line="400" w:lineRule="exact"/>
        <w:jc w:val="left"/>
        <w:rPr>
          <w:rFonts w:ascii="宋体" w:hAnsi="宋体"/>
          <w:b/>
          <w:color w:val="000000" w:themeColor="text1"/>
          <w:sz w:val="32"/>
          <w:szCs w:val="32"/>
          <w14:textFill>
            <w14:solidFill>
              <w14:schemeClr w14:val="tx1"/>
            </w14:solidFill>
          </w14:textFill>
        </w:rPr>
      </w:pPr>
    </w:p>
    <w:p w14:paraId="3870E2CF">
      <w:pPr>
        <w:spacing w:line="400" w:lineRule="exact"/>
        <w:jc w:val="center"/>
        <w:rPr>
          <w:rFonts w:ascii="宋体" w:hAnsi="宋体"/>
          <w:b/>
          <w:color w:val="000000" w:themeColor="text1"/>
          <w:sz w:val="32"/>
          <w:szCs w:val="32"/>
          <w14:textFill>
            <w14:solidFill>
              <w14:schemeClr w14:val="tx1"/>
            </w14:solidFill>
          </w14:textFill>
        </w:rPr>
      </w:pPr>
    </w:p>
    <w:p w14:paraId="5DB9E901">
      <w:pPr>
        <w:spacing w:line="400" w:lineRule="exact"/>
        <w:jc w:val="center"/>
        <w:rPr>
          <w:rFonts w:ascii="宋体" w:hAnsi="宋体"/>
          <w:b/>
          <w:color w:val="000000" w:themeColor="text1"/>
          <w:sz w:val="32"/>
          <w:szCs w:val="32"/>
          <w14:textFill>
            <w14:solidFill>
              <w14:schemeClr w14:val="tx1"/>
            </w14:solidFill>
          </w14:textFill>
        </w:rPr>
      </w:pPr>
    </w:p>
    <w:p w14:paraId="402CA1FB">
      <w:pPr>
        <w:spacing w:line="400" w:lineRule="exact"/>
        <w:jc w:val="center"/>
        <w:rPr>
          <w:rFonts w:ascii="宋体" w:hAnsi="宋体"/>
          <w:b/>
          <w:color w:val="000000" w:themeColor="text1"/>
          <w:sz w:val="32"/>
          <w:szCs w:val="32"/>
          <w14:textFill>
            <w14:solidFill>
              <w14:schemeClr w14:val="tx1"/>
            </w14:solidFill>
          </w14:textFill>
        </w:rPr>
      </w:pPr>
    </w:p>
    <w:p w14:paraId="0B4EF321">
      <w:pPr>
        <w:spacing w:line="400" w:lineRule="exact"/>
        <w:jc w:val="center"/>
        <w:rPr>
          <w:rFonts w:ascii="宋体" w:hAnsi="宋体"/>
          <w:b/>
          <w:color w:val="000000" w:themeColor="text1"/>
          <w:sz w:val="32"/>
          <w:szCs w:val="32"/>
          <w14:textFill>
            <w14:solidFill>
              <w14:schemeClr w14:val="tx1"/>
            </w14:solidFill>
          </w14:textFill>
        </w:rPr>
      </w:pPr>
    </w:p>
    <w:p w14:paraId="310D3F8B">
      <w:pPr>
        <w:spacing w:line="400" w:lineRule="exact"/>
        <w:rPr>
          <w:rFonts w:ascii="宋体" w:hAnsi="宋体"/>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44B7AC8">
      <w:pPr>
        <w:pStyle w:val="2"/>
        <w:jc w:val="center"/>
        <w:rPr>
          <w:color w:val="000000" w:themeColor="text1"/>
          <w14:textFill>
            <w14:solidFill>
              <w14:schemeClr w14:val="tx1"/>
            </w14:solidFill>
          </w14:textFill>
        </w:rPr>
      </w:pPr>
      <w:bookmarkStart w:id="0" w:name="_Toc27473"/>
      <w:r>
        <w:rPr>
          <w:rFonts w:hint="eastAsia"/>
          <w:color w:val="000000" w:themeColor="text1"/>
          <w14:textFill>
            <w14:solidFill>
              <w14:schemeClr w14:val="tx1"/>
            </w14:solidFill>
          </w14:textFill>
        </w:rPr>
        <w:t>第一章 竞争性磋商公告</w:t>
      </w:r>
      <w:bookmarkEnd w:id="0"/>
    </w:p>
    <w:p w14:paraId="3EB228D7">
      <w:pPr>
        <w:spacing w:line="4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竞争性磋商公告</w:t>
      </w:r>
    </w:p>
    <w:p w14:paraId="53D5A64F">
      <w:pPr>
        <w:spacing w:line="440" w:lineRule="exact"/>
        <w:rPr>
          <w:rFonts w:ascii="宋体" w:hAnsi="宋体"/>
          <w:color w:val="000000" w:themeColor="text1"/>
          <w:szCs w:val="21"/>
          <w14:textFill>
            <w14:solidFill>
              <w14:schemeClr w14:val="tx1"/>
            </w14:solidFill>
          </w14:textFill>
        </w:rPr>
      </w:pPr>
    </w:p>
    <w:p w14:paraId="4659F53F">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14:textFill>
            <w14:solidFill>
              <w14:schemeClr w14:val="tx1"/>
            </w14:solidFill>
          </w14:textFill>
        </w:rPr>
      </w:pPr>
      <w:bookmarkStart w:id="1" w:name="_Hlk37430271"/>
      <w:r>
        <w:rPr>
          <w:rFonts w:hint="eastAsia" w:ascii="宋体" w:hAnsi="宋体"/>
          <w:color w:val="000000" w:themeColor="text1"/>
          <w:szCs w:val="21"/>
          <w14:textFill>
            <w14:solidFill>
              <w14:schemeClr w14:val="tx1"/>
            </w14:solidFill>
          </w14:textFill>
        </w:rPr>
        <w:t>项目概况</w:t>
      </w:r>
    </w:p>
    <w:p w14:paraId="042255D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2025年钦州市秸秆焚烧智能化监控系统运维服务</w:t>
      </w:r>
      <w:r>
        <w:rPr>
          <w:rFonts w:hint="eastAsia" w:ascii="宋体" w:hAnsi="宋体"/>
          <w:color w:val="000000" w:themeColor="text1"/>
          <w:szCs w:val="21"/>
          <w14:textFill>
            <w14:solidFill>
              <w14:schemeClr w14:val="tx1"/>
            </w14:solidFill>
          </w14:textFill>
        </w:rPr>
        <w:t xml:space="preserve"> 采购项目的潜在供应商应在广西政府采购云平台（https://www.gcy.zfcg.gxzf.gov.cn/）获取（下载）竞争性磋商文件，并于</w:t>
      </w:r>
      <w:r>
        <w:rPr>
          <w:rFonts w:hint="eastAsia" w:ascii="宋体" w:hAnsi="宋体"/>
          <w:color w:val="000000" w:themeColor="text1"/>
          <w:szCs w:val="21"/>
          <w:u w:val="single"/>
          <w14:textFill>
            <w14:solidFill>
              <w14:schemeClr w14:val="tx1"/>
            </w14:solidFill>
          </w14:textFill>
        </w:rPr>
        <w:t xml:space="preserve"> 2025</w:t>
      </w:r>
      <w:r>
        <w:rPr>
          <w:rFonts w:hint="eastAsia" w:ascii="宋体" w:hAnsi="宋体"/>
          <w:bCs/>
          <w:color w:val="000000" w:themeColor="text1"/>
          <w:szCs w:val="21"/>
          <w:u w:val="single"/>
          <w14:textFill>
            <w14:solidFill>
              <w14:schemeClr w14:val="tx1"/>
            </w14:solidFill>
          </w14:textFill>
        </w:rPr>
        <w:t>年10月27日9 时00分（</w:t>
      </w:r>
      <w:r>
        <w:rPr>
          <w:rFonts w:hint="eastAsia" w:ascii="宋体" w:hAnsi="宋体"/>
          <w:bCs/>
          <w:color w:val="000000" w:themeColor="text1"/>
          <w:szCs w:val="21"/>
          <w14:textFill>
            <w14:solidFill>
              <w14:schemeClr w14:val="tx1"/>
            </w14:solidFill>
          </w14:textFill>
        </w:rPr>
        <w:t>北京时间）前提交（上传）</w:t>
      </w:r>
      <w:r>
        <w:rPr>
          <w:rFonts w:hint="eastAsia" w:ascii="宋体" w:hAnsi="宋体"/>
          <w:color w:val="000000" w:themeColor="text1"/>
          <w:szCs w:val="21"/>
          <w14:textFill>
            <w14:solidFill>
              <w14:schemeClr w14:val="tx1"/>
            </w14:solidFill>
          </w14:textFill>
        </w:rPr>
        <w:t>响应</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w:t>
      </w:r>
    </w:p>
    <w:p w14:paraId="3443FEC9">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2" w:name="_Toc28359089"/>
      <w:bookmarkStart w:id="3" w:name="_Toc71365905"/>
      <w:bookmarkStart w:id="4" w:name="_Toc35393798"/>
      <w:bookmarkStart w:id="5" w:name="_Toc28359012"/>
      <w:bookmarkStart w:id="6" w:name="_Toc35393629"/>
      <w:bookmarkStart w:id="7" w:name="_Toc44229878"/>
      <w:r>
        <w:rPr>
          <w:rFonts w:hint="eastAsia" w:ascii="黑体" w:hAnsi="黑体" w:eastAsia="黑体"/>
          <w:b/>
          <w:color w:val="000000" w:themeColor="text1"/>
          <w:sz w:val="24"/>
          <w14:textFill>
            <w14:solidFill>
              <w14:schemeClr w14:val="tx1"/>
            </w14:solidFill>
          </w14:textFill>
        </w:rPr>
        <w:t>一、项目基本情况</w:t>
      </w:r>
      <w:bookmarkEnd w:id="2"/>
      <w:bookmarkEnd w:id="3"/>
      <w:bookmarkEnd w:id="4"/>
      <w:bookmarkEnd w:id="5"/>
      <w:bookmarkEnd w:id="6"/>
      <w:bookmarkEnd w:id="7"/>
    </w:p>
    <w:p w14:paraId="2F922B27">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QZZC2025-C3-990302-YZLZ</w:t>
      </w:r>
    </w:p>
    <w:p w14:paraId="158E519C">
      <w:pPr>
        <w:spacing w:line="44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Cs/>
          <w:color w:val="000000" w:themeColor="text1"/>
          <w:szCs w:val="21"/>
          <w:u w:val="single"/>
          <w14:textFill>
            <w14:solidFill>
              <w14:schemeClr w14:val="tx1"/>
            </w14:solidFill>
          </w14:textFill>
        </w:rPr>
        <w:t>2025年钦州市秸秆焚烧智能化监控系统运维服务</w:t>
      </w:r>
    </w:p>
    <w:p w14:paraId="0FDD8A5E">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采购方式：竞争性磋商</w:t>
      </w:r>
    </w:p>
    <w:p w14:paraId="4111F092">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预算金额：人民币壹佰壹拾万元整（¥1100000.00）</w:t>
      </w:r>
    </w:p>
    <w:p w14:paraId="6846E242">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最高限价：人民币壹佰壹拾万元整（¥1100000.00）</w:t>
      </w:r>
    </w:p>
    <w:p w14:paraId="0262FA49">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p>
    <w:tbl>
      <w:tblPr>
        <w:tblStyle w:val="22"/>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850"/>
        <w:gridCol w:w="5245"/>
      </w:tblGrid>
      <w:tr w14:paraId="6E7CC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A28831C">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6F3A92AD">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3519EEF5">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数量及</w:t>
            </w:r>
          </w:p>
          <w:p w14:paraId="3EF10D70">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5245" w:type="dxa"/>
            <w:tcBorders>
              <w:top w:val="single" w:color="auto" w:sz="4" w:space="0"/>
              <w:left w:val="single" w:color="auto" w:sz="4" w:space="0"/>
              <w:bottom w:val="single" w:color="auto" w:sz="4" w:space="0"/>
              <w:right w:val="single" w:color="auto" w:sz="4" w:space="0"/>
            </w:tcBorders>
            <w:vAlign w:val="center"/>
          </w:tcPr>
          <w:p w14:paraId="409D52C3">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简要技术需求或者服务要求</w:t>
            </w:r>
          </w:p>
        </w:tc>
      </w:tr>
      <w:tr w14:paraId="3635D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47EAFAA">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985" w:type="dxa"/>
            <w:tcBorders>
              <w:top w:val="single" w:color="auto" w:sz="4" w:space="0"/>
              <w:left w:val="single" w:color="auto" w:sz="4" w:space="0"/>
              <w:bottom w:val="single" w:color="auto" w:sz="4" w:space="0"/>
              <w:right w:val="single" w:color="auto" w:sz="4" w:space="0"/>
            </w:tcBorders>
            <w:vAlign w:val="center"/>
          </w:tcPr>
          <w:p w14:paraId="4B25D583">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2025年钦州市秸秆焚烧智能化监控系统运维服务</w:t>
            </w:r>
          </w:p>
        </w:tc>
        <w:tc>
          <w:tcPr>
            <w:tcW w:w="850" w:type="dxa"/>
            <w:tcBorders>
              <w:top w:val="single" w:color="auto" w:sz="4" w:space="0"/>
              <w:left w:val="single" w:color="auto" w:sz="4" w:space="0"/>
              <w:bottom w:val="single" w:color="auto" w:sz="4" w:space="0"/>
              <w:right w:val="single" w:color="auto" w:sz="4" w:space="0"/>
            </w:tcBorders>
            <w:vAlign w:val="center"/>
          </w:tcPr>
          <w:p w14:paraId="057CEABE">
            <w:pPr>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244640EF">
            <w:pPr>
              <w:pStyle w:val="66"/>
              <w:spacing w:line="520" w:lineRule="exact"/>
              <w:ind w:firstLine="420"/>
              <w:jc w:val="left"/>
              <w:rPr>
                <w:rFonts w:ascii="宋体" w:hAnsi="宋体"/>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钦州市从2021年开始建设秸秆焚烧智能化监控项目，共进行了四期建设，建成监控摄像头36个及相关存储及服务平台，一期建设15个监控点位、二期建设4个监控点位、三期建设13个监控点位、四期建设4个监控点位。为提升秸秆焚烧智能化管控水平，本次采购内容包括提供秸秆管理平台运维服务、36套设备延保服务、网络传输服务、挂载服务及电力使用等服务，具体详见竞争性磋商文件。</w:t>
            </w:r>
          </w:p>
        </w:tc>
      </w:tr>
    </w:tbl>
    <w:p w14:paraId="4A6D507A">
      <w:pPr>
        <w:spacing w:line="4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合同履行期限：合同签订之日起至2026年10月31日。</w:t>
      </w:r>
    </w:p>
    <w:p w14:paraId="5EB535FB">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rFonts w:ascii="宋体" w:hAnsi="宋体"/>
          <w:color w:val="000000" w:themeColor="text1"/>
          <w:szCs w:val="21"/>
          <w14:textFill>
            <w14:solidFill>
              <w14:schemeClr w14:val="tx1"/>
            </w14:solidFill>
          </w14:textFill>
        </w:rPr>
        <w:t>否</w:t>
      </w:r>
      <w:r>
        <w:rPr>
          <w:rFonts w:hint="eastAsia" w:ascii="宋体" w:hAnsi="宋体"/>
          <w:color w:val="000000" w:themeColor="text1"/>
          <w:szCs w:val="21"/>
          <w14:textFill>
            <w14:solidFill>
              <w14:schemeClr w14:val="tx1"/>
            </w14:solidFill>
          </w14:textFill>
        </w:rPr>
        <w:t>）接受联合体</w:t>
      </w:r>
    </w:p>
    <w:p w14:paraId="68E4B9F8">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8" w:name="_Toc44229879"/>
      <w:bookmarkStart w:id="9" w:name="_Toc28359090"/>
      <w:bookmarkStart w:id="10" w:name="_Toc71365906"/>
      <w:bookmarkStart w:id="11" w:name="_Toc28359013"/>
      <w:bookmarkStart w:id="12" w:name="_Toc35393799"/>
      <w:bookmarkStart w:id="13" w:name="_Toc35393630"/>
      <w:r>
        <w:rPr>
          <w:rFonts w:hint="eastAsia" w:ascii="黑体" w:hAnsi="黑体" w:eastAsia="黑体"/>
          <w:b/>
          <w:color w:val="000000" w:themeColor="text1"/>
          <w:sz w:val="24"/>
          <w14:textFill>
            <w14:solidFill>
              <w14:schemeClr w14:val="tx1"/>
            </w14:solidFill>
          </w14:textFill>
        </w:rPr>
        <w:t>二、申请人的资格条件：</w:t>
      </w:r>
      <w:bookmarkEnd w:id="8"/>
      <w:bookmarkEnd w:id="9"/>
      <w:bookmarkEnd w:id="10"/>
      <w:bookmarkEnd w:id="11"/>
      <w:bookmarkEnd w:id="12"/>
      <w:bookmarkEnd w:id="13"/>
    </w:p>
    <w:p w14:paraId="29BF4C7E">
      <w:pPr>
        <w:spacing w:line="440" w:lineRule="exact"/>
        <w:ind w:firstLine="420" w:firstLineChars="200"/>
        <w:rPr>
          <w:rFonts w:ascii="宋体" w:hAnsi="宋体"/>
          <w:color w:val="000000" w:themeColor="text1"/>
          <w:szCs w:val="21"/>
          <w14:textFill>
            <w14:solidFill>
              <w14:schemeClr w14:val="tx1"/>
            </w14:solidFill>
          </w14:textFill>
        </w:rPr>
      </w:pPr>
      <w:bookmarkStart w:id="14" w:name="_Toc28359091"/>
      <w:bookmarkStart w:id="15" w:name="_Toc35393631"/>
      <w:bookmarkStart w:id="16" w:name="_Toc28359014"/>
      <w:bookmarkStart w:id="17" w:name="_Toc35393800"/>
      <w:bookmarkStart w:id="18" w:name="_Toc44229880"/>
      <w:r>
        <w:rPr>
          <w:rFonts w:hint="eastAsia" w:ascii="宋体" w:hAnsi="宋体"/>
          <w:color w:val="000000" w:themeColor="text1"/>
          <w:szCs w:val="21"/>
          <w14:textFill>
            <w14:solidFill>
              <w14:schemeClr w14:val="tx1"/>
            </w14:solidFill>
          </w14:textFill>
        </w:rPr>
        <w:t>1.满足《中华人民共和国政府采购法》第二十二条规定；</w:t>
      </w:r>
    </w:p>
    <w:p w14:paraId="2AE638BE">
      <w:pPr>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.落实政府采购政策需满足的资格要求：</w:t>
      </w:r>
      <w:r>
        <w:rPr>
          <w:rFonts w:hint="eastAsia" w:ascii="宋体" w:hAnsi="宋体"/>
          <w:color w:val="000000" w:themeColor="text1"/>
          <w:szCs w:val="21"/>
          <w:u w:val="single"/>
          <w14:textFill>
            <w14:solidFill>
              <w14:schemeClr w14:val="tx1"/>
            </w14:solidFill>
          </w14:textFill>
        </w:rPr>
        <w:t>无</w:t>
      </w:r>
    </w:p>
    <w:p w14:paraId="5D1BA8FD">
      <w:pPr>
        <w:spacing w:line="4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w:t>
      </w:r>
      <w:r>
        <w:rPr>
          <w:rFonts w:hint="eastAsia" w:ascii="宋体" w:hAnsi="宋体"/>
          <w:color w:val="000000" w:themeColor="text1"/>
          <w:szCs w:val="21"/>
          <w:u w:val="single"/>
          <w14:textFill>
            <w14:solidFill>
              <w14:schemeClr w14:val="tx1"/>
            </w14:solidFill>
          </w14:textFill>
        </w:rPr>
        <w:t>无</w:t>
      </w:r>
    </w:p>
    <w:p w14:paraId="092ED532">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19" w:name="_Toc71365907"/>
      <w:r>
        <w:rPr>
          <w:rFonts w:hint="eastAsia" w:ascii="黑体" w:hAnsi="黑体" w:eastAsia="黑体"/>
          <w:b/>
          <w:color w:val="000000" w:themeColor="text1"/>
          <w:sz w:val="24"/>
          <w14:textFill>
            <w14:solidFill>
              <w14:schemeClr w14:val="tx1"/>
            </w14:solidFill>
          </w14:textFill>
        </w:rPr>
        <w:t>三、获取竞争性磋商文件</w:t>
      </w:r>
      <w:bookmarkEnd w:id="14"/>
      <w:bookmarkEnd w:id="15"/>
      <w:bookmarkEnd w:id="16"/>
      <w:bookmarkEnd w:id="17"/>
      <w:bookmarkEnd w:id="18"/>
      <w:bookmarkEnd w:id="19"/>
    </w:p>
    <w:p w14:paraId="64B58620">
      <w:pPr>
        <w:spacing w:line="440" w:lineRule="exact"/>
        <w:ind w:firstLine="420" w:firstLineChars="200"/>
        <w:rPr>
          <w:rFonts w:ascii="宋体" w:hAnsi="宋体" w:cs="宋体"/>
          <w:bCs/>
          <w:color w:val="000000" w:themeColor="text1"/>
          <w:kern w:val="0"/>
          <w:szCs w:val="21"/>
          <w14:textFill>
            <w14:solidFill>
              <w14:schemeClr w14:val="tx1"/>
            </w14:solidFill>
          </w14:textFill>
        </w:rPr>
      </w:pPr>
      <w:bookmarkStart w:id="20" w:name="_Toc28359092"/>
      <w:bookmarkStart w:id="21" w:name="_Toc44229881"/>
      <w:bookmarkStart w:id="22" w:name="_Toc35393632"/>
      <w:bookmarkStart w:id="23" w:name="_Toc28359015"/>
      <w:bookmarkStart w:id="24" w:name="_Toc35393801"/>
      <w:r>
        <w:rPr>
          <w:rFonts w:hint="eastAsia" w:ascii="宋体" w:hAnsi="宋体" w:cs="宋体"/>
          <w:bCs/>
          <w:color w:val="000000" w:themeColor="text1"/>
          <w:kern w:val="0"/>
          <w:szCs w:val="21"/>
          <w14:textFill>
            <w14:solidFill>
              <w14:schemeClr w14:val="tx1"/>
            </w14:solidFill>
          </w14:textFill>
        </w:rPr>
        <w:t>时间：</w:t>
      </w:r>
      <w:r>
        <w:rPr>
          <w:rFonts w:hint="eastAsia" w:ascii="宋体" w:hAnsi="宋体"/>
          <w:bCs/>
          <w:color w:val="000000" w:themeColor="text1"/>
          <w:szCs w:val="21"/>
          <w:u w:val="single"/>
          <w14:textFill>
            <w14:solidFill>
              <w14:schemeClr w14:val="tx1"/>
            </w14:solidFill>
          </w14:textFill>
        </w:rPr>
        <w:t>2025年10月16日</w:t>
      </w:r>
      <w:r>
        <w:rPr>
          <w:rFonts w:hint="eastAsia" w:ascii="宋体" w:hAnsi="宋体" w:cs="宋体"/>
          <w:bCs/>
          <w:color w:val="000000" w:themeColor="text1"/>
          <w:kern w:val="0"/>
          <w:szCs w:val="21"/>
          <w14:textFill>
            <w14:solidFill>
              <w14:schemeClr w14:val="tx1"/>
            </w14:solidFill>
          </w14:textFill>
        </w:rPr>
        <w:t>至</w:t>
      </w:r>
      <w:r>
        <w:rPr>
          <w:rFonts w:hint="eastAsia" w:ascii="宋体" w:hAnsi="宋体"/>
          <w:bCs/>
          <w:color w:val="000000" w:themeColor="text1"/>
          <w:szCs w:val="21"/>
          <w:u w:val="single"/>
          <w14:textFill>
            <w14:solidFill>
              <w14:schemeClr w14:val="tx1"/>
            </w14:solidFill>
          </w14:textFill>
        </w:rPr>
        <w:t xml:space="preserve"> 2025年10月23日</w:t>
      </w:r>
      <w:r>
        <w:rPr>
          <w:rFonts w:hint="eastAsia" w:ascii="宋体" w:hAnsi="宋体" w:cs="宋体"/>
          <w:bCs/>
          <w:color w:val="000000" w:themeColor="text1"/>
          <w:kern w:val="0"/>
          <w:szCs w:val="21"/>
          <w14:textFill>
            <w14:solidFill>
              <w14:schemeClr w14:val="tx1"/>
            </w14:solidFill>
          </w14:textFill>
        </w:rPr>
        <w:t>，每天上午</w:t>
      </w:r>
      <w:r>
        <w:rPr>
          <w:rFonts w:hint="eastAsia" w:ascii="宋体" w:hAnsi="宋体" w:cs="宋体"/>
          <w:bCs/>
          <w:color w:val="000000" w:themeColor="text1"/>
          <w:kern w:val="0"/>
          <w:szCs w:val="21"/>
          <w:u w:val="single"/>
          <w14:textFill>
            <w14:solidFill>
              <w14:schemeClr w14:val="tx1"/>
            </w14:solidFill>
          </w14:textFill>
        </w:rPr>
        <w:t>8：00</w:t>
      </w:r>
      <w:r>
        <w:rPr>
          <w:rFonts w:hint="eastAsia" w:ascii="宋体" w:hAnsi="宋体" w:cs="宋体"/>
          <w:bCs/>
          <w:color w:val="000000" w:themeColor="text1"/>
          <w:kern w:val="0"/>
          <w:szCs w:val="21"/>
          <w14:textFill>
            <w14:solidFill>
              <w14:schemeClr w14:val="tx1"/>
            </w14:solidFill>
          </w14:textFill>
        </w:rPr>
        <w:t>至</w:t>
      </w:r>
      <w:r>
        <w:rPr>
          <w:rFonts w:hint="eastAsia" w:ascii="宋体" w:hAnsi="宋体" w:cs="宋体"/>
          <w:bCs/>
          <w:color w:val="000000" w:themeColor="text1"/>
          <w:kern w:val="0"/>
          <w:szCs w:val="21"/>
          <w:u w:val="single"/>
          <w14:textFill>
            <w14:solidFill>
              <w14:schemeClr w14:val="tx1"/>
            </w14:solidFill>
          </w14:textFill>
        </w:rPr>
        <w:t>12:00</w:t>
      </w:r>
      <w:r>
        <w:rPr>
          <w:rFonts w:hint="eastAsia" w:ascii="宋体" w:hAnsi="宋体" w:cs="宋体"/>
          <w:bCs/>
          <w:color w:val="000000" w:themeColor="text1"/>
          <w:kern w:val="0"/>
          <w:szCs w:val="21"/>
          <w14:textFill>
            <w14:solidFill>
              <w14:schemeClr w14:val="tx1"/>
            </w14:solidFill>
          </w14:textFill>
        </w:rPr>
        <w:t>，下午</w:t>
      </w:r>
      <w:r>
        <w:rPr>
          <w:rFonts w:hint="eastAsia" w:ascii="宋体" w:hAnsi="宋体" w:cs="宋体"/>
          <w:bCs/>
          <w:color w:val="000000" w:themeColor="text1"/>
          <w:kern w:val="0"/>
          <w:szCs w:val="21"/>
          <w:u w:val="single"/>
          <w14:textFill>
            <w14:solidFill>
              <w14:schemeClr w14:val="tx1"/>
            </w14:solidFill>
          </w14:textFill>
        </w:rPr>
        <w:t>3:00</w:t>
      </w:r>
      <w:r>
        <w:rPr>
          <w:rFonts w:hint="eastAsia" w:ascii="宋体" w:hAnsi="宋体" w:cs="宋体"/>
          <w:bCs/>
          <w:color w:val="000000" w:themeColor="text1"/>
          <w:kern w:val="0"/>
          <w:szCs w:val="21"/>
          <w14:textFill>
            <w14:solidFill>
              <w14:schemeClr w14:val="tx1"/>
            </w14:solidFill>
          </w14:textFill>
        </w:rPr>
        <w:t>至</w:t>
      </w:r>
      <w:r>
        <w:rPr>
          <w:rFonts w:hint="eastAsia" w:ascii="宋体" w:hAnsi="宋体" w:cs="宋体"/>
          <w:bCs/>
          <w:color w:val="000000" w:themeColor="text1"/>
          <w:kern w:val="0"/>
          <w:szCs w:val="21"/>
          <w:u w:val="single"/>
          <w14:textFill>
            <w14:solidFill>
              <w14:schemeClr w14:val="tx1"/>
            </w14:solidFill>
          </w14:textFill>
        </w:rPr>
        <w:t>6:00　</w:t>
      </w:r>
      <w:r>
        <w:rPr>
          <w:rFonts w:hint="eastAsia" w:ascii="宋体" w:hAnsi="宋体" w:cs="宋体"/>
          <w:bCs/>
          <w:color w:val="000000" w:themeColor="text1"/>
          <w:kern w:val="0"/>
          <w:szCs w:val="21"/>
          <w14:textFill>
            <w14:solidFill>
              <w14:schemeClr w14:val="tx1"/>
            </w14:solidFill>
          </w14:textFill>
        </w:rPr>
        <w:t>（北京时间，</w:t>
      </w:r>
      <w:r>
        <w:rPr>
          <w:rFonts w:ascii="宋体" w:hAnsi="宋体" w:cs="宋体"/>
          <w:bCs/>
          <w:color w:val="000000" w:themeColor="text1"/>
          <w:kern w:val="0"/>
          <w:szCs w:val="21"/>
          <w14:textFill>
            <w14:solidFill>
              <w14:schemeClr w14:val="tx1"/>
            </w14:solidFill>
          </w14:textFill>
        </w:rPr>
        <w:t>法定节假日</w:t>
      </w:r>
      <w:r>
        <w:rPr>
          <w:rFonts w:hint="eastAsia" w:ascii="宋体" w:hAnsi="宋体" w:cs="宋体"/>
          <w:bCs/>
          <w:color w:val="000000" w:themeColor="text1"/>
          <w:kern w:val="0"/>
          <w:szCs w:val="21"/>
          <w14:textFill>
            <w14:solidFill>
              <w14:schemeClr w14:val="tx1"/>
            </w14:solidFill>
          </w14:textFill>
        </w:rPr>
        <w:t>除外）</w:t>
      </w:r>
    </w:p>
    <w:p w14:paraId="22E764D9">
      <w:pPr>
        <w:spacing w:line="440" w:lineRule="exact"/>
        <w:ind w:firstLine="420" w:firstLineChars="20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地点：广西政府采购云平台（https://www.gcy.zfcg.gxzf.gov.cn/）</w:t>
      </w:r>
    </w:p>
    <w:p w14:paraId="2214AFE7">
      <w:pPr>
        <w:spacing w:line="440" w:lineRule="exact"/>
        <w:ind w:firstLine="420" w:firstLineChars="200"/>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14:textFill>
            <w14:solidFill>
              <w14:schemeClr w14:val="tx1"/>
            </w14:solidFill>
          </w14:textFill>
        </w:rPr>
        <w:t>电子</w:t>
      </w:r>
      <w:r>
        <w:rPr>
          <w:rFonts w:hint="eastAsia"/>
          <w:color w:val="000000" w:themeColor="text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制作需要基于广西政府采购云平台获取的磋商文件编制，</w:t>
      </w:r>
      <w:r>
        <w:rPr>
          <w:rFonts w:hint="eastAsia" w:ascii="宋体" w:hAnsi="宋体" w:cs="宋体"/>
          <w:bCs/>
          <w:color w:val="000000" w:themeColor="text1"/>
          <w:kern w:val="0"/>
          <w:szCs w:val="21"/>
          <w14:textFill>
            <w14:solidFill>
              <w14:schemeClr w14:val="tx1"/>
            </w14:solidFill>
          </w14:textFill>
        </w:rPr>
        <w:t>通过其他方式获取磋商文件的，将有可能导致供应商无法在广西政府采购云平台编制及上传响应文件。</w:t>
      </w:r>
    </w:p>
    <w:p w14:paraId="0EACE6F2">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售价：</w:t>
      </w:r>
      <w:r>
        <w:rPr>
          <w:rFonts w:hint="eastAsia" w:ascii="宋体" w:hAnsi="宋体" w:cs="宋体"/>
          <w:i/>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元</w:t>
      </w:r>
    </w:p>
    <w:p w14:paraId="1A2483F8">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25" w:name="_Toc71365908"/>
      <w:r>
        <w:rPr>
          <w:rFonts w:hint="eastAsia" w:ascii="黑体" w:hAnsi="黑体" w:eastAsia="黑体"/>
          <w:b/>
          <w:color w:val="000000" w:themeColor="text1"/>
          <w:sz w:val="24"/>
          <w14:textFill>
            <w14:solidFill>
              <w14:schemeClr w14:val="tx1"/>
            </w14:solidFill>
          </w14:textFill>
        </w:rPr>
        <w:t>四、响应文件提交</w:t>
      </w:r>
      <w:bookmarkEnd w:id="20"/>
      <w:bookmarkEnd w:id="21"/>
      <w:bookmarkEnd w:id="22"/>
      <w:bookmarkEnd w:id="23"/>
      <w:bookmarkEnd w:id="24"/>
      <w:bookmarkEnd w:id="25"/>
    </w:p>
    <w:p w14:paraId="05E78176">
      <w:pPr>
        <w:spacing w:line="440" w:lineRule="exact"/>
        <w:ind w:firstLine="420" w:firstLineChars="200"/>
        <w:rPr>
          <w:rFonts w:ascii="宋体" w:hAnsi="宋体" w:cs="宋体"/>
          <w:color w:val="000000" w:themeColor="text1"/>
          <w:szCs w:val="21"/>
          <w:u w:val="single"/>
          <w14:textFill>
            <w14:solidFill>
              <w14:schemeClr w14:val="tx1"/>
            </w14:solidFill>
          </w14:textFill>
        </w:rPr>
      </w:pPr>
      <w:bookmarkStart w:id="26" w:name="_Toc28359093"/>
      <w:bookmarkStart w:id="27" w:name="_Toc44229882"/>
      <w:bookmarkStart w:id="28" w:name="_Toc35393802"/>
      <w:bookmarkStart w:id="29" w:name="_Toc35393633"/>
      <w:bookmarkStart w:id="30" w:name="_Toc28359016"/>
      <w:r>
        <w:rPr>
          <w:rFonts w:hint="eastAsia" w:ascii="宋体" w:hAnsi="宋体"/>
          <w:color w:val="000000" w:themeColor="text1"/>
          <w:szCs w:val="21"/>
          <w14:textFill>
            <w14:solidFill>
              <w14:schemeClr w14:val="tx1"/>
            </w14:solidFill>
          </w14:textFill>
        </w:rPr>
        <w:t>截止时间：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2025</w:t>
      </w:r>
      <w:r>
        <w:rPr>
          <w:rFonts w:hint="eastAsia" w:ascii="宋体" w:hAnsi="宋体"/>
          <w:bCs/>
          <w:color w:val="000000" w:themeColor="text1"/>
          <w:szCs w:val="21"/>
          <w:u w:val="single"/>
          <w14:textFill>
            <w14:solidFill>
              <w14:schemeClr w14:val="tx1"/>
            </w14:solidFill>
          </w14:textFill>
        </w:rPr>
        <w:t>年10月27日9 时00分</w:t>
      </w:r>
      <w:r>
        <w:rPr>
          <w:rFonts w:hint="eastAsia" w:ascii="宋体" w:hAnsi="宋体"/>
          <w:bCs/>
          <w:color w:val="000000" w:themeColor="text1"/>
          <w:szCs w:val="21"/>
          <w14:textFill>
            <w14:solidFill>
              <w14:schemeClr w14:val="tx1"/>
            </w14:solidFill>
          </w14:textFill>
        </w:rPr>
        <w:t>（北京时间）</w:t>
      </w:r>
    </w:p>
    <w:p w14:paraId="1D5E4078">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地点：广西政府采购云平台</w:t>
      </w:r>
      <w:r>
        <w:rPr>
          <w:rFonts w:hint="eastAsia" w:ascii="宋体" w:hAnsi="宋体" w:cs="宋体"/>
          <w:bCs/>
          <w:color w:val="000000" w:themeColor="text1"/>
          <w:kern w:val="0"/>
          <w:szCs w:val="21"/>
          <w14:textFill>
            <w14:solidFill>
              <w14:schemeClr w14:val="tx1"/>
            </w14:solidFill>
          </w14:textFill>
        </w:rPr>
        <w:t>（https://www.gcy.zfcg.gxzf.gov.cn/）</w:t>
      </w:r>
    </w:p>
    <w:p w14:paraId="43DC02B3">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31" w:name="_Toc71365909"/>
      <w:r>
        <w:rPr>
          <w:rFonts w:hint="eastAsia" w:ascii="黑体" w:hAnsi="黑体" w:eastAsia="黑体"/>
          <w:b/>
          <w:color w:val="000000" w:themeColor="text1"/>
          <w:sz w:val="24"/>
          <w14:textFill>
            <w14:solidFill>
              <w14:schemeClr w14:val="tx1"/>
            </w14:solidFill>
          </w14:textFill>
        </w:rPr>
        <w:t>五、开启</w:t>
      </w:r>
      <w:bookmarkEnd w:id="26"/>
      <w:bookmarkEnd w:id="27"/>
      <w:bookmarkEnd w:id="28"/>
      <w:bookmarkEnd w:id="29"/>
      <w:bookmarkEnd w:id="30"/>
      <w:bookmarkEnd w:id="31"/>
    </w:p>
    <w:p w14:paraId="6A607553">
      <w:pPr>
        <w:spacing w:line="44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时间：</w:t>
      </w:r>
      <w:r>
        <w:rPr>
          <w:rFonts w:hint="eastAsia" w:ascii="宋体" w:hAnsi="宋体"/>
          <w:color w:val="000000" w:themeColor="text1"/>
          <w:szCs w:val="21"/>
          <w:u w:val="single"/>
          <w14:textFill>
            <w14:solidFill>
              <w14:schemeClr w14:val="tx1"/>
            </w14:solidFill>
          </w14:textFill>
        </w:rPr>
        <w:t>2025</w:t>
      </w:r>
      <w:r>
        <w:rPr>
          <w:rFonts w:hint="eastAsia" w:ascii="宋体" w:hAnsi="宋体"/>
          <w:bCs/>
          <w:color w:val="000000" w:themeColor="text1"/>
          <w:szCs w:val="21"/>
          <w:u w:val="single"/>
          <w14:textFill>
            <w14:solidFill>
              <w14:schemeClr w14:val="tx1"/>
            </w14:solidFill>
          </w14:textFill>
        </w:rPr>
        <w:t>年10月27日9 时00分</w:t>
      </w:r>
      <w:r>
        <w:rPr>
          <w:rFonts w:hint="eastAsia" w:ascii="宋体" w:hAnsi="宋体"/>
          <w:bCs/>
          <w:color w:val="000000" w:themeColor="text1"/>
          <w:szCs w:val="21"/>
          <w14:textFill>
            <w14:solidFill>
              <w14:schemeClr w14:val="tx1"/>
            </w14:solidFill>
          </w14:textFill>
        </w:rPr>
        <w:t>（北京时间）</w:t>
      </w:r>
    </w:p>
    <w:p w14:paraId="1181EB5D">
      <w:pPr>
        <w:spacing w:line="44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地点：广西政府采购云平台</w:t>
      </w:r>
      <w:r>
        <w:rPr>
          <w:rFonts w:hint="eastAsia" w:ascii="宋体" w:hAnsi="宋体" w:cs="宋体"/>
          <w:bCs/>
          <w:color w:val="000000" w:themeColor="text1"/>
          <w:kern w:val="0"/>
          <w:szCs w:val="21"/>
          <w14:textFill>
            <w14:solidFill>
              <w14:schemeClr w14:val="tx1"/>
            </w14:solidFill>
          </w14:textFill>
        </w:rPr>
        <w:t>（https://www.gcy.zfcg.gxzf.gov.cn/）</w:t>
      </w:r>
    </w:p>
    <w:p w14:paraId="402F0C14">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32" w:name="_Toc28359094"/>
      <w:bookmarkStart w:id="33" w:name="_Toc35393803"/>
      <w:bookmarkStart w:id="34" w:name="_Toc35393634"/>
      <w:bookmarkStart w:id="35" w:name="_Toc71365910"/>
      <w:bookmarkStart w:id="36" w:name="_Toc44229883"/>
      <w:bookmarkStart w:id="37" w:name="_Toc28359017"/>
      <w:r>
        <w:rPr>
          <w:rFonts w:hint="eastAsia" w:ascii="黑体" w:hAnsi="黑体" w:eastAsia="黑体"/>
          <w:b/>
          <w:color w:val="000000" w:themeColor="text1"/>
          <w:sz w:val="24"/>
          <w14:textFill>
            <w14:solidFill>
              <w14:schemeClr w14:val="tx1"/>
            </w14:solidFill>
          </w14:textFill>
        </w:rPr>
        <w:t>六、公告期限</w:t>
      </w:r>
      <w:bookmarkEnd w:id="32"/>
      <w:bookmarkEnd w:id="33"/>
      <w:bookmarkEnd w:id="34"/>
      <w:bookmarkEnd w:id="35"/>
      <w:bookmarkEnd w:id="36"/>
      <w:bookmarkEnd w:id="37"/>
    </w:p>
    <w:p w14:paraId="67EF2511">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5C6DFA28">
      <w:pPr>
        <w:spacing w:line="440" w:lineRule="exact"/>
        <w:ind w:firstLine="354" w:firstLineChars="147"/>
        <w:rPr>
          <w:rFonts w:ascii="黑体" w:hAnsi="黑体" w:eastAsia="黑体"/>
          <w:b/>
          <w:color w:val="000000" w:themeColor="text1"/>
          <w:sz w:val="24"/>
          <w14:textFill>
            <w14:solidFill>
              <w14:schemeClr w14:val="tx1"/>
            </w14:solidFill>
          </w14:textFill>
        </w:rPr>
      </w:pPr>
      <w:bookmarkStart w:id="38" w:name="_Toc35393635"/>
      <w:bookmarkStart w:id="39" w:name="_Toc44229884"/>
      <w:bookmarkStart w:id="40" w:name="_Toc71365911"/>
      <w:bookmarkStart w:id="41" w:name="_Toc35393804"/>
      <w:r>
        <w:rPr>
          <w:rFonts w:hint="eastAsia" w:ascii="黑体" w:hAnsi="黑体" w:eastAsia="黑体"/>
          <w:b/>
          <w:color w:val="000000" w:themeColor="text1"/>
          <w:sz w:val="24"/>
          <w14:textFill>
            <w14:solidFill>
              <w14:schemeClr w14:val="tx1"/>
            </w14:solidFill>
          </w14:textFill>
        </w:rPr>
        <w:t>七、其他补充事宜</w:t>
      </w:r>
      <w:bookmarkEnd w:id="38"/>
      <w:bookmarkEnd w:id="39"/>
      <w:bookmarkEnd w:id="40"/>
      <w:bookmarkEnd w:id="41"/>
    </w:p>
    <w:p w14:paraId="0222A97A">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06CC51BD">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www.ccgp.gov.cn（中国政府采购网）、zfcg.gxzf.gov.cn（广西壮族自治区政府采购网）</w:t>
      </w:r>
    </w:p>
    <w:p w14:paraId="67687DC7">
      <w:pPr>
        <w:spacing w:line="440" w:lineRule="exact"/>
        <w:ind w:firstLine="424" w:firstLineChars="202"/>
        <w:rPr>
          <w:rFonts w:ascii="宋体" w:hAnsi="宋体" w:cs="宋体"/>
          <w:color w:val="000000" w:themeColor="text1"/>
          <w:kern w:val="0"/>
          <w:szCs w:val="21"/>
          <w14:textFill>
            <w14:solidFill>
              <w14:schemeClr w14:val="tx1"/>
            </w14:solidFill>
          </w14:textFill>
        </w:rPr>
      </w:pPr>
      <w:bookmarkStart w:id="42" w:name="_Hlk37429674"/>
      <w:bookmarkStart w:id="43" w:name="_Toc28359095"/>
      <w:bookmarkStart w:id="44" w:name="_Toc35393636"/>
      <w:bookmarkStart w:id="45" w:name="_Toc35393805"/>
      <w:bookmarkStart w:id="46" w:name="_Toc44229885"/>
      <w:bookmarkStart w:id="47" w:name="_Toc28359018"/>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2EAE1C04">
      <w:pPr>
        <w:spacing w:line="440" w:lineRule="exact"/>
        <w:ind w:firstLine="420" w:firstLineChars="200"/>
        <w:rPr>
          <w:rFonts w:ascii="宋体" w:hAnsi="宋体" w:cs="宋体"/>
          <w:iCs/>
          <w:color w:val="000000" w:themeColor="text1"/>
          <w:kern w:val="0"/>
          <w:szCs w:val="21"/>
          <w14:textFill>
            <w14:solidFill>
              <w14:schemeClr w14:val="tx1"/>
            </w14:solidFill>
          </w14:textFill>
        </w:rPr>
      </w:pPr>
      <w:r>
        <w:rPr>
          <w:rFonts w:hint="eastAsia" w:ascii="宋体" w:hAnsi="宋体" w:cs="宋体"/>
          <w:iCs/>
          <w:color w:val="000000" w:themeColor="text1"/>
          <w:kern w:val="0"/>
          <w:szCs w:val="21"/>
          <w14:textFill>
            <w14:solidFill>
              <w14:schemeClr w14:val="tx1"/>
            </w14:solidFill>
          </w14:textFill>
        </w:rPr>
        <w:t>（1）政府采购促进中小企业发展。</w:t>
      </w:r>
    </w:p>
    <w:p w14:paraId="6875A31D">
      <w:pPr>
        <w:spacing w:line="440" w:lineRule="exact"/>
        <w:ind w:firstLine="420" w:firstLineChars="200"/>
        <w:rPr>
          <w:rFonts w:ascii="宋体" w:hAnsi="宋体" w:cs="宋体"/>
          <w:iCs/>
          <w:color w:val="000000" w:themeColor="text1"/>
          <w:kern w:val="0"/>
          <w:szCs w:val="21"/>
          <w14:textFill>
            <w14:solidFill>
              <w14:schemeClr w14:val="tx1"/>
            </w14:solidFill>
          </w14:textFill>
        </w:rPr>
      </w:pPr>
      <w:r>
        <w:rPr>
          <w:rFonts w:hint="eastAsia" w:ascii="宋体" w:hAnsi="宋体" w:cs="宋体"/>
          <w:iCs/>
          <w:color w:val="000000" w:themeColor="text1"/>
          <w:kern w:val="0"/>
          <w:szCs w:val="21"/>
          <w14:textFill>
            <w14:solidFill>
              <w14:schemeClr w14:val="tx1"/>
            </w14:solidFill>
          </w14:textFill>
        </w:rPr>
        <w:t>（2）政府采购支持采用本国产品的政策。</w:t>
      </w:r>
    </w:p>
    <w:p w14:paraId="03FF6B54">
      <w:pPr>
        <w:spacing w:line="440" w:lineRule="exact"/>
        <w:ind w:firstLine="420" w:firstLineChars="200"/>
        <w:rPr>
          <w:rFonts w:ascii="宋体" w:hAnsi="宋体" w:cs="宋体"/>
          <w:iCs/>
          <w:color w:val="000000" w:themeColor="text1"/>
          <w:kern w:val="0"/>
          <w:szCs w:val="21"/>
          <w14:textFill>
            <w14:solidFill>
              <w14:schemeClr w14:val="tx1"/>
            </w14:solidFill>
          </w14:textFill>
        </w:rPr>
      </w:pPr>
      <w:r>
        <w:rPr>
          <w:rFonts w:hint="eastAsia" w:ascii="宋体" w:hAnsi="宋体" w:cs="宋体"/>
          <w:iCs/>
          <w:color w:val="000000" w:themeColor="text1"/>
          <w:kern w:val="0"/>
          <w:szCs w:val="21"/>
          <w14:textFill>
            <w14:solidFill>
              <w14:schemeClr w14:val="tx1"/>
            </w14:solidFill>
          </w14:textFill>
        </w:rPr>
        <w:t>（3）强制采购节能产品；优先采购节能产品、环境标志产品。</w:t>
      </w:r>
    </w:p>
    <w:p w14:paraId="78C5162E">
      <w:pPr>
        <w:spacing w:line="440" w:lineRule="exact"/>
        <w:ind w:firstLine="420" w:firstLineChars="200"/>
        <w:rPr>
          <w:rFonts w:ascii="宋体" w:hAnsi="宋体" w:cs="宋体"/>
          <w:iCs/>
          <w:color w:val="000000" w:themeColor="text1"/>
          <w:kern w:val="0"/>
          <w:szCs w:val="21"/>
          <w14:textFill>
            <w14:solidFill>
              <w14:schemeClr w14:val="tx1"/>
            </w14:solidFill>
          </w14:textFill>
        </w:rPr>
      </w:pPr>
      <w:r>
        <w:rPr>
          <w:rFonts w:hint="eastAsia" w:ascii="宋体" w:hAnsi="宋体" w:cs="宋体"/>
          <w:iCs/>
          <w:color w:val="000000" w:themeColor="text1"/>
          <w:kern w:val="0"/>
          <w:szCs w:val="21"/>
          <w14:textFill>
            <w14:solidFill>
              <w14:schemeClr w14:val="tx1"/>
            </w14:solidFill>
          </w14:textFill>
        </w:rPr>
        <w:t>（4）政府采购促进残疾人就业政策。</w:t>
      </w:r>
    </w:p>
    <w:p w14:paraId="3BF0EA68">
      <w:pPr>
        <w:spacing w:line="440" w:lineRule="exact"/>
        <w:ind w:firstLine="420" w:firstLineChars="200"/>
        <w:rPr>
          <w:rFonts w:ascii="宋体" w:hAnsi="宋体" w:cs="宋体"/>
          <w:iCs/>
          <w:color w:val="000000" w:themeColor="text1"/>
          <w:kern w:val="0"/>
          <w:szCs w:val="21"/>
          <w14:textFill>
            <w14:solidFill>
              <w14:schemeClr w14:val="tx1"/>
            </w14:solidFill>
          </w14:textFill>
        </w:rPr>
      </w:pPr>
      <w:r>
        <w:rPr>
          <w:rFonts w:hint="eastAsia" w:ascii="宋体" w:hAnsi="宋体" w:cs="宋体"/>
          <w:iCs/>
          <w:color w:val="000000" w:themeColor="text1"/>
          <w:kern w:val="0"/>
          <w:szCs w:val="21"/>
          <w14:textFill>
            <w14:solidFill>
              <w14:schemeClr w14:val="tx1"/>
            </w14:solidFill>
          </w14:textFill>
        </w:rPr>
        <w:t>（5）政府采购支持监狱企业发展。</w:t>
      </w:r>
    </w:p>
    <w:bookmarkEnd w:id="42"/>
    <w:p w14:paraId="245D6FD3">
      <w:pPr>
        <w:widowControl/>
        <w:spacing w:line="44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w:t>
      </w:r>
      <w:r>
        <w:rPr>
          <w:rFonts w:hint="eastAsia" w:ascii="宋体" w:hAnsi="宋体"/>
          <w:color w:val="000000" w:themeColor="text1"/>
          <w:szCs w:val="21"/>
          <w14:textFill>
            <w14:solidFill>
              <w14:schemeClr w14:val="tx1"/>
            </w14:solidFill>
          </w14:textFill>
        </w:rPr>
        <w:t>竞标注意事项</w:t>
      </w:r>
    </w:p>
    <w:p w14:paraId="2F97B58A">
      <w:pPr>
        <w:widowControl/>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14:textFill>
            <w14:solidFill>
              <w14:schemeClr w14:val="tx1"/>
            </w14:solidFill>
          </w14:textFill>
        </w:rPr>
        <w:t>后缀名为“jm</w:t>
      </w:r>
      <w:r>
        <w:rPr>
          <w:color w:val="000000" w:themeColor="text1"/>
          <w14:textFill>
            <w14:solidFill>
              <w14:schemeClr w14:val="tx1"/>
            </w14:solidFill>
          </w14:textFill>
        </w:rPr>
        <w:t>bs</w:t>
      </w:r>
      <w:r>
        <w:rPr>
          <w:rFonts w:hint="eastAsia"/>
          <w:color w:val="000000" w:themeColor="text1"/>
          <w14:textFill>
            <w14:solidFill>
              <w14:schemeClr w14:val="tx1"/>
            </w14:solidFill>
          </w14:textFill>
        </w:rPr>
        <w:t>”的文件</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14:textFill>
            <w14:solidFill>
              <w14:schemeClr w14:val="tx1"/>
            </w14:solidFill>
          </w14:textFill>
        </w:rPr>
        <w:t>供应商登录广西政府采购云平台，依次进入“服务中心-项目采购-操作流程-电子招投标-</w:t>
      </w:r>
      <w:r>
        <w:rPr>
          <w:rFonts w:hint="eastAsia"/>
          <w:color w:val="000000" w:themeColor="text1"/>
          <w14:textFill>
            <w14:solidFill>
              <w14:schemeClr w14:val="tx1"/>
            </w14:solidFill>
          </w14:textFill>
        </w:rPr>
        <w:t>政府采购项目电子交易管理操作指南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”查看电子竞标具体操作流程。</w:t>
      </w:r>
    </w:p>
    <w:p w14:paraId="6A1C3856">
      <w:pPr>
        <w:widowControl/>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kern w:val="0"/>
          <w:szCs w:val="2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依次进入“服务中心-入驻与配置”中</w:t>
      </w:r>
      <w:r>
        <w:rPr>
          <w:rFonts w:hint="eastAsia" w:ascii="宋体" w:hAnsi="宋体" w:cs="宋体"/>
          <w:bCs/>
          <w:color w:val="000000" w:themeColor="text1"/>
          <w:kern w:val="0"/>
          <w:szCs w:val="21"/>
          <w14:textFill>
            <w14:solidFill>
              <w14:schemeClr w14:val="tx1"/>
            </w14:solidFill>
          </w14:textFill>
        </w:rPr>
        <w:t>查看CA数字证书办理操作流程。如在操作过程中遇到问题或者需要技术支持，请致电客服热线：95763或者0771-3381253）。</w:t>
      </w:r>
    </w:p>
    <w:p w14:paraId="57AA26D7">
      <w:pPr>
        <w:snapToGrid w:val="0"/>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35A0D9A7">
      <w:pPr>
        <w:widowControl/>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6CAA372">
      <w:pPr>
        <w:spacing w:line="44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56ED4D11">
      <w:pPr>
        <w:spacing w:line="440" w:lineRule="exact"/>
        <w:ind w:firstLine="354" w:firstLineChars="147"/>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w:t>
      </w:r>
      <w:r>
        <w:rPr>
          <w:rFonts w:ascii="黑体" w:hAnsi="黑体" w:eastAsia="黑体"/>
          <w:b/>
          <w:color w:val="000000" w:themeColor="text1"/>
          <w:sz w:val="24"/>
          <w14:textFill>
            <w14:solidFill>
              <w14:schemeClr w14:val="tx1"/>
            </w14:solidFill>
          </w14:textFill>
        </w:rPr>
        <w:t>以下方式</w:t>
      </w:r>
      <w:r>
        <w:rPr>
          <w:rFonts w:hint="eastAsia" w:ascii="黑体" w:hAnsi="黑体" w:eastAsia="黑体"/>
          <w:b/>
          <w:color w:val="000000" w:themeColor="text1"/>
          <w:sz w:val="24"/>
          <w14:textFill>
            <w14:solidFill>
              <w14:schemeClr w14:val="tx1"/>
            </w14:solidFill>
          </w14:textFill>
        </w:rPr>
        <w:t>联系。</w:t>
      </w:r>
      <w:bookmarkEnd w:id="43"/>
      <w:bookmarkEnd w:id="44"/>
      <w:bookmarkEnd w:id="45"/>
      <w:bookmarkEnd w:id="46"/>
      <w:bookmarkEnd w:id="47"/>
    </w:p>
    <w:p w14:paraId="68B25A5E">
      <w:pPr>
        <w:spacing w:line="440" w:lineRule="exact"/>
        <w:ind w:firstLine="420" w:firstLineChars="200"/>
        <w:rPr>
          <w:rFonts w:ascii="宋体" w:hAnsi="宋体" w:cs="宋体"/>
          <w:color w:val="000000" w:themeColor="text1"/>
          <w:kern w:val="0"/>
          <w:szCs w:val="21"/>
          <w14:textFill>
            <w14:solidFill>
              <w14:schemeClr w14:val="tx1"/>
            </w14:solidFill>
          </w14:textFill>
        </w:rPr>
      </w:pPr>
      <w:bookmarkStart w:id="48" w:name="_Toc35393806"/>
      <w:bookmarkStart w:id="49" w:name="_Toc35393637"/>
      <w:bookmarkStart w:id="50" w:name="_Toc28359096"/>
      <w:bookmarkStart w:id="51" w:name="_Toc28359019"/>
      <w:r>
        <w:rPr>
          <w:rFonts w:hint="eastAsia" w:ascii="宋体" w:hAnsi="宋体" w:cs="宋体"/>
          <w:color w:val="000000" w:themeColor="text1"/>
          <w:kern w:val="0"/>
          <w:szCs w:val="21"/>
          <w14:textFill>
            <w14:solidFill>
              <w14:schemeClr w14:val="tx1"/>
            </w14:solidFill>
          </w14:textFill>
        </w:rPr>
        <w:t>1.采购人信息</w:t>
      </w:r>
      <w:bookmarkEnd w:id="48"/>
      <w:bookmarkEnd w:id="49"/>
      <w:bookmarkEnd w:id="50"/>
      <w:bookmarkEnd w:id="51"/>
    </w:p>
    <w:p w14:paraId="1D41B625">
      <w:pPr>
        <w:spacing w:line="44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钦州市生态环境局　</w:t>
      </w:r>
    </w:p>
    <w:p w14:paraId="7CF575CA">
      <w:pPr>
        <w:spacing w:line="44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钦州市钦北区富民路28号</w:t>
      </w:r>
    </w:p>
    <w:p w14:paraId="6FB4CA1B">
      <w:pPr>
        <w:spacing w:line="44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hint="eastAsia" w:ascii="宋体" w:hAnsi="宋体"/>
          <w:color w:val="000000" w:themeColor="text1"/>
          <w:szCs w:val="21"/>
          <w:u w:val="single"/>
          <w14:textFill>
            <w14:solidFill>
              <w14:schemeClr w14:val="tx1"/>
            </w14:solidFill>
          </w14:textFill>
        </w:rPr>
        <w:t>叶海峰  0777-2827956</w:t>
      </w:r>
    </w:p>
    <w:p w14:paraId="05BA543D">
      <w:pPr>
        <w:spacing w:line="440" w:lineRule="exact"/>
        <w:ind w:firstLine="420" w:firstLineChars="200"/>
        <w:rPr>
          <w:rFonts w:ascii="宋体" w:hAnsi="宋体"/>
          <w:color w:val="000000" w:themeColor="text1"/>
          <w:kern w:val="0"/>
          <w:szCs w:val="21"/>
          <w14:textFill>
            <w14:solidFill>
              <w14:schemeClr w14:val="tx1"/>
            </w14:solidFill>
          </w14:textFill>
        </w:rPr>
      </w:pPr>
      <w:bookmarkStart w:id="52" w:name="_Toc28359098"/>
      <w:bookmarkStart w:id="53" w:name="_Toc28359021"/>
      <w:bookmarkStart w:id="54" w:name="_Toc35393639"/>
      <w:bookmarkStart w:id="55" w:name="_Toc35393808"/>
      <w:r>
        <w:rPr>
          <w:rFonts w:hint="eastAsia" w:ascii="宋体" w:hAnsi="宋体"/>
          <w:color w:val="000000" w:themeColor="text1"/>
          <w:kern w:val="0"/>
          <w:szCs w:val="21"/>
          <w14:textFill>
            <w14:solidFill>
              <w14:schemeClr w14:val="tx1"/>
            </w14:solidFill>
          </w14:textFill>
        </w:rPr>
        <w:t>2.采购代理机构信息</w:t>
      </w:r>
    </w:p>
    <w:p w14:paraId="583E6753">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云之龙咨询集团有限公司　</w:t>
      </w:r>
    </w:p>
    <w:p w14:paraId="6D0EB9B6">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广西钦州市子材东大街19号奥林名城8号楼8层　</w:t>
      </w:r>
    </w:p>
    <w:p w14:paraId="68F75DCC">
      <w:pPr>
        <w:spacing w:line="440" w:lineRule="exact"/>
        <w:ind w:firstLine="420" w:firstLineChars="200"/>
        <w:rPr>
          <w:rFonts w:hint="default" w:ascii="宋体" w:hAnsi="宋体" w:eastAsia="宋体"/>
          <w:color w:val="000000" w:themeColor="text1"/>
          <w:kern w:val="0"/>
          <w:szCs w:val="21"/>
          <w:u w:val="single"/>
          <w:lang w:val="en-US"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项目联系人：</w:t>
      </w:r>
      <w:r>
        <w:rPr>
          <w:rFonts w:hint="eastAsia" w:ascii="宋体" w:hAnsi="宋体"/>
          <w:color w:val="000000" w:themeColor="text1"/>
          <w:kern w:val="0"/>
          <w:szCs w:val="21"/>
          <w:u w:val="single"/>
          <w14:textFill>
            <w14:solidFill>
              <w14:schemeClr w14:val="tx1"/>
            </w14:solidFill>
          </w14:textFill>
        </w:rPr>
        <w:t>郑全荣</w:t>
      </w:r>
      <w:r>
        <w:rPr>
          <w:rFonts w:hint="eastAsia" w:ascii="宋体" w:hAnsi="宋体"/>
          <w:color w:val="000000" w:themeColor="text1"/>
          <w:kern w:val="0"/>
          <w:szCs w:val="21"/>
          <w:u w:val="single"/>
          <w:lang w:eastAsia="zh-CN"/>
          <w14:textFill>
            <w14:solidFill>
              <w14:schemeClr w14:val="tx1"/>
            </w14:solidFill>
          </w14:textFill>
        </w:rPr>
        <w:t>、</w:t>
      </w:r>
      <w:r>
        <w:rPr>
          <w:rFonts w:hint="eastAsia" w:ascii="宋体" w:hAnsi="宋体"/>
          <w:color w:val="000000" w:themeColor="text1"/>
          <w:kern w:val="0"/>
          <w:szCs w:val="21"/>
          <w:u w:val="single"/>
          <w:lang w:val="en-US" w:eastAsia="zh-CN"/>
          <w14:textFill>
            <w14:solidFill>
              <w14:schemeClr w14:val="tx1"/>
            </w14:solidFill>
          </w14:textFill>
        </w:rPr>
        <w:t>黄洁年</w:t>
      </w:r>
    </w:p>
    <w:p w14:paraId="74D63D7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hint="eastAsia" w:ascii="宋体" w:hAnsi="宋体"/>
          <w:color w:val="000000" w:themeColor="text1"/>
          <w:szCs w:val="21"/>
          <w:u w:val="single"/>
          <w14:textFill>
            <w14:solidFill>
              <w14:schemeClr w14:val="tx1"/>
            </w14:solidFill>
          </w14:textFill>
        </w:rPr>
        <w:t>0777-5619366　</w:t>
      </w:r>
    </w:p>
    <w:p w14:paraId="5A01D134">
      <w:pPr>
        <w:spacing w:line="44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3.项目联系</w:t>
      </w:r>
      <w:r>
        <w:rPr>
          <w:rFonts w:ascii="宋体" w:hAnsi="宋体" w:cs="宋体"/>
          <w:color w:val="000000" w:themeColor="text1"/>
          <w:kern w:val="0"/>
          <w:szCs w:val="21"/>
          <w14:textFill>
            <w14:solidFill>
              <w14:schemeClr w14:val="tx1"/>
            </w14:solidFill>
          </w14:textFill>
        </w:rPr>
        <w:t>方式</w:t>
      </w:r>
      <w:bookmarkEnd w:id="52"/>
      <w:bookmarkEnd w:id="53"/>
      <w:bookmarkEnd w:id="54"/>
      <w:bookmarkEnd w:id="55"/>
    </w:p>
    <w:p w14:paraId="6ED1FD5D">
      <w:pPr>
        <w:pStyle w:val="13"/>
        <w:spacing w:line="440" w:lineRule="exact"/>
        <w:ind w:firstLine="420" w:firstLineChars="200"/>
        <w:rPr>
          <w:rFonts w:hAnsi="宋体"/>
          <w:color w:val="000000" w:themeColor="text1"/>
          <w:sz w:val="21"/>
          <w:u w:val="single"/>
          <w14:textFill>
            <w14:solidFill>
              <w14:schemeClr w14:val="tx1"/>
            </w14:solidFill>
          </w14:textFill>
        </w:rPr>
      </w:pPr>
      <w:r>
        <w:rPr>
          <w:rFonts w:hint="eastAsia" w:hAnsi="宋体"/>
          <w:color w:val="000000" w:themeColor="text1"/>
          <w:sz w:val="21"/>
          <w:u w:val="single"/>
          <w14:textFill>
            <w14:solidFill>
              <w14:schemeClr w14:val="tx1"/>
            </w14:solidFill>
          </w14:textFill>
        </w:rPr>
        <w:t>项目联系人：郑全荣</w:t>
      </w:r>
      <w:r>
        <w:rPr>
          <w:rFonts w:hint="eastAsia" w:hAnsi="宋体"/>
          <w:color w:val="000000" w:themeColor="text1"/>
          <w:sz w:val="21"/>
          <w:u w:val="single"/>
          <w:lang w:eastAsia="zh-CN"/>
          <w14:textFill>
            <w14:solidFill>
              <w14:schemeClr w14:val="tx1"/>
            </w14:solidFill>
          </w14:textFill>
        </w:rPr>
        <w:t>、</w:t>
      </w:r>
      <w:r>
        <w:rPr>
          <w:rFonts w:hint="eastAsia" w:hAnsi="宋体"/>
          <w:color w:val="000000" w:themeColor="text1"/>
          <w:sz w:val="21"/>
          <w:u w:val="single"/>
          <w14:textFill>
            <w14:solidFill>
              <w14:schemeClr w14:val="tx1"/>
            </w14:solidFill>
          </w14:textFill>
        </w:rPr>
        <w:t>黄洁年</w:t>
      </w:r>
    </w:p>
    <w:p w14:paraId="77FED375">
      <w:pPr>
        <w:spacing w:line="440" w:lineRule="exact"/>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u w:val="single"/>
          <w14:textFill>
            <w14:solidFill>
              <w14:schemeClr w14:val="tx1"/>
            </w14:solidFill>
          </w14:textFill>
        </w:rPr>
        <w:t>电　　话：　0777-5619366　　　</w:t>
      </w:r>
    </w:p>
    <w:bookmarkEnd w:id="1"/>
    <w:p w14:paraId="06033627">
      <w:pPr>
        <w:spacing w:line="440" w:lineRule="exact"/>
        <w:jc w:val="center"/>
        <w:rPr>
          <w:color w:val="000000" w:themeColor="text1"/>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p>
    <w:p w14:paraId="44413961">
      <w:pPr>
        <w:pStyle w:val="2"/>
        <w:jc w:val="center"/>
        <w:rPr>
          <w:color w:val="000000" w:themeColor="text1"/>
          <w14:textFill>
            <w14:solidFill>
              <w14:schemeClr w14:val="tx1"/>
            </w14:solidFill>
          </w14:textFill>
        </w:rPr>
      </w:pPr>
      <w:bookmarkStart w:id="56" w:name="_Toc332"/>
      <w:r>
        <w:rPr>
          <w:rFonts w:hint="eastAsia"/>
          <w:color w:val="000000" w:themeColor="text1"/>
          <w14:textFill>
            <w14:solidFill>
              <w14:schemeClr w14:val="tx1"/>
            </w14:solidFill>
          </w14:textFill>
        </w:rPr>
        <w:t>第二章 供应商须知</w:t>
      </w:r>
      <w:bookmarkEnd w:id="56"/>
    </w:p>
    <w:p w14:paraId="15431575">
      <w:pPr>
        <w:spacing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499AED77">
      <w:pPr>
        <w:spacing w:line="400" w:lineRule="exact"/>
        <w:jc w:val="center"/>
        <w:rPr>
          <w:rFonts w:ascii="宋体" w:hAnsi="宋体"/>
          <w:b/>
          <w:color w:val="000000" w:themeColor="text1"/>
          <w:sz w:val="32"/>
          <w:szCs w:val="32"/>
          <w14:textFill>
            <w14:solidFill>
              <w14:schemeClr w14:val="tx1"/>
            </w14:solidFill>
          </w14:textFill>
        </w:rPr>
      </w:pPr>
    </w:p>
    <w:tbl>
      <w:tblPr>
        <w:tblStyle w:val="22"/>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F4D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tcPr>
          <w:p w14:paraId="5794BE6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Pr>
          <w:p w14:paraId="00595CE6">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    容</w:t>
            </w:r>
          </w:p>
        </w:tc>
      </w:tr>
      <w:tr w14:paraId="0020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C4C9CB">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912" w:type="dxa"/>
            <w:vAlign w:val="center"/>
          </w:tcPr>
          <w:p w14:paraId="617E6B41">
            <w:pPr>
              <w:spacing w:line="360" w:lineRule="auto"/>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1.供应商的资格条件</w:t>
            </w:r>
            <w:r>
              <w:rPr>
                <w:rFonts w:hint="eastAsia" w:ascii="宋体" w:hAnsi="宋体" w:cs="宋体"/>
                <w:color w:val="000000" w:themeColor="text1"/>
                <w:szCs w:val="21"/>
                <w14:textFill>
                  <w14:solidFill>
                    <w14:schemeClr w14:val="tx1"/>
                  </w14:solidFill>
                </w14:textFill>
              </w:rPr>
              <w:t>：详见竞争性磋商公告</w:t>
            </w:r>
          </w:p>
          <w:p w14:paraId="49E575C7">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出现下列情形之一的，不得参加政府采购活动：</w:t>
            </w:r>
          </w:p>
          <w:p w14:paraId="02E432F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78478F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AAB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2B341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w:t>
            </w:r>
          </w:p>
        </w:tc>
        <w:tc>
          <w:tcPr>
            <w:tcW w:w="7912" w:type="dxa"/>
            <w:vAlign w:val="center"/>
          </w:tcPr>
          <w:p w14:paraId="3879908D">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 详见竞争性磋商公告</w:t>
            </w:r>
          </w:p>
        </w:tc>
      </w:tr>
      <w:tr w14:paraId="7E89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0963D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6.2</w:t>
            </w:r>
          </w:p>
        </w:tc>
        <w:tc>
          <w:tcPr>
            <w:tcW w:w="7912" w:type="dxa"/>
            <w:vAlign w:val="center"/>
          </w:tcPr>
          <w:p w14:paraId="2548DCB2">
            <w:pPr>
              <w:pStyle w:val="8"/>
              <w:spacing w:line="360" w:lineRule="auto"/>
              <w:rPr>
                <w:rFonts w:ascii="宋体" w:hAnsi="宋体"/>
                <w:color w:val="000000" w:themeColor="text1"/>
                <w:szCs w:val="21"/>
                <w14:textFill>
                  <w14:solidFill>
                    <w14:schemeClr w14:val="tx1"/>
                  </w14:solidFill>
                </w14:textFill>
              </w:rPr>
            </w:pPr>
            <w:r>
              <w:rPr>
                <w:rFonts w:ascii="Wingdings 2" w:hAnsi="Wingdings 2"/>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不允许分包</w:t>
            </w:r>
          </w:p>
          <w:p w14:paraId="7747501C">
            <w:pPr>
              <w:pStyle w:val="8"/>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□允许分包</w:t>
            </w:r>
          </w:p>
          <w:p w14:paraId="05D92BE6">
            <w:pPr>
              <w:pStyle w:val="8"/>
              <w:spacing w:line="360" w:lineRule="auto"/>
              <w:jc w:val="both"/>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分包内容：</w:t>
            </w:r>
            <w:r>
              <w:rPr>
                <w:rFonts w:hint="eastAsia" w:ascii="宋体" w:hAnsi="宋体"/>
                <w:color w:val="000000" w:themeColor="text1"/>
                <w:szCs w:val="21"/>
                <w:u w:val="single"/>
                <w14:textFill>
                  <w14:solidFill>
                    <w14:schemeClr w14:val="tx1"/>
                  </w14:solidFill>
                </w14:textFill>
              </w:rPr>
              <w:t xml:space="preserve">  /  。</w:t>
            </w:r>
          </w:p>
          <w:p w14:paraId="7775D56B">
            <w:pPr>
              <w:pStyle w:val="8"/>
              <w:spacing w:line="360" w:lineRule="auto"/>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分包金额或者比例：</w:t>
            </w:r>
            <w:r>
              <w:rPr>
                <w:rFonts w:hint="eastAsia" w:ascii="宋体" w:hAnsi="宋体"/>
                <w:color w:val="000000" w:themeColor="text1"/>
                <w:szCs w:val="21"/>
                <w:u w:val="single"/>
                <w14:textFill>
                  <w14:solidFill>
                    <w14:schemeClr w14:val="tx1"/>
                  </w14:solidFill>
                </w14:textFill>
              </w:rPr>
              <w:t xml:space="preserve">  /   。</w:t>
            </w:r>
          </w:p>
        </w:tc>
      </w:tr>
      <w:tr w14:paraId="5DB5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3EF4AF">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w:t>
            </w:r>
            <w:r>
              <w:rPr>
                <w:rFonts w:ascii="宋体" w:hAnsi="宋体" w:cs="宋体"/>
                <w:color w:val="000000" w:themeColor="text1"/>
                <w:szCs w:val="21"/>
                <w14:textFill>
                  <w14:solidFill>
                    <w14:schemeClr w14:val="tx1"/>
                  </w14:solidFill>
                </w14:textFill>
              </w:rPr>
              <w:t>1</w:t>
            </w:r>
          </w:p>
        </w:tc>
        <w:tc>
          <w:tcPr>
            <w:tcW w:w="7912" w:type="dxa"/>
            <w:vAlign w:val="center"/>
          </w:tcPr>
          <w:p w14:paraId="0B3DCC66">
            <w:pPr>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5CD70B0B">
            <w:pPr>
              <w:pStyle w:val="8"/>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为法人或者其他组织的，提供营业执照等证明文件（如营业执照或者事业单位法人证书或者执业许可证或者登记证书等），供应商为自然人的提供其身份证复印件；分支机构或分公司竞标时，需提供具有法人资格的授权书，授权书须加盖总公司或上级单位（公司）的公章。已由总公司或上级单位（公司）授权的，总公司或上级单位（公司）取得的相关资质证书对分支机构、分公司或下级单位（公司）有效，法律法规或者行业另有规定的除外；（</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40CF825B">
            <w:pPr>
              <w:spacing w:line="360" w:lineRule="auto"/>
              <w:contextualSpacing/>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供应商依法缴纳税收的相关材料（</w:t>
            </w:r>
            <w:r>
              <w:rPr>
                <w:rFonts w:hint="eastAsia" w:ascii="宋体" w:hAnsi="宋体" w:cs="宋体"/>
                <w:color w:val="000000" w:themeColor="text1"/>
                <w:szCs w:val="21"/>
                <w:u w:val="single"/>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月至</w:t>
            </w:r>
            <w:r>
              <w:rPr>
                <w:rFonts w:hint="eastAsia" w:ascii="宋体" w:hAnsi="宋体" w:cs="宋体"/>
                <w:color w:val="000000" w:themeColor="text1"/>
                <w:szCs w:val="21"/>
                <w:u w:val="single"/>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月内连续</w:t>
            </w:r>
            <w:r>
              <w:rPr>
                <w:rFonts w:hint="eastAsia"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个月的依法缴纳税收的凭据复印件；</w:t>
            </w:r>
            <w:r>
              <w:rPr>
                <w:rFonts w:hint="eastAsia"/>
                <w:color w:val="000000" w:themeColor="text1"/>
                <w14:textFill>
                  <w14:solidFill>
                    <w14:schemeClr w14:val="tx1"/>
                  </w14:solidFill>
                </w14:textFill>
              </w:rPr>
              <w:t>依法免税的，必须提供相应文件证明其依法免税。</w:t>
            </w:r>
            <w:r>
              <w:rPr>
                <w:rFonts w:hint="eastAsia" w:ascii="宋体" w:hAnsi="宋体" w:cs="宋体"/>
                <w:color w:val="000000" w:themeColor="text1"/>
                <w:szCs w:val="21"/>
                <w14:textFill>
                  <w14:solidFill>
                    <w14:schemeClr w14:val="tx1"/>
                  </w14:solidFill>
                </w14:textFill>
              </w:rPr>
              <w:t>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到响应文件提交截止时间止不足要求月数的，只需提供从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的依法缴纳税收</w:t>
            </w:r>
            <w:r>
              <w:rPr>
                <w:rFonts w:hint="eastAsia"/>
                <w:color w:val="000000" w:themeColor="text1"/>
                <w14:textFill>
                  <w14:solidFill>
                    <w14:schemeClr w14:val="tx1"/>
                  </w14:solidFill>
                </w14:textFill>
              </w:rPr>
              <w:t>相应证明文件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73C8C355">
            <w:pPr>
              <w:spacing w:line="360" w:lineRule="auto"/>
              <w:contextualSpacing/>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供应商依法缴纳社会保障资金的相关材料[</w:t>
            </w:r>
            <w:r>
              <w:rPr>
                <w:rFonts w:hint="eastAsia" w:ascii="宋体" w:hAnsi="宋体" w:cs="宋体"/>
                <w:color w:val="000000" w:themeColor="text1"/>
                <w:szCs w:val="21"/>
                <w:u w:val="single"/>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月至</w:t>
            </w:r>
            <w:r>
              <w:rPr>
                <w:rFonts w:hint="eastAsia" w:ascii="宋体" w:hAnsi="宋体" w:cs="宋体"/>
                <w:color w:val="000000" w:themeColor="text1"/>
                <w:szCs w:val="21"/>
                <w:u w:val="single"/>
                <w14:textFill>
                  <w14:solidFill>
                    <w14:schemeClr w14:val="tx1"/>
                  </w14:solidFill>
                </w14:textFill>
              </w:rPr>
              <w:t>2025</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月内连续</w:t>
            </w:r>
            <w:r>
              <w:rPr>
                <w:rFonts w:hint="eastAsia"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个月的依法缴纳社会保障资金的缴费凭证（</w:t>
            </w:r>
            <w:r>
              <w:rPr>
                <w:rFonts w:hint="eastAsia"/>
                <w:color w:val="000000" w:themeColor="text1"/>
                <w14:textFill>
                  <w14:solidFill>
                    <w14:schemeClr w14:val="tx1"/>
                  </w14:solidFill>
                </w14:textFill>
              </w:rPr>
              <w:t>如：</w:t>
            </w:r>
            <w:r>
              <w:rPr>
                <w:rFonts w:hint="eastAsia" w:ascii="宋体" w:hAnsi="宋体" w:cs="宋体"/>
                <w:color w:val="000000" w:themeColor="text1"/>
                <w:szCs w:val="21"/>
                <w14:textFill>
                  <w14:solidFill>
                    <w14:schemeClr w14:val="tx1"/>
                  </w14:solidFill>
                </w14:textFill>
              </w:rPr>
              <w:t>专用收据、社会保险缴纳清单或者社保部门的证明）复印件；</w:t>
            </w:r>
            <w:r>
              <w:rPr>
                <w:rFonts w:hint="eastAsia"/>
                <w:color w:val="000000" w:themeColor="text1"/>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14:textFill>
                  <w14:solidFill>
                    <w14:schemeClr w14:val="tx1"/>
                  </w14:solidFill>
                </w14:textFill>
              </w:rPr>
              <w:t>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到响应文件提交截止时间止不足要求月数的只需提供从</w:t>
            </w:r>
            <w:r>
              <w:rPr>
                <w:color w:val="000000" w:themeColor="text1"/>
                <w:szCs w:val="21"/>
                <w14:textFill>
                  <w14:solidFill>
                    <w14:schemeClr w14:val="tx1"/>
                  </w14:solidFill>
                </w14:textFill>
              </w:rPr>
              <w:t>成立</w:t>
            </w:r>
            <w:r>
              <w:rPr>
                <w:rFonts w:hint="eastAsia"/>
                <w:color w:val="000000" w:themeColor="text1"/>
                <w:szCs w:val="21"/>
                <w14:textFill>
                  <w14:solidFill>
                    <w14:schemeClr w14:val="tx1"/>
                  </w14:solidFill>
                </w14:textFill>
              </w:rPr>
              <w:t>之日起</w:t>
            </w:r>
            <w:r>
              <w:rPr>
                <w:rFonts w:hint="eastAsia" w:ascii="宋体" w:hAnsi="宋体" w:cs="宋体"/>
                <w:color w:val="000000" w:themeColor="text1"/>
                <w:szCs w:val="21"/>
                <w14:textFill>
                  <w14:solidFill>
                    <w14:schemeClr w14:val="tx1"/>
                  </w14:solidFill>
                </w14:textFill>
              </w:rPr>
              <w:t>的依法缴纳社会保障资金的</w:t>
            </w:r>
            <w:r>
              <w:rPr>
                <w:rFonts w:hint="eastAsia"/>
                <w:color w:val="000000" w:themeColor="text1"/>
                <w14:textFill>
                  <w14:solidFill>
                    <w14:schemeClr w14:val="tx1"/>
                  </w14:solidFill>
                </w14:textFill>
              </w:rPr>
              <w:t>相应证明文件</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77FA91C1">
            <w:pPr>
              <w:spacing w:line="360" w:lineRule="auto"/>
              <w:contextualSpacing/>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供应商</w:t>
            </w:r>
            <w:r>
              <w:rPr>
                <w:rFonts w:hint="eastAsia"/>
                <w:color w:val="000000" w:themeColor="text1"/>
                <w:szCs w:val="21"/>
                <w14:textFill>
                  <w14:solidFill>
                    <w14:schemeClr w14:val="tx1"/>
                  </w14:solidFill>
                </w14:textFill>
              </w:rPr>
              <w:t>财务状况报告</w:t>
            </w:r>
            <w:r>
              <w:rPr>
                <w:rFonts w:hint="eastAsia" w:ascii="宋体" w:hAnsi="宋体" w:cs="宋体"/>
                <w:color w:val="000000" w:themeColor="text1"/>
                <w:szCs w:val="21"/>
                <w14:textFill>
                  <w14:solidFill>
                    <w14:schemeClr w14:val="tx1"/>
                  </w14:solidFill>
                </w14:textFill>
              </w:rPr>
              <w:t>[</w:t>
            </w:r>
            <w:r>
              <w:rPr>
                <w:rFonts w:hint="eastAsia"/>
                <w:color w:val="000000" w:themeColor="text1"/>
                <w:szCs w:val="21"/>
                <w:u w:val="single"/>
                <w14:textFill>
                  <w14:solidFill>
                    <w14:schemeClr w14:val="tx1"/>
                  </w14:solidFill>
                </w14:textFill>
              </w:rPr>
              <w:t>2024</w:t>
            </w:r>
            <w:r>
              <w:rPr>
                <w:rFonts w:hint="eastAsia"/>
                <w:color w:val="000000" w:themeColor="text1"/>
                <w:szCs w:val="21"/>
                <w14:textFill>
                  <w14:solidFill>
                    <w14:schemeClr w14:val="tx1"/>
                  </w14:solidFill>
                </w14:textFill>
              </w:rPr>
              <w:t>年度财务报表复印件，或者银行出具的资信证明，或者中国人民银行征信中心出具的信用报告（企业竞标的提供企业信用报告，自然人竞标的提供个人信用报告，供应商属于</w:t>
            </w:r>
            <w:r>
              <w:rPr>
                <w:rFonts w:hint="eastAsia"/>
                <w:color w:val="000000" w:themeColor="text1"/>
                <w14:textFill>
                  <w14:solidFill>
                    <w14:schemeClr w14:val="tx1"/>
                  </w14:solidFill>
                </w14:textFill>
              </w:rPr>
              <w:t>成立时间</w:t>
            </w:r>
            <w:r>
              <w:rPr>
                <w:rFonts w:hint="eastAsia"/>
                <w:color w:val="000000" w:themeColor="text1"/>
                <w:kern w:val="0"/>
                <w14:textFill>
                  <w14:solidFill>
                    <w14:schemeClr w14:val="tx1"/>
                  </w14:solidFill>
                </w14:textFill>
              </w:rPr>
              <w:t>在规定年度之后</w:t>
            </w:r>
            <w:r>
              <w:rPr>
                <w:rFonts w:hint="eastAsia"/>
                <w:color w:val="000000" w:themeColor="text1"/>
                <w14:textFill>
                  <w14:solidFill>
                    <w14:schemeClr w14:val="tx1"/>
                  </w14:solidFill>
                </w14:textFill>
              </w:rPr>
              <w:t>的</w:t>
            </w:r>
            <w:r>
              <w:rPr>
                <w:rFonts w:hint="eastAsia"/>
                <w:color w:val="000000" w:themeColor="text1"/>
                <w:szCs w:val="21"/>
                <w14:textFill>
                  <w14:solidFill>
                    <w14:schemeClr w14:val="tx1"/>
                  </w14:solidFill>
                </w14:textFill>
              </w:rPr>
              <w:t>法人或其他组织</w:t>
            </w:r>
            <w:r>
              <w:rPr>
                <w:rFonts w:hint="eastAsia"/>
                <w:color w:val="000000" w:themeColor="text1"/>
                <w14:textFill>
                  <w14:solidFill>
                    <w14:schemeClr w14:val="tx1"/>
                  </w14:solidFill>
                </w14:textFill>
              </w:rPr>
              <w:t>，需提供成立之日起至响应文件提交截止时间前的月报表</w:t>
            </w:r>
            <w:r>
              <w:rPr>
                <w:rFonts w:hint="eastAsia"/>
                <w:color w:val="000000" w:themeColor="text1"/>
                <w:szCs w:val="21"/>
                <w14:textFill>
                  <w14:solidFill>
                    <w14:schemeClr w14:val="tx1"/>
                  </w14:solidFill>
                </w14:textFill>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必须提供</w:t>
            </w:r>
            <w:r>
              <w:rPr>
                <w:rFonts w:hint="eastAsia" w:ascii="宋体" w:hAnsi="宋体" w:cs="宋体"/>
                <w:b/>
                <w:color w:val="000000" w:themeColor="text1"/>
                <w:szCs w:val="21"/>
                <w14:textFill>
                  <w14:solidFill>
                    <w14:schemeClr w14:val="tx1"/>
                  </w14:solidFill>
                </w14:textFill>
              </w:rPr>
              <w:t>，否则响应文件按无效响应处理</w:t>
            </w:r>
            <w:r>
              <w:rPr>
                <w:rFonts w:hint="eastAsia" w:ascii="宋体" w:hAnsi="宋体" w:cs="宋体"/>
                <w:bCs/>
                <w:color w:val="000000" w:themeColor="text1"/>
                <w:szCs w:val="21"/>
                <w14:textFill>
                  <w14:solidFill>
                    <w14:schemeClr w14:val="tx1"/>
                  </w14:solidFill>
                </w14:textFill>
              </w:rPr>
              <w:t>）</w:t>
            </w:r>
          </w:p>
          <w:p w14:paraId="62B69F4F">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5.供应商直接控股信息表（格式后附）；（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130A7FD4">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6.供应商直接管理关系信息表（格式后附）；（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14D6B199">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7.竞标声明（格式后附）；（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0B67FC4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8.除磋商文件规定必须提供以外，供应商认为需要提供的其他证明材料；</w:t>
            </w:r>
          </w:p>
          <w:p w14:paraId="2F46AE8D">
            <w:pPr>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p>
          <w:p w14:paraId="45A320E1">
            <w:pPr>
              <w:snapToGrid w:val="0"/>
              <w:spacing w:line="360" w:lineRule="auto"/>
              <w:ind w:firstLine="413" w:firstLineChars="196"/>
              <w:jc w:val="left"/>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1.以上标明“必须提供”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14:paraId="1E31206C">
            <w:pPr>
              <w:snapToGrid w:val="0"/>
              <w:spacing w:line="360" w:lineRule="auto"/>
              <w:ind w:firstLine="413" w:firstLineChars="196"/>
              <w:jc w:val="left"/>
              <w:rPr>
                <w:rFonts w:ascii="宋体" w:hAnsi="宋体" w:cs="宋体"/>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联合体竞标时，第1-6项资格证明文件联合体各方均必须分别提供，</w:t>
            </w:r>
            <w:r>
              <w:rPr>
                <w:rFonts w:hint="eastAsia"/>
                <w:b/>
                <w:color w:val="000000" w:themeColor="text1"/>
                <w14:textFill>
                  <w14:solidFill>
                    <w14:schemeClr w14:val="tx1"/>
                  </w14:solidFill>
                </w14:textFill>
              </w:rPr>
              <w:t>并由</w:t>
            </w:r>
            <w:r>
              <w:rPr>
                <w:rFonts w:hint="eastAsia" w:ascii="宋体" w:hAnsi="宋体" w:cs="宋体"/>
                <w:b/>
                <w:color w:val="000000" w:themeColor="text1"/>
                <w:szCs w:val="21"/>
                <w14:textFill>
                  <w14:solidFill>
                    <w14:schemeClr w14:val="tx1"/>
                  </w14:solidFill>
                </w14:textFill>
              </w:rPr>
              <w:t>联合体</w:t>
            </w:r>
            <w:r>
              <w:rPr>
                <w:rFonts w:hint="eastAsia"/>
                <w:b/>
                <w:color w:val="000000" w:themeColor="text1"/>
                <w14:textFill>
                  <w14:solidFill>
                    <w14:schemeClr w14:val="tx1"/>
                  </w14:solidFill>
                </w14:textFill>
              </w:rPr>
              <w:t>牵头人加盖电子签章</w:t>
            </w:r>
            <w:r>
              <w:rPr>
                <w:rFonts w:hint="eastAsia" w:ascii="宋体" w:hAnsi="宋体" w:cs="宋体"/>
                <w:b/>
                <w:color w:val="000000" w:themeColor="text1"/>
                <w:szCs w:val="21"/>
                <w14:textFill>
                  <w14:solidFill>
                    <w14:schemeClr w14:val="tx1"/>
                  </w14:solidFill>
                </w14:textFill>
              </w:rPr>
              <w:t>，</w:t>
            </w:r>
            <w:r>
              <w:rPr>
                <w:rFonts w:hint="eastAsia"/>
                <w:b/>
                <w:color w:val="000000" w:themeColor="text1"/>
                <w14:textFill>
                  <w14:solidFill>
                    <w14:schemeClr w14:val="tx1"/>
                  </w14:solidFill>
                </w14:textFill>
              </w:rPr>
              <w:t>规定签字</w:t>
            </w:r>
            <w:r>
              <w:rPr>
                <w:rFonts w:hint="eastAsia" w:ascii="宋体" w:hAnsi="宋体" w:cs="宋体"/>
                <w:b/>
                <w:color w:val="000000" w:themeColor="text1"/>
                <w:szCs w:val="21"/>
                <w14:textFill>
                  <w14:solidFill>
                    <w14:schemeClr w14:val="tx1"/>
                  </w14:solidFill>
                </w14:textFill>
              </w:rPr>
              <w:t>处签字</w:t>
            </w:r>
            <w:r>
              <w:rPr>
                <w:rFonts w:hint="eastAsia" w:ascii="宋体" w:hAnsi="宋体"/>
                <w:b/>
                <w:bCs/>
                <w:color w:val="000000" w:themeColor="text1"/>
                <w:szCs w:val="21"/>
                <w14:textFill>
                  <w14:solidFill>
                    <w14:schemeClr w14:val="tx1"/>
                  </w14:solidFill>
                </w14:textFill>
              </w:rPr>
              <w:t>（或者电子签名）</w:t>
            </w:r>
            <w:r>
              <w:rPr>
                <w:rFonts w:hint="eastAsia" w:ascii="宋体" w:hAnsi="宋体" w:cs="宋体"/>
                <w:b/>
                <w:color w:val="000000" w:themeColor="text1"/>
                <w:szCs w:val="21"/>
                <w14:textFill>
                  <w14:solidFill>
                    <w14:schemeClr w14:val="tx1"/>
                  </w14:solidFill>
                </w14:textFill>
              </w:rPr>
              <w:t>，否则响应文件按无效处理。</w:t>
            </w:r>
          </w:p>
        </w:tc>
      </w:tr>
      <w:tr w14:paraId="5B40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7E051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12.1.2</w:t>
            </w:r>
          </w:p>
        </w:tc>
        <w:tc>
          <w:tcPr>
            <w:tcW w:w="7912" w:type="dxa"/>
            <w:vAlign w:val="center"/>
          </w:tcPr>
          <w:p w14:paraId="3597150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报价文件</w:t>
            </w:r>
          </w:p>
          <w:p w14:paraId="000FAD0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746DB171">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2.供应商有效的《中小企业声明函》或残疾人福利性单位声明函或监狱企业证明材料（格式后附）（如有请提供）</w:t>
            </w:r>
          </w:p>
          <w:p w14:paraId="2F3D3C5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3.供应商认为需要提供的其他有关资料。</w:t>
            </w:r>
          </w:p>
        </w:tc>
      </w:tr>
      <w:tr w14:paraId="02184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3B2B0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w:t>
            </w:r>
          </w:p>
        </w:tc>
        <w:tc>
          <w:tcPr>
            <w:tcW w:w="7912" w:type="dxa"/>
            <w:vAlign w:val="center"/>
          </w:tcPr>
          <w:p w14:paraId="14ED9CF5">
            <w:pPr>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7AAB237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127B87FC">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14:textFill>
                  <w14:solidFill>
                    <w14:schemeClr w14:val="tx1"/>
                  </w14:solidFill>
                </w14:textFill>
              </w:rPr>
              <w:t>除自然人竞标外</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281C919C">
            <w:pPr>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委托时必须提供，否则响应文件按无效响应处理</w:t>
            </w:r>
            <w:r>
              <w:rPr>
                <w:rFonts w:hint="eastAsia" w:ascii="宋体" w:hAnsi="宋体" w:cs="宋体"/>
                <w:color w:val="000000" w:themeColor="text1"/>
                <w:szCs w:val="21"/>
                <w14:textFill>
                  <w14:solidFill>
                    <w14:schemeClr w14:val="tx1"/>
                  </w14:solidFill>
                </w14:textFill>
              </w:rPr>
              <w:t>）</w:t>
            </w:r>
          </w:p>
          <w:p w14:paraId="6B0AD6F3">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4.商务要求偏离表（格式后附）；（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19E51AD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5.项目实施方案(格式自拟);（</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05439FF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6.运维及售后服务方案(格式自拟);（</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0E5CBC3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7.技术要求偏离表（格式后附）；（</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w:t>
            </w:r>
          </w:p>
          <w:p w14:paraId="16AD82F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8.项目实施人员一览表（格式自拟）；（</w:t>
            </w:r>
            <w:r>
              <w:rPr>
                <w:rFonts w:hint="eastAsia" w:ascii="宋体" w:hAnsi="宋体" w:cs="宋体"/>
                <w:b/>
                <w:color w:val="000000" w:themeColor="text1"/>
                <w:szCs w:val="21"/>
                <w14:textFill>
                  <w14:solidFill>
                    <w14:schemeClr w14:val="tx1"/>
                  </w14:solidFill>
                </w14:textFill>
              </w:rPr>
              <w:t>必须提供，否则响应文件按无效响应处理</w:t>
            </w:r>
            <w:r>
              <w:rPr>
                <w:rFonts w:hint="eastAsia" w:ascii="宋体" w:hAnsi="宋体" w:cs="宋体"/>
                <w:color w:val="000000" w:themeColor="text1"/>
                <w:szCs w:val="21"/>
                <w14:textFill>
                  <w14:solidFill>
                    <w14:schemeClr w14:val="tx1"/>
                  </w14:solidFill>
                </w14:textFill>
              </w:rPr>
              <w:t xml:space="preserve">） </w:t>
            </w:r>
          </w:p>
          <w:p w14:paraId="19870B2A">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9.代理服务费承诺书</w:t>
            </w:r>
            <w:r>
              <w:rPr>
                <w:rFonts w:hint="eastAsia" w:ascii="宋体" w:hAnsi="宋体" w:cs="宋体"/>
                <w:color w:val="000000" w:themeColor="text1"/>
                <w:szCs w:val="21"/>
                <w14:textFill>
                  <w14:solidFill>
                    <w14:schemeClr w14:val="tx1"/>
                  </w14:solidFill>
                </w14:textFill>
              </w:rPr>
              <w:t>（格式后附）；</w:t>
            </w:r>
          </w:p>
          <w:p w14:paraId="6CC4094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10.对应采购需求的技术要求、商务要求提供的其他文件资料（格式自拟）；</w:t>
            </w:r>
          </w:p>
          <w:p w14:paraId="37A4930E">
            <w:pPr>
              <w:spacing w:line="360" w:lineRule="auto"/>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1.供应商认为需要提供的其他有关资料。</w:t>
            </w:r>
          </w:p>
          <w:p w14:paraId="3FAA44A5">
            <w:pPr>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w:t>
            </w:r>
            <w:r>
              <w:rPr>
                <w:rFonts w:hint="eastAsia" w:ascii="宋体" w:hAnsi="宋体"/>
                <w:b/>
                <w:bCs/>
                <w:color w:val="000000" w:themeColor="text1"/>
                <w:szCs w:val="2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，否则响应文件按无效响应处理。</w:t>
            </w:r>
          </w:p>
        </w:tc>
      </w:tr>
      <w:tr w14:paraId="5052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AEA80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w:t>
            </w:r>
          </w:p>
        </w:tc>
        <w:tc>
          <w:tcPr>
            <w:tcW w:w="7912" w:type="dxa"/>
            <w:vAlign w:val="center"/>
          </w:tcPr>
          <w:p w14:paraId="3C702BA5">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报价总金额</w:t>
            </w:r>
            <w:r>
              <w:rPr>
                <w:rFonts w:hint="eastAsia" w:ascii="宋体" w:hAnsi="宋体" w:cs="Courier New"/>
                <w:color w:val="000000" w:themeColor="text1"/>
                <w:szCs w:val="21"/>
                <w14:textFill>
                  <w14:solidFill>
                    <w14:schemeClr w14:val="tx1"/>
                  </w14:solidFill>
                </w14:textFill>
              </w:rPr>
              <w:t>即满足本次全部采购需求所应提供的服务的价格；</w:t>
            </w:r>
            <w:r>
              <w:rPr>
                <w:rFonts w:hint="eastAsia" w:ascii="宋体" w:hAnsi="宋体" w:cs="宋体"/>
                <w:bCs/>
                <w:color w:val="000000" w:themeColor="text1"/>
                <w:szCs w:val="21"/>
                <w14:textFill>
                  <w14:solidFill>
                    <w14:schemeClr w14:val="tx1"/>
                  </w14:solidFill>
                </w14:textFill>
              </w:rPr>
              <w:t>本项目为服务成果整体交付应用项目，按服务总价包干，采购人不对项目达到成果水平</w:t>
            </w:r>
            <w:r>
              <w:rPr>
                <w:rFonts w:hint="eastAsia" w:ascii="宋体" w:hAnsi="宋体" w:cs="宋体"/>
                <w:bCs/>
                <w:color w:val="000000" w:themeColor="text1"/>
                <w:szCs w:val="21"/>
                <w:lang w:eastAsia="zh-CN"/>
                <w14:textFill>
                  <w14:solidFill>
                    <w14:schemeClr w14:val="tx1"/>
                  </w14:solidFill>
                </w14:textFill>
              </w:rPr>
              <w:t>的</w:t>
            </w:r>
            <w:r>
              <w:rPr>
                <w:rFonts w:hint="eastAsia" w:ascii="宋体" w:hAnsi="宋体" w:cs="宋体"/>
                <w:bCs/>
                <w:color w:val="000000" w:themeColor="text1"/>
                <w:szCs w:val="21"/>
                <w14:textFill>
                  <w14:solidFill>
                    <w14:schemeClr w14:val="tx1"/>
                  </w14:solidFill>
                </w14:textFill>
              </w:rPr>
              <w:t>服务、货物、施工等一切内容追加支付费用，由成交供应商在合同价内全部提供或解决，竞标报价为采购人指定地点的服务总价，包括：</w:t>
            </w:r>
          </w:p>
          <w:p w14:paraId="02599ADA">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（1）服务的价格；</w:t>
            </w:r>
          </w:p>
          <w:p w14:paraId="42965923">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（2）相关标准附件、备品备件、专用工具的价格；</w:t>
            </w:r>
          </w:p>
          <w:p w14:paraId="1CE6798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（3）运输、装卸、调试、培训、技术支持、售后服务等费用；</w:t>
            </w:r>
          </w:p>
          <w:p w14:paraId="50D1B491">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（4）必要的保险费用和各项税费；</w:t>
            </w:r>
          </w:p>
          <w:p w14:paraId="18090E2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（5）包括安装费用；</w:t>
            </w:r>
          </w:p>
          <w:p w14:paraId="2E716C40">
            <w:pPr>
              <w:spacing w:line="360" w:lineRule="auto"/>
              <w:contextualSpacing/>
              <w:jc w:val="left"/>
              <w:rPr>
                <w:rFonts w:ascii="宋体" w:hAnsi="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（6）验收的费用。</w:t>
            </w:r>
          </w:p>
        </w:tc>
      </w:tr>
      <w:tr w14:paraId="5D54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3C0C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r>
              <w:rPr>
                <w:rFonts w:ascii="宋体" w:hAnsi="宋体" w:cs="宋体"/>
                <w:color w:val="000000" w:themeColor="text1"/>
                <w:szCs w:val="21"/>
                <w14:textFill>
                  <w14:solidFill>
                    <w14:schemeClr w14:val="tx1"/>
                  </w14:solidFill>
                </w14:textFill>
              </w:rPr>
              <w:t>2</w:t>
            </w:r>
          </w:p>
        </w:tc>
        <w:tc>
          <w:tcPr>
            <w:tcW w:w="7912" w:type="dxa"/>
            <w:vAlign w:val="center"/>
          </w:tcPr>
          <w:p w14:paraId="09B7701B">
            <w:pPr>
              <w:pStyle w:val="7"/>
              <w:widowControl w:val="0"/>
              <w:tabs>
                <w:tab w:val="clear" w:pos="454"/>
              </w:tabs>
              <w:snapToGrid w:val="0"/>
              <w:spacing w:afterLines="0" w:line="360" w:lineRule="auto"/>
              <w:ind w:left="283" w:hanging="283" w:hangingChars="135"/>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u w:val="single"/>
                <w14:textFill>
                  <w14:solidFill>
                    <w14:schemeClr w14:val="tx1"/>
                  </w14:solidFill>
                </w14:textFill>
              </w:rPr>
              <w:t>60</w:t>
            </w:r>
            <w:r>
              <w:rPr>
                <w:rFonts w:hint="eastAsia" w:ascii="宋体" w:hAnsi="宋体" w:cs="宋体"/>
                <w:color w:val="000000" w:themeColor="text1"/>
                <w:kern w:val="2"/>
                <w:sz w:val="21"/>
                <w:szCs w:val="21"/>
                <w14:textFill>
                  <w14:solidFill>
                    <w14:schemeClr w14:val="tx1"/>
                  </w14:solidFill>
                </w14:textFill>
              </w:rPr>
              <w:t>日。</w:t>
            </w:r>
          </w:p>
        </w:tc>
      </w:tr>
      <w:tr w14:paraId="00D4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F79C7">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w:t>
            </w:r>
          </w:p>
        </w:tc>
        <w:tc>
          <w:tcPr>
            <w:tcW w:w="7912" w:type="dxa"/>
            <w:vAlign w:val="center"/>
          </w:tcPr>
          <w:p w14:paraId="3A0F8303">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☑本项目不收取磋商保证金。</w:t>
            </w:r>
          </w:p>
          <w:p w14:paraId="0021DB04">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□本项目收取磋商保证金，具体规定如下：</w:t>
            </w:r>
            <w:r>
              <w:rPr>
                <w:rFonts w:hint="eastAsia" w:ascii="宋体" w:hAnsi="宋体" w:cs="宋体"/>
                <w:color w:val="000000" w:themeColor="text1"/>
                <w:kern w:val="0"/>
                <w:szCs w:val="21"/>
                <w14:textFill>
                  <w14:solidFill>
                    <w14:schemeClr w14:val="tx1"/>
                  </w14:solidFill>
                </w14:textFill>
              </w:rPr>
              <w:t>磋商保证金人民币</w:t>
            </w:r>
            <w:r>
              <w:rPr>
                <w:rFonts w:hint="eastAsia" w:ascii="宋体" w:hAnsi="宋体" w:cs="宋体"/>
                <w:color w:val="000000" w:themeColor="text1"/>
                <w:kern w:val="0"/>
                <w:szCs w:val="21"/>
                <w:u w:val="single"/>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元。</w:t>
            </w:r>
          </w:p>
          <w:p w14:paraId="2DDBE286">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磋商保证金的交纳方式：银行转账、支票、汇票、本票或者银行、保险机构出具的保函</w:t>
            </w:r>
            <w:r>
              <w:rPr>
                <w:rFonts w:hint="eastAsia"/>
                <w:color w:val="000000" w:themeColor="text1"/>
                <w14:textFill>
                  <w14:solidFill>
                    <w14:schemeClr w14:val="tx1"/>
                  </w14:solidFill>
                </w14:textFill>
              </w:rPr>
              <w:t>（包含电子保函）</w:t>
            </w:r>
            <w:r>
              <w:rPr>
                <w:rFonts w:hint="eastAsia" w:ascii="宋体" w:hAnsi="宋体" w:cs="宋体"/>
                <w:color w:val="000000" w:themeColor="text1"/>
                <w:kern w:val="0"/>
                <w:szCs w:val="21"/>
                <w14:textFill>
                  <w14:solidFill>
                    <w14:schemeClr w14:val="tx1"/>
                  </w14:solidFill>
                </w14:textFill>
              </w:rPr>
              <w:t>，禁止采用现钞方式。采用银行转账方式的，在响应文件提交截止时间前交至指定账户并且到账（</w:t>
            </w:r>
            <w:r>
              <w:rPr>
                <w:rFonts w:hint="eastAsia" w:ascii="宋体" w:hAnsi="宋体"/>
                <w:color w:val="000000" w:themeColor="text1"/>
                <w:kern w:val="0"/>
                <w:szCs w:val="21"/>
                <w:u w:val="single"/>
                <w14:textFill>
                  <w14:solidFill>
                    <w14:schemeClr w14:val="tx1"/>
                  </w14:solidFill>
                </w14:textFill>
              </w:rPr>
              <w:t>开户名：云之龙咨询集团有限公司钦州分公司；开户银行：中信银行南宁东葛支行；银行账号：8113 0010 1460 0074 523</w:t>
            </w:r>
            <w:r>
              <w:rPr>
                <w:rFonts w:hint="eastAsia" w:ascii="宋体" w:hAnsi="宋体" w:cs="宋体"/>
                <w:color w:val="000000" w:themeColor="text1"/>
                <w:kern w:val="0"/>
                <w:szCs w:val="21"/>
                <w14:textFill>
                  <w14:solidFill>
                    <w14:schemeClr w14:val="tx1"/>
                  </w14:solidFill>
                </w14:textFill>
              </w:rPr>
              <w:t>）；采用支票、汇票、本票或者保函等方式的，在响应文件提交截止时间前，供应商必须提交单独密封的支票、汇票、本票或者保函原件。否则视为无效磋商保证金。</w:t>
            </w:r>
          </w:p>
          <w:p w14:paraId="678DFFC0">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相关要求：</w:t>
            </w:r>
          </w:p>
          <w:p w14:paraId="4D996581">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否则响应文件按无效响应处理</w:t>
            </w:r>
            <w:r>
              <w:rPr>
                <w:rFonts w:hint="eastAsia" w:ascii="宋体" w:hAnsi="宋体" w:cs="宋体"/>
                <w:color w:val="000000" w:themeColor="text1"/>
                <w:szCs w:val="21"/>
                <w14:textFill>
                  <w14:solidFill>
                    <w14:schemeClr w14:val="tx1"/>
                  </w14:solidFill>
                </w14:textFill>
              </w:rPr>
              <w:t>。</w:t>
            </w:r>
          </w:p>
          <w:p w14:paraId="10D7F044">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2.磋商保证金采用支票、汇票、本票或者银行、保险机构出具的保函</w:t>
            </w:r>
            <w:r>
              <w:rPr>
                <w:rFonts w:hint="eastAsia"/>
                <w:color w:val="000000" w:themeColor="text1"/>
                <w14:textFill>
                  <w14:solidFill>
                    <w14:schemeClr w14:val="tx1"/>
                  </w14:solidFill>
                </w14:textFill>
              </w:rPr>
              <w:t>（包含电子保函）</w:t>
            </w:r>
            <w:r>
              <w:rPr>
                <w:rFonts w:hint="eastAsia" w:ascii="宋体" w:hAnsi="宋体"/>
                <w:color w:val="000000" w:themeColor="text1"/>
                <w:szCs w:val="21"/>
                <w14:textFill>
                  <w14:solidFill>
                    <w14:schemeClr w14:val="tx1"/>
                  </w14:solidFill>
                </w14:textFill>
              </w:rPr>
              <w:t>交纳方式的，供应商应将支票、汇票、本票或者银行、保险机构出具的保函</w:t>
            </w:r>
            <w:r>
              <w:rPr>
                <w:rFonts w:hint="eastAsia"/>
                <w:color w:val="000000" w:themeColor="text1"/>
                <w14:textFill>
                  <w14:solidFill>
                    <w14:schemeClr w14:val="tx1"/>
                  </w14:solidFill>
                </w14:textFill>
              </w:rPr>
              <w:t>（包含电子保函）</w:t>
            </w:r>
            <w:r>
              <w:rPr>
                <w:rFonts w:hint="eastAsia" w:ascii="宋体" w:hAnsi="宋体"/>
                <w:color w:val="000000" w:themeColor="text1"/>
                <w:szCs w:val="21"/>
                <w14:textFill>
                  <w14:solidFill>
                    <w14:schemeClr w14:val="tx1"/>
                  </w14:solidFill>
                </w14:textFill>
              </w:rPr>
              <w:t>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在响应文件提交截止时间前采用现场或邮寄方式（现场提交地址：</w:t>
            </w:r>
            <w:r>
              <w:rPr>
                <w:rFonts w:hint="eastAsia" w:ascii="宋体" w:hAnsi="宋体"/>
                <w:color w:val="000000" w:themeColor="text1"/>
                <w:szCs w:val="21"/>
                <w:u w:val="single"/>
                <w14:textFill>
                  <w14:solidFill>
                    <w14:schemeClr w14:val="tx1"/>
                  </w14:solidFill>
                </w14:textFill>
              </w:rPr>
              <w:t>广西钦州市子材东大街19号奥林名城8号楼8层</w:t>
            </w:r>
            <w:r>
              <w:rPr>
                <w:rFonts w:hint="eastAsia"/>
                <w:color w:val="000000" w:themeColor="text1"/>
                <w14:textFill>
                  <w14:solidFill>
                    <w14:schemeClr w14:val="tx1"/>
                  </w14:solidFill>
                </w14:textFill>
              </w:rPr>
              <w:t>；邮寄地址：</w:t>
            </w:r>
            <w:r>
              <w:rPr>
                <w:rFonts w:hint="eastAsia" w:ascii="宋体" w:hAnsi="宋体"/>
                <w:color w:val="000000" w:themeColor="text1"/>
                <w:szCs w:val="21"/>
                <w:u w:val="single"/>
                <w14:textFill>
                  <w14:solidFill>
                    <w14:schemeClr w14:val="tx1"/>
                  </w14:solidFill>
                </w14:textFill>
              </w:rPr>
              <w:t>广西钦州市子材东大街19号奥林名城8号楼8层</w:t>
            </w:r>
            <w:r>
              <w:rPr>
                <w:rFonts w:hint="eastAsia"/>
                <w:color w:val="000000" w:themeColor="text1"/>
                <w14:textFill>
                  <w14:solidFill>
                    <w14:schemeClr w14:val="tx1"/>
                  </w14:solidFill>
                </w14:textFill>
              </w:rPr>
              <w:t>，收件人：</w:t>
            </w:r>
            <w:r>
              <w:rPr>
                <w:rFonts w:hint="eastAsia"/>
                <w:color w:val="000000" w:themeColor="text1"/>
                <w:u w:val="single"/>
                <w:lang w:val="en-US" w:eastAsia="zh-CN"/>
                <w14:textFill>
                  <w14:solidFill>
                    <w14:schemeClr w14:val="tx1"/>
                  </w14:solidFill>
                </w14:textFill>
              </w:rPr>
              <w:t>郑全荣</w:t>
            </w:r>
            <w:r>
              <w:rPr>
                <w:rFonts w:hint="eastAsia"/>
                <w:color w:val="000000" w:themeColor="text1"/>
                <w14:textFill>
                  <w14:solidFill>
                    <w14:schemeClr w14:val="tx1"/>
                  </w14:solidFill>
                </w14:textFill>
              </w:rPr>
              <w:t>，联系方式：</w:t>
            </w:r>
            <w:r>
              <w:rPr>
                <w:rFonts w:hint="eastAsia"/>
                <w:color w:val="000000" w:themeColor="text1"/>
                <w:u w:val="single"/>
                <w14:textFill>
                  <w14:solidFill>
                    <w14:schemeClr w14:val="tx1"/>
                  </w14:solidFill>
                </w14:textFill>
              </w:rPr>
              <w:t>0777-5619366</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kern w:val="0"/>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支票、汇票、本票或者银行、保险机构出具的保函。提交给采购人或者采购代理机构，由采购人或者采购代理机构向供应商出具回执（邮寄方式的除外），并妥善保管。</w:t>
            </w:r>
          </w:p>
          <w:p w14:paraId="4729117B">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3.供应商为联合体的，可以由联合体中的一方或者多方共同交纳磋商保证金，其交纳的保证金对联合体各方均具有约束力。</w:t>
            </w:r>
          </w:p>
          <w:p w14:paraId="0D907F0B">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备注： </w:t>
            </w:r>
          </w:p>
          <w:p w14:paraId="7B6676ED">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24ED4933">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2.供应商采用现钞方式或者从个人账户（自然人竞标除外）转出的磋商保证金，视为无效磋商保证金。</w:t>
            </w:r>
          </w:p>
          <w:p w14:paraId="3E1E00F8">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3.支票、汇票或者本票出现无效或者背书情形的，视为无效磋商保证金。</w:t>
            </w:r>
          </w:p>
          <w:p w14:paraId="201802F6">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4.保函有效期低于竞标有效期的，视为无效磋商保证金。</w:t>
            </w:r>
          </w:p>
          <w:p w14:paraId="54365B2D">
            <w:pPr>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5.采用银行、保险机构出具保函的，必须为无条件保函，否则视为无效磋商保证金。</w:t>
            </w:r>
          </w:p>
          <w:p w14:paraId="4454B5F3">
            <w:pPr>
              <w:snapToGrid w:val="0"/>
              <w:spacing w:line="360" w:lineRule="auto"/>
              <w:rPr>
                <w:rFonts w:ascii="宋体" w:hAnsi="宋体" w:cs="宋体"/>
                <w:color w:val="000000" w:themeColor="text1"/>
                <w:szCs w:val="21"/>
                <w14:textFill>
                  <w14:solidFill>
                    <w14:schemeClr w14:val="tx1"/>
                  </w14:solidFill>
                </w14:textFill>
              </w:rPr>
            </w:pPr>
          </w:p>
        </w:tc>
      </w:tr>
      <w:tr w14:paraId="48F1C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B9BE07">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BBB77B">
            <w:pPr>
              <w:autoSpaceDE w:val="0"/>
              <w:autoSpaceDN w:val="0"/>
              <w:adjustRightIn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p w14:paraId="107AE414">
            <w:pPr>
              <w:autoSpaceDE w:val="0"/>
              <w:autoSpaceDN w:val="0"/>
              <w:adjustRightInd w:val="0"/>
              <w:spacing w:line="360" w:lineRule="auto"/>
              <w:textAlignment w:val="bottom"/>
              <w:rPr>
                <w:color w:val="000000" w:themeColor="text1"/>
                <w14:textFill>
                  <w14:solidFill>
                    <w14:schemeClr w14:val="tx1"/>
                  </w14:solidFill>
                </w14:textFill>
              </w:rPr>
            </w:pPr>
            <w:r>
              <w:rPr>
                <w:rFonts w:ascii="Wingdings 2" w:hAnsi="Wingdings 2"/>
                <w:color w:val="000000" w:themeColor="text1"/>
                <w14:textFill>
                  <w14:solidFill>
                    <w14:schemeClr w14:val="tx1"/>
                  </w14:solidFill>
                </w14:textFill>
              </w:rPr>
              <w:sym w:font="Wingdings 2" w:char="0052"/>
            </w:r>
            <w:r>
              <w:rPr>
                <w:rFonts w:hint="eastAsia"/>
                <w:color w:val="000000" w:themeColor="text1"/>
                <w14:textFill>
                  <w14:solidFill>
                    <w14:schemeClr w14:val="tx1"/>
                  </w14:solidFill>
                </w14:textFill>
              </w:rPr>
              <w:t>本项目接受电子备份响应文件。</w:t>
            </w:r>
          </w:p>
          <w:p w14:paraId="558C8731">
            <w:pPr>
              <w:autoSpaceDE w:val="0"/>
              <w:autoSpaceDN w:val="0"/>
              <w:adjustRightInd w:val="0"/>
              <w:spacing w:line="360" w:lineRule="auto"/>
              <w:ind w:firstLine="420" w:firstLineChars="200"/>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r>
              <w:rPr>
                <w:rFonts w:hint="eastAsia"/>
                <w:color w:val="000000" w:themeColor="text1"/>
                <w14:textFill>
                  <w14:solidFill>
                    <w14:schemeClr w14:val="tx1"/>
                  </w14:solidFill>
                </w14:textFill>
              </w:rPr>
              <w:t>提交方式：供应商可以在响应截止时间前采用以下</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种方式向采购代理机构提交电子备份响应文件：</w:t>
            </w:r>
          </w:p>
          <w:p w14:paraId="0B2B37EC">
            <w:pPr>
              <w:autoSpaceDE w:val="0"/>
              <w:autoSpaceDN w:val="0"/>
              <w:adjustRightInd w:val="0"/>
              <w:spacing w:line="360" w:lineRule="auto"/>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）现场提交方式，应采用</w:t>
            </w:r>
            <w:r>
              <w:rPr>
                <w:color w:val="000000" w:themeColor="text1"/>
                <w14:textFill>
                  <w14:solidFill>
                    <w14:schemeClr w14:val="tx1"/>
                  </w14:solidFill>
                </w14:textFill>
              </w:rPr>
              <w:t>U</w:t>
            </w:r>
            <w:r>
              <w:rPr>
                <w:rFonts w:hint="eastAsia"/>
                <w:color w:val="000000" w:themeColor="text1"/>
                <w14:textFill>
                  <w14:solidFill>
                    <w14:schemeClr w14:val="tx1"/>
                  </w14:solidFill>
                </w14:textFill>
              </w:rPr>
              <w:t>盘进行存储，提交地址：；提交截止时间：；外包装上注明供应商名称、项目名称及项目编号（外包装不作密封要求）。</w:t>
            </w:r>
          </w:p>
          <w:p w14:paraId="140D1967">
            <w:pPr>
              <w:autoSpaceDE w:val="0"/>
              <w:autoSpaceDN w:val="0"/>
              <w:adjustRightInd w:val="0"/>
              <w:spacing w:line="360" w:lineRule="auto"/>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）电子邮件方式，接收电子备份响应文件的电子邮箱为：。</w:t>
            </w:r>
          </w:p>
          <w:p w14:paraId="55942E87">
            <w:pPr>
              <w:pStyle w:val="8"/>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）邮寄方式，应采用</w:t>
            </w:r>
            <w:r>
              <w:rPr>
                <w:color w:val="000000" w:themeColor="text1"/>
                <w14:textFill>
                  <w14:solidFill>
                    <w14:schemeClr w14:val="tx1"/>
                  </w14:solidFill>
                </w14:textFill>
              </w:rPr>
              <w:t>U</w:t>
            </w:r>
            <w:r>
              <w:rPr>
                <w:rFonts w:hint="eastAsia"/>
                <w:color w:val="000000" w:themeColor="text1"/>
                <w14:textFill>
                  <w14:solidFill>
                    <w14:schemeClr w14:val="tx1"/>
                  </w14:solidFill>
                </w14:textFill>
              </w:rPr>
              <w:t>盘进行存储，邮寄地址：</w:t>
            </w:r>
            <w:r>
              <w:rPr>
                <w:rFonts w:hint="eastAsia" w:ascii="宋体" w:hAnsi="宋体"/>
                <w:color w:val="000000" w:themeColor="text1"/>
                <w:szCs w:val="21"/>
                <w:u w:val="single"/>
                <w14:textFill>
                  <w14:solidFill>
                    <w14:schemeClr w14:val="tx1"/>
                  </w14:solidFill>
                </w14:textFill>
              </w:rPr>
              <w:t>广西钦州市子材东大街19号奥林名城8号楼8层</w:t>
            </w:r>
            <w:r>
              <w:rPr>
                <w:rFonts w:hint="eastAsia"/>
                <w:color w:val="000000" w:themeColor="text1"/>
                <w14:textFill>
                  <w14:solidFill>
                    <w14:schemeClr w14:val="tx1"/>
                  </w14:solidFill>
                </w14:textFill>
              </w:rPr>
              <w:t>，截止接收时间：</w:t>
            </w:r>
            <w:r>
              <w:rPr>
                <w:rFonts w:hint="eastAsia"/>
                <w:color w:val="000000" w:themeColor="text1"/>
                <w:u w:val="single"/>
                <w14:textFill>
                  <w14:solidFill>
                    <w14:schemeClr w14:val="tx1"/>
                  </w14:solidFill>
                </w14:textFill>
              </w:rPr>
              <w:t>同响应文件递交截止时间</w:t>
            </w:r>
            <w:r>
              <w:rPr>
                <w:rFonts w:hint="eastAsia"/>
                <w:color w:val="000000" w:themeColor="text1"/>
                <w14:textFill>
                  <w14:solidFill>
                    <w14:schemeClr w14:val="tx1"/>
                  </w14:solidFill>
                </w14:textFill>
              </w:rPr>
              <w:t>，收件人：</w:t>
            </w:r>
            <w:r>
              <w:rPr>
                <w:rFonts w:hint="eastAsia"/>
                <w:color w:val="000000" w:themeColor="text1"/>
                <w:u w:val="single"/>
                <w14:textFill>
                  <w14:solidFill>
                    <w14:schemeClr w14:val="tx1"/>
                  </w14:solidFill>
                </w14:textFill>
              </w:rPr>
              <w:t>郑全荣</w:t>
            </w:r>
            <w:r>
              <w:rPr>
                <w:rFonts w:hint="eastAsia"/>
                <w:color w:val="000000" w:themeColor="text1"/>
                <w14:textFill>
                  <w14:solidFill>
                    <w14:schemeClr w14:val="tx1"/>
                  </w14:solidFill>
                </w14:textFill>
              </w:rPr>
              <w:t>，联系方式：</w:t>
            </w:r>
            <w:r>
              <w:rPr>
                <w:rFonts w:hint="eastAsia"/>
                <w:color w:val="000000" w:themeColor="text1"/>
                <w:u w:val="single"/>
                <w14:textFill>
                  <w14:solidFill>
                    <w14:schemeClr w14:val="tx1"/>
                  </w14:solidFill>
                </w14:textFill>
              </w:rPr>
              <w:t>0777-5619366</w:t>
            </w:r>
            <w:r>
              <w:rPr>
                <w:rFonts w:hint="eastAsia"/>
                <w:color w:val="000000" w:themeColor="text1"/>
                <w14:textFill>
                  <w14:solidFill>
                    <w14:schemeClr w14:val="tx1"/>
                  </w14:solidFill>
                </w14:textFill>
              </w:rPr>
              <w:t>；外包装上注明供应商名称、项目名称及项目编号（外包装不作密封要求）。</w:t>
            </w:r>
          </w:p>
          <w:p w14:paraId="30C9CE08">
            <w:pPr>
              <w:autoSpaceDE w:val="0"/>
              <w:autoSpaceDN w:val="0"/>
              <w:snapToGrid w:val="0"/>
              <w:spacing w:line="360" w:lineRule="auto"/>
              <w:ind w:firstLine="420" w:firstLineChars="200"/>
              <w:textAlignment w:val="bottom"/>
              <w:rPr>
                <w:color w:val="000000" w:themeColor="text1"/>
                <w14:textFill>
                  <w14:solidFill>
                    <w14:schemeClr w14:val="tx1"/>
                  </w14:solidFill>
                </w14:textFill>
              </w:rPr>
            </w:pPr>
            <w:r>
              <w:rPr>
                <w:rFonts w:hint="eastAsia"/>
                <w:color w:val="000000" w:themeColor="text1"/>
                <w14:textFill>
                  <w14:solidFill>
                    <w14:schemeClr w14:val="tx1"/>
                  </w14:solidFill>
                </w14:textFill>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000000" w:themeColor="text1"/>
                <w14:textFill>
                  <w14:solidFill>
                    <w14:schemeClr w14:val="tx1"/>
                  </w14:solidFill>
                </w14:textFill>
              </w:rPr>
              <w:t>供应商的响应文件作无效处理</w:t>
            </w:r>
            <w:r>
              <w:rPr>
                <w:rFonts w:hint="eastAsia"/>
                <w:color w:val="000000" w:themeColor="text1"/>
                <w14:textFill>
                  <w14:solidFill>
                    <w14:schemeClr w14:val="tx1"/>
                  </w14:solidFill>
                </w14:textFill>
              </w:rPr>
              <w:t>。</w:t>
            </w:r>
          </w:p>
        </w:tc>
      </w:tr>
      <w:tr w14:paraId="6193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3911B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20.1</w:t>
            </w:r>
          </w:p>
        </w:tc>
        <w:tc>
          <w:tcPr>
            <w:tcW w:w="7912" w:type="dxa"/>
            <w:vAlign w:val="center"/>
          </w:tcPr>
          <w:p w14:paraId="4B69EA88">
            <w:pPr>
              <w:spacing w:line="360" w:lineRule="auto"/>
              <w:contextualSpacing/>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395734DB">
            <w:pPr>
              <w:spacing w:line="360" w:lineRule="auto"/>
              <w:contextualSpacing/>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53336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BDD29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p>
        </w:tc>
        <w:tc>
          <w:tcPr>
            <w:tcW w:w="7912" w:type="dxa"/>
            <w:vAlign w:val="center"/>
          </w:tcPr>
          <w:p w14:paraId="1A448F20">
            <w:pPr>
              <w:snapToGrid w:val="0"/>
              <w:spacing w:line="360" w:lineRule="auto"/>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hint="eastAsia" w:ascii="宋体" w:hAnsi="宋体" w:cs="宋体"/>
                <w:color w:val="000000" w:themeColor="text1"/>
                <w:szCs w:val="21"/>
                <w:u w:val="single"/>
                <w14:textFill>
                  <w14:solidFill>
                    <w14:schemeClr w14:val="tx1"/>
                  </w14:solidFill>
                </w14:textFill>
              </w:rPr>
              <w:t xml:space="preserve"> 3</w:t>
            </w:r>
            <w:r>
              <w:rPr>
                <w:rFonts w:hint="eastAsia" w:ascii="宋体" w:hAnsi="宋体" w:cs="宋体"/>
                <w:color w:val="000000" w:themeColor="text1"/>
                <w:szCs w:val="21"/>
                <w14:textFill>
                  <w14:solidFill>
                    <w14:schemeClr w14:val="tx1"/>
                  </w14:solidFill>
                </w14:textFill>
              </w:rPr>
              <w:t>人。</w:t>
            </w:r>
          </w:p>
        </w:tc>
      </w:tr>
      <w:tr w14:paraId="5CDA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2EA6CE">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p>
        </w:tc>
        <w:tc>
          <w:tcPr>
            <w:tcW w:w="7912" w:type="dxa"/>
            <w:vAlign w:val="center"/>
          </w:tcPr>
          <w:p w14:paraId="53C22219">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59A2FD4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int="eastAsia"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1324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0269915">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6.3</w:t>
            </w:r>
          </w:p>
        </w:tc>
        <w:tc>
          <w:tcPr>
            <w:tcW w:w="7912" w:type="dxa"/>
            <w:vAlign w:val="center"/>
          </w:tcPr>
          <w:p w14:paraId="73CB9630">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hint="eastAsia" w:ascii="宋体" w:hAnsi="宋体" w:cs="宋体"/>
                <w:color w:val="000000" w:themeColor="text1"/>
                <w:szCs w:val="21"/>
                <w:u w:val="single"/>
                <w14:textFill>
                  <w14:solidFill>
                    <w14:schemeClr w14:val="tx1"/>
                  </w14:solidFill>
                </w14:textFill>
              </w:rPr>
              <w:t xml:space="preserve"> 0  </w:t>
            </w:r>
            <w:r>
              <w:rPr>
                <w:rFonts w:hint="eastAsia" w:ascii="宋体" w:hAnsi="宋体" w:cs="宋体"/>
                <w:color w:val="000000" w:themeColor="text1"/>
                <w:szCs w:val="21"/>
                <w14:textFill>
                  <w14:solidFill>
                    <w14:schemeClr w14:val="tx1"/>
                  </w14:solidFill>
                </w14:textFill>
              </w:rPr>
              <w:t>项。</w:t>
            </w:r>
          </w:p>
          <w:p w14:paraId="644DAE4A">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hint="eastAsia" w:ascii="宋体" w:hAnsi="宋体" w:cs="宋体"/>
                <w:color w:val="000000" w:themeColor="text1"/>
                <w:szCs w:val="21"/>
                <w:u w:val="single"/>
                <w14:textFill>
                  <w14:solidFill>
                    <w14:schemeClr w14:val="tx1"/>
                  </w14:solidFill>
                </w14:textFill>
              </w:rPr>
              <w:t xml:space="preserve"> 0  </w:t>
            </w:r>
            <w:r>
              <w:rPr>
                <w:rFonts w:hint="eastAsia" w:ascii="宋体" w:hAnsi="宋体" w:cs="宋体"/>
                <w:color w:val="000000" w:themeColor="text1"/>
                <w:szCs w:val="21"/>
                <w14:textFill>
                  <w14:solidFill>
                    <w14:schemeClr w14:val="tx1"/>
                  </w14:solidFill>
                </w14:textFill>
              </w:rPr>
              <w:t>项。</w:t>
            </w:r>
          </w:p>
        </w:tc>
      </w:tr>
      <w:tr w14:paraId="73F5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EAF67A">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23FE900C">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ascii="Wingdings 2" w:hAnsi="Wingdings 2"/>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77E8DB39">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B2F02C2">
            <w:pPr>
              <w:autoSpaceDE w:val="0"/>
              <w:autoSpaceDN w:val="0"/>
              <w:snapToGrid w:val="0"/>
              <w:spacing w:line="360" w:lineRule="auto"/>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hint="eastAsia" w:ascii="宋体" w:hAnsi="宋体"/>
                <w:i/>
                <w:color w:val="000000" w:themeColor="text1"/>
                <w:szCs w:val="21"/>
                <w14:textFill>
                  <w14:solidFill>
                    <w14:schemeClr w14:val="tx1"/>
                  </w14:solidFill>
                </w14:textFill>
              </w:rPr>
              <w:t>（注：履约保证金不超过</w:t>
            </w:r>
            <w:r>
              <w:rPr>
                <w:rFonts w:hint="eastAsia"/>
                <w:i/>
                <w:color w:val="000000" w:themeColor="text1"/>
                <w14:textFill>
                  <w14:solidFill>
                    <w14:schemeClr w14:val="tx1"/>
                  </w14:solidFill>
                </w14:textFill>
              </w:rPr>
              <w:t>政府采购合同金额的</w:t>
            </w:r>
            <w:r>
              <w:rPr>
                <w:rFonts w:hint="eastAsia" w:ascii="宋体" w:hAnsi="宋体"/>
                <w:i/>
                <w:color w:val="000000" w:themeColor="text1"/>
                <w:szCs w:val="21"/>
                <w14:textFill>
                  <w14:solidFill>
                    <w14:schemeClr w14:val="tx1"/>
                  </w14:solidFill>
                </w14:textFill>
              </w:rPr>
              <w:t>5%，对中小企业收取的履约保证金数额不得超过政府采购合同金额的2%）</w:t>
            </w:r>
            <w:r>
              <w:rPr>
                <w:rFonts w:hint="eastAsia" w:ascii="宋体" w:hAnsi="宋体"/>
                <w:color w:val="000000" w:themeColor="text1"/>
                <w:szCs w:val="21"/>
                <w14:textFill>
                  <w14:solidFill>
                    <w14:schemeClr w14:val="tx1"/>
                  </w14:solidFill>
                </w14:textFill>
              </w:rPr>
              <w:t>。</w:t>
            </w:r>
          </w:p>
          <w:p w14:paraId="1589996E">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履约保证金提交方式：银行转账、支票、汇票、本票或者银行、保险机构出具的保函等非现金方式。</w:t>
            </w:r>
          </w:p>
          <w:p w14:paraId="5ACFD957">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履约保证金缴纳期限:</w:t>
            </w:r>
            <w:r>
              <w:rPr>
                <w:rFonts w:hint="eastAsia" w:ascii="宋体" w:hAnsi="宋体"/>
                <w:i/>
                <w:color w:val="000000" w:themeColor="text1"/>
                <w:szCs w:val="21"/>
                <w:u w:val="single"/>
                <w14:textFill>
                  <w14:solidFill>
                    <w14:schemeClr w14:val="tx1"/>
                  </w14:solidFill>
                </w14:textFill>
              </w:rPr>
              <w:t>自成交通知书发出之日起     日内(注意请勿超过采购需求中规定的签订合同时限)</w:t>
            </w:r>
            <w:r>
              <w:rPr>
                <w:rFonts w:hint="eastAsia" w:ascii="宋体" w:hAnsi="宋体"/>
                <w:color w:val="000000" w:themeColor="text1"/>
                <w:szCs w:val="21"/>
                <w14:textFill>
                  <w14:solidFill>
                    <w14:schemeClr w14:val="tx1"/>
                  </w14:solidFill>
                </w14:textFill>
              </w:rPr>
              <w:t>。</w:t>
            </w:r>
          </w:p>
          <w:p w14:paraId="72D1CA46">
            <w:pPr>
              <w:spacing w:line="360" w:lineRule="auto"/>
              <w:contextualSpacing/>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 xml:space="preserve">                               。</w:t>
            </w:r>
          </w:p>
          <w:p w14:paraId="7549E04E">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2E2EFA5C">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开户名称：</w:t>
            </w:r>
          </w:p>
          <w:p w14:paraId="5B477629">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开户银行：</w:t>
            </w:r>
          </w:p>
          <w:p w14:paraId="5F8CDB75">
            <w:pPr>
              <w:spacing w:line="360" w:lineRule="auto"/>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银行账号：</w:t>
            </w:r>
          </w:p>
          <w:p w14:paraId="39CC0C2B">
            <w:pPr>
              <w:spacing w:line="360" w:lineRule="auto"/>
              <w:contextualSpacing/>
              <w:rPr>
                <w:rFonts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b/>
                <w:color w:val="000000" w:themeColor="text1"/>
                <w:szCs w:val="21"/>
                <w14:textFill>
                  <w14:solidFill>
                    <w14:schemeClr w14:val="tx1"/>
                  </w14:solidFill>
                </w14:textFill>
              </w:rPr>
              <w:t>1</w:t>
            </w:r>
            <w:r>
              <w:rPr>
                <w:rFonts w:ascii="宋体" w:hAnsi="宋体" w:cs="宋体"/>
                <w:b/>
                <w:color w:val="000000" w:themeColor="text1"/>
                <w:szCs w:val="21"/>
                <w14:textFill>
                  <w14:solidFill>
                    <w14:schemeClr w14:val="tx1"/>
                  </w14:solidFill>
                </w14:textFill>
              </w:rPr>
              <w:t>.</w:t>
            </w:r>
            <w:bookmarkStart w:id="57" w:name="_Hlk54170335"/>
            <w:r>
              <w:rPr>
                <w:rFonts w:hint="eastAsia" w:ascii="宋体" w:hAnsi="宋体"/>
                <w:b/>
                <w:color w:val="000000" w:themeColor="text1"/>
                <w:szCs w:val="21"/>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000000" w:themeColor="text1"/>
                <w:kern w:val="0"/>
                <w:sz w:val="24"/>
                <w14:textFill>
                  <w14:solidFill>
                    <w14:schemeClr w14:val="tx1"/>
                  </w14:solidFill>
                </w14:textFill>
              </w:rPr>
              <w:t>。</w:t>
            </w:r>
            <w:bookmarkEnd w:id="57"/>
          </w:p>
          <w:p w14:paraId="63FBA057">
            <w:pPr>
              <w:spacing w:line="360" w:lineRule="auto"/>
              <w:contextualSpacing/>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000000" w:themeColor="text1"/>
                <w:szCs w:val="21"/>
                <w14:textFill>
                  <w14:solidFill>
                    <w14:schemeClr w14:val="tx1"/>
                  </w14:solidFill>
                </w14:textFill>
              </w:rPr>
              <w:br w:type="textWrapping"/>
            </w: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采用银行、保险机构出具的保函的，必须为无条件保函，否则不予签订合同。</w:t>
            </w:r>
          </w:p>
          <w:p w14:paraId="474317D3">
            <w:pPr>
              <w:snapToGrid w:val="0"/>
              <w:spacing w:line="360" w:lineRule="auto"/>
              <w:rPr>
                <w:rFonts w:ascii="宋体" w:hAns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7FBD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DBEDA5">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4538940E">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签订合同携带的证明材料： </w:t>
            </w:r>
          </w:p>
          <w:p w14:paraId="2694B102">
            <w:pPr>
              <w:autoSpaceDE w:val="0"/>
              <w:autoSpaceDN w:val="0"/>
              <w:snapToGrid w:val="0"/>
              <w:spacing w:line="360" w:lineRule="auto"/>
              <w:textAlignment w:val="bottom"/>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31575DFD">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w:t>
            </w:r>
            <w:r>
              <w:rPr>
                <w:rFonts w:ascii="宋体" w:hAnsi="宋体"/>
                <w:color w:val="000000" w:themeColor="text1"/>
                <w:szCs w:val="21"/>
                <w14:textFill>
                  <w14:solidFill>
                    <w14:schemeClr w14:val="tx1"/>
                  </w14:solidFill>
                </w14:textFill>
              </w:rPr>
              <w:t>身份证明原件</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身份证原件</w:t>
            </w:r>
            <w:r>
              <w:rPr>
                <w:rFonts w:hint="eastAsia" w:ascii="宋体" w:hAnsi="宋体"/>
                <w:color w:val="000000" w:themeColor="text1"/>
                <w:szCs w:val="21"/>
                <w14:textFill>
                  <w14:solidFill>
                    <w14:schemeClr w14:val="tx1"/>
                  </w14:solidFill>
                </w14:textFill>
              </w:rPr>
              <w:t>等其他证明材料。</w:t>
            </w:r>
          </w:p>
        </w:tc>
      </w:tr>
      <w:tr w14:paraId="2D8C4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C83636">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1.2</w:t>
            </w:r>
          </w:p>
        </w:tc>
        <w:tc>
          <w:tcPr>
            <w:tcW w:w="7912" w:type="dxa"/>
            <w:vAlign w:val="center"/>
          </w:tcPr>
          <w:p w14:paraId="75D48B1B">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接收质疑函方式：以书面形式。</w:t>
            </w:r>
          </w:p>
          <w:p w14:paraId="75E994AC">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质疑联系部门及联系方式：云之龙咨询集团有限公司招标部，联系电话：</w:t>
            </w:r>
            <w:r>
              <w:rPr>
                <w:rFonts w:hint="eastAsia" w:ascii="宋体" w:hAnsi="宋体" w:cs="宋体"/>
                <w:color w:val="000000" w:themeColor="text1"/>
                <w:kern w:val="0"/>
                <w:szCs w:val="21"/>
                <w14:textFill>
                  <w14:solidFill>
                    <w14:schemeClr w14:val="tx1"/>
                  </w14:solidFill>
                </w14:textFill>
              </w:rPr>
              <w:t>0777-5619366，通讯地址：广西钦州市子材东大街19号奥林名城8号楼8层</w:t>
            </w:r>
          </w:p>
          <w:p w14:paraId="1CF99315">
            <w:pPr>
              <w:pStyle w:val="13"/>
              <w:snapToGrid w:val="0"/>
              <w:spacing w:line="360" w:lineRule="auto"/>
              <w:rPr>
                <w:rFonts w:hAnsi="宋体"/>
                <w:color w:val="000000" w:themeColor="text1"/>
                <w14:textFill>
                  <w14:solidFill>
                    <w14:schemeClr w14:val="tx1"/>
                  </w14:solidFill>
                </w14:textFill>
              </w:rPr>
            </w:pPr>
            <w:r>
              <w:rPr>
                <w:rFonts w:hint="eastAsia" w:hAnsi="宋体" w:cs="宋体"/>
                <w:color w:val="000000" w:themeColor="text1"/>
                <w:sz w:val="21"/>
                <w14:textFill>
                  <w14:solidFill>
                    <w14:schemeClr w14:val="tx1"/>
                  </w14:solidFill>
                </w14:textFill>
              </w:rPr>
              <w:t>业务时间：工作日上午8时00分到12时00分，下午3时00分到6时00分，业务时间以外、双休日和法定节假日不办理业务。</w:t>
            </w:r>
          </w:p>
        </w:tc>
      </w:tr>
      <w:tr w14:paraId="517D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4794AF">
            <w:pPr>
              <w:spacing w:line="360" w:lineRule="auto"/>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A1FF1A3">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1.采购代理费支付方式：</w:t>
            </w:r>
          </w:p>
          <w:p w14:paraId="4685E1FE">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本项目代理服务费由</w:t>
            </w:r>
            <w:r>
              <w:rPr>
                <w:rFonts w:hint="eastAsia" w:hAnsi="宋体" w:cs="宋体"/>
                <w:color w:val="000000" w:themeColor="text1"/>
                <w:sz w:val="21"/>
                <w:u w:val="single"/>
                <w14:textFill>
                  <w14:solidFill>
                    <w14:schemeClr w14:val="tx1"/>
                  </w14:solidFill>
                </w14:textFill>
              </w:rPr>
              <w:t>成交供应商</w:t>
            </w:r>
            <w:r>
              <w:rPr>
                <w:rFonts w:hint="eastAsia" w:hAnsi="宋体" w:cs="宋体"/>
                <w:color w:val="000000" w:themeColor="text1"/>
                <w:sz w:val="21"/>
                <w14:textFill>
                  <w14:solidFill>
                    <w14:schemeClr w14:val="tx1"/>
                  </w14:solidFill>
                </w14:textFill>
              </w:rPr>
              <w:t>一次性向采购代理机构支付。</w:t>
            </w:r>
          </w:p>
          <w:p w14:paraId="193B96B5">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2.采购代理费收取标准：</w:t>
            </w:r>
          </w:p>
          <w:p w14:paraId="1E115188">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以预算金额为计费额，按本须知正文第</w:t>
            </w:r>
            <w:r>
              <w:rPr>
                <w:rFonts w:hAnsi="宋体" w:cs="宋体"/>
                <w:color w:val="000000" w:themeColor="text1"/>
                <w:sz w:val="21"/>
                <w14:textFill>
                  <w14:solidFill>
                    <w14:schemeClr w14:val="tx1"/>
                  </w14:solidFill>
                </w14:textFill>
              </w:rPr>
              <w:t>32</w:t>
            </w:r>
            <w:r>
              <w:rPr>
                <w:rFonts w:hint="eastAsia" w:hAnsi="宋体" w:cs="宋体"/>
                <w:color w:val="000000" w:themeColor="text1"/>
                <w:sz w:val="21"/>
                <w14:textFill>
                  <w14:solidFill>
                    <w14:schemeClr w14:val="tx1"/>
                  </w14:solidFill>
                </w14:textFill>
              </w:rPr>
              <w:t>.</w:t>
            </w:r>
            <w:r>
              <w:rPr>
                <w:rFonts w:hAnsi="宋体" w:cs="宋体"/>
                <w:color w:val="000000" w:themeColor="text1"/>
                <w:sz w:val="21"/>
                <w14:textFill>
                  <w14:solidFill>
                    <w14:schemeClr w14:val="tx1"/>
                  </w14:solidFill>
                </w14:textFill>
              </w:rPr>
              <w:t>2</w:t>
            </w:r>
            <w:r>
              <w:rPr>
                <w:rFonts w:hint="eastAsia" w:hAnsi="宋体" w:cs="宋体"/>
                <w:color w:val="000000" w:themeColor="text1"/>
                <w:sz w:val="21"/>
                <w14:textFill>
                  <w14:solidFill>
                    <w14:schemeClr w14:val="tx1"/>
                  </w14:solidFill>
                </w14:textFill>
              </w:rPr>
              <w:t>条规定的收费计算标准服务类采用差额定率累进法计算出收费基准价格，采购代理收费以收费基准价格收取。</w:t>
            </w:r>
          </w:p>
          <w:p w14:paraId="19719597">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3.采购代理费收取银行账户</w:t>
            </w:r>
          </w:p>
          <w:p w14:paraId="35848AC3">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开户名称：云之龙咨询集团有限公司钦州分公司</w:t>
            </w:r>
          </w:p>
          <w:p w14:paraId="38CC2A90">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开户银行：中信银行南宁东葛支行；</w:t>
            </w:r>
          </w:p>
          <w:p w14:paraId="0B89BA58">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银行账号：8113  0010  1330  0157  979；</w:t>
            </w:r>
          </w:p>
          <w:p w14:paraId="3DBE8841">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行号：3026  1102  9137</w:t>
            </w:r>
          </w:p>
        </w:tc>
      </w:tr>
      <w:tr w14:paraId="4106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2BBFF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3.1</w:t>
            </w:r>
          </w:p>
        </w:tc>
        <w:tc>
          <w:tcPr>
            <w:tcW w:w="7912" w:type="dxa"/>
            <w:vAlign w:val="center"/>
          </w:tcPr>
          <w:p w14:paraId="376F39B9">
            <w:pPr>
              <w:pStyle w:val="13"/>
              <w:snapToGrid w:val="0"/>
              <w:spacing w:line="360" w:lineRule="auto"/>
              <w:rPr>
                <w:rFonts w:hAnsi="宋体" w:cs="宋体"/>
                <w:color w:val="000000" w:themeColor="text1"/>
                <w:kern w:val="2"/>
                <w:sz w:val="21"/>
                <w14:textFill>
                  <w14:solidFill>
                    <w14:schemeClr w14:val="tx1"/>
                  </w14:solidFill>
                </w14:textFill>
              </w:rPr>
            </w:pPr>
            <w:r>
              <w:rPr>
                <w:rFonts w:hint="eastAsia" w:hAnsi="宋体" w:cs="宋体"/>
                <w:color w:val="000000" w:themeColor="text1"/>
                <w:sz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D35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AE011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3.2</w:t>
            </w:r>
          </w:p>
        </w:tc>
        <w:tc>
          <w:tcPr>
            <w:tcW w:w="7912" w:type="dxa"/>
            <w:vAlign w:val="center"/>
          </w:tcPr>
          <w:p w14:paraId="7C6B8725">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42C8975">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bCs/>
                <w:color w:val="000000" w:themeColor="text1"/>
                <w:sz w:val="21"/>
                <w14:textFill>
                  <w14:solidFill>
                    <w14:schemeClr w14:val="tx1"/>
                  </w14:solidFill>
                </w14:textFill>
              </w:rPr>
              <w:t>2.本磋商文件所称的“</w:t>
            </w:r>
            <w:r>
              <w:rPr>
                <w:rFonts w:hint="eastAsia" w:hAnsi="宋体"/>
                <w:color w:val="000000" w:themeColor="text1"/>
                <w:sz w:val="21"/>
                <w14:textFill>
                  <w14:solidFill>
                    <w14:schemeClr w14:val="tx1"/>
                  </w14:solidFill>
                </w14:textFill>
              </w:rPr>
              <w:t>电子签章</w:t>
            </w:r>
            <w:r>
              <w:rPr>
                <w:rFonts w:hint="eastAsia" w:hAnsi="宋体" w:cs="宋体"/>
                <w:bCs/>
                <w:color w:val="000000" w:themeColor="text1"/>
                <w:sz w:val="21"/>
                <w14:textFill>
                  <w14:solidFill>
                    <w14:schemeClr w14:val="tx1"/>
                  </w14:solidFill>
                </w14:textFill>
              </w:rPr>
              <w:t>”、“电子签名”</w:t>
            </w:r>
            <w:r>
              <w:rPr>
                <w:rFonts w:hint="eastAsia" w:hAnsi="宋体"/>
                <w:color w:val="000000" w:themeColor="text1"/>
                <w:sz w:val="21"/>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7BA22072">
            <w:pPr>
              <w:pStyle w:val="13"/>
              <w:snapToGrid w:val="0"/>
              <w:spacing w:line="360" w:lineRule="auto"/>
              <w:rPr>
                <w:rFonts w:hAnsi="宋体" w:cs="宋体"/>
                <w:bCs/>
                <w:color w:val="000000" w:themeColor="text1"/>
                <w:sz w:val="21"/>
                <w14:textFill>
                  <w14:solidFill>
                    <w14:schemeClr w14:val="tx1"/>
                  </w14:solidFill>
                </w14:textFill>
              </w:rPr>
            </w:pPr>
            <w:r>
              <w:rPr>
                <w:rFonts w:hAnsi="宋体" w:cs="宋体"/>
                <w:color w:val="000000" w:themeColor="text1"/>
                <w:sz w:val="21"/>
                <w14:textFill>
                  <w14:solidFill>
                    <w14:schemeClr w14:val="tx1"/>
                  </w14:solidFill>
                </w14:textFill>
              </w:rPr>
              <w:t>3</w:t>
            </w:r>
            <w:r>
              <w:rPr>
                <w:rFonts w:hint="eastAsia" w:hAnsi="宋体" w:cs="宋体"/>
                <w:color w:val="000000" w:themeColor="text1"/>
                <w:sz w:val="21"/>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14:textFill>
                  <w14:solidFill>
                    <w14:schemeClr w14:val="tx1"/>
                  </w14:solidFill>
                </w14:textFill>
              </w:rPr>
              <w:t>营业执照或者执业许可证等证照上的</w:t>
            </w:r>
            <w:r>
              <w:rPr>
                <w:rFonts w:hint="eastAsia" w:hAnsi="宋体" w:cs="宋体"/>
                <w:color w:val="000000" w:themeColor="text1"/>
                <w:sz w:val="21"/>
                <w14:textFill>
                  <w14:solidFill>
                    <w14:schemeClr w14:val="tx1"/>
                  </w14:solidFill>
                </w14:textFill>
              </w:rPr>
              <w:t>负责人，本磋商文件所称自然人指参与竞标的自然人本人，</w:t>
            </w:r>
            <w:r>
              <w:rPr>
                <w:rFonts w:hint="eastAsia" w:hAnsi="宋体" w:cs="宋体"/>
                <w:bCs/>
                <w:color w:val="000000" w:themeColor="text1"/>
                <w:sz w:val="21"/>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15C3B88B">
            <w:pPr>
              <w:pStyle w:val="13"/>
              <w:snapToGrid w:val="0"/>
              <w:spacing w:line="360" w:lineRule="auto"/>
              <w:rPr>
                <w:rFonts w:hAnsi="宋体" w:cs="宋体"/>
                <w:color w:val="000000" w:themeColor="text1"/>
                <w:sz w:val="21"/>
                <w14:textFill>
                  <w14:solidFill>
                    <w14:schemeClr w14:val="tx1"/>
                  </w14:solidFill>
                </w14:textFill>
              </w:rPr>
            </w:pPr>
            <w:r>
              <w:rPr>
                <w:rFonts w:hAnsi="宋体" w:cs="宋体"/>
                <w:color w:val="000000" w:themeColor="text1"/>
                <w:sz w:val="21"/>
                <w14:textFill>
                  <w14:solidFill>
                    <w14:schemeClr w14:val="tx1"/>
                  </w14:solidFill>
                </w14:textFill>
              </w:rPr>
              <w:t>4.</w:t>
            </w:r>
            <w:r>
              <w:rPr>
                <w:rFonts w:hint="eastAsia" w:hAnsi="宋体" w:cs="宋体"/>
                <w:color w:val="000000" w:themeColor="text1"/>
                <w:sz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108B5B2E">
            <w:pPr>
              <w:pStyle w:val="13"/>
              <w:snapToGrid w:val="0"/>
              <w:spacing w:line="360" w:lineRule="auto"/>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w:t>
            </w:r>
            <w:r>
              <w:rPr>
                <w:rFonts w:hAnsi="宋体" w:cs="宋体"/>
                <w:color w:val="000000" w:themeColor="text1"/>
                <w:sz w:val="21"/>
                <w14:textFill>
                  <w14:solidFill>
                    <w14:schemeClr w14:val="tx1"/>
                  </w14:solidFill>
                </w14:textFill>
              </w:rPr>
              <w:t>.</w:t>
            </w:r>
            <w:r>
              <w:rPr>
                <w:rFonts w:hint="eastAsia" w:hAnsi="宋体" w:cs="宋体"/>
                <w:color w:val="000000" w:themeColor="text1"/>
                <w:sz w:val="21"/>
                <w14:textFill>
                  <w14:solidFill>
                    <w14:schemeClr w14:val="tx1"/>
                  </w14:solidFill>
                </w14:textFill>
              </w:rPr>
              <w:t>本磋商文件所称的“以上”“以下”“以内”“届满”，包括本数；所称的“不满”“超过”“以外”，不包括本数。</w:t>
            </w:r>
          </w:p>
        </w:tc>
      </w:tr>
    </w:tbl>
    <w:p w14:paraId="1F4A4361">
      <w:pPr>
        <w:spacing w:line="400" w:lineRule="exact"/>
        <w:jc w:val="cente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7F07967C">
      <w:pPr>
        <w:spacing w:line="400" w:lineRule="exact"/>
        <w:jc w:val="center"/>
        <w:rPr>
          <w:rFonts w:ascii="宋体" w:hAnsi="宋体"/>
          <w:b/>
          <w:color w:val="000000" w:themeColor="text1"/>
          <w:sz w:val="32"/>
          <w:szCs w:val="32"/>
          <w14:textFill>
            <w14:solidFill>
              <w14:schemeClr w14:val="tx1"/>
            </w14:solidFill>
          </w14:textFill>
        </w:rPr>
      </w:pPr>
    </w:p>
    <w:p w14:paraId="6125005E">
      <w:pPr>
        <w:spacing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638BF096">
      <w:pPr>
        <w:spacing w:line="400" w:lineRule="exact"/>
        <w:rPr>
          <w:rFonts w:ascii="宋体" w:hAnsi="宋体"/>
          <w:color w:val="000000" w:themeColor="text1"/>
          <w:szCs w:val="21"/>
          <w14:textFill>
            <w14:solidFill>
              <w14:schemeClr w14:val="tx1"/>
            </w14:solidFill>
          </w14:textFill>
        </w:rPr>
      </w:pPr>
    </w:p>
    <w:p w14:paraId="0A998D8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1.适用范围</w:t>
      </w:r>
    </w:p>
    <w:p w14:paraId="3FD812A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5F50152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r>
        <w:rPr>
          <w:rFonts w:hint="eastAsia" w:ascii="宋体" w:hAnsi="宋体" w:cs="宋体"/>
          <w:color w:val="000000" w:themeColor="text1"/>
          <w:spacing w:val="-6"/>
          <w:szCs w:val="21"/>
          <w14:textFill>
            <w14:solidFill>
              <w14:schemeClr w14:val="tx1"/>
            </w14:solidFill>
          </w14:textFill>
        </w:rPr>
        <w:t>本竞争性磋商文件（以下简称磋商文件）适用于本项目的所有采购程序和环节（法律、法规另有规定的，从其规定）。</w:t>
      </w:r>
    </w:p>
    <w:p w14:paraId="1E48C23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2.定义</w:t>
      </w:r>
    </w:p>
    <w:p w14:paraId="684F057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2.1“采购人”是指依法进行政府采购的国家机关、事业单位、团体组织。</w:t>
      </w:r>
    </w:p>
    <w:p w14:paraId="3A920930">
      <w:pPr>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2.2“采购代理机构”是指政府采购集中采购机构和集中采购机构以外的采购代理机构。</w:t>
      </w:r>
    </w:p>
    <w:p w14:paraId="0F77578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2.3“供应商”是指向采购人提供货物、工程或者服务的法人、其他组织或者自然人。</w:t>
      </w:r>
    </w:p>
    <w:p w14:paraId="706658E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2.4“服务”是指除货物和工程以外的其他政府采购对象。</w:t>
      </w:r>
    </w:p>
    <w:p w14:paraId="216E1F0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18A8A8CF">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2.6“书面形式”是指合同书、信件和数据电文（包括电报、电传、传真、电子数据交换和电子邮件）等可以有形地表现所载内容的形式。</w:t>
      </w:r>
    </w:p>
    <w:p w14:paraId="1960C433">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2.7“响应文件”</w:t>
      </w:r>
      <w:r>
        <w:rPr>
          <w:rFonts w:hint="eastAsia" w:ascii="宋体" w:hAnsi="宋体" w:cs="宋体"/>
          <w:color w:val="000000" w:themeColor="text1"/>
          <w:spacing w:val="-6"/>
          <w:szCs w:val="21"/>
          <w14:textFill>
            <w14:solidFill>
              <w14:schemeClr w14:val="tx1"/>
            </w14:solidFill>
          </w14:textFill>
        </w:rPr>
        <w:t>是指：供应商根据本磋商文件要求，编制包含资格证明、报价、商务技术等所有内容的文件。</w:t>
      </w:r>
    </w:p>
    <w:p w14:paraId="30539871">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2.8“实质性要求”是指磋商文件中已经指明不满足则响应文件按无效响应处理的条款，或者不能负偏离的条款，或者采购需求中带“▲”的条款。</w:t>
      </w:r>
    </w:p>
    <w:p w14:paraId="120BFE92">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2.9“正偏离”，是指响应文件对磋商文件“采购需求”中有关条款作出的响应优于条款要求并有利于采购人的情形。</w:t>
      </w:r>
    </w:p>
    <w:p w14:paraId="7131E082">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10“负偏离”，是指响应文件对磋商文件“采购需求”中有关条款作出的响应不满足条款要求，导致采购人要求不能得到满足的情形。</w:t>
      </w:r>
    </w:p>
    <w:p w14:paraId="217EC148">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2.11“允许负偏离的条款”是指采购需求中的不属于“实质性要求”的条款。</w:t>
      </w:r>
    </w:p>
    <w:p w14:paraId="16C9A9EC">
      <w:pPr>
        <w:spacing w:line="360" w:lineRule="auto"/>
        <w:ind w:firstLine="420" w:firstLineChars="200"/>
        <w:contextualSpacing/>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2“首次报价”是指供应商提交的首次响应文件中的报价。</w:t>
      </w:r>
    </w:p>
    <w:p w14:paraId="5188702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3.供应商的资格条件</w:t>
      </w:r>
    </w:p>
    <w:p w14:paraId="7A42F1C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7541BA2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4.竞标费用</w:t>
      </w:r>
    </w:p>
    <w:p w14:paraId="758E5A3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712865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5.联合体竞标</w:t>
      </w:r>
    </w:p>
    <w:p w14:paraId="35DCC18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5.1本项目是否接受联合体竞标，详见“供应商须知前附表”。</w:t>
      </w:r>
    </w:p>
    <w:p w14:paraId="70F8F0D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93C6D0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 xml:space="preserve">6.转包与分包             </w:t>
      </w:r>
    </w:p>
    <w:p w14:paraId="3E2F8860">
      <w:pPr>
        <w:pStyle w:val="4"/>
        <w:keepNext w:val="0"/>
        <w:keepLines w:val="0"/>
        <w:spacing w:before="0" w:after="0" w:line="360" w:lineRule="auto"/>
        <w:ind w:left="420" w:leftChars="200"/>
        <w:rPr>
          <w:rFonts w:ascii="宋体" w:hAnsi="宋体"/>
          <w:b w:val="0"/>
          <w:color w:val="000000" w:themeColor="text1"/>
          <w:sz w:val="21"/>
          <w:szCs w:val="21"/>
          <w14:textFill>
            <w14:solidFill>
              <w14:schemeClr w14:val="tx1"/>
            </w14:solidFill>
          </w14:textFill>
        </w:rPr>
      </w:pPr>
      <w:bookmarkStart w:id="58" w:name="_Toc254970673"/>
      <w:bookmarkStart w:id="59" w:name="_Toc254970532"/>
      <w:r>
        <w:rPr>
          <w:rFonts w:hint="eastAsia" w:ascii="宋体" w:hAnsi="宋体"/>
          <w:b w:val="0"/>
          <w:color w:val="000000" w:themeColor="text1"/>
          <w:sz w:val="21"/>
          <w:szCs w:val="21"/>
          <w14:textFill>
            <w14:solidFill>
              <w14:schemeClr w14:val="tx1"/>
            </w14:solidFill>
          </w14:textFill>
        </w:rPr>
        <w:t>6.1本项目不允许转包。</w:t>
      </w:r>
    </w:p>
    <w:p w14:paraId="408F94C1">
      <w:pPr>
        <w:pStyle w:val="4"/>
        <w:keepNext w:val="0"/>
        <w:keepLines w:val="0"/>
        <w:spacing w:before="0" w:after="0" w:line="360" w:lineRule="auto"/>
        <w:ind w:firstLine="315" w:firstLineChars="150"/>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F4A8DB2">
      <w:pPr>
        <w:pStyle w:val="4"/>
        <w:keepNext w:val="0"/>
        <w:keepLines w:val="0"/>
        <w:spacing w:before="0" w:after="0" w:line="360" w:lineRule="auto"/>
        <w:ind w:firstLine="315" w:firstLineChars="150"/>
        <w:rPr>
          <w:rFonts w:ascii="宋体" w:hAnsi="宋体"/>
          <w:b w:val="0"/>
          <w:color w:val="000000" w:themeColor="text1"/>
          <w:sz w:val="21"/>
          <w:szCs w:val="2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A2AE0D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7.特别说明</w:t>
      </w:r>
      <w:bookmarkEnd w:id="58"/>
      <w:bookmarkEnd w:id="59"/>
    </w:p>
    <w:p w14:paraId="6A00AFFC">
      <w:pPr>
        <w:spacing w:line="360" w:lineRule="auto"/>
        <w:ind w:firstLine="420" w:firstLineChars="200"/>
        <w:rPr>
          <w:rFonts w:ascii="宋体" w:hAnsi="宋体" w:cs="宋体"/>
          <w:color w:val="000000" w:themeColor="text1"/>
          <w:szCs w:val="21"/>
          <w14:textFill>
            <w14:solidFill>
              <w14:schemeClr w14:val="tx1"/>
            </w14:solidFill>
          </w14:textFill>
        </w:rPr>
      </w:pPr>
      <w:bookmarkStart w:id="60" w:name="_8.1提供相同品牌产品且通过资格审查、符合性审查的不同投标人参加同一合"/>
      <w:bookmarkEnd w:id="60"/>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1</w:t>
      </w:r>
      <w:bookmarkStart w:id="61" w:name="_Hlk65832145"/>
      <w:r>
        <w:rPr>
          <w:rFonts w:hint="eastAsia" w:ascii="宋体" w:hAnsi="宋体"/>
          <w:color w:val="000000" w:themeColor="text1"/>
          <w:szCs w:val="21"/>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14:textFill>
            <w14:solidFill>
              <w14:schemeClr w14:val="tx1"/>
            </w14:solidFill>
          </w14:textFill>
        </w:rPr>
        <w:t>。</w:t>
      </w:r>
    </w:p>
    <w:bookmarkEnd w:id="61"/>
    <w:p w14:paraId="376C378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4D9A2B5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E7DED3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300248C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（1）参加采购活动前3年内与供应商存在劳动关系；</w:t>
      </w:r>
    </w:p>
    <w:p w14:paraId="62AF909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（2）参加采购活动前3年内担任供应商的董事、监事；</w:t>
      </w:r>
    </w:p>
    <w:p w14:paraId="044A48C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（3）参加采购活动前3年内是供应商的控股股东或者实际控制人；</w:t>
      </w:r>
    </w:p>
    <w:p w14:paraId="30D6809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（4）与供应商的法定代表人或者负责人有夫妻、直系血亲、三代以内旁系血亲或者近姻亲关系；</w:t>
      </w:r>
    </w:p>
    <w:p w14:paraId="300FDE3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（5）与供应商有其他可能影响政府采购活动公平、公正进行的关系。</w:t>
      </w:r>
    </w:p>
    <w:p w14:paraId="6BCD017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2BE9E2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55C7241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（1）不同供应商的响应文件由同一单位或者个人编制； </w:t>
      </w:r>
    </w:p>
    <w:p w14:paraId="53C0C7A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（2）不同供应商委托同一单位或者个人办理竞标事宜；</w:t>
      </w:r>
    </w:p>
    <w:p w14:paraId="25B8DD3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（3）不同的供应商的响应文件载明的项目管理员为同一个人；</w:t>
      </w:r>
    </w:p>
    <w:p w14:paraId="400C392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（4）不同供应商的响应文件异常一致或者报价呈规律性差异；</w:t>
      </w:r>
    </w:p>
    <w:p w14:paraId="2FF8D49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（5）不同供应商的响应文件相互混装；</w:t>
      </w:r>
    </w:p>
    <w:p w14:paraId="7800C619">
      <w:pPr>
        <w:tabs>
          <w:tab w:val="left" w:pos="6931"/>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（6）不同供应商的磋商保证金从同一单位或者个人账户转出。</w:t>
      </w:r>
      <w:r>
        <w:rPr>
          <w:rFonts w:ascii="宋体" w:hAnsi="宋体" w:cs="宋体"/>
          <w:color w:val="000000" w:themeColor="text1"/>
          <w:szCs w:val="21"/>
          <w14:textFill>
            <w14:solidFill>
              <w14:schemeClr w14:val="tx1"/>
            </w14:solidFill>
          </w14:textFill>
        </w:rPr>
        <w:tab/>
      </w:r>
    </w:p>
    <w:p w14:paraId="50BCA91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70AFA28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（1）供应商直接或者间接从采购人或者采购代理机构处获得其他供应商的相关信息并修改其响应文件；</w:t>
      </w:r>
    </w:p>
    <w:p w14:paraId="1CFA363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（2）供应商按照采购人或者采购代理机构的授意撤换、修改响应文件；</w:t>
      </w:r>
    </w:p>
    <w:p w14:paraId="45FD84B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（3）供应商之间协商报价、技术方案等响应文件或者响应文件的实质性内容；</w:t>
      </w:r>
    </w:p>
    <w:p w14:paraId="29D9199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（4）属于同一集团、协会、商会等组织成员的供应商按照该组织要求协同参加政府采购活动；</w:t>
      </w:r>
    </w:p>
    <w:p w14:paraId="08B705F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706D1F0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（6）供应商之间商定部分供应商放弃参加政府采购活动或者放弃成交；</w:t>
      </w:r>
    </w:p>
    <w:p w14:paraId="254C869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（7）供应商与采购人或者采购代理机构之间、供应商相互之间，为谋求特定供应商成交或者排斥其他供应商的其他串通行为。</w:t>
      </w:r>
    </w:p>
    <w:p w14:paraId="03D44579">
      <w:pPr>
        <w:spacing w:line="360" w:lineRule="auto"/>
        <w:ind w:firstLine="420" w:firstLineChars="200"/>
        <w:rPr>
          <w:rFonts w:ascii="宋体" w:hAnsi="宋体" w:cs="宋体"/>
          <w:color w:val="000000" w:themeColor="text1"/>
          <w:szCs w:val="21"/>
          <w14:textFill>
            <w14:solidFill>
              <w14:schemeClr w14:val="tx1"/>
            </w14:solidFill>
          </w14:textFill>
        </w:rPr>
      </w:pPr>
    </w:p>
    <w:p w14:paraId="0179D4AE">
      <w:pPr>
        <w:spacing w:line="360" w:lineRule="auto"/>
        <w:ind w:left="1" w:firstLine="417" w:firstLineChars="199"/>
        <w:jc w:val="center"/>
        <w:rPr>
          <w:rFonts w:ascii="宋体" w:hAnsi="宋体"/>
          <w:color w:val="000000" w:themeColor="text1"/>
          <w14:textFill>
            <w14:solidFill>
              <w14:schemeClr w14:val="tx1"/>
            </w14:solidFill>
          </w14:textFill>
        </w:rPr>
      </w:pPr>
      <w:bookmarkStart w:id="62" w:name="_Toc254970675"/>
      <w:bookmarkStart w:id="63" w:name="_Toc254970534"/>
    </w:p>
    <w:p w14:paraId="39E0C0A6">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2"/>
      <w:bookmarkEnd w:id="63"/>
    </w:p>
    <w:p w14:paraId="7E4B64F0">
      <w:pPr>
        <w:spacing w:line="360" w:lineRule="auto"/>
        <w:rPr>
          <w:rFonts w:ascii="宋体" w:hAnsi="宋体"/>
          <w:color w:val="000000" w:themeColor="text1"/>
          <w:szCs w:val="21"/>
          <w14:textFill>
            <w14:solidFill>
              <w14:schemeClr w14:val="tx1"/>
            </w14:solidFill>
          </w14:textFill>
        </w:rPr>
      </w:pPr>
    </w:p>
    <w:p w14:paraId="2D6C3F2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8.磋商文件的构成</w:t>
      </w:r>
    </w:p>
    <w:p w14:paraId="2CC08215">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（1）竞争性磋商公告；</w:t>
      </w:r>
    </w:p>
    <w:p w14:paraId="704B2635">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（2）供应商须知； </w:t>
      </w:r>
    </w:p>
    <w:p w14:paraId="0E05C381">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（3）采购需求；</w:t>
      </w:r>
    </w:p>
    <w:p w14:paraId="0E29F645">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（4）评审程序、评审方法和评审标准；</w:t>
      </w:r>
    </w:p>
    <w:p w14:paraId="7AD976B3">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（5）响应文件格式；</w:t>
      </w:r>
    </w:p>
    <w:p w14:paraId="03ABB5BB">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（6）合同文本。</w:t>
      </w:r>
    </w:p>
    <w:p w14:paraId="6D676E6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9.供应商的询问</w:t>
      </w:r>
    </w:p>
    <w:p w14:paraId="3403F48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供应商应认真阅读磋商文件的采购需求，如供应商对磋商文件有疑问的，如要求采购人作出澄清或者修改的，供应商应在</w:t>
      </w:r>
      <w:r>
        <w:rPr>
          <w:rFonts w:ascii="宋体" w:hAnsi="宋体"/>
          <w:color w:val="000000" w:themeColor="text1"/>
          <w:szCs w:val="21"/>
          <w14:textFill>
            <w14:solidFill>
              <w14:schemeClr w14:val="tx1"/>
            </w14:solidFill>
          </w14:textFill>
        </w:rPr>
        <w:t>提交首次响应文件截止之日前</w:t>
      </w:r>
      <w:r>
        <w:rPr>
          <w:rFonts w:hint="eastAsia" w:ascii="宋体" w:hAnsi="宋体"/>
          <w:color w:val="000000" w:themeColor="text1"/>
          <w:szCs w:val="21"/>
          <w14:textFill>
            <w14:solidFill>
              <w14:schemeClr w14:val="tx1"/>
            </w14:solidFill>
          </w14:textFill>
        </w:rPr>
        <w:t>，以书面形式向</w:t>
      </w:r>
      <w:r>
        <w:rPr>
          <w:rFonts w:ascii="宋体" w:hAnsi="宋体"/>
          <w:color w:val="000000" w:themeColor="text1"/>
          <w:szCs w:val="21"/>
          <w14:textFill>
            <w14:solidFill>
              <w14:schemeClr w14:val="tx1"/>
            </w14:solidFill>
          </w14:textFill>
        </w:rPr>
        <w:t>采购人、采购代理机构</w:t>
      </w:r>
      <w:r>
        <w:rPr>
          <w:rFonts w:hint="eastAsia" w:ascii="宋体" w:hAnsi="宋体"/>
          <w:color w:val="000000" w:themeColor="text1"/>
          <w:szCs w:val="21"/>
          <w14:textFill>
            <w14:solidFill>
              <w14:schemeClr w14:val="tx1"/>
            </w14:solidFill>
          </w14:textFill>
        </w:rPr>
        <w:t>提出。</w:t>
      </w:r>
    </w:p>
    <w:p w14:paraId="16C7FF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10.磋商文件的澄清和修改</w:t>
      </w:r>
    </w:p>
    <w:p w14:paraId="11B346F4">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themeColor="text1"/>
          <w:szCs w:val="21"/>
          <w14:textFill>
            <w14:solidFill>
              <w14:schemeClr w14:val="tx1"/>
            </w14:solidFill>
          </w14:textFill>
        </w:rPr>
        <w:t>获取</w:t>
      </w:r>
      <w:r>
        <w:rPr>
          <w:rFonts w:ascii="宋体" w:hAnsi="宋体"/>
          <w:color w:val="000000" w:themeColor="text1"/>
          <w:szCs w:val="21"/>
          <w14:textFill>
            <w14:solidFill>
              <w14:schemeClr w14:val="tx1"/>
            </w14:solidFill>
          </w14:textFill>
        </w:rPr>
        <w:t>磋商文件的供应商，不足3个工作日的，应当顺延提交首次响应文件截止之日。</w:t>
      </w:r>
    </w:p>
    <w:p w14:paraId="25B5B62A">
      <w:pPr>
        <w:spacing w:line="360" w:lineRule="auto"/>
        <w:rPr>
          <w:rFonts w:ascii="宋体" w:hAnsi="宋体"/>
          <w:color w:val="000000" w:themeColor="text1"/>
          <w:szCs w:val="21"/>
          <w14:textFill>
            <w14:solidFill>
              <w14:schemeClr w14:val="tx1"/>
            </w14:solidFill>
          </w14:textFill>
        </w:rPr>
      </w:pPr>
    </w:p>
    <w:p w14:paraId="471A3396">
      <w:pPr>
        <w:spacing w:line="360"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5339E286">
      <w:pPr>
        <w:spacing w:line="360" w:lineRule="auto"/>
        <w:rPr>
          <w:rFonts w:ascii="宋体" w:hAnsi="宋体"/>
          <w:color w:val="000000" w:themeColor="text1"/>
          <w:szCs w:val="21"/>
          <w14:textFill>
            <w14:solidFill>
              <w14:schemeClr w14:val="tx1"/>
            </w14:solidFill>
          </w14:textFill>
        </w:rPr>
      </w:pPr>
    </w:p>
    <w:p w14:paraId="6EB4112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11.响应文件的编制原则</w:t>
      </w:r>
    </w:p>
    <w:p w14:paraId="0D02391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w:t>
      </w:r>
      <w:r>
        <w:rPr>
          <w:rFonts w:hint="eastAsia" w:ascii="宋体" w:hAnsi="宋体"/>
          <w:color w:val="000000" w:themeColor="text1"/>
          <w:szCs w:val="21"/>
          <w14:textFill>
            <w14:solidFill>
              <w14:schemeClr w14:val="tx1"/>
            </w14:solidFill>
          </w14:textFill>
        </w:rPr>
        <w:t>提出的要求和条件作出明确响应</w:t>
      </w:r>
      <w:r>
        <w:rPr>
          <w:rFonts w:hint="eastAsia" w:ascii="宋体" w:hAnsi="宋体" w:cs="宋体"/>
          <w:color w:val="000000" w:themeColor="text1"/>
          <w:szCs w:val="21"/>
          <w14:textFill>
            <w14:solidFill>
              <w14:schemeClr w14:val="tx1"/>
            </w14:solidFill>
          </w14:textFill>
        </w:rPr>
        <w:t>。</w:t>
      </w:r>
    </w:p>
    <w:p w14:paraId="2955FF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12.响应文件的组成</w:t>
      </w:r>
    </w:p>
    <w:p w14:paraId="6343356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12.1响应文件由资格证明文件、报价文件、商务技术文件三部分组成。</w:t>
      </w:r>
    </w:p>
    <w:p w14:paraId="2463EF9B">
      <w:pPr>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12.1.1资格证明文件：详见“供应商须知前附表”</w:t>
      </w:r>
    </w:p>
    <w:p w14:paraId="28EBE294">
      <w:pPr>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12.1.2报价文件：详见“供应商须知前附表”</w:t>
      </w:r>
    </w:p>
    <w:p w14:paraId="7C60165D">
      <w:pPr>
        <w:spacing w:line="360" w:lineRule="auto"/>
        <w:ind w:left="840" w:leftChars="200" w:hanging="420" w:hanging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12.1.3商务技术文件：详见“供应商须知前附表”</w:t>
      </w:r>
    </w:p>
    <w:p w14:paraId="0D46DC6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13.计量单位</w:t>
      </w:r>
    </w:p>
    <w:p w14:paraId="728152F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658FD3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14.竞标的风险</w:t>
      </w:r>
    </w:p>
    <w:p w14:paraId="7EF6EA0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17D714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15.竞标报价</w:t>
      </w:r>
    </w:p>
    <w:p w14:paraId="246F7D26">
      <w:pPr>
        <w:tabs>
          <w:tab w:val="left" w:pos="2492"/>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15.1竞标报价应按磋商文件中“竞标报价表”格式填写。</w:t>
      </w:r>
    </w:p>
    <w:p w14:paraId="6420D1CD">
      <w:pPr>
        <w:tabs>
          <w:tab w:val="left" w:pos="2492"/>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15.2竞标报价的内容见“供应商须知前附表”。</w:t>
      </w:r>
    </w:p>
    <w:p w14:paraId="5A1D8BC0">
      <w:pPr>
        <w:spacing w:line="360" w:lineRule="auto"/>
        <w:ind w:left="426" w:leftChars="20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15.3竞标报价要求</w:t>
      </w:r>
    </w:p>
    <w:p w14:paraId="3A871C4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5.3.1</w:t>
      </w:r>
      <w:r>
        <w:rPr>
          <w:rFonts w:hint="eastAsia" w:ascii="宋体" w:hAnsi="宋体" w:cs="宋体"/>
          <w:color w:val="000000" w:themeColor="text1"/>
          <w:szCs w:val="21"/>
          <w14:textFill>
            <w14:solidFill>
              <w14:schemeClr w14:val="tx1"/>
            </w14:solidFill>
          </w14:textFill>
        </w:rPr>
        <w:t>供应商的竞标报价应符合以下要求，</w:t>
      </w:r>
      <w:r>
        <w:rPr>
          <w:rFonts w:hint="eastAsia" w:ascii="宋体" w:hAnsi="宋体" w:cs="宋体"/>
          <w:b/>
          <w:bCs/>
          <w:color w:val="000000" w:themeColor="text1"/>
          <w:szCs w:val="21"/>
          <w14:textFill>
            <w14:solidFill>
              <w14:schemeClr w14:val="tx1"/>
            </w14:solidFill>
          </w14:textFill>
        </w:rPr>
        <w:t>否则响应文件按无效响应处理</w:t>
      </w:r>
      <w:r>
        <w:rPr>
          <w:rFonts w:hint="eastAsia" w:ascii="宋体" w:hAnsi="宋体" w:cs="宋体"/>
          <w:color w:val="000000" w:themeColor="text1"/>
          <w:szCs w:val="21"/>
          <w14:textFill>
            <w14:solidFill>
              <w14:schemeClr w14:val="tx1"/>
            </w14:solidFill>
          </w14:textFill>
        </w:rPr>
        <w:t>：</w:t>
      </w:r>
    </w:p>
    <w:p w14:paraId="6C543C89">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（1）供应商必须就“采购需求”中所竞标的每个分标的全部内容分别作完整唯一总价报价，不得存在漏项报价；</w:t>
      </w:r>
    </w:p>
    <w:p w14:paraId="76A339D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6EEE166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3EDEB45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15.3.</w:t>
      </w:r>
      <w:r>
        <w:rPr>
          <w:rFonts w:ascii="宋体" w:hAnsi="宋体" w:cs="宋体"/>
          <w:color w:val="000000" w:themeColor="text1"/>
          <w:szCs w:val="21"/>
          <w14:textFill>
            <w14:solidFill>
              <w14:schemeClr w14:val="tx1"/>
            </w14:solidFill>
          </w14:textFill>
        </w:rPr>
        <w:t>3</w:t>
      </w:r>
      <w:bookmarkStart w:id="64"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竞标报价（包含首次报价、最后报价）超过分项采购预算金额或者最高限价的，其响应文件将按无效处理。</w:t>
      </w:r>
    </w:p>
    <w:bookmarkEnd w:id="64"/>
    <w:p w14:paraId="00B9C46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16.竞标有效期</w:t>
      </w:r>
    </w:p>
    <w:p w14:paraId="71B15A5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3BE4C10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16.2 竞标有效期应由供应商按“供应商须知前附表”规定的期限作出响应。</w:t>
      </w:r>
      <w:r>
        <w:rPr>
          <w:rFonts w:hint="eastAsia" w:ascii="宋体" w:hAnsi="宋体"/>
          <w:color w:val="000000" w:themeColor="text1"/>
          <w:szCs w:val="21"/>
          <w14:textFill>
            <w14:solidFill>
              <w14:schemeClr w14:val="tx1"/>
            </w14:solidFill>
          </w14:textFill>
        </w:rPr>
        <w:t>承诺的竞标有效期低于采购文件规定期限的，供应商的响应文件作无效处理。</w:t>
      </w:r>
    </w:p>
    <w:p w14:paraId="51CD4EA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16.3供应商的响应文件在竞标有效期内均保持有效。</w:t>
      </w:r>
    </w:p>
    <w:p w14:paraId="4C4F503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17.磋商保证金</w:t>
      </w:r>
    </w:p>
    <w:p w14:paraId="19C4DE8B">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17.1供应商须按“供应商须知前附表”的规定提交磋商保证金。</w:t>
      </w:r>
    </w:p>
    <w:p w14:paraId="309A3371">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17.2磋商保证金的退还</w:t>
      </w:r>
    </w:p>
    <w:p w14:paraId="26B451B1">
      <w:pPr>
        <w:spacing w:line="360" w:lineRule="auto"/>
        <w:ind w:firstLine="420" w:firstLineChars="200"/>
        <w:rPr>
          <w:rFonts w:ascii="宋体" w:hAnsi="宋体" w:cs="宋体"/>
          <w:color w:val="000000" w:themeColor="text1"/>
          <w:szCs w:val="21"/>
          <w14:textFill>
            <w14:solidFill>
              <w14:schemeClr w14:val="tx1"/>
            </w14:solidFill>
          </w14:textFill>
        </w:rPr>
      </w:pPr>
      <w:bookmarkStart w:id="65" w:name="_Hlk66782243"/>
      <w:r>
        <w:rPr>
          <w:rFonts w:hint="eastAsia" w:ascii="宋体" w:hAnsi="宋体" w:cs="宋体"/>
          <w:color w:val="000000" w:themeColor="text1"/>
          <w:szCs w:val="21"/>
          <w14:textFill>
            <w14:solidFill>
              <w14:schemeClr w14:val="tx1"/>
            </w14:solidFill>
          </w14:textFill>
        </w:rPr>
        <w:t>未</w:t>
      </w:r>
      <w:r>
        <w:rPr>
          <w:rFonts w:hint="eastAsia" w:ascii="宋体" w:hAnsi="宋体" w:cs="宋体"/>
          <w:color w:val="000000" w:themeColor="text1"/>
          <w:spacing w:val="-6"/>
          <w:szCs w:val="21"/>
          <w14:textFill>
            <w14:solidFill>
              <w14:schemeClr w14:val="tx1"/>
            </w14:solidFill>
          </w14:textFill>
        </w:rPr>
        <w:t>成交供应商的磋商保证金自成交通知书发出之日起5个工作日内退还；</w:t>
      </w:r>
      <w:r>
        <w:rPr>
          <w:rFonts w:hint="eastAsia" w:ascii="宋体" w:hAnsi="宋体" w:cs="宋体"/>
          <w:color w:val="000000" w:themeColor="text1"/>
          <w:szCs w:val="21"/>
          <w14:textFill>
            <w14:solidFill>
              <w14:schemeClr w14:val="tx1"/>
            </w14:solidFill>
          </w14:textFill>
        </w:rPr>
        <w:t>成交供应商的磋商保证金自签订合同之日起5个工作日内退还。</w:t>
      </w:r>
      <w:bookmarkEnd w:id="65"/>
    </w:p>
    <w:p w14:paraId="6EAEAC65">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17.3除逾期退还磋商保证金和终止采购的情形以外，磋商保证金不计息。</w:t>
      </w:r>
    </w:p>
    <w:p w14:paraId="3E188844">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17.4供应商有下列情形之一的，磋商保证金将不予退还： </w:t>
      </w:r>
    </w:p>
    <w:p w14:paraId="4E306FFE">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（1）供应商在提交响应文件截止时间后撤回响应文件的；</w:t>
      </w:r>
    </w:p>
    <w:p w14:paraId="33455491">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（2）未按规定提交履约保证金的；</w:t>
      </w:r>
    </w:p>
    <w:p w14:paraId="05CA0ABB">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（3）供应商在响应文件中提供虚假材料的；</w:t>
      </w:r>
    </w:p>
    <w:p w14:paraId="330A696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（4）除因不可抗力或者磋商文件认可的情形以外，成交供应商不与采购人签订合同的；</w:t>
      </w:r>
    </w:p>
    <w:p w14:paraId="317B24A2">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（5）供应商与采购人、其他供应商或者采购代理机构恶意串通的；</w:t>
      </w:r>
    </w:p>
    <w:p w14:paraId="5C3930DE">
      <w:pPr>
        <w:spacing w:line="360" w:lineRule="auto"/>
        <w:ind w:left="420" w:left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（6）法律法规规定的其他情形。</w:t>
      </w:r>
    </w:p>
    <w:p w14:paraId="1914A29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18.响应文件编制的要求</w:t>
      </w:r>
    </w:p>
    <w:p w14:paraId="47AD806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662490B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23D0A26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18.3响应文件须由供应商在规定位置签字、盖章（具体以供应商须知前附表或响应文件格式规定为准），</w:t>
      </w:r>
      <w:r>
        <w:rPr>
          <w:rFonts w:hint="eastAsia" w:ascii="宋体" w:hAnsi="宋体" w:cs="宋体"/>
          <w:b/>
          <w:bCs/>
          <w:color w:val="000000" w:themeColor="text1"/>
          <w:szCs w:val="21"/>
          <w14:textFill>
            <w14:solidFill>
              <w14:schemeClr w14:val="tx1"/>
            </w14:solidFill>
          </w14:textFill>
        </w:rPr>
        <w:t>否则按无效响应处理</w:t>
      </w:r>
      <w:r>
        <w:rPr>
          <w:rFonts w:hint="eastAsia" w:ascii="宋体" w:hAnsi="宋体" w:cs="宋体"/>
          <w:color w:val="000000" w:themeColor="text1"/>
          <w:szCs w:val="21"/>
          <w14:textFill>
            <w14:solidFill>
              <w14:schemeClr w14:val="tx1"/>
            </w14:solidFill>
          </w14:textFill>
        </w:rPr>
        <w:t>。</w:t>
      </w:r>
    </w:p>
    <w:p w14:paraId="15F264A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18.4响应文件中标注的供应商名称应与主体资格证明（如营业执照或者事业单位法人证书或者执业许可证或者登记证书等）及公章一致，</w:t>
      </w:r>
      <w:r>
        <w:rPr>
          <w:rFonts w:hint="eastAsia" w:ascii="宋体" w:hAnsi="宋体"/>
          <w:b/>
          <w:color w:val="000000" w:themeColor="text1"/>
          <w:szCs w:val="21"/>
          <w14:textFill>
            <w14:solidFill>
              <w14:schemeClr w14:val="tx1"/>
            </w14:solidFill>
          </w14:textFill>
        </w:rPr>
        <w:t>并与广西政府采购云平台中获取采购文件的供应商名称一致，</w:t>
      </w:r>
      <w:r>
        <w:rPr>
          <w:rFonts w:hint="eastAsia" w:ascii="宋体" w:hAnsi="宋体" w:cs="宋体"/>
          <w:color w:val="000000" w:themeColor="text1"/>
          <w:szCs w:val="21"/>
          <w14:textFill>
            <w14:solidFill>
              <w14:schemeClr w14:val="tx1"/>
            </w14:solidFill>
          </w14:textFill>
        </w:rPr>
        <w:t>供应商为自然人的，标注的供应商名称应与身份证姓名及签名一致，</w:t>
      </w:r>
      <w:r>
        <w:rPr>
          <w:rFonts w:hint="eastAsia" w:ascii="宋体" w:hAnsi="宋体" w:cs="宋体"/>
          <w:b/>
          <w:bCs/>
          <w:color w:val="000000" w:themeColor="text1"/>
          <w:szCs w:val="21"/>
          <w14:textFill>
            <w14:solidFill>
              <w14:schemeClr w14:val="tx1"/>
            </w14:solidFill>
          </w14:textFill>
        </w:rPr>
        <w:t>否则其响应文件按无效响应处理</w:t>
      </w:r>
      <w:r>
        <w:rPr>
          <w:rFonts w:hint="eastAsia" w:ascii="宋体" w:hAnsi="宋体" w:cs="宋体"/>
          <w:color w:val="000000" w:themeColor="text1"/>
          <w:szCs w:val="21"/>
          <w14:textFill>
            <w14:solidFill>
              <w14:schemeClr w14:val="tx1"/>
            </w14:solidFill>
          </w14:textFill>
        </w:rPr>
        <w:t>。</w:t>
      </w:r>
    </w:p>
    <w:p w14:paraId="0F0BB5A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F44ABD9">
      <w:pPr>
        <w:spacing w:line="360" w:lineRule="auto"/>
        <w:ind w:firstLine="482" w:firstLineChars="200"/>
        <w:rPr>
          <w:rFonts w:ascii="黑体" w:hAnsi="黑体" w:eastAsia="黑体"/>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19.电子</w:t>
      </w:r>
      <w:r>
        <w:rPr>
          <w:rFonts w:hint="eastAsia" w:ascii="黑体" w:hAnsi="黑体" w:eastAsia="黑体"/>
          <w:b/>
          <w:color w:val="000000" w:themeColor="text1"/>
          <w:sz w:val="24"/>
          <w14:textFill>
            <w14:solidFill>
              <w14:schemeClr w14:val="tx1"/>
            </w14:solidFill>
          </w14:textFill>
        </w:rPr>
        <w:t>备份响应文件</w:t>
      </w:r>
    </w:p>
    <w:p w14:paraId="1881780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详见“供应商须知前附表”。</w:t>
      </w:r>
    </w:p>
    <w:p w14:paraId="39E76AD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20.响应文件的提交</w:t>
      </w:r>
    </w:p>
    <w:p w14:paraId="7DFB2F1E">
      <w:pPr>
        <w:spacing w:line="360" w:lineRule="auto"/>
        <w:ind w:firstLine="420" w:firstLineChars="200"/>
        <w:rPr>
          <w:rFonts w:hAnsi="宋体"/>
          <w:b/>
          <w:color w:val="000000" w:themeColor="text1"/>
          <w14:textFill>
            <w14:solidFill>
              <w14:schemeClr w14:val="tx1"/>
            </w14:solidFill>
          </w14:textFill>
        </w:rPr>
      </w:pPr>
      <w:r>
        <w:rPr>
          <w:rFonts w:hint="eastAsia" w:hAnsi="宋体"/>
          <w:bCs/>
          <w:color w:val="000000" w:themeColor="text1"/>
          <w:szCs w:val="21"/>
          <w14:textFill>
            <w14:solidFill>
              <w14:schemeClr w14:val="tx1"/>
            </w14:solidFill>
          </w14:textFill>
        </w:rPr>
        <w:t>20.1供应商必须按“供应商须知前附表”规定的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w:t>
      </w:r>
      <w:r>
        <w:rPr>
          <w:rFonts w:hAnsi="宋体"/>
          <w:bCs/>
          <w:color w:val="000000" w:themeColor="text1"/>
          <w:szCs w:val="21"/>
          <w14:textFill>
            <w14:solidFill>
              <w14:schemeClr w14:val="tx1"/>
            </w14:solidFill>
          </w14:textFill>
        </w:rPr>
        <w:t>在</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时间前</w:t>
      </w:r>
      <w:r>
        <w:rPr>
          <w:rFonts w:hint="eastAsia" w:hAnsi="宋体"/>
          <w:bCs/>
          <w:color w:val="000000" w:themeColor="text1"/>
          <w:szCs w:val="21"/>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广西政府采购云平台</w:t>
      </w:r>
      <w:r>
        <w:rPr>
          <w:rFonts w:hint="eastAsia" w:hAnsi="宋体"/>
          <w:bCs/>
          <w:color w:val="000000" w:themeColor="text1"/>
          <w:szCs w:val="21"/>
          <w14:textFill>
            <w14:solidFill>
              <w14:schemeClr w14:val="tx1"/>
            </w14:solidFill>
          </w14:textFill>
        </w:rPr>
        <w:t xml:space="preserve">。 </w:t>
      </w:r>
    </w:p>
    <w:p w14:paraId="284B90C1">
      <w:pPr>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未在规定时间内提交或者未按照磋商文件要求加密的电子响应文件，广西政府采购云平台将拒收。</w:t>
      </w:r>
    </w:p>
    <w:p w14:paraId="75FD038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21.首次响应文件的补充、修改与撤回</w:t>
      </w:r>
    </w:p>
    <w:p w14:paraId="067CE321">
      <w:pPr>
        <w:snapToGrid w:val="0"/>
        <w:spacing w:line="360" w:lineRule="auto"/>
        <w:ind w:firstLine="420"/>
        <w:jc w:val="left"/>
        <w:rPr>
          <w:rFonts w:ascii="宋体" w:hAnsi="宋体"/>
          <w:color w:val="000000" w:themeColor="text1"/>
          <w:szCs w:val="21"/>
          <w14:textFill>
            <w14:solidFill>
              <w14:schemeClr w14:val="tx1"/>
            </w14:solidFill>
          </w14:textFill>
        </w:rPr>
      </w:pPr>
      <w:bookmarkStart w:id="66" w:name="_Toc254970684"/>
      <w:bookmarkStart w:id="67" w:name="_Toc254970543"/>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供应商应当在</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ascii="宋体" w:hAnsi="宋体"/>
          <w:bCs/>
          <w:color w:val="000000" w:themeColor="text1"/>
          <w:szCs w:val="21"/>
          <w14:textFill>
            <w14:solidFill>
              <w14:schemeClr w14:val="tx1"/>
            </w14:solidFill>
          </w14:textFill>
        </w:rPr>
        <w:t>前完成电子响应文件的提交（上传），</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w:t>
      </w:r>
      <w:r>
        <w:rPr>
          <w:rFonts w:hint="eastAsia" w:ascii="宋体" w:hAnsi="宋体"/>
          <w:bCs/>
          <w:color w:val="000000" w:themeColor="text1"/>
          <w:szCs w:val="21"/>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hAnsi="宋体"/>
          <w:bCs/>
          <w:color w:val="000000" w:themeColor="text1"/>
          <w:szCs w:val="21"/>
          <w14:textFill>
            <w14:solidFill>
              <w14:schemeClr w14:val="tx1"/>
            </w14:solidFill>
          </w14:textFill>
        </w:rPr>
        <w:t>前</w:t>
      </w:r>
      <w:r>
        <w:rPr>
          <w:rFonts w:hint="eastAsia" w:ascii="宋体" w:hAnsi="宋体"/>
          <w:bCs/>
          <w:color w:val="000000" w:themeColor="text1"/>
          <w:szCs w:val="21"/>
          <w14:textFill>
            <w14:solidFill>
              <w14:schemeClr w14:val="tx1"/>
            </w14:solidFill>
          </w14:textFill>
        </w:rPr>
        <w:t>未完成提交（上传）的，视为撤回响应文件。</w:t>
      </w:r>
      <w:r>
        <w:rPr>
          <w:rFonts w:hint="eastAsia" w:hAnsi="宋体"/>
          <w:bCs/>
          <w:color w:val="000000" w:themeColor="text1"/>
          <w:szCs w:val="21"/>
          <w14:textFill>
            <w14:solidFill>
              <w14:schemeClr w14:val="tx1"/>
            </w14:solidFill>
          </w14:textFill>
        </w:rPr>
        <w:t>提交响应文件截止</w:t>
      </w:r>
      <w:r>
        <w:rPr>
          <w:rFonts w:hAnsi="宋体"/>
          <w:bCs/>
          <w:color w:val="000000" w:themeColor="text1"/>
          <w:szCs w:val="21"/>
          <w14:textFill>
            <w14:solidFill>
              <w14:schemeClr w14:val="tx1"/>
            </w14:solidFill>
          </w14:textFill>
        </w:rPr>
        <w:t>时间</w:t>
      </w:r>
      <w:r>
        <w:rPr>
          <w:rFonts w:hint="eastAsia" w:ascii="宋体" w:hAnsi="宋体"/>
          <w:bCs/>
          <w:color w:val="000000" w:themeColor="text1"/>
          <w:szCs w:val="21"/>
          <w14:textFill>
            <w14:solidFill>
              <w14:schemeClr w14:val="tx1"/>
            </w14:solidFill>
          </w14:textFill>
        </w:rPr>
        <w:t>以后提交（上传）的响应文件，广西政府采购云平台将予以拒收。</w:t>
      </w:r>
      <w:r>
        <w:rPr>
          <w:rFonts w:hint="eastAsia" w:ascii="宋体" w:hAnsi="宋体" w:cs="宋体"/>
          <w:color w:val="000000" w:themeColor="text1"/>
          <w:szCs w:val="21"/>
          <w14:textFill>
            <w14:solidFill>
              <w14:schemeClr w14:val="tx1"/>
            </w14:solidFill>
          </w14:textFill>
        </w:rPr>
        <w:t>（补充、修改或者撤回方式可</w:t>
      </w:r>
      <w:r>
        <w:rPr>
          <w:rFonts w:hint="eastAsia" w:ascii="宋体" w:hAnsi="宋体"/>
          <w:color w:val="000000" w:themeColor="text1"/>
          <w:szCs w:val="21"/>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进入“服务中心”中查看</w:t>
      </w:r>
      <w:r>
        <w:rPr>
          <w:rFonts w:hint="eastAsia" w:ascii="宋体" w:hAnsi="宋体" w:cs="宋体"/>
          <w:color w:val="000000" w:themeColor="text1"/>
          <w:szCs w:val="21"/>
          <w14:textFill>
            <w14:solidFill>
              <w14:schemeClr w14:val="tx1"/>
            </w14:solidFill>
          </w14:textFill>
        </w:rPr>
        <w:t xml:space="preserve"> “电子投标文件制作与投送教程”）</w:t>
      </w:r>
    </w:p>
    <w:bookmarkEnd w:id="66"/>
    <w:bookmarkEnd w:id="67"/>
    <w:p w14:paraId="00222C5A">
      <w:pPr>
        <w:pStyle w:val="63"/>
        <w:spacing w:before="0"/>
        <w:ind w:firstLine="42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1</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2在提交响应文件截止时间前，除供应商补充、修改或者撤回响应文件外，任何单位和个人不得解密或提取响应文件。</w:t>
      </w:r>
    </w:p>
    <w:p w14:paraId="3A0C377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8" w:name="_Hlk45702405"/>
      <w:r>
        <w:rPr>
          <w:rFonts w:hint="eastAsia" w:ascii="黑体" w:hAnsi="黑体" w:eastAsia="黑体" w:cs="宋体"/>
          <w:b/>
          <w:bCs/>
          <w:color w:val="000000" w:themeColor="text1"/>
          <w:sz w:val="24"/>
          <w14:textFill>
            <w14:solidFill>
              <w14:schemeClr w14:val="tx1"/>
            </w14:solidFill>
          </w14:textFill>
        </w:rPr>
        <w:t>22.响应文件的退回</w:t>
      </w:r>
    </w:p>
    <w:p w14:paraId="01B972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425C3B4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23.截止时间后的撤回</w:t>
      </w:r>
    </w:p>
    <w:p w14:paraId="675BAE3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供应商在响应文件提交截止时间后向采购人、采购代理机构书面申请撤回响应文件的，将根据本须知正文17.4的规定不予退还其磋商保证金。</w:t>
      </w:r>
    </w:p>
    <w:bookmarkEnd w:id="68"/>
    <w:p w14:paraId="43389D59">
      <w:pPr>
        <w:spacing w:line="360" w:lineRule="auto"/>
        <w:rPr>
          <w:rFonts w:ascii="宋体" w:hAnsi="宋体"/>
          <w:color w:val="000000" w:themeColor="text1"/>
          <w:szCs w:val="21"/>
          <w14:textFill>
            <w14:solidFill>
              <w14:schemeClr w14:val="tx1"/>
            </w14:solidFill>
          </w14:textFill>
        </w:rPr>
      </w:pPr>
    </w:p>
    <w:p w14:paraId="6DF93FD6">
      <w:pPr>
        <w:spacing w:line="360" w:lineRule="auto"/>
        <w:ind w:left="420" w:firstLine="420"/>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E12F326">
      <w:pPr>
        <w:spacing w:line="360" w:lineRule="auto"/>
        <w:ind w:left="420" w:firstLine="420"/>
        <w:rPr>
          <w:rFonts w:ascii="宋体" w:hAnsi="宋体"/>
          <w:color w:val="000000" w:themeColor="text1"/>
          <w:szCs w:val="21"/>
          <w14:textFill>
            <w14:solidFill>
              <w14:schemeClr w14:val="tx1"/>
            </w14:solidFill>
          </w14:textFill>
        </w:rPr>
      </w:pPr>
    </w:p>
    <w:p w14:paraId="0806BCC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24.磋商小组成立</w:t>
      </w:r>
    </w:p>
    <w:p w14:paraId="05847B6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467DF95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9D3C59D">
      <w:pPr>
        <w:spacing w:line="360" w:lineRule="auto"/>
        <w:ind w:firstLine="420" w:firstLineChars="200"/>
        <w:rPr>
          <w:rFonts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基于广西政府采购云平台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7C5102A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24.4参加过采购项目前期咨询论证的专家，不得参加该采购项目的评审活动。</w:t>
      </w:r>
    </w:p>
    <w:p w14:paraId="4ADFD31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07B17D6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w:t>
      </w:r>
      <w:r>
        <w:rPr>
          <w:b/>
          <w:color w:val="000000" w:themeColor="text1"/>
          <w14:textFill>
            <w14:solidFill>
              <w14:schemeClr w14:val="tx1"/>
            </w14:solidFill>
          </w14:textFill>
        </w:rPr>
        <w:t>规定的时间内解密</w:t>
      </w:r>
      <w:r>
        <w:rPr>
          <w:rFonts w:hint="eastAsia"/>
          <w:b/>
          <w:color w:val="000000" w:themeColor="text1"/>
          <w14:textFill>
            <w14:solidFill>
              <w14:schemeClr w14:val="tx1"/>
            </w14:solidFill>
          </w14:textFill>
        </w:rPr>
        <w:t>响应文件</w:t>
      </w:r>
      <w:r>
        <w:rPr>
          <w:b/>
          <w:color w:val="000000" w:themeColor="text1"/>
          <w14:textFill>
            <w14:solidFill>
              <w14:schemeClr w14:val="tx1"/>
            </w14:solidFill>
          </w14:textFill>
        </w:rPr>
        <w:t>或</w:t>
      </w:r>
      <w:r>
        <w:rPr>
          <w:rFonts w:hint="eastAsia"/>
          <w:b/>
          <w:color w:val="000000" w:themeColor="text1"/>
          <w14:textFill>
            <w14:solidFill>
              <w14:schemeClr w14:val="tx1"/>
            </w14:solidFill>
          </w14:textFill>
        </w:rPr>
        <w:t>者</w:t>
      </w:r>
      <w:r>
        <w:rPr>
          <w:b/>
          <w:color w:val="000000" w:themeColor="text1"/>
          <w14:textFill>
            <w14:solidFill>
              <w14:schemeClr w14:val="tx1"/>
            </w14:solidFill>
          </w14:textFill>
        </w:rPr>
        <w:t>解密失败的</w:t>
      </w:r>
      <w:r>
        <w:rPr>
          <w:rFonts w:hint="eastAsia"/>
          <w:b/>
          <w:color w:val="000000" w:themeColor="text1"/>
          <w14:textFill>
            <w14:solidFill>
              <w14:schemeClr w14:val="tx1"/>
            </w14:solidFill>
          </w14:textFill>
        </w:rPr>
        <w:t>，供应商</w:t>
      </w:r>
      <w:r>
        <w:rPr>
          <w:rFonts w:hint="eastAsia" w:ascii="宋体" w:hAnsi="宋体"/>
          <w:b/>
          <w:color w:val="000000" w:themeColor="text1"/>
          <w:szCs w:val="21"/>
          <w14:textFill>
            <w14:solidFill>
              <w14:schemeClr w14:val="tx1"/>
            </w14:solidFill>
          </w14:textFill>
        </w:rPr>
        <w:t>的响应文件作无效处理</w:t>
      </w:r>
      <w:r>
        <w:rPr>
          <w:b/>
          <w:color w:val="000000" w:themeColor="text1"/>
          <w14:textFill>
            <w14:solidFill>
              <w14:schemeClr w14:val="tx1"/>
            </w14:solidFill>
          </w14:textFill>
        </w:rPr>
        <w:t>。</w:t>
      </w:r>
    </w:p>
    <w:p w14:paraId="3F24E22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05042D0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.1本项目的评审方法为综合评分法。</w:t>
      </w:r>
    </w:p>
    <w:p w14:paraId="0C3F8CD5">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w:t>
      </w:r>
      <w:r>
        <w:rPr>
          <w:rFonts w:ascii="宋体" w:hAnsi="宋体" w:cs="宋体"/>
          <w:color w:val="000000" w:themeColor="text1"/>
          <w:szCs w:val="21"/>
          <w14:textFill>
            <w14:solidFill>
              <w14:schemeClr w14:val="tx1"/>
            </w14:solidFill>
          </w14:textFill>
        </w:rPr>
        <w:t>按照</w:t>
      </w:r>
      <w:r>
        <w:rPr>
          <w:rFonts w:hint="eastAsia" w:ascii="宋体" w:hAnsi="宋体" w:cs="宋体"/>
          <w:color w:val="000000" w:themeColor="text1"/>
          <w:szCs w:val="21"/>
          <w14:textFill>
            <w14:solidFill>
              <w14:schemeClr w14:val="tx1"/>
            </w14:solidFill>
          </w14:textFill>
        </w:rPr>
        <w:t>“第四章 评审程序、评审方法和评审标准”</w:t>
      </w:r>
      <w:r>
        <w:rPr>
          <w:rFonts w:ascii="宋体" w:hAnsi="宋体" w:cs="宋体"/>
          <w:color w:val="000000" w:themeColor="text1"/>
          <w:szCs w:val="21"/>
          <w14:textFill>
            <w14:solidFill>
              <w14:schemeClr w14:val="tx1"/>
            </w14:solidFill>
          </w14:textFill>
        </w:rPr>
        <w:t>规定的方法、评审因素、标准和程序对</w:t>
      </w:r>
      <w:r>
        <w:rPr>
          <w:rFonts w:hint="eastAsia" w:ascii="宋体" w:hAnsi="宋体" w:cs="宋体"/>
          <w:color w:val="000000" w:themeColor="text1"/>
          <w:szCs w:val="21"/>
          <w14:textFill>
            <w14:solidFill>
              <w14:schemeClr w14:val="tx1"/>
            </w14:solidFill>
          </w14:textFill>
        </w:rPr>
        <w:t>响应</w:t>
      </w:r>
      <w:r>
        <w:rPr>
          <w:rFonts w:ascii="宋体" w:hAnsi="宋体" w:cs="宋体"/>
          <w:color w:val="000000" w:themeColor="text1"/>
          <w:szCs w:val="21"/>
          <w14:textFill>
            <w14:solidFill>
              <w14:schemeClr w14:val="tx1"/>
            </w14:solidFill>
          </w14:textFill>
        </w:rPr>
        <w:t>文件进行评审。</w:t>
      </w:r>
    </w:p>
    <w:p w14:paraId="7D0A7874">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 xml:space="preserve">6.3 </w:t>
      </w:r>
      <w:r>
        <w:rPr>
          <w:rFonts w:hint="eastAsia" w:ascii="宋体" w:hAnsi="宋体"/>
          <w:color w:val="000000" w:themeColor="text1"/>
          <w:szCs w:val="21"/>
          <w14:textFill>
            <w14:solidFill>
              <w14:schemeClr w14:val="tx1"/>
            </w14:solidFill>
          </w14:textFill>
        </w:rPr>
        <w:t>商务/技术要求允许负偏离的条款数详见“供应商须知前附表”。</w:t>
      </w:r>
    </w:p>
    <w:p w14:paraId="15BBF95F">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26.</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5A7578">
      <w:pPr>
        <w:spacing w:line="360" w:lineRule="auto"/>
        <w:ind w:firstLine="420" w:firstLineChars="200"/>
        <w:rPr>
          <w:rFonts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459732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（1）电子交易平台发生故障而无法登录访问的； </w:t>
      </w:r>
    </w:p>
    <w:p w14:paraId="46A2A077">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（2）电子交易平台应用或数据库出现错误，不能进行正常操作的；</w:t>
      </w:r>
    </w:p>
    <w:p w14:paraId="67F2C926">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（3）电子交易平台发现严重安全漏洞，有潜在泄密危险的；</w:t>
      </w:r>
    </w:p>
    <w:p w14:paraId="681BA16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（4）病毒发作导致不能进行正常操作的； </w:t>
      </w:r>
    </w:p>
    <w:p w14:paraId="070CBEA6">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（5）其他无法保证电子交易的公平、公正和安全的情况。</w:t>
      </w:r>
    </w:p>
    <w:p w14:paraId="0EFA96F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26.</w:t>
      </w:r>
      <w:r>
        <w:rPr>
          <w:rFonts w:ascii="宋体" w:hAnsi="宋体"/>
          <w:color w:val="000000" w:themeColor="text1"/>
          <w14:textFill>
            <w14:solidFill>
              <w14:schemeClr w14:val="tx1"/>
            </w14:solidFill>
          </w14:textFill>
        </w:rPr>
        <w:t>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E7D24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1E43B0F">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BBA94CE">
      <w:pPr>
        <w:spacing w:line="360" w:lineRule="auto"/>
        <w:ind w:firstLine="420" w:firstLineChars="200"/>
        <w:rPr>
          <w:rFonts w:ascii="宋体" w:hAns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.2采购代理机构应当在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9"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69"/>
    </w:p>
    <w:p w14:paraId="0FEB5AF6">
      <w:pPr>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27.3出现下列情形之一的，采购人或者采购代理机构应当终止竞争性磋商采购活动，发布项目终止公告并说明原因，重新开展采购活动：</w:t>
      </w:r>
    </w:p>
    <w:p w14:paraId="530D44B7">
      <w:pPr>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（1）因情况变化，不再符合规定的竞争性磋商采购方式适用情形的；</w:t>
      </w:r>
    </w:p>
    <w:p w14:paraId="3F1206E8">
      <w:pPr>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（2）出现影响采购公正的违法、违规行为的；</w:t>
      </w:r>
    </w:p>
    <w:p w14:paraId="319FD7BC">
      <w:pPr>
        <w:spacing w:line="360" w:lineRule="auto"/>
        <w:ind w:firstLine="420" w:firstLineChars="200"/>
        <w:rPr>
          <w:rFonts w:ascii="宋体" w:hAns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5C241EE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70C1D14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5685FFA2">
      <w:pPr>
        <w:spacing w:line="360" w:lineRule="auto"/>
        <w:ind w:firstLine="424" w:firstLineChars="202"/>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.1履约保证金的金额、提交方式、缴纳期限、退付的时间和条件详见 “供应商须知前附表”。成交供应商未按规定提交履约保证金的，视为拒绝</w:t>
      </w:r>
      <w:r>
        <w:rPr>
          <w:rFonts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6DACD346">
      <w:pPr>
        <w:spacing w:line="360" w:lineRule="auto"/>
        <w:ind w:firstLine="424" w:firstLineChars="202"/>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1A32141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0E38E942">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29.1签订电子采购合同：成交供应商领取电子成交通知书后，在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38593FFA">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52F819BC">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29.2签订合同时间：按成交通知书规定的时间与采购人签订合同。</w:t>
      </w:r>
    </w:p>
    <w:p w14:paraId="130018D1">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5C4C366">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88DFBE">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65FC64FF">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29.6如签订合同并生效后，供应商无故拒绝或延期，除按照合同条款处理外，将承担相应的法律责任。</w:t>
      </w:r>
    </w:p>
    <w:p w14:paraId="1EBB76D6">
      <w:pPr>
        <w:spacing w:line="360" w:lineRule="auto"/>
        <w:ind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8CAAE4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328DD9E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6EC43A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31</w:t>
      </w:r>
      <w:r>
        <w:rPr>
          <w:rFonts w:hint="eastAsia" w:ascii="黑体" w:hAnsi="黑体" w:eastAsia="黑体" w:cs="宋体"/>
          <w:b/>
          <w:bCs/>
          <w:color w:val="000000" w:themeColor="text1"/>
          <w:sz w:val="24"/>
          <w14:textFill>
            <w14:solidFill>
              <w14:schemeClr w14:val="tx1"/>
            </w14:solidFill>
          </w14:textFill>
        </w:rPr>
        <w:t>. 询问、质疑和投诉</w:t>
      </w:r>
    </w:p>
    <w:p w14:paraId="30EC89B4">
      <w:pPr>
        <w:pStyle w:val="5"/>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7D6B9A06">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shd w:val="clear" w:color="auto" w:fill="FFFFFF"/>
          <w14:textFill>
            <w14:solidFill>
              <w14:schemeClr w14:val="tx1"/>
            </w14:solidFill>
          </w14:textFill>
        </w:rPr>
        <w:t>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2400DE01">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（1）对可以质疑的磋商文件提出质疑的，为收到磋商文件之日或者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50518FB9">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（2）对采购过程提出质疑的，为各采购程序环节结束之日；</w:t>
      </w:r>
    </w:p>
    <w:p w14:paraId="6403915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（3）对成交结果提出质疑的，为成交结果公告期限届满之日。</w:t>
      </w:r>
    </w:p>
    <w:p w14:paraId="77EC5880">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10C1DC9">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08DF8875">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（1）供应商的姓名或者名称、地址、邮编、联系人及联系电话；</w:t>
      </w:r>
    </w:p>
    <w:p w14:paraId="02829B3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（2）质疑项目的名称、编号；</w:t>
      </w:r>
    </w:p>
    <w:p w14:paraId="678954FC">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（3）具体、明确的质疑事项和与质疑事项相关的请求；</w:t>
      </w:r>
    </w:p>
    <w:p w14:paraId="1A8E36BF">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（4）事实依据；</w:t>
      </w:r>
    </w:p>
    <w:p w14:paraId="5CD6F6C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（5）必要的法律依据；</w:t>
      </w:r>
    </w:p>
    <w:p w14:paraId="3DC635BE">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（6）提出质疑的日期。</w:t>
      </w:r>
    </w:p>
    <w:p w14:paraId="780880C1">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94057EF">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347A545A">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5402C32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905B3CB">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3ACF398E">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DFC9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362F5C6B">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.1代理服务</w:t>
      </w:r>
      <w:r>
        <w:rPr>
          <w:rFonts w:hint="eastAsia" w:ascii="宋体" w:hAnsi="宋体" w:cs="宋体"/>
          <w:color w:val="000000" w:themeColor="text1"/>
          <w:szCs w:val="21"/>
          <w:lang w:val="en-US" w:eastAsia="zh-CN"/>
          <w14:textFill>
            <w14:solidFill>
              <w14:schemeClr w14:val="tx1"/>
            </w14:solidFill>
          </w14:textFill>
        </w:rPr>
        <w:t>费</w:t>
      </w:r>
      <w:r>
        <w:rPr>
          <w:rFonts w:hint="eastAsia" w:ascii="宋体" w:hAnsi="宋体" w:cs="宋体"/>
          <w:color w:val="000000" w:themeColor="text1"/>
          <w:szCs w:val="21"/>
          <w14:textFill>
            <w14:solidFill>
              <w14:schemeClr w14:val="tx1"/>
            </w14:solidFill>
          </w14:textFill>
        </w:rPr>
        <w:t>收取标准及缴费账户详见“供应商须知前附表”，供应商为联合体的，可以由联合体中的一方或者多方共同交纳代理服务费。</w:t>
      </w:r>
    </w:p>
    <w:p w14:paraId="51F95707">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22"/>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7AC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58C7F6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费率</w:t>
            </w:r>
          </w:p>
          <w:p w14:paraId="5A01A1A2">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0BA2BBAA">
            <w:pPr>
              <w:spacing w:line="360" w:lineRule="auto"/>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7D062D3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71027E1C">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1614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CA6C0">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100万元以下</w:t>
            </w:r>
          </w:p>
        </w:tc>
        <w:tc>
          <w:tcPr>
            <w:tcW w:w="1659" w:type="dxa"/>
          </w:tcPr>
          <w:p w14:paraId="3C15C235">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1.5%                </w:t>
            </w:r>
          </w:p>
        </w:tc>
        <w:tc>
          <w:tcPr>
            <w:tcW w:w="1532" w:type="dxa"/>
          </w:tcPr>
          <w:p w14:paraId="29C83669">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546" w:type="dxa"/>
          </w:tcPr>
          <w:p w14:paraId="00DC14BE">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1.0% </w:t>
            </w:r>
          </w:p>
        </w:tc>
      </w:tr>
      <w:tr w14:paraId="3AF1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6BED5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100～500万元</w:t>
            </w:r>
          </w:p>
        </w:tc>
        <w:tc>
          <w:tcPr>
            <w:tcW w:w="1659" w:type="dxa"/>
          </w:tcPr>
          <w:p w14:paraId="2C7C8679">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1.1%                 </w:t>
            </w:r>
          </w:p>
        </w:tc>
        <w:tc>
          <w:tcPr>
            <w:tcW w:w="1532" w:type="dxa"/>
          </w:tcPr>
          <w:p w14:paraId="403F8EB6">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w:t>
            </w:r>
          </w:p>
        </w:tc>
        <w:tc>
          <w:tcPr>
            <w:tcW w:w="1546" w:type="dxa"/>
          </w:tcPr>
          <w:p w14:paraId="6152A788">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0.7% </w:t>
            </w:r>
          </w:p>
        </w:tc>
      </w:tr>
      <w:tr w14:paraId="18AC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F51B3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500～1000万元</w:t>
            </w:r>
          </w:p>
        </w:tc>
        <w:tc>
          <w:tcPr>
            <w:tcW w:w="1659" w:type="dxa"/>
          </w:tcPr>
          <w:p w14:paraId="4C22174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0.8%                </w:t>
            </w:r>
          </w:p>
        </w:tc>
        <w:tc>
          <w:tcPr>
            <w:tcW w:w="1532" w:type="dxa"/>
          </w:tcPr>
          <w:p w14:paraId="52E4A470">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0.45%</w:t>
            </w:r>
          </w:p>
        </w:tc>
        <w:tc>
          <w:tcPr>
            <w:tcW w:w="1546" w:type="dxa"/>
          </w:tcPr>
          <w:p w14:paraId="288530C2">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0.55%</w:t>
            </w:r>
          </w:p>
        </w:tc>
      </w:tr>
      <w:tr w14:paraId="400D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392E4A">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1000～5000万元</w:t>
            </w:r>
          </w:p>
        </w:tc>
        <w:tc>
          <w:tcPr>
            <w:tcW w:w="1659" w:type="dxa"/>
          </w:tcPr>
          <w:p w14:paraId="7AB1A49F">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0.5%                </w:t>
            </w:r>
          </w:p>
        </w:tc>
        <w:tc>
          <w:tcPr>
            <w:tcW w:w="1532" w:type="dxa"/>
          </w:tcPr>
          <w:p w14:paraId="0C055C81">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0.25%</w:t>
            </w:r>
          </w:p>
        </w:tc>
        <w:tc>
          <w:tcPr>
            <w:tcW w:w="1546" w:type="dxa"/>
          </w:tcPr>
          <w:p w14:paraId="44BA7457">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0.35% </w:t>
            </w:r>
          </w:p>
        </w:tc>
      </w:tr>
      <w:tr w14:paraId="25C2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07202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5000万元～1亿元</w:t>
            </w:r>
          </w:p>
        </w:tc>
        <w:tc>
          <w:tcPr>
            <w:tcW w:w="1659" w:type="dxa"/>
          </w:tcPr>
          <w:p w14:paraId="506A794C">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0.25%                 </w:t>
            </w:r>
          </w:p>
        </w:tc>
        <w:tc>
          <w:tcPr>
            <w:tcW w:w="1532" w:type="dxa"/>
          </w:tcPr>
          <w:p w14:paraId="1FBC4ABA">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0.1%</w:t>
            </w:r>
          </w:p>
        </w:tc>
        <w:tc>
          <w:tcPr>
            <w:tcW w:w="1546" w:type="dxa"/>
          </w:tcPr>
          <w:p w14:paraId="158B8D8D">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w:t>
            </w:r>
          </w:p>
        </w:tc>
      </w:tr>
      <w:tr w14:paraId="2C4E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1A2918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1～5亿元</w:t>
            </w:r>
          </w:p>
        </w:tc>
        <w:tc>
          <w:tcPr>
            <w:tcW w:w="1659" w:type="dxa"/>
          </w:tcPr>
          <w:p w14:paraId="74B65723">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0.05%</w:t>
            </w:r>
          </w:p>
        </w:tc>
        <w:tc>
          <w:tcPr>
            <w:tcW w:w="1532" w:type="dxa"/>
          </w:tcPr>
          <w:p w14:paraId="1239CB2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c>
          <w:tcPr>
            <w:tcW w:w="1546" w:type="dxa"/>
          </w:tcPr>
          <w:p w14:paraId="4E3397A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0.05%</w:t>
            </w:r>
          </w:p>
        </w:tc>
      </w:tr>
      <w:tr w14:paraId="7E8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12310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5～10亿元</w:t>
            </w:r>
          </w:p>
        </w:tc>
        <w:tc>
          <w:tcPr>
            <w:tcW w:w="1659" w:type="dxa"/>
          </w:tcPr>
          <w:p w14:paraId="6FEFA944">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c>
          <w:tcPr>
            <w:tcW w:w="1532" w:type="dxa"/>
          </w:tcPr>
          <w:p w14:paraId="583D79BB">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0.035%</w:t>
            </w:r>
          </w:p>
        </w:tc>
        <w:tc>
          <w:tcPr>
            <w:tcW w:w="1546" w:type="dxa"/>
          </w:tcPr>
          <w:p w14:paraId="4973E7A7">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0.035%</w:t>
            </w:r>
          </w:p>
        </w:tc>
      </w:tr>
      <w:tr w14:paraId="739B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E706C8">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10～50亿元</w:t>
            </w:r>
          </w:p>
        </w:tc>
        <w:tc>
          <w:tcPr>
            <w:tcW w:w="1659" w:type="dxa"/>
          </w:tcPr>
          <w:p w14:paraId="29FC06A4">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32" w:type="dxa"/>
          </w:tcPr>
          <w:p w14:paraId="44978F34">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c>
          <w:tcPr>
            <w:tcW w:w="1546" w:type="dxa"/>
          </w:tcPr>
          <w:p w14:paraId="055D9EA1">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0.008%</w:t>
            </w:r>
          </w:p>
        </w:tc>
      </w:tr>
      <w:tr w14:paraId="5427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28CBA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50～100亿元</w:t>
            </w:r>
          </w:p>
        </w:tc>
        <w:tc>
          <w:tcPr>
            <w:tcW w:w="1659" w:type="dxa"/>
          </w:tcPr>
          <w:p w14:paraId="12191CF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0.006%</w:t>
            </w:r>
          </w:p>
        </w:tc>
        <w:tc>
          <w:tcPr>
            <w:tcW w:w="1532" w:type="dxa"/>
          </w:tcPr>
          <w:p w14:paraId="6879B12F">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c>
          <w:tcPr>
            <w:tcW w:w="1546" w:type="dxa"/>
          </w:tcPr>
          <w:p w14:paraId="1F8F3669">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0.006%</w:t>
            </w:r>
          </w:p>
        </w:tc>
      </w:tr>
      <w:tr w14:paraId="58CC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335109">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100亿以上</w:t>
            </w:r>
          </w:p>
        </w:tc>
        <w:tc>
          <w:tcPr>
            <w:tcW w:w="1659" w:type="dxa"/>
          </w:tcPr>
          <w:p w14:paraId="34B8D156">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0.004%</w:t>
            </w:r>
          </w:p>
        </w:tc>
        <w:tc>
          <w:tcPr>
            <w:tcW w:w="1532" w:type="dxa"/>
          </w:tcPr>
          <w:p w14:paraId="3143AEE1">
            <w:pPr>
              <w:spacing w:line="360" w:lineRule="auto"/>
              <w:ind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c>
          <w:tcPr>
            <w:tcW w:w="1546" w:type="dxa"/>
          </w:tcPr>
          <w:p w14:paraId="0C98B107">
            <w:pPr>
              <w:spacing w:line="360" w:lineRule="auto"/>
              <w:ind w:firstLine="105" w:firstLine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0.004%</w:t>
            </w:r>
          </w:p>
        </w:tc>
      </w:tr>
    </w:tbl>
    <w:p w14:paraId="27C302FD">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w:t>
      </w:r>
    </w:p>
    <w:p w14:paraId="7F567474">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按本表费率计算的收费为</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代理的收费基准价格</w:t>
      </w:r>
      <w:r>
        <w:rPr>
          <w:rFonts w:hint="eastAsia" w:ascii="宋体" w:hAnsi="宋体" w:cs="宋体"/>
          <w:color w:val="000000" w:themeColor="text1"/>
          <w14:textFill>
            <w14:solidFill>
              <w14:schemeClr w14:val="tx1"/>
            </w14:solidFill>
          </w14:textFill>
        </w:rPr>
        <w:t>；</w:t>
      </w:r>
    </w:p>
    <w:p w14:paraId="32BE9076">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（2）采购</w:t>
      </w:r>
      <w:r>
        <w:rPr>
          <w:rFonts w:ascii="宋体" w:hAnsi="宋体" w:cs="宋体"/>
          <w:color w:val="000000" w:themeColor="text1"/>
          <w14:textFill>
            <w14:solidFill>
              <w14:schemeClr w14:val="tx1"/>
            </w14:solidFill>
          </w14:textFill>
        </w:rPr>
        <w:t>代理收费按差额定率累进法计算。</w:t>
      </w:r>
    </w:p>
    <w:p w14:paraId="53B8BE55">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例如：某</w:t>
      </w:r>
      <w:r>
        <w:rPr>
          <w:rFonts w:hint="eastAsia" w:ascii="宋体" w:hAnsi="宋体" w:cs="宋体"/>
          <w:color w:val="000000" w:themeColor="text1"/>
          <w14:textFill>
            <w14:solidFill>
              <w14:schemeClr w14:val="tx1"/>
            </w14:solidFill>
          </w14:textFill>
        </w:rPr>
        <w:t>服务采购</w:t>
      </w:r>
      <w:r>
        <w:rPr>
          <w:rFonts w:ascii="宋体" w:hAnsi="宋体" w:cs="宋体"/>
          <w:color w:val="000000" w:themeColor="text1"/>
          <w14:textFill>
            <w14:solidFill>
              <w14:schemeClr w14:val="tx1"/>
            </w14:solidFill>
          </w14:textFill>
        </w:rPr>
        <w:t>代理业务</w:t>
      </w:r>
      <w:r>
        <w:rPr>
          <w:rFonts w:hint="eastAsia" w:ascii="宋体" w:hAnsi="宋体" w:cs="宋体"/>
          <w:color w:val="000000" w:themeColor="text1"/>
          <w14:textFill>
            <w14:solidFill>
              <w14:schemeClr w14:val="tx1"/>
            </w14:solidFill>
          </w14:textFill>
        </w:rPr>
        <w:t>预算金</w:t>
      </w:r>
      <w:r>
        <w:rPr>
          <w:rFonts w:ascii="宋体" w:hAnsi="宋体" w:cs="宋体"/>
          <w:color w:val="000000" w:themeColor="text1"/>
          <w14:textFill>
            <w14:solidFill>
              <w14:schemeClr w14:val="tx1"/>
            </w14:solidFill>
          </w14:textFill>
        </w:rPr>
        <w:t>额</w:t>
      </w:r>
      <w:r>
        <w:rPr>
          <w:rFonts w:hint="eastAsia" w:ascii="宋体" w:hAnsi="宋体" w:cs="宋体"/>
          <w:color w:val="000000" w:themeColor="text1"/>
          <w14:textFill>
            <w14:solidFill>
              <w14:schemeClr w14:val="tx1"/>
            </w14:solidFill>
          </w14:textFill>
        </w:rPr>
        <w:t>或者暂定价</w:t>
      </w:r>
      <w:r>
        <w:rPr>
          <w:rFonts w:ascii="宋体" w:hAnsi="宋体" w:cs="宋体"/>
          <w:color w:val="000000" w:themeColor="text1"/>
          <w14:textFill>
            <w14:solidFill>
              <w14:schemeClr w14:val="tx1"/>
            </w14:solidFill>
          </w14:textFill>
        </w:rPr>
        <w:t>为150万元，计算</w:t>
      </w:r>
      <w:r>
        <w:rPr>
          <w:rFonts w:hint="eastAsia" w:ascii="宋体" w:hAnsi="宋体" w:cs="宋体"/>
          <w:color w:val="000000" w:themeColor="text1"/>
          <w14:textFill>
            <w14:solidFill>
              <w14:schemeClr w14:val="tx1"/>
            </w14:solidFill>
          </w14:textFill>
        </w:rPr>
        <w:t>采购</w:t>
      </w:r>
      <w:r>
        <w:rPr>
          <w:rFonts w:ascii="宋体" w:hAnsi="宋体" w:cs="宋体"/>
          <w:color w:val="000000" w:themeColor="text1"/>
          <w14:textFill>
            <w14:solidFill>
              <w14:schemeClr w14:val="tx1"/>
            </w14:solidFill>
          </w14:textFill>
        </w:rPr>
        <w:t>代理收费额如下：</w:t>
      </w:r>
    </w:p>
    <w:p w14:paraId="716A96F2">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100 万元 ×l.5 %＝ 1.5 万元</w:t>
      </w:r>
    </w:p>
    <w:p w14:paraId="212DBA7A">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150 － 100 ）万元 ×0.8%＝ 0.4万元</w:t>
      </w:r>
    </w:p>
    <w:p w14:paraId="725797D5">
      <w:pPr>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合计收费＝ 1.5 ＋ 0.4＝ 1.9 万元</w:t>
      </w:r>
    </w:p>
    <w:p w14:paraId="2568CB7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3</w:t>
      </w:r>
      <w:r>
        <w:rPr>
          <w:rFonts w:ascii="黑体" w:hAnsi="黑体" w:eastAsia="黑体" w:cs="宋体"/>
          <w:b/>
          <w:bCs/>
          <w:color w:val="000000" w:themeColor="text1"/>
          <w:sz w:val="24"/>
          <w14:textFill>
            <w14:solidFill>
              <w14:schemeClr w14:val="tx1"/>
            </w14:solidFill>
          </w14:textFill>
        </w:rPr>
        <w:t>3.需要补充的其他内容</w:t>
      </w:r>
    </w:p>
    <w:p w14:paraId="4051EB65">
      <w:pPr>
        <w:pStyle w:val="13"/>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w:t>
      </w:r>
      <w:r>
        <w:rPr>
          <w:rFonts w:hAnsi="宋体" w:cs="宋体"/>
          <w:color w:val="000000" w:themeColor="text1"/>
          <w:kern w:val="2"/>
          <w:sz w:val="21"/>
          <w14:textFill>
            <w14:solidFill>
              <w14:schemeClr w14:val="tx1"/>
            </w14:solidFill>
          </w14:textFill>
        </w:rPr>
        <w:t>3.1</w:t>
      </w:r>
      <w:r>
        <w:rPr>
          <w:rFonts w:hint="eastAsia" w:hAnsi="宋体" w:cs="宋体"/>
          <w:color w:val="000000" w:themeColor="text1"/>
          <w:kern w:val="2"/>
          <w:sz w:val="21"/>
          <w14:textFill>
            <w14:solidFill>
              <w14:schemeClr w14:val="tx1"/>
            </w14:solidFill>
          </w14:textFill>
        </w:rPr>
        <w:t>本磋商文件解释规则详见“供应商须知前附表”。</w:t>
      </w:r>
    </w:p>
    <w:p w14:paraId="21C05BC2">
      <w:pPr>
        <w:pStyle w:val="13"/>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Ansi="宋体" w:cs="宋体"/>
          <w:color w:val="000000" w:themeColor="text1"/>
          <w:kern w:val="2"/>
          <w:sz w:val="21"/>
          <w14:textFill>
            <w14:solidFill>
              <w14:schemeClr w14:val="tx1"/>
            </w14:solidFill>
          </w14:textFill>
        </w:rPr>
        <w:t>33.2</w:t>
      </w:r>
      <w:r>
        <w:rPr>
          <w:rFonts w:hint="eastAsia" w:hAnsi="宋体" w:cs="宋体"/>
          <w:color w:val="000000" w:themeColor="text1"/>
          <w:kern w:val="2"/>
          <w:sz w:val="21"/>
          <w14:textFill>
            <w14:solidFill>
              <w14:schemeClr w14:val="tx1"/>
            </w14:solidFill>
          </w14:textFill>
        </w:rPr>
        <w:t xml:space="preserve"> 其他事项详见“供应商须知前附表”。</w:t>
      </w:r>
    </w:p>
    <w:p w14:paraId="6B8CE1B0">
      <w:pPr>
        <w:pStyle w:val="13"/>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3</w:t>
      </w:r>
      <w:r>
        <w:rPr>
          <w:rFonts w:hAnsi="宋体" w:cs="宋体"/>
          <w:color w:val="000000" w:themeColor="text1"/>
          <w:kern w:val="2"/>
          <w:sz w:val="21"/>
          <w14:textFill>
            <w14:solidFill>
              <w14:schemeClr w14:val="tx1"/>
            </w14:solidFill>
          </w14:textFill>
        </w:rPr>
        <w:t>3.3</w:t>
      </w:r>
      <w:r>
        <w:rPr>
          <w:rFonts w:hint="eastAsia" w:hAnsi="宋体" w:cs="宋体"/>
          <w:color w:val="000000" w:themeColor="text1"/>
          <w:kern w:val="2"/>
          <w:sz w:val="21"/>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6BB1054">
      <w:pPr>
        <w:pStyle w:val="13"/>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16E35DE">
      <w:pPr>
        <w:pStyle w:val="13"/>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（2）在工程采购项目中，工程由中小企业承建，即工程施工单位为中小企业，不对其中涉及的货物的制造商和服务的承接商作出要求；</w:t>
      </w:r>
    </w:p>
    <w:p w14:paraId="1C1546D7">
      <w:pPr>
        <w:pStyle w:val="13"/>
        <w:spacing w:line="360" w:lineRule="auto"/>
        <w:ind w:firstLine="420" w:firstLineChars="200"/>
        <w:contextualSpacing/>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774B5AA1">
      <w:pPr>
        <w:pStyle w:val="13"/>
        <w:spacing w:line="360" w:lineRule="auto"/>
        <w:ind w:firstLine="420" w:firstLineChars="200"/>
        <w:textAlignment w:val="center"/>
        <w:rPr>
          <w:rFonts w:hAnsi="宋体" w:cs="宋体"/>
          <w:color w:val="000000" w:themeColor="text1"/>
          <w:kern w:val="2"/>
          <w:sz w:val="21"/>
          <w14:textFill>
            <w14:solidFill>
              <w14:schemeClr w14:val="tx1"/>
            </w14:solidFill>
          </w14:textFill>
        </w:rPr>
      </w:pPr>
      <w:r>
        <w:rPr>
          <w:rFonts w:hint="eastAsia" w:hAnsi="宋体" w:cs="宋体"/>
          <w:color w:val="000000" w:themeColor="text1"/>
          <w:kern w:val="2"/>
          <w:sz w:val="21"/>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0E0B8FE">
      <w:pPr>
        <w:pStyle w:val="13"/>
        <w:spacing w:line="360" w:lineRule="auto"/>
        <w:ind w:firstLine="420" w:firstLineChars="200"/>
        <w:textAlignment w:val="center"/>
        <w:rPr>
          <w:rFonts w:hAnsi="宋体"/>
          <w:b/>
          <w:color w:val="000000" w:themeColor="text1"/>
          <w14:textFill>
            <w14:solidFill>
              <w14:schemeClr w14:val="tx1"/>
            </w14:solidFill>
          </w14:textFill>
        </w:rPr>
      </w:pPr>
      <w:r>
        <w:rPr>
          <w:rFonts w:hint="eastAsia" w:hAnsi="宋体" w:cs="宋体"/>
          <w:color w:val="000000" w:themeColor="text1"/>
          <w:kern w:val="2"/>
          <w:sz w:val="21"/>
          <w14:textFill>
            <w14:solidFill>
              <w14:schemeClr w14:val="tx1"/>
            </w14:solidFill>
          </w14:textFill>
        </w:rPr>
        <w:t>依据本磋商文件规定享受扶持政策获得政府采购合同的，小微企业不得将合同分包给大中型企业，中型企业不得将合同分包给大型企业。</w:t>
      </w:r>
    </w:p>
    <w:p w14:paraId="6825AE54">
      <w:pPr>
        <w:pStyle w:val="13"/>
        <w:spacing w:line="360" w:lineRule="auto"/>
        <w:ind w:firstLine="402" w:firstLineChars="200"/>
        <w:textAlignment w:val="center"/>
        <w:rPr>
          <w:b/>
          <w:bCs/>
          <w:color w:val="000000" w:themeColor="text1"/>
          <w:sz w:val="18"/>
          <w:szCs w:val="18"/>
          <w14:textFill>
            <w14:solidFill>
              <w14:schemeClr w14:val="tx1"/>
            </w14:solidFill>
          </w14:textFill>
        </w:rPr>
      </w:pPr>
      <w:r>
        <w:rPr>
          <w:rFonts w:hAnsi="宋体"/>
          <w:b/>
          <w:color w:val="000000" w:themeColor="text1"/>
          <w14:textFill>
            <w14:solidFill>
              <w14:schemeClr w14:val="tx1"/>
            </w14:solidFill>
          </w14:textFill>
        </w:rPr>
        <w:br w:type="page"/>
      </w:r>
    </w:p>
    <w:p w14:paraId="089DC65A">
      <w:pPr>
        <w:pStyle w:val="2"/>
        <w:jc w:val="center"/>
        <w:rPr>
          <w:color w:val="000000" w:themeColor="text1"/>
          <w14:textFill>
            <w14:solidFill>
              <w14:schemeClr w14:val="tx1"/>
            </w14:solidFill>
          </w14:textFill>
        </w:rPr>
      </w:pPr>
      <w:bookmarkStart w:id="70" w:name="_Toc29402"/>
      <w:r>
        <w:rPr>
          <w:rFonts w:hint="eastAsia"/>
          <w:color w:val="000000" w:themeColor="text1"/>
          <w14:textFill>
            <w14:solidFill>
              <w14:schemeClr w14:val="tx1"/>
            </w14:solidFill>
          </w14:textFill>
        </w:rPr>
        <w:t>第三章 采购需求</w:t>
      </w:r>
      <w:bookmarkEnd w:id="70"/>
    </w:p>
    <w:p w14:paraId="27CF2B8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51C4F8A3">
      <w:pPr>
        <w:spacing w:line="360" w:lineRule="auto"/>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color w:val="000000" w:themeColor="text1"/>
          <w14:textFill>
            <w14:solidFill>
              <w14:schemeClr w14:val="tx1"/>
            </w14:solidFill>
          </w14:textFill>
        </w:rPr>
        <w:t>. 为落实政府采购政策需满足的要求</w:t>
      </w:r>
    </w:p>
    <w:p w14:paraId="0C8359F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本竞争性磋商采购文件所称中小企业必须符合《政府采购促进中小企业发展管理办法》（财库〔2020〕46号）的规定。</w:t>
      </w:r>
    </w:p>
    <w:p w14:paraId="261EF68E">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“实质性要求”是指采购需求中带“▲”的条款或者不能负偏离的条款或者已经指明不满足按响应文件无效处理的条款。</w:t>
      </w:r>
    </w:p>
    <w:p w14:paraId="0CE5644E">
      <w:pPr>
        <w:spacing w:line="360" w:lineRule="auto"/>
        <w:ind w:firstLine="424" w:firstLineChars="202"/>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5745B916">
      <w:pPr>
        <w:spacing w:line="360" w:lineRule="auto"/>
        <w:ind w:firstLine="424" w:firstLineChars="202"/>
        <w:jc w:val="left"/>
        <w:rPr>
          <w:rFonts w:ascii="宋体" w:hAnsi="宋体" w:cs="Arial"/>
          <w:bCs/>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28DA560A">
      <w:pPr>
        <w:spacing w:line="360" w:lineRule="auto"/>
        <w:jc w:val="left"/>
        <w:rPr>
          <w:rFonts w:ascii="宋体" w:hAnsi="宋体" w:cs="Arial"/>
          <w:bCs/>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所属行业：软件和信息技术服务业</w:t>
      </w:r>
    </w:p>
    <w:tbl>
      <w:tblPr>
        <w:tblStyle w:val="22"/>
        <w:tblW w:w="9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859"/>
        <w:gridCol w:w="546"/>
        <w:gridCol w:w="381"/>
        <w:gridCol w:w="7281"/>
      </w:tblGrid>
      <w:tr w14:paraId="426B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1" w:type="dxa"/>
            <w:vAlign w:val="center"/>
          </w:tcPr>
          <w:p w14:paraId="5B237754">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859" w:type="dxa"/>
            <w:vAlign w:val="center"/>
          </w:tcPr>
          <w:p w14:paraId="7AA5A61B">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927" w:type="dxa"/>
            <w:gridSpan w:val="2"/>
            <w:vAlign w:val="center"/>
          </w:tcPr>
          <w:p w14:paraId="3FE25CC9">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7281" w:type="dxa"/>
            <w:vAlign w:val="center"/>
          </w:tcPr>
          <w:p w14:paraId="6A0E51F9">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225A3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5" w:hRule="atLeast"/>
          <w:jc w:val="center"/>
        </w:trPr>
        <w:tc>
          <w:tcPr>
            <w:tcW w:w="531" w:type="dxa"/>
            <w:vAlign w:val="center"/>
          </w:tcPr>
          <w:p w14:paraId="3A6BED29">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59" w:type="dxa"/>
            <w:vAlign w:val="center"/>
          </w:tcPr>
          <w:p w14:paraId="597620CC">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2025年钦州市秸秆焚烧智能化监控系统运维服务</w:t>
            </w:r>
          </w:p>
        </w:tc>
        <w:tc>
          <w:tcPr>
            <w:tcW w:w="927" w:type="dxa"/>
            <w:gridSpan w:val="2"/>
            <w:vAlign w:val="center"/>
          </w:tcPr>
          <w:p w14:paraId="23D52953">
            <w:pPr>
              <w:tabs>
                <w:tab w:val="left" w:pos="180"/>
                <w:tab w:val="left" w:pos="1620"/>
              </w:tabs>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w:t>
            </w:r>
          </w:p>
        </w:tc>
        <w:tc>
          <w:tcPr>
            <w:tcW w:w="7281" w:type="dxa"/>
          </w:tcPr>
          <w:p w14:paraId="439F0841">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bookmarkStart w:id="71" w:name="OLE_LINK6"/>
            <w:bookmarkStart w:id="72" w:name="OLE_LINK5"/>
            <w:r>
              <w:rPr>
                <w:rFonts w:hint="eastAsia" w:cs="Times New Roman" w:asciiTheme="minorEastAsia" w:hAnsiTheme="minorEastAsia" w:eastAsiaTheme="minorEastAsia"/>
                <w:b/>
                <w:bCs/>
                <w:color w:val="000000" w:themeColor="text1"/>
                <w:sz w:val="21"/>
                <w:szCs w:val="21"/>
                <w14:textFill>
                  <w14:solidFill>
                    <w14:schemeClr w14:val="tx1"/>
                  </w14:solidFill>
                </w14:textFill>
              </w:rPr>
              <w:t>一、项目名称</w:t>
            </w:r>
          </w:p>
          <w:p w14:paraId="470C7ACF">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2025年钦州市秸秆焚烧智能化监控系统运维服务</w:t>
            </w:r>
          </w:p>
          <w:p w14:paraId="44D01ED5">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二、主要任务</w:t>
            </w:r>
          </w:p>
          <w:p w14:paraId="7F3B9DBA">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钦州市从2021年开始建设秸秆焚烧智能化监控项目，共进行了四期建设，建成监控摄像头36个及相关存储及服务平台，一期建设15个监控点位、二期建设4个监控点位、三期建设13个监控点位、四期建设4个监控点位，详见附件1。为提升秸秆焚烧智能化管控水平，本次采购内容包括提供秸秆管理平台运维服务、36套设备延保服务、网络传输服务、挂载服务及电力使用等服务。</w:t>
            </w:r>
          </w:p>
          <w:p w14:paraId="2D1EEC4C">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三、工作内容要求</w:t>
            </w:r>
          </w:p>
          <w:p w14:paraId="165BDFAD">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（一）秸秆管理平台运维服务</w:t>
            </w:r>
          </w:p>
          <w:p w14:paraId="5DA0AEF0">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平台通过视频监控以及AI计算能力、并接入热成像和可见光烟雾识别摄像机，进行环保平台信息化的集成与联动，包括秸秆焚烧、视频监控、综合管控、环境检测和设备运维等环境监测到环境治理的一体化应用功能。其中，秸秆焚烧应用功能包括火情预警研判、火情预警督察、火情数据统计、火情数据展示等。</w:t>
            </w:r>
          </w:p>
          <w:p w14:paraId="786404C7">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2、GB28181-2022协议平台级联,提供支持其他联网标准的扩展能力。</w:t>
            </w:r>
          </w:p>
          <w:p w14:paraId="30182D19">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3、支持结合DEM高程数据，给定巡航方案的指标要求（监测半径），即可自动规划全覆盖巡航方案。巡航方案中包括每个巡航带的起始俯仰角、终止俯仰角、起始水平角、终止水平角、倍距。</w:t>
            </w:r>
          </w:p>
          <w:p w14:paraId="2A86D3A7">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4、支持预案上传、下载和查看；支持按关键字和上传时间和用户检索。</w:t>
            </w:r>
          </w:p>
          <w:p w14:paraId="117270A8">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5、支持提供网格员的创建(绑定)，修改，查询，自动发送配置功能。</w:t>
            </w:r>
          </w:p>
          <w:p w14:paraId="6E589F57">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6、支持地图离线\在线模式切换，地图资源最大层级显示配置，火情等级城市配置、火情等级参数配置、行政区划配置。</w:t>
            </w:r>
          </w:p>
          <w:p w14:paraId="58E5C34A">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7、支持以报警为核心的火情研判功能，实现发现，上报、签收、反馈、处理等火情管理业务的闭环；支持提供督查告警处理进度的功能。</w:t>
            </w:r>
          </w:p>
          <w:p w14:paraId="0181E34D">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8、支持统计各网格化区域的火情数量以及处理效率；支持查询告警相关功能。</w:t>
            </w:r>
          </w:p>
          <w:p w14:paraId="6EF9A649">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9、支持移动客户端接收系统推送的火情消息。</w:t>
            </w:r>
          </w:p>
          <w:p w14:paraId="7A6D29E4">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10、支持在移动客户端查看火情消息的电子地图定位、关联图片、关联监控点的实时画面和录像。</w:t>
            </w:r>
          </w:p>
          <w:p w14:paraId="48ED0072">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11、支持APP火情上报功能，上报信息包括手动定位的经纬度坐标、图片和短视频。</w:t>
            </w:r>
          </w:p>
          <w:p w14:paraId="4736EF8D">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12、支持高德或其他北斗信号地图，自动规划用户当前位置到火情位置的路径。</w:t>
            </w:r>
          </w:p>
          <w:p w14:paraId="2190E1C5">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13、实时监控</w:t>
            </w:r>
          </w:p>
          <w:p w14:paraId="4E320B79">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系统使用采购人提供的摄像机，实时获取监控区域内清晰的监控图像，多类型摄像机可以满足不同区域监控点的需求。通过可见光烟雾识别系列摄像机或者热成像双光谱系列摄像机，对运营商基站铁塔周围数公里范围内的涉农区进行秸秆焚烧火情视频图像采集，实现360°全方位、全天候的监控。</w:t>
            </w:r>
          </w:p>
          <w:p w14:paraId="70EEF0AE">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14、录像存储</w:t>
            </w:r>
          </w:p>
          <w:p w14:paraId="1994273E">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采用云录像存储模式，各热成像点位录像存储和火点报警信息存储，以供事后调查取证。</w:t>
            </w:r>
          </w:p>
          <w:p w14:paraId="63B23BE1">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15、烟火识别</w:t>
            </w:r>
          </w:p>
          <w:p w14:paraId="47B01615">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红外热成像技术：系统利用热成像摄像机的热点检测功能，当监控范围内出现火点热源时，及时捕获该热点并发出报警信息。</w:t>
            </w:r>
          </w:p>
          <w:p w14:paraId="494BFA52">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具有烟雾识别算法：系统利用可见光烟雾识别技术，对监控范围内焚烧秸秆产生的白烟进行智能检测。</w:t>
            </w:r>
          </w:p>
          <w:p w14:paraId="02CEFBB4">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16、移动服务</w:t>
            </w:r>
          </w:p>
          <w:p w14:paraId="599AC8AF">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一旦发现火情，系统可将告警信息根据预案，通过短信、手机APP等多种方式，及时推送给相关的责任人。收到告警信息的管理人员和工作人员，可通过手持终端，了解火点的详细信息，包括：火情发生时间、位置、现场监控画面等，管理人员可及时调度巡查人员和灭火人员进行现场处置。</w:t>
            </w:r>
          </w:p>
          <w:p w14:paraId="2211C66F">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17、火情巡查与核实</w:t>
            </w:r>
          </w:p>
          <w:p w14:paraId="1EF6472D">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系统可通过手持终端，对重点禁烧区域和视频未覆盖的涉农区域，开展火情及时巡查和核实。</w:t>
            </w:r>
          </w:p>
          <w:p w14:paraId="69153B53">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18、预案管理</w:t>
            </w:r>
          </w:p>
          <w:p w14:paraId="6E91BEE8">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系统支持视频预案：客户端联动、电视墙联动、报警录像等。</w:t>
            </w:r>
          </w:p>
          <w:p w14:paraId="6855CFBA">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19、远程维护</w:t>
            </w:r>
          </w:p>
          <w:p w14:paraId="3F0EFFBE">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通过设备WEB界面能够对前端设备进行校时、重新启动、修改参数、软件升级、远程维护等功能。设备提供远程访问功能，运维人员不必到达设备现场，就可修改设备的各项参数。</w:t>
            </w:r>
          </w:p>
          <w:p w14:paraId="3D75E873">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（二）视频监控设备维保服务、数据存储服务</w:t>
            </w:r>
          </w:p>
          <w:p w14:paraId="6F63681B">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对36个点位视频监控设备提供维保，对秸秆焚烧可视化监测与管控系统，提供数据存储服务。</w:t>
            </w:r>
          </w:p>
          <w:p w14:paraId="539DB5F7">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（三）网络传输服务、挂载服务及电力保障服务</w:t>
            </w:r>
          </w:p>
          <w:p w14:paraId="645A9CC5">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提供36个点位网络数据传输服务（带宽20M以上（含20M），电力保障服务、铁塔挂载服务。</w:t>
            </w:r>
          </w:p>
          <w:p w14:paraId="033D1BD2">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（四）前端设备延保服务及日常维护、巡检服务</w:t>
            </w:r>
          </w:p>
          <w:p w14:paraId="5A60EA21">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出现网络故障或报警后，立刻启动应急保障机制，及时查清通信网络故障位置，隔离故障区域，并通知相关部门查清原因；同时及时组织相关技术人员检测故障区域，逐步恢复故障区与服务器的网络连接，恢复通信网络，保证正常运转。</w:t>
            </w:r>
          </w:p>
          <w:p w14:paraId="5302DF96">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安排工程师定期（每季度）进行一次现场巡查，保障设备正常运行。包括设备软件检查、硬件检查和环境检查三项内容。</w:t>
            </w:r>
          </w:p>
          <w:p w14:paraId="3048680B">
            <w:pPr>
              <w:pStyle w:val="66"/>
              <w:spacing w:line="520" w:lineRule="exact"/>
              <w:ind w:firstLine="422"/>
              <w:rPr>
                <w:rFonts w:cs="Times New Roman" w:asciiTheme="minorEastAsia" w:hAnsiTheme="minorEastAsia" w:eastAsiaTheme="minorEastAsia"/>
                <w:b/>
                <w:bCs/>
                <w:color w:val="000000" w:themeColor="text1"/>
                <w:sz w:val="21"/>
                <w:szCs w:val="21"/>
                <w14:textFill>
                  <w14:solidFill>
                    <w14:schemeClr w14:val="tx1"/>
                  </w14:solidFill>
                </w14:textFill>
              </w:rPr>
            </w:pPr>
            <w:r>
              <w:rPr>
                <w:rFonts w:hint="eastAsia" w:cs="Times New Roman" w:asciiTheme="minorEastAsia" w:hAnsiTheme="minorEastAsia" w:eastAsiaTheme="minorEastAsia"/>
                <w:b/>
                <w:bCs/>
                <w:color w:val="000000" w:themeColor="text1"/>
                <w:sz w:val="21"/>
                <w:szCs w:val="21"/>
                <w14:textFill>
                  <w14:solidFill>
                    <w14:schemeClr w14:val="tx1"/>
                  </w14:solidFill>
                </w14:textFill>
              </w:rPr>
              <w:t>四、成果要求</w:t>
            </w:r>
          </w:p>
          <w:p w14:paraId="64CC2CB6">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1.季度报告：服务期内成交供应商负责报送监测系统设备异常报告，并按季度统计归类留存，提供纸质版盖章一份、电子扫描版一份</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给采购人</w:t>
            </w:r>
            <w:r>
              <w:rPr>
                <w:rFonts w:hint="eastAsia" w:cs="Times New Roman" w:asciiTheme="minorEastAsia" w:hAnsiTheme="minorEastAsia" w:eastAsiaTheme="minorEastAsia"/>
                <w:color w:val="000000" w:themeColor="text1"/>
                <w:sz w:val="21"/>
                <w:szCs w:val="21"/>
                <w14:textFill>
                  <w14:solidFill>
                    <w14:schemeClr w14:val="tx1"/>
                  </w14:solidFill>
                </w14:textFill>
              </w:rPr>
              <w:t>。</w:t>
            </w:r>
          </w:p>
          <w:p w14:paraId="07DC1D3C">
            <w:pPr>
              <w:pStyle w:val="66"/>
              <w:spacing w:line="520" w:lineRule="exact"/>
              <w:ind w:firstLine="420"/>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2.整体报告：服务期满后汇总整体报告，提供纸质版盖章一份、电子扫描版一份</w:t>
            </w:r>
            <w:r>
              <w:rPr>
                <w:rFonts w:hint="eastAsia" w:cs="Times New Roman" w:asciiTheme="minorEastAsia" w:hAnsiTheme="minorEastAsia" w:eastAsiaTheme="minorEastAsia"/>
                <w:color w:val="000000" w:themeColor="text1"/>
                <w:sz w:val="21"/>
                <w:szCs w:val="21"/>
                <w:lang w:val="en-US" w:eastAsia="zh-CN"/>
                <w14:textFill>
                  <w14:solidFill>
                    <w14:schemeClr w14:val="tx1"/>
                  </w14:solidFill>
                </w14:textFill>
              </w:rPr>
              <w:t>给采购人</w:t>
            </w:r>
            <w:r>
              <w:rPr>
                <w:rFonts w:hint="eastAsia" w:cs="Times New Roman" w:asciiTheme="minorEastAsia" w:hAnsiTheme="minorEastAsia" w:eastAsiaTheme="minorEastAsia"/>
                <w:color w:val="000000" w:themeColor="text1"/>
                <w:sz w:val="21"/>
                <w:szCs w:val="21"/>
                <w14:textFill>
                  <w14:solidFill>
                    <w14:schemeClr w14:val="tx1"/>
                  </w14:solidFill>
                </w14:textFill>
              </w:rPr>
              <w:t>。</w:t>
            </w:r>
            <w:bookmarkEnd w:id="71"/>
            <w:bookmarkEnd w:id="72"/>
          </w:p>
        </w:tc>
      </w:tr>
      <w:tr w14:paraId="32518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5"/>
            <w:tcBorders>
              <w:top w:val="single" w:color="auto" w:sz="4" w:space="0"/>
              <w:left w:val="single" w:color="auto" w:sz="4" w:space="0"/>
              <w:bottom w:val="single" w:color="auto" w:sz="4" w:space="0"/>
              <w:right w:val="single" w:color="auto" w:sz="4" w:space="0"/>
            </w:tcBorders>
          </w:tcPr>
          <w:p w14:paraId="79C26960">
            <w:pPr>
              <w:wordWrap w:val="0"/>
              <w:spacing w:line="440" w:lineRule="exac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商务要求</w:t>
            </w:r>
          </w:p>
        </w:tc>
      </w:tr>
      <w:tr w14:paraId="2275D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7C150210">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服务期限和实施的地点或范围</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4CFD141A">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服务期限：</w:t>
            </w:r>
            <w:r>
              <w:rPr>
                <w:rFonts w:hint="eastAsia" w:ascii="宋体" w:hAnsi="宋体"/>
                <w:color w:val="000000" w:themeColor="text1"/>
                <w:szCs w:val="21"/>
                <w14:textFill>
                  <w14:solidFill>
                    <w14:schemeClr w14:val="tx1"/>
                  </w14:solidFill>
                </w14:textFill>
              </w:rPr>
              <w:t>合同签订之日起至2026年10月31日。</w:t>
            </w:r>
          </w:p>
          <w:p w14:paraId="23F8FFB1">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2.实施的地点或范围：钦州市</w:t>
            </w:r>
            <w:r>
              <w:rPr>
                <w:rFonts w:hint="eastAsia" w:ascii="宋体" w:hAnsi="宋体"/>
                <w:color w:val="000000" w:themeColor="text1"/>
                <w:szCs w:val="21"/>
                <w14:textFill>
                  <w14:solidFill>
                    <w14:schemeClr w14:val="tx1"/>
                  </w14:solidFill>
                </w14:textFill>
              </w:rPr>
              <w:t>采购人指定地点。</w:t>
            </w:r>
          </w:p>
        </w:tc>
      </w:tr>
      <w:tr w14:paraId="5669F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1F082B71">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合同签订时间</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17774A4C">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自成交通知书发出之日起</w:t>
            </w:r>
            <w:r>
              <w:rPr>
                <w:rFonts w:hint="eastAsia" w:ascii="宋体" w:hAnsi="宋体" w:cs="宋体"/>
                <w:color w:val="000000" w:themeColor="text1"/>
                <w:szCs w:val="21"/>
                <w:u w:val="single"/>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日内。</w:t>
            </w:r>
          </w:p>
        </w:tc>
      </w:tr>
      <w:tr w14:paraId="67F08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3ABF1014">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付款条件（进度和方式）</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4ED8A2F6">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合同签订生效并运维一个月后，成交供应商向采购人提交请款材料，待财政资金批复后10个工作日内支付合同总额的30%。②第6个月运维结束后，成交供应商向采购人提交请款材料，待财政资金批复后10个工作日内支付合同总额的30%。③运维结束后，成交供应商向采购人提交请款材料，待财政资金批复后10个工作日内支付合同总额的40%。</w:t>
            </w:r>
          </w:p>
        </w:tc>
      </w:tr>
      <w:tr w14:paraId="12B8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1261570B">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质量要求</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3B54F080">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1.符合现行国家相关标准、行业标准、地方标准或者其他标准、规范。</w:t>
            </w:r>
          </w:p>
          <w:p w14:paraId="449B3E7C">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ascii="宋体" w:hAnsi="宋体" w:cs="宋体"/>
                <w:bCs/>
                <w:color w:val="000000" w:themeColor="text1"/>
                <w:szCs w:val="21"/>
                <w14:textFill>
                  <w14:solidFill>
                    <w14:schemeClr w14:val="tx1"/>
                  </w14:solidFill>
                </w14:textFill>
              </w:rPr>
              <w:t>当国家标准、技术规范发生改变或成果出现质量问题时，</w:t>
            </w:r>
            <w:r>
              <w:rPr>
                <w:rFonts w:hint="eastAsia" w:ascii="宋体" w:hAnsi="宋体" w:cs="宋体"/>
                <w:bCs/>
                <w:color w:val="000000" w:themeColor="text1"/>
                <w:szCs w:val="21"/>
                <w14:textFill>
                  <w14:solidFill>
                    <w14:schemeClr w14:val="tx1"/>
                  </w14:solidFill>
                </w14:textFill>
              </w:rPr>
              <w:t>成交供应商</w:t>
            </w:r>
            <w:r>
              <w:rPr>
                <w:rFonts w:ascii="宋体" w:hAnsi="宋体" w:cs="宋体"/>
                <w:bCs/>
                <w:color w:val="000000" w:themeColor="text1"/>
                <w:szCs w:val="21"/>
                <w14:textFill>
                  <w14:solidFill>
                    <w14:schemeClr w14:val="tx1"/>
                  </w14:solidFill>
                </w14:textFill>
              </w:rPr>
              <w:t>须负责修改完善相关内容</w:t>
            </w:r>
            <w:r>
              <w:rPr>
                <w:rFonts w:hint="eastAsia" w:ascii="宋体" w:hAnsi="宋体" w:cs="宋体"/>
                <w:bCs/>
                <w:color w:val="000000" w:themeColor="text1"/>
                <w:szCs w:val="21"/>
                <w14:textFill>
                  <w14:solidFill>
                    <w14:schemeClr w14:val="tx1"/>
                  </w14:solidFill>
                </w14:textFill>
              </w:rPr>
              <w:t>。</w:t>
            </w:r>
          </w:p>
        </w:tc>
      </w:tr>
      <w:tr w14:paraId="6E3A7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5AC2EF37">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服务要求</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035FFDEE">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日常巡检：日常巡检每天进行一次，包括检查项目，检查频次，被检项目运行状态等内容，日常巡检规程应包含该系统运行状况、监测设备工作状况、系统辅助设备运行状况、系统校准工作等必检项目和记录，以及仪器使用说明书中规定的其他检查项目和记录。</w:t>
            </w:r>
          </w:p>
          <w:p w14:paraId="149D4AF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2.日常维护保养：日常维护保养将根据系统设备运行的要求，进行备件或材料更换时应对更换的备件或材料的品名、规格、数量等进行记录并归档。</w:t>
            </w:r>
          </w:p>
          <w:p w14:paraId="71526FE0">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3.日常仪器校准：每月至少一次校准，每次校准进行记录，如更换标准物质还需记录新标准物质的来源、有效期和浓度等信息。</w:t>
            </w:r>
          </w:p>
          <w:p w14:paraId="029AC569">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4.运维响应：每日巡查设备使用状况，及时消除设备缺陷，使各套在线监测设备处于完好状态</w:t>
            </w:r>
            <w:r>
              <w:rPr>
                <w:rFonts w:hint="eastAsia"/>
                <w:color w:val="000000" w:themeColor="text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同时及时检查仪器输出数据和系统接收数据的相符性和完整率，确保系统接收数据传输真实反应仪器检测情况。运维期内出现不能明确的故障时，或在收到采购人紧急情况维修通知后，成交供应商指定的运维服务人员应在30分钟内做出响应，2小时内进行在线和远程技术支持。一般问题2小时内解决；较大问题在4小时以内解决；重大问题4小时内提出解决方案，并在24小时内解决，并承担一切费用，如果24小时内无法修复的，成交供应商必须提供必要的零配件或备件进行替换，以免影响设备的正常运行。</w:t>
            </w:r>
          </w:p>
          <w:p w14:paraId="06940951">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5.运维记录</w:t>
            </w:r>
            <w:r>
              <w:rPr>
                <w:rFonts w:hint="eastAsia"/>
                <w:color w:val="000000" w:themeColor="text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负责报送监测系统设备异常报告，并按</w:t>
            </w:r>
            <w:r>
              <w:rPr>
                <w:rFonts w:hint="eastAsia" w:asciiTheme="minorEastAsia" w:hAnsiTheme="minorEastAsia" w:eastAsiaTheme="minorEastAsia"/>
                <w:color w:val="000000" w:themeColor="text1"/>
                <w:szCs w:val="21"/>
                <w14:textFill>
                  <w14:solidFill>
                    <w14:schemeClr w14:val="tx1"/>
                  </w14:solidFill>
                </w14:textFill>
              </w:rPr>
              <w:t>季度</w:t>
            </w:r>
            <w:r>
              <w:rPr>
                <w:rFonts w:hint="eastAsia" w:ascii="宋体" w:hAnsi="宋体" w:cs="宋体"/>
                <w:bCs/>
                <w:color w:val="000000" w:themeColor="text1"/>
                <w:szCs w:val="21"/>
                <w14:textFill>
                  <w14:solidFill>
                    <w14:schemeClr w14:val="tx1"/>
                  </w14:solidFill>
                </w14:textFill>
              </w:rPr>
              <w:t>统计归类留存。</w:t>
            </w:r>
          </w:p>
          <w:p w14:paraId="7836166E">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6.运维期内，成交供应商提供该项目的软件系统、相应数据库资料的升级服务以及维修与技术支持。</w:t>
            </w:r>
          </w:p>
          <w:p w14:paraId="4E077F06">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技术培训：提供人员的培训，包括但不限于操作培训、面对面培训、保养培训和维修培训，并提供对简单故障排除方法培训。同时提供书面承诺和培训方案，并对相关技术问题进行充分交流，使用户能熟练使用现有系统；培训操作人员至熟悉为止。</w:t>
            </w:r>
          </w:p>
          <w:p w14:paraId="10A0EAAA">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8.提供每周7天，每天</w:t>
            </w:r>
            <w:r>
              <w:rPr>
                <w:rFonts w:hint="eastAsia" w:ascii="宋体" w:hAnsi="宋体" w:cs="宋体"/>
                <w:bCs/>
                <w:color w:val="000000" w:themeColor="text1"/>
                <w:szCs w:val="21"/>
                <w:lang w:val="en-US" w:eastAsia="zh-CN"/>
                <w14:textFill>
                  <w14:solidFill>
                    <w14:schemeClr w14:val="tx1"/>
                  </w14:solidFill>
                </w14:textFill>
              </w:rPr>
              <w:t>24</w:t>
            </w:r>
            <w:r>
              <w:rPr>
                <w:rFonts w:hint="eastAsia" w:ascii="宋体" w:hAnsi="宋体" w:cs="宋体"/>
                <w:bCs/>
                <w:color w:val="000000" w:themeColor="text1"/>
                <w:szCs w:val="21"/>
                <w14:textFill>
                  <w14:solidFill>
                    <w14:schemeClr w14:val="tx1"/>
                  </w14:solidFill>
                </w14:textFill>
              </w:rPr>
              <w:t>小时不间断的电话支持服务，解答采购人在系统使用、维护过程中遇到的问题，并及时提出解决问题的建议和操作方法；每月至少回访、维护一次。</w:t>
            </w:r>
          </w:p>
          <w:p w14:paraId="08573B4D">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9.成交供应商有其它优惠条件的，请在响应文件中作出具体说明。</w:t>
            </w:r>
          </w:p>
          <w:p w14:paraId="158AADA6">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10.系统、设备产权归属：系统、设备产权归采购人所有，成交供应商在服务期间具有完全使用权。</w:t>
            </w:r>
          </w:p>
          <w:p w14:paraId="04348762">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11.成交供应商提供现场安装服务、现场维护服务等，以保证对服务需求的及时响应。若系统运行异常，必须提供驻场服务。</w:t>
            </w:r>
          </w:p>
        </w:tc>
      </w:tr>
      <w:tr w14:paraId="48CEE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542A7517">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报价要求</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7BDAD37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报价总金额包括满足本次全部采购需求所应提供的服务的价格；</w:t>
            </w:r>
            <w:r>
              <w:rPr>
                <w:rFonts w:hint="eastAsia" w:ascii="宋体" w:hAnsi="宋体" w:cs="宋体"/>
                <w:bCs/>
                <w:color w:val="000000" w:themeColor="text1"/>
                <w:szCs w:val="21"/>
                <w14:textFill>
                  <w14:solidFill>
                    <w14:schemeClr w14:val="tx1"/>
                  </w14:solidFill>
                </w14:textFill>
              </w:rPr>
              <w:t>本项目为服务成果整体交付应用项目，按服务总价包干，采购人不对项目达到成果水平的服务、货物、施工等一切内容追加支付费用，由成交供应商在合同价内全部提供或解决，竞标报价为采购人指定地点的服务总价，包括：</w:t>
            </w:r>
          </w:p>
          <w:p w14:paraId="5F865218">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（1）服务的价格；</w:t>
            </w:r>
          </w:p>
          <w:p w14:paraId="3F085E5A">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（2）相关标准附件、备品备件、专用工具的价格；</w:t>
            </w:r>
          </w:p>
          <w:p w14:paraId="3F18714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（3）运输、装卸、调试、培训、技术支持、售后服务等费用；</w:t>
            </w:r>
          </w:p>
          <w:p w14:paraId="27BF38D8">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（4）必要的保险费用和各项税费；</w:t>
            </w:r>
          </w:p>
          <w:p w14:paraId="6DF46DD7">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（5）包括安装费用；</w:t>
            </w:r>
          </w:p>
          <w:p w14:paraId="5526B3DC">
            <w:pPr>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（6）验收的费用；</w:t>
            </w:r>
          </w:p>
        </w:tc>
      </w:tr>
      <w:tr w14:paraId="57F7B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5"/>
            <w:tcBorders>
              <w:top w:val="single" w:color="auto" w:sz="4" w:space="0"/>
              <w:left w:val="single" w:color="auto" w:sz="4" w:space="0"/>
              <w:bottom w:val="single" w:color="auto" w:sz="4" w:space="0"/>
              <w:right w:val="single" w:color="auto" w:sz="4" w:space="0"/>
            </w:tcBorders>
            <w:vAlign w:val="center"/>
          </w:tcPr>
          <w:p w14:paraId="44B4679D">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与实现项目目标相关的其他要求</w:t>
            </w:r>
          </w:p>
        </w:tc>
      </w:tr>
      <w:tr w14:paraId="6EF8B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5"/>
            <w:tcBorders>
              <w:top w:val="single" w:color="auto" w:sz="4" w:space="0"/>
              <w:left w:val="single" w:color="auto" w:sz="4" w:space="0"/>
              <w:bottom w:val="single" w:color="auto" w:sz="4" w:space="0"/>
              <w:right w:val="single" w:color="auto" w:sz="4" w:space="0"/>
            </w:tcBorders>
            <w:vAlign w:val="center"/>
          </w:tcPr>
          <w:p w14:paraId="5649F995">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（一）供应商的履约能力要求</w:t>
            </w:r>
          </w:p>
        </w:tc>
      </w:tr>
      <w:tr w14:paraId="410E6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56AA3212">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管理体系要求</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5A4FC390">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见本采购文件“评审方法和评审标准”。</w:t>
            </w:r>
          </w:p>
        </w:tc>
      </w:tr>
      <w:tr w14:paraId="10FD4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5FD828CA">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业绩要求</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02A1B730">
            <w:pPr>
              <w:wordWrap w:val="0"/>
              <w:spacing w:line="440" w:lineRule="exac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见本采购文件“评审方法和评审标准”。</w:t>
            </w:r>
          </w:p>
        </w:tc>
      </w:tr>
      <w:tr w14:paraId="1FD7C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gridSpan w:val="3"/>
            <w:tcBorders>
              <w:top w:val="single" w:color="auto" w:sz="4" w:space="0"/>
              <w:left w:val="single" w:color="auto" w:sz="4" w:space="0"/>
              <w:bottom w:val="single" w:color="auto" w:sz="4" w:space="0"/>
              <w:right w:val="single" w:color="auto" w:sz="4" w:space="0"/>
            </w:tcBorders>
            <w:vAlign w:val="center"/>
          </w:tcPr>
          <w:p w14:paraId="60530857">
            <w:pPr>
              <w:wordWrap w:val="0"/>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其他</w:t>
            </w:r>
          </w:p>
        </w:tc>
        <w:tc>
          <w:tcPr>
            <w:tcW w:w="7662" w:type="dxa"/>
            <w:gridSpan w:val="2"/>
            <w:tcBorders>
              <w:top w:val="single" w:color="auto" w:sz="4" w:space="0"/>
              <w:left w:val="single" w:color="auto" w:sz="4" w:space="0"/>
              <w:bottom w:val="single" w:color="auto" w:sz="4" w:space="0"/>
              <w:right w:val="single" w:color="auto" w:sz="4" w:space="0"/>
            </w:tcBorders>
            <w:vAlign w:val="center"/>
          </w:tcPr>
          <w:p w14:paraId="6C73D9E7">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1.供应商无任何违法、违规、质量安全事故、履约不良等行为反映或记录；</w:t>
            </w:r>
          </w:p>
          <w:p w14:paraId="337B6D21">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2.供应商无自身原因违约或不恰当履行合同引起的终止、纠纷、争议、仲裁、和诉讼记录；</w:t>
            </w:r>
          </w:p>
          <w:p w14:paraId="2116485B">
            <w:pPr>
              <w:wordWrap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3.供应商无被责令停业或暂停、取消竞标资格，无经济方面犯罪或严重违法记录。</w:t>
            </w:r>
          </w:p>
          <w:p w14:paraId="6EE29BD4">
            <w:pPr>
              <w:wordWrap w:val="0"/>
              <w:spacing w:line="4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4.供应商在响应文件中提供关于本项目的</w:t>
            </w:r>
            <w:r>
              <w:rPr>
                <w:rFonts w:hint="eastAsia" w:ascii="宋体" w:hAnsi="宋体" w:cs="宋体"/>
                <w:b/>
                <w:bCs/>
                <w:color w:val="000000" w:themeColor="text1"/>
                <w:szCs w:val="21"/>
                <w14:textFill>
                  <w14:solidFill>
                    <w14:schemeClr w14:val="tx1"/>
                  </w14:solidFill>
                </w14:textFill>
              </w:rPr>
              <w:t>项目实施方案、运维及售后服务方案</w:t>
            </w:r>
            <w:r>
              <w:rPr>
                <w:rFonts w:hint="eastAsia" w:ascii="宋体" w:hAnsi="宋体"/>
                <w:b/>
                <w:bCs/>
                <w:color w:val="000000" w:themeColor="text1"/>
                <w:szCs w:val="21"/>
                <w14:textFill>
                  <w14:solidFill>
                    <w14:schemeClr w14:val="tx1"/>
                  </w14:solidFill>
                </w14:textFill>
              </w:rPr>
              <w:t>和拟投入项目人员和车辆</w:t>
            </w:r>
            <w:r>
              <w:rPr>
                <w:rFonts w:hint="eastAsia" w:ascii="宋体" w:hAnsi="宋体"/>
                <w:color w:val="000000" w:themeColor="text1"/>
                <w:szCs w:val="21"/>
                <w14:textFill>
                  <w14:solidFill>
                    <w14:schemeClr w14:val="tx1"/>
                  </w14:solidFill>
                </w14:textFill>
              </w:rPr>
              <w:t>的信息材料。</w:t>
            </w:r>
          </w:p>
          <w:p w14:paraId="06810CE1">
            <w:pPr>
              <w:wordWrap w:val="0"/>
              <w:spacing w:line="440" w:lineRule="exact"/>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5.竞标供应商在竞标活动中如提供任何虚假材料，以及竞标产品的功能、技术参数/服务要求不如实说明，</w:t>
            </w:r>
            <w:r>
              <w:rPr>
                <w:rFonts w:hint="eastAsia" w:ascii="宋体" w:hAnsi="宋体" w:cs="宋体"/>
                <w:b/>
                <w:color w:val="000000" w:themeColor="text1"/>
                <w:szCs w:val="21"/>
                <w14:textFill>
                  <w14:solidFill>
                    <w14:schemeClr w14:val="tx1"/>
                  </w14:solidFill>
                </w14:textFill>
              </w:rPr>
              <w:t>其竞标无效</w:t>
            </w:r>
            <w:r>
              <w:rPr>
                <w:rFonts w:hint="eastAsia" w:ascii="宋体" w:hAnsi="宋体" w:cs="宋体"/>
                <w:bCs/>
                <w:color w:val="000000" w:themeColor="text1"/>
                <w:szCs w:val="21"/>
                <w14:textFill>
                  <w14:solidFill>
                    <w14:schemeClr w14:val="tx1"/>
                  </w14:solidFill>
                </w14:textFill>
              </w:rPr>
              <w:t>，并报监管部门查处。</w:t>
            </w:r>
          </w:p>
        </w:tc>
      </w:tr>
      <w:tr w14:paraId="43B61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5"/>
            <w:tcBorders>
              <w:top w:val="single" w:color="auto" w:sz="4" w:space="0"/>
              <w:left w:val="single" w:color="auto" w:sz="4" w:space="0"/>
              <w:bottom w:val="single" w:color="auto" w:sz="4" w:space="0"/>
              <w:right w:val="single" w:color="auto" w:sz="4" w:space="0"/>
            </w:tcBorders>
            <w:vAlign w:val="center"/>
          </w:tcPr>
          <w:p w14:paraId="33F11B6E">
            <w:pPr>
              <w:tabs>
                <w:tab w:val="left" w:pos="180"/>
                <w:tab w:val="left" w:pos="1620"/>
              </w:tabs>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（二）验收标准</w:t>
            </w:r>
          </w:p>
        </w:tc>
      </w:tr>
      <w:tr w14:paraId="7A683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5"/>
            <w:tcBorders>
              <w:top w:val="single" w:color="auto" w:sz="4" w:space="0"/>
              <w:left w:val="single" w:color="auto" w:sz="4" w:space="0"/>
              <w:bottom w:val="single" w:color="auto" w:sz="4" w:space="0"/>
              <w:right w:val="single" w:color="auto" w:sz="4" w:space="0"/>
            </w:tcBorders>
            <w:vAlign w:val="center"/>
          </w:tcPr>
          <w:p w14:paraId="3B923675">
            <w:pPr>
              <w:tabs>
                <w:tab w:val="left" w:pos="180"/>
                <w:tab w:val="left" w:pos="1620"/>
              </w:tabs>
              <w:wordWrap w:val="0"/>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1.符合现行国家相关标准、行业标准、地方标准或者其他标准、规范。</w:t>
            </w:r>
          </w:p>
          <w:p w14:paraId="73400762">
            <w:pPr>
              <w:tabs>
                <w:tab w:val="left" w:pos="180"/>
                <w:tab w:val="left" w:pos="1620"/>
              </w:tabs>
              <w:wordWrap w:val="0"/>
              <w:spacing w:line="44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平台接口完成对接、测试、培训和上线后，成交供应商应配合采购人完成对系统综合测评，双方组织人员对项目总体性能和项目交付文档进行全面验收，并按采购人要求形成最终验收合格文件。验收文件的签署：由成交供应商撰写服务完成报告，由采购人委派的验收小组再审核后，双方共同签署。逾期不验收或验收后不提出异议的，则视为验收合格。</w:t>
            </w:r>
          </w:p>
        </w:tc>
      </w:tr>
    </w:tbl>
    <w:p w14:paraId="0AD8ABB2">
      <w:pPr>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b/>
          <w:bCs/>
          <w:color w:val="000000" w:themeColor="text1"/>
          <w:kern w:val="0"/>
          <w:sz w:val="28"/>
          <w:szCs w:val="28"/>
          <w:lang w:bidi="ar"/>
          <w14:textFill>
            <w14:solidFill>
              <w14:schemeClr w14:val="tx1"/>
            </w14:solidFill>
          </w14:textFill>
        </w:rPr>
        <w:br w:type="page"/>
      </w:r>
    </w:p>
    <w:p w14:paraId="353F7074">
      <w:pPr>
        <w:widowControl/>
        <w:jc w:val="left"/>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b/>
          <w:bCs/>
          <w:color w:val="000000" w:themeColor="text1"/>
          <w:kern w:val="0"/>
          <w:sz w:val="28"/>
          <w:szCs w:val="28"/>
          <w:lang w:bidi="ar"/>
          <w14:textFill>
            <w14:solidFill>
              <w14:schemeClr w14:val="tx1"/>
            </w14:solidFill>
          </w14:textFill>
        </w:rPr>
        <w:t>附件 1：36个监控点位清单</w:t>
      </w:r>
    </w:p>
    <w:p w14:paraId="6FFD6F8F">
      <w:pPr>
        <w:pStyle w:val="16"/>
        <w:rPr>
          <w:color w:val="000000" w:themeColor="text1"/>
          <w14:textFill>
            <w14:solidFill>
              <w14:schemeClr w14:val="tx1"/>
            </w14:solidFill>
          </w14:textFill>
        </w:rPr>
      </w:pPr>
    </w:p>
    <w:tbl>
      <w:tblPr>
        <w:tblStyle w:val="23"/>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37"/>
        <w:gridCol w:w="2713"/>
        <w:gridCol w:w="2887"/>
        <w:gridCol w:w="960"/>
        <w:gridCol w:w="654"/>
        <w:gridCol w:w="680"/>
      </w:tblGrid>
      <w:tr w14:paraId="13E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shd w:val="clear" w:color="auto" w:fill="auto"/>
            <w:noWrap/>
            <w:vAlign w:val="center"/>
          </w:tcPr>
          <w:p w14:paraId="68ADB2C3">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序号</w:t>
            </w:r>
          </w:p>
        </w:tc>
        <w:tc>
          <w:tcPr>
            <w:tcW w:w="1037" w:type="dxa"/>
            <w:shd w:val="clear" w:color="auto" w:fill="auto"/>
            <w:noWrap/>
            <w:vAlign w:val="center"/>
          </w:tcPr>
          <w:p w14:paraId="6AAFDFBE">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区域</w:t>
            </w:r>
          </w:p>
        </w:tc>
        <w:tc>
          <w:tcPr>
            <w:tcW w:w="2713" w:type="dxa"/>
            <w:shd w:val="clear" w:color="auto" w:fill="auto"/>
            <w:noWrap/>
            <w:vAlign w:val="center"/>
          </w:tcPr>
          <w:p w14:paraId="7827745B">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站址名称</w:t>
            </w:r>
          </w:p>
        </w:tc>
        <w:tc>
          <w:tcPr>
            <w:tcW w:w="2887" w:type="dxa"/>
            <w:shd w:val="clear" w:color="auto" w:fill="auto"/>
            <w:noWrap/>
            <w:vAlign w:val="center"/>
          </w:tcPr>
          <w:p w14:paraId="1CA7BC53">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地址</w:t>
            </w:r>
          </w:p>
        </w:tc>
        <w:tc>
          <w:tcPr>
            <w:tcW w:w="960" w:type="dxa"/>
            <w:shd w:val="clear" w:color="auto" w:fill="auto"/>
            <w:noWrap/>
            <w:vAlign w:val="center"/>
          </w:tcPr>
          <w:p w14:paraId="69F079F7">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摄像机型号</w:t>
            </w:r>
          </w:p>
        </w:tc>
        <w:tc>
          <w:tcPr>
            <w:tcW w:w="654" w:type="dxa"/>
            <w:shd w:val="clear" w:color="auto" w:fill="auto"/>
            <w:noWrap/>
            <w:vAlign w:val="center"/>
          </w:tcPr>
          <w:p w14:paraId="4983F350">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数量</w:t>
            </w:r>
          </w:p>
        </w:tc>
        <w:tc>
          <w:tcPr>
            <w:tcW w:w="680" w:type="dxa"/>
            <w:shd w:val="clear" w:color="auto" w:fill="auto"/>
            <w:noWrap/>
            <w:vAlign w:val="center"/>
          </w:tcPr>
          <w:p w14:paraId="661A2432">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备注</w:t>
            </w:r>
          </w:p>
        </w:tc>
      </w:tr>
      <w:tr w14:paraId="325D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49DD510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1037" w:type="dxa"/>
            <w:noWrap/>
            <w:vAlign w:val="center"/>
          </w:tcPr>
          <w:p w14:paraId="4A7B9A2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02D5544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钦州钦南区大番坡镇基站无线机房</w:t>
            </w:r>
          </w:p>
        </w:tc>
        <w:tc>
          <w:tcPr>
            <w:tcW w:w="2887" w:type="dxa"/>
            <w:noWrap/>
            <w:vAlign w:val="center"/>
          </w:tcPr>
          <w:p w14:paraId="4D0F3C0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钦州市大番坡镇附近的山头上</w:t>
            </w:r>
          </w:p>
        </w:tc>
        <w:tc>
          <w:tcPr>
            <w:tcW w:w="960" w:type="dxa"/>
            <w:vMerge w:val="restart"/>
            <w:noWrap/>
            <w:vAlign w:val="center"/>
          </w:tcPr>
          <w:p w14:paraId="5C7DB0C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海康威视DS-2TD41XX-ABCDEFG</w:t>
            </w:r>
          </w:p>
        </w:tc>
        <w:tc>
          <w:tcPr>
            <w:tcW w:w="654" w:type="dxa"/>
            <w:noWrap/>
            <w:vAlign w:val="center"/>
          </w:tcPr>
          <w:p w14:paraId="5CF3BEE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DEF5A0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490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3B41365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1037" w:type="dxa"/>
            <w:noWrap/>
            <w:vAlign w:val="center"/>
          </w:tcPr>
          <w:p w14:paraId="4FCECFA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4C01BD1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钦州钦南区久隆镇大岭村LTE_拉远</w:t>
            </w:r>
          </w:p>
        </w:tc>
        <w:tc>
          <w:tcPr>
            <w:tcW w:w="2887" w:type="dxa"/>
            <w:noWrap/>
            <w:vAlign w:val="center"/>
          </w:tcPr>
          <w:p w14:paraId="79BF2F3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钦南区久隆镇大岭村南面400米</w:t>
            </w:r>
          </w:p>
        </w:tc>
        <w:tc>
          <w:tcPr>
            <w:tcW w:w="960" w:type="dxa"/>
            <w:vMerge w:val="continue"/>
            <w:noWrap/>
            <w:vAlign w:val="center"/>
          </w:tcPr>
          <w:p w14:paraId="3683E684">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7D2F27F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51E5DD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40C1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36C5ED3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1037" w:type="dxa"/>
            <w:noWrap/>
            <w:vAlign w:val="center"/>
          </w:tcPr>
          <w:p w14:paraId="622A55D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0D2BBA1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钦州钦城区高速路口收费站基站无线机房</w:t>
            </w:r>
          </w:p>
        </w:tc>
        <w:tc>
          <w:tcPr>
            <w:tcW w:w="2887" w:type="dxa"/>
            <w:noWrap/>
            <w:vAlign w:val="center"/>
          </w:tcPr>
          <w:p w14:paraId="618E41B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钦州市高速路口旁的水塔上</w:t>
            </w:r>
          </w:p>
        </w:tc>
        <w:tc>
          <w:tcPr>
            <w:tcW w:w="960" w:type="dxa"/>
            <w:vMerge w:val="continue"/>
            <w:noWrap/>
            <w:vAlign w:val="center"/>
          </w:tcPr>
          <w:p w14:paraId="297D03DF">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3C0A406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70567B3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5F6F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4FB6ACB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w:t>
            </w:r>
          </w:p>
        </w:tc>
        <w:tc>
          <w:tcPr>
            <w:tcW w:w="1037" w:type="dxa"/>
            <w:noWrap/>
            <w:vAlign w:val="center"/>
          </w:tcPr>
          <w:p w14:paraId="2E0CF87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42A5D7F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钦州钦南区尖山镇黎头咀基站无线机房</w:t>
            </w:r>
          </w:p>
        </w:tc>
        <w:tc>
          <w:tcPr>
            <w:tcW w:w="2887" w:type="dxa"/>
            <w:noWrap/>
            <w:vAlign w:val="center"/>
          </w:tcPr>
          <w:p w14:paraId="6F5AB83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钦州尖山黎头咀村委楼3楼顶</w:t>
            </w:r>
          </w:p>
        </w:tc>
        <w:tc>
          <w:tcPr>
            <w:tcW w:w="960" w:type="dxa"/>
            <w:vMerge w:val="continue"/>
            <w:noWrap/>
            <w:vAlign w:val="center"/>
          </w:tcPr>
          <w:p w14:paraId="065999CE">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366E318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C6DE82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272B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5C851BB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5</w:t>
            </w:r>
          </w:p>
        </w:tc>
        <w:tc>
          <w:tcPr>
            <w:tcW w:w="1037" w:type="dxa"/>
            <w:noWrap/>
            <w:vAlign w:val="center"/>
          </w:tcPr>
          <w:p w14:paraId="7986013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24E8A55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钦州市钦南区木棍坡</w:t>
            </w:r>
          </w:p>
        </w:tc>
        <w:tc>
          <w:tcPr>
            <w:tcW w:w="2887" w:type="dxa"/>
            <w:noWrap/>
            <w:vAlign w:val="center"/>
          </w:tcPr>
          <w:p w14:paraId="0C1BF43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钦州市钦南区木棍陂村高丰火龙果基地入口旁</w:t>
            </w:r>
          </w:p>
        </w:tc>
        <w:tc>
          <w:tcPr>
            <w:tcW w:w="960" w:type="dxa"/>
            <w:vMerge w:val="continue"/>
            <w:noWrap/>
            <w:vAlign w:val="center"/>
          </w:tcPr>
          <w:p w14:paraId="2774B441">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4333E60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90C47C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322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43FE2AE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c>
          <w:tcPr>
            <w:tcW w:w="1037" w:type="dxa"/>
            <w:noWrap/>
            <w:vAlign w:val="center"/>
          </w:tcPr>
          <w:p w14:paraId="08BFA8D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3BBE302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钦南区沙埠镇那宾村LTE</w:t>
            </w:r>
          </w:p>
        </w:tc>
        <w:tc>
          <w:tcPr>
            <w:tcW w:w="2887" w:type="dxa"/>
            <w:noWrap/>
            <w:vAlign w:val="center"/>
          </w:tcPr>
          <w:p w14:paraId="0A4A2A6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钦州市钦北区沙埠镇那宾村工业园路旁边</w:t>
            </w:r>
          </w:p>
        </w:tc>
        <w:tc>
          <w:tcPr>
            <w:tcW w:w="960" w:type="dxa"/>
            <w:vMerge w:val="continue"/>
            <w:noWrap/>
            <w:vAlign w:val="center"/>
          </w:tcPr>
          <w:p w14:paraId="5A4969EA">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4D710E3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53A8C5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1B7C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21102E6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7</w:t>
            </w:r>
          </w:p>
        </w:tc>
        <w:tc>
          <w:tcPr>
            <w:tcW w:w="1037" w:type="dxa"/>
            <w:noWrap/>
            <w:vAlign w:val="center"/>
          </w:tcPr>
          <w:p w14:paraId="04D00BB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3C5F3CF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钦州钦南区尖山镇钦江大桥基站无线机房</w:t>
            </w:r>
          </w:p>
        </w:tc>
        <w:tc>
          <w:tcPr>
            <w:tcW w:w="2887" w:type="dxa"/>
            <w:noWrap/>
            <w:vAlign w:val="center"/>
          </w:tcPr>
          <w:p w14:paraId="2CB2610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钦州市尖山镇钦江大桥一带南北高速钦州市尖山镇排榜村室内、钦州市尖山镇九鸦村</w:t>
            </w:r>
          </w:p>
        </w:tc>
        <w:tc>
          <w:tcPr>
            <w:tcW w:w="960" w:type="dxa"/>
            <w:vMerge w:val="continue"/>
            <w:noWrap/>
            <w:vAlign w:val="center"/>
          </w:tcPr>
          <w:p w14:paraId="524194E6">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38FA145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6CEB572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2AC3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03D92BD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8</w:t>
            </w:r>
          </w:p>
        </w:tc>
        <w:tc>
          <w:tcPr>
            <w:tcW w:w="1037" w:type="dxa"/>
            <w:noWrap/>
            <w:vAlign w:val="center"/>
          </w:tcPr>
          <w:p w14:paraId="3D7281D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6CECB0B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钦州钦南区久隆镇青草新城基站无线机房</w:t>
            </w:r>
          </w:p>
        </w:tc>
        <w:tc>
          <w:tcPr>
            <w:tcW w:w="2887" w:type="dxa"/>
            <w:noWrap/>
            <w:vAlign w:val="center"/>
          </w:tcPr>
          <w:p w14:paraId="4F43FD2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钦州久隆镇青草新城村附近空地</w:t>
            </w:r>
          </w:p>
        </w:tc>
        <w:tc>
          <w:tcPr>
            <w:tcW w:w="960" w:type="dxa"/>
            <w:vMerge w:val="continue"/>
            <w:noWrap/>
            <w:vAlign w:val="center"/>
          </w:tcPr>
          <w:p w14:paraId="7E537C22">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63CE22A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761550A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3906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28E5E13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9</w:t>
            </w:r>
          </w:p>
        </w:tc>
        <w:tc>
          <w:tcPr>
            <w:tcW w:w="1037" w:type="dxa"/>
            <w:noWrap/>
            <w:vAlign w:val="center"/>
          </w:tcPr>
          <w:p w14:paraId="15FEA08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64620E5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钦州钦南区久隆镇沙田村</w:t>
            </w:r>
          </w:p>
        </w:tc>
        <w:tc>
          <w:tcPr>
            <w:tcW w:w="2887" w:type="dxa"/>
            <w:noWrap/>
            <w:vAlign w:val="center"/>
          </w:tcPr>
          <w:p w14:paraId="20CC5C7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钦州钦南区久隆镇沙田村东边500米空地</w:t>
            </w:r>
          </w:p>
        </w:tc>
        <w:tc>
          <w:tcPr>
            <w:tcW w:w="960" w:type="dxa"/>
            <w:vMerge w:val="continue"/>
            <w:noWrap/>
            <w:vAlign w:val="center"/>
          </w:tcPr>
          <w:p w14:paraId="5B044B06">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4EBF007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080D20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7B0B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42ED128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w:t>
            </w:r>
          </w:p>
        </w:tc>
        <w:tc>
          <w:tcPr>
            <w:tcW w:w="1037" w:type="dxa"/>
            <w:noWrap/>
            <w:vAlign w:val="center"/>
          </w:tcPr>
          <w:p w14:paraId="1BED80C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0172AFD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钦州钦南区黄屋屯镇屯南高速基站无线机房</w:t>
            </w:r>
          </w:p>
        </w:tc>
        <w:tc>
          <w:tcPr>
            <w:tcW w:w="2887" w:type="dxa"/>
            <w:noWrap/>
            <w:vAlign w:val="center"/>
          </w:tcPr>
          <w:p w14:paraId="27D142A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钦州市黄屋屯镇屯南高速路桥洞附近的山头上</w:t>
            </w:r>
          </w:p>
        </w:tc>
        <w:tc>
          <w:tcPr>
            <w:tcW w:w="960" w:type="dxa"/>
            <w:vMerge w:val="continue"/>
            <w:noWrap/>
            <w:vAlign w:val="center"/>
          </w:tcPr>
          <w:p w14:paraId="21F7795C">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2DF7783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9CC3B4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286D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0C409E3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11</w:t>
            </w:r>
          </w:p>
        </w:tc>
        <w:tc>
          <w:tcPr>
            <w:tcW w:w="1037" w:type="dxa"/>
            <w:noWrap/>
            <w:vAlign w:val="center"/>
          </w:tcPr>
          <w:p w14:paraId="2602EC4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592EB45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钦南区久隆镇屯州村LTE_拉远</w:t>
            </w:r>
          </w:p>
        </w:tc>
        <w:tc>
          <w:tcPr>
            <w:tcW w:w="2887" w:type="dxa"/>
            <w:noWrap/>
            <w:vAlign w:val="center"/>
          </w:tcPr>
          <w:p w14:paraId="6FC9139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钦州钦南区久隆镇屯州村东边250米田里</w:t>
            </w:r>
          </w:p>
        </w:tc>
        <w:tc>
          <w:tcPr>
            <w:tcW w:w="960" w:type="dxa"/>
            <w:vMerge w:val="continue"/>
            <w:noWrap/>
            <w:vAlign w:val="center"/>
          </w:tcPr>
          <w:p w14:paraId="10018B95">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2654933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59FA44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12D5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7ED296B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12</w:t>
            </w:r>
          </w:p>
        </w:tc>
        <w:tc>
          <w:tcPr>
            <w:tcW w:w="1037" w:type="dxa"/>
            <w:noWrap/>
            <w:vAlign w:val="center"/>
          </w:tcPr>
          <w:p w14:paraId="6FEBE63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47EC4ED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钦南区久隆镇朱砂坪</w:t>
            </w:r>
          </w:p>
        </w:tc>
        <w:tc>
          <w:tcPr>
            <w:tcW w:w="2887" w:type="dxa"/>
            <w:noWrap/>
            <w:vAlign w:val="center"/>
          </w:tcPr>
          <w:p w14:paraId="4F9A174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钦州钦南区久隆镇朱砂坪村西侧500米山坡上</w:t>
            </w:r>
          </w:p>
        </w:tc>
        <w:tc>
          <w:tcPr>
            <w:tcW w:w="960" w:type="dxa"/>
            <w:vMerge w:val="continue"/>
            <w:noWrap/>
            <w:vAlign w:val="center"/>
          </w:tcPr>
          <w:p w14:paraId="657BD1F6">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5A32BC0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67646DC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0187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15EE791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13</w:t>
            </w:r>
          </w:p>
        </w:tc>
        <w:tc>
          <w:tcPr>
            <w:tcW w:w="1037" w:type="dxa"/>
            <w:noWrap/>
            <w:vAlign w:val="center"/>
          </w:tcPr>
          <w:p w14:paraId="78A9384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0EE2025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钦州钦北区大寺镇四联村基站无线机房</w:t>
            </w:r>
          </w:p>
        </w:tc>
        <w:tc>
          <w:tcPr>
            <w:tcW w:w="2887" w:type="dxa"/>
            <w:noWrap/>
            <w:vAlign w:val="center"/>
          </w:tcPr>
          <w:p w14:paraId="0F7FD28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钦州市大寺镇四联村附近的山头上</w:t>
            </w:r>
          </w:p>
        </w:tc>
        <w:tc>
          <w:tcPr>
            <w:tcW w:w="960" w:type="dxa"/>
            <w:vMerge w:val="continue"/>
            <w:noWrap/>
            <w:vAlign w:val="center"/>
          </w:tcPr>
          <w:p w14:paraId="35BCCE4D">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2743357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5866F9B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2E18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46CDB0E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14</w:t>
            </w:r>
          </w:p>
        </w:tc>
        <w:tc>
          <w:tcPr>
            <w:tcW w:w="1037" w:type="dxa"/>
            <w:noWrap/>
            <w:vAlign w:val="center"/>
          </w:tcPr>
          <w:p w14:paraId="5C08661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49421D7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GX钦州那蒙镇陇角</w:t>
            </w:r>
          </w:p>
        </w:tc>
        <w:tc>
          <w:tcPr>
            <w:tcW w:w="2887" w:type="dxa"/>
            <w:noWrap/>
            <w:vAlign w:val="center"/>
          </w:tcPr>
          <w:p w14:paraId="0870F0D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广西钦州市钦城区那蒙镇陇角</w:t>
            </w:r>
          </w:p>
        </w:tc>
        <w:tc>
          <w:tcPr>
            <w:tcW w:w="960" w:type="dxa"/>
            <w:vMerge w:val="continue"/>
            <w:noWrap/>
            <w:vAlign w:val="center"/>
          </w:tcPr>
          <w:p w14:paraId="6FD33732">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14F97EF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4289734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4C74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6A405D6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15</w:t>
            </w:r>
          </w:p>
        </w:tc>
        <w:tc>
          <w:tcPr>
            <w:tcW w:w="1037" w:type="dxa"/>
            <w:noWrap/>
            <w:vAlign w:val="center"/>
          </w:tcPr>
          <w:p w14:paraId="424CEF8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1C8DA1C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钦州钦北区大垌镇良田村基站无线机房</w:t>
            </w:r>
          </w:p>
        </w:tc>
        <w:tc>
          <w:tcPr>
            <w:tcW w:w="2887" w:type="dxa"/>
            <w:noWrap/>
            <w:vAlign w:val="center"/>
          </w:tcPr>
          <w:p w14:paraId="008313D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钦州市大垌镇良田村附近的山头上</w:t>
            </w:r>
          </w:p>
        </w:tc>
        <w:tc>
          <w:tcPr>
            <w:tcW w:w="960" w:type="dxa"/>
            <w:vMerge w:val="continue"/>
            <w:noWrap/>
            <w:vAlign w:val="center"/>
          </w:tcPr>
          <w:p w14:paraId="3F9C4DA9">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6A5C153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69A7264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一期</w:t>
            </w:r>
          </w:p>
        </w:tc>
      </w:tr>
      <w:tr w14:paraId="3B7B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36B7060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16</w:t>
            </w:r>
          </w:p>
        </w:tc>
        <w:tc>
          <w:tcPr>
            <w:tcW w:w="1037" w:type="dxa"/>
            <w:noWrap/>
            <w:vAlign w:val="center"/>
          </w:tcPr>
          <w:p w14:paraId="266E9FF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7CFACE3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钦州灵山县新圩镇那陈村LTE_拉远</w:t>
            </w:r>
          </w:p>
        </w:tc>
        <w:tc>
          <w:tcPr>
            <w:tcW w:w="2887" w:type="dxa"/>
            <w:noWrap/>
            <w:vAlign w:val="center"/>
          </w:tcPr>
          <w:p w14:paraId="3CC71DB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钦州灵山新圩那陈村农田</w:t>
            </w:r>
          </w:p>
        </w:tc>
        <w:tc>
          <w:tcPr>
            <w:tcW w:w="960" w:type="dxa"/>
            <w:vMerge w:val="continue"/>
            <w:noWrap/>
            <w:vAlign w:val="center"/>
          </w:tcPr>
          <w:p w14:paraId="3DCC567E">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631EE52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34A110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二期</w:t>
            </w:r>
          </w:p>
        </w:tc>
      </w:tr>
      <w:tr w14:paraId="0DC3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0CD03C5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17</w:t>
            </w:r>
          </w:p>
        </w:tc>
        <w:tc>
          <w:tcPr>
            <w:tcW w:w="1037" w:type="dxa"/>
            <w:noWrap/>
            <w:vAlign w:val="center"/>
          </w:tcPr>
          <w:p w14:paraId="2BA6972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3100FDE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灵山县灵城镇前进村</w:t>
            </w:r>
          </w:p>
        </w:tc>
        <w:tc>
          <w:tcPr>
            <w:tcW w:w="2887" w:type="dxa"/>
            <w:noWrap/>
            <w:vAlign w:val="center"/>
          </w:tcPr>
          <w:p w14:paraId="0E190E6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灵山县灵城镇前进村村委2楼顶</w:t>
            </w:r>
          </w:p>
        </w:tc>
        <w:tc>
          <w:tcPr>
            <w:tcW w:w="960" w:type="dxa"/>
            <w:vMerge w:val="continue"/>
            <w:noWrap/>
            <w:vAlign w:val="center"/>
          </w:tcPr>
          <w:p w14:paraId="724AB246">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36A6295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F8D60B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二期</w:t>
            </w:r>
          </w:p>
        </w:tc>
      </w:tr>
      <w:tr w14:paraId="21EC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21509A3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18</w:t>
            </w:r>
          </w:p>
        </w:tc>
        <w:tc>
          <w:tcPr>
            <w:tcW w:w="1037" w:type="dxa"/>
            <w:noWrap/>
            <w:vAlign w:val="center"/>
          </w:tcPr>
          <w:p w14:paraId="2C38D1D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浦北县</w:t>
            </w:r>
          </w:p>
        </w:tc>
        <w:tc>
          <w:tcPr>
            <w:tcW w:w="2713" w:type="dxa"/>
            <w:noWrap/>
            <w:vAlign w:val="center"/>
          </w:tcPr>
          <w:p w14:paraId="1AD74F9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钦州浦北县小江镇平马村LTE_拉远</w:t>
            </w:r>
          </w:p>
        </w:tc>
        <w:tc>
          <w:tcPr>
            <w:tcW w:w="2887" w:type="dxa"/>
            <w:noWrap/>
            <w:vAlign w:val="center"/>
          </w:tcPr>
          <w:p w14:paraId="5114506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钦州浦北县小江镇平马村12号居民楼5楼顶</w:t>
            </w:r>
          </w:p>
        </w:tc>
        <w:tc>
          <w:tcPr>
            <w:tcW w:w="960" w:type="dxa"/>
            <w:vMerge w:val="continue"/>
            <w:noWrap/>
            <w:vAlign w:val="center"/>
          </w:tcPr>
          <w:p w14:paraId="135E753D">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29C4608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6DB7094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二期</w:t>
            </w:r>
          </w:p>
        </w:tc>
      </w:tr>
      <w:tr w14:paraId="2E45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noWrap/>
            <w:vAlign w:val="center"/>
          </w:tcPr>
          <w:p w14:paraId="18E8343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19</w:t>
            </w:r>
          </w:p>
        </w:tc>
        <w:tc>
          <w:tcPr>
            <w:tcW w:w="1037" w:type="dxa"/>
            <w:noWrap/>
            <w:vAlign w:val="center"/>
          </w:tcPr>
          <w:p w14:paraId="1F28564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浦北县</w:t>
            </w:r>
          </w:p>
        </w:tc>
        <w:tc>
          <w:tcPr>
            <w:tcW w:w="2713" w:type="dxa"/>
            <w:noWrap/>
            <w:vAlign w:val="center"/>
          </w:tcPr>
          <w:p w14:paraId="6981FCD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钦州浦北县小江镇大料基站无线机房</w:t>
            </w:r>
          </w:p>
        </w:tc>
        <w:tc>
          <w:tcPr>
            <w:tcW w:w="2887" w:type="dxa"/>
            <w:noWrap/>
            <w:vAlign w:val="center"/>
          </w:tcPr>
          <w:p w14:paraId="3ACE90C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钦州市浦北县小江镇大料村</w:t>
            </w:r>
          </w:p>
        </w:tc>
        <w:tc>
          <w:tcPr>
            <w:tcW w:w="960" w:type="dxa"/>
            <w:vMerge w:val="continue"/>
            <w:noWrap/>
            <w:vAlign w:val="center"/>
          </w:tcPr>
          <w:p w14:paraId="21955B71">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79E1D18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672FC27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二期</w:t>
            </w:r>
          </w:p>
        </w:tc>
      </w:tr>
      <w:tr w14:paraId="79E2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30D8D1B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p>
        </w:tc>
        <w:tc>
          <w:tcPr>
            <w:tcW w:w="1037" w:type="dxa"/>
            <w:noWrap/>
            <w:vAlign w:val="center"/>
          </w:tcPr>
          <w:p w14:paraId="08F1335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284C5C3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钦州龙眼大桥高铁2-2</w:t>
            </w:r>
          </w:p>
        </w:tc>
        <w:tc>
          <w:tcPr>
            <w:tcW w:w="2887" w:type="dxa"/>
            <w:vAlign w:val="center"/>
          </w:tcPr>
          <w:p w14:paraId="147B67C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钦南高铁高床岭隧道以南600米处路边山头</w:t>
            </w:r>
          </w:p>
        </w:tc>
        <w:tc>
          <w:tcPr>
            <w:tcW w:w="960" w:type="dxa"/>
            <w:vMerge w:val="restart"/>
            <w:noWrap/>
            <w:vAlign w:val="center"/>
          </w:tcPr>
          <w:p w14:paraId="5D48178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海康威视DS-2TD4137-50/WYG</w:t>
            </w:r>
          </w:p>
        </w:tc>
        <w:tc>
          <w:tcPr>
            <w:tcW w:w="654" w:type="dxa"/>
            <w:noWrap/>
            <w:vAlign w:val="center"/>
          </w:tcPr>
          <w:p w14:paraId="31BC5E2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2274E78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1BBD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05793FD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21</w:t>
            </w:r>
          </w:p>
        </w:tc>
        <w:tc>
          <w:tcPr>
            <w:tcW w:w="1037" w:type="dxa"/>
            <w:noWrap/>
            <w:vAlign w:val="center"/>
          </w:tcPr>
          <w:p w14:paraId="1791DD9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51EF9BB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钦州钦北区小董镇六儿麓基站无线机房</w:t>
            </w:r>
          </w:p>
        </w:tc>
        <w:tc>
          <w:tcPr>
            <w:tcW w:w="2887" w:type="dxa"/>
            <w:vAlign w:val="center"/>
          </w:tcPr>
          <w:p w14:paraId="7035807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钦南高铁高床岭隧道以南3公里处路边山头</w:t>
            </w:r>
          </w:p>
        </w:tc>
        <w:tc>
          <w:tcPr>
            <w:tcW w:w="960" w:type="dxa"/>
            <w:vMerge w:val="continue"/>
            <w:noWrap/>
            <w:vAlign w:val="center"/>
          </w:tcPr>
          <w:p w14:paraId="4F8F206A">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40DB56A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9981DD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0D1F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0" w:type="dxa"/>
            <w:noWrap/>
            <w:vAlign w:val="center"/>
          </w:tcPr>
          <w:p w14:paraId="494EC1E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22</w:t>
            </w:r>
          </w:p>
        </w:tc>
        <w:tc>
          <w:tcPr>
            <w:tcW w:w="1037" w:type="dxa"/>
            <w:noWrap/>
            <w:vAlign w:val="center"/>
          </w:tcPr>
          <w:p w14:paraId="6D72925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5F63F28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钦北区大垌镇江表村高铁</w:t>
            </w:r>
          </w:p>
        </w:tc>
        <w:tc>
          <w:tcPr>
            <w:tcW w:w="2887" w:type="dxa"/>
            <w:vAlign w:val="center"/>
          </w:tcPr>
          <w:p w14:paraId="185B515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钦州钦北区江表村附近居民房空地</w:t>
            </w:r>
          </w:p>
        </w:tc>
        <w:tc>
          <w:tcPr>
            <w:tcW w:w="960" w:type="dxa"/>
            <w:vMerge w:val="continue"/>
            <w:noWrap/>
            <w:vAlign w:val="center"/>
          </w:tcPr>
          <w:p w14:paraId="024CA14C">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50D48B8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4FA306A">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35FE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1F9E113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23</w:t>
            </w:r>
          </w:p>
        </w:tc>
        <w:tc>
          <w:tcPr>
            <w:tcW w:w="1037" w:type="dxa"/>
            <w:noWrap/>
            <w:vAlign w:val="center"/>
          </w:tcPr>
          <w:p w14:paraId="0E07230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42D7984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钦州钦北区平吉镇凌屋村</w:t>
            </w:r>
          </w:p>
        </w:tc>
        <w:tc>
          <w:tcPr>
            <w:tcW w:w="2887" w:type="dxa"/>
            <w:vAlign w:val="center"/>
          </w:tcPr>
          <w:p w14:paraId="63FA131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钦州钦北区平吉镇凌屋村内一农田</w:t>
            </w:r>
          </w:p>
        </w:tc>
        <w:tc>
          <w:tcPr>
            <w:tcW w:w="960" w:type="dxa"/>
            <w:vMerge w:val="continue"/>
            <w:noWrap/>
            <w:vAlign w:val="center"/>
          </w:tcPr>
          <w:p w14:paraId="0BBA5842">
            <w:pPr>
              <w:widowControl/>
              <w:jc w:val="center"/>
              <w:rPr>
                <w:rFonts w:ascii="宋体" w:hAnsi="宋体" w:cs="宋体"/>
                <w:color w:val="000000" w:themeColor="text1"/>
                <w:kern w:val="0"/>
                <w14:textFill>
                  <w14:solidFill>
                    <w14:schemeClr w14:val="tx1"/>
                  </w14:solidFill>
                </w14:textFill>
              </w:rPr>
            </w:pPr>
          </w:p>
        </w:tc>
        <w:tc>
          <w:tcPr>
            <w:tcW w:w="654" w:type="dxa"/>
            <w:noWrap/>
            <w:vAlign w:val="center"/>
          </w:tcPr>
          <w:p w14:paraId="06D890B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D35049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338C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0D27FC5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24</w:t>
            </w:r>
          </w:p>
        </w:tc>
        <w:tc>
          <w:tcPr>
            <w:tcW w:w="1037" w:type="dxa"/>
            <w:noWrap/>
            <w:vAlign w:val="center"/>
          </w:tcPr>
          <w:p w14:paraId="520765A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钦北区</w:t>
            </w:r>
          </w:p>
        </w:tc>
        <w:tc>
          <w:tcPr>
            <w:tcW w:w="2713" w:type="dxa"/>
            <w:noWrap/>
            <w:vAlign w:val="center"/>
          </w:tcPr>
          <w:p w14:paraId="00D464C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钦州钦北区平吉镇广平村下杨屋LTE_拉远</w:t>
            </w:r>
          </w:p>
        </w:tc>
        <w:tc>
          <w:tcPr>
            <w:tcW w:w="2887" w:type="dxa"/>
            <w:vAlign w:val="center"/>
          </w:tcPr>
          <w:p w14:paraId="6F2C0D3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钦州钦北区平吉镇黄屋村西南方向200米甘蔗地内</w:t>
            </w:r>
          </w:p>
        </w:tc>
        <w:tc>
          <w:tcPr>
            <w:tcW w:w="960" w:type="dxa"/>
            <w:vMerge w:val="continue"/>
            <w:noWrap/>
            <w:vAlign w:val="center"/>
          </w:tcPr>
          <w:p w14:paraId="0803399E">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7EC62A8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35B605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311B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30" w:type="dxa"/>
            <w:noWrap/>
            <w:vAlign w:val="center"/>
          </w:tcPr>
          <w:p w14:paraId="270EE0A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25</w:t>
            </w:r>
          </w:p>
        </w:tc>
        <w:tc>
          <w:tcPr>
            <w:tcW w:w="1037" w:type="dxa"/>
            <w:noWrap/>
            <w:vAlign w:val="center"/>
          </w:tcPr>
          <w:p w14:paraId="00CE503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05E777F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钦州钦南区康熙岭新平钟屋</w:t>
            </w:r>
          </w:p>
        </w:tc>
        <w:tc>
          <w:tcPr>
            <w:tcW w:w="2887" w:type="dxa"/>
            <w:vAlign w:val="center"/>
          </w:tcPr>
          <w:p w14:paraId="1BF2047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钦州钦南区康熙岭新平村附近坡地上</w:t>
            </w:r>
          </w:p>
        </w:tc>
        <w:tc>
          <w:tcPr>
            <w:tcW w:w="960" w:type="dxa"/>
            <w:vMerge w:val="continue"/>
            <w:noWrap/>
            <w:vAlign w:val="center"/>
          </w:tcPr>
          <w:p w14:paraId="2EA318DE">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41FDD4F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41DF5DB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65CB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111D37F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26</w:t>
            </w:r>
          </w:p>
        </w:tc>
        <w:tc>
          <w:tcPr>
            <w:tcW w:w="1037" w:type="dxa"/>
            <w:noWrap/>
            <w:vAlign w:val="center"/>
          </w:tcPr>
          <w:p w14:paraId="28F841B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钦南区</w:t>
            </w:r>
          </w:p>
        </w:tc>
        <w:tc>
          <w:tcPr>
            <w:tcW w:w="2713" w:type="dxa"/>
            <w:noWrap/>
            <w:vAlign w:val="center"/>
          </w:tcPr>
          <w:p w14:paraId="56FECF0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钦州钦北区久隆镇坡屋村</w:t>
            </w:r>
          </w:p>
        </w:tc>
        <w:tc>
          <w:tcPr>
            <w:tcW w:w="2887" w:type="dxa"/>
            <w:vAlign w:val="center"/>
          </w:tcPr>
          <w:p w14:paraId="0859BB9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钦州钦南区久隆镇金板坪村西南方向约400米田里</w:t>
            </w:r>
          </w:p>
        </w:tc>
        <w:tc>
          <w:tcPr>
            <w:tcW w:w="960" w:type="dxa"/>
            <w:vMerge w:val="continue"/>
            <w:noWrap/>
            <w:vAlign w:val="center"/>
          </w:tcPr>
          <w:p w14:paraId="757EDE48">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1F225A1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3E791A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1A30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4E7914F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27</w:t>
            </w:r>
          </w:p>
        </w:tc>
        <w:tc>
          <w:tcPr>
            <w:tcW w:w="1037" w:type="dxa"/>
            <w:noWrap/>
            <w:vAlign w:val="center"/>
          </w:tcPr>
          <w:p w14:paraId="1625D1A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43E799B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钦州灵山县灵城镇新垌村LTE_拉远</w:t>
            </w:r>
          </w:p>
        </w:tc>
        <w:tc>
          <w:tcPr>
            <w:tcW w:w="2887" w:type="dxa"/>
            <w:vAlign w:val="center"/>
          </w:tcPr>
          <w:p w14:paraId="2700592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钦州灵山灵城镇新垌村附近</w:t>
            </w:r>
          </w:p>
        </w:tc>
        <w:tc>
          <w:tcPr>
            <w:tcW w:w="960" w:type="dxa"/>
            <w:vMerge w:val="continue"/>
            <w:noWrap/>
            <w:vAlign w:val="center"/>
          </w:tcPr>
          <w:p w14:paraId="5369AB19">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17D5CE2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053640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6677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40173F6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28</w:t>
            </w:r>
          </w:p>
        </w:tc>
        <w:tc>
          <w:tcPr>
            <w:tcW w:w="1037" w:type="dxa"/>
            <w:noWrap/>
            <w:vAlign w:val="center"/>
          </w:tcPr>
          <w:p w14:paraId="56E9555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507B58E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钦州市灵山县佛子镇高山坪</w:t>
            </w:r>
          </w:p>
        </w:tc>
        <w:tc>
          <w:tcPr>
            <w:tcW w:w="2887" w:type="dxa"/>
            <w:vAlign w:val="center"/>
          </w:tcPr>
          <w:p w14:paraId="270F34A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钦州灵山县佛子镇高山坪北方向200米处山坡上</w:t>
            </w:r>
          </w:p>
        </w:tc>
        <w:tc>
          <w:tcPr>
            <w:tcW w:w="960" w:type="dxa"/>
            <w:vMerge w:val="continue"/>
            <w:noWrap/>
            <w:vAlign w:val="center"/>
          </w:tcPr>
          <w:p w14:paraId="0D646349">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5F418ED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71124F4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01A5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30" w:type="dxa"/>
            <w:noWrap/>
            <w:vAlign w:val="center"/>
          </w:tcPr>
          <w:p w14:paraId="116EB9CF">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29</w:t>
            </w:r>
          </w:p>
        </w:tc>
        <w:tc>
          <w:tcPr>
            <w:tcW w:w="1037" w:type="dxa"/>
            <w:noWrap/>
            <w:vAlign w:val="center"/>
          </w:tcPr>
          <w:p w14:paraId="5FDB07F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70CDCA2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钦州灵山檀圩镇望古岭</w:t>
            </w:r>
          </w:p>
        </w:tc>
        <w:tc>
          <w:tcPr>
            <w:tcW w:w="2887" w:type="dxa"/>
            <w:vAlign w:val="center"/>
          </w:tcPr>
          <w:p w14:paraId="21D0125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钦州灵山檀圩镇望古岭周边</w:t>
            </w:r>
          </w:p>
        </w:tc>
        <w:tc>
          <w:tcPr>
            <w:tcW w:w="960" w:type="dxa"/>
            <w:vMerge w:val="continue"/>
            <w:noWrap/>
            <w:vAlign w:val="center"/>
          </w:tcPr>
          <w:p w14:paraId="465BFF26">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52583E7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1E60C65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1DBF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30" w:type="dxa"/>
            <w:noWrap/>
            <w:vAlign w:val="center"/>
          </w:tcPr>
          <w:p w14:paraId="3C3C279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30</w:t>
            </w:r>
          </w:p>
        </w:tc>
        <w:tc>
          <w:tcPr>
            <w:tcW w:w="1037" w:type="dxa"/>
            <w:noWrap/>
            <w:vAlign w:val="center"/>
          </w:tcPr>
          <w:p w14:paraId="6AC8494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w:t>
            </w:r>
          </w:p>
        </w:tc>
        <w:tc>
          <w:tcPr>
            <w:tcW w:w="2713" w:type="dxa"/>
            <w:noWrap/>
            <w:vAlign w:val="center"/>
          </w:tcPr>
          <w:p w14:paraId="20AF807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灵山县檀圩镇东岸村</w:t>
            </w:r>
          </w:p>
        </w:tc>
        <w:tc>
          <w:tcPr>
            <w:tcW w:w="2887" w:type="dxa"/>
            <w:vAlign w:val="center"/>
          </w:tcPr>
          <w:p w14:paraId="07E0D35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钦州灵山县檀圩镇桂子岭附近农田</w:t>
            </w:r>
          </w:p>
        </w:tc>
        <w:tc>
          <w:tcPr>
            <w:tcW w:w="960" w:type="dxa"/>
            <w:vMerge w:val="continue"/>
            <w:noWrap/>
            <w:vAlign w:val="center"/>
          </w:tcPr>
          <w:p w14:paraId="57177BBA">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3AF27C5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398F36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6BDE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4651A39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31</w:t>
            </w:r>
          </w:p>
        </w:tc>
        <w:tc>
          <w:tcPr>
            <w:tcW w:w="1037" w:type="dxa"/>
            <w:noWrap/>
            <w:vAlign w:val="center"/>
          </w:tcPr>
          <w:p w14:paraId="44FD939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浦北县</w:t>
            </w:r>
          </w:p>
        </w:tc>
        <w:tc>
          <w:tcPr>
            <w:tcW w:w="2713" w:type="dxa"/>
            <w:noWrap/>
            <w:vAlign w:val="center"/>
          </w:tcPr>
          <w:p w14:paraId="4F133F53">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钦州浦北县福旺镇基站无线机房</w:t>
            </w:r>
          </w:p>
        </w:tc>
        <w:tc>
          <w:tcPr>
            <w:tcW w:w="2887" w:type="dxa"/>
            <w:vAlign w:val="center"/>
          </w:tcPr>
          <w:p w14:paraId="30713396">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钦州市浦北县福旺镇圩头岭</w:t>
            </w:r>
          </w:p>
        </w:tc>
        <w:tc>
          <w:tcPr>
            <w:tcW w:w="960" w:type="dxa"/>
            <w:vMerge w:val="continue"/>
            <w:noWrap/>
            <w:vAlign w:val="center"/>
          </w:tcPr>
          <w:p w14:paraId="01D4D292">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5C9ECCA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531F1E6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6226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4C6A9C3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32</w:t>
            </w:r>
          </w:p>
        </w:tc>
        <w:tc>
          <w:tcPr>
            <w:tcW w:w="1037" w:type="dxa"/>
            <w:noWrap/>
            <w:vAlign w:val="center"/>
          </w:tcPr>
          <w:p w14:paraId="30F7D727">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浦北县</w:t>
            </w:r>
          </w:p>
        </w:tc>
        <w:tc>
          <w:tcPr>
            <w:tcW w:w="2713" w:type="dxa"/>
            <w:noWrap/>
            <w:vAlign w:val="center"/>
          </w:tcPr>
          <w:p w14:paraId="2F05BF9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浦北县小江镇云坊2</w:t>
            </w:r>
          </w:p>
        </w:tc>
        <w:tc>
          <w:tcPr>
            <w:tcW w:w="2887" w:type="dxa"/>
            <w:vAlign w:val="center"/>
          </w:tcPr>
          <w:p w14:paraId="0A940E8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广西钦州浦北县小江镇云坊村附近居民楼4楼顶</w:t>
            </w:r>
          </w:p>
        </w:tc>
        <w:tc>
          <w:tcPr>
            <w:tcW w:w="960" w:type="dxa"/>
            <w:vMerge w:val="continue"/>
            <w:noWrap/>
            <w:vAlign w:val="center"/>
          </w:tcPr>
          <w:p w14:paraId="6CFEF303">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0BBDB85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0855E45C">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三期</w:t>
            </w:r>
          </w:p>
        </w:tc>
      </w:tr>
      <w:tr w14:paraId="3843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72C3BBA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33</w:t>
            </w:r>
          </w:p>
        </w:tc>
        <w:tc>
          <w:tcPr>
            <w:tcW w:w="1037" w:type="dxa"/>
            <w:noWrap/>
            <w:vAlign w:val="center"/>
          </w:tcPr>
          <w:p w14:paraId="5A040389">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钦北区</w:t>
            </w:r>
          </w:p>
        </w:tc>
        <w:tc>
          <w:tcPr>
            <w:tcW w:w="2713" w:type="dxa"/>
            <w:noWrap/>
            <w:vAlign w:val="center"/>
          </w:tcPr>
          <w:p w14:paraId="67088C63">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钦北区平吉镇横涡村LTE_拉远</w:t>
            </w:r>
          </w:p>
        </w:tc>
        <w:tc>
          <w:tcPr>
            <w:tcW w:w="2887" w:type="dxa"/>
            <w:vAlign w:val="center"/>
          </w:tcPr>
          <w:p w14:paraId="4DFEA833">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钦州钦北区平吉镇横涡村内东面约350米处平地</w:t>
            </w:r>
          </w:p>
        </w:tc>
        <w:tc>
          <w:tcPr>
            <w:tcW w:w="960" w:type="dxa"/>
            <w:vMerge w:val="continue"/>
            <w:noWrap/>
            <w:vAlign w:val="center"/>
          </w:tcPr>
          <w:p w14:paraId="3D879E7E">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16D82C2E">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7E23A37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四期</w:t>
            </w:r>
          </w:p>
        </w:tc>
      </w:tr>
      <w:tr w14:paraId="40D0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0417B869">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34</w:t>
            </w:r>
          </w:p>
        </w:tc>
        <w:tc>
          <w:tcPr>
            <w:tcW w:w="1037" w:type="dxa"/>
            <w:noWrap/>
            <w:vAlign w:val="center"/>
          </w:tcPr>
          <w:p w14:paraId="1D0A49A5">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灵山县</w:t>
            </w:r>
          </w:p>
        </w:tc>
        <w:tc>
          <w:tcPr>
            <w:tcW w:w="2713" w:type="dxa"/>
            <w:noWrap/>
            <w:vAlign w:val="center"/>
          </w:tcPr>
          <w:p w14:paraId="2EB80CF1">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灵山县新圩镇姚家农庄</w:t>
            </w:r>
          </w:p>
        </w:tc>
        <w:tc>
          <w:tcPr>
            <w:tcW w:w="2887" w:type="dxa"/>
            <w:vAlign w:val="center"/>
          </w:tcPr>
          <w:p w14:paraId="65D556C2">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钦州灵山县新圩镇稔坡小学290度方向50米处空地</w:t>
            </w:r>
          </w:p>
        </w:tc>
        <w:tc>
          <w:tcPr>
            <w:tcW w:w="960" w:type="dxa"/>
            <w:vMerge w:val="continue"/>
            <w:noWrap/>
            <w:vAlign w:val="center"/>
          </w:tcPr>
          <w:p w14:paraId="446E4F2E">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56E07778">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7C5415AD">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四期</w:t>
            </w:r>
          </w:p>
        </w:tc>
      </w:tr>
      <w:tr w14:paraId="5A0B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19095B60">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35</w:t>
            </w:r>
          </w:p>
        </w:tc>
        <w:tc>
          <w:tcPr>
            <w:tcW w:w="1037" w:type="dxa"/>
            <w:noWrap/>
            <w:vAlign w:val="center"/>
          </w:tcPr>
          <w:p w14:paraId="170333F7">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灵山县</w:t>
            </w:r>
          </w:p>
        </w:tc>
        <w:tc>
          <w:tcPr>
            <w:tcW w:w="2713" w:type="dxa"/>
            <w:noWrap/>
            <w:vAlign w:val="center"/>
          </w:tcPr>
          <w:p w14:paraId="70ED4625">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灵山县新圩镇白坭岭村</w:t>
            </w:r>
          </w:p>
        </w:tc>
        <w:tc>
          <w:tcPr>
            <w:tcW w:w="2887" w:type="dxa"/>
            <w:vAlign w:val="center"/>
          </w:tcPr>
          <w:p w14:paraId="59A8FB37">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钦州灵山县新圩镇白坭岭村委西南方向大约100米农田处</w:t>
            </w:r>
          </w:p>
        </w:tc>
        <w:tc>
          <w:tcPr>
            <w:tcW w:w="960" w:type="dxa"/>
            <w:vMerge w:val="continue"/>
            <w:noWrap/>
            <w:vAlign w:val="center"/>
          </w:tcPr>
          <w:p w14:paraId="42BA5DE6">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02B11022">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5DC49814">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四期</w:t>
            </w:r>
          </w:p>
        </w:tc>
      </w:tr>
      <w:tr w14:paraId="1A6A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30" w:type="dxa"/>
            <w:noWrap/>
            <w:vAlign w:val="center"/>
          </w:tcPr>
          <w:p w14:paraId="79A9D2CB">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36</w:t>
            </w:r>
          </w:p>
        </w:tc>
        <w:tc>
          <w:tcPr>
            <w:tcW w:w="1037" w:type="dxa"/>
            <w:noWrap/>
            <w:vAlign w:val="center"/>
          </w:tcPr>
          <w:p w14:paraId="0308B4E7">
            <w:pPr>
              <w:widowControl/>
              <w:jc w:val="center"/>
              <w:textAlignment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灵山县</w:t>
            </w:r>
          </w:p>
        </w:tc>
        <w:tc>
          <w:tcPr>
            <w:tcW w:w="2713" w:type="dxa"/>
            <w:noWrap/>
            <w:vAlign w:val="center"/>
          </w:tcPr>
          <w:p w14:paraId="0010BED7">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钦州灵山新圩镇夏村东</w:t>
            </w:r>
          </w:p>
        </w:tc>
        <w:tc>
          <w:tcPr>
            <w:tcW w:w="2887" w:type="dxa"/>
            <w:vAlign w:val="center"/>
          </w:tcPr>
          <w:p w14:paraId="1D75E513">
            <w:pPr>
              <w:widowControl/>
              <w:jc w:val="center"/>
              <w:textAlignment w:val="top"/>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钦州灵山新圩镇夏村东方向路边平地上</w:t>
            </w:r>
          </w:p>
        </w:tc>
        <w:tc>
          <w:tcPr>
            <w:tcW w:w="960" w:type="dxa"/>
            <w:vMerge w:val="continue"/>
            <w:noWrap/>
            <w:vAlign w:val="center"/>
          </w:tcPr>
          <w:p w14:paraId="4EE1BF65">
            <w:pPr>
              <w:widowControl/>
              <w:jc w:val="center"/>
              <w:rPr>
                <w:rFonts w:ascii="宋体" w:hAnsi="宋体" w:cs="宋体"/>
                <w:color w:val="000000" w:themeColor="text1"/>
                <w:kern w:val="0"/>
                <w14:textFill>
                  <w14:solidFill>
                    <w14:schemeClr w14:val="tx1"/>
                  </w14:solidFill>
                </w14:textFill>
              </w:rPr>
            </w:pPr>
          </w:p>
        </w:tc>
        <w:tc>
          <w:tcPr>
            <w:tcW w:w="654" w:type="dxa"/>
            <w:shd w:val="clear" w:color="auto" w:fill="auto"/>
            <w:noWrap/>
            <w:vAlign w:val="center"/>
          </w:tcPr>
          <w:p w14:paraId="45786915">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1台</w:t>
            </w:r>
          </w:p>
        </w:tc>
        <w:tc>
          <w:tcPr>
            <w:tcW w:w="680" w:type="dxa"/>
            <w:noWrap/>
            <w:vAlign w:val="center"/>
          </w:tcPr>
          <w:p w14:paraId="376435A1">
            <w:pPr>
              <w:widowControl/>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四期</w:t>
            </w:r>
          </w:p>
        </w:tc>
      </w:tr>
    </w:tbl>
    <w:p w14:paraId="74E6800D">
      <w:pPr>
        <w:jc w:val="left"/>
        <w:rPr>
          <w:rFonts w:ascii="黑体" w:hAnsi="黑体" w:eastAsia="黑体" w:cs="黑体"/>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注：每个监控点位提供一个摄像机。</w:t>
      </w:r>
      <w:r>
        <w:rPr>
          <w:rFonts w:hint="eastAsia" w:ascii="黑体" w:hAnsi="黑体" w:eastAsia="黑体" w:cs="黑体"/>
          <w:color w:val="000000" w:themeColor="text1"/>
          <w:sz w:val="32"/>
          <w:szCs w:val="32"/>
          <w14:textFill>
            <w14:solidFill>
              <w14:schemeClr w14:val="tx1"/>
            </w14:solidFill>
          </w14:textFill>
        </w:rPr>
        <w:br w:type="page"/>
      </w:r>
    </w:p>
    <w:p w14:paraId="49CB7061">
      <w:pPr>
        <w:widowControl/>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1CA3043E">
      <w:pPr>
        <w:pStyle w:val="1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中小企业划型标准规定</w:t>
      </w:r>
    </w:p>
    <w:p w14:paraId="34E6918C">
      <w:pPr>
        <w:pStyle w:val="1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工信部联企业[2011]300号</w:t>
      </w:r>
    </w:p>
    <w:p w14:paraId="0C6A653B">
      <w:pPr>
        <w:pStyle w:val="10"/>
        <w:rPr>
          <w:color w:val="000000" w:themeColor="text1"/>
          <w:sz w:val="24"/>
          <w:szCs w:val="21"/>
          <w14:textFill>
            <w14:solidFill>
              <w14:schemeClr w14:val="tx1"/>
            </w14:solidFill>
          </w14:textFill>
        </w:rPr>
      </w:pPr>
    </w:p>
    <w:p w14:paraId="68BA32D7">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一、根据《中华人民共和国中小企业促进法》和《国务院关于进一步促进中小企业发展的若干意见》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国发</w:t>
      </w:r>
      <w:r>
        <w:rPr>
          <w:color w:val="000000" w:themeColor="text1"/>
          <w:szCs w:val="21"/>
          <w14:textFill>
            <w14:solidFill>
              <w14:schemeClr w14:val="tx1"/>
            </w14:solidFill>
          </w14:textFill>
        </w:rPr>
        <w:t>[2009]36</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，制定本规定。</w:t>
      </w:r>
    </w:p>
    <w:p w14:paraId="4A3D5AF7">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二、中小企业划分为中型、小型、微型三种类型，具体标准根据企业从业人员、营业收入、资产总额等指标，结合行业特点制定。</w:t>
      </w:r>
    </w:p>
    <w:p w14:paraId="2ED78F0C">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97869E">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四、各行业划型标准为：</w:t>
      </w:r>
    </w:p>
    <w:p w14:paraId="36142B46">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（一）农、林、牧、渔业。营业收入</w:t>
      </w:r>
      <w:r>
        <w:rPr>
          <w:color w:val="000000" w:themeColor="text1"/>
          <w:szCs w:val="21"/>
          <w14:textFill>
            <w14:solidFill>
              <w14:schemeClr w14:val="tx1"/>
            </w14:solidFill>
          </w14:textFill>
        </w:rPr>
        <w:t>20000</w:t>
      </w:r>
      <w:r>
        <w:rPr>
          <w:rFonts w:hint="eastAsia"/>
          <w:color w:val="000000" w:themeColor="text1"/>
          <w:szCs w:val="21"/>
          <w14:textFill>
            <w14:solidFill>
              <w14:schemeClr w14:val="tx1"/>
            </w14:solidFill>
          </w14:textFill>
        </w:rPr>
        <w:t>万元以下的为中小微型企业。其中，营业收入</w:t>
      </w:r>
      <w:r>
        <w:rPr>
          <w:color w:val="000000" w:themeColor="text1"/>
          <w:szCs w:val="21"/>
          <w14:textFill>
            <w14:solidFill>
              <w14:schemeClr w14:val="tx1"/>
            </w14:solidFill>
          </w14:textFill>
        </w:rPr>
        <w:t>500</w:t>
      </w:r>
      <w:r>
        <w:rPr>
          <w:rFonts w:hint="eastAsia"/>
          <w:color w:val="000000" w:themeColor="text1"/>
          <w:szCs w:val="21"/>
          <w14:textFill>
            <w14:solidFill>
              <w14:schemeClr w14:val="tx1"/>
            </w14:solidFill>
          </w14:textFill>
        </w:rPr>
        <w:t>万元及以上的为中型企业，营业收入</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万元及以上的为小型企业，营业收入</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万元以下的为微型企业。</w:t>
      </w:r>
    </w:p>
    <w:p w14:paraId="3ECCE808">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（二）工业。从业人员</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40000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万元以下的为微型企业。</w:t>
      </w:r>
    </w:p>
    <w:p w14:paraId="55EE5F4F">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（三）建筑业。营业收入</w:t>
      </w:r>
      <w:r>
        <w:rPr>
          <w:color w:val="000000" w:themeColor="text1"/>
          <w:szCs w:val="21"/>
          <w14:textFill>
            <w14:solidFill>
              <w14:schemeClr w14:val="tx1"/>
            </w14:solidFill>
          </w14:textFill>
        </w:rPr>
        <w:t>80000</w:t>
      </w:r>
      <w:r>
        <w:rPr>
          <w:rFonts w:hint="eastAsia"/>
          <w:color w:val="000000" w:themeColor="text1"/>
          <w:szCs w:val="21"/>
          <w14:textFill>
            <w14:solidFill>
              <w14:schemeClr w14:val="tx1"/>
            </w14:solidFill>
          </w14:textFill>
        </w:rPr>
        <w:t>万元以下或资产总额</w:t>
      </w:r>
      <w:r>
        <w:rPr>
          <w:color w:val="000000" w:themeColor="text1"/>
          <w:szCs w:val="21"/>
          <w14:textFill>
            <w14:solidFill>
              <w14:schemeClr w14:val="tx1"/>
            </w14:solidFill>
          </w14:textFill>
        </w:rPr>
        <w:t>80000</w:t>
      </w:r>
      <w:r>
        <w:rPr>
          <w:rFonts w:hint="eastAsia"/>
          <w:color w:val="000000" w:themeColor="text1"/>
          <w:szCs w:val="21"/>
          <w14:textFill>
            <w14:solidFill>
              <w14:schemeClr w14:val="tx1"/>
            </w14:solidFill>
          </w14:textFill>
        </w:rPr>
        <w:t>万元以下的为中小微型企业。其中，营业收入</w:t>
      </w:r>
      <w:r>
        <w:rPr>
          <w:color w:val="000000" w:themeColor="text1"/>
          <w:szCs w:val="21"/>
          <w14:textFill>
            <w14:solidFill>
              <w14:schemeClr w14:val="tx1"/>
            </w14:solidFill>
          </w14:textFill>
        </w:rPr>
        <w:t>6000</w:t>
      </w:r>
      <w:r>
        <w:rPr>
          <w:rFonts w:hint="eastAsia"/>
          <w:color w:val="000000" w:themeColor="text1"/>
          <w:szCs w:val="21"/>
          <w14:textFill>
            <w14:solidFill>
              <w14:schemeClr w14:val="tx1"/>
            </w14:solidFill>
          </w14:textFill>
        </w:rPr>
        <w:t>万元及以上，且资产总额</w:t>
      </w:r>
      <w:r>
        <w:rPr>
          <w:color w:val="000000" w:themeColor="text1"/>
          <w:szCs w:val="21"/>
          <w14:textFill>
            <w14:solidFill>
              <w14:schemeClr w14:val="tx1"/>
            </w14:solidFill>
          </w14:textFill>
        </w:rPr>
        <w:t>5000</w:t>
      </w:r>
      <w:r>
        <w:rPr>
          <w:rFonts w:hint="eastAsia"/>
          <w:color w:val="000000" w:themeColor="text1"/>
          <w:szCs w:val="21"/>
          <w14:textFill>
            <w14:solidFill>
              <w14:schemeClr w14:val="tx1"/>
            </w14:solidFill>
          </w14:textFill>
        </w:rPr>
        <w:t>万元及以上的为中型企业；营业收入</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万元及以上，且资产总额</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万元及以上的为小型企业；营业收入</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万元以下或资产总额</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万元以下的为微型企业。</w:t>
      </w:r>
    </w:p>
    <w:p w14:paraId="34CB42D3">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（四）批发业。从业人员</w:t>
      </w:r>
      <w:r>
        <w:rPr>
          <w:color w:val="000000" w:themeColor="text1"/>
          <w:szCs w:val="21"/>
          <w14:textFill>
            <w14:solidFill>
              <w14:schemeClr w14:val="tx1"/>
            </w14:solidFill>
          </w14:textFill>
        </w:rPr>
        <w:t>200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40000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5000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万元以下的为微型企业。</w:t>
      </w:r>
    </w:p>
    <w:p w14:paraId="74CF6C6B">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（五）零售业。从业人员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20000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500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547F47EB">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（六）交通运输业。从业人员</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30000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3000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200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200</w:t>
      </w:r>
      <w:r>
        <w:rPr>
          <w:rFonts w:hint="eastAsia"/>
          <w:color w:val="000000" w:themeColor="text1"/>
          <w:szCs w:val="21"/>
          <w14:textFill>
            <w14:solidFill>
              <w14:schemeClr w14:val="tx1"/>
            </w14:solidFill>
          </w14:textFill>
        </w:rPr>
        <w:t>万元以下的为微型企业。</w:t>
      </w:r>
    </w:p>
    <w:p w14:paraId="31F6F6BC">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（七）仓储业。从业人员</w:t>
      </w:r>
      <w:r>
        <w:rPr>
          <w:color w:val="000000" w:themeColor="text1"/>
          <w:szCs w:val="21"/>
          <w14:textFill>
            <w14:solidFill>
              <w14:schemeClr w14:val="tx1"/>
            </w14:solidFill>
          </w14:textFill>
        </w:rPr>
        <w:t>200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30000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6A646781">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（八）邮政业。从业人员</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30000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28E3BE92">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（九）住宿业。从业人员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4412A06F">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（十）餐饮业。从业人员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19A1A169">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（十一）信息传输业。从业人员</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68B9FFE0">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（十二）软件和信息技术服务业。从业人员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10000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50</w:t>
      </w:r>
      <w:r>
        <w:rPr>
          <w:rFonts w:hint="eastAsia"/>
          <w:color w:val="000000" w:themeColor="text1"/>
          <w:szCs w:val="21"/>
          <w14:textFill>
            <w14:solidFill>
              <w14:schemeClr w14:val="tx1"/>
            </w14:solidFill>
          </w14:textFill>
        </w:rPr>
        <w:t>万元以下的为微型企业。</w:t>
      </w:r>
    </w:p>
    <w:p w14:paraId="429A2032">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（十三）房地产开发经营。营业收入</w:t>
      </w:r>
      <w:r>
        <w:rPr>
          <w:color w:val="000000" w:themeColor="text1"/>
          <w:szCs w:val="21"/>
          <w14:textFill>
            <w14:solidFill>
              <w14:schemeClr w14:val="tx1"/>
            </w14:solidFill>
          </w14:textFill>
        </w:rPr>
        <w:t>200000</w:t>
      </w:r>
      <w:r>
        <w:rPr>
          <w:rFonts w:hint="eastAsia"/>
          <w:color w:val="000000" w:themeColor="text1"/>
          <w:szCs w:val="21"/>
          <w14:textFill>
            <w14:solidFill>
              <w14:schemeClr w14:val="tx1"/>
            </w14:solidFill>
          </w14:textFill>
        </w:rPr>
        <w:t>万元以下或资产总额</w:t>
      </w:r>
      <w:r>
        <w:rPr>
          <w:color w:val="000000" w:themeColor="text1"/>
          <w:szCs w:val="21"/>
          <w14:textFill>
            <w14:solidFill>
              <w14:schemeClr w14:val="tx1"/>
            </w14:solidFill>
          </w14:textFill>
        </w:rPr>
        <w:t>10000</w:t>
      </w:r>
      <w:r>
        <w:rPr>
          <w:rFonts w:hint="eastAsia"/>
          <w:color w:val="000000" w:themeColor="text1"/>
          <w:szCs w:val="21"/>
          <w14:textFill>
            <w14:solidFill>
              <w14:schemeClr w14:val="tx1"/>
            </w14:solidFill>
          </w14:textFill>
        </w:rPr>
        <w:t>万元以下的为中小微型企业。其中，营业收入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万元及以上，且资产总额</w:t>
      </w:r>
      <w:r>
        <w:rPr>
          <w:color w:val="000000" w:themeColor="text1"/>
          <w:szCs w:val="21"/>
          <w14:textFill>
            <w14:solidFill>
              <w14:schemeClr w14:val="tx1"/>
            </w14:solidFill>
          </w14:textFill>
        </w:rPr>
        <w:t>5000</w:t>
      </w:r>
      <w:r>
        <w:rPr>
          <w:rFonts w:hint="eastAsia"/>
          <w:color w:val="000000" w:themeColor="text1"/>
          <w:szCs w:val="21"/>
          <w14:textFill>
            <w14:solidFill>
              <w14:schemeClr w14:val="tx1"/>
            </w14:solidFill>
          </w14:textFill>
        </w:rPr>
        <w:t>万元及以上的为中型企业；营业收入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万元及以上，且资产总额</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万元及以上的为小型企业；营业收入</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万元以下或资产总额</w:t>
      </w:r>
      <w:r>
        <w:rPr>
          <w:color w:val="000000" w:themeColor="text1"/>
          <w:szCs w:val="21"/>
          <w14:textFill>
            <w14:solidFill>
              <w14:schemeClr w14:val="tx1"/>
            </w14:solidFill>
          </w14:textFill>
        </w:rPr>
        <w:t>2000</w:t>
      </w:r>
      <w:r>
        <w:rPr>
          <w:rFonts w:hint="eastAsia"/>
          <w:color w:val="000000" w:themeColor="text1"/>
          <w:szCs w:val="21"/>
          <w14:textFill>
            <w14:solidFill>
              <w14:schemeClr w14:val="tx1"/>
            </w14:solidFill>
          </w14:textFill>
        </w:rPr>
        <w:t>万元以下的为微型企业。</w:t>
      </w:r>
    </w:p>
    <w:p w14:paraId="2DD2069E">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（十四）物业管理。从业人员</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5000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1000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人及以上，且营业收入</w:t>
      </w:r>
      <w:r>
        <w:rPr>
          <w:color w:val="000000" w:themeColor="text1"/>
          <w:szCs w:val="21"/>
          <w14:textFill>
            <w14:solidFill>
              <w14:schemeClr w14:val="tx1"/>
            </w14:solidFill>
          </w14:textFill>
        </w:rPr>
        <w:t>500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人以下或营业收入</w:t>
      </w:r>
      <w:r>
        <w:rPr>
          <w:color w:val="000000" w:themeColor="text1"/>
          <w:szCs w:val="21"/>
          <w14:textFill>
            <w14:solidFill>
              <w14:schemeClr w14:val="tx1"/>
            </w14:solidFill>
          </w14:textFill>
        </w:rPr>
        <w:t>500</w:t>
      </w:r>
      <w:r>
        <w:rPr>
          <w:rFonts w:hint="eastAsia"/>
          <w:color w:val="000000" w:themeColor="text1"/>
          <w:szCs w:val="21"/>
          <w14:textFill>
            <w14:solidFill>
              <w14:schemeClr w14:val="tx1"/>
            </w14:solidFill>
          </w14:textFill>
        </w:rPr>
        <w:t>万元以下的为微型企业。</w:t>
      </w:r>
    </w:p>
    <w:p w14:paraId="6D5496D0">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（十五）租赁和商务服务业。从业人员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人以下或资产总额</w:t>
      </w:r>
      <w:r>
        <w:rPr>
          <w:color w:val="000000" w:themeColor="text1"/>
          <w:szCs w:val="21"/>
          <w14:textFill>
            <w14:solidFill>
              <w14:schemeClr w14:val="tx1"/>
            </w14:solidFill>
          </w14:textFill>
        </w:rPr>
        <w:t>120000</w:t>
      </w:r>
      <w:r>
        <w:rPr>
          <w:rFonts w:hint="eastAsia"/>
          <w:color w:val="000000" w:themeColor="text1"/>
          <w:szCs w:val="21"/>
          <w14:textFill>
            <w14:solidFill>
              <w14:schemeClr w14:val="tx1"/>
            </w14:solidFill>
          </w14:textFill>
        </w:rPr>
        <w:t>万元以下的为中小微型企业。其中，从业人员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人及以上，且资产总额</w:t>
      </w:r>
      <w:r>
        <w:rPr>
          <w:color w:val="000000" w:themeColor="text1"/>
          <w:szCs w:val="21"/>
          <w14:textFill>
            <w14:solidFill>
              <w14:schemeClr w14:val="tx1"/>
            </w14:solidFill>
          </w14:textFill>
        </w:rPr>
        <w:t>8000</w:t>
      </w:r>
      <w:r>
        <w:rPr>
          <w:rFonts w:hint="eastAsia"/>
          <w:color w:val="000000" w:themeColor="text1"/>
          <w:szCs w:val="21"/>
          <w14:textFill>
            <w14:solidFill>
              <w14:schemeClr w14:val="tx1"/>
            </w14:solidFill>
          </w14:textFill>
        </w:rPr>
        <w:t>万元及以上的为中型企业；从业人员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人及以上，且资产总额</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人以下或资产总额</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万元以下的为微型企业。</w:t>
      </w:r>
    </w:p>
    <w:p w14:paraId="612AAB56">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（十六）其他未列明行业。从业人员</w:t>
      </w:r>
      <w:r>
        <w:rPr>
          <w:color w:val="000000" w:themeColor="text1"/>
          <w:szCs w:val="21"/>
          <w14:textFill>
            <w14:solidFill>
              <w14:schemeClr w14:val="tx1"/>
            </w14:solidFill>
          </w14:textFill>
        </w:rPr>
        <w:t>300</w:t>
      </w:r>
      <w:r>
        <w:rPr>
          <w:rFonts w:hint="eastAsia"/>
          <w:color w:val="000000" w:themeColor="text1"/>
          <w:szCs w:val="21"/>
          <w14:textFill>
            <w14:solidFill>
              <w14:schemeClr w14:val="tx1"/>
            </w14:solidFill>
          </w14:textFill>
        </w:rPr>
        <w:t>人以下的为中小微型企业。其中，从业人员</w:t>
      </w:r>
      <w:r>
        <w:rPr>
          <w:color w:val="000000" w:themeColor="text1"/>
          <w:szCs w:val="21"/>
          <w14:textFill>
            <w14:solidFill>
              <w14:schemeClr w14:val="tx1"/>
            </w14:solidFill>
          </w14:textFill>
        </w:rPr>
        <w:t>100</w:t>
      </w:r>
      <w:r>
        <w:rPr>
          <w:rFonts w:hint="eastAsia"/>
          <w:color w:val="000000" w:themeColor="text1"/>
          <w:szCs w:val="21"/>
          <w14:textFill>
            <w14:solidFill>
              <w14:schemeClr w14:val="tx1"/>
            </w14:solidFill>
          </w14:textFill>
        </w:rPr>
        <w:t>人及以上的为中型企业；从业人员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人及以上的为小型企业；从业人员</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人以下的为微型企业。</w:t>
      </w:r>
    </w:p>
    <w:p w14:paraId="3CFBF329">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五、企业类型的划分以统计部门的统计数据为依据。</w:t>
      </w:r>
    </w:p>
    <w:p w14:paraId="28AC3B78">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727240AF">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24286E77">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八、本规定由工业和信息化部、国家统计局会同有关部门根据《国民经济行业分类》修订情况和企业发展变化情况适时修订。</w:t>
      </w:r>
    </w:p>
    <w:p w14:paraId="3E228C7E">
      <w:pPr>
        <w:pStyle w:val="1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九、本规定由工业和信息化部、国家统计局会同有关部门负责解释。</w:t>
      </w:r>
    </w:p>
    <w:p w14:paraId="4E749FA1">
      <w:pPr>
        <w:pStyle w:val="1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十、本规定自发布之日起执行，原国家经贸委、原国家计委、财政部和国家统计局</w:t>
      </w:r>
      <w:r>
        <w:rPr>
          <w:color w:val="000000" w:themeColor="text1"/>
          <w:szCs w:val="21"/>
          <w14:textFill>
            <w14:solidFill>
              <w14:schemeClr w14:val="tx1"/>
            </w14:solidFill>
          </w14:textFill>
        </w:rPr>
        <w:t>2003</w:t>
      </w:r>
      <w:r>
        <w:rPr>
          <w:rFonts w:hint="eastAsia"/>
          <w:color w:val="000000" w:themeColor="text1"/>
          <w:szCs w:val="21"/>
          <w14:textFill>
            <w14:solidFill>
              <w14:schemeClr w14:val="tx1"/>
            </w14:solidFill>
          </w14:textFill>
        </w:rPr>
        <w:t>年颁布的《中小企业标准暂行规定》同时废止。</w:t>
      </w:r>
    </w:p>
    <w:p w14:paraId="6B1CC5D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14:paraId="49DFC272">
      <w:pPr>
        <w:pStyle w:val="2"/>
        <w:jc w:val="center"/>
        <w:rPr>
          <w:color w:val="000000" w:themeColor="text1"/>
          <w14:textFill>
            <w14:solidFill>
              <w14:schemeClr w14:val="tx1"/>
            </w14:solidFill>
          </w14:textFill>
        </w:rPr>
      </w:pPr>
      <w:bookmarkStart w:id="73" w:name="_Toc10276"/>
      <w:r>
        <w:rPr>
          <w:rFonts w:hint="eastAsia"/>
          <w:color w:val="000000" w:themeColor="text1"/>
          <w14:textFill>
            <w14:solidFill>
              <w14:schemeClr w14:val="tx1"/>
            </w14:solidFill>
          </w14:textFill>
        </w:rPr>
        <w:t>第四章  评审程序、评审方法和评审标准</w:t>
      </w:r>
      <w:bookmarkEnd w:id="73"/>
    </w:p>
    <w:p w14:paraId="28335F5D">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55DE455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4B17945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62A2B71A">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1757570F">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（1）查询渠道： “信用中国”网站(www.creditchina.gov.cn)、中国政府采购网(www.ccgp.gov.cn)。</w:t>
      </w:r>
    </w:p>
    <w:p w14:paraId="0CB3A289">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（2）信用查询截止时点：资格审查结束前。</w:t>
      </w:r>
    </w:p>
    <w:p w14:paraId="626F0B34">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（3）查询记录和证据留存方式：在查询网站中直接查询，截图另存为电子文档作为评审资料保存。</w:t>
      </w:r>
    </w:p>
    <w:p w14:paraId="590DB4E3">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7DE150FD">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47ECE2A9">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.3供应商有下列情形之一的，资格审查不通过，</w:t>
      </w:r>
      <w:r>
        <w:rPr>
          <w:rFonts w:hint="eastAsia" w:ascii="宋体" w:hAnsi="宋体" w:cs="宋体"/>
          <w:b/>
          <w:bCs/>
          <w:color w:val="000000" w:themeColor="text1"/>
          <w:szCs w:val="21"/>
          <w14:textFill>
            <w14:solidFill>
              <w14:schemeClr w14:val="tx1"/>
            </w14:solidFill>
          </w14:textFill>
        </w:rPr>
        <w:t>其响应文件按无效响应处理：</w:t>
      </w:r>
    </w:p>
    <w:p w14:paraId="65C044D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1C1D9E9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（2）未按磋商文件规定的方式获取本磋商文件的供应商；</w:t>
      </w:r>
    </w:p>
    <w:p w14:paraId="375A8A7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277F794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605CAED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5EAD9A8B">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.4通过资格审查的合格供应商不足3家的，不得进入符合性审查环节，</w:t>
      </w:r>
      <w:r>
        <w:rPr>
          <w:rFonts w:hint="eastAsia" w:ascii="宋体" w:hAnsi="宋体"/>
          <w:color w:val="000000" w:themeColor="text1"/>
          <w:szCs w:val="21"/>
          <w14:textFill>
            <w14:solidFill>
              <w14:schemeClr w14:val="tx1"/>
            </w14:solidFill>
          </w14:textFill>
        </w:rPr>
        <w:t>采购人或者采购代理机构应当重新开展采购活动。</w:t>
      </w:r>
    </w:p>
    <w:p w14:paraId="450EB82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60BBEBC9">
      <w:pPr>
        <w:spacing w:line="360" w:lineRule="auto"/>
        <w:ind w:firstLine="420" w:firstLineChars="200"/>
        <w:rPr>
          <w:rFonts w:ascii="宋体" w:hAnsi="宋体" w:cs="宋体"/>
          <w:color w:val="000000" w:themeColor="text1"/>
          <w:szCs w:val="21"/>
          <w14:textFill>
            <w14:solidFill>
              <w14:schemeClr w14:val="tx1"/>
            </w14:solidFill>
          </w14:textFill>
        </w:rPr>
      </w:pPr>
      <w:bookmarkStart w:id="74"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由磋商小组对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4"/>
    <w:p w14:paraId="245177A1">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672DC2">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6553563F">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920A8DF">
      <w:pPr>
        <w:spacing w:line="360" w:lineRule="auto"/>
        <w:ind w:firstLine="396"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 xml:space="preserve">首次响应文件报价出现前后不一致的，按照下列规定修正： </w:t>
      </w:r>
    </w:p>
    <w:p w14:paraId="04FB41C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（1）响应文件中报价表内容与响应文件中相应内容不一致的，以报价表为准；</w:t>
      </w:r>
    </w:p>
    <w:p w14:paraId="3616AC0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（2）大写金额和小写金额不一致的，以大写金额为准；</w:t>
      </w:r>
    </w:p>
    <w:p w14:paraId="1ED19E3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（3）单价金额小数点或者百分比有明显错位的，以报价表的总价为准，并修改单价；</w:t>
      </w:r>
    </w:p>
    <w:p w14:paraId="6AAFADD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（4）总价金额与按单价汇总金额不一致的，以单价金额计算结果为准。</w:t>
      </w:r>
    </w:p>
    <w:p w14:paraId="70AD400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同时出现两种以上不一致的，按照以上（1）-（4）规定的顺序逐条进行修正。修正后的报价经供应商确认后产生约束力，供应商不确认的，</w:t>
      </w:r>
      <w:r>
        <w:rPr>
          <w:rFonts w:hint="eastAsia" w:ascii="宋体" w:hAnsi="宋体" w:cs="宋体"/>
          <w:b/>
          <w:bCs/>
          <w:color w:val="000000" w:themeColor="text1"/>
          <w:szCs w:val="21"/>
          <w14:textFill>
            <w14:solidFill>
              <w14:schemeClr w14:val="tx1"/>
            </w14:solidFill>
          </w14:textFill>
        </w:rPr>
        <w:t>其响应文件按无效响应处理</w:t>
      </w:r>
      <w:r>
        <w:rPr>
          <w:rFonts w:hint="eastAsia" w:ascii="宋体" w:hAnsi="宋体" w:cs="宋体"/>
          <w:color w:val="000000" w:themeColor="text1"/>
          <w:szCs w:val="21"/>
          <w14:textFill>
            <w14:solidFill>
              <w14:schemeClr w14:val="tx1"/>
            </w14:solidFill>
          </w14:textFill>
        </w:rPr>
        <w:t>。</w:t>
      </w:r>
    </w:p>
    <w:p w14:paraId="417F84A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41192D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在评审时，如发现下列情形之一的，将被视为响应文件无效处理：</w:t>
      </w:r>
    </w:p>
    <w:p w14:paraId="413A886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（1）商务技术评审</w:t>
      </w:r>
    </w:p>
    <w:p w14:paraId="7D90033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1）响应文件未按磋商文件要求签署、盖章；</w:t>
      </w:r>
    </w:p>
    <w:p w14:paraId="18D8B52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2）委托代理人未能出具有效身份证或者出具的身份证与授权委托书中的信息不符的； </w:t>
      </w:r>
    </w:p>
    <w:p w14:paraId="4CAAF81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3）提交的磋商保证金无效的或者未按照磋商文件的规定提交磋商保证金；</w:t>
      </w:r>
    </w:p>
    <w:p w14:paraId="55FBFFB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F8DF14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5）商务、技术要求允许负偏离的条款数超过“供应商须知前附表”规定项数的；</w:t>
      </w:r>
    </w:p>
    <w:p w14:paraId="436D72C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6）未对竞标有效期作出响应或者响应文件承诺的竞标有效期不满足磋商文件要求；</w:t>
      </w:r>
    </w:p>
    <w:p w14:paraId="58D820A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7）响应文件的实质性内容未使用中文表述、使用计量单位不符合磋商文件要求；</w:t>
      </w:r>
    </w:p>
    <w:p w14:paraId="766A0FB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8）响应文件中的文件资料因填写不齐全或者内容虚假或者出现其他情形而导致被磋商小组认定无效；</w:t>
      </w:r>
    </w:p>
    <w:p w14:paraId="5DE8F5C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9）响应文件含有采购人不能接受的附加条件；</w:t>
      </w:r>
    </w:p>
    <w:p w14:paraId="4D28E21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10）属于“供应商须知正文”第7.</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条情形；</w:t>
      </w:r>
    </w:p>
    <w:p w14:paraId="3475E17F">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1）虚假竞标，或者出现其他情形而导致被磋商小组认定无效；</w:t>
      </w:r>
    </w:p>
    <w:p w14:paraId="2958A2E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bookmarkStart w:id="75" w:name="_Hlk71704147"/>
      <w:r>
        <w:rPr>
          <w:rFonts w:hint="eastAsia" w:ascii="宋体" w:hAnsi="宋体" w:cs="宋体"/>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5"/>
    </w:p>
    <w:p w14:paraId="486D27C4">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3）响应文件标注的项目名称或者项目编号与磋商文件标注的项目名称或者项目编号不一致的；</w:t>
      </w:r>
    </w:p>
    <w:p w14:paraId="1E9B737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竞争性磋商文件明确不允许分包，响应文件拟分包的；</w:t>
      </w:r>
    </w:p>
    <w:p w14:paraId="4CA9F107">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5）未响应磋商文件实质性要求；</w:t>
      </w:r>
    </w:p>
    <w:p w14:paraId="2E906DF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16）法律、法规和磋商文件规定的其他无效情形。</w:t>
      </w:r>
    </w:p>
    <w:p w14:paraId="75D8519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）报价评审</w:t>
      </w:r>
    </w:p>
    <w:p w14:paraId="06BEB6B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1）响应文件未提供“供应商须知前附表” 报价文件中规定的“竞标报价表”；</w:t>
      </w:r>
    </w:p>
    <w:p w14:paraId="5D737DF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2）未采用人民币报价或者未按照磋商文件标明的币种报价；</w:t>
      </w:r>
    </w:p>
    <w:p w14:paraId="32B53D0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DF2575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4）竞标报价（包含首次报价、最后报价）超过所竞标分标规定的采购预算金额或者最高限价的（如本项目公布了最高限价）；</w:t>
      </w:r>
      <w:bookmarkStart w:id="76" w:name="_Hlk42596405"/>
      <w:r>
        <w:rPr>
          <w:rFonts w:hint="eastAsia" w:ascii="宋体" w:hAnsi="宋体" w:cs="宋体"/>
          <w:color w:val="000000" w:themeColor="text1"/>
          <w:szCs w:val="21"/>
          <w14:textFill>
            <w14:solidFill>
              <w14:schemeClr w14:val="tx1"/>
            </w14:solidFill>
          </w14:textFill>
        </w:rPr>
        <w:t>分项竞标报价（包含首次报价、最后报价）</w:t>
      </w:r>
      <w:bookmarkEnd w:id="76"/>
      <w:bookmarkStart w:id="77" w:name="_Hlk42596276"/>
      <w:r>
        <w:rPr>
          <w:rFonts w:hint="eastAsia" w:ascii="宋体" w:hAnsi="宋体" w:cs="宋体"/>
          <w:color w:val="000000" w:themeColor="text1"/>
          <w:szCs w:val="21"/>
          <w14:textFill>
            <w14:solidFill>
              <w14:schemeClr w14:val="tx1"/>
            </w14:solidFill>
          </w14:textFill>
        </w:rPr>
        <w:t>超过磋商文件分项采购预算金额或者最高限价的</w:t>
      </w:r>
      <w:bookmarkEnd w:id="77"/>
      <w:r>
        <w:rPr>
          <w:rFonts w:hint="eastAsia" w:ascii="宋体" w:hAnsi="宋体" w:cs="宋体"/>
          <w:color w:val="000000" w:themeColor="text1"/>
          <w:szCs w:val="21"/>
          <w14:textFill>
            <w14:solidFill>
              <w14:schemeClr w14:val="tx1"/>
            </w14:solidFill>
          </w14:textFill>
        </w:rPr>
        <w:t>（如本项目公布了最高限价）；</w:t>
      </w:r>
    </w:p>
    <w:p w14:paraId="050E31E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0C9D178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响应文件响应的标的数量及单位与竞争性磋商采购文件要求实质性不一致的。</w:t>
      </w:r>
    </w:p>
    <w:p w14:paraId="019B6644">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1AEED3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通过符合性审查的合格供应商不足3家的，不得进入磋商环节，采购人或者采购代理机构应当重新开展采购活动。</w:t>
      </w:r>
    </w:p>
    <w:p w14:paraId="6ECFE8E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392767AC">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w:t>
      </w:r>
      <w:r>
        <w:rPr>
          <w:color w:val="000000" w:themeColor="text1"/>
          <w14:textFill>
            <w14:solidFill>
              <w14:schemeClr w14:val="tx1"/>
            </w14:solidFill>
          </w14:textFill>
        </w:rPr>
        <w:t>在规定时间内在广西政府采购云平台上参加</w:t>
      </w:r>
      <w:r>
        <w:rPr>
          <w:rFonts w:hint="eastAsia"/>
          <w:color w:val="000000" w:themeColor="text1"/>
          <w14:textFill>
            <w14:solidFill>
              <w14:schemeClr w14:val="tx1"/>
            </w14:solidFill>
          </w14:textFill>
        </w:rPr>
        <w:t>磋商</w:t>
      </w:r>
      <w:r>
        <w:rPr>
          <w:rFonts w:hint="eastAsia" w:ascii="宋体" w:hAnsi="宋体" w:cs="宋体"/>
          <w:color w:val="000000" w:themeColor="text1"/>
          <w:szCs w:val="21"/>
          <w14:textFill>
            <w14:solidFill>
              <w14:schemeClr w14:val="tx1"/>
            </w14:solidFill>
          </w14:textFill>
        </w:rPr>
        <w:t>，未在规定时间内参加磋商的视同放弃参加磋商权利，</w:t>
      </w:r>
      <w:r>
        <w:rPr>
          <w:rFonts w:hint="eastAsia" w:ascii="宋体" w:hAnsi="宋体" w:cs="宋体"/>
          <w:b/>
          <w:bCs/>
          <w:color w:val="000000" w:themeColor="text1"/>
          <w:szCs w:val="21"/>
          <w14:textFill>
            <w14:solidFill>
              <w14:schemeClr w14:val="tx1"/>
            </w14:solidFill>
          </w14:textFill>
        </w:rPr>
        <w:t>其响应文件按无效响应处理</w:t>
      </w:r>
      <w:r>
        <w:rPr>
          <w:rFonts w:hint="eastAsia" w:ascii="宋体" w:hAnsi="宋体" w:cs="宋体"/>
          <w:color w:val="000000" w:themeColor="text1"/>
          <w:szCs w:val="21"/>
          <w14:textFill>
            <w14:solidFill>
              <w14:schemeClr w14:val="tx1"/>
            </w14:solidFill>
          </w14:textFill>
        </w:rPr>
        <w:t>。</w:t>
      </w:r>
    </w:p>
    <w:p w14:paraId="37C10554">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2F64B2D">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3DAEA0CA">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F5B3C00">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w:t>
      </w:r>
      <w:r>
        <w:rPr>
          <w:rFonts w:hint="eastAsia" w:ascii="宋体" w:hAnsi="宋体" w:cs="宋体"/>
          <w:color w:val="000000" w:themeColor="text1"/>
          <w:spacing w:val="-6"/>
          <w:szCs w:val="21"/>
          <w14:textFill>
            <w14:solidFill>
              <w14:schemeClr w14:val="tx1"/>
            </w14:solidFill>
          </w14:textFill>
        </w:rPr>
        <w:t>磋商的任何一方不得透露与磋商有关的其他供应商的技术资料、价格和其他信息。</w:t>
      </w:r>
    </w:p>
    <w:p w14:paraId="1A19BBF2">
      <w:pPr>
        <w:widowControl/>
        <w:tabs>
          <w:tab w:val="left" w:pos="540"/>
        </w:tabs>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采购代理机构对磋商过程和重要磋商内容进行记录。</w:t>
      </w:r>
    </w:p>
    <w:p w14:paraId="684BF4C6">
      <w:pPr>
        <w:tabs>
          <w:tab w:val="left" w:pos="2835"/>
        </w:tabs>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.7</w:t>
      </w:r>
      <w:r>
        <w:rPr>
          <w:color w:val="000000" w:themeColor="text1"/>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4FA432B">
      <w:pPr>
        <w:tabs>
          <w:tab w:val="left" w:pos="2835"/>
        </w:tabs>
        <w:spacing w:line="360" w:lineRule="auto"/>
        <w:ind w:firstLine="420" w:firstLineChars="200"/>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3.8除本章第3.7条情形</w:t>
      </w:r>
      <w:r>
        <w:rPr>
          <w:rFonts w:hint="eastAsia"/>
          <w:color w:val="000000" w:themeColor="text1"/>
          <w14:textFill>
            <w14:solidFill>
              <w14:schemeClr w14:val="tx1"/>
            </w14:solidFill>
          </w14:textFill>
        </w:rPr>
        <w:t>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4FEFB065">
      <w:pPr>
        <w:spacing w:line="360" w:lineRule="auto"/>
        <w:ind w:firstLine="482" w:firstLineChars="200"/>
        <w:rPr>
          <w:rFonts w:ascii="宋体" w:hAns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 xml:space="preserve"> 最后报价</w:t>
      </w:r>
    </w:p>
    <w:p w14:paraId="394F027C">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条外，提交最后报价的供应商不得少于3家，否则必须重新采购。</w:t>
      </w:r>
    </w:p>
    <w:p w14:paraId="271F293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17BDD9E">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14:textFill>
            <w14:solidFill>
              <w14:schemeClr w14:val="tx1"/>
            </w14:solidFill>
          </w14:textFill>
        </w:rPr>
        <w:t>本</w:t>
      </w:r>
      <w:r>
        <w:rPr>
          <w:rFonts w:ascii="宋体" w:hAnsi="宋体" w:cs="宋体"/>
          <w:color w:val="000000" w:themeColor="text1"/>
          <w:szCs w:val="21"/>
          <w14:textFill>
            <w14:solidFill>
              <w14:schemeClr w14:val="tx1"/>
            </w14:solidFill>
          </w14:textFill>
        </w:rPr>
        <w:t>章第3.7条情</w:t>
      </w:r>
      <w:r>
        <w:rPr>
          <w:color w:val="000000" w:themeColor="text1"/>
          <w14:textFill>
            <w14:solidFill>
              <w14:schemeClr w14:val="tx1"/>
            </w14:solidFill>
          </w14:textFill>
        </w:rPr>
        <w:t>形的，</w:t>
      </w:r>
      <w:r>
        <w:rPr>
          <w:rFonts w:hint="eastAsia" w:ascii="宋体" w:hAnsi="宋体" w:cs="宋体"/>
          <w:color w:val="000000" w:themeColor="text1"/>
          <w:szCs w:val="21"/>
          <w14:textFill>
            <w14:solidFill>
              <w14:schemeClr w14:val="tx1"/>
            </w14:solidFill>
          </w14:textFill>
        </w:rPr>
        <w:t>提交最后报价的供应商可以为2家。</w:t>
      </w:r>
    </w:p>
    <w:p w14:paraId="37F1E5AB">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w:t>
      </w:r>
      <w:r>
        <w:rPr>
          <w:rFonts w:hint="eastAsia" w:ascii="宋体" w:hAnsi="宋体" w:cs="宋体"/>
          <w:b/>
          <w:bCs/>
          <w:color w:val="000000" w:themeColor="text1"/>
          <w:szCs w:val="21"/>
          <w14:textFill>
            <w14:solidFill>
              <w14:schemeClr w14:val="tx1"/>
            </w14:solidFill>
          </w14:textFill>
        </w:rPr>
        <w:t>退出磋商的供应商的响应文件按无效响应处理</w:t>
      </w:r>
      <w:r>
        <w:rPr>
          <w:rFonts w:hint="eastAsia" w:ascii="宋体" w:hAnsi="宋体" w:cs="宋体"/>
          <w:color w:val="000000" w:themeColor="text1"/>
          <w:szCs w:val="21"/>
          <w14:textFill>
            <w14:solidFill>
              <w14:schemeClr w14:val="tx1"/>
            </w14:solidFill>
          </w14:textFill>
        </w:rPr>
        <w:t>。采购人、采购代理机构将退还退出磋商的供应商的保证金。</w:t>
      </w:r>
    </w:p>
    <w:p w14:paraId="5604A0EB">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0A9E425F">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7464F8A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 xml:space="preserve">条的规定修正。 </w:t>
      </w:r>
    </w:p>
    <w:p w14:paraId="60A4C73C">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w:t>
      </w:r>
      <w:r>
        <w:rPr>
          <w:rFonts w:hint="eastAsia" w:ascii="宋体" w:hAnsi="宋体" w:cs="宋体"/>
          <w:b/>
          <w:bCs/>
          <w:color w:val="000000" w:themeColor="text1"/>
          <w:szCs w:val="21"/>
          <w14:textFill>
            <w14:solidFill>
              <w14:schemeClr w14:val="tx1"/>
            </w14:solidFill>
          </w14:textFill>
        </w:rPr>
        <w:t>按无效响应处理</w:t>
      </w:r>
      <w:r>
        <w:rPr>
          <w:rFonts w:hint="eastAsia" w:ascii="宋体" w:hAnsi="宋体" w:cs="宋体"/>
          <w:color w:val="000000" w:themeColor="text1"/>
          <w:szCs w:val="21"/>
          <w14:textFill>
            <w14:solidFill>
              <w14:schemeClr w14:val="tx1"/>
            </w14:solidFill>
          </w14:textFill>
        </w:rPr>
        <w:t>：</w:t>
      </w:r>
    </w:p>
    <w:p w14:paraId="2C7C203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（1）供应商不确认的（全流程电子化评标采取在线确认）；</w:t>
      </w:r>
    </w:p>
    <w:p w14:paraId="30ED9D0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（2）经供应商确认修正后的竞标报价（包含首次报价、最后报价）超过所竞标分标规定的采购预算金额或者最高限价的（如本项目公布了最高限价）；</w:t>
      </w:r>
    </w:p>
    <w:p w14:paraId="26ADD95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（3）经供应商确认修正后的竞标报价（包含首次报价、最后报价）超过分项采购预算金额或者最高限价的（如本项目公布了最高限价）。</w:t>
      </w:r>
    </w:p>
    <w:p w14:paraId="76783A4B">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7D613EF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16B95CF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1最后报价结束后，磋商小组不得再与供应商进行任何形式的商谈。</w:t>
      </w:r>
    </w:p>
    <w:p w14:paraId="6030B52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14:textFill>
            <w14:solidFill>
              <w14:schemeClr w14:val="tx1"/>
            </w14:solidFill>
          </w14:textFill>
        </w:rPr>
        <w:t>5</w:t>
      </w:r>
      <w:r>
        <w:rPr>
          <w:rFonts w:ascii="黑体" w:hAnsi="黑体" w:eastAsia="黑体" w:cs="宋体"/>
          <w:b/>
          <w:bCs/>
          <w:color w:val="000000" w:themeColor="text1"/>
          <w:sz w:val="24"/>
          <w14:textFill>
            <w14:solidFill>
              <w14:schemeClr w14:val="tx1"/>
            </w14:solidFill>
          </w14:textFill>
        </w:rPr>
        <w:t>.</w:t>
      </w:r>
      <w:r>
        <w:rPr>
          <w:rFonts w:hint="eastAsia" w:ascii="黑体" w:hAnsi="黑体" w:eastAsia="黑体" w:cs="宋体"/>
          <w:b/>
          <w:bCs/>
          <w:color w:val="000000" w:themeColor="text1"/>
          <w:sz w:val="24"/>
          <w14:textFill>
            <w14:solidFill>
              <w14:schemeClr w14:val="tx1"/>
            </w14:solidFill>
          </w14:textFill>
        </w:rPr>
        <w:t>比较与评价</w:t>
      </w:r>
    </w:p>
    <w:p w14:paraId="47A2FE00">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评审方法：综合评分法。</w:t>
      </w:r>
    </w:p>
    <w:p w14:paraId="52F71580">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6C009E9F">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6ED232C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（1）磋商小组按照磋商文件中规定的评审标准计算各供应商的报价得分。项目评审过程中，不得去掉最后报价中的最高报价和最低报价。</w:t>
      </w:r>
    </w:p>
    <w:p w14:paraId="10F296E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（2）各供应商的得分为磋商小组所有成员的有效评分的算术平均数。</w:t>
      </w:r>
    </w:p>
    <w:p w14:paraId="45939540">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49D18BB8">
      <w:pPr>
        <w:spacing w:line="360" w:lineRule="auto"/>
        <w:ind w:firstLine="420" w:firstLineChars="200"/>
        <w:rPr>
          <w:rFonts w:ascii="宋体" w:hAnsi="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5.5</w:t>
      </w:r>
      <w:r>
        <w:rPr>
          <w:rFonts w:hint="eastAsia" w:ascii="宋体" w:hAnsi="宋体" w:cs="宋体"/>
          <w:color w:val="000000" w:themeColor="text1"/>
          <w:szCs w:val="21"/>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14:textFill>
            <w14:solidFill>
              <w14:schemeClr w14:val="tx1"/>
            </w14:solidFill>
          </w14:textFill>
        </w:rPr>
        <w:t>审报告。符合本章第</w:t>
      </w:r>
      <w:r>
        <w:rPr>
          <w:rFonts w:ascii="宋体" w:hAnsi="宋体"/>
          <w:color w:val="000000" w:themeColor="text1"/>
          <w:kern w:val="0"/>
          <w:szCs w:val="21"/>
          <w14:textFill>
            <w14:solidFill>
              <w14:schemeClr w14:val="tx1"/>
            </w14:solidFill>
          </w14:textFill>
        </w:rPr>
        <w:t>4.3</w:t>
      </w:r>
      <w:r>
        <w:rPr>
          <w:rFonts w:hint="eastAsia" w:ascii="宋体" w:hAnsi="宋体"/>
          <w:color w:val="000000" w:themeColor="text1"/>
          <w:kern w:val="0"/>
          <w:szCs w:val="21"/>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06E9F906">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5.6</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03133A">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二、评审标准</w:t>
      </w:r>
    </w:p>
    <w:p w14:paraId="66056CD0">
      <w:pPr>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w:t>
      </w:r>
      <w:r>
        <w:rPr>
          <w:rFonts w:ascii="宋体" w:hAnsi="宋体"/>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评审依据：磋商小组将以磋商响应文件为评审依据，对供应商的报价、技术、商务等方面内容按百分制打分。（计分方法按四舍五入取至百分位）</w:t>
      </w:r>
    </w:p>
    <w:tbl>
      <w:tblPr>
        <w:tblStyle w:val="22"/>
        <w:tblW w:w="94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341"/>
        <w:gridCol w:w="6641"/>
        <w:gridCol w:w="744"/>
      </w:tblGrid>
      <w:tr w14:paraId="1888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792C521B">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341" w:type="dxa"/>
            <w:vAlign w:val="center"/>
          </w:tcPr>
          <w:p w14:paraId="3456E140">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w:t>
            </w:r>
            <w:r>
              <w:rPr>
                <w:rFonts w:ascii="宋体" w:hAnsi="宋体"/>
                <w:b/>
                <w:bCs/>
                <w:color w:val="000000" w:themeColor="text1"/>
                <w:szCs w:val="21"/>
                <w14:textFill>
                  <w14:solidFill>
                    <w14:schemeClr w14:val="tx1"/>
                  </w14:solidFill>
                </w14:textFill>
              </w:rPr>
              <w:t>因素</w:t>
            </w:r>
          </w:p>
        </w:tc>
        <w:tc>
          <w:tcPr>
            <w:tcW w:w="6641" w:type="dxa"/>
            <w:vAlign w:val="center"/>
          </w:tcPr>
          <w:p w14:paraId="040C2F71">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评审因素具体内容</w:t>
            </w:r>
          </w:p>
        </w:tc>
        <w:tc>
          <w:tcPr>
            <w:tcW w:w="744" w:type="dxa"/>
            <w:vAlign w:val="center"/>
          </w:tcPr>
          <w:p w14:paraId="6284B7B3">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分值</w:t>
            </w:r>
          </w:p>
        </w:tc>
      </w:tr>
      <w:tr w14:paraId="62FD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3ABEBDB3">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p>
        </w:tc>
        <w:tc>
          <w:tcPr>
            <w:tcW w:w="1341" w:type="dxa"/>
            <w:vAlign w:val="center"/>
          </w:tcPr>
          <w:p w14:paraId="4280551E">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价格分</w:t>
            </w:r>
          </w:p>
        </w:tc>
        <w:tc>
          <w:tcPr>
            <w:tcW w:w="6641" w:type="dxa"/>
            <w:vAlign w:val="center"/>
          </w:tcPr>
          <w:p w14:paraId="504E389D">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（1）评审报价为供应商的最后报价进行政策性扣除后的价格，评审报价只是作为评审时使用。最终成交供应商的成交金额等于最后报价（如有修正，以确认修正后的最后报价为准）。</w:t>
            </w:r>
          </w:p>
          <w:p w14:paraId="63DEBB45">
            <w:pPr>
              <w:spacing w:line="44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政府采购政策性扣除计算方法</w:t>
            </w:r>
          </w:p>
          <w:p w14:paraId="72C336E8">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政府采购促进中小企业发展管理办法》（财库〔2020〕46号）的规定，供应商在其响应文件中提供《中小企业声明函》，且服务全部由小微企业承接，对供应商的竞标报价给予10%的扣除，扣除后的价格为评审价，即评审价=竞标报价×（1-1</w:t>
            </w: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w:t>
            </w:r>
          </w:p>
          <w:p w14:paraId="461E5140">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41FDE8B">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5A92941">
            <w:pPr>
              <w:spacing w:line="480" w:lineRule="exact"/>
              <w:ind w:firstLine="420" w:firstLineChars="200"/>
              <w:rPr>
                <w:rFonts w:ascii="宋体" w:hAnsi="宋体" w:cs="Courier New"/>
                <w:bCs/>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5</w:t>
            </w:r>
            <w:r>
              <w:rPr>
                <w:rFonts w:hint="eastAsia" w:ascii="宋体" w:hAnsi="宋体" w:cs="Courier New"/>
                <w:bCs/>
                <w:color w:val="000000" w:themeColor="text1"/>
                <w:szCs w:val="21"/>
                <w14:textFill>
                  <w14:solidFill>
                    <w14:schemeClr w14:val="tx1"/>
                  </w14:solidFill>
                </w14:textFill>
              </w:rPr>
              <w:t>）除上述情况外，评审价=竞标报价。以进入比较与评价环节的最低的评审价为基准价，基准价得分为</w:t>
            </w:r>
            <w:r>
              <w:rPr>
                <w:rFonts w:hint="eastAsia" w:ascii="宋体" w:hAnsi="宋体" w:cs="Courier New"/>
                <w:bCs/>
                <w:color w:val="000000" w:themeColor="text1"/>
                <w:szCs w:val="21"/>
                <w:u w:val="single"/>
                <w14:textFill>
                  <w14:solidFill>
                    <w14:schemeClr w14:val="tx1"/>
                  </w14:solidFill>
                </w14:textFill>
              </w:rPr>
              <w:t>10分</w:t>
            </w:r>
            <w:r>
              <w:rPr>
                <w:rFonts w:hint="eastAsia" w:ascii="宋体" w:hAnsi="宋体" w:cs="Courier New"/>
                <w:bCs/>
                <w:color w:val="000000" w:themeColor="text1"/>
                <w:szCs w:val="21"/>
                <w14:textFill>
                  <w14:solidFill>
                    <w14:schemeClr w14:val="tx1"/>
                  </w14:solidFill>
                </w14:textFill>
              </w:rPr>
              <w:t>。</w:t>
            </w:r>
          </w:p>
          <w:p w14:paraId="65A06346">
            <w:pPr>
              <w:spacing w:line="480" w:lineRule="exact"/>
              <w:ind w:firstLine="420" w:firstLineChars="200"/>
              <w:rPr>
                <w:rFonts w:ascii="宋体" w:hAnsi="宋体" w:cs="Courier New"/>
                <w:bCs/>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6</w:t>
            </w:r>
            <w:r>
              <w:rPr>
                <w:rFonts w:hint="eastAsia" w:ascii="宋体" w:hAnsi="宋体" w:cs="Courier New"/>
                <w:bCs/>
                <w:color w:val="000000" w:themeColor="text1"/>
                <w:szCs w:val="21"/>
                <w14:textFill>
                  <w14:solidFill>
                    <w14:schemeClr w14:val="tx1"/>
                  </w14:solidFill>
                </w14:textFill>
              </w:rPr>
              <w:t>）价格分计算公式：</w:t>
            </w:r>
          </w:p>
          <w:p w14:paraId="550D6B44">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报价得分=（基准价/最后报价）×</w:t>
            </w:r>
            <w:r>
              <w:rPr>
                <w:rFonts w:hint="eastAsia" w:hAnsi="宋体" w:cs="Courier New"/>
                <w:bCs/>
                <w:color w:val="000000" w:themeColor="text1"/>
                <w:u w:val="single"/>
                <w14:textFill>
                  <w14:solidFill>
                    <w14:schemeClr w14:val="tx1"/>
                  </w14:solidFill>
                </w14:textFill>
              </w:rPr>
              <w:t>10分</w:t>
            </w:r>
          </w:p>
        </w:tc>
        <w:tc>
          <w:tcPr>
            <w:tcW w:w="744" w:type="dxa"/>
            <w:vAlign w:val="center"/>
          </w:tcPr>
          <w:p w14:paraId="7ED8ECB0">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10分</w:t>
            </w:r>
          </w:p>
        </w:tc>
      </w:tr>
      <w:tr w14:paraId="1761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1FD1E96C">
            <w:pPr>
              <w:widowControl/>
              <w:autoSpaceDE w:val="0"/>
              <w:spacing w:line="440" w:lineRule="exact"/>
              <w:jc w:val="center"/>
              <w:rPr>
                <w:rFonts w:ascii="宋体" w:hAnsi="宋体"/>
                <w:b/>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2</w:t>
            </w:r>
          </w:p>
        </w:tc>
        <w:tc>
          <w:tcPr>
            <w:tcW w:w="1341" w:type="dxa"/>
            <w:vAlign w:val="center"/>
          </w:tcPr>
          <w:p w14:paraId="52F48BD5">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技术分</w:t>
            </w:r>
          </w:p>
        </w:tc>
        <w:tc>
          <w:tcPr>
            <w:tcW w:w="6641" w:type="dxa"/>
            <w:vAlign w:val="center"/>
          </w:tcPr>
          <w:p w14:paraId="0AA53BAE">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评审因素</w:t>
            </w:r>
          </w:p>
        </w:tc>
        <w:tc>
          <w:tcPr>
            <w:tcW w:w="744" w:type="dxa"/>
            <w:vAlign w:val="center"/>
          </w:tcPr>
          <w:p w14:paraId="7FEF38C1">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70分</w:t>
            </w:r>
          </w:p>
        </w:tc>
      </w:tr>
      <w:tr w14:paraId="14ED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0ADF99A8">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2.1</w:t>
            </w:r>
          </w:p>
        </w:tc>
        <w:tc>
          <w:tcPr>
            <w:tcW w:w="1341" w:type="dxa"/>
            <w:vAlign w:val="center"/>
          </w:tcPr>
          <w:p w14:paraId="3F168039">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技术履约能力（满分18分）</w:t>
            </w:r>
          </w:p>
        </w:tc>
        <w:tc>
          <w:tcPr>
            <w:tcW w:w="6641" w:type="dxa"/>
            <w:vAlign w:val="center"/>
          </w:tcPr>
          <w:p w14:paraId="5D41DB67">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本次采购秸秆焚烧运维服务监控点范围内，提供或者承诺在成交后建立满足要求的36个以上（含36个）点位资源且资源点位高度在25米以上（含25米）的，提供证明文件复印件或者承诺函。每提供或者承诺在成交后建立满足要求的1个点位得0.5分（满分18分）。（证明文件复印件包含资源点产权证明或租赁合同、资源点高度的证明文件并加盖公章</w:t>
            </w:r>
            <w:r>
              <w:rPr>
                <w:rFonts w:hint="eastAsia" w:ascii="宋体" w:hAnsi="宋体"/>
                <w:bCs/>
                <w:color w:val="000000" w:themeColor="text1"/>
                <w:szCs w:val="21"/>
                <w:lang w:eastAsia="zh-CN"/>
                <w14:textFill>
                  <w14:solidFill>
                    <w14:schemeClr w14:val="tx1"/>
                  </w14:solidFill>
                </w14:textFill>
              </w:rPr>
              <w:t>，提供承诺函的需加盖公章</w:t>
            </w:r>
            <w:r>
              <w:rPr>
                <w:rFonts w:hint="eastAsia" w:ascii="宋体" w:hAnsi="宋体"/>
                <w:bCs/>
                <w:color w:val="000000" w:themeColor="text1"/>
                <w:szCs w:val="21"/>
                <w14:textFill>
                  <w14:solidFill>
                    <w14:schemeClr w14:val="tx1"/>
                  </w14:solidFill>
                </w14:textFill>
              </w:rPr>
              <w:t>。）</w:t>
            </w:r>
          </w:p>
        </w:tc>
        <w:tc>
          <w:tcPr>
            <w:tcW w:w="744" w:type="dxa"/>
            <w:vAlign w:val="center"/>
          </w:tcPr>
          <w:p w14:paraId="0009D99A">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18分</w:t>
            </w:r>
          </w:p>
        </w:tc>
      </w:tr>
      <w:tr w14:paraId="445D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799F7807">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2.2</w:t>
            </w:r>
          </w:p>
        </w:tc>
        <w:tc>
          <w:tcPr>
            <w:tcW w:w="1341" w:type="dxa"/>
            <w:vAlign w:val="center"/>
          </w:tcPr>
          <w:p w14:paraId="75CC94BA">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项目实施方案分（满分24分）</w:t>
            </w:r>
          </w:p>
        </w:tc>
        <w:tc>
          <w:tcPr>
            <w:tcW w:w="6641" w:type="dxa"/>
            <w:vAlign w:val="center"/>
          </w:tcPr>
          <w:p w14:paraId="447298D5">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由评委在打分前根据采购文件要求，以及各供应商响应文件中“项目实施方案”内容包括项目实施部署、项目管理机构、服务保障、服务进度计划及控制措施、服务质量管理及保证措施、应急预案措施、安全管理与保证措施、技术交底及培训、设备试运行及验收等，按以下标准进行独立评审打分。</w:t>
            </w:r>
          </w:p>
          <w:p w14:paraId="0D4FCAC2">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一档（6分）：针对本项目编写项目实施方案各项内容未够详尽，基本可行。</w:t>
            </w:r>
          </w:p>
          <w:p w14:paraId="492229AD">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二档（12分）：对项目总体有一定的理解，针对本项目编写项目实施方案各项内容比较详细合理，有一定的针对性和操作性。</w:t>
            </w:r>
          </w:p>
          <w:p w14:paraId="3EA5AA57">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18分）：对项目总体有较深入的理解，针对本项目编写的项目实施方案内容详尽、合理，具有较强的针对性和可操作性。实施方案结构较为清晰，在进度控制、质量管理、执行保障、应急维护等方面提出了具体且可行的措施，能够较好地满足项目实际需求；对项目与原有项目的融合有具体考虑，验收方案明确可行。</w:t>
            </w:r>
          </w:p>
          <w:p w14:paraId="748492EF">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四档（24分）：实施方案详细可行，对项目总体有深刻认识，结构清晰，实施方案的进度控制、运维 质量控制方案合理、充分考虑项目实际需求；项目执行保障、应急维护方案、项目进度计划合理、充分满足项实际需求，</w:t>
            </w:r>
            <w:r>
              <w:rPr>
                <w:rFonts w:hint="eastAsia" w:ascii="宋体" w:hAnsi="宋体"/>
                <w:bCs/>
                <w:color w:val="000000" w:themeColor="text1"/>
                <w:szCs w:val="21"/>
                <w:lang w:val="en-US" w:eastAsia="zh-CN"/>
                <w14:textFill>
                  <w14:solidFill>
                    <w14:schemeClr w14:val="tx1"/>
                  </w14:solidFill>
                </w14:textFill>
              </w:rPr>
              <w:t>对</w:t>
            </w:r>
            <w:r>
              <w:rPr>
                <w:rFonts w:hint="eastAsia" w:ascii="宋体" w:hAnsi="宋体"/>
                <w:bCs/>
                <w:color w:val="000000" w:themeColor="text1"/>
                <w:szCs w:val="21"/>
                <w14:textFill>
                  <w14:solidFill>
                    <w14:schemeClr w14:val="tx1"/>
                  </w14:solidFill>
                </w14:textFill>
              </w:rPr>
              <w:t>项目与原有项目</w:t>
            </w:r>
            <w:r>
              <w:rPr>
                <w:rFonts w:hint="eastAsia" w:ascii="宋体" w:hAnsi="宋体"/>
                <w:bCs/>
                <w:color w:val="000000" w:themeColor="text1"/>
                <w:szCs w:val="21"/>
                <w:lang w:eastAsia="zh-CN"/>
                <w14:textFill>
                  <w14:solidFill>
                    <w14:schemeClr w14:val="tx1"/>
                  </w14:solidFill>
                </w14:textFill>
              </w:rPr>
              <w:t>的</w:t>
            </w:r>
            <w:r>
              <w:rPr>
                <w:rFonts w:hint="eastAsia" w:ascii="宋体" w:hAnsi="宋体"/>
                <w:bCs/>
                <w:color w:val="000000" w:themeColor="text1"/>
                <w:szCs w:val="21"/>
                <w14:textFill>
                  <w14:solidFill>
                    <w14:schemeClr w14:val="tx1"/>
                  </w14:solidFill>
                </w14:textFill>
              </w:rPr>
              <w:t>融合</w:t>
            </w:r>
            <w:r>
              <w:rPr>
                <w:rFonts w:hint="eastAsia" w:ascii="宋体" w:hAnsi="宋体"/>
                <w:bCs/>
                <w:color w:val="000000" w:themeColor="text1"/>
                <w:szCs w:val="21"/>
                <w:lang w:val="en-US" w:eastAsia="zh-CN"/>
                <w14:textFill>
                  <w14:solidFill>
                    <w14:schemeClr w14:val="tx1"/>
                  </w14:solidFill>
                </w14:textFill>
              </w:rPr>
              <w:t>有具体措施</w:t>
            </w:r>
            <w:r>
              <w:rPr>
                <w:rFonts w:hint="eastAsia" w:ascii="宋体" w:hAnsi="宋体"/>
                <w:bCs/>
                <w:color w:val="000000" w:themeColor="text1"/>
                <w:szCs w:val="21"/>
                <w14:textFill>
                  <w14:solidFill>
                    <w14:schemeClr w14:val="tx1"/>
                  </w14:solidFill>
                </w14:textFill>
              </w:rPr>
              <w:t>，验收方案详细可行。</w:t>
            </w:r>
          </w:p>
          <w:p w14:paraId="1D05D808">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注：未达到最低档次标准的，得0分。</w:t>
            </w:r>
          </w:p>
        </w:tc>
        <w:tc>
          <w:tcPr>
            <w:tcW w:w="744" w:type="dxa"/>
            <w:vAlign w:val="center"/>
          </w:tcPr>
          <w:p w14:paraId="043D7277">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24分</w:t>
            </w:r>
          </w:p>
        </w:tc>
      </w:tr>
      <w:tr w14:paraId="0A76B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52" w:type="dxa"/>
            <w:vAlign w:val="center"/>
          </w:tcPr>
          <w:p w14:paraId="3F86DC84">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2.3</w:t>
            </w:r>
          </w:p>
        </w:tc>
        <w:tc>
          <w:tcPr>
            <w:tcW w:w="1341" w:type="dxa"/>
            <w:vAlign w:val="center"/>
          </w:tcPr>
          <w:p w14:paraId="33C699DB">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运维</w:t>
            </w:r>
            <w:bookmarkStart w:id="180" w:name="_GoBack"/>
            <w:bookmarkEnd w:id="180"/>
            <w:r>
              <w:rPr>
                <w:rFonts w:hint="eastAsia" w:ascii="宋体" w:hAnsi="宋体"/>
                <w:bCs/>
                <w:color w:val="000000" w:themeColor="text1"/>
                <w:szCs w:val="21"/>
                <w14:textFill>
                  <w14:solidFill>
                    <w14:schemeClr w14:val="tx1"/>
                  </w14:solidFill>
                </w14:textFill>
              </w:rPr>
              <w:t>及售后服务方案分（满分</w:t>
            </w:r>
            <w:r>
              <w:rPr>
                <w:rFonts w:hint="eastAsia" w:ascii="宋体" w:hAnsi="宋体"/>
                <w:bCs/>
                <w:color w:val="000000" w:themeColor="text1"/>
                <w:szCs w:val="21"/>
                <w:lang w:val="en-US" w:eastAsia="zh-CN"/>
                <w14:textFill>
                  <w14:solidFill>
                    <w14:schemeClr w14:val="tx1"/>
                  </w14:solidFill>
                </w14:textFill>
              </w:rPr>
              <w:t>16</w:t>
            </w:r>
            <w:r>
              <w:rPr>
                <w:rFonts w:hint="eastAsia" w:ascii="宋体" w:hAnsi="宋体"/>
                <w:bCs/>
                <w:color w:val="000000" w:themeColor="text1"/>
                <w:szCs w:val="21"/>
                <w14:textFill>
                  <w14:solidFill>
                    <w14:schemeClr w14:val="tx1"/>
                  </w14:solidFill>
                </w14:textFill>
              </w:rPr>
              <w:t>分）</w:t>
            </w:r>
          </w:p>
        </w:tc>
        <w:tc>
          <w:tcPr>
            <w:tcW w:w="6641" w:type="dxa"/>
            <w:vAlign w:val="center"/>
          </w:tcPr>
          <w:p w14:paraId="2F2658A9">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由磋商小组在打分前就竞标供应商的运维及售后服务方案的合理性、可行性等方面进行综合评定，按以下标准进行独立评审打分。</w:t>
            </w:r>
          </w:p>
          <w:p w14:paraId="6D240935">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一档（4分）：运维及售后服务方案设计存在部分缺陷，保障响应措施不完全符合项目实际需要，售后服务方案不完整。</w:t>
            </w:r>
          </w:p>
          <w:p w14:paraId="1A8230D7">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二档（8分）：运维及售后服务方案基本合理，服务流程、保障响应措施基本满足项目实际需要，有服务经验，有完整的售后服务方案。</w:t>
            </w:r>
          </w:p>
          <w:p w14:paraId="0F9861E1">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三档（12分）：运维及售后服务方案合理，服务流程、保障响应措施满足项目实际需要，服务经验丰富，有详细的售后服务方案。</w:t>
            </w:r>
          </w:p>
          <w:p w14:paraId="63EFA9EF">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档（16分）：运维及售后服务方案细致、合理，服务流程、保障响应措施有力完全满足项目实际需要，服务经验丰富，有全面、专业、详细、可行的售后服务方案。人员配置充分合理，完全满足项目的实际需要。</w:t>
            </w:r>
          </w:p>
          <w:p w14:paraId="7C5734AD">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注：未达到最低档次标准的，得0分。</w:t>
            </w:r>
          </w:p>
        </w:tc>
        <w:tc>
          <w:tcPr>
            <w:tcW w:w="744" w:type="dxa"/>
            <w:vAlign w:val="center"/>
          </w:tcPr>
          <w:p w14:paraId="388CBE8B">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lang w:val="en-US" w:eastAsia="zh-CN"/>
                <w14:textFill>
                  <w14:solidFill>
                    <w14:schemeClr w14:val="tx1"/>
                  </w14:solidFill>
                </w14:textFill>
              </w:rPr>
              <w:t>16</w:t>
            </w:r>
            <w:r>
              <w:rPr>
                <w:rFonts w:hint="eastAsia" w:ascii="宋体" w:hAnsi="宋体"/>
                <w:b/>
                <w:color w:val="000000" w:themeColor="text1"/>
                <w:kern w:val="0"/>
                <w14:textFill>
                  <w14:solidFill>
                    <w14:schemeClr w14:val="tx1"/>
                  </w14:solidFill>
                </w14:textFill>
              </w:rPr>
              <w:t>分</w:t>
            </w:r>
          </w:p>
        </w:tc>
      </w:tr>
      <w:tr w14:paraId="78E24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52" w:type="dxa"/>
            <w:vAlign w:val="center"/>
          </w:tcPr>
          <w:p w14:paraId="067E1E17">
            <w:pPr>
              <w:widowControl/>
              <w:autoSpaceDE w:val="0"/>
              <w:spacing w:line="440" w:lineRule="exact"/>
              <w:jc w:val="center"/>
              <w:rPr>
                <w:rFonts w:hint="default" w:eastAsia="宋体"/>
                <w:color w:val="000000" w:themeColor="text1"/>
                <w:lang w:val="en-US" w:eastAsia="zh-CN"/>
                <w14:textFill>
                  <w14:solidFill>
                    <w14:schemeClr w14:val="tx1"/>
                  </w14:solidFill>
                </w14:textFill>
              </w:rPr>
            </w:pPr>
            <w:r>
              <w:rPr>
                <w:rFonts w:hint="eastAsia" w:ascii="宋体" w:hAnsi="宋体"/>
                <w:b/>
                <w:color w:val="000000" w:themeColor="text1"/>
                <w:kern w:val="0"/>
                <w:lang w:val="en-US" w:eastAsia="zh-CN"/>
                <w14:textFill>
                  <w14:solidFill>
                    <w14:schemeClr w14:val="tx1"/>
                  </w14:solidFill>
                </w14:textFill>
              </w:rPr>
              <w:t>2.4</w:t>
            </w:r>
          </w:p>
        </w:tc>
        <w:tc>
          <w:tcPr>
            <w:tcW w:w="1341" w:type="dxa"/>
            <w:vAlign w:val="center"/>
          </w:tcPr>
          <w:p w14:paraId="72DB4AF1">
            <w:pPr>
              <w:spacing w:line="4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拟投入项目人员和车辆分（满分12分）</w:t>
            </w:r>
          </w:p>
        </w:tc>
        <w:tc>
          <w:tcPr>
            <w:tcW w:w="6641" w:type="dxa"/>
            <w:vAlign w:val="center"/>
          </w:tcPr>
          <w:p w14:paraId="2A6A7C27">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一档（3分）：竞标供应商拟投入项目人员不少于5人；竞标供应商在项目所在地配备有用于项目运维服务的车辆不少于1辆。</w:t>
            </w:r>
          </w:p>
          <w:p w14:paraId="7C26E76C">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二档（6分）：竞标供应商拟投入项目人员不少于8人；竞标供应商在项目所在地配备有用于项目运维服务的车辆不少于2辆。</w:t>
            </w:r>
          </w:p>
          <w:p w14:paraId="7B8926CC">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三档（9分）：竞标供应商拟投入项目人员不少于11人；竞标供应商在项目所在地配备有用于项目运维服务的车辆不少于3辆。</w:t>
            </w:r>
          </w:p>
          <w:p w14:paraId="57A25705">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四档（12分）：竞标供应商拟投入项目人员不少于15人；竞标供应商在项目所在地配备有用于项目运维服务的车辆不少于4辆。</w:t>
            </w:r>
          </w:p>
          <w:p w14:paraId="09F13ED9">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注：1.未达到最低档次标准的，得0分。</w:t>
            </w:r>
          </w:p>
          <w:p w14:paraId="0704D11E">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2.服务团队人员：提供拟投入项目人员姓名联系方式并提供2025年1月以来任意三个月竞标供应商为其依法缴纳社保的证明材料或聘用证书或劳动合同等相关资料证明文件复印件。</w:t>
            </w:r>
          </w:p>
          <w:p w14:paraId="5ED72DE9">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运维服务车辆：投入的车辆必须为检验合格期内，【自有车辆必须提供车辆行驶证或购买车辆发票（车辆所有人为法定代表人名字或供应商名字）扫描件，并提供车辆正面、侧面、后面实拍照片且清晰可辨等证明文件】；【租赁车辆必须提供行驶证或购买发票（所有人为出租方），及租赁合同扫描件（租车时必须提供，租赁期须包含本项目服务期），并提供车辆正面、侧面、后面车辆实拍照片且清晰可辨等证明文件】，所提供的扫描件须加盖供应商公章。</w:t>
            </w:r>
          </w:p>
        </w:tc>
        <w:tc>
          <w:tcPr>
            <w:tcW w:w="744" w:type="dxa"/>
            <w:vAlign w:val="center"/>
          </w:tcPr>
          <w:p w14:paraId="00091E76">
            <w:pPr>
              <w:widowControl/>
              <w:autoSpaceDE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lang w:val="en-US" w:eastAsia="zh-CN"/>
                <w14:textFill>
                  <w14:solidFill>
                    <w14:schemeClr w14:val="tx1"/>
                  </w14:solidFill>
                </w14:textFill>
              </w:rPr>
              <w:t>12分</w:t>
            </w:r>
          </w:p>
        </w:tc>
      </w:tr>
      <w:tr w14:paraId="54FF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1CD89FD1">
            <w:pPr>
              <w:widowControl/>
              <w:autoSpaceDE w:val="0"/>
              <w:spacing w:line="440" w:lineRule="exact"/>
              <w:jc w:val="center"/>
              <w:rPr>
                <w:rFonts w:ascii="宋体" w:hAnsi="宋体"/>
                <w:b/>
                <w:color w:val="000000" w:themeColor="text1"/>
                <w:kern w:val="0"/>
                <w:szCs w:val="21"/>
                <w14:textFill>
                  <w14:solidFill>
                    <w14:schemeClr w14:val="tx1"/>
                  </w14:solidFill>
                </w14:textFill>
              </w:rPr>
            </w:pPr>
            <w:r>
              <w:rPr>
                <w:rFonts w:ascii="宋体" w:hAnsi="宋体"/>
                <w:b/>
                <w:bCs/>
                <w:color w:val="000000" w:themeColor="text1"/>
                <w:kern w:val="0"/>
                <w14:textFill>
                  <w14:solidFill>
                    <w14:schemeClr w14:val="tx1"/>
                  </w14:solidFill>
                </w14:textFill>
              </w:rPr>
              <w:t>3</w:t>
            </w:r>
          </w:p>
        </w:tc>
        <w:tc>
          <w:tcPr>
            <w:tcW w:w="1341" w:type="dxa"/>
            <w:vAlign w:val="center"/>
          </w:tcPr>
          <w:p w14:paraId="3D77CF72">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商务分</w:t>
            </w:r>
          </w:p>
        </w:tc>
        <w:tc>
          <w:tcPr>
            <w:tcW w:w="6641" w:type="dxa"/>
            <w:vAlign w:val="center"/>
          </w:tcPr>
          <w:p w14:paraId="385E1CEF">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评审因素</w:t>
            </w:r>
          </w:p>
        </w:tc>
        <w:tc>
          <w:tcPr>
            <w:tcW w:w="744" w:type="dxa"/>
            <w:vAlign w:val="center"/>
          </w:tcPr>
          <w:p w14:paraId="0D88D278">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20分</w:t>
            </w:r>
          </w:p>
        </w:tc>
      </w:tr>
      <w:tr w14:paraId="441D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582F7079">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3.1</w:t>
            </w:r>
          </w:p>
        </w:tc>
        <w:tc>
          <w:tcPr>
            <w:tcW w:w="1341" w:type="dxa"/>
            <w:vAlign w:val="center"/>
          </w:tcPr>
          <w:p w14:paraId="2EFAB191">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拟投入本项目的人员</w:t>
            </w:r>
            <w:r>
              <w:rPr>
                <w:rFonts w:hint="eastAsia" w:ascii="宋体" w:hAnsi="宋体"/>
                <w:bCs/>
                <w:color w:val="000000" w:themeColor="text1"/>
                <w:szCs w:val="21"/>
                <w:lang w:val="en-US" w:eastAsia="zh-CN"/>
                <w14:textFill>
                  <w14:solidFill>
                    <w14:schemeClr w14:val="tx1"/>
                  </w14:solidFill>
                </w14:textFill>
              </w:rPr>
              <w:t>技术能力分</w:t>
            </w:r>
            <w:r>
              <w:rPr>
                <w:rFonts w:hint="eastAsia" w:ascii="宋体" w:hAnsi="宋体"/>
                <w:bCs/>
                <w:color w:val="000000" w:themeColor="text1"/>
                <w:szCs w:val="21"/>
                <w14:textFill>
                  <w14:solidFill>
                    <w14:schemeClr w14:val="tx1"/>
                  </w14:solidFill>
                </w14:textFill>
              </w:rPr>
              <w:t>（满分8分）</w:t>
            </w:r>
          </w:p>
        </w:tc>
        <w:tc>
          <w:tcPr>
            <w:tcW w:w="6641" w:type="dxa"/>
            <w:vAlign w:val="center"/>
          </w:tcPr>
          <w:p w14:paraId="627AD8D2">
            <w:pPr>
              <w:spacing w:line="440" w:lineRule="exact"/>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供应商拟投入项目人员具备中级职称或职业资格技术人员证的，每人得1分；具备副高级及以上职称的每人得2分；满分8分。</w:t>
            </w:r>
          </w:p>
          <w:p w14:paraId="53FA6BA8">
            <w:pPr>
              <w:spacing w:line="440" w:lineRule="exact"/>
              <w:jc w:val="left"/>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（提供供应商为以上人员缴纳2025年1月以来任意三个月的社保证明材料或聘用证书或劳动合同；职称证或职业资格技术人员证；否则不予认可。）</w:t>
            </w:r>
          </w:p>
        </w:tc>
        <w:tc>
          <w:tcPr>
            <w:tcW w:w="744" w:type="dxa"/>
            <w:vAlign w:val="center"/>
          </w:tcPr>
          <w:p w14:paraId="4900F0A9">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8分</w:t>
            </w:r>
          </w:p>
        </w:tc>
      </w:tr>
      <w:tr w14:paraId="6435C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353B3C38">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w:t>
            </w:r>
          </w:p>
        </w:tc>
        <w:tc>
          <w:tcPr>
            <w:tcW w:w="1341" w:type="dxa"/>
            <w:vAlign w:val="center"/>
          </w:tcPr>
          <w:p w14:paraId="3C820E28">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业绩分（满分6分）</w:t>
            </w:r>
          </w:p>
        </w:tc>
        <w:tc>
          <w:tcPr>
            <w:tcW w:w="6641" w:type="dxa"/>
            <w:vAlign w:val="center"/>
          </w:tcPr>
          <w:p w14:paraId="6465D7E4">
            <w:pPr>
              <w:spacing w:line="44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2020年1月1日至今，具有同类项目业绩的，每个得1分，满分6分；（</w:t>
            </w:r>
            <w:r>
              <w:rPr>
                <w:rFonts w:hint="eastAsia" w:ascii="宋体" w:hAnsi="宋体"/>
                <w:color w:val="000000" w:themeColor="text1"/>
                <w:szCs w:val="21"/>
                <w14:textFill>
                  <w14:solidFill>
                    <w14:schemeClr w14:val="tx1"/>
                  </w14:solidFill>
                </w14:textFill>
              </w:rPr>
              <w:t>响应文件中</w:t>
            </w:r>
            <w:r>
              <w:rPr>
                <w:rFonts w:hint="eastAsia" w:ascii="宋体" w:hAnsi="宋体"/>
                <w:color w:val="000000" w:themeColor="text1"/>
                <w:kern w:val="0"/>
                <w:szCs w:val="21"/>
                <w14:textFill>
                  <w14:solidFill>
                    <w14:schemeClr w14:val="tx1"/>
                  </w14:solidFill>
                </w14:textFill>
              </w:rPr>
              <w:t>提供合同复印件</w:t>
            </w:r>
            <w:r>
              <w:rPr>
                <w:rFonts w:hint="eastAsia" w:ascii="宋体" w:hAnsi="宋体"/>
                <w:bCs/>
                <w:color w:val="000000" w:themeColor="text1"/>
                <w:szCs w:val="21"/>
                <w14:textFill>
                  <w14:solidFill>
                    <w14:schemeClr w14:val="tx1"/>
                  </w14:solidFill>
                </w14:textFill>
              </w:rPr>
              <w:t>并加盖公章）</w:t>
            </w:r>
          </w:p>
        </w:tc>
        <w:tc>
          <w:tcPr>
            <w:tcW w:w="744" w:type="dxa"/>
            <w:vAlign w:val="center"/>
          </w:tcPr>
          <w:p w14:paraId="32182AFC">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6分</w:t>
            </w:r>
          </w:p>
        </w:tc>
      </w:tr>
      <w:tr w14:paraId="6943D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52" w:type="dxa"/>
            <w:vAlign w:val="center"/>
          </w:tcPr>
          <w:p w14:paraId="7D441E9F">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3.3</w:t>
            </w:r>
          </w:p>
        </w:tc>
        <w:tc>
          <w:tcPr>
            <w:tcW w:w="1341" w:type="dxa"/>
            <w:vAlign w:val="center"/>
          </w:tcPr>
          <w:p w14:paraId="3957C08F">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企业资信分（满分6分）</w:t>
            </w:r>
          </w:p>
        </w:tc>
        <w:tc>
          <w:tcPr>
            <w:tcW w:w="6641" w:type="dxa"/>
            <w:vAlign w:val="center"/>
          </w:tcPr>
          <w:p w14:paraId="7682FF18">
            <w:pPr>
              <w:spacing w:line="44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具有合格有效质量管理体系认证证书、信息安全管理体系认证证书、信息技术服务管理体系认证证书，每一项得2分，满分6分。（响应文件中需提供证书材料复印件并加盖公章）</w:t>
            </w:r>
          </w:p>
        </w:tc>
        <w:tc>
          <w:tcPr>
            <w:tcW w:w="744" w:type="dxa"/>
            <w:vAlign w:val="center"/>
          </w:tcPr>
          <w:p w14:paraId="1A81310F">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6分</w:t>
            </w:r>
          </w:p>
        </w:tc>
      </w:tr>
      <w:tr w14:paraId="435B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78" w:type="dxa"/>
            <w:gridSpan w:val="4"/>
            <w:vAlign w:val="center"/>
          </w:tcPr>
          <w:p w14:paraId="69C19AC3">
            <w:pPr>
              <w:spacing w:line="440" w:lineRule="exact"/>
              <w:jc w:val="left"/>
              <w:rPr>
                <w:rFonts w:ascii="宋体" w:hAnsi="宋体"/>
                <w:b/>
                <w:color w:val="000000" w:themeColor="text1"/>
                <w:kern w:val="0"/>
                <w14:textFill>
                  <w14:solidFill>
                    <w14:schemeClr w14:val="tx1"/>
                  </w14:solidFill>
                </w14:textFill>
              </w:rPr>
            </w:pPr>
            <w:r>
              <w:rPr>
                <w:rFonts w:hint="eastAsia" w:ascii="宋体" w:hAnsi="宋体"/>
                <w:bCs/>
                <w:color w:val="000000" w:themeColor="text1"/>
                <w:szCs w:val="21"/>
                <w14:textFill>
                  <w14:solidFill>
                    <w14:schemeClr w14:val="tx1"/>
                  </w14:solidFill>
                </w14:textFill>
              </w:rPr>
              <w:t>根据采购法释义，银行、保险、石油石化、电力、电信等行业特殊情况的，可以以分支机构名义参与竞标；若供应商为分支机构，使用其上级公司（直接管理关系或为法人单位）相关资质（如人员资格证书、企业/单位认证证书、荣誉或奖项、财务状况证明等），须提供上级公司针对本项目相关授权或许可证明文件扫描件，否则视为未提供。</w:t>
            </w:r>
          </w:p>
        </w:tc>
      </w:tr>
      <w:tr w14:paraId="00BF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78" w:type="dxa"/>
            <w:gridSpan w:val="4"/>
            <w:vAlign w:val="center"/>
          </w:tcPr>
          <w:p w14:paraId="1BF0D246">
            <w:pPr>
              <w:widowControl/>
              <w:spacing w:line="440" w:lineRule="exact"/>
              <w:jc w:val="center"/>
              <w:rPr>
                <w:rFonts w:ascii="宋体" w:hAnsi="宋体" w:cs="宋体"/>
                <w:color w:val="000000" w:themeColor="text1"/>
                <w:kern w:val="0"/>
                <w:szCs w:val="21"/>
                <w14:textFill>
                  <w14:solidFill>
                    <w14:schemeClr w14:val="tx1"/>
                  </w14:solidFill>
                </w14:textFill>
              </w:rPr>
            </w:pPr>
            <w:r>
              <w:rPr>
                <w:rFonts w:hint="eastAsia" w:hAnsi="宋体" w:cs="Courier New"/>
                <w:bCs/>
                <w:color w:val="000000" w:themeColor="text1"/>
                <w14:textFill>
                  <w14:solidFill>
                    <w14:schemeClr w14:val="tx1"/>
                  </w14:solidFill>
                </w14:textFill>
              </w:rPr>
              <w:t>总得分为以上各项评审因素得分合计</w:t>
            </w:r>
          </w:p>
        </w:tc>
      </w:tr>
    </w:tbl>
    <w:p w14:paraId="4EC951B5">
      <w:pPr>
        <w:spacing w:line="360" w:lineRule="auto"/>
        <w:ind w:firstLine="420" w:firstLineChars="200"/>
        <w:rPr>
          <w:rFonts w:ascii="宋体" w:hAnsi="宋体"/>
          <w:bCs/>
          <w:color w:val="000000" w:themeColor="text1"/>
          <w:szCs w:val="21"/>
          <w14:textFill>
            <w14:solidFill>
              <w14:schemeClr w14:val="tx1"/>
            </w14:solidFill>
          </w14:textFill>
        </w:rPr>
      </w:pPr>
    </w:p>
    <w:p w14:paraId="1C507A3A">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566DD078">
      <w:pPr>
        <w:spacing w:line="400" w:lineRule="exact"/>
        <w:ind w:firstLine="420" w:firstLineChars="200"/>
        <w:rPr>
          <w:rFonts w:ascii="宋体" w:hAnsi="宋体" w:cs="宋体"/>
          <w:color w:val="000000" w:themeColor="text1"/>
          <w14:textFill>
            <w14:solidFill>
              <w14:schemeClr w14:val="tx1"/>
            </w14:solidFill>
          </w14:textFill>
        </w:rPr>
      </w:pPr>
    </w:p>
    <w:p w14:paraId="4DE37DC9">
      <w:pPr>
        <w:spacing w:line="400" w:lineRule="exact"/>
        <w:ind w:firstLine="420" w:firstLineChars="200"/>
        <w:rPr>
          <w:rFonts w:ascii="宋体" w:hAnsi="宋体" w:cs="宋体"/>
          <w:color w:val="000000" w:themeColor="text1"/>
          <w14:textFill>
            <w14:solidFill>
              <w14:schemeClr w14:val="tx1"/>
            </w14:solidFill>
          </w14:textFill>
        </w:rPr>
      </w:pPr>
    </w:p>
    <w:p w14:paraId="2B5D5AF7">
      <w:pPr>
        <w:pStyle w:val="3"/>
        <w:rPr>
          <w:color w:val="000000" w:themeColor="text1"/>
          <w14:textFill>
            <w14:solidFill>
              <w14:schemeClr w14:val="tx1"/>
            </w14:solidFill>
          </w14:textFill>
        </w:rPr>
      </w:pPr>
    </w:p>
    <w:p w14:paraId="3777927E">
      <w:pPr>
        <w:pStyle w:val="2"/>
        <w:jc w:val="center"/>
        <w:rPr>
          <w:color w:val="000000" w:themeColor="text1"/>
          <w14:textFill>
            <w14:solidFill>
              <w14:schemeClr w14:val="tx1"/>
            </w14:solidFill>
          </w14:textFill>
        </w:rPr>
      </w:pPr>
      <w:r>
        <w:rPr>
          <w:color w:val="000000" w:themeColor="text1"/>
          <w14:textFill>
            <w14:solidFill>
              <w14:schemeClr w14:val="tx1"/>
            </w14:solidFill>
          </w14:textFill>
        </w:rPr>
        <w:br w:type="page"/>
      </w:r>
    </w:p>
    <w:p w14:paraId="013BC0AC">
      <w:pPr>
        <w:rPr>
          <w:color w:val="000000" w:themeColor="text1"/>
          <w14:textFill>
            <w14:solidFill>
              <w14:schemeClr w14:val="tx1"/>
            </w14:solidFill>
          </w14:textFill>
        </w:rPr>
      </w:pPr>
    </w:p>
    <w:p w14:paraId="6C5B323D">
      <w:pPr>
        <w:rPr>
          <w:color w:val="000000" w:themeColor="text1"/>
          <w14:textFill>
            <w14:solidFill>
              <w14:schemeClr w14:val="tx1"/>
            </w14:solidFill>
          </w14:textFill>
        </w:rPr>
      </w:pPr>
    </w:p>
    <w:p w14:paraId="01A3515D">
      <w:pPr>
        <w:rPr>
          <w:color w:val="000000" w:themeColor="text1"/>
          <w14:textFill>
            <w14:solidFill>
              <w14:schemeClr w14:val="tx1"/>
            </w14:solidFill>
          </w14:textFill>
        </w:rPr>
      </w:pPr>
    </w:p>
    <w:p w14:paraId="71751DE5">
      <w:pPr>
        <w:rPr>
          <w:color w:val="000000" w:themeColor="text1"/>
          <w14:textFill>
            <w14:solidFill>
              <w14:schemeClr w14:val="tx1"/>
            </w14:solidFill>
          </w14:textFill>
        </w:rPr>
      </w:pPr>
    </w:p>
    <w:p w14:paraId="3508D47A">
      <w:pPr>
        <w:rPr>
          <w:color w:val="000000" w:themeColor="text1"/>
          <w14:textFill>
            <w14:solidFill>
              <w14:schemeClr w14:val="tx1"/>
            </w14:solidFill>
          </w14:textFill>
        </w:rPr>
      </w:pPr>
    </w:p>
    <w:p w14:paraId="2ECC1C1F">
      <w:pPr>
        <w:rPr>
          <w:color w:val="000000" w:themeColor="text1"/>
          <w14:textFill>
            <w14:solidFill>
              <w14:schemeClr w14:val="tx1"/>
            </w14:solidFill>
          </w14:textFill>
        </w:rPr>
      </w:pPr>
    </w:p>
    <w:p w14:paraId="675F95E5">
      <w:pPr>
        <w:rPr>
          <w:color w:val="000000" w:themeColor="text1"/>
          <w14:textFill>
            <w14:solidFill>
              <w14:schemeClr w14:val="tx1"/>
            </w14:solidFill>
          </w14:textFill>
        </w:rPr>
      </w:pPr>
    </w:p>
    <w:p w14:paraId="59065AB7">
      <w:pPr>
        <w:rPr>
          <w:color w:val="000000" w:themeColor="text1"/>
          <w14:textFill>
            <w14:solidFill>
              <w14:schemeClr w14:val="tx1"/>
            </w14:solidFill>
          </w14:textFill>
        </w:rPr>
      </w:pPr>
    </w:p>
    <w:p w14:paraId="63D3073A">
      <w:pPr>
        <w:rPr>
          <w:color w:val="000000" w:themeColor="text1"/>
          <w14:textFill>
            <w14:solidFill>
              <w14:schemeClr w14:val="tx1"/>
            </w14:solidFill>
          </w14:textFill>
        </w:rPr>
      </w:pPr>
    </w:p>
    <w:p w14:paraId="31C939BA">
      <w:pPr>
        <w:rPr>
          <w:color w:val="000000" w:themeColor="text1"/>
          <w14:textFill>
            <w14:solidFill>
              <w14:schemeClr w14:val="tx1"/>
            </w14:solidFill>
          </w14:textFill>
        </w:rPr>
      </w:pPr>
    </w:p>
    <w:p w14:paraId="0FB85F80">
      <w:pPr>
        <w:rPr>
          <w:color w:val="000000" w:themeColor="text1"/>
          <w14:textFill>
            <w14:solidFill>
              <w14:schemeClr w14:val="tx1"/>
            </w14:solidFill>
          </w14:textFill>
        </w:rPr>
      </w:pPr>
    </w:p>
    <w:p w14:paraId="2F347D8E">
      <w:pPr>
        <w:rPr>
          <w:color w:val="000000" w:themeColor="text1"/>
          <w14:textFill>
            <w14:solidFill>
              <w14:schemeClr w14:val="tx1"/>
            </w14:solidFill>
          </w14:textFill>
        </w:rPr>
      </w:pPr>
    </w:p>
    <w:p w14:paraId="0BC17214">
      <w:pPr>
        <w:rPr>
          <w:color w:val="000000" w:themeColor="text1"/>
          <w14:textFill>
            <w14:solidFill>
              <w14:schemeClr w14:val="tx1"/>
            </w14:solidFill>
          </w14:textFill>
        </w:rPr>
      </w:pPr>
    </w:p>
    <w:p w14:paraId="1742134E">
      <w:pPr>
        <w:pStyle w:val="2"/>
        <w:jc w:val="center"/>
        <w:rPr>
          <w:color w:val="000000" w:themeColor="text1"/>
          <w14:textFill>
            <w14:solidFill>
              <w14:schemeClr w14:val="tx1"/>
            </w14:solidFill>
          </w14:textFill>
        </w:rPr>
      </w:pPr>
      <w:bookmarkStart w:id="78" w:name="_Toc15639"/>
      <w:r>
        <w:rPr>
          <w:rFonts w:hint="eastAsia"/>
          <w:color w:val="000000" w:themeColor="text1"/>
          <w14:textFill>
            <w14:solidFill>
              <w14:schemeClr w14:val="tx1"/>
            </w14:solidFill>
          </w14:textFill>
        </w:rPr>
        <w:t>第五章 响应文件格式</w:t>
      </w:r>
      <w:bookmarkEnd w:id="78"/>
    </w:p>
    <w:p w14:paraId="5CEB46FD">
      <w:pPr>
        <w:spacing w:line="240" w:lineRule="atLeast"/>
        <w:rPr>
          <w:rFonts w:ascii="宋体" w:hAnsi="宋体"/>
          <w:b/>
          <w:color w:val="000000" w:themeColor="text1"/>
          <w:sz w:val="32"/>
          <w:szCs w:val="32"/>
          <w14:textFill>
            <w14:solidFill>
              <w14:schemeClr w14:val="tx1"/>
            </w14:solidFill>
          </w14:textFill>
        </w:rPr>
      </w:pPr>
    </w:p>
    <w:p w14:paraId="490F45D4">
      <w:pPr>
        <w:spacing w:line="240" w:lineRule="atLeast"/>
        <w:rPr>
          <w:rFonts w:ascii="宋体" w:hAnsi="宋体"/>
          <w:b/>
          <w:color w:val="000000" w:themeColor="text1"/>
          <w:sz w:val="32"/>
          <w:szCs w:val="32"/>
          <w14:textFill>
            <w14:solidFill>
              <w14:schemeClr w14:val="tx1"/>
            </w14:solidFill>
          </w14:textFill>
        </w:rPr>
      </w:pPr>
    </w:p>
    <w:p w14:paraId="69F6C1C3">
      <w:pPr>
        <w:spacing w:line="240" w:lineRule="atLeast"/>
        <w:rPr>
          <w:rFonts w:ascii="宋体" w:hAnsi="宋体"/>
          <w:b/>
          <w:color w:val="000000" w:themeColor="text1"/>
          <w:sz w:val="32"/>
          <w:szCs w:val="32"/>
          <w14:textFill>
            <w14:solidFill>
              <w14:schemeClr w14:val="tx1"/>
            </w14:solidFill>
          </w14:textFill>
        </w:rPr>
      </w:pPr>
    </w:p>
    <w:p w14:paraId="3A743752">
      <w:pPr>
        <w:spacing w:line="240" w:lineRule="atLeast"/>
        <w:rPr>
          <w:rFonts w:ascii="宋体" w:hAnsi="宋体"/>
          <w:b/>
          <w:color w:val="000000" w:themeColor="text1"/>
          <w:sz w:val="32"/>
          <w:szCs w:val="32"/>
          <w14:textFill>
            <w14:solidFill>
              <w14:schemeClr w14:val="tx1"/>
            </w14:solidFill>
          </w14:textFill>
        </w:rPr>
      </w:pPr>
    </w:p>
    <w:p w14:paraId="177B2AB2">
      <w:pPr>
        <w:spacing w:line="240" w:lineRule="atLeast"/>
        <w:rPr>
          <w:rFonts w:ascii="宋体" w:hAnsi="宋体"/>
          <w:b/>
          <w:color w:val="000000" w:themeColor="text1"/>
          <w:sz w:val="32"/>
          <w:szCs w:val="32"/>
          <w14:textFill>
            <w14:solidFill>
              <w14:schemeClr w14:val="tx1"/>
            </w14:solidFill>
          </w14:textFill>
        </w:rPr>
      </w:pPr>
    </w:p>
    <w:p w14:paraId="6B21A356">
      <w:pPr>
        <w:spacing w:line="240" w:lineRule="atLeast"/>
        <w:rPr>
          <w:rFonts w:ascii="宋体" w:hAnsi="宋体"/>
          <w:b/>
          <w:color w:val="000000" w:themeColor="text1"/>
          <w:sz w:val="32"/>
          <w:szCs w:val="32"/>
          <w14:textFill>
            <w14:solidFill>
              <w14:schemeClr w14:val="tx1"/>
            </w14:solidFill>
          </w14:textFill>
        </w:rPr>
      </w:pPr>
    </w:p>
    <w:p w14:paraId="04840EAF">
      <w:pPr>
        <w:spacing w:line="240" w:lineRule="atLeast"/>
        <w:rPr>
          <w:rFonts w:ascii="宋体" w:hAnsi="宋体"/>
          <w:b/>
          <w:color w:val="000000" w:themeColor="text1"/>
          <w:sz w:val="32"/>
          <w:szCs w:val="32"/>
          <w14:textFill>
            <w14:solidFill>
              <w14:schemeClr w14:val="tx1"/>
            </w14:solidFill>
          </w14:textFill>
        </w:rPr>
      </w:pPr>
    </w:p>
    <w:p w14:paraId="59340D8A">
      <w:pPr>
        <w:spacing w:line="240" w:lineRule="atLeast"/>
        <w:rPr>
          <w:rFonts w:ascii="宋体" w:hAnsi="宋体"/>
          <w:b/>
          <w:color w:val="000000" w:themeColor="text1"/>
          <w:sz w:val="32"/>
          <w:szCs w:val="32"/>
          <w14:textFill>
            <w14:solidFill>
              <w14:schemeClr w14:val="tx1"/>
            </w14:solidFill>
          </w14:textFill>
        </w:rPr>
      </w:pPr>
    </w:p>
    <w:p w14:paraId="3CF8494A">
      <w:pPr>
        <w:spacing w:line="240" w:lineRule="atLeast"/>
        <w:rPr>
          <w:rFonts w:ascii="宋体" w:hAnsi="宋体"/>
          <w:b/>
          <w:color w:val="000000" w:themeColor="text1"/>
          <w:sz w:val="32"/>
          <w:szCs w:val="32"/>
          <w14:textFill>
            <w14:solidFill>
              <w14:schemeClr w14:val="tx1"/>
            </w14:solidFill>
          </w14:textFill>
        </w:rPr>
      </w:pPr>
    </w:p>
    <w:p w14:paraId="1C2073C7">
      <w:pPr>
        <w:spacing w:line="240" w:lineRule="atLeast"/>
        <w:rPr>
          <w:rFonts w:ascii="宋体" w:hAnsi="宋体"/>
          <w:b/>
          <w:color w:val="000000" w:themeColor="text1"/>
          <w:sz w:val="32"/>
          <w:szCs w:val="32"/>
          <w14:textFill>
            <w14:solidFill>
              <w14:schemeClr w14:val="tx1"/>
            </w14:solidFill>
          </w14:textFill>
        </w:rPr>
      </w:pPr>
    </w:p>
    <w:p w14:paraId="24064F3E">
      <w:pPr>
        <w:spacing w:line="240" w:lineRule="atLeast"/>
        <w:rPr>
          <w:rFonts w:ascii="宋体" w:hAnsi="宋体"/>
          <w:b/>
          <w:color w:val="000000" w:themeColor="text1"/>
          <w:sz w:val="32"/>
          <w:szCs w:val="32"/>
          <w14:textFill>
            <w14:solidFill>
              <w14:schemeClr w14:val="tx1"/>
            </w14:solidFill>
          </w14:textFill>
        </w:rPr>
      </w:pPr>
    </w:p>
    <w:p w14:paraId="211ACEF9">
      <w:pPr>
        <w:snapToGrid w:val="0"/>
        <w:spacing w:before="50" w:after="50"/>
        <w:outlineLvl w:val="1"/>
        <w:rPr>
          <w:rFonts w:ascii="宋体" w:hAnsi="宋体"/>
          <w:b/>
          <w:bCs/>
          <w:color w:val="000000" w:themeColor="text1"/>
          <w:sz w:val="24"/>
          <w14:textFill>
            <w14:solidFill>
              <w14:schemeClr w14:val="tx1"/>
            </w14:solidFill>
          </w14:textFill>
        </w:rPr>
      </w:pPr>
    </w:p>
    <w:p w14:paraId="1C82EAF2">
      <w:pPr>
        <w:snapToGrid w:val="0"/>
        <w:spacing w:before="120" w:beforeLines="50" w:after="50"/>
        <w:jc w:val="center"/>
        <w:rPr>
          <w:rFonts w:ascii="仿宋_GB2312" w:hAnsi="仿宋_GB2312" w:eastAsia="仿宋_GB2312" w:cs="仿宋_GB2312"/>
          <w:bCs/>
          <w:color w:val="000000" w:themeColor="text1"/>
          <w:sz w:val="32"/>
          <w:szCs w:val="32"/>
          <w14:textFill>
            <w14:solidFill>
              <w14:schemeClr w14:val="tx1"/>
            </w14:solidFill>
          </w14:textFill>
        </w:rPr>
      </w:pPr>
    </w:p>
    <w:p w14:paraId="657BFA23">
      <w:pPr>
        <w:rPr>
          <w:b/>
          <w:color w:val="000000" w:themeColor="text1"/>
          <w:sz w:val="32"/>
          <w:szCs w:val="32"/>
          <w14:textFill>
            <w14:solidFill>
              <w14:schemeClr w14:val="tx1"/>
            </w14:solidFill>
          </w14:textFill>
        </w:rPr>
      </w:pPr>
      <w:bookmarkStart w:id="79" w:name="_Toc71366186"/>
      <w:bookmarkStart w:id="80" w:name="_Toc31723070"/>
      <w:bookmarkStart w:id="81" w:name="_Toc35611438"/>
      <w:bookmarkStart w:id="82" w:name="_Toc31728084"/>
      <w:bookmarkStart w:id="83" w:name="_Toc35611516"/>
      <w:bookmarkStart w:id="84" w:name="_Toc44229899"/>
      <w:r>
        <w:rPr>
          <w:b/>
          <w:color w:val="000000" w:themeColor="text1"/>
          <w:sz w:val="32"/>
          <w:szCs w:val="32"/>
          <w14:textFill>
            <w14:solidFill>
              <w14:schemeClr w14:val="tx1"/>
            </w14:solidFill>
          </w14:textFill>
        </w:rPr>
        <w:br w:type="page"/>
      </w:r>
      <w:r>
        <w:rPr>
          <w:rFonts w:hint="eastAsia"/>
          <w:b/>
          <w:color w:val="000000" w:themeColor="text1"/>
          <w:sz w:val="32"/>
          <w:szCs w:val="32"/>
          <w14:textFill>
            <w14:solidFill>
              <w14:schemeClr w14:val="tx1"/>
            </w14:solidFill>
          </w14:textFill>
        </w:rPr>
        <w:t>一、资格证明文件格式</w:t>
      </w:r>
      <w:bookmarkEnd w:id="79"/>
      <w:bookmarkEnd w:id="80"/>
      <w:bookmarkEnd w:id="81"/>
      <w:bookmarkEnd w:id="82"/>
      <w:bookmarkEnd w:id="83"/>
      <w:bookmarkEnd w:id="84"/>
    </w:p>
    <w:p w14:paraId="603801B4">
      <w:pPr>
        <w:snapToGrid w:val="0"/>
        <w:spacing w:before="120" w:beforeLines="50" w:after="50"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1.资格证明文件封面格式：</w:t>
      </w:r>
    </w:p>
    <w:p w14:paraId="5FA6534B">
      <w:pPr>
        <w:snapToGrid w:val="0"/>
        <w:spacing w:before="120" w:beforeLines="50" w:after="50"/>
        <w:jc w:val="center"/>
        <w:rPr>
          <w:rFonts w:ascii="宋体" w:hAnsi="宋体"/>
          <w:color w:val="000000" w:themeColor="text1"/>
          <w:sz w:val="44"/>
          <w:szCs w:val="44"/>
          <w14:textFill>
            <w14:solidFill>
              <w14:schemeClr w14:val="tx1"/>
            </w14:solidFill>
          </w14:textFill>
        </w:rPr>
      </w:pPr>
    </w:p>
    <w:p w14:paraId="0AD65C96">
      <w:pPr>
        <w:snapToGrid w:val="0"/>
        <w:spacing w:before="120" w:beforeLines="50" w:after="5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5CAA8F07">
      <w:pPr>
        <w:snapToGrid w:val="0"/>
        <w:spacing w:before="120" w:beforeLines="50" w:after="50"/>
        <w:rPr>
          <w:rFonts w:ascii="宋体" w:hAnsi="宋体"/>
          <w:color w:val="000000" w:themeColor="text1"/>
          <w:sz w:val="24"/>
          <w:szCs w:val="20"/>
          <w14:textFill>
            <w14:solidFill>
              <w14:schemeClr w14:val="tx1"/>
            </w14:solidFill>
          </w14:textFill>
        </w:rPr>
      </w:pPr>
    </w:p>
    <w:p w14:paraId="163DE3A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  格  证  明  文  件</w:t>
      </w:r>
    </w:p>
    <w:p w14:paraId="5F53248E">
      <w:pPr>
        <w:snapToGrid w:val="0"/>
        <w:spacing w:before="120" w:beforeLines="50" w:after="50"/>
        <w:rPr>
          <w:rFonts w:ascii="宋体" w:hAnsi="宋体"/>
          <w:bCs/>
          <w:color w:val="000000" w:themeColor="text1"/>
          <w:sz w:val="24"/>
          <w:szCs w:val="20"/>
          <w14:textFill>
            <w14:solidFill>
              <w14:schemeClr w14:val="tx1"/>
            </w14:solidFill>
          </w14:textFill>
        </w:rPr>
      </w:pPr>
    </w:p>
    <w:p w14:paraId="13AE3FD8">
      <w:pPr>
        <w:snapToGrid w:val="0"/>
        <w:spacing w:before="120" w:beforeLines="50" w:after="50"/>
        <w:rPr>
          <w:rFonts w:ascii="宋体" w:hAnsi="宋体"/>
          <w:bCs/>
          <w:color w:val="000000" w:themeColor="text1"/>
          <w:sz w:val="24"/>
          <w:szCs w:val="20"/>
          <w14:textFill>
            <w14:solidFill>
              <w14:schemeClr w14:val="tx1"/>
            </w14:solidFill>
          </w14:textFill>
        </w:rPr>
      </w:pPr>
    </w:p>
    <w:p w14:paraId="1ED3F64C">
      <w:pPr>
        <w:snapToGrid w:val="0"/>
        <w:spacing w:before="120" w:beforeLines="50" w:after="50"/>
        <w:rPr>
          <w:rFonts w:ascii="宋体" w:hAnsi="宋体"/>
          <w:bCs/>
          <w:color w:val="000000" w:themeColor="text1"/>
          <w:sz w:val="24"/>
          <w:szCs w:val="20"/>
          <w14:textFill>
            <w14:solidFill>
              <w14:schemeClr w14:val="tx1"/>
            </w14:solidFill>
          </w14:textFill>
        </w:rPr>
      </w:pPr>
    </w:p>
    <w:p w14:paraId="449C7742">
      <w:pPr>
        <w:snapToGrid w:val="0"/>
        <w:spacing w:before="120" w:beforeLines="50" w:after="50"/>
        <w:rPr>
          <w:rFonts w:ascii="宋体" w:hAnsi="宋体"/>
          <w:bCs/>
          <w:color w:val="000000" w:themeColor="text1"/>
          <w:sz w:val="24"/>
          <w:szCs w:val="20"/>
          <w14:textFill>
            <w14:solidFill>
              <w14:schemeClr w14:val="tx1"/>
            </w14:solidFill>
          </w14:textFill>
        </w:rPr>
      </w:pPr>
    </w:p>
    <w:p w14:paraId="4197FAEA">
      <w:pPr>
        <w:snapToGrid w:val="0"/>
        <w:spacing w:before="120" w:beforeLines="50" w:after="50"/>
        <w:rPr>
          <w:rFonts w:ascii="宋体" w:hAnsi="宋体"/>
          <w:bCs/>
          <w:color w:val="000000" w:themeColor="text1"/>
          <w:sz w:val="24"/>
          <w:szCs w:val="20"/>
          <w14:textFill>
            <w14:solidFill>
              <w14:schemeClr w14:val="tx1"/>
            </w14:solidFill>
          </w14:textFill>
        </w:rPr>
      </w:pPr>
    </w:p>
    <w:p w14:paraId="7E81B7F9">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517BCAE9">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15242570">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26BCF688">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3A4A85C4">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7FA792F">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3F07D6C4">
      <w:pPr>
        <w:pStyle w:val="5"/>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AC6FD1D">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p>
    <w:p w14:paraId="2EE90832">
      <w:pPr>
        <w:pStyle w:val="5"/>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3CEC24A8">
      <w:pPr>
        <w:pStyle w:val="5"/>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4A47073D">
      <w:pPr>
        <w:pStyle w:val="5"/>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21ED9092">
      <w:pPr>
        <w:snapToGrid w:val="0"/>
        <w:spacing w:before="120"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31CFE99C">
      <w:pPr>
        <w:snapToGrid w:val="0"/>
        <w:spacing w:before="120" w:beforeLines="50" w:after="50" w:line="360" w:lineRule="auto"/>
        <w:ind w:left="142"/>
        <w:jc w:val="left"/>
        <w:rPr>
          <w:rFonts w:ascii="宋体" w:hAnsi="宋体"/>
          <w:b/>
          <w:bCs/>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2.资格证明文件目录</w:t>
      </w:r>
    </w:p>
    <w:p w14:paraId="1041E4D6">
      <w:pPr>
        <w:snapToGrid w:val="0"/>
        <w:spacing w:before="120" w:beforeLines="50" w:after="50" w:line="360" w:lineRule="auto"/>
        <w:ind w:firstLine="645"/>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4AF48D14">
      <w:pPr>
        <w:snapToGrid w:val="0"/>
        <w:spacing w:before="120" w:beforeLines="50" w:after="50"/>
        <w:rPr>
          <w:rFonts w:ascii="宋体" w:hAnsi="宋体"/>
          <w:color w:val="000000" w:themeColor="text1"/>
          <w:sz w:val="24"/>
          <w:szCs w:val="20"/>
          <w14:textFill>
            <w14:solidFill>
              <w14:schemeClr w14:val="tx1"/>
            </w14:solidFill>
          </w14:textFill>
        </w:rPr>
      </w:pPr>
    </w:p>
    <w:p w14:paraId="22D51FF8">
      <w:pPr>
        <w:spacing w:line="300" w:lineRule="auto"/>
        <w:rPr>
          <w:rFonts w:ascii="宋体" w:hAnsi="宋体"/>
          <w:color w:val="000000" w:themeColor="text1"/>
          <w:szCs w:val="21"/>
          <w14:textFill>
            <w14:solidFill>
              <w14:schemeClr w14:val="tx1"/>
            </w14:solidFill>
          </w14:textFill>
        </w:rPr>
      </w:pPr>
    </w:p>
    <w:p w14:paraId="65382F8E">
      <w:pPr>
        <w:spacing w:line="300" w:lineRule="auto"/>
        <w:rPr>
          <w:rFonts w:ascii="宋体" w:hAnsi="宋体"/>
          <w:color w:val="000000" w:themeColor="text1"/>
          <w:szCs w:val="21"/>
          <w14:textFill>
            <w14:solidFill>
              <w14:schemeClr w14:val="tx1"/>
            </w14:solidFill>
          </w14:textFill>
        </w:rPr>
      </w:pPr>
    </w:p>
    <w:p w14:paraId="378538D9">
      <w:pPr>
        <w:spacing w:line="300" w:lineRule="auto"/>
        <w:rPr>
          <w:rFonts w:ascii="宋体" w:hAnsi="宋体"/>
          <w:color w:val="000000" w:themeColor="text1"/>
          <w:szCs w:val="21"/>
          <w14:textFill>
            <w14:solidFill>
              <w14:schemeClr w14:val="tx1"/>
            </w14:solidFill>
          </w14:textFill>
        </w:rPr>
      </w:pPr>
    </w:p>
    <w:p w14:paraId="0CE2A3A5">
      <w:pPr>
        <w:spacing w:line="300" w:lineRule="auto"/>
        <w:rPr>
          <w:rFonts w:ascii="宋体" w:hAnsi="宋体"/>
          <w:color w:val="000000" w:themeColor="text1"/>
          <w:szCs w:val="21"/>
          <w14:textFill>
            <w14:solidFill>
              <w14:schemeClr w14:val="tx1"/>
            </w14:solidFill>
          </w14:textFill>
        </w:rPr>
      </w:pPr>
    </w:p>
    <w:p w14:paraId="6DAC9701">
      <w:pPr>
        <w:spacing w:line="300" w:lineRule="auto"/>
        <w:rPr>
          <w:rFonts w:ascii="宋体" w:hAnsi="宋体"/>
          <w:color w:val="000000" w:themeColor="text1"/>
          <w:szCs w:val="21"/>
          <w14:textFill>
            <w14:solidFill>
              <w14:schemeClr w14:val="tx1"/>
            </w14:solidFill>
          </w14:textFill>
        </w:rPr>
      </w:pPr>
    </w:p>
    <w:p w14:paraId="1129E5B2">
      <w:pPr>
        <w:spacing w:line="300" w:lineRule="auto"/>
        <w:rPr>
          <w:rFonts w:ascii="宋体" w:hAnsi="宋体"/>
          <w:color w:val="000000" w:themeColor="text1"/>
          <w:szCs w:val="21"/>
          <w14:textFill>
            <w14:solidFill>
              <w14:schemeClr w14:val="tx1"/>
            </w14:solidFill>
          </w14:textFill>
        </w:rPr>
      </w:pPr>
    </w:p>
    <w:p w14:paraId="0F5D9989">
      <w:pPr>
        <w:spacing w:line="300" w:lineRule="auto"/>
        <w:rPr>
          <w:rFonts w:ascii="宋体" w:hAnsi="宋体"/>
          <w:color w:val="000000" w:themeColor="text1"/>
          <w:szCs w:val="21"/>
          <w14:textFill>
            <w14:solidFill>
              <w14:schemeClr w14:val="tx1"/>
            </w14:solidFill>
          </w14:textFill>
        </w:rPr>
      </w:pPr>
    </w:p>
    <w:p w14:paraId="14D7D545">
      <w:pPr>
        <w:spacing w:line="300" w:lineRule="auto"/>
        <w:rPr>
          <w:rFonts w:ascii="宋体" w:hAnsi="宋体"/>
          <w:color w:val="000000" w:themeColor="text1"/>
          <w:szCs w:val="21"/>
          <w14:textFill>
            <w14:solidFill>
              <w14:schemeClr w14:val="tx1"/>
            </w14:solidFill>
          </w14:textFill>
        </w:rPr>
      </w:pPr>
    </w:p>
    <w:p w14:paraId="371D69E5">
      <w:pPr>
        <w:spacing w:line="300" w:lineRule="auto"/>
        <w:rPr>
          <w:rFonts w:ascii="宋体" w:hAnsi="宋体"/>
          <w:color w:val="000000" w:themeColor="text1"/>
          <w:szCs w:val="21"/>
          <w14:textFill>
            <w14:solidFill>
              <w14:schemeClr w14:val="tx1"/>
            </w14:solidFill>
          </w14:textFill>
        </w:rPr>
      </w:pPr>
    </w:p>
    <w:p w14:paraId="7E744802">
      <w:pPr>
        <w:spacing w:line="300" w:lineRule="auto"/>
        <w:rPr>
          <w:rFonts w:ascii="宋体" w:hAnsi="宋体"/>
          <w:color w:val="000000" w:themeColor="text1"/>
          <w:szCs w:val="21"/>
          <w14:textFill>
            <w14:solidFill>
              <w14:schemeClr w14:val="tx1"/>
            </w14:solidFill>
          </w14:textFill>
        </w:rPr>
      </w:pPr>
    </w:p>
    <w:p w14:paraId="4DFB826A">
      <w:pPr>
        <w:spacing w:line="300" w:lineRule="auto"/>
        <w:rPr>
          <w:rFonts w:ascii="宋体" w:hAnsi="宋体"/>
          <w:color w:val="000000" w:themeColor="text1"/>
          <w:szCs w:val="21"/>
          <w14:textFill>
            <w14:solidFill>
              <w14:schemeClr w14:val="tx1"/>
            </w14:solidFill>
          </w14:textFill>
        </w:rPr>
      </w:pPr>
    </w:p>
    <w:p w14:paraId="44C708EE">
      <w:pPr>
        <w:spacing w:line="300" w:lineRule="auto"/>
        <w:rPr>
          <w:rFonts w:ascii="宋体" w:hAnsi="宋体"/>
          <w:color w:val="000000" w:themeColor="text1"/>
          <w:szCs w:val="21"/>
          <w14:textFill>
            <w14:solidFill>
              <w14:schemeClr w14:val="tx1"/>
            </w14:solidFill>
          </w14:textFill>
        </w:rPr>
      </w:pPr>
    </w:p>
    <w:p w14:paraId="22AE65EF">
      <w:pPr>
        <w:spacing w:line="300" w:lineRule="auto"/>
        <w:rPr>
          <w:rFonts w:ascii="宋体" w:hAnsi="宋体"/>
          <w:color w:val="000000" w:themeColor="text1"/>
          <w:szCs w:val="21"/>
          <w14:textFill>
            <w14:solidFill>
              <w14:schemeClr w14:val="tx1"/>
            </w14:solidFill>
          </w14:textFill>
        </w:rPr>
      </w:pPr>
    </w:p>
    <w:p w14:paraId="178942A4">
      <w:pPr>
        <w:spacing w:line="300" w:lineRule="auto"/>
        <w:rPr>
          <w:rFonts w:ascii="宋体" w:hAnsi="宋体"/>
          <w:color w:val="000000" w:themeColor="text1"/>
          <w:szCs w:val="21"/>
          <w14:textFill>
            <w14:solidFill>
              <w14:schemeClr w14:val="tx1"/>
            </w14:solidFill>
          </w14:textFill>
        </w:rPr>
      </w:pPr>
    </w:p>
    <w:p w14:paraId="07CE45A1">
      <w:pPr>
        <w:spacing w:line="300" w:lineRule="auto"/>
        <w:rPr>
          <w:rFonts w:ascii="宋体" w:hAnsi="宋体"/>
          <w:color w:val="000000" w:themeColor="text1"/>
          <w:szCs w:val="21"/>
          <w14:textFill>
            <w14:solidFill>
              <w14:schemeClr w14:val="tx1"/>
            </w14:solidFill>
          </w14:textFill>
        </w:rPr>
      </w:pPr>
    </w:p>
    <w:p w14:paraId="0F51DFDF">
      <w:pPr>
        <w:spacing w:line="32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53063232">
      <w:pPr>
        <w:snapToGrid w:val="0"/>
        <w:spacing w:before="120" w:beforeLines="50" w:after="5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供应商直接控股股东信息表</w:t>
      </w:r>
    </w:p>
    <w:p w14:paraId="2FC08D3E">
      <w:pPr>
        <w:snapToGrid w:val="0"/>
        <w:spacing w:before="50" w:after="120" w:afterLines="50"/>
        <w:jc w:val="center"/>
        <w:rPr>
          <w:rFonts w:ascii="宋体" w:hAnsi="宋体"/>
          <w:b/>
          <w:color w:val="000000" w:themeColor="text1"/>
          <w:sz w:val="28"/>
          <w:szCs w:val="28"/>
          <w14:textFill>
            <w14:solidFill>
              <w14:schemeClr w14:val="tx1"/>
            </w14:solidFill>
          </w14:textFill>
        </w:rPr>
      </w:pPr>
    </w:p>
    <w:p w14:paraId="08F75EA4">
      <w:pPr>
        <w:snapToGrid w:val="0"/>
        <w:spacing w:before="50" w:after="120" w:afterLines="50"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tbl>
      <w:tblPr>
        <w:tblStyle w:val="22"/>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1887907">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F66843">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0A8C09">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AB09DD">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A63FE5">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EE2183">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19187C6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97E498">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29A05F">
            <w:pPr>
              <w:spacing w:line="360" w:lineRule="auto"/>
              <w:jc w:val="center"/>
              <w:rPr>
                <w:rFonts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A0773">
            <w:pPr>
              <w:spacing w:line="360" w:lineRule="auto"/>
              <w:jc w:val="center"/>
              <w:rPr>
                <w:rFonts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FC7D53">
            <w:pPr>
              <w:spacing w:line="360" w:lineRule="auto"/>
              <w:jc w:val="center"/>
              <w:rPr>
                <w:rFonts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60BBFC">
            <w:pPr>
              <w:spacing w:line="360" w:lineRule="auto"/>
              <w:jc w:val="center"/>
              <w:rPr>
                <w:rFonts w:ascii="宋体" w:hAnsi="宋体" w:cs="宋体"/>
                <w:color w:val="000000" w:themeColor="text1"/>
                <w:kern w:val="0"/>
                <w:sz w:val="24"/>
                <w14:textFill>
                  <w14:solidFill>
                    <w14:schemeClr w14:val="tx1"/>
                  </w14:solidFill>
                </w14:textFill>
              </w:rPr>
            </w:pPr>
          </w:p>
        </w:tc>
      </w:tr>
      <w:tr w14:paraId="7C744D16">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6A3F2F">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6C2E5">
            <w:pPr>
              <w:spacing w:line="360" w:lineRule="auto"/>
              <w:jc w:val="center"/>
              <w:rPr>
                <w:rFonts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F9659">
            <w:pPr>
              <w:spacing w:line="360" w:lineRule="auto"/>
              <w:jc w:val="center"/>
              <w:rPr>
                <w:rFonts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78EEC">
            <w:pPr>
              <w:spacing w:line="360" w:lineRule="auto"/>
              <w:jc w:val="center"/>
              <w:rPr>
                <w:rFonts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2F595">
            <w:pPr>
              <w:spacing w:line="360" w:lineRule="auto"/>
              <w:jc w:val="center"/>
              <w:rPr>
                <w:rFonts w:ascii="宋体" w:hAnsi="宋体" w:cs="宋体"/>
                <w:color w:val="000000" w:themeColor="text1"/>
                <w:kern w:val="0"/>
                <w:sz w:val="24"/>
                <w14:textFill>
                  <w14:solidFill>
                    <w14:schemeClr w14:val="tx1"/>
                  </w14:solidFill>
                </w14:textFill>
              </w:rPr>
            </w:pPr>
          </w:p>
        </w:tc>
      </w:tr>
      <w:tr w14:paraId="55CCD6C7">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E3DDB">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57AD95">
            <w:pPr>
              <w:spacing w:line="360" w:lineRule="auto"/>
              <w:jc w:val="center"/>
              <w:rPr>
                <w:rFonts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AB21B7">
            <w:pPr>
              <w:spacing w:line="360" w:lineRule="auto"/>
              <w:jc w:val="center"/>
              <w:rPr>
                <w:rFonts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95B98">
            <w:pPr>
              <w:spacing w:line="360" w:lineRule="auto"/>
              <w:jc w:val="center"/>
              <w:rPr>
                <w:rFonts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7BC8A3">
            <w:pPr>
              <w:spacing w:line="360" w:lineRule="auto"/>
              <w:jc w:val="center"/>
              <w:rPr>
                <w:rFonts w:ascii="宋体" w:hAnsi="宋体" w:cs="宋体"/>
                <w:color w:val="000000" w:themeColor="text1"/>
                <w:kern w:val="0"/>
                <w:sz w:val="24"/>
                <w14:textFill>
                  <w14:solidFill>
                    <w14:schemeClr w14:val="tx1"/>
                  </w14:solidFill>
                </w14:textFill>
              </w:rPr>
            </w:pPr>
          </w:p>
        </w:tc>
      </w:tr>
      <w:tr w14:paraId="23148EB8">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867A9">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D904B">
            <w:pPr>
              <w:spacing w:line="360" w:lineRule="auto"/>
              <w:jc w:val="center"/>
              <w:rPr>
                <w:rFonts w:ascii="宋体" w:hAnsi="宋体" w:cs="宋体"/>
                <w:color w:val="000000" w:themeColor="text1"/>
                <w:kern w:val="0"/>
                <w:sz w:val="24"/>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E5552E">
            <w:pPr>
              <w:spacing w:line="360" w:lineRule="auto"/>
              <w:jc w:val="center"/>
              <w:rPr>
                <w:rFonts w:ascii="宋体" w:hAnsi="宋体" w:cs="宋体"/>
                <w:color w:val="000000" w:themeColor="text1"/>
                <w:kern w:val="0"/>
                <w:sz w:val="24"/>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018792">
            <w:pPr>
              <w:spacing w:line="360" w:lineRule="auto"/>
              <w:jc w:val="center"/>
              <w:rPr>
                <w:rFonts w:ascii="宋体" w:hAnsi="宋体" w:cs="宋体"/>
                <w:color w:val="000000" w:themeColor="text1"/>
                <w:kern w:val="0"/>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ADF48">
            <w:pPr>
              <w:spacing w:line="360" w:lineRule="auto"/>
              <w:jc w:val="center"/>
              <w:rPr>
                <w:rFonts w:ascii="宋体" w:hAnsi="宋体" w:cs="宋体"/>
                <w:color w:val="000000" w:themeColor="text1"/>
                <w:kern w:val="0"/>
                <w:sz w:val="24"/>
                <w14:textFill>
                  <w14:solidFill>
                    <w14:schemeClr w14:val="tx1"/>
                  </w14:solidFill>
                </w14:textFill>
              </w:rPr>
            </w:pPr>
          </w:p>
        </w:tc>
      </w:tr>
    </w:tbl>
    <w:p w14:paraId="66B40035">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2278E984">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A334E3">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14:paraId="7730AA53">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3.供应商不存在直接控股股东的，则在“</w:t>
      </w:r>
      <w:r>
        <w:rPr>
          <w:rFonts w:hint="eastAsia" w:ascii="宋体" w:hAnsi="宋体" w:cs="宋体"/>
          <w:b/>
          <w:bCs/>
          <w:color w:val="000000" w:themeColor="text1"/>
          <w:kern w:val="0"/>
          <w:sz w:val="24"/>
          <w14:textFill>
            <w14:solidFill>
              <w14:schemeClr w14:val="tx1"/>
            </w14:solidFill>
          </w14:textFill>
        </w:rPr>
        <w:t>直接控股股东名称</w:t>
      </w:r>
      <w:r>
        <w:rPr>
          <w:rFonts w:hint="eastAsia" w:ascii="宋体" w:hAnsi="宋体"/>
          <w:color w:val="000000" w:themeColor="text1"/>
          <w:sz w:val="24"/>
          <w14:textFill>
            <w14:solidFill>
              <w14:schemeClr w14:val="tx1"/>
            </w14:solidFill>
          </w14:textFill>
        </w:rPr>
        <w:t>”中填“无”。</w:t>
      </w:r>
    </w:p>
    <w:p w14:paraId="21032565">
      <w:pPr>
        <w:snapToGrid w:val="0"/>
        <w:spacing w:line="360" w:lineRule="auto"/>
        <w:jc w:val="left"/>
        <w:rPr>
          <w:rFonts w:ascii="宋体" w:hAnsi="宋体"/>
          <w:color w:val="000000" w:themeColor="text1"/>
          <w:sz w:val="24"/>
          <w14:textFill>
            <w14:solidFill>
              <w14:schemeClr w14:val="tx1"/>
            </w14:solidFill>
          </w14:textFill>
        </w:rPr>
      </w:pPr>
    </w:p>
    <w:p w14:paraId="10BE5542">
      <w:pPr>
        <w:snapToGrid w:val="0"/>
        <w:spacing w:line="360" w:lineRule="auto"/>
        <w:jc w:val="left"/>
        <w:rPr>
          <w:rFonts w:ascii="宋体" w:hAnsi="宋体"/>
          <w:color w:val="000000" w:themeColor="text1"/>
          <w:sz w:val="24"/>
          <w14:textFill>
            <w14:solidFill>
              <w14:schemeClr w14:val="tx1"/>
            </w14:solidFill>
          </w14:textFill>
        </w:rPr>
      </w:pPr>
    </w:p>
    <w:p w14:paraId="70D975FA">
      <w:pPr>
        <w:snapToGrid w:val="0"/>
        <w:spacing w:line="360" w:lineRule="auto"/>
        <w:jc w:val="left"/>
        <w:rPr>
          <w:rFonts w:ascii="宋体" w:hAnsi="宋体"/>
          <w:color w:val="000000" w:themeColor="text1"/>
          <w:sz w:val="24"/>
          <w14:textFill>
            <w14:solidFill>
              <w14:schemeClr w14:val="tx1"/>
            </w14:solidFill>
          </w14:textFill>
        </w:rPr>
      </w:pPr>
    </w:p>
    <w:p w14:paraId="618FF014">
      <w:pPr>
        <w:snapToGrid w:val="0"/>
        <w:spacing w:line="360" w:lineRule="auto"/>
        <w:ind w:left="-2" w:leftChars="-1" w:right="-817" w:rightChars="-38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法定代表人或者委托代理人（签字或者电子签名）：</w:t>
      </w:r>
    </w:p>
    <w:p w14:paraId="69FA1DA2">
      <w:pPr>
        <w:snapToGrid w:val="0"/>
        <w:spacing w:line="360" w:lineRule="auto"/>
        <w:ind w:left="-3" w:leftChars="-15" w:right="-817" w:rightChars="-389" w:hanging="28" w:hangingChars="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供应商名称（电子签章）：</w:t>
      </w:r>
    </w:p>
    <w:p w14:paraId="3B4FBF0C">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14:paraId="7D60F81C">
      <w:pPr>
        <w:snapToGrid w:val="0"/>
        <w:jc w:val="center"/>
        <w:rPr>
          <w:rFonts w:ascii="宋体" w:hAnsi="宋体"/>
          <w:b/>
          <w:color w:val="000000" w:themeColor="text1"/>
          <w:sz w:val="28"/>
          <w:szCs w:val="28"/>
          <w14:textFill>
            <w14:solidFill>
              <w14:schemeClr w14:val="tx1"/>
            </w14:solidFill>
          </w14:textFill>
        </w:rPr>
      </w:pPr>
    </w:p>
    <w:p w14:paraId="0C1B58B0">
      <w:pPr>
        <w:snapToGrid w:val="0"/>
        <w:spacing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4.</w:t>
      </w:r>
      <w:r>
        <w:rPr>
          <w:rFonts w:hint="eastAsia" w:ascii="宋体" w:hAnsi="宋体"/>
          <w:b/>
          <w:color w:val="000000" w:themeColor="text1"/>
          <w:sz w:val="28"/>
          <w:szCs w:val="28"/>
          <w14:textFill>
            <w14:solidFill>
              <w14:schemeClr w14:val="tx1"/>
            </w14:solidFill>
          </w14:textFill>
        </w:rPr>
        <w:t>供应商直接管理关系信息表</w:t>
      </w:r>
    </w:p>
    <w:p w14:paraId="10261E00">
      <w:pPr>
        <w:snapToGrid w:val="0"/>
        <w:spacing w:line="360" w:lineRule="auto"/>
        <w:jc w:val="center"/>
        <w:rPr>
          <w:rFonts w:ascii="宋体" w:hAns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tbl>
      <w:tblPr>
        <w:tblStyle w:val="22"/>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10132F03">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59931C">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6D59FD">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21F6F4">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0BE9C0">
            <w:pPr>
              <w:spacing w:line="360" w:lineRule="auto"/>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682813BE">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FF4BC6">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0AC1EC">
            <w:pPr>
              <w:spacing w:line="360" w:lineRule="auto"/>
              <w:jc w:val="center"/>
              <w:rPr>
                <w:rFonts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E5028">
            <w:pPr>
              <w:spacing w:line="360" w:lineRule="auto"/>
              <w:jc w:val="center"/>
              <w:rPr>
                <w:rFonts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5C4B5">
            <w:pPr>
              <w:spacing w:line="360" w:lineRule="auto"/>
              <w:jc w:val="center"/>
              <w:rPr>
                <w:rFonts w:ascii="宋体" w:hAnsi="宋体" w:cs="宋体"/>
                <w:color w:val="000000" w:themeColor="text1"/>
                <w:kern w:val="0"/>
                <w:sz w:val="24"/>
                <w14:textFill>
                  <w14:solidFill>
                    <w14:schemeClr w14:val="tx1"/>
                  </w14:solidFill>
                </w14:textFill>
              </w:rPr>
            </w:pPr>
          </w:p>
        </w:tc>
      </w:tr>
      <w:tr w14:paraId="4F89A000">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A3E82">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CDCF1">
            <w:pPr>
              <w:spacing w:line="360" w:lineRule="auto"/>
              <w:jc w:val="center"/>
              <w:rPr>
                <w:rFonts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4C99E">
            <w:pPr>
              <w:spacing w:line="360" w:lineRule="auto"/>
              <w:jc w:val="center"/>
              <w:rPr>
                <w:rFonts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7717D">
            <w:pPr>
              <w:spacing w:line="360" w:lineRule="auto"/>
              <w:jc w:val="center"/>
              <w:rPr>
                <w:rFonts w:ascii="宋体" w:hAnsi="宋体" w:cs="宋体"/>
                <w:color w:val="000000" w:themeColor="text1"/>
                <w:kern w:val="0"/>
                <w:sz w:val="24"/>
                <w14:textFill>
                  <w14:solidFill>
                    <w14:schemeClr w14:val="tx1"/>
                  </w14:solidFill>
                </w14:textFill>
              </w:rPr>
            </w:pPr>
          </w:p>
        </w:tc>
      </w:tr>
      <w:tr w14:paraId="0CB8BCF5">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CC06CD">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DC867">
            <w:pPr>
              <w:spacing w:line="360" w:lineRule="auto"/>
              <w:jc w:val="center"/>
              <w:rPr>
                <w:rFonts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E00D8">
            <w:pPr>
              <w:spacing w:line="360" w:lineRule="auto"/>
              <w:jc w:val="center"/>
              <w:rPr>
                <w:rFonts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2327C0">
            <w:pPr>
              <w:spacing w:line="360" w:lineRule="auto"/>
              <w:jc w:val="center"/>
              <w:rPr>
                <w:rFonts w:ascii="宋体" w:hAnsi="宋体" w:cs="宋体"/>
                <w:color w:val="000000" w:themeColor="text1"/>
                <w:kern w:val="0"/>
                <w:sz w:val="24"/>
                <w14:textFill>
                  <w14:solidFill>
                    <w14:schemeClr w14:val="tx1"/>
                  </w14:solidFill>
                </w14:textFill>
              </w:rPr>
            </w:pPr>
          </w:p>
        </w:tc>
      </w:tr>
      <w:tr w14:paraId="6A2A9591">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35AC11">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6D054">
            <w:pPr>
              <w:spacing w:line="360" w:lineRule="auto"/>
              <w:jc w:val="center"/>
              <w:rPr>
                <w:rFonts w:ascii="宋体" w:hAnsi="宋体" w:cs="宋体"/>
                <w:color w:val="000000" w:themeColor="text1"/>
                <w:kern w:val="0"/>
                <w:sz w:val="24"/>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323A6">
            <w:pPr>
              <w:spacing w:line="360" w:lineRule="auto"/>
              <w:jc w:val="center"/>
              <w:rPr>
                <w:rFonts w:ascii="宋体" w:hAnsi="宋体" w:cs="宋体"/>
                <w:color w:val="000000" w:themeColor="text1"/>
                <w:kern w:val="0"/>
                <w:sz w:val="24"/>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B57F7">
            <w:pPr>
              <w:spacing w:line="360" w:lineRule="auto"/>
              <w:jc w:val="center"/>
              <w:rPr>
                <w:rFonts w:ascii="宋体" w:hAnsi="宋体" w:cs="宋体"/>
                <w:color w:val="000000" w:themeColor="text1"/>
                <w:kern w:val="0"/>
                <w:sz w:val="24"/>
                <w14:textFill>
                  <w14:solidFill>
                    <w14:schemeClr w14:val="tx1"/>
                  </w14:solidFill>
                </w14:textFill>
              </w:rPr>
            </w:pPr>
          </w:p>
        </w:tc>
      </w:tr>
    </w:tbl>
    <w:p w14:paraId="7EB8B8CF">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F96D4F0">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14:paraId="2873B8DB">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7A876FD7">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3.供应商不存在直接管理关系的，则在“</w:t>
      </w:r>
      <w:r>
        <w:rPr>
          <w:rFonts w:hint="eastAsia" w:ascii="宋体" w:hAnsi="宋体" w:cs="宋体"/>
          <w:b/>
          <w:bCs/>
          <w:color w:val="000000" w:themeColor="text1"/>
          <w:kern w:val="0"/>
          <w:sz w:val="24"/>
          <w14:textFill>
            <w14:solidFill>
              <w14:schemeClr w14:val="tx1"/>
            </w14:solidFill>
          </w14:textFill>
        </w:rPr>
        <w:t>直接管理关系单位名称</w:t>
      </w:r>
      <w:r>
        <w:rPr>
          <w:rFonts w:hint="eastAsia" w:ascii="宋体" w:hAnsi="宋体"/>
          <w:color w:val="000000" w:themeColor="text1"/>
          <w:sz w:val="24"/>
          <w14:textFill>
            <w14:solidFill>
              <w14:schemeClr w14:val="tx1"/>
            </w14:solidFill>
          </w14:textFill>
        </w:rPr>
        <w:t>”中填“无”。</w:t>
      </w:r>
    </w:p>
    <w:p w14:paraId="38DA737B">
      <w:pPr>
        <w:snapToGrid w:val="0"/>
        <w:spacing w:line="360" w:lineRule="auto"/>
        <w:jc w:val="left"/>
        <w:rPr>
          <w:rFonts w:ascii="宋体" w:hAnsi="宋体"/>
          <w:color w:val="000000" w:themeColor="text1"/>
          <w:sz w:val="24"/>
          <w14:textFill>
            <w14:solidFill>
              <w14:schemeClr w14:val="tx1"/>
            </w14:solidFill>
          </w14:textFill>
        </w:rPr>
      </w:pPr>
    </w:p>
    <w:p w14:paraId="2F8D1093">
      <w:pPr>
        <w:snapToGrid w:val="0"/>
        <w:spacing w:line="360" w:lineRule="auto"/>
        <w:jc w:val="left"/>
        <w:rPr>
          <w:rFonts w:ascii="宋体" w:hAnsi="宋体"/>
          <w:color w:val="000000" w:themeColor="text1"/>
          <w:sz w:val="24"/>
          <w14:textFill>
            <w14:solidFill>
              <w14:schemeClr w14:val="tx1"/>
            </w14:solidFill>
          </w14:textFill>
        </w:rPr>
      </w:pPr>
    </w:p>
    <w:p w14:paraId="51C1978A">
      <w:pPr>
        <w:snapToGrid w:val="0"/>
        <w:spacing w:line="360" w:lineRule="auto"/>
        <w:jc w:val="left"/>
        <w:rPr>
          <w:rFonts w:ascii="宋体" w:hAnsi="宋体"/>
          <w:color w:val="000000" w:themeColor="text1"/>
          <w:sz w:val="24"/>
          <w14:textFill>
            <w14:solidFill>
              <w14:schemeClr w14:val="tx1"/>
            </w14:solidFill>
          </w14:textFill>
        </w:rPr>
      </w:pPr>
    </w:p>
    <w:p w14:paraId="0ADF758F">
      <w:pPr>
        <w:snapToGrid w:val="0"/>
        <w:spacing w:line="360" w:lineRule="auto"/>
        <w:jc w:val="left"/>
        <w:rPr>
          <w:color w:val="000000" w:themeColor="text1"/>
          <w:sz w:val="24"/>
          <w14:textFill>
            <w14:solidFill>
              <w14:schemeClr w14:val="tx1"/>
            </w14:solidFill>
          </w14:textFill>
        </w:rPr>
      </w:pPr>
    </w:p>
    <w:p w14:paraId="39AD9C0F">
      <w:pPr>
        <w:snapToGrid w:val="0"/>
        <w:spacing w:line="360" w:lineRule="auto"/>
        <w:ind w:left="-2" w:leftChars="-1" w:right="-817" w:rightChars="-38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法定代表人或者委托代理人（签字或者电子签名）：</w:t>
      </w:r>
    </w:p>
    <w:p w14:paraId="5448AC43">
      <w:pPr>
        <w:snapToGrid w:val="0"/>
        <w:spacing w:line="360" w:lineRule="auto"/>
        <w:ind w:left="-3" w:leftChars="-15" w:right="-817" w:rightChars="-389" w:hanging="28" w:hangingChars="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供应商名称（电子签章）：</w:t>
      </w:r>
    </w:p>
    <w:p w14:paraId="030564C1">
      <w:pPr>
        <w:snapToGrid w:val="0"/>
        <w:spacing w:line="360" w:lineRule="auto"/>
        <w:ind w:right="480" w:firstLine="24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14:paraId="00F6EE80">
      <w:pPr>
        <w:snapToGrid w:val="0"/>
        <w:spacing w:before="120" w:beforeLines="50" w:after="50"/>
        <w:jc w:val="left"/>
        <w:rPr>
          <w:rFonts w:ascii="宋体" w:hAnsi="宋体"/>
          <w:color w:val="000000" w:themeColor="text1"/>
          <w:sz w:val="24"/>
          <w14:textFill>
            <w14:solidFill>
              <w14:schemeClr w14:val="tx1"/>
            </w14:solidFill>
          </w14:textFill>
        </w:rPr>
      </w:pPr>
    </w:p>
    <w:p w14:paraId="1C284254">
      <w:pPr>
        <w:snapToGrid w:val="0"/>
        <w:spacing w:before="50" w:after="120" w:afterLines="50"/>
        <w:jc w:val="left"/>
        <w:rPr>
          <w:rFonts w:ascii="宋体" w:hAnsi="宋体"/>
          <w:color w:val="000000" w:themeColor="text1"/>
          <w:szCs w:val="21"/>
          <w14:textFill>
            <w14:solidFill>
              <w14:schemeClr w14:val="tx1"/>
            </w14:solidFill>
          </w14:textFill>
        </w:rPr>
      </w:pPr>
    </w:p>
    <w:p w14:paraId="4F853FDD">
      <w:pPr>
        <w:snapToGrid w:val="0"/>
        <w:spacing w:before="120" w:beforeLines="50" w:after="50"/>
        <w:jc w:val="left"/>
        <w:rPr>
          <w:rFonts w:ascii="宋体" w:hAnsi="宋体"/>
          <w:b/>
          <w:color w:val="000000" w:themeColor="text1"/>
          <w:sz w:val="24"/>
          <w:szCs w:val="20"/>
          <w14:textFill>
            <w14:solidFill>
              <w14:schemeClr w14:val="tx1"/>
            </w14:solidFill>
          </w14:textFill>
        </w:rPr>
      </w:pPr>
    </w:p>
    <w:p w14:paraId="45EFE68D">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1F6C888A">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21BEDD64">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32401534">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5F7A377E">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6EAFC12D">
      <w:pPr>
        <w:snapToGrid w:val="0"/>
        <w:spacing w:before="120" w:beforeLines="50" w:after="50"/>
        <w:ind w:left="142"/>
        <w:jc w:val="left"/>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14:textFill>
            <w14:solidFill>
              <w14:schemeClr w14:val="tx1"/>
            </w14:solidFill>
          </w14:textFill>
        </w:rPr>
        <w:t>5.竞标声明</w:t>
      </w:r>
    </w:p>
    <w:p w14:paraId="6792C478">
      <w:pPr>
        <w:spacing w:line="320" w:lineRule="exact"/>
        <w:jc w:val="center"/>
        <w:rPr>
          <w:rFonts w:ascii="宋体" w:hAnsi="宋体"/>
          <w:color w:val="000000" w:themeColor="text1"/>
          <w:sz w:val="28"/>
          <w:szCs w:val="28"/>
          <w14:textFill>
            <w14:solidFill>
              <w14:schemeClr w14:val="tx1"/>
            </w14:solidFill>
          </w14:textFill>
        </w:rPr>
      </w:pPr>
    </w:p>
    <w:p w14:paraId="048829CE">
      <w:pPr>
        <w:spacing w:line="32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竞标声明</w:t>
      </w:r>
    </w:p>
    <w:p w14:paraId="76B88120">
      <w:pPr>
        <w:spacing w:line="320" w:lineRule="exact"/>
        <w:jc w:val="center"/>
        <w:rPr>
          <w:rFonts w:ascii="宋体" w:hAnsi="宋体"/>
          <w:color w:val="000000" w:themeColor="text1"/>
          <w:sz w:val="24"/>
          <w:szCs w:val="20"/>
          <w14:textFill>
            <w14:solidFill>
              <w14:schemeClr w14:val="tx1"/>
            </w14:solidFill>
          </w14:textFill>
        </w:rPr>
      </w:pPr>
    </w:p>
    <w:p w14:paraId="1F3E98CC">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3F787A70">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BFDFA9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项目的竞标，为便于贵方公正、择优地确定成交供应商及其竞标产品和服务，我方就本次竞标有关事项郑重声明如下：</w:t>
      </w:r>
    </w:p>
    <w:p w14:paraId="2983863E">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1.我方向贵方提交的所有响应文件、资料都是准确的和真实的。</w:t>
      </w:r>
    </w:p>
    <w:p w14:paraId="35C1B704">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6396DAA9">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3.在此，我方宣布同意如下：</w:t>
      </w:r>
    </w:p>
    <w:p w14:paraId="2D4F66CE">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（1）将按磋商文件的约定履行合同责任和义务；</w:t>
      </w:r>
    </w:p>
    <w:p w14:paraId="5A27A568">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（2）已详细审查全部磋商文件，包括澄清或者更正公告（如有）；</w:t>
      </w:r>
    </w:p>
    <w:p w14:paraId="3E0165F1">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（3）同意提供按照贵方可能要求的与磋商有关的一切数据或者资料；</w:t>
      </w:r>
    </w:p>
    <w:p w14:paraId="56B09C40">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（4）响应磋商文件规定的竞标有效期。</w:t>
      </w:r>
    </w:p>
    <w:p w14:paraId="50672AF3">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4.我方承诺符合《中华人民共和国政府采购法》第二十二条规定：</w:t>
      </w:r>
    </w:p>
    <w:p w14:paraId="20E7951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6F4FE4B4">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6705BA8F">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61D2F2D0">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74BA00D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1EBFD5F6">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（6）法律、行政法规规定的其他条件。</w:t>
      </w:r>
    </w:p>
    <w:p w14:paraId="407FF058">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343FBB">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7DA1A7">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40AF70C4">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2585D4AA">
      <w:pPr>
        <w:pStyle w:val="13"/>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7.与本磋商有关的一切正式往来信函请寄：邮政编号：</w:t>
      </w:r>
    </w:p>
    <w:p w14:paraId="1A3C3FD9">
      <w:pPr>
        <w:pStyle w:val="13"/>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电话/传真： 电子邮箱：</w:t>
      </w:r>
    </w:p>
    <w:p w14:paraId="146A2341">
      <w:pPr>
        <w:pStyle w:val="12"/>
        <w:tabs>
          <w:tab w:val="left" w:pos="939"/>
        </w:tabs>
        <w:spacing w:line="360" w:lineRule="auto"/>
        <w:ind w:left="141" w:leftChars="67"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  账号：</w:t>
      </w:r>
    </w:p>
    <w:p w14:paraId="46D729AA">
      <w:pPr>
        <w:pStyle w:val="12"/>
        <w:tabs>
          <w:tab w:val="left" w:pos="939"/>
        </w:tabs>
        <w:spacing w:line="360" w:lineRule="auto"/>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8.以上事项如有虚假或者隐瞒，我方愿意承担一切后果，并不再寻求任何旨在减轻或者免除法律责任的辩解。</w:t>
      </w:r>
    </w:p>
    <w:p w14:paraId="47662950">
      <w:pPr>
        <w:pStyle w:val="12"/>
        <w:tabs>
          <w:tab w:val="left" w:pos="939"/>
        </w:tabs>
        <w:spacing w:line="360" w:lineRule="auto"/>
        <w:ind w:left="141" w:leftChars="67"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354BB1A3">
      <w:pPr>
        <w:spacing w:line="360" w:lineRule="auto"/>
        <w:contextualSpacing/>
        <w:jc w:val="lef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33EA904F">
      <w:pPr>
        <w:spacing w:line="360" w:lineRule="auto"/>
        <w:contextualSpacing/>
        <w:jc w:val="left"/>
        <w:rPr>
          <w:rFonts w:ascii="宋体" w:hAnsi="宋体" w:cs="宋体"/>
          <w:color w:val="000000" w:themeColor="text1"/>
          <w:szCs w:val="21"/>
          <w14:textFill>
            <w14:solidFill>
              <w14:schemeClr w14:val="tx1"/>
            </w14:solidFill>
          </w14:textFill>
        </w:rPr>
      </w:pPr>
    </w:p>
    <w:p w14:paraId="48AEF539">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法定代表人或者委托代理人（签字或者电子签名）：</w:t>
      </w:r>
    </w:p>
    <w:p w14:paraId="7B027354">
      <w:pPr>
        <w:spacing w:line="360" w:lineRule="auto"/>
        <w:ind w:firstLine="3780" w:firstLineChars="1800"/>
        <w:contextualSpacing/>
        <w:rPr>
          <w:rFonts w:ascii="宋体" w:hAns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供应商名称（电子签章）：</w:t>
      </w:r>
    </w:p>
    <w:p w14:paraId="280F65BD">
      <w:pPr>
        <w:pStyle w:val="12"/>
        <w:tabs>
          <w:tab w:val="left" w:pos="939"/>
        </w:tabs>
        <w:spacing w:line="360" w:lineRule="auto"/>
        <w:ind w:left="0" w:leftChars="0" w:firstLine="420" w:firstLineChars="2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年    月    日</w:t>
      </w:r>
    </w:p>
    <w:p w14:paraId="71BEBFD3">
      <w:pPr>
        <w:pStyle w:val="5"/>
        <w:overflowPunct w:val="0"/>
        <w:spacing w:line="520" w:lineRule="exact"/>
        <w:ind w:firstLine="0"/>
        <w:rPr>
          <w:rFonts w:ascii="宋体" w:hAnsi="宋体"/>
          <w:b/>
          <w:bCs/>
          <w:color w:val="000000" w:themeColor="text1"/>
          <w:sz w:val="32"/>
          <w:szCs w:val="32"/>
          <w14:textFill>
            <w14:solidFill>
              <w14:schemeClr w14:val="tx1"/>
            </w14:solidFill>
          </w14:textFill>
        </w:rPr>
      </w:pPr>
    </w:p>
    <w:p w14:paraId="3DD1FC63">
      <w:pPr>
        <w:spacing w:line="360" w:lineRule="auto"/>
        <w:ind w:right="420"/>
        <w:contextualSpacing/>
        <w:jc w:val="left"/>
        <w:rPr>
          <w:rFonts w:ascii="宋体" w:hAnsi="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 xml:space="preserve">报价文件格式 </w:t>
      </w:r>
    </w:p>
    <w:p w14:paraId="3BCC29D2">
      <w:pPr>
        <w:snapToGrid w:val="0"/>
        <w:spacing w:before="120" w:beforeLines="50" w:after="50"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1.报价文件封面格式</w:t>
      </w:r>
    </w:p>
    <w:p w14:paraId="226D3E8C">
      <w:pPr>
        <w:snapToGrid w:val="0"/>
        <w:spacing w:before="120" w:beforeLines="50" w:after="50"/>
        <w:rPr>
          <w:rFonts w:ascii="宋体" w:hAnsi="宋体"/>
          <w:bCs/>
          <w:color w:val="000000" w:themeColor="text1"/>
          <w:sz w:val="32"/>
          <w:szCs w:val="20"/>
          <w14:textFill>
            <w14:solidFill>
              <w14:schemeClr w14:val="tx1"/>
            </w14:solidFill>
          </w14:textFill>
        </w:rPr>
      </w:pPr>
    </w:p>
    <w:p w14:paraId="540551DB">
      <w:pPr>
        <w:snapToGrid w:val="0"/>
        <w:spacing w:before="120" w:beforeLines="50" w:after="50"/>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6B2225F5">
      <w:pPr>
        <w:snapToGrid w:val="0"/>
        <w:spacing w:before="120" w:beforeLines="50" w:after="50"/>
        <w:rPr>
          <w:rFonts w:ascii="宋体" w:hAnsi="宋体"/>
          <w:color w:val="000000" w:themeColor="text1"/>
          <w:sz w:val="24"/>
          <w:szCs w:val="20"/>
          <w14:textFill>
            <w14:solidFill>
              <w14:schemeClr w14:val="tx1"/>
            </w14:solidFill>
          </w14:textFill>
        </w:rPr>
      </w:pPr>
    </w:p>
    <w:p w14:paraId="18171B52">
      <w:pPr>
        <w:snapToGrid w:val="0"/>
        <w:spacing w:before="120" w:beforeLines="50" w:after="50"/>
        <w:rPr>
          <w:rFonts w:ascii="宋体" w:hAnsi="宋体"/>
          <w:color w:val="000000" w:themeColor="text1"/>
          <w:sz w:val="24"/>
          <w:szCs w:val="20"/>
          <w14:textFill>
            <w14:solidFill>
              <w14:schemeClr w14:val="tx1"/>
            </w14:solidFill>
          </w14:textFill>
        </w:rPr>
      </w:pPr>
    </w:p>
    <w:p w14:paraId="497FE13F">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  价  文  件</w:t>
      </w:r>
    </w:p>
    <w:p w14:paraId="49F0FA2A">
      <w:pPr>
        <w:snapToGrid w:val="0"/>
        <w:spacing w:before="120" w:beforeLines="50" w:after="50"/>
        <w:rPr>
          <w:rFonts w:ascii="宋体" w:hAnsi="宋体"/>
          <w:bCs/>
          <w:color w:val="000000" w:themeColor="text1"/>
          <w:sz w:val="24"/>
          <w:szCs w:val="20"/>
          <w14:textFill>
            <w14:solidFill>
              <w14:schemeClr w14:val="tx1"/>
            </w14:solidFill>
          </w14:textFill>
        </w:rPr>
      </w:pPr>
    </w:p>
    <w:p w14:paraId="3CB9F3A7">
      <w:pPr>
        <w:snapToGrid w:val="0"/>
        <w:spacing w:before="120" w:beforeLines="50" w:after="50"/>
        <w:rPr>
          <w:rFonts w:ascii="宋体" w:hAnsi="宋体"/>
          <w:bCs/>
          <w:color w:val="000000" w:themeColor="text1"/>
          <w:sz w:val="24"/>
          <w:szCs w:val="20"/>
          <w14:textFill>
            <w14:solidFill>
              <w14:schemeClr w14:val="tx1"/>
            </w14:solidFill>
          </w14:textFill>
        </w:rPr>
      </w:pPr>
    </w:p>
    <w:p w14:paraId="44C511B4">
      <w:pPr>
        <w:snapToGrid w:val="0"/>
        <w:spacing w:before="120" w:beforeLines="50" w:after="50"/>
        <w:rPr>
          <w:rFonts w:ascii="宋体" w:hAnsi="宋体"/>
          <w:bCs/>
          <w:color w:val="000000" w:themeColor="text1"/>
          <w:sz w:val="24"/>
          <w:szCs w:val="20"/>
          <w14:textFill>
            <w14:solidFill>
              <w14:schemeClr w14:val="tx1"/>
            </w14:solidFill>
          </w14:textFill>
        </w:rPr>
      </w:pPr>
    </w:p>
    <w:p w14:paraId="5744FD88">
      <w:pPr>
        <w:snapToGrid w:val="0"/>
        <w:spacing w:before="120" w:beforeLines="50" w:after="50"/>
        <w:rPr>
          <w:rFonts w:ascii="宋体" w:hAnsi="宋体"/>
          <w:bCs/>
          <w:color w:val="000000" w:themeColor="text1"/>
          <w:sz w:val="24"/>
          <w:szCs w:val="20"/>
          <w14:textFill>
            <w14:solidFill>
              <w14:schemeClr w14:val="tx1"/>
            </w14:solidFill>
          </w14:textFill>
        </w:rPr>
      </w:pPr>
    </w:p>
    <w:p w14:paraId="0CBF2DC4">
      <w:pPr>
        <w:snapToGrid w:val="0"/>
        <w:spacing w:before="120" w:beforeLines="50" w:after="50"/>
        <w:rPr>
          <w:rFonts w:ascii="宋体" w:hAnsi="宋体"/>
          <w:bCs/>
          <w:color w:val="000000" w:themeColor="text1"/>
          <w:sz w:val="24"/>
          <w:szCs w:val="20"/>
          <w14:textFill>
            <w14:solidFill>
              <w14:schemeClr w14:val="tx1"/>
            </w14:solidFill>
          </w14:textFill>
        </w:rPr>
      </w:pPr>
    </w:p>
    <w:p w14:paraId="1D4B6623">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09A0D73">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6102F295">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9211712">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157ED852">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E3D7FE8">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5860B102">
      <w:pPr>
        <w:pStyle w:val="5"/>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10738FBE">
      <w:pPr>
        <w:pStyle w:val="5"/>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p>
    <w:p w14:paraId="3C5E22B9">
      <w:pPr>
        <w:pStyle w:val="5"/>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0266DD9D">
      <w:pPr>
        <w:pStyle w:val="5"/>
        <w:snapToGrid w:val="0"/>
        <w:spacing w:before="50" w:after="50"/>
        <w:ind w:firstLine="0"/>
        <w:rPr>
          <w:rFonts w:ascii="宋体" w:hAnsi="宋体" w:cs="仿宋_GB2312"/>
          <w:bCs/>
          <w:color w:val="000000" w:themeColor="text1"/>
          <w:sz w:val="32"/>
          <w:szCs w:val="32"/>
          <w14:textFill>
            <w14:solidFill>
              <w14:schemeClr w14:val="tx1"/>
            </w14:solidFill>
          </w14:textFill>
        </w:rPr>
      </w:pPr>
    </w:p>
    <w:p w14:paraId="3F5091AC">
      <w:pPr>
        <w:pStyle w:val="5"/>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10F151D3">
      <w:pPr>
        <w:snapToGrid w:val="0"/>
        <w:spacing w:before="120"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14DCCA12">
      <w:pPr>
        <w:snapToGrid w:val="0"/>
        <w:spacing w:before="120" w:beforeLines="50" w:after="50" w:line="360" w:lineRule="auto"/>
        <w:ind w:left="142"/>
        <w:jc w:val="left"/>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2.报价文件目录</w:t>
      </w:r>
    </w:p>
    <w:p w14:paraId="7540D3C7">
      <w:pPr>
        <w:spacing w:line="52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hAnsi="宋体"/>
          <w:b/>
          <w:bCs/>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竞  标  报  价  表</w:t>
      </w:r>
    </w:p>
    <w:p w14:paraId="53095ED2">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29877CED">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4DD05362">
      <w:pPr>
        <w:spacing w:line="360" w:lineRule="auto"/>
        <w:contextualSpacing/>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4C1BB4C9">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5DF36938">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单位：元</w:t>
      </w:r>
    </w:p>
    <w:tbl>
      <w:tblPr>
        <w:tblStyle w:val="22"/>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016E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5E188041">
            <w:pPr>
              <w:spacing w:line="360" w:lineRule="auto"/>
              <w:contextualSpacing/>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CFD2191">
            <w:pPr>
              <w:spacing w:line="360" w:lineRule="auto"/>
              <w:contextualSpacing/>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45FD9D5A">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2D8A7245">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334E7C1C">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4FC1D1B">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6F573F8">
            <w:pPr>
              <w:spacing w:line="360" w:lineRule="auto"/>
              <w:contextualSpacing/>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备注</w:t>
            </w:r>
          </w:p>
        </w:tc>
      </w:tr>
      <w:tr w14:paraId="6AC6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vAlign w:val="center"/>
          </w:tcPr>
          <w:p w14:paraId="109A5973">
            <w:pPr>
              <w:spacing w:line="360" w:lineRule="auto"/>
              <w:contextualSpacing/>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0C66533E">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4C9434EC">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6CBF1730">
            <w:pPr>
              <w:spacing w:line="360" w:lineRule="auto"/>
              <w:contextualSpacing/>
              <w:rPr>
                <w:rFonts w:ascii="宋体" w:hAnsi="宋体" w:cs="仿宋_GB2312"/>
                <w:color w:val="000000" w:themeColor="text1"/>
                <w:sz w:val="24"/>
                <w14:textFill>
                  <w14:solidFill>
                    <w14:schemeClr w14:val="tx1"/>
                  </w14:solidFill>
                </w14:textFill>
              </w:rPr>
            </w:pPr>
          </w:p>
        </w:tc>
        <w:tc>
          <w:tcPr>
            <w:tcW w:w="2194" w:type="dxa"/>
            <w:tcBorders>
              <w:top w:val="single" w:color="auto" w:sz="4" w:space="0"/>
              <w:left w:val="single" w:color="auto" w:sz="4" w:space="0"/>
              <w:bottom w:val="single" w:color="auto" w:sz="4" w:space="0"/>
              <w:right w:val="single" w:color="auto" w:sz="4" w:space="0"/>
            </w:tcBorders>
          </w:tcPr>
          <w:p w14:paraId="79E97FAD">
            <w:pPr>
              <w:spacing w:line="360" w:lineRule="auto"/>
              <w:contextualSpacing/>
              <w:rPr>
                <w:rFonts w:ascii="宋体" w:hAnsi="宋体" w:cs="仿宋_GB2312"/>
                <w:color w:val="000000" w:themeColor="text1"/>
                <w:sz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0DD3F7C7">
            <w:pPr>
              <w:spacing w:line="360" w:lineRule="auto"/>
              <w:contextualSpacing/>
              <w:rPr>
                <w:rFonts w:ascii="宋体" w:hAnsi="宋体" w:cs="仿宋_GB2312"/>
                <w:color w:val="000000" w:themeColor="text1"/>
                <w:sz w:val="24"/>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17D53E60">
            <w:pPr>
              <w:spacing w:line="360" w:lineRule="auto"/>
              <w:contextualSpacing/>
              <w:rPr>
                <w:rFonts w:ascii="宋体" w:hAnsi="宋体" w:cs="仿宋_GB2312"/>
                <w:color w:val="000000" w:themeColor="text1"/>
                <w:sz w:val="24"/>
                <w14:textFill>
                  <w14:solidFill>
                    <w14:schemeClr w14:val="tx1"/>
                  </w14:solidFill>
                </w14:textFill>
              </w:rPr>
            </w:pPr>
          </w:p>
        </w:tc>
      </w:tr>
      <w:tr w14:paraId="1CC6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center"/>
        </w:trPr>
        <w:tc>
          <w:tcPr>
            <w:tcW w:w="9095" w:type="dxa"/>
            <w:gridSpan w:val="7"/>
            <w:tcBorders>
              <w:top w:val="single" w:color="auto" w:sz="4" w:space="0"/>
              <w:left w:val="single" w:color="auto" w:sz="4" w:space="0"/>
              <w:bottom w:val="single" w:color="auto" w:sz="4" w:space="0"/>
              <w:right w:val="single" w:color="auto" w:sz="4" w:space="0"/>
            </w:tcBorders>
            <w:vAlign w:val="center"/>
          </w:tcPr>
          <w:p w14:paraId="60439C0C">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合计金额大写：人民币（¥）</w:t>
            </w:r>
          </w:p>
        </w:tc>
      </w:tr>
    </w:tbl>
    <w:p w14:paraId="01856699">
      <w:pPr>
        <w:spacing w:line="360" w:lineRule="auto"/>
        <w:contextualSpacing/>
        <w:jc w:val="left"/>
        <w:rPr>
          <w:rFonts w:ascii="宋体" w:hAnsi="宋体" w:cs="仿宋_GB2312"/>
          <w:color w:val="000000" w:themeColor="text1"/>
          <w:sz w:val="24"/>
          <w14:textFill>
            <w14:solidFill>
              <w14:schemeClr w14:val="tx1"/>
            </w14:solidFill>
          </w14:textFill>
        </w:rPr>
      </w:pPr>
    </w:p>
    <w:p w14:paraId="75BDA444">
      <w:pPr>
        <w:spacing w:line="360" w:lineRule="auto"/>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注： </w:t>
      </w:r>
    </w:p>
    <w:p w14:paraId="0753B6C0">
      <w:pPr>
        <w:spacing w:line="360" w:lineRule="auto"/>
        <w:ind w:firstLine="480" w:firstLineChars="200"/>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31968DF0">
      <w:pPr>
        <w:spacing w:line="360" w:lineRule="auto"/>
        <w:ind w:firstLine="480" w:firstLineChars="200"/>
        <w:contextualSpacing/>
        <w:jc w:val="left"/>
        <w:rPr>
          <w:rFonts w:ascii="宋体" w:hAnsi="宋体" w:cs="仿宋_GB2312"/>
          <w:b/>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77CFEDC7">
      <w:pPr>
        <w:spacing w:line="360" w:lineRule="auto"/>
        <w:ind w:right="-817" w:rightChars="-389"/>
        <w:contextualSpacing/>
        <w:rPr>
          <w:rFonts w:ascii="宋体" w:hAnsi="宋体" w:cs="仿宋_GB2312"/>
          <w:color w:val="000000" w:themeColor="text1"/>
          <w:sz w:val="24"/>
          <w14:textFill>
            <w14:solidFill>
              <w14:schemeClr w14:val="tx1"/>
            </w14:solidFill>
          </w14:textFill>
        </w:rPr>
      </w:pPr>
    </w:p>
    <w:p w14:paraId="7EE1D0F8">
      <w:pPr>
        <w:spacing w:line="360" w:lineRule="auto"/>
        <w:ind w:right="-817" w:rightChars="-389" w:firstLine="2640" w:firstLineChars="1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法定代表人或者委托代理人（签字或者电子签名）：                    </w:t>
      </w:r>
    </w:p>
    <w:p w14:paraId="381AA6AA">
      <w:pPr>
        <w:spacing w:line="360" w:lineRule="auto"/>
        <w:ind w:right="-817" w:rightChars="-389" w:firstLine="2640" w:firstLineChars="1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供应商名称（电子签章）：      </w:t>
      </w:r>
    </w:p>
    <w:p w14:paraId="7178A93D">
      <w:pPr>
        <w:spacing w:line="360" w:lineRule="auto"/>
        <w:ind w:right="-817" w:rightChars="-389" w:firstLine="4080" w:firstLineChars="1700"/>
        <w:contextualSpacing/>
        <w:rPr>
          <w:rFonts w:ascii="宋体" w:hAnsi="宋体" w:cs="仿宋_GB2312"/>
          <w:b/>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3D016F10">
      <w:pPr>
        <w:spacing w:line="360" w:lineRule="auto"/>
        <w:ind w:right="420"/>
        <w:contextualSpacing/>
        <w:jc w:val="left"/>
        <w:rPr>
          <w:rFonts w:ascii="宋体" w:hAnsi="宋体"/>
          <w:b/>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 xml:space="preserve">商务技术文件格式 </w:t>
      </w:r>
    </w:p>
    <w:p w14:paraId="7B0E93D9">
      <w:pPr>
        <w:snapToGrid w:val="0"/>
        <w:spacing w:before="120" w:beforeLines="50" w:after="50" w:line="360" w:lineRule="auto"/>
        <w:jc w:val="lef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1.商务技术文件封面格式</w:t>
      </w:r>
    </w:p>
    <w:p w14:paraId="794AE044">
      <w:pPr>
        <w:snapToGrid w:val="0"/>
        <w:spacing w:before="120" w:beforeLines="50" w:after="50"/>
        <w:rPr>
          <w:rFonts w:ascii="宋体" w:hAnsi="宋体"/>
          <w:bCs/>
          <w:color w:val="000000" w:themeColor="text1"/>
          <w:sz w:val="32"/>
          <w:szCs w:val="20"/>
          <w14:textFill>
            <w14:solidFill>
              <w14:schemeClr w14:val="tx1"/>
            </w14:solidFill>
          </w14:textFill>
        </w:rPr>
      </w:pPr>
    </w:p>
    <w:p w14:paraId="488A9B65">
      <w:pPr>
        <w:snapToGrid w:val="0"/>
        <w:spacing w:before="120" w:beforeLines="50" w:after="50"/>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 子 响 应 文 件</w:t>
      </w:r>
    </w:p>
    <w:p w14:paraId="087853ED">
      <w:pPr>
        <w:snapToGrid w:val="0"/>
        <w:spacing w:before="120" w:beforeLines="50" w:after="50"/>
        <w:rPr>
          <w:rFonts w:ascii="宋体" w:hAnsi="宋体"/>
          <w:color w:val="000000" w:themeColor="text1"/>
          <w:sz w:val="24"/>
          <w:szCs w:val="20"/>
          <w14:textFill>
            <w14:solidFill>
              <w14:schemeClr w14:val="tx1"/>
            </w14:solidFill>
          </w14:textFill>
        </w:rPr>
      </w:pPr>
    </w:p>
    <w:p w14:paraId="0B386399">
      <w:pPr>
        <w:snapToGrid w:val="0"/>
        <w:spacing w:before="120" w:beforeLines="50" w:after="50"/>
        <w:rPr>
          <w:rFonts w:ascii="宋体" w:hAnsi="宋体"/>
          <w:color w:val="000000" w:themeColor="text1"/>
          <w:sz w:val="24"/>
          <w:szCs w:val="20"/>
          <w14:textFill>
            <w14:solidFill>
              <w14:schemeClr w14:val="tx1"/>
            </w14:solidFill>
          </w14:textFill>
        </w:rPr>
      </w:pPr>
    </w:p>
    <w:p w14:paraId="0D51966A">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  务  技  术  文  件</w:t>
      </w:r>
    </w:p>
    <w:p w14:paraId="0E040BF8">
      <w:pPr>
        <w:snapToGrid w:val="0"/>
        <w:spacing w:before="120" w:beforeLines="50" w:after="50"/>
        <w:rPr>
          <w:rFonts w:ascii="宋体" w:hAnsi="宋体"/>
          <w:bCs/>
          <w:color w:val="000000" w:themeColor="text1"/>
          <w:sz w:val="24"/>
          <w:szCs w:val="20"/>
          <w14:textFill>
            <w14:solidFill>
              <w14:schemeClr w14:val="tx1"/>
            </w14:solidFill>
          </w14:textFill>
        </w:rPr>
      </w:pPr>
    </w:p>
    <w:p w14:paraId="4C4BEA0E">
      <w:pPr>
        <w:snapToGrid w:val="0"/>
        <w:spacing w:before="120" w:beforeLines="50" w:after="50"/>
        <w:rPr>
          <w:rFonts w:ascii="宋体" w:hAnsi="宋体"/>
          <w:bCs/>
          <w:color w:val="000000" w:themeColor="text1"/>
          <w:sz w:val="24"/>
          <w:szCs w:val="20"/>
          <w14:textFill>
            <w14:solidFill>
              <w14:schemeClr w14:val="tx1"/>
            </w14:solidFill>
          </w14:textFill>
        </w:rPr>
      </w:pPr>
    </w:p>
    <w:p w14:paraId="175F076F">
      <w:pPr>
        <w:snapToGrid w:val="0"/>
        <w:spacing w:before="120" w:beforeLines="50" w:after="50"/>
        <w:rPr>
          <w:rFonts w:ascii="宋体" w:hAnsi="宋体"/>
          <w:bCs/>
          <w:color w:val="000000" w:themeColor="text1"/>
          <w:sz w:val="24"/>
          <w:szCs w:val="20"/>
          <w14:textFill>
            <w14:solidFill>
              <w14:schemeClr w14:val="tx1"/>
            </w14:solidFill>
          </w14:textFill>
        </w:rPr>
      </w:pPr>
    </w:p>
    <w:p w14:paraId="33ACF9D4">
      <w:pPr>
        <w:snapToGrid w:val="0"/>
        <w:spacing w:before="120" w:beforeLines="50" w:after="50"/>
        <w:rPr>
          <w:rFonts w:ascii="宋体" w:hAnsi="宋体"/>
          <w:bCs/>
          <w:color w:val="000000" w:themeColor="text1"/>
          <w:sz w:val="24"/>
          <w:szCs w:val="20"/>
          <w14:textFill>
            <w14:solidFill>
              <w14:schemeClr w14:val="tx1"/>
            </w14:solidFill>
          </w14:textFill>
        </w:rPr>
      </w:pPr>
    </w:p>
    <w:p w14:paraId="0DF8FEF4">
      <w:pPr>
        <w:snapToGrid w:val="0"/>
        <w:spacing w:before="120" w:beforeLines="50" w:after="50"/>
        <w:rPr>
          <w:rFonts w:ascii="宋体" w:hAnsi="宋体"/>
          <w:bCs/>
          <w:color w:val="000000" w:themeColor="text1"/>
          <w:sz w:val="24"/>
          <w:szCs w:val="20"/>
          <w14:textFill>
            <w14:solidFill>
              <w14:schemeClr w14:val="tx1"/>
            </w14:solidFill>
          </w14:textFill>
        </w:rPr>
      </w:pPr>
    </w:p>
    <w:p w14:paraId="24598E50">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1AB56B55">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3CE34E4E">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73FE98A">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69EF3FDA">
      <w:pPr>
        <w:snapToGrid w:val="0"/>
        <w:spacing w:before="120" w:beforeLines="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1A717D9E">
      <w:pPr>
        <w:snapToGrid w:val="0"/>
        <w:spacing w:before="120" w:beforeLines="50" w:after="50"/>
        <w:ind w:firstLine="720" w:firstLineChars="225"/>
        <w:rPr>
          <w:rFonts w:ascii="宋体" w:hAnsi="宋体" w:cs="仿宋_GB2312"/>
          <w:bCs/>
          <w:color w:val="000000" w:themeColor="text1"/>
          <w:sz w:val="32"/>
          <w:szCs w:val="32"/>
          <w14:textFill>
            <w14:solidFill>
              <w14:schemeClr w14:val="tx1"/>
            </w14:solidFill>
          </w14:textFill>
        </w:rPr>
      </w:pPr>
    </w:p>
    <w:p w14:paraId="0EECCDB3">
      <w:pPr>
        <w:pStyle w:val="5"/>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D9C0174">
      <w:pPr>
        <w:pStyle w:val="5"/>
        <w:snapToGrid w:val="0"/>
        <w:spacing w:before="50" w:after="50"/>
        <w:ind w:firstLine="640" w:firstLineChars="200"/>
        <w:rPr>
          <w:rFonts w:ascii="宋体" w:hAnsi="宋体" w:cs="仿宋_GB2312"/>
          <w:bCs/>
          <w:color w:val="000000" w:themeColor="text1"/>
          <w:sz w:val="32"/>
          <w:szCs w:val="32"/>
          <w14:textFill>
            <w14:solidFill>
              <w14:schemeClr w14:val="tx1"/>
            </w14:solidFill>
          </w14:textFill>
        </w:rPr>
      </w:pPr>
    </w:p>
    <w:p w14:paraId="54F0862C">
      <w:pPr>
        <w:pStyle w:val="5"/>
        <w:snapToGrid w:val="0"/>
        <w:spacing w:before="50" w:after="50"/>
        <w:ind w:firstLine="720" w:firstLineChars="225"/>
        <w:rPr>
          <w:rFonts w:ascii="宋体" w:hAnsi="宋体" w:cs="仿宋_GB2312"/>
          <w:bCs/>
          <w:color w:val="000000" w:themeColor="text1"/>
          <w:sz w:val="32"/>
          <w:szCs w:val="32"/>
          <w14:textFill>
            <w14:solidFill>
              <w14:schemeClr w14:val="tx1"/>
            </w14:solidFill>
          </w14:textFill>
        </w:rPr>
      </w:pPr>
    </w:p>
    <w:p w14:paraId="2A582751">
      <w:pPr>
        <w:pStyle w:val="5"/>
        <w:snapToGrid w:val="0"/>
        <w:spacing w:before="50" w:after="50"/>
        <w:ind w:firstLine="0"/>
        <w:rPr>
          <w:rFonts w:ascii="宋体" w:hAnsi="宋体" w:cs="仿宋_GB2312"/>
          <w:bCs/>
          <w:color w:val="000000" w:themeColor="text1"/>
          <w:sz w:val="32"/>
          <w:szCs w:val="32"/>
          <w14:textFill>
            <w14:solidFill>
              <w14:schemeClr w14:val="tx1"/>
            </w14:solidFill>
          </w14:textFill>
        </w:rPr>
      </w:pPr>
    </w:p>
    <w:p w14:paraId="12E92665">
      <w:pPr>
        <w:pStyle w:val="5"/>
        <w:snapToGrid w:val="0"/>
        <w:spacing w:before="50" w:after="50"/>
        <w:ind w:firstLine="1280" w:firstLineChars="400"/>
        <w:rPr>
          <w:rFonts w:ascii="宋体" w:hAnsi="宋体" w:cs="仿宋_GB2312"/>
          <w:bCs/>
          <w:color w:val="000000" w:themeColor="text1"/>
          <w:sz w:val="32"/>
          <w:szCs w:val="32"/>
          <w14:textFill>
            <w14:solidFill>
              <w14:schemeClr w14:val="tx1"/>
            </w14:solidFill>
          </w14:textFill>
        </w:rPr>
      </w:pPr>
    </w:p>
    <w:p w14:paraId="1572AD9C">
      <w:pPr>
        <w:snapToGrid w:val="0"/>
        <w:spacing w:before="120" w:beforeLines="50" w:after="50"/>
        <w:jc w:val="center"/>
        <w:rPr>
          <w:rFonts w:ascii="宋体" w:hAns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    月    日</w:t>
      </w:r>
    </w:p>
    <w:p w14:paraId="6B7B06FF">
      <w:pPr>
        <w:snapToGrid w:val="0"/>
        <w:spacing w:before="120" w:beforeLines="50" w:after="50" w:line="360" w:lineRule="auto"/>
        <w:ind w:right="480" w:firstLine="240" w:firstLineChars="100"/>
        <w:jc w:val="left"/>
        <w:rPr>
          <w:rFonts w:ascii="宋体" w:hAns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2.商务技术文件目录</w:t>
      </w:r>
    </w:p>
    <w:p w14:paraId="69C84FDB">
      <w:pPr>
        <w:snapToGrid w:val="0"/>
        <w:spacing w:before="120" w:beforeLines="50" w:after="50" w:line="360" w:lineRule="auto"/>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44AC8210">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2906832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9E2DCEA">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0F41E41D">
      <w:pPr>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6DD8DD9C">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1.不同供应商的响应文件由同一单位或者个人编制； </w:t>
      </w:r>
    </w:p>
    <w:p w14:paraId="33BAA8E7">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2.不同供应商委托同一单位或者个人办理竞标事宜；</w:t>
      </w:r>
    </w:p>
    <w:p w14:paraId="1AEE69E1">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3.不同供应商的响应文件载明的项目管理员为同一个人；</w:t>
      </w:r>
    </w:p>
    <w:p w14:paraId="4760ACE9">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62D64E1E">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5.不同供应商的响应文件相互混装；</w:t>
      </w:r>
    </w:p>
    <w:p w14:paraId="527FCF2E">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6.不同供应商的磋商保证金从同一单位或者个人账户转出。</w:t>
      </w:r>
    </w:p>
    <w:p w14:paraId="0C3C0256">
      <w:pPr>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753262EC">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1.供应商直接或者间接从采购人或者采购代理机构处获得其他供应商的相关信息并修改其响应文件；</w:t>
      </w:r>
    </w:p>
    <w:p w14:paraId="2909F517">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2.供应商按照采购人或者采购代理机构的授意撤换、修改响应文件；</w:t>
      </w:r>
    </w:p>
    <w:p w14:paraId="7E0C48D8">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38539056">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4.属于同一集团、协会、商会等组织成员的供应商按照该组织要求协同参加政府采购活动；</w:t>
      </w:r>
    </w:p>
    <w:p w14:paraId="78D51578">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21A5A1D2">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6.供应商之间商定部分供应商放弃参加政府采购活动或者放弃成交；</w:t>
      </w:r>
    </w:p>
    <w:p w14:paraId="6A3DA744">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5A46BB76">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p>
    <w:p w14:paraId="66927CF3">
      <w:pPr>
        <w:spacing w:line="360" w:lineRule="auto"/>
        <w:ind w:firstLine="482" w:firstLineChars="200"/>
        <w:contextualSpacing/>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1CD06360">
      <w:pPr>
        <w:spacing w:line="360" w:lineRule="auto"/>
        <w:contextualSpacing/>
        <w:rPr>
          <w:rFonts w:ascii="宋体" w:hAnsi="宋体" w:cs="仿宋_GB2312"/>
          <w:color w:val="000000" w:themeColor="text1"/>
          <w:sz w:val="24"/>
          <w14:textFill>
            <w14:solidFill>
              <w14:schemeClr w14:val="tx1"/>
            </w14:solidFill>
          </w14:textFill>
        </w:rPr>
      </w:pPr>
    </w:p>
    <w:p w14:paraId="01811F56">
      <w:pPr>
        <w:spacing w:line="360" w:lineRule="auto"/>
        <w:ind w:firstLine="3600" w:firstLineChars="15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供应商名称（电子签章）：</w:t>
      </w:r>
    </w:p>
    <w:p w14:paraId="519BE854">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652CC04C">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00DA0A7D">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7D11FF2">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3CC36C25">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    址：</w:t>
      </w:r>
    </w:p>
    <w:p w14:paraId="30189598">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    名：性     别：</w:t>
      </w:r>
    </w:p>
    <w:p w14:paraId="3A2FAD01">
      <w:pPr>
        <w:spacing w:line="360" w:lineRule="auto"/>
        <w:ind w:left="540"/>
        <w:contextualSpacing/>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    龄：职     务：</w:t>
      </w:r>
    </w:p>
    <w:p w14:paraId="520CCF76">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507FC260">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5050B4EA">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43395F42">
      <w:pPr>
        <w:spacing w:line="360" w:lineRule="auto"/>
        <w:ind w:left="540"/>
        <w:contextualSpacing/>
        <w:rPr>
          <w:rFonts w:ascii="宋体" w:hAnsi="宋体" w:cs="仿宋_GB2312"/>
          <w:color w:val="000000" w:themeColor="text1"/>
          <w:sz w:val="24"/>
          <w14:textFill>
            <w14:solidFill>
              <w14:schemeClr w14:val="tx1"/>
            </w14:solidFill>
          </w14:textFill>
        </w:rPr>
      </w:pPr>
    </w:p>
    <w:p w14:paraId="0B08302F">
      <w:pPr>
        <w:spacing w:line="360" w:lineRule="auto"/>
        <w:ind w:left="540"/>
        <w:contextualSpacing/>
        <w:rPr>
          <w:rFonts w:ascii="宋体" w:hAnsi="宋体" w:cs="仿宋_GB2312"/>
          <w:color w:val="000000" w:themeColor="text1"/>
          <w:sz w:val="24"/>
          <w14:textFill>
            <w14:solidFill>
              <w14:schemeClr w14:val="tx1"/>
            </w14:solidFill>
          </w14:textFill>
        </w:rPr>
      </w:pPr>
    </w:p>
    <w:p w14:paraId="542D404F">
      <w:pPr>
        <w:spacing w:line="360" w:lineRule="auto"/>
        <w:ind w:left="540"/>
        <w:contextualSpacing/>
        <w:rPr>
          <w:rFonts w:ascii="宋体" w:hAnsi="宋体" w:cs="仿宋_GB2312"/>
          <w:color w:val="000000" w:themeColor="text1"/>
          <w:sz w:val="24"/>
          <w14:textFill>
            <w14:solidFill>
              <w14:schemeClr w14:val="tx1"/>
            </w14:solidFill>
          </w14:textFill>
        </w:rPr>
      </w:pPr>
    </w:p>
    <w:p w14:paraId="6708EA3E">
      <w:pPr>
        <w:spacing w:line="360" w:lineRule="auto"/>
        <w:ind w:left="54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5C0F3AAB">
      <w:pPr>
        <w:spacing w:line="360" w:lineRule="auto"/>
        <w:ind w:left="540"/>
        <w:contextualSpacing/>
        <w:rPr>
          <w:rFonts w:ascii="宋体" w:hAnsi="宋体" w:cs="仿宋_GB2312"/>
          <w:color w:val="000000" w:themeColor="text1"/>
          <w:sz w:val="24"/>
          <w14:textFill>
            <w14:solidFill>
              <w14:schemeClr w14:val="tx1"/>
            </w14:solidFill>
          </w14:textFill>
        </w:rPr>
      </w:pPr>
    </w:p>
    <w:p w14:paraId="4F4A8C69">
      <w:pPr>
        <w:spacing w:line="360" w:lineRule="auto"/>
        <w:ind w:left="540" w:leftChars="257" w:right="480" w:firstLine="2280" w:firstLineChars="95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供应商名称（电子签章）：</w:t>
      </w:r>
    </w:p>
    <w:p w14:paraId="79F96D43">
      <w:pPr>
        <w:spacing w:line="360" w:lineRule="auto"/>
        <w:ind w:firstLine="5040" w:firstLineChars="2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70E18A5D">
      <w:pPr>
        <w:spacing w:line="360" w:lineRule="auto"/>
        <w:contextualSpacing/>
        <w:jc w:val="center"/>
        <w:rPr>
          <w:rFonts w:ascii="宋体" w:hAnsi="宋体" w:cs="仿宋_GB2312"/>
          <w:b/>
          <w:color w:val="000000" w:themeColor="text1"/>
          <w:sz w:val="24"/>
          <w14:textFill>
            <w14:solidFill>
              <w14:schemeClr w14:val="tx1"/>
            </w14:solidFill>
          </w14:textFill>
        </w:rPr>
      </w:pPr>
    </w:p>
    <w:p w14:paraId="178608B3">
      <w:pPr>
        <w:spacing w:line="360" w:lineRule="auto"/>
        <w:contextualSpacing/>
        <w:jc w:val="left"/>
        <w:rPr>
          <w:rFonts w:ascii="宋体" w:hAnsi="宋体" w:cs="仿宋_GB2312"/>
          <w:color w:val="000000" w:themeColor="text1"/>
          <w:sz w:val="24"/>
          <w14:textFill>
            <w14:solidFill>
              <w14:schemeClr w14:val="tx1"/>
            </w14:solidFill>
          </w14:textFill>
        </w:rPr>
      </w:pPr>
    </w:p>
    <w:p w14:paraId="0C0878B2">
      <w:pPr>
        <w:spacing w:line="360" w:lineRule="auto"/>
        <w:contextualSpacing/>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注：自然人竞标的无需提供，联合体竞标的只需牵头人出具。</w:t>
      </w:r>
    </w:p>
    <w:p w14:paraId="3C0B0AF3">
      <w:pPr>
        <w:adjustRightInd w:val="0"/>
        <w:snapToGrid w:val="0"/>
        <w:spacing w:line="300" w:lineRule="auto"/>
        <w:jc w:val="left"/>
        <w:rPr>
          <w:rFonts w:ascii="宋体" w:hAnsi="宋体"/>
          <w:b/>
          <w:color w:val="000000" w:themeColor="text1"/>
          <w:szCs w:val="21"/>
          <w14:textFill>
            <w14:solidFill>
              <w14:schemeClr w14:val="tx1"/>
            </w14:solidFill>
          </w14:textFill>
        </w:rPr>
      </w:pPr>
    </w:p>
    <w:p w14:paraId="0EAFCE4B">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0989C7B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85"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05BED734">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055289B6">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4A79B7D9">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3A8EEA88">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17C83010">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 xml:space="preserve">  （供应商名称）  </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sym w:font="Wingdings 2" w:char="00A3"/>
      </w:r>
      <w:r>
        <w:rPr>
          <w:rFonts w:hint="eastAsia" w:ascii="宋体" w:hAnsi="宋体" w:cs="仿宋_GB2312"/>
          <w:color w:val="000000" w:themeColor="text1"/>
          <w:sz w:val="24"/>
          <w:u w:val="single"/>
          <w14:textFill>
            <w14:solidFill>
              <w14:schemeClr w14:val="tx1"/>
            </w14:solidFill>
          </w14:textFill>
        </w:rPr>
        <w:t>法定代表人/□负责人/□自然人本人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 xml:space="preserve"> （姓名） </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75E88251">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73DC5994">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7658237">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3C417722">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684368F">
      <w:pPr>
        <w:spacing w:line="360" w:lineRule="auto"/>
        <w:rPr>
          <w:rFonts w:ascii="宋体" w:hAnsi="宋体" w:cs="仿宋_GB2312"/>
          <w:color w:val="000000" w:themeColor="text1"/>
          <w:sz w:val="24"/>
          <w14:textFill>
            <w14:solidFill>
              <w14:schemeClr w14:val="tx1"/>
            </w14:solidFill>
          </w14:textFill>
        </w:rPr>
      </w:pPr>
    </w:p>
    <w:p w14:paraId="092DD250">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 xml:space="preserve">）：     法定代表人（签字或者盖章或者电子签名）：                    </w:t>
      </w:r>
    </w:p>
    <w:p w14:paraId="3DE9E9AE">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委托代理人身份证号码：                              </w:t>
      </w:r>
    </w:p>
    <w:p w14:paraId="51B68EE7">
      <w:pPr>
        <w:spacing w:line="360" w:lineRule="auto"/>
        <w:contextualSpacing/>
        <w:rPr>
          <w:rFonts w:ascii="宋体" w:hAnsi="宋体" w:cs="仿宋_GB2312"/>
          <w:color w:val="000000" w:themeColor="text1"/>
          <w:sz w:val="24"/>
          <w14:textFill>
            <w14:solidFill>
              <w14:schemeClr w14:val="tx1"/>
            </w14:solidFill>
          </w14:textFill>
        </w:rPr>
      </w:pPr>
    </w:p>
    <w:p w14:paraId="639513D3">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供应商名称（电子签章）：                      </w:t>
      </w:r>
    </w:p>
    <w:p w14:paraId="692672AC">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年    月    日</w:t>
      </w:r>
    </w:p>
    <w:p w14:paraId="030A1558">
      <w:pPr>
        <w:spacing w:line="360" w:lineRule="auto"/>
        <w:rPr>
          <w:rFonts w:ascii="宋体" w:hAnsi="宋体" w:cs="仿宋_GB2312"/>
          <w:color w:val="000000" w:themeColor="text1"/>
          <w:sz w:val="24"/>
          <w14:textFill>
            <w14:solidFill>
              <w14:schemeClr w14:val="tx1"/>
            </w14:solidFill>
          </w14:textFill>
        </w:rPr>
      </w:pPr>
    </w:p>
    <w:p w14:paraId="34E170D0">
      <w:pPr>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注：1. 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否则其响应文件按无效响应处理。</w:t>
      </w:r>
    </w:p>
    <w:p w14:paraId="47B1BCF9">
      <w:pPr>
        <w:spacing w:line="360" w:lineRule="auto"/>
        <w:ind w:firstLine="480" w:firstLineChars="200"/>
        <w:jc w:val="left"/>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bookmarkStart w:id="86" w:name="_Hlk65853109"/>
      <w:bookmarkStart w:id="87" w:name="_Hlk65853542"/>
      <w:r>
        <w:rPr>
          <w:rFonts w:hint="eastAsia" w:ascii="宋体" w:hAnsi="宋体" w:cs="仿宋_GB2312"/>
          <w:color w:val="000000" w:themeColor="text1"/>
          <w:sz w:val="24"/>
          <w14:textFill>
            <w14:solidFill>
              <w14:schemeClr w14:val="tx1"/>
            </w14:solidFill>
          </w14:textFill>
        </w:rPr>
        <w:t>法人、其他组织竞标时“我方”是指“我单位”，自然人竞标时“我方”是指“本人”。</w:t>
      </w:r>
      <w:bookmarkEnd w:id="86"/>
    </w:p>
    <w:bookmarkEnd w:id="87"/>
    <w:p w14:paraId="08AB6C09">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335C4500">
      <w:pPr>
        <w:spacing w:line="500" w:lineRule="exact"/>
        <w:rPr>
          <w:rFonts w:ascii="宋体" w:hAnsi="宋体" w:cs="仿宋_GB2312"/>
          <w:color w:val="000000" w:themeColor="text1"/>
          <w:spacing w:val="-11"/>
          <w:sz w:val="24"/>
          <w14:textFill>
            <w14:solidFill>
              <w14:schemeClr w14:val="tx1"/>
            </w14:solidFill>
          </w14:textFill>
        </w:rPr>
      </w:pPr>
    </w:p>
    <w:bookmarkEnd w:id="85"/>
    <w:p w14:paraId="75CFDF86">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商务要求偏离表格式</w:t>
      </w:r>
    </w:p>
    <w:p w14:paraId="42BEFF4E">
      <w:pPr>
        <w:spacing w:line="500" w:lineRule="exact"/>
        <w:jc w:val="center"/>
        <w:rPr>
          <w:rFonts w:ascii="宋体" w:hAnsi="宋体"/>
          <w:b/>
          <w:i/>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Cs/>
          <w:i/>
          <w:color w:val="000000" w:themeColor="text1"/>
          <w:sz w:val="32"/>
          <w:szCs w:val="32"/>
          <w14:textFill>
            <w14:solidFill>
              <w14:schemeClr w14:val="tx1"/>
            </w14:solidFill>
          </w14:textFill>
        </w:rPr>
        <w:t>（注：按采购需求具体条款修改）</w:t>
      </w:r>
    </w:p>
    <w:p w14:paraId="34553545">
      <w:pPr>
        <w:spacing w:line="360" w:lineRule="auto"/>
        <w:contextualSpacing/>
        <w:jc w:val="left"/>
        <w:rPr>
          <w:rFonts w:ascii="宋体" w:hAnsi="宋体"/>
          <w:color w:val="000000" w:themeColor="text1"/>
          <w:sz w:val="24"/>
          <w14:textFill>
            <w14:solidFill>
              <w14:schemeClr w14:val="tx1"/>
            </w14:solidFill>
          </w14:textFill>
        </w:rPr>
      </w:pPr>
    </w:p>
    <w:p w14:paraId="43E95B0D">
      <w:pPr>
        <w:pStyle w:val="13"/>
        <w:spacing w:line="360" w:lineRule="auto"/>
        <w:contextualSpacing/>
        <w:rPr>
          <w:rFonts w:hAnsi="宋体" w:cs="仿宋_GB2312"/>
          <w:color w:val="000000" w:themeColor="text1"/>
          <w:sz w:val="24"/>
          <w:szCs w:val="24"/>
          <w14:textFill>
            <w14:solidFill>
              <w14:schemeClr w14:val="tx1"/>
            </w14:solidFill>
          </w14:textFill>
        </w:rPr>
      </w:pPr>
      <w:r>
        <w:rPr>
          <w:rFonts w:hint="eastAsia" w:hAnsi="宋体" w:cs="仿宋_GB2312"/>
          <w:color w:val="000000" w:themeColor="text1"/>
          <w:sz w:val="24"/>
          <w:szCs w:val="24"/>
          <w14:textFill>
            <w14:solidFill>
              <w14:schemeClr w14:val="tx1"/>
            </w14:solidFill>
          </w14:textFill>
        </w:rPr>
        <w:t>所竞分标：</w:t>
      </w:r>
    </w:p>
    <w:p w14:paraId="6A56EA65">
      <w:pPr>
        <w:spacing w:line="360" w:lineRule="auto"/>
        <w:contextualSpacing/>
        <w:jc w:val="left"/>
        <w:rPr>
          <w:rFonts w:ascii="宋体" w:hAnsi="宋体" w:cs="仿宋_GB2312"/>
          <w:color w:val="000000" w:themeColor="text1"/>
          <w:sz w:val="24"/>
          <w:u w:val="single"/>
          <w14:textFill>
            <w14:solidFill>
              <w14:schemeClr w14:val="tx1"/>
            </w14:solidFill>
          </w14:textFill>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3FAB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236B1B61">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F062749">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0A1E0D90">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DFB1252">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偏离说明</w:t>
            </w:r>
          </w:p>
        </w:tc>
      </w:tr>
      <w:tr w14:paraId="0BE3E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49017E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▲服务期限和实施的地点或范围</w:t>
            </w:r>
          </w:p>
        </w:tc>
        <w:tc>
          <w:tcPr>
            <w:tcW w:w="2668" w:type="dxa"/>
            <w:tcBorders>
              <w:top w:val="single" w:color="auto" w:sz="4" w:space="0"/>
              <w:left w:val="single" w:color="auto" w:sz="4" w:space="0"/>
              <w:bottom w:val="single" w:color="auto" w:sz="4" w:space="0"/>
              <w:right w:val="single" w:color="auto" w:sz="4" w:space="0"/>
            </w:tcBorders>
            <w:vAlign w:val="center"/>
          </w:tcPr>
          <w:p w14:paraId="46F15EFE">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34D615F5">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1415301F">
            <w:pPr>
              <w:spacing w:line="360" w:lineRule="auto"/>
              <w:contextualSpacing/>
              <w:jc w:val="center"/>
              <w:rPr>
                <w:rFonts w:ascii="宋体" w:hAnsi="宋体" w:cs="仿宋_GB2312"/>
                <w:color w:val="000000" w:themeColor="text1"/>
                <w:sz w:val="24"/>
                <w14:textFill>
                  <w14:solidFill>
                    <w14:schemeClr w14:val="tx1"/>
                  </w14:solidFill>
                </w14:textFill>
              </w:rPr>
            </w:pPr>
          </w:p>
        </w:tc>
      </w:tr>
      <w:tr w14:paraId="50BF2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019A3F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32B4C028">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5B3C8E8E">
            <w:pPr>
              <w:spacing w:line="360" w:lineRule="auto"/>
              <w:ind w:left="43"/>
              <w:contextualSpacing/>
              <w:jc w:val="center"/>
              <w:rPr>
                <w:rFonts w:ascii="宋体" w:hAnsi="宋体" w:cs="仿宋_GB2312"/>
                <w:color w:val="000000" w:themeColor="text1"/>
                <w:sz w:val="24"/>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3D35B720">
            <w:pPr>
              <w:spacing w:line="360" w:lineRule="auto"/>
              <w:ind w:left="43"/>
              <w:contextualSpacing/>
              <w:jc w:val="center"/>
              <w:rPr>
                <w:rFonts w:ascii="宋体" w:hAnsi="宋体" w:cs="仿宋_GB2312"/>
                <w:color w:val="000000" w:themeColor="text1"/>
                <w:sz w:val="24"/>
                <w14:textFill>
                  <w14:solidFill>
                    <w14:schemeClr w14:val="tx1"/>
                  </w14:solidFill>
                </w14:textFill>
              </w:rPr>
            </w:pPr>
          </w:p>
        </w:tc>
      </w:tr>
      <w:tr w14:paraId="06688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FA662E4">
            <w:pPr>
              <w:spacing w:line="360" w:lineRule="auto"/>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3D2CB7EB">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77988C35">
            <w:pPr>
              <w:spacing w:line="360" w:lineRule="auto"/>
              <w:contextualSpacing/>
              <w:jc w:val="center"/>
              <w:rPr>
                <w:rFonts w:ascii="宋体" w:hAnsi="宋体" w:cs="仿宋_GB2312"/>
                <w:color w:val="000000" w:themeColor="text1"/>
                <w:sz w:val="24"/>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3247C54A">
            <w:pPr>
              <w:spacing w:line="360" w:lineRule="auto"/>
              <w:contextualSpacing/>
              <w:jc w:val="center"/>
              <w:rPr>
                <w:rFonts w:ascii="宋体" w:hAnsi="宋体" w:cs="仿宋_GB2312"/>
                <w:color w:val="000000" w:themeColor="text1"/>
                <w:sz w:val="24"/>
                <w14:textFill>
                  <w14:solidFill>
                    <w14:schemeClr w14:val="tx1"/>
                  </w14:solidFill>
                </w14:textFill>
              </w:rPr>
            </w:pPr>
          </w:p>
        </w:tc>
      </w:tr>
    </w:tbl>
    <w:p w14:paraId="7239E865">
      <w:pPr>
        <w:pStyle w:val="9"/>
        <w:spacing w:after="0" w:line="360" w:lineRule="auto"/>
        <w:contextualSpacing/>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注：</w:t>
      </w:r>
    </w:p>
    <w:p w14:paraId="32955491">
      <w:pPr>
        <w:pStyle w:val="9"/>
        <w:spacing w:after="0" w:line="360" w:lineRule="auto"/>
        <w:contextualSpacing/>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 说明：应对照磋商文件“第三章 采购需求”中的商务要求逐条作出明确响应，并作出偏离说明。</w:t>
      </w:r>
    </w:p>
    <w:p w14:paraId="25DA0B7B">
      <w:pPr>
        <w:spacing w:line="360" w:lineRule="auto"/>
        <w:contextualSpacing/>
        <w:jc w:val="left"/>
        <w:rPr>
          <w:rFonts w:ascii="宋体" w:hAnsi="宋体" w:cs="仿宋_GB2312"/>
          <w:color w:val="000000" w:themeColor="text1"/>
          <w:sz w:val="24"/>
          <w:u w:val="single"/>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2.供应商应根据自身的承诺，对照磋商文件要求在“偏离说明”中注明“正偏离”、“负偏离”或者“无偏离”。既不属于“正偏离”也不属于“负偏离”即为“无偏离”。</w:t>
      </w:r>
    </w:p>
    <w:p w14:paraId="38F72821">
      <w:pPr>
        <w:spacing w:line="360" w:lineRule="auto"/>
        <w:ind w:right="-817" w:rightChars="-389"/>
        <w:contextualSpacing/>
        <w:rPr>
          <w:rFonts w:ascii="宋体" w:hAnsi="宋体" w:cs="仿宋_GB2312"/>
          <w:color w:val="000000" w:themeColor="text1"/>
          <w:sz w:val="24"/>
          <w14:textFill>
            <w14:solidFill>
              <w14:schemeClr w14:val="tx1"/>
            </w14:solidFill>
          </w14:textFill>
        </w:rPr>
      </w:pPr>
    </w:p>
    <w:p w14:paraId="7CCB4789">
      <w:pPr>
        <w:spacing w:line="360" w:lineRule="auto"/>
        <w:ind w:right="-817" w:rightChars="-389"/>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D8452E6">
      <w:pPr>
        <w:spacing w:line="360" w:lineRule="auto"/>
        <w:ind w:right="-817" w:rightChars="-389" w:firstLine="2640" w:firstLineChars="1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供应商名称（电子签章）：      </w:t>
      </w:r>
    </w:p>
    <w:p w14:paraId="786D0C68">
      <w:pPr>
        <w:spacing w:line="360" w:lineRule="auto"/>
        <w:ind w:right="-817" w:rightChars="-389" w:firstLine="4080" w:firstLineChars="1700"/>
        <w:contextualSpacing/>
        <w:rPr>
          <w:rFonts w:ascii="仿宋_GB2312" w:hAnsi="仿宋_GB2312" w:eastAsia="仿宋_GB2312" w:cs="仿宋_GB2312"/>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0A81DD3B">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3310E631">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2A5BC3C3">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1D71E124">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34D6D8A0">
      <w:pPr>
        <w:adjustRightInd w:val="0"/>
        <w:snapToGrid w:val="0"/>
        <w:spacing w:line="520" w:lineRule="exact"/>
        <w:rPr>
          <w:rFonts w:ascii="宋体" w:hAnsi="宋体"/>
          <w:color w:val="000000" w:themeColor="text1"/>
          <w:szCs w:val="21"/>
          <w:u w:val="single"/>
          <w14:textFill>
            <w14:solidFill>
              <w14:schemeClr w14:val="tx1"/>
            </w14:solidFill>
          </w14:textFill>
        </w:rPr>
      </w:pPr>
    </w:p>
    <w:p w14:paraId="314154F5">
      <w:pPr>
        <w:adjustRightInd w:val="0"/>
        <w:snapToGrid w:val="0"/>
        <w:spacing w:line="30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技术要求偏离表</w:t>
      </w:r>
    </w:p>
    <w:p w14:paraId="326504E2">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68792FAF">
      <w:pPr>
        <w:spacing w:line="360" w:lineRule="auto"/>
        <w:contextualSpacing/>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采购项目编号：</w:t>
      </w:r>
    </w:p>
    <w:p w14:paraId="0C2747C3">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采购项目名称：</w:t>
      </w:r>
    </w:p>
    <w:p w14:paraId="59F8A8A1">
      <w:pPr>
        <w:spacing w:line="360" w:lineRule="auto"/>
        <w:contextualSpacing/>
        <w:rPr>
          <w:rFonts w:ascii="宋体" w:hAns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分标号：</w:t>
      </w: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8"/>
        <w:gridCol w:w="858"/>
        <w:gridCol w:w="2849"/>
        <w:gridCol w:w="2564"/>
        <w:gridCol w:w="1399"/>
      </w:tblGrid>
      <w:tr w14:paraId="1740A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336A0972">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88" w:name="_Toc373333689"/>
            <w:bookmarkStart w:id="89" w:name="_Toc173211900"/>
            <w:bookmarkStart w:id="90" w:name="_Toc383699906"/>
            <w:bookmarkStart w:id="91" w:name="_Toc254970729"/>
            <w:bookmarkStart w:id="92" w:name="_Toc297193185"/>
            <w:bookmarkStart w:id="93" w:name="_Toc295404981"/>
            <w:bookmarkStart w:id="94" w:name="_Toc173066401"/>
            <w:bookmarkStart w:id="95" w:name="_Toc301781611"/>
            <w:bookmarkStart w:id="96" w:name="_Toc254970588"/>
            <w:r>
              <w:rPr>
                <w:rFonts w:hint="eastAsia" w:ascii="宋体" w:hAnsi="宋体" w:eastAsia="宋体" w:cs="仿宋_GB2312"/>
                <w:color w:val="000000" w:themeColor="text1"/>
                <w:kern w:val="2"/>
                <w:sz w:val="24"/>
                <w:szCs w:val="24"/>
                <w14:textFill>
                  <w14:solidFill>
                    <w14:schemeClr w14:val="tx1"/>
                  </w14:solidFill>
                </w14:textFill>
              </w:rPr>
              <w:t>序号</w:t>
            </w:r>
            <w:bookmarkEnd w:id="88"/>
            <w:bookmarkEnd w:id="89"/>
            <w:bookmarkEnd w:id="90"/>
            <w:bookmarkEnd w:id="91"/>
            <w:bookmarkEnd w:id="92"/>
            <w:bookmarkEnd w:id="93"/>
            <w:bookmarkEnd w:id="94"/>
            <w:bookmarkEnd w:id="95"/>
            <w:bookmarkEnd w:id="96"/>
          </w:p>
        </w:tc>
        <w:tc>
          <w:tcPr>
            <w:tcW w:w="858" w:type="dxa"/>
            <w:tcBorders>
              <w:right w:val="single" w:color="auto" w:sz="4" w:space="0"/>
            </w:tcBorders>
            <w:vAlign w:val="center"/>
          </w:tcPr>
          <w:p w14:paraId="05F935E8">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名称</w:t>
            </w:r>
          </w:p>
        </w:tc>
        <w:tc>
          <w:tcPr>
            <w:tcW w:w="2849" w:type="dxa"/>
            <w:tcBorders>
              <w:left w:val="single" w:color="auto" w:sz="4" w:space="0"/>
            </w:tcBorders>
            <w:vAlign w:val="center"/>
          </w:tcPr>
          <w:p w14:paraId="4495B071">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r>
              <w:rPr>
                <w:rFonts w:hint="eastAsia" w:ascii="宋体" w:hAnsi="宋体" w:eastAsia="宋体" w:cs="仿宋_GB2312"/>
                <w:color w:val="000000" w:themeColor="text1"/>
                <w:kern w:val="2"/>
                <w:sz w:val="24"/>
                <w:szCs w:val="24"/>
                <w14:textFill>
                  <w14:solidFill>
                    <w14:schemeClr w14:val="tx1"/>
                  </w14:solidFill>
                </w14:textFill>
              </w:rPr>
              <w:t>磋商文件技术要求</w:t>
            </w:r>
          </w:p>
        </w:tc>
        <w:tc>
          <w:tcPr>
            <w:tcW w:w="2564" w:type="dxa"/>
            <w:vAlign w:val="center"/>
          </w:tcPr>
          <w:p w14:paraId="3D9EAA81">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97" w:name="_Toc295404983"/>
            <w:bookmarkStart w:id="98" w:name="_Toc173211902"/>
            <w:bookmarkStart w:id="99" w:name="_Toc301781613"/>
            <w:bookmarkStart w:id="100" w:name="_Toc173066403"/>
            <w:bookmarkStart w:id="101" w:name="_Toc297193187"/>
            <w:bookmarkStart w:id="102" w:name="_Toc254970590"/>
            <w:bookmarkStart w:id="103" w:name="_Toc373333691"/>
            <w:bookmarkStart w:id="104" w:name="_Toc254970731"/>
            <w:bookmarkStart w:id="105" w:name="_Toc383699908"/>
            <w:r>
              <w:rPr>
                <w:rFonts w:hint="eastAsia" w:ascii="宋体" w:hAnsi="宋体" w:eastAsia="宋体" w:cs="仿宋_GB2312"/>
                <w:color w:val="000000" w:themeColor="text1"/>
                <w:kern w:val="2"/>
                <w:sz w:val="24"/>
                <w:szCs w:val="24"/>
                <w14:textFill>
                  <w14:solidFill>
                    <w14:schemeClr w14:val="tx1"/>
                  </w14:solidFill>
                </w14:textFill>
              </w:rPr>
              <w:t>竞标响应</w:t>
            </w:r>
            <w:bookmarkEnd w:id="97"/>
            <w:bookmarkEnd w:id="98"/>
            <w:bookmarkEnd w:id="99"/>
            <w:bookmarkEnd w:id="100"/>
            <w:bookmarkEnd w:id="101"/>
            <w:bookmarkEnd w:id="102"/>
            <w:bookmarkEnd w:id="103"/>
            <w:bookmarkEnd w:id="104"/>
            <w:bookmarkEnd w:id="105"/>
          </w:p>
        </w:tc>
        <w:tc>
          <w:tcPr>
            <w:tcW w:w="1399" w:type="dxa"/>
            <w:vAlign w:val="center"/>
          </w:tcPr>
          <w:p w14:paraId="0AFFED56">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06" w:name="_Toc295404984"/>
            <w:bookmarkStart w:id="107" w:name="_Toc383699909"/>
            <w:bookmarkStart w:id="108" w:name="_Toc173066404"/>
            <w:bookmarkStart w:id="109" w:name="_Toc254970732"/>
            <w:bookmarkStart w:id="110" w:name="_Toc301781614"/>
            <w:bookmarkStart w:id="111" w:name="_Toc297193188"/>
            <w:bookmarkStart w:id="112" w:name="_Toc254970591"/>
            <w:bookmarkStart w:id="113" w:name="_Toc373333692"/>
            <w:bookmarkStart w:id="114" w:name="_Toc173211903"/>
            <w:r>
              <w:rPr>
                <w:rFonts w:hint="eastAsia" w:ascii="宋体" w:hAnsi="宋体" w:eastAsia="宋体" w:cs="仿宋_GB2312"/>
                <w:color w:val="000000" w:themeColor="text1"/>
                <w:kern w:val="2"/>
                <w:sz w:val="24"/>
                <w:szCs w:val="24"/>
                <w14:textFill>
                  <w14:solidFill>
                    <w14:schemeClr w14:val="tx1"/>
                  </w14:solidFill>
                </w14:textFill>
              </w:rPr>
              <w:t>偏离</w:t>
            </w:r>
            <w:bookmarkEnd w:id="106"/>
            <w:bookmarkEnd w:id="107"/>
            <w:bookmarkEnd w:id="108"/>
            <w:bookmarkEnd w:id="109"/>
            <w:bookmarkEnd w:id="110"/>
            <w:bookmarkEnd w:id="111"/>
            <w:bookmarkEnd w:id="112"/>
            <w:bookmarkEnd w:id="113"/>
            <w:bookmarkEnd w:id="114"/>
            <w:bookmarkStart w:id="115" w:name="_Toc301781615"/>
            <w:bookmarkStart w:id="116" w:name="_Toc173211904"/>
            <w:bookmarkStart w:id="117" w:name="_Toc254970733"/>
            <w:bookmarkStart w:id="118" w:name="_Toc297193189"/>
            <w:bookmarkStart w:id="119" w:name="_Toc383699910"/>
            <w:bookmarkStart w:id="120" w:name="_Toc295404985"/>
            <w:bookmarkStart w:id="121" w:name="_Toc254970592"/>
            <w:bookmarkStart w:id="122" w:name="_Toc173066405"/>
            <w:bookmarkStart w:id="123" w:name="_Toc373333693"/>
            <w:r>
              <w:rPr>
                <w:rFonts w:hint="eastAsia" w:ascii="宋体" w:hAnsi="宋体" w:eastAsia="宋体" w:cs="仿宋_GB2312"/>
                <w:color w:val="000000" w:themeColor="text1"/>
                <w:kern w:val="2"/>
                <w:sz w:val="24"/>
                <w:szCs w:val="24"/>
                <w14:textFill>
                  <w14:solidFill>
                    <w14:schemeClr w14:val="tx1"/>
                  </w14:solidFill>
                </w14:textFill>
              </w:rPr>
              <w:t>说明</w:t>
            </w:r>
            <w:bookmarkEnd w:id="115"/>
            <w:bookmarkEnd w:id="116"/>
            <w:bookmarkEnd w:id="117"/>
            <w:bookmarkEnd w:id="118"/>
            <w:bookmarkEnd w:id="119"/>
            <w:bookmarkEnd w:id="120"/>
            <w:bookmarkEnd w:id="121"/>
            <w:bookmarkEnd w:id="122"/>
            <w:bookmarkEnd w:id="123"/>
          </w:p>
        </w:tc>
      </w:tr>
      <w:tr w14:paraId="38751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2568D120">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24" w:name="_Toc301781616"/>
            <w:bookmarkStart w:id="125" w:name="_Toc383699911"/>
            <w:bookmarkStart w:id="126" w:name="_Toc254970593"/>
            <w:bookmarkStart w:id="127" w:name="_Toc295404986"/>
            <w:bookmarkStart w:id="128" w:name="_Toc173211905"/>
            <w:bookmarkStart w:id="129" w:name="_Toc373333694"/>
            <w:bookmarkStart w:id="130" w:name="_Toc254970734"/>
            <w:bookmarkStart w:id="131" w:name="_Toc297193190"/>
            <w:bookmarkStart w:id="132" w:name="_Toc173066406"/>
            <w:r>
              <w:rPr>
                <w:rFonts w:hint="eastAsia" w:ascii="宋体" w:hAnsi="宋体" w:eastAsia="宋体" w:cs="仿宋_GB2312"/>
                <w:color w:val="000000" w:themeColor="text1"/>
                <w:kern w:val="2"/>
                <w:sz w:val="24"/>
                <w:szCs w:val="24"/>
                <w14:textFill>
                  <w14:solidFill>
                    <w14:schemeClr w14:val="tx1"/>
                  </w14:solidFill>
                </w14:textFill>
              </w:rPr>
              <w:t>1</w:t>
            </w:r>
            <w:bookmarkEnd w:id="124"/>
            <w:bookmarkEnd w:id="125"/>
            <w:bookmarkEnd w:id="126"/>
            <w:bookmarkEnd w:id="127"/>
            <w:bookmarkEnd w:id="128"/>
            <w:bookmarkEnd w:id="129"/>
            <w:bookmarkEnd w:id="130"/>
            <w:bookmarkEnd w:id="131"/>
            <w:bookmarkEnd w:id="132"/>
          </w:p>
        </w:tc>
        <w:tc>
          <w:tcPr>
            <w:tcW w:w="858" w:type="dxa"/>
            <w:tcBorders>
              <w:right w:val="single" w:color="auto" w:sz="4" w:space="0"/>
            </w:tcBorders>
            <w:vAlign w:val="center"/>
          </w:tcPr>
          <w:p w14:paraId="412B75FE">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3B5A620C">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157038DC">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vAlign w:val="center"/>
          </w:tcPr>
          <w:p w14:paraId="0D4202E0">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r w14:paraId="4E4584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7E58A0B9">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33" w:name="_Toc173066407"/>
            <w:bookmarkStart w:id="134" w:name="_Toc254970735"/>
            <w:bookmarkStart w:id="135" w:name="_Toc173211906"/>
            <w:bookmarkStart w:id="136" w:name="_Toc297193191"/>
            <w:bookmarkStart w:id="137" w:name="_Toc383699912"/>
            <w:bookmarkStart w:id="138" w:name="_Toc295404987"/>
            <w:bookmarkStart w:id="139" w:name="_Toc373333695"/>
            <w:bookmarkStart w:id="140" w:name="_Toc301781617"/>
            <w:bookmarkStart w:id="141" w:name="_Toc254970594"/>
            <w:r>
              <w:rPr>
                <w:rFonts w:hint="eastAsia" w:ascii="宋体" w:hAnsi="宋体" w:eastAsia="宋体" w:cs="仿宋_GB2312"/>
                <w:color w:val="000000" w:themeColor="text1"/>
                <w:kern w:val="2"/>
                <w:sz w:val="24"/>
                <w:szCs w:val="24"/>
                <w14:textFill>
                  <w14:solidFill>
                    <w14:schemeClr w14:val="tx1"/>
                  </w14:solidFill>
                </w14:textFill>
              </w:rPr>
              <w:t>2</w:t>
            </w:r>
            <w:bookmarkEnd w:id="133"/>
            <w:bookmarkEnd w:id="134"/>
            <w:bookmarkEnd w:id="135"/>
            <w:bookmarkEnd w:id="136"/>
            <w:bookmarkEnd w:id="137"/>
            <w:bookmarkEnd w:id="138"/>
            <w:bookmarkEnd w:id="139"/>
            <w:bookmarkEnd w:id="140"/>
            <w:bookmarkEnd w:id="141"/>
          </w:p>
        </w:tc>
        <w:tc>
          <w:tcPr>
            <w:tcW w:w="858" w:type="dxa"/>
            <w:tcBorders>
              <w:right w:val="single" w:color="auto" w:sz="4" w:space="0"/>
            </w:tcBorders>
            <w:vAlign w:val="center"/>
          </w:tcPr>
          <w:p w14:paraId="291ACB2D">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03F13B78">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58830DF5">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vAlign w:val="center"/>
          </w:tcPr>
          <w:p w14:paraId="36BB6604">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r w14:paraId="661CDF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5BF9865B">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42" w:name="_Toc297193192"/>
            <w:bookmarkStart w:id="143" w:name="_Toc373333696"/>
            <w:bookmarkStart w:id="144" w:name="_Toc254970736"/>
            <w:bookmarkStart w:id="145" w:name="_Toc295404988"/>
            <w:bookmarkStart w:id="146" w:name="_Toc254970595"/>
            <w:bookmarkStart w:id="147" w:name="_Toc173066408"/>
            <w:bookmarkStart w:id="148" w:name="_Toc173211907"/>
            <w:bookmarkStart w:id="149" w:name="_Toc301781618"/>
            <w:bookmarkStart w:id="150" w:name="_Toc383699913"/>
            <w:r>
              <w:rPr>
                <w:rFonts w:hint="eastAsia" w:ascii="宋体" w:hAnsi="宋体" w:eastAsia="宋体" w:cs="仿宋_GB2312"/>
                <w:color w:val="000000" w:themeColor="text1"/>
                <w:kern w:val="2"/>
                <w:sz w:val="24"/>
                <w:szCs w:val="24"/>
                <w14:textFill>
                  <w14:solidFill>
                    <w14:schemeClr w14:val="tx1"/>
                  </w14:solidFill>
                </w14:textFill>
              </w:rPr>
              <w:t>3</w:t>
            </w:r>
            <w:bookmarkEnd w:id="142"/>
            <w:bookmarkEnd w:id="143"/>
            <w:bookmarkEnd w:id="144"/>
            <w:bookmarkEnd w:id="145"/>
            <w:bookmarkEnd w:id="146"/>
            <w:bookmarkEnd w:id="147"/>
            <w:bookmarkEnd w:id="148"/>
            <w:bookmarkEnd w:id="149"/>
            <w:bookmarkEnd w:id="150"/>
          </w:p>
        </w:tc>
        <w:tc>
          <w:tcPr>
            <w:tcW w:w="858" w:type="dxa"/>
            <w:tcBorders>
              <w:right w:val="single" w:color="auto" w:sz="4" w:space="0"/>
            </w:tcBorders>
            <w:vAlign w:val="center"/>
          </w:tcPr>
          <w:p w14:paraId="0EA43910">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4D2DD2C9">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71FC36CB">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vAlign w:val="center"/>
          </w:tcPr>
          <w:p w14:paraId="73CEF86A">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r w14:paraId="49A4EE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7CAED932">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51" w:name="_Toc297193193"/>
            <w:bookmarkStart w:id="152" w:name="_Toc301781619"/>
            <w:bookmarkStart w:id="153" w:name="_Toc254970737"/>
            <w:bookmarkStart w:id="154" w:name="_Toc295404989"/>
            <w:bookmarkStart w:id="155" w:name="_Toc373333697"/>
            <w:bookmarkStart w:id="156" w:name="_Toc173211908"/>
            <w:bookmarkStart w:id="157" w:name="_Toc173066409"/>
            <w:bookmarkStart w:id="158" w:name="_Toc383699914"/>
            <w:bookmarkStart w:id="159" w:name="_Toc254970596"/>
            <w:r>
              <w:rPr>
                <w:rFonts w:hint="eastAsia" w:ascii="宋体" w:hAnsi="宋体" w:eastAsia="宋体" w:cs="仿宋_GB2312"/>
                <w:color w:val="000000" w:themeColor="text1"/>
                <w:kern w:val="2"/>
                <w:sz w:val="24"/>
                <w:szCs w:val="24"/>
                <w14:textFill>
                  <w14:solidFill>
                    <w14:schemeClr w14:val="tx1"/>
                  </w14:solidFill>
                </w14:textFill>
              </w:rPr>
              <w:t>4</w:t>
            </w:r>
            <w:bookmarkEnd w:id="151"/>
            <w:bookmarkEnd w:id="152"/>
            <w:bookmarkEnd w:id="153"/>
            <w:bookmarkEnd w:id="154"/>
            <w:bookmarkEnd w:id="155"/>
            <w:bookmarkEnd w:id="156"/>
            <w:bookmarkEnd w:id="157"/>
            <w:bookmarkEnd w:id="158"/>
            <w:bookmarkEnd w:id="159"/>
          </w:p>
        </w:tc>
        <w:tc>
          <w:tcPr>
            <w:tcW w:w="858" w:type="dxa"/>
            <w:tcBorders>
              <w:right w:val="single" w:color="auto" w:sz="4" w:space="0"/>
            </w:tcBorders>
            <w:vAlign w:val="center"/>
          </w:tcPr>
          <w:p w14:paraId="5ACF3FA9">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5BCA10D5">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71F49E6E">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vAlign w:val="center"/>
          </w:tcPr>
          <w:p w14:paraId="506EE71C">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r w14:paraId="4EF5E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8" w:type="dxa"/>
            <w:vAlign w:val="center"/>
          </w:tcPr>
          <w:p w14:paraId="575D4E81">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60" w:name="_Toc383699915"/>
            <w:bookmarkStart w:id="161" w:name="_Toc297193194"/>
            <w:bookmarkStart w:id="162" w:name="_Toc173066410"/>
            <w:bookmarkStart w:id="163" w:name="_Toc373333698"/>
            <w:bookmarkStart w:id="164" w:name="_Toc301781620"/>
            <w:bookmarkStart w:id="165" w:name="_Toc254970738"/>
            <w:bookmarkStart w:id="166" w:name="_Toc254970597"/>
            <w:bookmarkStart w:id="167" w:name="_Toc173211909"/>
            <w:bookmarkStart w:id="168" w:name="_Toc295404990"/>
            <w:r>
              <w:rPr>
                <w:rFonts w:hint="eastAsia" w:ascii="宋体" w:hAnsi="宋体" w:eastAsia="宋体" w:cs="仿宋_GB2312"/>
                <w:color w:val="000000" w:themeColor="text1"/>
                <w:kern w:val="2"/>
                <w:sz w:val="24"/>
                <w:szCs w:val="24"/>
                <w14:textFill>
                  <w14:solidFill>
                    <w14:schemeClr w14:val="tx1"/>
                  </w14:solidFill>
                </w14:textFill>
              </w:rPr>
              <w:t>5</w:t>
            </w:r>
            <w:bookmarkEnd w:id="160"/>
            <w:bookmarkEnd w:id="161"/>
            <w:bookmarkEnd w:id="162"/>
            <w:bookmarkEnd w:id="163"/>
            <w:bookmarkEnd w:id="164"/>
            <w:bookmarkEnd w:id="165"/>
            <w:bookmarkEnd w:id="166"/>
            <w:bookmarkEnd w:id="167"/>
            <w:bookmarkEnd w:id="168"/>
          </w:p>
        </w:tc>
        <w:tc>
          <w:tcPr>
            <w:tcW w:w="858" w:type="dxa"/>
            <w:tcBorders>
              <w:right w:val="single" w:color="auto" w:sz="4" w:space="0"/>
            </w:tcBorders>
            <w:vAlign w:val="center"/>
          </w:tcPr>
          <w:p w14:paraId="31998DB2">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6ADDAF8B">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55A44515">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vAlign w:val="center"/>
          </w:tcPr>
          <w:p w14:paraId="19FB0B86">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r w14:paraId="0F92F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8" w:type="dxa"/>
            <w:vAlign w:val="center"/>
          </w:tcPr>
          <w:p w14:paraId="4A7DC64F">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bookmarkStart w:id="169" w:name="_Toc254970743"/>
            <w:bookmarkStart w:id="170" w:name="_Toc295404991"/>
            <w:bookmarkStart w:id="171" w:name="_Toc301781621"/>
            <w:bookmarkStart w:id="172" w:name="_Toc297193195"/>
            <w:bookmarkStart w:id="173" w:name="_Toc373333699"/>
            <w:bookmarkStart w:id="174" w:name="_Toc173211914"/>
            <w:bookmarkStart w:id="175" w:name="_Toc173066415"/>
            <w:bookmarkStart w:id="176" w:name="_Toc383699916"/>
            <w:bookmarkStart w:id="177" w:name="_Toc254970602"/>
            <w:r>
              <w:rPr>
                <w:rFonts w:hint="eastAsia" w:ascii="宋体" w:hAnsi="宋体" w:eastAsia="宋体" w:cs="仿宋_GB2312"/>
                <w:color w:val="000000" w:themeColor="text1"/>
                <w:kern w:val="2"/>
                <w:sz w:val="24"/>
                <w:szCs w:val="24"/>
                <w14:textFill>
                  <w14:solidFill>
                    <w14:schemeClr w14:val="tx1"/>
                  </w14:solidFill>
                </w14:textFill>
              </w:rPr>
              <w:t>…</w:t>
            </w:r>
            <w:bookmarkEnd w:id="169"/>
            <w:bookmarkEnd w:id="170"/>
            <w:bookmarkEnd w:id="171"/>
            <w:bookmarkEnd w:id="172"/>
            <w:bookmarkEnd w:id="173"/>
            <w:bookmarkEnd w:id="174"/>
            <w:bookmarkEnd w:id="175"/>
            <w:bookmarkEnd w:id="176"/>
            <w:bookmarkEnd w:id="177"/>
          </w:p>
        </w:tc>
        <w:tc>
          <w:tcPr>
            <w:tcW w:w="858" w:type="dxa"/>
            <w:tcBorders>
              <w:right w:val="single" w:color="auto" w:sz="4" w:space="0"/>
            </w:tcBorders>
            <w:vAlign w:val="center"/>
          </w:tcPr>
          <w:p w14:paraId="562DA08F">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849" w:type="dxa"/>
            <w:tcBorders>
              <w:left w:val="single" w:color="auto" w:sz="4" w:space="0"/>
            </w:tcBorders>
            <w:vAlign w:val="center"/>
          </w:tcPr>
          <w:p w14:paraId="2F758250">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2564" w:type="dxa"/>
            <w:vAlign w:val="center"/>
          </w:tcPr>
          <w:p w14:paraId="4A151446">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c>
          <w:tcPr>
            <w:tcW w:w="1399" w:type="dxa"/>
            <w:tcBorders>
              <w:right w:val="single" w:color="auto" w:sz="4" w:space="0"/>
            </w:tcBorders>
            <w:vAlign w:val="center"/>
          </w:tcPr>
          <w:p w14:paraId="25B799C6">
            <w:pPr>
              <w:pStyle w:val="11"/>
              <w:spacing w:line="360" w:lineRule="auto"/>
              <w:ind w:firstLine="0" w:firstLineChars="0"/>
              <w:contextualSpacing/>
              <w:jc w:val="center"/>
              <w:rPr>
                <w:rFonts w:ascii="宋体" w:hAnsi="宋体" w:eastAsia="宋体" w:cs="仿宋_GB2312"/>
                <w:color w:val="000000" w:themeColor="text1"/>
                <w:kern w:val="2"/>
                <w:sz w:val="24"/>
                <w:szCs w:val="24"/>
                <w14:textFill>
                  <w14:solidFill>
                    <w14:schemeClr w14:val="tx1"/>
                  </w14:solidFill>
                </w14:textFill>
              </w:rPr>
            </w:pPr>
          </w:p>
        </w:tc>
      </w:tr>
    </w:tbl>
    <w:p w14:paraId="149A213D">
      <w:pPr>
        <w:adjustRightInd w:val="0"/>
        <w:spacing w:line="360" w:lineRule="auto"/>
        <w:contextualSpacing/>
        <w:rPr>
          <w:rFonts w:ascii="宋体" w:hAnsi="宋体" w:cs="仿宋_GB2312"/>
          <w:color w:val="000000" w:themeColor="text1"/>
          <w:sz w:val="24"/>
          <w14:textFill>
            <w14:solidFill>
              <w14:schemeClr w14:val="tx1"/>
            </w14:solidFill>
          </w14:textFill>
        </w:rPr>
      </w:pPr>
    </w:p>
    <w:p w14:paraId="77F9E7E4">
      <w:pPr>
        <w:pStyle w:val="11"/>
        <w:spacing w:line="360" w:lineRule="auto"/>
        <w:ind w:firstLine="0" w:firstLineChars="0"/>
        <w:contextualSpacing/>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注：</w:t>
      </w:r>
    </w:p>
    <w:p w14:paraId="494201A6">
      <w:pPr>
        <w:pStyle w:val="11"/>
        <w:spacing w:line="360" w:lineRule="auto"/>
        <w:ind w:firstLine="0" w:firstLineChars="0"/>
        <w:contextualSpacing/>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1. 说明：应对照磋商文件“第三章 采购需求”中的技术要求逐条作出明确响应，并作出偏离说明。</w:t>
      </w:r>
    </w:p>
    <w:p w14:paraId="044625D5">
      <w:pPr>
        <w:pStyle w:val="11"/>
        <w:spacing w:line="360" w:lineRule="auto"/>
        <w:ind w:firstLine="0" w:firstLineChars="0"/>
        <w:contextualSpacing/>
        <w:rPr>
          <w:rFonts w:ascii="宋体" w:hAnsi="宋体" w:eastAsia="宋体" w:cs="仿宋_GB2312"/>
          <w:color w:val="000000" w:themeColor="text1"/>
          <w:sz w:val="24"/>
          <w:szCs w:val="24"/>
          <w14:textFill>
            <w14:solidFill>
              <w14:schemeClr w14:val="tx1"/>
            </w14:solidFill>
          </w14:textFill>
        </w:rPr>
      </w:pPr>
      <w:r>
        <w:rPr>
          <w:rFonts w:hint="eastAsia" w:ascii="宋体" w:hAnsi="宋体" w:eastAsia="宋体" w:cs="仿宋_GB2312"/>
          <w:color w:val="000000" w:themeColor="text1"/>
          <w:sz w:val="24"/>
          <w:szCs w:val="24"/>
          <w14:textFill>
            <w14:solidFill>
              <w14:schemeClr w14:val="tx1"/>
            </w14:solidFill>
          </w14:textFill>
        </w:rPr>
        <w:t>2.供应商应根据自身的承诺，对照磋商文件要求，在“偏离说明”中注明“正偏离”、“负偏离”或者“无偏离”。既不属于“正偏离”也不属于“负偏离”即为“无偏离”。</w:t>
      </w:r>
    </w:p>
    <w:p w14:paraId="12261EC5">
      <w:pPr>
        <w:spacing w:line="360" w:lineRule="auto"/>
        <w:ind w:right="-817" w:rightChars="-389"/>
        <w:contextualSpacing/>
        <w:rPr>
          <w:rFonts w:ascii="宋体" w:hAnsi="宋体" w:cs="仿宋_GB2312"/>
          <w:color w:val="000000" w:themeColor="text1"/>
          <w:sz w:val="24"/>
          <w14:textFill>
            <w14:solidFill>
              <w14:schemeClr w14:val="tx1"/>
            </w14:solidFill>
          </w14:textFill>
        </w:rPr>
      </w:pPr>
    </w:p>
    <w:p w14:paraId="5B771C7E">
      <w:pPr>
        <w:spacing w:line="360" w:lineRule="auto"/>
        <w:ind w:right="-817" w:rightChars="-389"/>
        <w:contextualSpacing/>
        <w:jc w:val="center"/>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038CFF12">
      <w:pPr>
        <w:spacing w:line="360" w:lineRule="auto"/>
        <w:ind w:right="-817" w:rightChars="-389" w:firstLine="2640" w:firstLineChars="11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供应商名称（电子签章）：      </w:t>
      </w:r>
    </w:p>
    <w:p w14:paraId="5321FB3A">
      <w:pPr>
        <w:spacing w:line="360" w:lineRule="auto"/>
        <w:ind w:right="-817" w:rightChars="-389" w:firstLine="4080" w:firstLineChars="17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   年   月   日</w:t>
      </w:r>
    </w:p>
    <w:p w14:paraId="59AFC7EB">
      <w:pPr>
        <w:snapToGrid w:val="0"/>
        <w:spacing w:before="120" w:beforeLines="50" w:after="50"/>
        <w:ind w:left="142"/>
        <w:jc w:val="left"/>
        <w:rPr>
          <w:rFonts w:ascii="宋体" w:hAnsi="宋体"/>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项目实施人员一览表格式</w:t>
      </w:r>
    </w:p>
    <w:p w14:paraId="47957922">
      <w:pPr>
        <w:snapToGrid w:val="0"/>
        <w:spacing w:before="120" w:beforeLines="50" w:after="50"/>
        <w:ind w:left="142"/>
        <w:jc w:val="left"/>
        <w:rPr>
          <w:rFonts w:ascii="宋体" w:hAnsi="宋体"/>
          <w:b/>
          <w:color w:val="000000" w:themeColor="text1"/>
          <w:sz w:val="24"/>
          <w14:textFill>
            <w14:solidFill>
              <w14:schemeClr w14:val="tx1"/>
            </w14:solidFill>
          </w14:textFill>
        </w:rPr>
      </w:pPr>
    </w:p>
    <w:p w14:paraId="4C54E35E">
      <w:pPr>
        <w:spacing w:line="360" w:lineRule="auto"/>
        <w:ind w:left="142"/>
        <w:contextualSpacing/>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项目实施人员一览表</w:t>
      </w:r>
    </w:p>
    <w:p w14:paraId="6FA37B11">
      <w:pPr>
        <w:pStyle w:val="13"/>
        <w:spacing w:line="360" w:lineRule="auto"/>
        <w:contextualSpacing/>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所竞分标：分标</w:t>
      </w:r>
    </w:p>
    <w:tbl>
      <w:tblPr>
        <w:tblStyle w:val="2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379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B526EC">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姓名</w:t>
            </w:r>
          </w:p>
        </w:tc>
        <w:tc>
          <w:tcPr>
            <w:tcW w:w="709" w:type="dxa"/>
            <w:vAlign w:val="center"/>
          </w:tcPr>
          <w:p w14:paraId="59A30D5D">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职务</w:t>
            </w:r>
          </w:p>
        </w:tc>
        <w:tc>
          <w:tcPr>
            <w:tcW w:w="1701" w:type="dxa"/>
            <w:vAlign w:val="center"/>
          </w:tcPr>
          <w:p w14:paraId="5F449CB3">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专业技术资格（职称）或者职业资格或者执业资格证或者其他证书</w:t>
            </w:r>
          </w:p>
        </w:tc>
        <w:tc>
          <w:tcPr>
            <w:tcW w:w="1420" w:type="dxa"/>
            <w:vAlign w:val="center"/>
          </w:tcPr>
          <w:p w14:paraId="663C58CA">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证书编号</w:t>
            </w:r>
          </w:p>
        </w:tc>
        <w:tc>
          <w:tcPr>
            <w:tcW w:w="1698" w:type="dxa"/>
            <w:vAlign w:val="center"/>
          </w:tcPr>
          <w:p w14:paraId="34272E73">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参加本单位</w:t>
            </w:r>
          </w:p>
          <w:p w14:paraId="5E2DCF49">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工作时间</w:t>
            </w:r>
          </w:p>
        </w:tc>
        <w:tc>
          <w:tcPr>
            <w:tcW w:w="1843" w:type="dxa"/>
            <w:vAlign w:val="center"/>
          </w:tcPr>
          <w:p w14:paraId="1E7617BC">
            <w:pPr>
              <w:spacing w:line="360" w:lineRule="auto"/>
              <w:contextualSpacing/>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劳动合同编号</w:t>
            </w:r>
          </w:p>
        </w:tc>
      </w:tr>
      <w:tr w14:paraId="5CB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FAFF9F">
            <w:pPr>
              <w:spacing w:line="360" w:lineRule="auto"/>
              <w:contextualSpacing/>
              <w:jc w:val="center"/>
              <w:rPr>
                <w:rFonts w:ascii="宋体" w:hAnsi="宋体"/>
                <w:color w:val="000000" w:themeColor="text1"/>
                <w:sz w:val="24"/>
                <w:szCs w:val="20"/>
                <w14:textFill>
                  <w14:solidFill>
                    <w14:schemeClr w14:val="tx1"/>
                  </w14:solidFill>
                </w14:textFill>
              </w:rPr>
            </w:pPr>
          </w:p>
        </w:tc>
        <w:tc>
          <w:tcPr>
            <w:tcW w:w="709" w:type="dxa"/>
            <w:vAlign w:val="center"/>
          </w:tcPr>
          <w:p w14:paraId="482D55C5">
            <w:pPr>
              <w:spacing w:line="360" w:lineRule="auto"/>
              <w:contextualSpacing/>
              <w:jc w:val="center"/>
              <w:rPr>
                <w:rFonts w:ascii="宋体" w:hAnsi="宋体"/>
                <w:color w:val="000000" w:themeColor="text1"/>
                <w:sz w:val="24"/>
                <w:szCs w:val="20"/>
                <w14:textFill>
                  <w14:solidFill>
                    <w14:schemeClr w14:val="tx1"/>
                  </w14:solidFill>
                </w14:textFill>
              </w:rPr>
            </w:pPr>
          </w:p>
        </w:tc>
        <w:tc>
          <w:tcPr>
            <w:tcW w:w="1701" w:type="dxa"/>
            <w:vAlign w:val="center"/>
          </w:tcPr>
          <w:p w14:paraId="0E404CB2">
            <w:pPr>
              <w:spacing w:line="360" w:lineRule="auto"/>
              <w:contextualSpacing/>
              <w:jc w:val="center"/>
              <w:rPr>
                <w:rFonts w:ascii="宋体" w:hAnsi="宋体"/>
                <w:color w:val="000000" w:themeColor="text1"/>
                <w:sz w:val="24"/>
                <w:szCs w:val="20"/>
                <w14:textFill>
                  <w14:solidFill>
                    <w14:schemeClr w14:val="tx1"/>
                  </w14:solidFill>
                </w14:textFill>
              </w:rPr>
            </w:pPr>
          </w:p>
        </w:tc>
        <w:tc>
          <w:tcPr>
            <w:tcW w:w="1420" w:type="dxa"/>
            <w:vAlign w:val="center"/>
          </w:tcPr>
          <w:p w14:paraId="53CB123E">
            <w:pPr>
              <w:spacing w:line="360" w:lineRule="auto"/>
              <w:contextualSpacing/>
              <w:jc w:val="center"/>
              <w:rPr>
                <w:rFonts w:ascii="宋体" w:hAnsi="宋体"/>
                <w:color w:val="000000" w:themeColor="text1"/>
                <w:sz w:val="24"/>
                <w:szCs w:val="20"/>
                <w14:textFill>
                  <w14:solidFill>
                    <w14:schemeClr w14:val="tx1"/>
                  </w14:solidFill>
                </w14:textFill>
              </w:rPr>
            </w:pPr>
          </w:p>
        </w:tc>
        <w:tc>
          <w:tcPr>
            <w:tcW w:w="1698" w:type="dxa"/>
            <w:vAlign w:val="center"/>
          </w:tcPr>
          <w:p w14:paraId="3087BC9A">
            <w:pPr>
              <w:spacing w:line="360" w:lineRule="auto"/>
              <w:contextualSpacing/>
              <w:jc w:val="center"/>
              <w:rPr>
                <w:rFonts w:ascii="宋体" w:hAnsi="宋体"/>
                <w:color w:val="000000" w:themeColor="text1"/>
                <w:sz w:val="24"/>
                <w:szCs w:val="20"/>
                <w14:textFill>
                  <w14:solidFill>
                    <w14:schemeClr w14:val="tx1"/>
                  </w14:solidFill>
                </w14:textFill>
              </w:rPr>
            </w:pPr>
          </w:p>
        </w:tc>
        <w:tc>
          <w:tcPr>
            <w:tcW w:w="1843" w:type="dxa"/>
            <w:vAlign w:val="center"/>
          </w:tcPr>
          <w:p w14:paraId="625B1EE2">
            <w:pPr>
              <w:spacing w:line="360" w:lineRule="auto"/>
              <w:contextualSpacing/>
              <w:jc w:val="center"/>
              <w:rPr>
                <w:rFonts w:ascii="宋体" w:hAnsi="宋体"/>
                <w:color w:val="000000" w:themeColor="text1"/>
                <w:sz w:val="24"/>
                <w:szCs w:val="20"/>
                <w14:textFill>
                  <w14:solidFill>
                    <w14:schemeClr w14:val="tx1"/>
                  </w14:solidFill>
                </w14:textFill>
              </w:rPr>
            </w:pPr>
          </w:p>
        </w:tc>
      </w:tr>
      <w:tr w14:paraId="05C6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56D1F1">
            <w:pPr>
              <w:spacing w:line="360" w:lineRule="auto"/>
              <w:contextualSpacing/>
              <w:jc w:val="center"/>
              <w:rPr>
                <w:rFonts w:ascii="宋体" w:hAnsi="宋体"/>
                <w:color w:val="000000" w:themeColor="text1"/>
                <w:sz w:val="24"/>
                <w:szCs w:val="20"/>
                <w14:textFill>
                  <w14:solidFill>
                    <w14:schemeClr w14:val="tx1"/>
                  </w14:solidFill>
                </w14:textFill>
              </w:rPr>
            </w:pPr>
          </w:p>
        </w:tc>
        <w:tc>
          <w:tcPr>
            <w:tcW w:w="709" w:type="dxa"/>
            <w:vAlign w:val="center"/>
          </w:tcPr>
          <w:p w14:paraId="73C0EBBB">
            <w:pPr>
              <w:spacing w:line="360" w:lineRule="auto"/>
              <w:contextualSpacing/>
              <w:jc w:val="center"/>
              <w:rPr>
                <w:rFonts w:ascii="宋体" w:hAnsi="宋体"/>
                <w:color w:val="000000" w:themeColor="text1"/>
                <w:sz w:val="24"/>
                <w:szCs w:val="20"/>
                <w14:textFill>
                  <w14:solidFill>
                    <w14:schemeClr w14:val="tx1"/>
                  </w14:solidFill>
                </w14:textFill>
              </w:rPr>
            </w:pPr>
          </w:p>
        </w:tc>
        <w:tc>
          <w:tcPr>
            <w:tcW w:w="1701" w:type="dxa"/>
            <w:vAlign w:val="center"/>
          </w:tcPr>
          <w:p w14:paraId="4B205553">
            <w:pPr>
              <w:spacing w:line="360" w:lineRule="auto"/>
              <w:contextualSpacing/>
              <w:jc w:val="center"/>
              <w:rPr>
                <w:rFonts w:ascii="宋体" w:hAnsi="宋体"/>
                <w:color w:val="000000" w:themeColor="text1"/>
                <w:sz w:val="24"/>
                <w:szCs w:val="20"/>
                <w14:textFill>
                  <w14:solidFill>
                    <w14:schemeClr w14:val="tx1"/>
                  </w14:solidFill>
                </w14:textFill>
              </w:rPr>
            </w:pPr>
          </w:p>
        </w:tc>
        <w:tc>
          <w:tcPr>
            <w:tcW w:w="1420" w:type="dxa"/>
            <w:vAlign w:val="center"/>
          </w:tcPr>
          <w:p w14:paraId="32763CAD">
            <w:pPr>
              <w:spacing w:line="360" w:lineRule="auto"/>
              <w:contextualSpacing/>
              <w:jc w:val="center"/>
              <w:rPr>
                <w:rFonts w:ascii="宋体" w:hAnsi="宋体"/>
                <w:color w:val="000000" w:themeColor="text1"/>
                <w:sz w:val="24"/>
                <w:szCs w:val="20"/>
                <w14:textFill>
                  <w14:solidFill>
                    <w14:schemeClr w14:val="tx1"/>
                  </w14:solidFill>
                </w14:textFill>
              </w:rPr>
            </w:pPr>
          </w:p>
        </w:tc>
        <w:tc>
          <w:tcPr>
            <w:tcW w:w="1698" w:type="dxa"/>
            <w:vAlign w:val="center"/>
          </w:tcPr>
          <w:p w14:paraId="7D02856C">
            <w:pPr>
              <w:spacing w:line="360" w:lineRule="auto"/>
              <w:contextualSpacing/>
              <w:jc w:val="center"/>
              <w:rPr>
                <w:rFonts w:ascii="宋体" w:hAnsi="宋体"/>
                <w:color w:val="000000" w:themeColor="text1"/>
                <w:sz w:val="24"/>
                <w:szCs w:val="20"/>
                <w14:textFill>
                  <w14:solidFill>
                    <w14:schemeClr w14:val="tx1"/>
                  </w14:solidFill>
                </w14:textFill>
              </w:rPr>
            </w:pPr>
          </w:p>
        </w:tc>
        <w:tc>
          <w:tcPr>
            <w:tcW w:w="1843" w:type="dxa"/>
            <w:vAlign w:val="center"/>
          </w:tcPr>
          <w:p w14:paraId="64C57280">
            <w:pPr>
              <w:spacing w:line="360" w:lineRule="auto"/>
              <w:contextualSpacing/>
              <w:jc w:val="center"/>
              <w:rPr>
                <w:rFonts w:ascii="宋体" w:hAnsi="宋体"/>
                <w:color w:val="000000" w:themeColor="text1"/>
                <w:sz w:val="24"/>
                <w:szCs w:val="20"/>
                <w14:textFill>
                  <w14:solidFill>
                    <w14:schemeClr w14:val="tx1"/>
                  </w14:solidFill>
                </w14:textFill>
              </w:rPr>
            </w:pPr>
          </w:p>
        </w:tc>
      </w:tr>
      <w:tr w14:paraId="411F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230505">
            <w:pPr>
              <w:spacing w:line="360" w:lineRule="auto"/>
              <w:contextualSpacing/>
              <w:jc w:val="center"/>
              <w:rPr>
                <w:rFonts w:ascii="宋体" w:hAnsi="宋体"/>
                <w:color w:val="000000" w:themeColor="text1"/>
                <w:sz w:val="24"/>
                <w:szCs w:val="20"/>
                <w14:textFill>
                  <w14:solidFill>
                    <w14:schemeClr w14:val="tx1"/>
                  </w14:solidFill>
                </w14:textFill>
              </w:rPr>
            </w:pPr>
          </w:p>
        </w:tc>
        <w:tc>
          <w:tcPr>
            <w:tcW w:w="709" w:type="dxa"/>
            <w:vAlign w:val="center"/>
          </w:tcPr>
          <w:p w14:paraId="3F8461F7">
            <w:pPr>
              <w:spacing w:line="360" w:lineRule="auto"/>
              <w:contextualSpacing/>
              <w:jc w:val="center"/>
              <w:rPr>
                <w:rFonts w:ascii="宋体" w:hAnsi="宋体"/>
                <w:color w:val="000000" w:themeColor="text1"/>
                <w:sz w:val="24"/>
                <w:szCs w:val="20"/>
                <w14:textFill>
                  <w14:solidFill>
                    <w14:schemeClr w14:val="tx1"/>
                  </w14:solidFill>
                </w14:textFill>
              </w:rPr>
            </w:pPr>
          </w:p>
        </w:tc>
        <w:tc>
          <w:tcPr>
            <w:tcW w:w="1701" w:type="dxa"/>
            <w:vAlign w:val="center"/>
          </w:tcPr>
          <w:p w14:paraId="54AF0FB4">
            <w:pPr>
              <w:spacing w:line="360" w:lineRule="auto"/>
              <w:contextualSpacing/>
              <w:jc w:val="center"/>
              <w:rPr>
                <w:rFonts w:ascii="宋体" w:hAnsi="宋体"/>
                <w:color w:val="000000" w:themeColor="text1"/>
                <w:sz w:val="24"/>
                <w:szCs w:val="20"/>
                <w14:textFill>
                  <w14:solidFill>
                    <w14:schemeClr w14:val="tx1"/>
                  </w14:solidFill>
                </w14:textFill>
              </w:rPr>
            </w:pPr>
          </w:p>
        </w:tc>
        <w:tc>
          <w:tcPr>
            <w:tcW w:w="1420" w:type="dxa"/>
            <w:vAlign w:val="center"/>
          </w:tcPr>
          <w:p w14:paraId="5AFA5776">
            <w:pPr>
              <w:spacing w:line="360" w:lineRule="auto"/>
              <w:contextualSpacing/>
              <w:jc w:val="center"/>
              <w:rPr>
                <w:rFonts w:ascii="宋体" w:hAnsi="宋体"/>
                <w:color w:val="000000" w:themeColor="text1"/>
                <w:sz w:val="24"/>
                <w:szCs w:val="20"/>
                <w14:textFill>
                  <w14:solidFill>
                    <w14:schemeClr w14:val="tx1"/>
                  </w14:solidFill>
                </w14:textFill>
              </w:rPr>
            </w:pPr>
          </w:p>
        </w:tc>
        <w:tc>
          <w:tcPr>
            <w:tcW w:w="1698" w:type="dxa"/>
            <w:vAlign w:val="center"/>
          </w:tcPr>
          <w:p w14:paraId="50FA395C">
            <w:pPr>
              <w:spacing w:line="360" w:lineRule="auto"/>
              <w:contextualSpacing/>
              <w:jc w:val="center"/>
              <w:rPr>
                <w:rFonts w:ascii="宋体" w:hAnsi="宋体"/>
                <w:color w:val="000000" w:themeColor="text1"/>
                <w:sz w:val="24"/>
                <w:szCs w:val="20"/>
                <w14:textFill>
                  <w14:solidFill>
                    <w14:schemeClr w14:val="tx1"/>
                  </w14:solidFill>
                </w14:textFill>
              </w:rPr>
            </w:pPr>
          </w:p>
        </w:tc>
        <w:tc>
          <w:tcPr>
            <w:tcW w:w="1843" w:type="dxa"/>
            <w:vAlign w:val="center"/>
          </w:tcPr>
          <w:p w14:paraId="2A77630D">
            <w:pPr>
              <w:spacing w:line="360" w:lineRule="auto"/>
              <w:contextualSpacing/>
              <w:jc w:val="center"/>
              <w:rPr>
                <w:rFonts w:ascii="宋体" w:hAnsi="宋体"/>
                <w:color w:val="000000" w:themeColor="text1"/>
                <w:sz w:val="24"/>
                <w:szCs w:val="20"/>
                <w14:textFill>
                  <w14:solidFill>
                    <w14:schemeClr w14:val="tx1"/>
                  </w14:solidFill>
                </w14:textFill>
              </w:rPr>
            </w:pPr>
          </w:p>
        </w:tc>
      </w:tr>
    </w:tbl>
    <w:p w14:paraId="7A4AE0BB">
      <w:pPr>
        <w:spacing w:line="360" w:lineRule="auto"/>
        <w:contextualSpacing/>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注：</w:t>
      </w:r>
    </w:p>
    <w:p w14:paraId="259C6A1C">
      <w:pPr>
        <w:spacing w:line="360" w:lineRule="auto"/>
        <w:contextualSpacing/>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1</w:t>
      </w:r>
      <w:r>
        <w:rPr>
          <w:rFonts w:ascii="宋体" w:hAns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在填写时，如本表格不适合供应商的实际情况，可根据本表格式自行制表填写。</w:t>
      </w:r>
    </w:p>
    <w:p w14:paraId="7C9F7787">
      <w:pPr>
        <w:spacing w:line="360" w:lineRule="auto"/>
        <w:contextualSpacing/>
        <w:jc w:val="left"/>
        <w:rPr>
          <w:rFonts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hint="eastAsia" w:ascii="宋体" w:hAnsi="宋体"/>
          <w:color w:val="000000" w:themeColor="text1"/>
          <w:sz w:val="24"/>
          <w:szCs w:val="20"/>
          <w14:textFill>
            <w14:solidFill>
              <w14:schemeClr w14:val="tx1"/>
            </w14:solidFill>
          </w14:textFill>
        </w:rPr>
        <w:t>供应商应当附本表所列证书的复印件并加盖供应商电子签章。</w:t>
      </w:r>
    </w:p>
    <w:p w14:paraId="0CB98190">
      <w:pPr>
        <w:spacing w:line="360" w:lineRule="auto"/>
        <w:contextualSpacing/>
        <w:rPr>
          <w:rFonts w:ascii="宋体" w:hAnsi="宋体"/>
          <w:color w:val="000000" w:themeColor="text1"/>
          <w:sz w:val="24"/>
          <w14:textFill>
            <w14:solidFill>
              <w14:schemeClr w14:val="tx1"/>
            </w14:solidFill>
          </w14:textFill>
        </w:rPr>
      </w:pPr>
    </w:p>
    <w:p w14:paraId="43AC2D2E">
      <w:pPr>
        <w:spacing w:line="360" w:lineRule="auto"/>
        <w:contextualSpacing/>
        <w:rPr>
          <w:rFonts w:ascii="宋体" w:hAns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olor w:val="000000" w:themeColor="text1"/>
          <w:spacing w:val="20"/>
          <w:sz w:val="24"/>
          <w14:textFill>
            <w14:solidFill>
              <w14:schemeClr w14:val="tx1"/>
            </w14:solidFill>
          </w14:textFill>
        </w:rPr>
        <w:t>签字：</w:t>
      </w:r>
    </w:p>
    <w:p w14:paraId="3F4E1C92">
      <w:pPr>
        <w:spacing w:line="360" w:lineRule="auto"/>
        <w:contextualSpacing/>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供应商名称（电子签章）：           日 期：</w:t>
      </w:r>
    </w:p>
    <w:p w14:paraId="32AAE53B">
      <w:pPr>
        <w:snapToGrid w:val="0"/>
        <w:spacing w:before="120" w:beforeLines="50" w:after="50"/>
        <w:jc w:val="left"/>
        <w:rPr>
          <w:rFonts w:ascii="方正小标宋简体" w:hAnsi="方正小标宋简体" w:eastAsia="方正小标宋简体" w:cs="方正小标宋简体"/>
          <w:bCs/>
          <w:color w:val="000000" w:themeColor="text1"/>
          <w:szCs w:val="21"/>
          <w14:textFill>
            <w14:solidFill>
              <w14:schemeClr w14:val="tx1"/>
            </w14:solidFill>
          </w14:textFill>
        </w:rPr>
      </w:pPr>
      <w:r>
        <w:rPr>
          <w:rFonts w:ascii="宋体" w:hAnsi="宋体"/>
          <w:color w:val="000000" w:themeColor="text1"/>
          <w:sz w:val="24"/>
          <w:szCs w:val="20"/>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Cs w:val="21"/>
          <w14:textFill>
            <w14:solidFill>
              <w14:schemeClr w14:val="tx1"/>
            </w14:solidFill>
          </w14:textFill>
        </w:rPr>
        <w:t>代理服务费承诺书（如本项目为采购人支付代理服务费的，无需提供）</w:t>
      </w:r>
    </w:p>
    <w:p w14:paraId="6128DA41">
      <w:pPr>
        <w:snapToGrid w:val="0"/>
        <w:spacing w:before="120" w:beforeLines="50" w:after="50"/>
        <w:jc w:val="left"/>
        <w:rPr>
          <w:rFonts w:ascii="方正小标宋简体" w:hAnsi="方正小标宋简体" w:eastAsia="方正小标宋简体" w:cs="方正小标宋简体"/>
          <w:bCs/>
          <w:color w:val="000000" w:themeColor="text1"/>
          <w:szCs w:val="21"/>
          <w14:textFill>
            <w14:solidFill>
              <w14:schemeClr w14:val="tx1"/>
            </w14:solidFill>
          </w14:textFill>
        </w:rPr>
      </w:pPr>
    </w:p>
    <w:p w14:paraId="7749D6F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代理服务费承诺书</w:t>
      </w:r>
    </w:p>
    <w:p w14:paraId="66C7A188">
      <w:pPr>
        <w:snapToGrid w:val="0"/>
        <w:spacing w:before="120" w:beforeLines="50" w:after="50"/>
        <w:jc w:val="center"/>
        <w:rPr>
          <w:rFonts w:ascii="宋体" w:hAnsi="宋体"/>
          <w:b/>
          <w:color w:val="000000" w:themeColor="text1"/>
          <w:sz w:val="24"/>
          <w14:textFill>
            <w14:solidFill>
              <w14:schemeClr w14:val="tx1"/>
            </w14:solidFill>
          </w14:textFill>
        </w:rPr>
      </w:pPr>
    </w:p>
    <w:p w14:paraId="138CD16D">
      <w:pPr>
        <w:spacing w:line="360" w:lineRule="auto"/>
        <w:rPr>
          <w:rFonts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致：</w:t>
      </w:r>
      <w:r>
        <w:rPr>
          <w:rFonts w:hint="eastAsia" w:ascii="宋体" w:hAnsi="宋体"/>
          <w:color w:val="000000" w:themeColor="text1"/>
          <w:sz w:val="24"/>
          <w:u w:val="single"/>
          <w14:textFill>
            <w14:solidFill>
              <w14:schemeClr w14:val="tx1"/>
            </w14:solidFill>
          </w14:textFill>
        </w:rPr>
        <w:t>招标代理机构名称</w:t>
      </w:r>
      <w:r>
        <w:rPr>
          <w:rFonts w:hint="eastAsia" w:ascii="宋体" w:hAnsi="宋体"/>
          <w:color w:val="000000" w:themeColor="text1"/>
          <w:sz w:val="24"/>
          <w14:textFill>
            <w14:solidFill>
              <w14:schemeClr w14:val="tx1"/>
            </w14:solidFill>
          </w14:textFill>
        </w:rPr>
        <w:t>：</w:t>
      </w:r>
    </w:p>
    <w:p w14:paraId="1C4AEF1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本单位参加了贵方组织的</w:t>
      </w:r>
      <w:r>
        <w:rPr>
          <w:rFonts w:hint="eastAsia" w:ascii="宋体" w:hAnsi="宋体"/>
          <w:color w:val="000000" w:themeColor="text1"/>
          <w:sz w:val="24"/>
          <w:u w:val="single"/>
          <w14:textFill>
            <w14:solidFill>
              <w14:schemeClr w14:val="tx1"/>
            </w14:solidFill>
          </w14:textFill>
        </w:rPr>
        <w:t xml:space="preserve">  项目名称（项目编号）  </w:t>
      </w:r>
      <w:r>
        <w:rPr>
          <w:rFonts w:hint="eastAsia" w:ascii="宋体" w:hAnsi="宋体"/>
          <w:color w:val="000000" w:themeColor="text1"/>
          <w:sz w:val="24"/>
          <w14:textFill>
            <w14:solidFill>
              <w14:schemeClr w14:val="tx1"/>
            </w14:solidFill>
          </w14:textFill>
        </w:rPr>
        <w:t>项目， 在此说明如下：</w:t>
      </w:r>
    </w:p>
    <w:p w14:paraId="01C3B49B">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4BF450F6">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2.本单位选择第种方式作为代理服务费开票类型：</w:t>
      </w:r>
    </w:p>
    <w:p w14:paraId="76D2BF1D">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第一种方式：开具增值税普通发票。开票信息如下：</w:t>
      </w:r>
    </w:p>
    <w:p w14:paraId="0DFAB2E6">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（1）公司名称</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65ADE2AA">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（2）纳税人识别号</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5ADD8E0A">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第二种方式：开具增值税专用发票，开票信息如下：</w:t>
      </w:r>
    </w:p>
    <w:p w14:paraId="009F0043">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（1）公司名称</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6ED9A9A8">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（2）纳税人识别号</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2F4E8F64">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（3）在税局登记的地址</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73DFA9FF">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（4）在税局登记的电话</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66897E17">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（5）开户银行</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43B72C45">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（6）银行账户</w:t>
      </w:r>
      <w:r>
        <w:rPr>
          <w:rFonts w:hint="eastAsia" w:ascii="宋体" w:hAnsi="宋体"/>
          <w:color w:val="000000" w:themeColor="text1"/>
          <w:sz w:val="24"/>
          <w:u w:val="single"/>
          <w14:textFill>
            <w14:solidFill>
              <w14:schemeClr w14:val="tx1"/>
            </w14:solidFill>
          </w14:textFill>
        </w:rPr>
        <w:t xml:space="preserve">_                           </w:t>
      </w:r>
      <w:r>
        <w:rPr>
          <w:rFonts w:hint="eastAsia" w:ascii="宋体" w:hAnsi="宋体"/>
          <w:color w:val="000000" w:themeColor="text1"/>
          <w:sz w:val="24"/>
          <w14:textFill>
            <w14:solidFill>
              <w14:schemeClr w14:val="tx1"/>
            </w14:solidFill>
          </w14:textFill>
        </w:rPr>
        <w:t>。</w:t>
      </w:r>
    </w:p>
    <w:p w14:paraId="652A2CD4">
      <w:pPr>
        <w:spacing w:line="440" w:lineRule="exact"/>
        <w:rPr>
          <w:rFonts w:ascii="宋体" w:hAnsi="宋体"/>
          <w:color w:val="000000" w:themeColor="text1"/>
          <w:sz w:val="24"/>
          <w14:textFill>
            <w14:solidFill>
              <w14:schemeClr w14:val="tx1"/>
            </w14:solidFill>
          </w14:textFill>
        </w:rPr>
      </w:pPr>
    </w:p>
    <w:p w14:paraId="1E06B216">
      <w:pPr>
        <w:spacing w:line="440" w:lineRule="exact"/>
        <w:rPr>
          <w:rFonts w:ascii="宋体" w:hAnsi="宋体"/>
          <w:color w:val="000000" w:themeColor="text1"/>
          <w:sz w:val="24"/>
          <w14:textFill>
            <w14:solidFill>
              <w14:schemeClr w14:val="tx1"/>
            </w14:solidFill>
          </w14:textFill>
        </w:rPr>
      </w:pPr>
    </w:p>
    <w:p w14:paraId="01EAAD25">
      <w:pPr>
        <w:spacing w:line="440" w:lineRule="exact"/>
        <w:rPr>
          <w:rFonts w:ascii="宋体" w:hAnsi="宋体"/>
          <w:color w:val="000000" w:themeColor="text1"/>
          <w:sz w:val="24"/>
          <w14:textFill>
            <w14:solidFill>
              <w14:schemeClr w14:val="tx1"/>
            </w14:solidFill>
          </w14:textFill>
        </w:rPr>
      </w:pPr>
    </w:p>
    <w:p w14:paraId="23010BEE">
      <w:pPr>
        <w:snapToGrid w:val="0"/>
        <w:spacing w:line="360" w:lineRule="auto"/>
        <w:ind w:left="-2" w:leftChars="-1" w:right="-817" w:rightChars="-389" w:firstLine="1920" w:firstLineChars="8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法定代表人或者委托代理人（签字或者电子签名）： </w:t>
      </w:r>
    </w:p>
    <w:p w14:paraId="7A3378BC">
      <w:pPr>
        <w:snapToGrid w:val="0"/>
        <w:spacing w:line="360" w:lineRule="auto"/>
        <w:ind w:left="-3" w:leftChars="-15" w:right="-817" w:rightChars="-389" w:hanging="28" w:hangingChars="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供应商公章（电子签章）：</w:t>
      </w:r>
    </w:p>
    <w:p w14:paraId="23ABBBE2">
      <w:pPr>
        <w:snapToGrid w:val="0"/>
        <w:spacing w:line="360" w:lineRule="auto"/>
        <w:ind w:right="480" w:firstLine="240" w:firstLineChars="100"/>
        <w:jc w:val="left"/>
        <w:rPr>
          <w:rFonts w:ascii="宋体" w:hAnsi="宋体"/>
          <w:color w:val="000000" w:themeColor="text1"/>
          <w:szCs w:val="21"/>
          <w14:textFill>
            <w14:solidFill>
              <w14:schemeClr w14:val="tx1"/>
            </w14:solidFill>
          </w14:textFill>
        </w:rPr>
        <w:sectPr>
          <w:pgSz w:w="11906" w:h="16838"/>
          <w:pgMar w:top="1440" w:right="1797" w:bottom="1440" w:left="1797" w:header="851" w:footer="992" w:gutter="0"/>
          <w:cols w:space="720" w:num="1"/>
        </w:sectPr>
      </w:pPr>
      <w:r>
        <w:rPr>
          <w:rFonts w:hint="eastAsia" w:ascii="宋体" w:hAnsi="宋体"/>
          <w:color w:val="000000" w:themeColor="text1"/>
          <w:sz w:val="24"/>
          <w14:textFill>
            <w14:solidFill>
              <w14:schemeClr w14:val="tx1"/>
            </w14:solidFill>
          </w14:textFill>
        </w:rPr>
        <w:t xml:space="preserve">                                    日期：    年   月   </w:t>
      </w:r>
    </w:p>
    <w:p w14:paraId="0E53A30C">
      <w:pPr>
        <w:spacing w:line="30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 w:val="24"/>
          <w14:textFill>
            <w14:solidFill>
              <w14:schemeClr w14:val="tx1"/>
            </w14:solidFill>
          </w14:textFill>
        </w:rPr>
        <w:t>其他文书、文件格式</w:t>
      </w:r>
    </w:p>
    <w:p w14:paraId="39A2C3F3">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78"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中小企业声明函（服务）</w:t>
      </w:r>
      <w:bookmarkEnd w:id="178"/>
    </w:p>
    <w:p w14:paraId="34440AC8">
      <w:pPr>
        <w:spacing w:before="2" w:line="500" w:lineRule="exact"/>
        <w:ind w:firstLine="708" w:firstLineChars="294"/>
        <w:rPr>
          <w:rFonts w:ascii="宋体" w:hAnsi="宋体" w:cs="宋体"/>
          <w:b/>
          <w:bCs/>
          <w:color w:val="000000" w:themeColor="text1"/>
          <w:sz w:val="24"/>
          <w14:textFill>
            <w14:solidFill>
              <w14:schemeClr w14:val="tx1"/>
            </w14:solidFill>
          </w14:textFill>
        </w:rPr>
      </w:pPr>
    </w:p>
    <w:p w14:paraId="315E7BC4">
      <w:pPr>
        <w:pStyle w:val="10"/>
        <w:spacing w:line="500" w:lineRule="exact"/>
        <w:ind w:right="142" w:firstLine="705" w:firstLineChars="29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u w:val="single"/>
          <w14:textFill>
            <w14:solidFill>
              <w14:schemeClr w14:val="tx1"/>
            </w14:solidFill>
          </w14:textFill>
        </w:rPr>
        <w:t>（单位名称）</w:t>
      </w:r>
      <w:r>
        <w:rPr>
          <w:rFonts w:ascii="宋体" w:hAnsi="宋体"/>
          <w:color w:val="000000" w:themeColor="text1"/>
          <w:sz w:val="24"/>
          <w14:textFill>
            <w14:solidFill>
              <w14:schemeClr w14:val="tx1"/>
            </w14:solidFill>
          </w14:textFill>
        </w:rPr>
        <w:t>的</w:t>
      </w:r>
      <w:r>
        <w:rPr>
          <w:rFonts w:ascii="宋体" w:hAnsi="宋体"/>
          <w:color w:val="000000" w:themeColor="text1"/>
          <w:sz w:val="24"/>
          <w:u w:val="single"/>
          <w14:textFill>
            <w14:solidFill>
              <w14:schemeClr w14:val="tx1"/>
            </w14:solidFill>
          </w14:textFill>
        </w:rPr>
        <w:t>（项目名称）</w:t>
      </w:r>
      <w:r>
        <w:rPr>
          <w:rFonts w:ascii="宋体" w:hAnsi="宋体"/>
          <w:color w:val="000000" w:themeColor="text1"/>
          <w:sz w:val="24"/>
          <w14:textFill>
            <w14:solidFill>
              <w14:schemeClr w14:val="tx1"/>
            </w14:solidFill>
          </w14:textFill>
        </w:rPr>
        <w:t>采购活动，</w:t>
      </w:r>
      <w:r>
        <w:rPr>
          <w:rFonts w:hint="eastAsia" w:ascii="宋体" w:hAnsi="宋体"/>
          <w:color w:val="000000" w:themeColor="text1"/>
          <w:sz w:val="24"/>
          <w14:textFill>
            <w14:solidFill>
              <w14:schemeClr w14:val="tx1"/>
            </w14:solidFill>
          </w14:textFill>
        </w:rPr>
        <w:t>服务全部由符合政策要求的中小企业承接。相关企业（含联合体中的中小企业、签订分包意向协议的中小企业）的具体情况如下：</w:t>
      </w:r>
    </w:p>
    <w:p w14:paraId="10BED144">
      <w:pPr>
        <w:tabs>
          <w:tab w:val="left" w:pos="1384"/>
          <w:tab w:val="left" w:pos="4562"/>
          <w:tab w:val="left" w:pos="6803"/>
        </w:tabs>
        <w:spacing w:before="13" w:line="500" w:lineRule="exact"/>
        <w:ind w:right="142" w:firstLine="772" w:firstLineChars="322"/>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w:t>
      </w:r>
      <w:r>
        <w:rPr>
          <w:rFonts w:hint="eastAsia" w:ascii="宋体" w:hAnsi="宋体"/>
          <w:color w:val="000000" w:themeColor="text1"/>
          <w:sz w:val="24"/>
          <w:u w:val="single"/>
          <w14:textFill>
            <w14:solidFill>
              <w14:schemeClr w14:val="tx1"/>
            </w14:solidFill>
          </w14:textFill>
        </w:rPr>
        <w:t>行</w:t>
      </w:r>
      <w:r>
        <w:rPr>
          <w:rFonts w:ascii="宋体" w:hAnsi="宋体"/>
          <w:color w:val="000000" w:themeColor="text1"/>
          <w:sz w:val="24"/>
          <w:u w:val="single"/>
          <w14:textFill>
            <w14:solidFill>
              <w14:schemeClr w14:val="tx1"/>
            </w14:solidFill>
          </w14:textFill>
        </w:rPr>
        <w:t>业）</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承接企业为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（中型企业、</w:t>
      </w:r>
      <w:r>
        <w:rPr>
          <w:rFonts w:hint="eastAsia" w:ascii="宋体" w:hAnsi="宋体"/>
          <w:color w:val="000000" w:themeColor="text1"/>
          <w:sz w:val="24"/>
          <w:u w:val="single"/>
          <w14:textFill>
            <w14:solidFill>
              <w14:schemeClr w14:val="tx1"/>
            </w14:solidFill>
          </w14:textFill>
        </w:rPr>
        <w:t>小型企业、微型企业）</w:t>
      </w:r>
      <w:r>
        <w:rPr>
          <w:rFonts w:hint="eastAsia" w:ascii="宋体" w:hAnsi="宋体"/>
          <w:color w:val="000000" w:themeColor="text1"/>
          <w:sz w:val="24"/>
          <w14:textFill>
            <w14:solidFill>
              <w14:schemeClr w14:val="tx1"/>
            </w14:solidFill>
          </w14:textFill>
        </w:rPr>
        <w:t>；</w:t>
      </w:r>
    </w:p>
    <w:p w14:paraId="036EE6FD">
      <w:pPr>
        <w:tabs>
          <w:tab w:val="left" w:pos="1065"/>
          <w:tab w:val="left" w:pos="4262"/>
          <w:tab w:val="left" w:pos="6477"/>
        </w:tabs>
        <w:spacing w:before="20" w:line="500" w:lineRule="exact"/>
        <w:ind w:right="84" w:firstLine="772" w:firstLineChars="322"/>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（采购文件中明确的所属</w:t>
      </w:r>
      <w:r>
        <w:rPr>
          <w:rFonts w:hint="eastAsia" w:ascii="宋体" w:hAnsi="宋体"/>
          <w:color w:val="000000" w:themeColor="text1"/>
          <w:sz w:val="24"/>
          <w:u w:val="single"/>
          <w14:textFill>
            <w14:solidFill>
              <w14:schemeClr w14:val="tx1"/>
            </w14:solidFill>
          </w14:textFill>
        </w:rPr>
        <w:t>行业</w:t>
      </w:r>
      <w:r>
        <w:rPr>
          <w:rFonts w:ascii="宋体" w:hAnsi="宋体"/>
          <w:color w:val="000000" w:themeColor="text1"/>
          <w:sz w:val="24"/>
          <w:u w:val="single"/>
          <w14:textFill>
            <w14:solidFill>
              <w14:schemeClr w14:val="tx1"/>
            </w14:solidFill>
          </w14:textFill>
        </w:rPr>
        <w:t>）</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承接企业为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w:t>
      </w:r>
      <w:r>
        <w:rPr>
          <w:rFonts w:ascii="宋体" w:hAnsi="宋体"/>
          <w:color w:val="000000" w:themeColor="text1"/>
          <w:sz w:val="24"/>
          <w14:textFill>
            <w14:solidFill>
              <w14:schemeClr w14:val="tx1"/>
            </w14:solidFill>
          </w14:textFill>
        </w:rPr>
        <w:t>，属于</w:t>
      </w:r>
      <w:r>
        <w:rPr>
          <w:rFonts w:ascii="宋体" w:hAnsi="宋体"/>
          <w:color w:val="000000" w:themeColor="text1"/>
          <w:sz w:val="24"/>
          <w:u w:val="single"/>
          <w14:textFill>
            <w14:solidFill>
              <w14:schemeClr w14:val="tx1"/>
            </w14:solidFill>
          </w14:textFill>
        </w:rPr>
        <w:t>（中型企业、</w:t>
      </w:r>
      <w:r>
        <w:rPr>
          <w:rFonts w:hint="eastAsia" w:ascii="宋体" w:hAnsi="宋体"/>
          <w:color w:val="000000" w:themeColor="text1"/>
          <w:sz w:val="24"/>
          <w:u w:val="single"/>
          <w14:textFill>
            <w14:solidFill>
              <w14:schemeClr w14:val="tx1"/>
            </w14:solidFill>
          </w14:textFill>
        </w:rPr>
        <w:t>小型企业、微型企业）</w:t>
      </w:r>
      <w:r>
        <w:rPr>
          <w:rFonts w:hint="eastAsia" w:ascii="宋体" w:hAnsi="宋体"/>
          <w:color w:val="000000" w:themeColor="text1"/>
          <w:sz w:val="24"/>
          <w14:textFill>
            <w14:solidFill>
              <w14:schemeClr w14:val="tx1"/>
            </w14:solidFill>
          </w14:textFill>
        </w:rPr>
        <w:t>；</w:t>
      </w:r>
    </w:p>
    <w:p w14:paraId="50A01DC0">
      <w:pPr>
        <w:pStyle w:val="10"/>
        <w:spacing w:before="34" w:line="500" w:lineRule="exact"/>
        <w:ind w:right="142" w:firstLine="705" w:firstLineChars="29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29A21E2D">
      <w:pPr>
        <w:pStyle w:val="10"/>
        <w:spacing w:before="34" w:line="500" w:lineRule="exact"/>
        <w:ind w:right="142" w:firstLine="705" w:firstLineChars="29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4B6C6C81">
      <w:pPr>
        <w:pStyle w:val="10"/>
        <w:spacing w:before="25" w:line="500" w:lineRule="exact"/>
        <w:ind w:right="142" w:firstLine="705" w:firstLineChars="29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本企业对上述声明内容的真实性负责。如有虚假，将依法承担相应责任。</w:t>
      </w:r>
    </w:p>
    <w:p w14:paraId="198B67A2">
      <w:pPr>
        <w:pStyle w:val="10"/>
        <w:spacing w:before="56" w:line="500" w:lineRule="exact"/>
        <w:ind w:right="1808" w:firstLine="705" w:firstLineChars="294"/>
        <w:rPr>
          <w:rFonts w:ascii="宋体" w:hAnsi="宋体"/>
          <w:color w:val="000000" w:themeColor="text1"/>
          <w:sz w:val="24"/>
          <w14:textFill>
            <w14:solidFill>
              <w14:schemeClr w14:val="tx1"/>
            </w14:solidFill>
          </w14:textFill>
        </w:rPr>
      </w:pPr>
    </w:p>
    <w:p w14:paraId="1413725E">
      <w:pPr>
        <w:pStyle w:val="10"/>
        <w:spacing w:before="56" w:line="500" w:lineRule="exact"/>
        <w:ind w:right="650" w:firstLine="5625" w:firstLineChars="234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企业名称（章）： </w:t>
      </w:r>
    </w:p>
    <w:p w14:paraId="491742AF">
      <w:pPr>
        <w:pStyle w:val="10"/>
        <w:spacing w:before="56" w:line="500" w:lineRule="exact"/>
        <w:ind w:right="1808" w:firstLine="5625" w:firstLineChars="2344"/>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日 期：</w:t>
      </w:r>
    </w:p>
    <w:p w14:paraId="1C6618CE">
      <w:pPr>
        <w:spacing w:line="520" w:lineRule="exact"/>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D2598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7C1367C">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1A53ED7E">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0CAC854">
      <w:pPr>
        <w:spacing w:line="360" w:lineRule="auto"/>
        <w:ind w:firstLine="480" w:firstLineChars="2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1E73F1EB">
      <w:pPr>
        <w:spacing w:line="360" w:lineRule="auto"/>
        <w:contextualSpacing/>
        <w:rPr>
          <w:rFonts w:ascii="宋体" w:hAnsi="宋体" w:cs="仿宋_GB2312"/>
          <w:color w:val="000000" w:themeColor="text1"/>
          <w:sz w:val="24"/>
          <w14:textFill>
            <w14:solidFill>
              <w14:schemeClr w14:val="tx1"/>
            </w14:solidFill>
          </w14:textFill>
        </w:rPr>
      </w:pPr>
    </w:p>
    <w:p w14:paraId="61148F13">
      <w:pPr>
        <w:spacing w:line="360" w:lineRule="auto"/>
        <w:contextualSpacing/>
        <w:rPr>
          <w:rFonts w:ascii="宋体" w:hAnsi="宋体" w:cs="仿宋_GB2312"/>
          <w:color w:val="000000" w:themeColor="text1"/>
          <w:sz w:val="24"/>
          <w14:textFill>
            <w14:solidFill>
              <w14:schemeClr w14:val="tx1"/>
            </w14:solidFill>
          </w14:textFill>
        </w:rPr>
      </w:pPr>
    </w:p>
    <w:p w14:paraId="6CC1A969">
      <w:pPr>
        <w:spacing w:line="360" w:lineRule="auto"/>
        <w:contextualSpacing/>
        <w:rPr>
          <w:rFonts w:ascii="宋体" w:hAnsi="宋体" w:cs="仿宋_GB2312"/>
          <w:color w:val="000000" w:themeColor="text1"/>
          <w:sz w:val="24"/>
          <w14:textFill>
            <w14:solidFill>
              <w14:schemeClr w14:val="tx1"/>
            </w14:solidFill>
          </w14:textFill>
        </w:rPr>
      </w:pPr>
    </w:p>
    <w:p w14:paraId="5C8D155B">
      <w:pPr>
        <w:spacing w:line="360" w:lineRule="auto"/>
        <w:ind w:firstLine="2400" w:firstLineChars="10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2B7939C6">
      <w:pPr>
        <w:spacing w:line="360" w:lineRule="auto"/>
        <w:ind w:firstLine="3600" w:firstLineChars="1500"/>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  期：</w:t>
      </w:r>
    </w:p>
    <w:p w14:paraId="64AA221E">
      <w:pPr>
        <w:spacing w:line="360" w:lineRule="auto"/>
        <w:contextualSpacing/>
        <w:rPr>
          <w:rFonts w:ascii="宋体" w:hAnsi="宋体" w:cs="仿宋_GB2312"/>
          <w:color w:val="000000" w:themeColor="text1"/>
          <w:sz w:val="24"/>
          <w14:textFill>
            <w14:solidFill>
              <w14:schemeClr w14:val="tx1"/>
            </w14:solidFill>
          </w14:textFill>
        </w:rPr>
      </w:pPr>
    </w:p>
    <w:p w14:paraId="6DEBB3C9">
      <w:pPr>
        <w:spacing w:line="360" w:lineRule="auto"/>
        <w:contextualSpacing/>
        <w:rPr>
          <w:rFonts w:ascii="宋体" w:hAnsi="宋体" w:cs="仿宋_GB2312"/>
          <w:color w:val="000000" w:themeColor="text1"/>
          <w:sz w:val="24"/>
          <w14:textFill>
            <w14:solidFill>
              <w14:schemeClr w14:val="tx1"/>
            </w14:solidFill>
          </w14:textFill>
        </w:rPr>
      </w:pPr>
    </w:p>
    <w:p w14:paraId="065D0C86">
      <w:pPr>
        <w:spacing w:line="360" w:lineRule="auto"/>
        <w:contextualSpacing/>
        <w:rPr>
          <w:rFonts w:ascii="宋体" w:hAnsi="宋体" w:cs="仿宋_GB2312"/>
          <w:color w:val="000000" w:themeColor="text1"/>
          <w:sz w:val="24"/>
          <w14:textFill>
            <w14:solidFill>
              <w14:schemeClr w14:val="tx1"/>
            </w14:solidFill>
          </w14:textFill>
        </w:rPr>
      </w:pPr>
    </w:p>
    <w:p w14:paraId="3AB636BD">
      <w:pPr>
        <w:spacing w:line="360" w:lineRule="auto"/>
        <w:contextualSpacing/>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7B5EC421">
      <w:pPr>
        <w:spacing w:line="360" w:lineRule="auto"/>
        <w:jc w:val="center"/>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br w:type="page"/>
      </w:r>
    </w:p>
    <w:p w14:paraId="7D970D29">
      <w:pPr>
        <w:spacing w:line="360" w:lineRule="auto"/>
        <w:jc w:val="center"/>
        <w:rPr>
          <w:rFonts w:ascii="宋体" w:hAns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26E0E2BF">
      <w:pPr>
        <w:pStyle w:val="13"/>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1C676ED0">
      <w:pPr>
        <w:pStyle w:val="13"/>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4712E898">
      <w:pPr>
        <w:pStyle w:val="13"/>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3B71F08D">
      <w:pPr>
        <w:pStyle w:val="13"/>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联系人</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p>
    <w:p w14:paraId="1D262931">
      <w:pPr>
        <w:pStyle w:val="13"/>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5C06F9B7">
      <w:pPr>
        <w:pStyle w:val="13"/>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12A6D52C">
      <w:pPr>
        <w:pStyle w:val="13"/>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254CBDD8">
      <w:pPr>
        <w:pStyle w:val="13"/>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0C1BDE8A">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24350A28">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21D378F3">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48D3C2A4">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7EDEE88A">
      <w:pPr>
        <w:pStyle w:val="13"/>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   采购文件获取日期：</w:t>
      </w:r>
    </w:p>
    <w:p w14:paraId="488BE39A">
      <w:pPr>
        <w:pStyle w:val="13"/>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□采购过程   </w:t>
      </w:r>
    </w:p>
    <w:p w14:paraId="39A77352">
      <w:pPr>
        <w:pStyle w:val="13"/>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□成交结果   </w:t>
      </w:r>
    </w:p>
    <w:p w14:paraId="67FFEB9A">
      <w:pPr>
        <w:pStyle w:val="13"/>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5FFE527A">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质疑事项1：</w:t>
      </w:r>
    </w:p>
    <w:p w14:paraId="3AAF02DD">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670DAB61">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127492F0">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质疑事项2</w:t>
      </w:r>
    </w:p>
    <w:p w14:paraId="1D35CDD7">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w:t>
      </w:r>
    </w:p>
    <w:p w14:paraId="342683FA">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44A1E39D">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11A5D70E">
      <w:pPr>
        <w:pStyle w:val="13"/>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2237DF79">
      <w:pPr>
        <w:pStyle w:val="13"/>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5484DEF3">
      <w:pPr>
        <w:pStyle w:val="13"/>
        <w:spacing w:line="360" w:lineRule="auto"/>
        <w:ind w:firstLine="480" w:firstLineChars="200"/>
        <w:contextualSpacing/>
        <w:rPr>
          <w:rFonts w:hAnsi="宋体"/>
          <w:color w:val="000000" w:themeColor="text1"/>
          <w:sz w:val="24"/>
          <w:szCs w:val="24"/>
          <w14:textFill>
            <w14:solidFill>
              <w14:schemeClr w14:val="tx1"/>
            </w14:solidFill>
          </w14:textFill>
        </w:rPr>
      </w:pPr>
    </w:p>
    <w:p w14:paraId="086A00C0">
      <w:pPr>
        <w:pStyle w:val="13"/>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65AB6B83">
      <w:pPr>
        <w:pStyle w:val="13"/>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7C486F68">
      <w:pPr>
        <w:pStyle w:val="13"/>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01E6DB6D">
      <w:pPr>
        <w:pStyle w:val="13"/>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07C94C8">
      <w:pPr>
        <w:pStyle w:val="13"/>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3.质疑函的质疑事项应具体、明确，并有必要的事实依据和法律依据。</w:t>
      </w:r>
    </w:p>
    <w:p w14:paraId="16646845">
      <w:pPr>
        <w:pStyle w:val="13"/>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4.质疑函的质疑请求应与质疑事项相关。</w:t>
      </w:r>
    </w:p>
    <w:p w14:paraId="2500DE9C">
      <w:pPr>
        <w:pStyle w:val="13"/>
        <w:spacing w:line="360" w:lineRule="auto"/>
        <w:ind w:left="25" w:leftChars="12" w:firstLine="354" w:firstLineChars="147"/>
        <w:contextualSpacing/>
        <w:rPr>
          <w:rFonts w:hAnsi="宋体"/>
          <w:b/>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14:paraId="2D68BB59">
      <w:pPr>
        <w:pStyle w:val="13"/>
        <w:snapToGrid w:val="0"/>
        <w:rPr>
          <w:b/>
          <w:color w:val="000000" w:themeColor="text1"/>
          <w:sz w:val="24"/>
          <w:szCs w:val="24"/>
          <w14:textFill>
            <w14:solidFill>
              <w14:schemeClr w14:val="tx1"/>
            </w14:solidFill>
          </w14:textFill>
        </w:rPr>
      </w:pPr>
    </w:p>
    <w:p w14:paraId="25E81369">
      <w:pPr>
        <w:rPr>
          <w:color w:val="000000" w:themeColor="text1"/>
          <w:sz w:val="32"/>
          <w:szCs w:val="40"/>
          <w14:textFill>
            <w14:solidFill>
              <w14:schemeClr w14:val="tx1"/>
            </w14:solidFill>
          </w14:textFill>
        </w:rPr>
      </w:pPr>
    </w:p>
    <w:p w14:paraId="533D60F6">
      <w:pPr>
        <w:rPr>
          <w:color w:val="000000" w:themeColor="text1"/>
          <w:sz w:val="32"/>
          <w:szCs w:val="40"/>
          <w14:textFill>
            <w14:solidFill>
              <w14:schemeClr w14:val="tx1"/>
            </w14:solidFill>
          </w14:textFill>
        </w:rPr>
      </w:pPr>
    </w:p>
    <w:p w14:paraId="74BD9195">
      <w:pPr>
        <w:rPr>
          <w:color w:val="000000" w:themeColor="text1"/>
          <w:sz w:val="32"/>
          <w:szCs w:val="40"/>
          <w14:textFill>
            <w14:solidFill>
              <w14:schemeClr w14:val="tx1"/>
            </w14:solidFill>
          </w14:textFill>
        </w:rPr>
      </w:pPr>
    </w:p>
    <w:p w14:paraId="278707A1">
      <w:pPr>
        <w:rPr>
          <w:color w:val="000000" w:themeColor="text1"/>
          <w:sz w:val="32"/>
          <w:szCs w:val="40"/>
          <w14:textFill>
            <w14:solidFill>
              <w14:schemeClr w14:val="tx1"/>
            </w14:solidFill>
          </w14:textFill>
        </w:rPr>
      </w:pPr>
    </w:p>
    <w:p w14:paraId="023C60C4">
      <w:pPr>
        <w:rPr>
          <w:color w:val="000000" w:themeColor="text1"/>
          <w:sz w:val="32"/>
          <w:szCs w:val="40"/>
          <w14:textFill>
            <w14:solidFill>
              <w14:schemeClr w14:val="tx1"/>
            </w14:solidFill>
          </w14:textFill>
        </w:rPr>
      </w:pPr>
    </w:p>
    <w:p w14:paraId="6158F84C">
      <w:pPr>
        <w:rPr>
          <w:color w:val="000000" w:themeColor="text1"/>
          <w:sz w:val="32"/>
          <w:szCs w:val="40"/>
          <w14:textFill>
            <w14:solidFill>
              <w14:schemeClr w14:val="tx1"/>
            </w14:solidFill>
          </w14:textFill>
        </w:rPr>
      </w:pPr>
    </w:p>
    <w:p w14:paraId="2D3A6530">
      <w:pPr>
        <w:rPr>
          <w:color w:val="000000" w:themeColor="text1"/>
          <w:sz w:val="32"/>
          <w:szCs w:val="40"/>
          <w14:textFill>
            <w14:solidFill>
              <w14:schemeClr w14:val="tx1"/>
            </w14:solidFill>
          </w14:textFill>
        </w:rPr>
      </w:pPr>
    </w:p>
    <w:p w14:paraId="3448AA4B">
      <w:pPr>
        <w:rPr>
          <w:color w:val="000000" w:themeColor="text1"/>
          <w:sz w:val="32"/>
          <w:szCs w:val="40"/>
          <w14:textFill>
            <w14:solidFill>
              <w14:schemeClr w14:val="tx1"/>
            </w14:solidFill>
          </w14:textFill>
        </w:rPr>
      </w:pPr>
    </w:p>
    <w:p w14:paraId="62B9E080">
      <w:pPr>
        <w:rPr>
          <w:color w:val="000000" w:themeColor="text1"/>
          <w:sz w:val="32"/>
          <w:szCs w:val="40"/>
          <w14:textFill>
            <w14:solidFill>
              <w14:schemeClr w14:val="tx1"/>
            </w14:solidFill>
          </w14:textFill>
        </w:rPr>
      </w:pPr>
    </w:p>
    <w:p w14:paraId="0FE685DD">
      <w:pPr>
        <w:rPr>
          <w:color w:val="000000" w:themeColor="text1"/>
          <w:sz w:val="32"/>
          <w:szCs w:val="40"/>
          <w14:textFill>
            <w14:solidFill>
              <w14:schemeClr w14:val="tx1"/>
            </w14:solidFill>
          </w14:textFill>
        </w:rPr>
      </w:pPr>
    </w:p>
    <w:p w14:paraId="19AA3053">
      <w:pPr>
        <w:rPr>
          <w:color w:val="000000" w:themeColor="text1"/>
          <w:sz w:val="32"/>
          <w:szCs w:val="40"/>
          <w14:textFill>
            <w14:solidFill>
              <w14:schemeClr w14:val="tx1"/>
            </w14:solidFill>
          </w14:textFill>
        </w:rPr>
      </w:pPr>
    </w:p>
    <w:p w14:paraId="310CAD1B">
      <w:pPr>
        <w:rPr>
          <w:color w:val="000000" w:themeColor="text1"/>
          <w:sz w:val="32"/>
          <w:szCs w:val="40"/>
          <w14:textFill>
            <w14:solidFill>
              <w14:schemeClr w14:val="tx1"/>
            </w14:solidFill>
          </w14:textFill>
        </w:rPr>
      </w:pPr>
    </w:p>
    <w:p w14:paraId="4E59AD30">
      <w:pPr>
        <w:rPr>
          <w:color w:val="000000" w:themeColor="text1"/>
          <w:sz w:val="32"/>
          <w:szCs w:val="40"/>
          <w14:textFill>
            <w14:solidFill>
              <w14:schemeClr w14:val="tx1"/>
            </w14:solidFill>
          </w14:textFill>
        </w:rPr>
      </w:pPr>
    </w:p>
    <w:p w14:paraId="6155F61C">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39CF6AB0">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653CA599">
      <w:pPr>
        <w:pStyle w:val="13"/>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62A9B93E">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2434777C">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0BD8A279">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法定代表人/主要负责人：</w:t>
      </w:r>
    </w:p>
    <w:p w14:paraId="10DDA7F1">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联系电话</w:t>
      </w:r>
      <w:r>
        <w:rPr>
          <w:rFonts w:hint="eastAsia" w:hAnsi="宋体"/>
          <w:bCs/>
          <w:color w:val="000000" w:themeColor="text1"/>
          <w:sz w:val="24"/>
          <w:szCs w:val="24"/>
          <w14:textFill>
            <w14:solidFill>
              <w14:schemeClr w14:val="tx1"/>
            </w14:solidFill>
          </w14:textFill>
        </w:rPr>
        <w:t>：</w:t>
      </w:r>
    </w:p>
    <w:p w14:paraId="228093EE">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39B7E0F6">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p>
    <w:p w14:paraId="5E3E0C7D">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0D72106C">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被投诉人1：</w:t>
      </w:r>
    </w:p>
    <w:p w14:paraId="6BECC01F">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74934AA3">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51A34646">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7FCBDD64">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被投诉人2：</w:t>
      </w:r>
    </w:p>
    <w:p w14:paraId="4AF95018">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598291D8">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0121DF3E">
      <w:pPr>
        <w:pStyle w:val="13"/>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Ansi="宋体"/>
          <w:bCs/>
          <w:color w:val="000000" w:themeColor="text1"/>
          <w:sz w:val="24"/>
          <w:szCs w:val="24"/>
          <w14:textFill>
            <w14:solidFill>
              <w14:schemeClr w14:val="tx1"/>
            </w14:solidFill>
          </w14:textFill>
        </w:rPr>
        <w:t>地址</w:t>
      </w:r>
      <w:r>
        <w:rPr>
          <w:rFonts w:hint="eastAsia" w:hAnsi="宋体"/>
          <w:bCs/>
          <w:color w:val="000000" w:themeColor="text1"/>
          <w:sz w:val="24"/>
          <w:szCs w:val="24"/>
          <w14:textFill>
            <w14:solidFill>
              <w14:schemeClr w14:val="tx1"/>
            </w14:solidFill>
          </w14:textFill>
        </w:rPr>
        <w:t>：</w:t>
      </w:r>
      <w:r>
        <w:rPr>
          <w:rFonts w:hAnsi="宋体"/>
          <w:bCs/>
          <w:color w:val="000000" w:themeColor="text1"/>
          <w:sz w:val="24"/>
          <w:szCs w:val="24"/>
          <w14:textFill>
            <w14:solidFill>
              <w14:schemeClr w14:val="tx1"/>
            </w14:solidFill>
          </w14:textFill>
        </w:rPr>
        <w:t>邮编</w:t>
      </w:r>
      <w:r>
        <w:rPr>
          <w:rFonts w:hint="eastAsia" w:hAnsi="宋体"/>
          <w:bCs/>
          <w:color w:val="000000" w:themeColor="text1"/>
          <w:sz w:val="24"/>
          <w:szCs w:val="24"/>
          <w14:textFill>
            <w14:solidFill>
              <w14:schemeClr w14:val="tx1"/>
            </w14:solidFill>
          </w14:textFill>
        </w:rPr>
        <w:t>：</w:t>
      </w:r>
    </w:p>
    <w:p w14:paraId="0B7E03DA">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w:t>
      </w:r>
      <w:r>
        <w:rPr>
          <w:rFonts w:hAnsi="宋体"/>
          <w:bCs/>
          <w:color w:val="000000" w:themeColor="text1"/>
          <w:sz w:val="24"/>
          <w:szCs w:val="24"/>
          <w14:textFill>
            <w14:solidFill>
              <w14:schemeClr w14:val="tx1"/>
            </w14:solidFill>
          </w14:textFill>
        </w:rPr>
        <w:t>联系</w:t>
      </w:r>
      <w:r>
        <w:rPr>
          <w:rFonts w:hint="eastAsia" w:hAnsi="宋体"/>
          <w:bCs/>
          <w:color w:val="000000" w:themeColor="text1"/>
          <w:sz w:val="24"/>
          <w:szCs w:val="24"/>
          <w14:textFill>
            <w14:solidFill>
              <w14:schemeClr w14:val="tx1"/>
            </w14:solidFill>
          </w14:textFill>
        </w:rPr>
        <w:t>电话：</w:t>
      </w:r>
    </w:p>
    <w:p w14:paraId="7C6669C1">
      <w:pPr>
        <w:pStyle w:val="13"/>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7FF41938">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52786491">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6FB6E5D1">
      <w:pPr>
        <w:pStyle w:val="13"/>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569B6648">
      <w:pPr>
        <w:pStyle w:val="13"/>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22AFAC9A">
      <w:pPr>
        <w:pStyle w:val="13"/>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p>
    <w:p w14:paraId="487D5E9F">
      <w:pPr>
        <w:pStyle w:val="13"/>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是/否</w:t>
      </w:r>
      <w:r>
        <w:rPr>
          <w:rFonts w:hint="eastAsia" w:hAnsi="宋体"/>
          <w:bCs/>
          <w:color w:val="000000" w:themeColor="text1"/>
          <w:sz w:val="24"/>
          <w:szCs w:val="24"/>
          <w14:textFill>
            <w14:solidFill>
              <w14:schemeClr w14:val="tx1"/>
            </w14:solidFill>
          </w14:textFill>
        </w:rPr>
        <w:t>公告期限：</w:t>
      </w:r>
    </w:p>
    <w:p w14:paraId="0CA3C8F7">
      <w:pPr>
        <w:pStyle w:val="13"/>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2615EFC">
      <w:pPr>
        <w:pStyle w:val="13"/>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6C85A650">
      <w:pPr>
        <w:pStyle w:val="13"/>
        <w:spacing w:line="360" w:lineRule="auto"/>
        <w:ind w:firstLine="241"/>
        <w:rPr>
          <w:rFonts w:hAnsi="宋体"/>
          <w:bCs/>
          <w:color w:val="000000" w:themeColor="text1"/>
          <w:sz w:val="24"/>
          <w:szCs w:val="24"/>
          <w:u w:val="single"/>
          <w14:textFill>
            <w14:solidFill>
              <w14:schemeClr w14:val="tx1"/>
            </w14:solidFill>
          </w14:textFill>
        </w:rPr>
      </w:pPr>
    </w:p>
    <w:p w14:paraId="5E4A30D1">
      <w:pPr>
        <w:pStyle w:val="13"/>
        <w:spacing w:line="360" w:lineRule="auto"/>
        <w:ind w:firstLine="241"/>
        <w:rPr>
          <w:rFonts w:hAnsi="宋体"/>
          <w:bCs/>
          <w:color w:val="000000" w:themeColor="text1"/>
          <w:sz w:val="24"/>
          <w:szCs w:val="24"/>
          <w:u w:val="single"/>
          <w14:textFill>
            <w14:solidFill>
              <w14:schemeClr w14:val="tx1"/>
            </w14:solidFill>
          </w14:textFill>
        </w:rPr>
      </w:pPr>
    </w:p>
    <w:p w14:paraId="5F3FA61A">
      <w:pPr>
        <w:pStyle w:val="13"/>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 xml:space="preserve">就质疑事项作出了答复/没有在法定期限内作出答复。                                                                                             </w:t>
      </w:r>
    </w:p>
    <w:p w14:paraId="27D42E08">
      <w:pPr>
        <w:pStyle w:val="13"/>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11F6A2AE">
      <w:pPr>
        <w:pStyle w:val="13"/>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投诉事项1：</w:t>
      </w:r>
    </w:p>
    <w:p w14:paraId="3DCBA269">
      <w:pPr>
        <w:pStyle w:val="13"/>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48226EA2">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p>
    <w:p w14:paraId="6BFB2A8B">
      <w:pPr>
        <w:pStyle w:val="13"/>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1D9C13B4">
      <w:pPr>
        <w:pStyle w:val="13"/>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07ACA7F3">
      <w:pPr>
        <w:pStyle w:val="13"/>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投诉事项2  </w:t>
      </w:r>
    </w:p>
    <w:p w14:paraId="05B3DAAA">
      <w:pPr>
        <w:pStyle w:val="13"/>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w:t>
      </w:r>
    </w:p>
    <w:p w14:paraId="5FD866E0">
      <w:pPr>
        <w:pStyle w:val="13"/>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0BEF8548">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7ED8CFD4">
      <w:pPr>
        <w:pStyle w:val="13"/>
        <w:spacing w:line="360" w:lineRule="auto"/>
        <w:ind w:left="25" w:leftChars="12" w:firstLine="352" w:firstLineChars="147"/>
        <w:rPr>
          <w:rFonts w:hAnsi="宋体"/>
          <w:color w:val="000000" w:themeColor="text1"/>
          <w:sz w:val="24"/>
          <w:szCs w:val="24"/>
          <w14:textFill>
            <w14:solidFill>
              <w14:schemeClr w14:val="tx1"/>
            </w14:solidFill>
          </w14:textFill>
        </w:rPr>
      </w:pPr>
    </w:p>
    <w:p w14:paraId="5EA9EC74">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                                       公章：</w:t>
      </w:r>
    </w:p>
    <w:p w14:paraId="37E10278">
      <w:pPr>
        <w:pStyle w:val="13"/>
        <w:spacing w:line="360" w:lineRule="auto"/>
        <w:ind w:left="25" w:leftChars="12" w:firstLine="352" w:firstLineChars="147"/>
        <w:rPr>
          <w:rFonts w:hAnsi="宋体"/>
          <w:color w:val="000000" w:themeColor="text1"/>
          <w:sz w:val="24"/>
          <w:szCs w:val="24"/>
          <w14:textFill>
            <w14:solidFill>
              <w14:schemeClr w14:val="tx1"/>
            </w14:solidFill>
          </w14:textFill>
        </w:rPr>
      </w:pPr>
    </w:p>
    <w:p w14:paraId="4E2897C0">
      <w:pPr>
        <w:pStyle w:val="13"/>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65278A5">
      <w:pPr>
        <w:pStyle w:val="13"/>
        <w:spacing w:line="360" w:lineRule="auto"/>
        <w:ind w:left="25" w:leftChars="12" w:firstLine="475" w:firstLineChars="197"/>
        <w:rPr>
          <w:rFonts w:hAnsi="宋体"/>
          <w:b/>
          <w:color w:val="000000" w:themeColor="text1"/>
          <w:sz w:val="24"/>
          <w:szCs w:val="24"/>
          <w14:textFill>
            <w14:solidFill>
              <w14:schemeClr w14:val="tx1"/>
            </w14:solidFill>
          </w14:textFill>
        </w:rPr>
      </w:pPr>
    </w:p>
    <w:p w14:paraId="24EB07E4">
      <w:pPr>
        <w:pStyle w:val="13"/>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679A8746">
      <w:pPr>
        <w:pStyle w:val="13"/>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2E447347">
      <w:pPr>
        <w:pStyle w:val="13"/>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074562">
      <w:pPr>
        <w:pStyle w:val="13"/>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3.投诉书应简要列明质疑事项，质疑函、质疑答复等作为附件材料提供。</w:t>
      </w:r>
    </w:p>
    <w:p w14:paraId="18FD8B3C">
      <w:pPr>
        <w:pStyle w:val="13"/>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4.投诉书的投诉事项应具体、明确，并有必要的事实依据和法律依据。</w:t>
      </w:r>
    </w:p>
    <w:p w14:paraId="51D32CFA">
      <w:pPr>
        <w:pStyle w:val="13"/>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5.投诉书的投诉请求应与投诉事项相关。</w:t>
      </w:r>
    </w:p>
    <w:p w14:paraId="2D7144CB">
      <w:pPr>
        <w:pStyle w:val="13"/>
        <w:spacing w:line="360" w:lineRule="auto"/>
        <w:ind w:left="25" w:leftChars="12" w:firstLine="354" w:firstLineChars="147"/>
        <w:rPr>
          <w:rFonts w:hAnsi="宋体"/>
          <w:b/>
          <w:color w:val="000000" w:themeColor="text1"/>
          <w14:textFill>
            <w14:solidFill>
              <w14:schemeClr w14:val="tx1"/>
            </w14:solidFill>
          </w14:textFill>
        </w:rPr>
      </w:pPr>
      <w:r>
        <w:rPr>
          <w:rFonts w:hint="eastAsia" w:hAnsi="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p w14:paraId="6D68EEA5">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D98140B">
      <w:pPr>
        <w:pStyle w:val="2"/>
        <w:jc w:val="center"/>
        <w:rPr>
          <w:color w:val="000000" w:themeColor="text1"/>
          <w14:textFill>
            <w14:solidFill>
              <w14:schemeClr w14:val="tx1"/>
            </w14:solidFill>
          </w14:textFill>
        </w:rPr>
      </w:pPr>
      <w:bookmarkStart w:id="179" w:name="_Toc10171"/>
      <w:r>
        <w:rPr>
          <w:rFonts w:hint="eastAsia"/>
          <w:color w:val="000000" w:themeColor="text1"/>
          <w14:textFill>
            <w14:solidFill>
              <w14:schemeClr w14:val="tx1"/>
            </w14:solidFill>
          </w14:textFill>
        </w:rPr>
        <w:t>第六章 合同文本</w:t>
      </w:r>
      <w:bookmarkEnd w:id="179"/>
    </w:p>
    <w:p w14:paraId="7E45DD9B">
      <w:pPr>
        <w:snapToGrid w:val="0"/>
        <w:spacing w:line="360" w:lineRule="auto"/>
        <w:rPr>
          <w:rFonts w:ascii="宋体" w:hAnsi="宋体"/>
          <w:color w:val="000000" w:themeColor="text1"/>
          <w:szCs w:val="21"/>
          <w14:textFill>
            <w14:solidFill>
              <w14:schemeClr w14:val="tx1"/>
            </w14:solidFill>
          </w14:textFill>
        </w:rPr>
      </w:pPr>
      <w:r>
        <w:rPr>
          <w:rFonts w:ascii="宋体" w:hAnsi="宋体" w:cs="Courier New"/>
          <w:b/>
          <w:color w:val="000000" w:themeColor="text1"/>
          <w:sz w:val="32"/>
          <w:szCs w:val="32"/>
          <w14:textFill>
            <w14:solidFill>
              <w14:schemeClr w14:val="tx1"/>
            </w14:solidFill>
          </w14:textFill>
        </w:rPr>
        <w:br w:type="page"/>
      </w:r>
    </w:p>
    <w:p w14:paraId="59538E00">
      <w:pPr>
        <w:snapToGrid w:val="0"/>
        <w:spacing w:line="360" w:lineRule="auto"/>
        <w:jc w:val="center"/>
        <w:rPr>
          <w:rFonts w:ascii="宋体" w:hAnsi="宋体"/>
          <w:b/>
          <w:bCs/>
          <w:color w:val="000000" w:themeColor="text1"/>
          <w:sz w:val="32"/>
          <w:szCs w:val="32"/>
          <w14:textFill>
            <w14:solidFill>
              <w14:schemeClr w14:val="tx1"/>
            </w14:solidFill>
          </w14:textFill>
        </w:rPr>
      </w:pPr>
    </w:p>
    <w:p w14:paraId="757B783A">
      <w:pPr>
        <w:snapToGrid w:val="0"/>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政府采购合同</w:t>
      </w:r>
    </w:p>
    <w:p w14:paraId="1CC04E4C">
      <w:pPr>
        <w:snapToGrid w:val="0"/>
        <w:spacing w:line="360" w:lineRule="auto"/>
        <w:ind w:right="480" w:firstLine="5250" w:firstLineChars="25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合同编号：</w:t>
      </w:r>
      <w:r>
        <w:rPr>
          <w:rFonts w:hint="eastAsia" w:ascii="宋体" w:hAnsi="宋体"/>
          <w:color w:val="000000" w:themeColor="text1"/>
          <w:szCs w:val="21"/>
          <w:u w:val="single"/>
          <w14:textFill>
            <w14:solidFill>
              <w14:schemeClr w14:val="tx1"/>
            </w14:solidFill>
          </w14:textFill>
        </w:rPr>
        <w:t xml:space="preserve">                     </w:t>
      </w:r>
    </w:p>
    <w:p w14:paraId="18886B97">
      <w:pPr>
        <w:snapToGrid w:val="0"/>
        <w:spacing w:line="360" w:lineRule="auto"/>
        <w:rPr>
          <w:rFonts w:ascii="宋体" w:hAnsi="宋体"/>
          <w:color w:val="000000" w:themeColor="text1"/>
          <w:szCs w:val="21"/>
          <w14:textFill>
            <w14:solidFill>
              <w14:schemeClr w14:val="tx1"/>
            </w14:solidFill>
          </w14:textFill>
        </w:rPr>
      </w:pPr>
    </w:p>
    <w:p w14:paraId="44943940">
      <w:pPr>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采购人（甲方）：</w:t>
      </w:r>
      <w:r>
        <w:rPr>
          <w:rFonts w:hint="eastAsia" w:ascii="宋体" w:hAnsi="宋体"/>
          <w:color w:val="000000" w:themeColor="text1"/>
          <w:szCs w:val="21"/>
          <w:u w:val="single"/>
          <w14:textFill>
            <w14:solidFill>
              <w14:schemeClr w14:val="tx1"/>
            </w14:solidFill>
          </w14:textFill>
        </w:rPr>
        <w:t xml:space="preserve">                     </w:t>
      </w:r>
    </w:p>
    <w:p w14:paraId="05652B57">
      <w:pPr>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供应商（乙方）：</w:t>
      </w:r>
      <w:r>
        <w:rPr>
          <w:rFonts w:hint="eastAsia" w:ascii="宋体" w:hAnsi="宋体"/>
          <w:color w:val="000000" w:themeColor="text1"/>
          <w:szCs w:val="21"/>
          <w:u w:val="single"/>
          <w14:textFill>
            <w14:solidFill>
              <w14:schemeClr w14:val="tx1"/>
            </w14:solidFill>
          </w14:textFill>
        </w:rPr>
        <w:t xml:space="preserve">                     </w:t>
      </w:r>
    </w:p>
    <w:p w14:paraId="153C48FA">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pacing w:val="-20"/>
          <w:szCs w:val="21"/>
          <w14:textFill>
            <w14:solidFill>
              <w14:schemeClr w14:val="tx1"/>
            </w14:solidFill>
          </w14:textFill>
        </w:rPr>
        <w:t>采 购 计 划 号：</w:t>
      </w:r>
      <w:r>
        <w:rPr>
          <w:rFonts w:hint="eastAsia" w:ascii="宋体" w:hAnsi="宋体"/>
          <w:color w:val="000000" w:themeColor="text1"/>
          <w:szCs w:val="21"/>
          <w:u w:val="single"/>
          <w14:textFill>
            <w14:solidFill>
              <w14:schemeClr w14:val="tx1"/>
            </w14:solidFill>
          </w14:textFill>
        </w:rPr>
        <w:t xml:space="preserve">                     </w:t>
      </w:r>
    </w:p>
    <w:p w14:paraId="44C86447">
      <w:pPr>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 xml:space="preserve">                     </w:t>
      </w:r>
    </w:p>
    <w:p w14:paraId="56BBE03E">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合同</w:t>
      </w:r>
      <w:r>
        <w:rPr>
          <w:rFonts w:hint="eastAsia" w:ascii="宋体" w:hAnsi="宋体"/>
          <w:color w:val="000000" w:themeColor="text1"/>
          <w14:textFill>
            <w14:solidFill>
              <w14:schemeClr w14:val="tx1"/>
            </w14:solidFill>
          </w14:textFill>
        </w:rPr>
        <w:t>类型：</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合同</w:t>
      </w:r>
    </w:p>
    <w:p w14:paraId="00968C4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本合同为中小企业预留合同：</w:t>
      </w:r>
      <w:r>
        <w:rPr>
          <w:rFonts w:hint="eastAsia" w:ascii="宋体" w:hAnsi="宋体" w:cs="宋体"/>
          <w:i/>
          <w:color w:val="000000" w:themeColor="text1"/>
          <w:szCs w:val="21"/>
          <w:u w:val="single"/>
          <w14:textFill>
            <w14:solidFill>
              <w14:schemeClr w14:val="tx1"/>
            </w14:solidFill>
          </w14:textFill>
        </w:rPr>
        <w:t>（是/否）</w:t>
      </w:r>
      <w:r>
        <w:rPr>
          <w:rFonts w:hint="eastAsia" w:ascii="宋体" w:hAnsi="宋体" w:cs="宋体"/>
          <w:color w:val="000000" w:themeColor="text1"/>
          <w:szCs w:val="21"/>
          <w14:textFill>
            <w14:solidFill>
              <w14:schemeClr w14:val="tx1"/>
            </w14:solidFill>
          </w14:textFill>
        </w:rPr>
        <w:t>。</w:t>
      </w:r>
    </w:p>
    <w:p w14:paraId="2A9167C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根据《中华人民共和国政府采购法》、《中华人民共和国民法典》等法律、法规规定，按照</w:t>
      </w:r>
      <w:r>
        <w:rPr>
          <w:rFonts w:hint="eastAsia" w:ascii="宋体" w:hAnsi="宋体"/>
          <w:color w:val="000000" w:themeColor="text1"/>
          <w:szCs w:val="21"/>
          <w14:textFill>
            <w14:solidFill>
              <w14:schemeClr w14:val="tx1"/>
            </w14:solidFill>
          </w14:textFill>
        </w:rPr>
        <w:t>磋商文件规定条款和乙方响应文件及其承诺，甲乙双方签订本合同。</w:t>
      </w:r>
    </w:p>
    <w:p w14:paraId="2745FB4F">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第一条　合同标的</w:t>
      </w:r>
    </w:p>
    <w:tbl>
      <w:tblPr>
        <w:tblStyle w:val="22"/>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048"/>
        <w:gridCol w:w="1134"/>
        <w:gridCol w:w="1134"/>
      </w:tblGrid>
      <w:tr w14:paraId="17F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2C6BA6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CEA32E2">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1FAEFD71">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173D9CC3">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  量</w:t>
            </w:r>
          </w:p>
        </w:tc>
        <w:tc>
          <w:tcPr>
            <w:tcW w:w="1048" w:type="dxa"/>
            <w:tcBorders>
              <w:top w:val="single" w:color="auto" w:sz="4" w:space="0"/>
              <w:left w:val="single" w:color="auto" w:sz="4" w:space="0"/>
              <w:bottom w:val="single" w:color="auto" w:sz="4" w:space="0"/>
              <w:right w:val="single" w:color="auto" w:sz="4" w:space="0"/>
            </w:tcBorders>
            <w:vAlign w:val="center"/>
          </w:tcPr>
          <w:p w14:paraId="31B3ADF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525E7B9">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  价</w:t>
            </w:r>
          </w:p>
          <w:p w14:paraId="2A377BE0">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2D9807C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  价</w:t>
            </w:r>
          </w:p>
          <w:p w14:paraId="3C6F6178">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（元）</w:t>
            </w:r>
          </w:p>
        </w:tc>
      </w:tr>
      <w:tr w14:paraId="2A85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2A0A4CC">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13" w:type="dxa"/>
            <w:tcBorders>
              <w:top w:val="single" w:color="auto" w:sz="4" w:space="0"/>
              <w:left w:val="single" w:color="auto" w:sz="4" w:space="0"/>
              <w:bottom w:val="single" w:color="auto" w:sz="4" w:space="0"/>
              <w:right w:val="single" w:color="auto" w:sz="4" w:space="0"/>
            </w:tcBorders>
            <w:vAlign w:val="center"/>
          </w:tcPr>
          <w:p w14:paraId="37DEE1D4">
            <w:pPr>
              <w:spacing w:line="360" w:lineRule="auto"/>
              <w:jc w:val="center"/>
              <w:rPr>
                <w:rFonts w:ascii="宋体" w:hAnsi="宋体" w:cs="宋体"/>
                <w:color w:val="000000" w:themeColor="text1"/>
                <w:szCs w:val="21"/>
                <w14:textFill>
                  <w14:solidFill>
                    <w14:schemeClr w14:val="tx1"/>
                  </w14:solidFill>
                </w14:textFill>
              </w:rPr>
            </w:pPr>
          </w:p>
        </w:tc>
        <w:tc>
          <w:tcPr>
            <w:tcW w:w="2400" w:type="dxa"/>
            <w:tcBorders>
              <w:top w:val="single" w:color="auto" w:sz="4" w:space="0"/>
              <w:left w:val="single" w:color="auto" w:sz="4" w:space="0"/>
              <w:bottom w:val="single" w:color="auto" w:sz="4" w:space="0"/>
              <w:right w:val="single" w:color="auto" w:sz="4" w:space="0"/>
            </w:tcBorders>
            <w:vAlign w:val="center"/>
          </w:tcPr>
          <w:p w14:paraId="7C8A52EF">
            <w:pPr>
              <w:spacing w:line="360" w:lineRule="auto"/>
              <w:jc w:val="center"/>
              <w:rPr>
                <w:rFonts w:ascii="宋体" w:hAnsi="宋体" w:cs="宋体"/>
                <w:color w:val="000000" w:themeColor="text1"/>
                <w:szCs w:val="21"/>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619CA19E">
            <w:pPr>
              <w:spacing w:line="360" w:lineRule="auto"/>
              <w:jc w:val="center"/>
              <w:rPr>
                <w:rFonts w:ascii="宋体" w:hAnsi="宋体" w:cs="宋体"/>
                <w:color w:val="000000" w:themeColor="text1"/>
                <w:szCs w:val="21"/>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vAlign w:val="center"/>
          </w:tcPr>
          <w:p w14:paraId="50F121E9">
            <w:pPr>
              <w:spacing w:line="360" w:lineRule="auto"/>
              <w:jc w:val="center"/>
              <w:rPr>
                <w:rFonts w:ascii="宋体" w:hAnsi="宋体" w:cs="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DAEB69E">
            <w:pPr>
              <w:spacing w:line="360" w:lineRule="auto"/>
              <w:jc w:val="center"/>
              <w:rPr>
                <w:rFonts w:ascii="宋体" w:hAnsi="宋体" w:cs="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2A0B679">
            <w:pPr>
              <w:spacing w:line="360" w:lineRule="auto"/>
              <w:jc w:val="center"/>
              <w:rPr>
                <w:rFonts w:ascii="宋体" w:hAnsi="宋体" w:cs="宋体"/>
                <w:color w:val="000000" w:themeColor="text1"/>
                <w:szCs w:val="21"/>
                <w14:textFill>
                  <w14:solidFill>
                    <w14:schemeClr w14:val="tx1"/>
                  </w14:solidFill>
                </w14:textFill>
              </w:rPr>
            </w:pPr>
          </w:p>
        </w:tc>
      </w:tr>
      <w:tr w14:paraId="283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969" w:type="dxa"/>
            <w:gridSpan w:val="7"/>
            <w:tcBorders>
              <w:top w:val="single" w:color="auto" w:sz="4" w:space="0"/>
              <w:left w:val="single" w:color="auto" w:sz="4" w:space="0"/>
              <w:bottom w:val="single" w:color="auto" w:sz="4" w:space="0"/>
              <w:right w:val="single" w:color="auto" w:sz="4" w:space="0"/>
            </w:tcBorders>
            <w:vAlign w:val="center"/>
          </w:tcPr>
          <w:p w14:paraId="4CBA759F">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合计金额（人民币）：</w:t>
            </w:r>
            <w:r>
              <w:rPr>
                <w:rFonts w:hint="eastAsia" w:ascii="宋体" w:hAnsi="宋体" w:cs="宋体"/>
                <w:color w:val="000000" w:themeColor="text1"/>
                <w:szCs w:val="21"/>
                <w:u w:val="single"/>
                <w14:textFill>
                  <w14:solidFill>
                    <w14:schemeClr w14:val="tx1"/>
                  </w14:solidFill>
                </w14:textFill>
              </w:rPr>
              <w:t xml:space="preserve">（大写）                          （小写）                   </w:t>
            </w:r>
          </w:p>
        </w:tc>
      </w:tr>
    </w:tbl>
    <w:p w14:paraId="1A983F5F">
      <w:pPr>
        <w:spacing w:line="360" w:lineRule="auto"/>
        <w:ind w:firstLine="420" w:firstLineChars="200"/>
        <w:rPr>
          <w:rFonts w:ascii="宋体" w:hAnsi="宋体" w:cs="宋体"/>
          <w:color w:val="000000" w:themeColor="text1"/>
          <w:szCs w:val="21"/>
          <w14:textFill>
            <w14:solidFill>
              <w14:schemeClr w14:val="tx1"/>
            </w14:solidFill>
          </w14:textFill>
        </w:rPr>
      </w:pPr>
    </w:p>
    <w:p w14:paraId="5DC3D6F5">
      <w:pPr>
        <w:spacing w:line="36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第二条　质量保证</w:t>
      </w:r>
    </w:p>
    <w:p w14:paraId="3D1A5EBA">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乙方所提供的服务及服务内容必须与</w:t>
      </w:r>
      <w:r>
        <w:rPr>
          <w:rFonts w:hint="eastAsia" w:ascii="宋体" w:hAnsi="宋体"/>
          <w:color w:val="000000" w:themeColor="text1"/>
          <w:szCs w:val="21"/>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承诺相一致，</w:t>
      </w:r>
      <w:r>
        <w:rPr>
          <w:rFonts w:hint="eastAsia" w:ascii="宋体" w:hAnsi="宋体"/>
          <w:color w:val="000000" w:themeColor="text1"/>
          <w:szCs w:val="21"/>
          <w14:textFill>
            <w14:solidFill>
              <w14:schemeClr w14:val="tx1"/>
            </w14:solidFill>
          </w14:textFill>
        </w:rPr>
        <w:t>且满足项目实施要求，</w:t>
      </w:r>
      <w:r>
        <w:rPr>
          <w:rFonts w:hint="eastAsia" w:ascii="宋体" w:hAnsi="宋体" w:cs="宋体"/>
          <w:color w:val="000000" w:themeColor="text1"/>
          <w:szCs w:val="21"/>
          <w14:textFill>
            <w14:solidFill>
              <w14:schemeClr w14:val="tx1"/>
            </w14:solidFill>
          </w14:textFill>
        </w:rPr>
        <w:t>有国家强制性标准的，还必须符合国家强制性标准的规定，没有国家强制性标准但有其他强制性标准的，必须符合其他强制性标准的规定。</w:t>
      </w:r>
    </w:p>
    <w:p w14:paraId="37B0EAB9">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第三条  履行时间（期限）、地点和方式</w:t>
      </w:r>
    </w:p>
    <w:p w14:paraId="19299D4A">
      <w:pPr>
        <w:snapToGrid w:val="0"/>
        <w:spacing w:line="360" w:lineRule="auto"/>
        <w:ind w:firstLine="420" w:firstLineChars="200"/>
        <w:rPr>
          <w:rFonts w:ascii="宋体" w:hAnsi="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1.履行时间（期限）：</w:t>
      </w:r>
      <w:r>
        <w:rPr>
          <w:rFonts w:hint="eastAsia" w:ascii="宋体" w:hAnsi="宋体"/>
          <w:color w:val="000000" w:themeColor="text1"/>
          <w:szCs w:val="21"/>
          <w:u w:val="single"/>
          <w14:textFill>
            <w14:solidFill>
              <w14:schemeClr w14:val="tx1"/>
            </w14:solidFill>
          </w14:textFill>
        </w:rPr>
        <w:t xml:space="preserve">                     </w:t>
      </w:r>
    </w:p>
    <w:p w14:paraId="6C83F0CE">
      <w:pPr>
        <w:snapToGrid w:val="0"/>
        <w:spacing w:line="360" w:lineRule="auto"/>
        <w:ind w:firstLine="420" w:firstLineChars="200"/>
        <w:rPr>
          <w:rFonts w:ascii="宋体" w:hAnsi="宋体" w:cs="宋体"/>
          <w:i/>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2.履行地点：</w:t>
      </w:r>
      <w:r>
        <w:rPr>
          <w:rFonts w:hint="eastAsia" w:ascii="宋体" w:hAnsi="宋体"/>
          <w:color w:val="000000" w:themeColor="text1"/>
          <w:szCs w:val="21"/>
          <w:u w:val="single"/>
          <w14:textFill>
            <w14:solidFill>
              <w14:schemeClr w14:val="tx1"/>
            </w14:solidFill>
          </w14:textFill>
        </w:rPr>
        <w:t xml:space="preserve">                     </w:t>
      </w:r>
    </w:p>
    <w:p w14:paraId="1CB9EF4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3.履行方式</w:t>
      </w:r>
    </w:p>
    <w:p w14:paraId="241CFB37">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（1）履行方式：；</w:t>
      </w:r>
    </w:p>
    <w:p w14:paraId="06DE3BF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（2）伴随货物的，</w:t>
      </w:r>
      <w:r>
        <w:rPr>
          <w:rFonts w:hint="eastAsia" w:ascii="宋体" w:hAnsi="宋体"/>
          <w:color w:val="000000" w:themeColor="text1"/>
          <w:szCs w:val="21"/>
          <w14:textFill>
            <w14:solidFill>
              <w14:schemeClr w14:val="tx1"/>
            </w14:solidFill>
          </w14:textFill>
        </w:rPr>
        <w:t>乙方负责货物运输，</w:t>
      </w:r>
      <w:r>
        <w:rPr>
          <w:rFonts w:hint="eastAsia" w:ascii="宋体" w:hAnsi="宋体" w:cs="宋体"/>
          <w:color w:val="000000" w:themeColor="text1"/>
          <w:szCs w:val="21"/>
          <w14:textFill>
            <w14:solidFill>
              <w14:schemeClr w14:val="tx1"/>
            </w14:solidFill>
          </w14:textFill>
        </w:rPr>
        <w:t>货物的运输方式：，交货方式：</w:t>
      </w:r>
    </w:p>
    <w:p w14:paraId="16AEEAB7">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乙方将货物送到甲方指定地点。</w:t>
      </w:r>
    </w:p>
    <w:p w14:paraId="4F6F379C">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甲方自行到乙方指定地点提货。</w:t>
      </w:r>
    </w:p>
    <w:p w14:paraId="78B5404C">
      <w:pPr>
        <w:snapToGrid w:val="0"/>
        <w:spacing w:line="360" w:lineRule="auto"/>
        <w:ind w:firstLine="420" w:firstLineChars="200"/>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w:t>
      </w:r>
    </w:p>
    <w:p w14:paraId="5C70A1A3">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w:t>
      </w:r>
      <w:r>
        <w:rPr>
          <w:rFonts w:hint="eastAsia" w:ascii="宋体" w:hAnsi="宋体"/>
          <w:b/>
          <w:color w:val="000000" w:themeColor="text1"/>
          <w14:textFill>
            <w14:solidFill>
              <w14:schemeClr w14:val="tx1"/>
            </w14:solidFill>
          </w14:textFill>
        </w:rPr>
        <w:t>包装方式（如有</w:t>
      </w:r>
      <w:r>
        <w:rPr>
          <w:rFonts w:hint="eastAsia" w:ascii="宋体" w:hAnsi="宋体"/>
          <w:b/>
          <w:color w:val="000000" w:themeColor="text1"/>
          <w:szCs w:val="21"/>
          <w14:textFill>
            <w14:solidFill>
              <w14:schemeClr w14:val="tx1"/>
            </w14:solidFill>
          </w14:textFill>
        </w:rPr>
        <w:t>伴随货物的</w:t>
      </w:r>
      <w:r>
        <w:rPr>
          <w:rFonts w:hint="eastAsia" w:ascii="宋体" w:hAnsi="宋体"/>
          <w:b/>
          <w:color w:val="000000" w:themeColor="text1"/>
          <w14:textFill>
            <w14:solidFill>
              <w14:schemeClr w14:val="tx1"/>
            </w14:solidFill>
          </w14:textFill>
        </w:rPr>
        <w:t>）</w:t>
      </w:r>
    </w:p>
    <w:p w14:paraId="67F5D822">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1.乙方提供的货物均应按响应文件承诺的要求的包装材料、包装标准、包装方式进行包装。</w:t>
      </w:r>
    </w:p>
    <w:p w14:paraId="5D717C19">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2.乙方应在货物发运前对其进行满足运输距离、防水、防潮、防震、防锈和防破损装卸等要求包装，以保证货物安全运达甲方指定地点。</w:t>
      </w:r>
    </w:p>
    <w:p w14:paraId="65B2AC90">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3.货物的使用说明书（货物属于进口产品的，供货时应同时附上中文使用说明书）、质量检验证明书、质量合格证、随配附件和工具以及清单一并附于货物包装内。</w:t>
      </w:r>
    </w:p>
    <w:p w14:paraId="1292F638">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　实施和培训</w:t>
      </w:r>
    </w:p>
    <w:p w14:paraId="2AFC770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1.实施时间：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；实施地点：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26EC8E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2.实施要求：</w:t>
      </w:r>
      <w:r>
        <w:rPr>
          <w:rFonts w:hint="eastAsia" w:ascii="宋体" w:hAnsi="宋体"/>
          <w:iCs/>
          <w:color w:val="000000" w:themeColor="text1"/>
          <w:szCs w:val="21"/>
          <w:u w:val="single"/>
          <w14:textFill>
            <w14:solidFill>
              <w14:schemeClr w14:val="tx1"/>
            </w14:solidFill>
          </w14:textFill>
        </w:rPr>
        <w:t>乙方应当按响应文件要求（如有）或甲方要求进行实施</w:t>
      </w:r>
      <w:r>
        <w:rPr>
          <w:rFonts w:hint="eastAsia" w:ascii="宋体" w:hAnsi="宋体"/>
          <w:color w:val="000000" w:themeColor="text1"/>
          <w:szCs w:val="21"/>
          <w14:textFill>
            <w14:solidFill>
              <w14:schemeClr w14:val="tx1"/>
            </w14:solidFill>
          </w14:textFill>
        </w:rPr>
        <w:t>。</w:t>
      </w:r>
    </w:p>
    <w:p w14:paraId="5F1DB7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3.乙方应按响应文件的承诺向甲方提供相应的服务，并提供所服务内容的相关技术资料，乙方提供不符合响应文件和本合同规定的服务成果，甲方有权拒绝接受。</w:t>
      </w:r>
    </w:p>
    <w:p w14:paraId="12029BF3">
      <w:pPr>
        <w:pStyle w:val="1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4.乙方应当按照响应文件的承诺对甲方有关人员进行培训。培训时间：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；培训地点：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0925730D">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第六条　合同价款及支付</w:t>
      </w:r>
    </w:p>
    <w:p w14:paraId="7CBB6EEB">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1.本合同以人民币付款。</w:t>
      </w:r>
    </w:p>
    <w:p w14:paraId="3D9B2C3A">
      <w:pPr>
        <w:pStyle w:val="13"/>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2.合同价款（或者报酬）：</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04FC747B">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合同价款</w:t>
      </w:r>
      <w:r>
        <w:rPr>
          <w:rFonts w:hint="eastAsia" w:ascii="宋体" w:hAnsi="宋体" w:cs="宋体"/>
          <w:color w:val="000000" w:themeColor="text1"/>
          <w:szCs w:val="21"/>
          <w14:textFill>
            <w14:solidFill>
              <w14:schemeClr w14:val="tx1"/>
            </w14:solidFill>
          </w14:textFill>
        </w:rPr>
        <w:t>包括满足本次全部采购需求所应提供的服务的价格；本项目为服务成果整体交付应用项目，按服务总价包干，甲方不对项目达到成果水平报的服务、货物、施工等一切内容追加支付费用，由乙方在合同价内全部提供或解决，合同价为甲方指定地点的服务总价，包括：</w:t>
      </w:r>
    </w:p>
    <w:p w14:paraId="640D4A21">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（1）服务的价格；</w:t>
      </w:r>
    </w:p>
    <w:p w14:paraId="6CE1BDB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（2）相关标准附件、备品备件、专用工具的价格；</w:t>
      </w:r>
    </w:p>
    <w:p w14:paraId="2B37D44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（3）运输、装卸、调试、培训、技术支持、售后服务等费用；</w:t>
      </w:r>
    </w:p>
    <w:p w14:paraId="17D73D4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（4）必要的保险费用和各项税费；</w:t>
      </w:r>
    </w:p>
    <w:p w14:paraId="37576B78">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（5）包括安装费用；</w:t>
      </w:r>
    </w:p>
    <w:p w14:paraId="2FC2B2C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（6）验收的费用。</w:t>
      </w:r>
    </w:p>
    <w:p w14:paraId="5B519AD7">
      <w:pPr>
        <w:spacing w:line="360" w:lineRule="auto"/>
        <w:ind w:firstLine="420" w:firstLineChars="200"/>
        <w:rPr>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4</w:t>
      </w:r>
      <w:r>
        <w:rPr>
          <w:rFonts w:hint="eastAsia" w:ascii="宋体" w:hAnsi="宋体"/>
          <w:color w:val="000000" w:themeColor="text1"/>
          <w:szCs w:val="21"/>
          <w14:textFill>
            <w14:solidFill>
              <w14:schemeClr w14:val="tx1"/>
            </w14:solidFill>
          </w14:textFill>
        </w:rPr>
        <w:t xml:space="preserve">. </w:t>
      </w:r>
      <w:r>
        <w:rPr>
          <w:rFonts w:hint="eastAsia" w:hAnsi="宋体"/>
          <w:color w:val="000000" w:themeColor="text1"/>
          <w14:textFill>
            <w14:solidFill>
              <w14:schemeClr w14:val="tx1"/>
            </w14:solidFill>
          </w14:textFill>
        </w:rPr>
        <w:t>付款进度安排</w:t>
      </w:r>
      <w:r>
        <w:rPr>
          <w:rFonts w:hint="eastAsia" w:hAnsi="宋体"/>
          <w:i/>
          <w:color w:val="000000" w:themeColor="text1"/>
          <w14:textFill>
            <w14:solidFill>
              <w14:schemeClr w14:val="tx1"/>
            </w14:solidFill>
          </w14:textFill>
        </w:rPr>
        <w:t>：</w:t>
      </w:r>
    </w:p>
    <w:p w14:paraId="64AE116E">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①合同签订生效并运维一个月后，乙方向甲方提交请款材料，待财政资金批复后10个工作日内支付合同总额的30%。②第6个月运维结束后，乙方向甲方提交请款材料，待财政资金批复后10个工作日内支付合同总额的30%。③运维结束后，乙方向甲方提交请款材料，待财政资金批复后10个工作日内支付合同总额的40%。</w:t>
      </w:r>
    </w:p>
    <w:p w14:paraId="04DF9550">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5</w:t>
      </w:r>
      <w:r>
        <w:rPr>
          <w:rFonts w:hint="eastAsia" w:ascii="宋体" w:hAnsi="宋体"/>
          <w:color w:val="000000" w:themeColor="text1"/>
          <w:szCs w:val="21"/>
          <w14:textFill>
            <w14:solidFill>
              <w14:schemeClr w14:val="tx1"/>
            </w14:solidFill>
          </w14:textFill>
        </w:rPr>
        <w:t xml:space="preserve">. </w:t>
      </w:r>
      <w:r>
        <w:rPr>
          <w:rFonts w:hint="eastAsia" w:hAnsi="宋体"/>
          <w:color w:val="000000" w:themeColor="text1"/>
          <w14:textFill>
            <w14:solidFill>
              <w14:schemeClr w14:val="tx1"/>
            </w14:solidFill>
          </w14:textFill>
        </w:rPr>
        <w:t>资金支付方式：</w:t>
      </w:r>
      <w:r>
        <w:rPr>
          <w:rFonts w:hint="eastAsia" w:hAnsi="宋体"/>
          <w:iCs/>
          <w:color w:val="000000" w:themeColor="text1"/>
          <w:u w:val="single"/>
          <w14:textFill>
            <w14:solidFill>
              <w14:schemeClr w14:val="tx1"/>
            </w14:solidFill>
          </w14:textFill>
        </w:rPr>
        <w:t>（银行转账）</w:t>
      </w:r>
      <w:r>
        <w:rPr>
          <w:rFonts w:hint="eastAsia" w:hAnsi="宋体"/>
          <w:color w:val="000000" w:themeColor="text1"/>
          <w14:textFill>
            <w14:solidFill>
              <w14:schemeClr w14:val="tx1"/>
            </w14:solidFill>
          </w14:textFill>
        </w:rPr>
        <w:t>。</w:t>
      </w:r>
    </w:p>
    <w:p w14:paraId="106FC434">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　验收、交付标准和方法</w:t>
      </w:r>
    </w:p>
    <w:p w14:paraId="2AC6C3D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1.验收标准和方法</w:t>
      </w:r>
    </w:p>
    <w:p w14:paraId="265353B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（1）验收标准：</w:t>
      </w:r>
    </w:p>
    <w:p w14:paraId="65BE5F33">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1）符合现行国家相关标准、行业标准、地方标准或者其他标准、规范。</w:t>
      </w:r>
    </w:p>
    <w:p w14:paraId="535726A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平台接口完成对接、测试、培训和上线后，成交供应商应配合采购人完成对系统综合测评，双方组织人员对项目总体性能和项目交付文档进行全面验收，并按采购人要求形成最终验收合格文件。验收文件的签署：由成交供应商撰写服务完成报告，由采购人委派的验收小组再审核后，双方共同签署。逾期不验收或验收后不提出异议的，则视为验收合格。</w:t>
      </w:r>
    </w:p>
    <w:p w14:paraId="5173C46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（2）验收程序及方法：</w:t>
      </w:r>
    </w:p>
    <w:p w14:paraId="6143033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1）乙方完成服务实施和培训后，向甲方提交验收书面申请。</w:t>
      </w:r>
    </w:p>
    <w:p w14:paraId="62DFB76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2）甲方收到乙方验收申请之日起</w:t>
      </w:r>
      <w:r>
        <w:rPr>
          <w:rFonts w:hint="eastAsia" w:ascii="宋体" w:hAnsi="宋体"/>
          <w:color w:val="000000" w:themeColor="text1"/>
          <w:szCs w:val="21"/>
          <w:u w:val="single"/>
          <w14:textFill>
            <w14:solidFill>
              <w14:schemeClr w14:val="tx1"/>
            </w14:solidFill>
          </w14:textFill>
        </w:rPr>
        <w:t>10</w:t>
      </w:r>
      <w:r>
        <w:rPr>
          <w:rFonts w:hint="eastAsia" w:ascii="宋体" w:hAnsi="宋体"/>
          <w:color w:val="000000" w:themeColor="text1"/>
          <w:szCs w:val="21"/>
          <w14:textFill>
            <w14:solidFill>
              <w14:schemeClr w14:val="tx1"/>
            </w14:solidFill>
          </w14:textFill>
        </w:rPr>
        <w:t>个工作日内组织开展履约验收。甲方委托第三方机构组织项目验收的，其验收时间以该项目验收方案确定的验收时间为准。</w:t>
      </w:r>
    </w:p>
    <w:p w14:paraId="3B8C343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3）负责本项目验收的单位按下列</w:t>
      </w:r>
      <w:r>
        <w:rPr>
          <w:rFonts w:hint="eastAsia" w:ascii="宋体" w:hAnsi="宋体"/>
          <w:color w:val="000000" w:themeColor="text1"/>
          <w:szCs w:val="21"/>
          <w:u w:val="single"/>
          <w14:textFill>
            <w14:solidFill>
              <w14:schemeClr w14:val="tx1"/>
            </w14:solidFill>
          </w14:textFill>
        </w:rPr>
        <w:t xml:space="preserve">  ①  </w:t>
      </w:r>
      <w:r>
        <w:rPr>
          <w:rFonts w:hint="eastAsia" w:ascii="宋体" w:hAnsi="宋体"/>
          <w:color w:val="000000" w:themeColor="text1"/>
          <w:szCs w:val="21"/>
          <w14:textFill>
            <w14:solidFill>
              <w14:schemeClr w14:val="tx1"/>
            </w14:solidFill>
          </w14:textFill>
        </w:rPr>
        <w:t>方式确定：</w:t>
      </w:r>
    </w:p>
    <w:p w14:paraId="0CBB687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①甲方自行组织；</w:t>
      </w:r>
    </w:p>
    <w:p w14:paraId="0CA2575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②甲方委托的第三方机构组织；</w:t>
      </w:r>
    </w:p>
    <w:p w14:paraId="4AFDAFD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4）本项目验收由验收小组按照采购合同约定对每一项技术和商务要求的履约情况进行确认。</w:t>
      </w:r>
    </w:p>
    <w:p w14:paraId="014EF7DD">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D879454">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验收书一式</w:t>
      </w:r>
      <w:r>
        <w:rPr>
          <w:color w:val="000000" w:themeColor="text1"/>
          <w:szCs w:val="21"/>
          <w:u w:val="single"/>
          <w14:textFill>
            <w14:solidFill>
              <w14:schemeClr w14:val="tx1"/>
            </w14:solidFill>
          </w14:textFill>
        </w:rPr>
        <w:t>六</w:t>
      </w:r>
      <w:r>
        <w:rPr>
          <w:rFonts w:hint="eastAsia"/>
          <w:color w:val="000000" w:themeColor="text1"/>
          <w:szCs w:val="21"/>
          <w14:textFill>
            <w14:solidFill>
              <w14:schemeClr w14:val="tx1"/>
            </w14:solidFill>
          </w14:textFill>
        </w:rPr>
        <w:t>份，甲乙双方各执</w:t>
      </w:r>
      <w:r>
        <w:rPr>
          <w:color w:val="000000" w:themeColor="text1"/>
          <w:szCs w:val="21"/>
          <w:u w:val="single"/>
          <w14:textFill>
            <w14:solidFill>
              <w14:schemeClr w14:val="tx1"/>
            </w14:solidFill>
          </w14:textFill>
        </w:rPr>
        <w:t>三</w:t>
      </w:r>
      <w:r>
        <w:rPr>
          <w:rFonts w:hint="eastAsia"/>
          <w:color w:val="000000" w:themeColor="text1"/>
          <w:szCs w:val="21"/>
          <w14:textFill>
            <w14:solidFill>
              <w14:schemeClr w14:val="tx1"/>
            </w14:solidFill>
          </w14:textFill>
        </w:rPr>
        <w:t>份、受托第三方机构一份（如有）</w:t>
      </w:r>
      <w:r>
        <w:rPr>
          <w:rFonts w:hint="eastAsia" w:ascii="宋体" w:hAnsi="宋体"/>
          <w:color w:val="000000" w:themeColor="text1"/>
          <w:szCs w:val="21"/>
          <w14:textFill>
            <w14:solidFill>
              <w14:schemeClr w14:val="tx1"/>
            </w14:solidFill>
          </w14:textFill>
        </w:rPr>
        <w:t xml:space="preserve">。 </w:t>
      </w:r>
    </w:p>
    <w:p w14:paraId="6552397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7）验收结论不合格的，乙方应自收到验收书后</w:t>
      </w:r>
      <w:r>
        <w:rPr>
          <w:rFonts w:hint="eastAsia" w:ascii="宋体" w:hAnsi="宋体"/>
          <w:color w:val="000000" w:themeColor="text1"/>
          <w:szCs w:val="21"/>
          <w:u w:val="single"/>
          <w14:textFill>
            <w14:solidFill>
              <w14:schemeClr w14:val="tx1"/>
            </w14:solidFill>
          </w14:textFill>
        </w:rPr>
        <w:t xml:space="preserve"> 7 </w:t>
      </w:r>
      <w:r>
        <w:rPr>
          <w:rFonts w:hint="eastAsia" w:ascii="宋体" w:hAnsi="宋体"/>
          <w:color w:val="000000" w:themeColor="text1"/>
          <w:szCs w:val="21"/>
          <w14:textFill>
            <w14:solidFill>
              <w14:schemeClr w14:val="tx1"/>
            </w14:solidFill>
          </w14:textFill>
        </w:rPr>
        <w:t>日内及时予以解决。经乙方对验收结论不合格的货物进行整改后，仍然达不到要求的，经双方协商，可按以下办法处理：</w:t>
      </w:r>
    </w:p>
    <w:p w14:paraId="1E72DB6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①更换：由乙方承担所发生的全部费用。</w:t>
      </w:r>
    </w:p>
    <w:p w14:paraId="3757C41A">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②贬值处理：由甲乙双方合议定价。</w:t>
      </w:r>
    </w:p>
    <w:p w14:paraId="3D0AF070">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hint="eastAsia"/>
          <w:color w:val="000000" w:themeColor="text1"/>
          <w14:textFill>
            <w14:solidFill>
              <w14:schemeClr w14:val="tx1"/>
            </w14:solidFill>
          </w14:textFill>
        </w:rPr>
        <w:t>验收费用</w:t>
      </w:r>
      <w:r>
        <w:rPr>
          <w:rFonts w:hint="eastAsia" w:ascii="宋体" w:hAnsi="宋体"/>
          <w:color w:val="000000" w:themeColor="text1"/>
          <w:szCs w:val="21"/>
          <w14:textFill>
            <w14:solidFill>
              <w14:schemeClr w14:val="tx1"/>
            </w14:solidFill>
          </w14:textFill>
        </w:rPr>
        <w:t>按下列</w:t>
      </w:r>
      <w:r>
        <w:rPr>
          <w:rFonts w:hint="eastAsia" w:ascii="宋体" w:hAnsi="宋体"/>
          <w:color w:val="000000" w:themeColor="text1"/>
          <w:szCs w:val="21"/>
          <w:u w:val="single"/>
          <w14:textFill>
            <w14:solidFill>
              <w14:schemeClr w14:val="tx1"/>
            </w14:solidFill>
          </w14:textFill>
        </w:rPr>
        <w:t xml:space="preserve">  ②  </w:t>
      </w:r>
      <w:r>
        <w:rPr>
          <w:rFonts w:hint="eastAsia" w:ascii="宋体" w:hAnsi="宋体"/>
          <w:color w:val="000000" w:themeColor="text1"/>
          <w:szCs w:val="21"/>
          <w14:textFill>
            <w14:solidFill>
              <w14:schemeClr w14:val="tx1"/>
            </w14:solidFill>
          </w14:textFill>
        </w:rPr>
        <w:t>方式确定：</w:t>
      </w:r>
    </w:p>
    <w:p w14:paraId="67B6CE1B">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①甲方支付；</w:t>
      </w:r>
    </w:p>
    <w:p w14:paraId="6B0DBE5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②乙方支付；</w:t>
      </w:r>
    </w:p>
    <w:p w14:paraId="094C1C53">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2.交付标准和方法</w:t>
      </w:r>
    </w:p>
    <w:p w14:paraId="47E7546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（1）除售后服务验收外，</w:t>
      </w:r>
      <w:r>
        <w:rPr>
          <w:rFonts w:hint="eastAsia" w:ascii="宋体" w:hAnsi="宋体"/>
          <w:color w:val="000000" w:themeColor="text1"/>
          <w:szCs w:val="21"/>
          <w14:textFill>
            <w14:solidFill>
              <w14:schemeClr w14:val="tx1"/>
            </w14:solidFill>
          </w14:textFill>
        </w:rPr>
        <w:t>验收结论合格的，乙方应自收到验收书/报告后日内向甲方交付使用。</w:t>
      </w:r>
    </w:p>
    <w:p w14:paraId="109E9CE3">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（2）甲方在初步验收或者最终验收过程中如发现乙方提供的服务成果不满足响应文件及本合同规定的，暂停向乙方付款，直到乙方及时完善并提交相应的服务成果且经甲方验收合格后，方可办理付款。</w:t>
      </w:r>
    </w:p>
    <w:p w14:paraId="2FF5684A">
      <w:pPr>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（3）伴随货物的，其所有权和风险自交付时起由乙方转移至甲方，货物交付给甲方之前所有风险均由乙方承担。</w:t>
      </w:r>
    </w:p>
    <w:p w14:paraId="74AE9EB8">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第八条  售后服务</w:t>
      </w:r>
    </w:p>
    <w:p w14:paraId="6A0BEFC1">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乙方应按照国家有关法律法规规定以及响应文件承诺，为甲方提供售后服务。</w:t>
      </w:r>
    </w:p>
    <w:p w14:paraId="66F9A324">
      <w:pPr>
        <w:snapToGrid w:val="0"/>
        <w:spacing w:line="360" w:lineRule="auto"/>
        <w:ind w:left="-61" w:leftChars="-29" w:firstLine="517" w:firstLineChars="24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第九条　履约保证金</w:t>
      </w:r>
    </w:p>
    <w:p w14:paraId="11F488BA">
      <w:pPr>
        <w:snapToGrid w:val="0"/>
        <w:spacing w:line="360" w:lineRule="auto"/>
        <w:ind w:left="-61" w:leftChars="-29" w:firstLine="517" w:firstLineChars="24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本项目无履约保证金</w:t>
      </w:r>
    </w:p>
    <w:p w14:paraId="6D2E0994">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第十条　违约责任</w:t>
      </w:r>
    </w:p>
    <w:p w14:paraId="1A3273F2">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1.合同一方不履行合同义务、履行合同义务不符合约定或者违反合同项下所作保证的， 应向对方承担继续履行、采取修理、更换、退货等补救措施或者赔偿损失等违约责任。</w:t>
      </w:r>
    </w:p>
    <w:p w14:paraId="1C96C416">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2.乙方未能按时交付服务的，应向甲方支付迟延交付违约金。迟延交付违约金的计算方法如下：</w:t>
      </w:r>
    </w:p>
    <w:p w14:paraId="5EED4A2B">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（1）从迟交的第一周到第四周，每周迟延交付违约金为合同价款（报酬）的</w:t>
      </w:r>
      <w:r>
        <w:rPr>
          <w:rFonts w:hint="eastAsia" w:hAnsi="宋体"/>
          <w:i/>
          <w:color w:val="000000" w:themeColor="text1"/>
          <w:sz w:val="21"/>
          <w:u w:val="single"/>
          <w14:textFill>
            <w14:solidFill>
              <w14:schemeClr w14:val="tx1"/>
            </w14:solidFill>
          </w14:textFill>
        </w:rPr>
        <w:t xml:space="preserve"> 0.5%</w:t>
      </w:r>
      <w:r>
        <w:rPr>
          <w:rFonts w:hint="eastAsia" w:hAnsi="宋体"/>
          <w:color w:val="000000" w:themeColor="text1"/>
          <w:sz w:val="21"/>
          <w14:textFill>
            <w14:solidFill>
              <w14:schemeClr w14:val="tx1"/>
            </w14:solidFill>
          </w14:textFill>
        </w:rPr>
        <w:t>；</w:t>
      </w:r>
    </w:p>
    <w:p w14:paraId="50434D14">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（2）从迟交的第五周到第八周，每周迟延交付违约金为合同价款（报酬）的</w:t>
      </w:r>
      <w:r>
        <w:rPr>
          <w:rFonts w:hint="eastAsia" w:hAnsi="宋体"/>
          <w:i/>
          <w:color w:val="000000" w:themeColor="text1"/>
          <w:sz w:val="21"/>
          <w:u w:val="single"/>
          <w14:textFill>
            <w14:solidFill>
              <w14:schemeClr w14:val="tx1"/>
            </w14:solidFill>
          </w14:textFill>
        </w:rPr>
        <w:t xml:space="preserve"> 1%</w:t>
      </w:r>
      <w:r>
        <w:rPr>
          <w:rFonts w:hint="eastAsia" w:hAnsi="宋体"/>
          <w:color w:val="000000" w:themeColor="text1"/>
          <w:sz w:val="21"/>
          <w14:textFill>
            <w14:solidFill>
              <w14:schemeClr w14:val="tx1"/>
            </w14:solidFill>
          </w14:textFill>
        </w:rPr>
        <w:t>；</w:t>
      </w:r>
    </w:p>
    <w:p w14:paraId="40F0E2F7">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（3）从迟交第九周起，每周迟延交付违约金为合同价款（报酬）的</w:t>
      </w:r>
      <w:r>
        <w:rPr>
          <w:rFonts w:hint="eastAsia" w:hAnsi="宋体"/>
          <w:i/>
          <w:color w:val="000000" w:themeColor="text1"/>
          <w:sz w:val="21"/>
          <w:u w:val="single"/>
          <w14:textFill>
            <w14:solidFill>
              <w14:schemeClr w14:val="tx1"/>
            </w14:solidFill>
          </w14:textFill>
        </w:rPr>
        <w:t xml:space="preserve"> 1.5%</w:t>
      </w:r>
      <w:r>
        <w:rPr>
          <w:rFonts w:hint="eastAsia" w:hAnsi="宋体"/>
          <w:color w:val="000000" w:themeColor="text1"/>
          <w:sz w:val="21"/>
          <w14:textFill>
            <w14:solidFill>
              <w14:schemeClr w14:val="tx1"/>
            </w14:solidFill>
          </w14:textFill>
        </w:rPr>
        <w:t>。在计算迟延交付违约金时，迟交不足一周的按一周计算。迟延交付违约金的总额不得超过合同价款（报酬）的</w:t>
      </w:r>
      <w:r>
        <w:rPr>
          <w:rFonts w:hint="eastAsia" w:hAnsi="宋体"/>
          <w:color w:val="000000" w:themeColor="text1"/>
          <w:sz w:val="21"/>
          <w:u w:val="single"/>
          <w14:textFill>
            <w14:solidFill>
              <w14:schemeClr w14:val="tx1"/>
            </w14:solidFill>
          </w14:textFill>
        </w:rPr>
        <w:t xml:space="preserve"> 10%</w:t>
      </w:r>
      <w:r>
        <w:rPr>
          <w:rFonts w:hint="eastAsia" w:hAnsi="宋体"/>
          <w:color w:val="000000" w:themeColor="text1"/>
          <w:sz w:val="21"/>
          <w14:textFill>
            <w14:solidFill>
              <w14:schemeClr w14:val="tx1"/>
            </w14:solidFill>
          </w14:textFill>
        </w:rPr>
        <w:t>。迟延交付违约金的支付不能免除乙方继续交付相关合同服务的义务，但如迟延交付必然导致合同服务实施、调试、验收等工作推迟的，相关工作应相应顺延。</w:t>
      </w:r>
    </w:p>
    <w:p w14:paraId="743FEA61">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3.甲方未能按合同约定支付合同价款的，应向乙方支付延迟付款违约金。迟延付款违约金的计算方法如下：</w:t>
      </w:r>
    </w:p>
    <w:p w14:paraId="530F8479">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（1）从迟付的第一周到第四周，每周迟延付款违约金为迟延付款金额的</w:t>
      </w:r>
      <w:r>
        <w:rPr>
          <w:rFonts w:hint="eastAsia" w:hAnsi="宋体"/>
          <w:i/>
          <w:color w:val="000000" w:themeColor="text1"/>
          <w:sz w:val="21"/>
          <w:u w:val="single"/>
          <w14:textFill>
            <w14:solidFill>
              <w14:schemeClr w14:val="tx1"/>
            </w14:solidFill>
          </w14:textFill>
        </w:rPr>
        <w:t xml:space="preserve"> 0.5%</w:t>
      </w:r>
      <w:r>
        <w:rPr>
          <w:rFonts w:hint="eastAsia" w:hAnsi="宋体"/>
          <w:color w:val="000000" w:themeColor="text1"/>
          <w:sz w:val="21"/>
          <w14:textFill>
            <w14:solidFill>
              <w14:schemeClr w14:val="tx1"/>
            </w14:solidFill>
          </w14:textFill>
        </w:rPr>
        <w:t>；</w:t>
      </w:r>
    </w:p>
    <w:p w14:paraId="1559EBE7">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（2）从迟付的第五周到第八周，每周迟延付款违约金为迟延付款金额的</w:t>
      </w:r>
      <w:r>
        <w:rPr>
          <w:rFonts w:hint="eastAsia" w:hAnsi="宋体"/>
          <w:i/>
          <w:color w:val="000000" w:themeColor="text1"/>
          <w:sz w:val="21"/>
          <w:u w:val="single"/>
          <w14:textFill>
            <w14:solidFill>
              <w14:schemeClr w14:val="tx1"/>
            </w14:solidFill>
          </w14:textFill>
        </w:rPr>
        <w:t xml:space="preserve"> 1%</w:t>
      </w:r>
      <w:r>
        <w:rPr>
          <w:rFonts w:hint="eastAsia" w:hAnsi="宋体"/>
          <w:color w:val="000000" w:themeColor="text1"/>
          <w:sz w:val="21"/>
          <w14:textFill>
            <w14:solidFill>
              <w14:schemeClr w14:val="tx1"/>
            </w14:solidFill>
          </w14:textFill>
        </w:rPr>
        <w:t>；</w:t>
      </w:r>
    </w:p>
    <w:p w14:paraId="35BBBD82">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（3）从迟付第九周起，每周迟延付款违约金为迟延付款金额的</w:t>
      </w:r>
      <w:r>
        <w:rPr>
          <w:rFonts w:hint="eastAsia" w:hAnsi="宋体"/>
          <w:i/>
          <w:color w:val="000000" w:themeColor="text1"/>
          <w:sz w:val="21"/>
          <w:u w:val="single"/>
          <w14:textFill>
            <w14:solidFill>
              <w14:schemeClr w14:val="tx1"/>
            </w14:solidFill>
          </w14:textFill>
        </w:rPr>
        <w:t xml:space="preserve"> 1.5%</w:t>
      </w:r>
      <w:r>
        <w:rPr>
          <w:rFonts w:hint="eastAsia" w:hAnsi="宋体"/>
          <w:color w:val="000000" w:themeColor="text1"/>
          <w:sz w:val="21"/>
          <w14:textFill>
            <w14:solidFill>
              <w14:schemeClr w14:val="tx1"/>
            </w14:solidFill>
          </w14:textFill>
        </w:rPr>
        <w:t>。在计算迟延付款违约金时，迟付不足一周的按一周计算。迟延付款违约金的总额不得超过合同价格的</w:t>
      </w:r>
      <w:r>
        <w:rPr>
          <w:rFonts w:hint="eastAsia" w:hAnsi="宋体"/>
          <w:color w:val="000000" w:themeColor="text1"/>
          <w:sz w:val="21"/>
          <w:u w:val="single"/>
          <w14:textFill>
            <w14:solidFill>
              <w14:schemeClr w14:val="tx1"/>
            </w14:solidFill>
          </w14:textFill>
        </w:rPr>
        <w:t xml:space="preserve"> 10%</w:t>
      </w:r>
      <w:r>
        <w:rPr>
          <w:rFonts w:hint="eastAsia" w:hAnsi="宋体"/>
          <w:color w:val="000000" w:themeColor="text1"/>
          <w:sz w:val="21"/>
          <w14:textFill>
            <w14:solidFill>
              <w14:schemeClr w14:val="tx1"/>
            </w14:solidFill>
          </w14:textFill>
        </w:rPr>
        <w:t>。</w:t>
      </w:r>
    </w:p>
    <w:p w14:paraId="7E61EDBA">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4.乙方未按本合同和响应文件承诺提供售后服务的，乙方应按本合同价款（报酬）的 %向甲方支付违约金。</w:t>
      </w:r>
    </w:p>
    <w:p w14:paraId="0DEA000B">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5.因某一方原因导致变更、中止或者终止政府采购合同的，该方应当对另一方受到的损失予以赔偿或者补偿。</w:t>
      </w:r>
    </w:p>
    <w:p w14:paraId="6510690E">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6.其它违约责任按《中华人民共和国民法典》处理。</w:t>
      </w:r>
    </w:p>
    <w:p w14:paraId="419B2DBB">
      <w:pPr>
        <w:pStyle w:val="13"/>
        <w:snapToGrid w:val="0"/>
        <w:spacing w:line="360" w:lineRule="auto"/>
        <w:ind w:firstLine="413" w:firstLineChars="196"/>
        <w:rPr>
          <w:rFonts w:hAnsi="宋体"/>
          <w:b/>
          <w:color w:val="000000" w:themeColor="text1"/>
          <w:sz w:val="21"/>
          <w14:textFill>
            <w14:solidFill>
              <w14:schemeClr w14:val="tx1"/>
            </w14:solidFill>
          </w14:textFill>
        </w:rPr>
      </w:pPr>
      <w:r>
        <w:rPr>
          <w:rFonts w:hint="eastAsia" w:hAnsi="宋体"/>
          <w:b/>
          <w:color w:val="000000" w:themeColor="text1"/>
          <w:sz w:val="21"/>
          <w14:textFill>
            <w14:solidFill>
              <w14:schemeClr w14:val="tx1"/>
            </w14:solidFill>
          </w14:textFill>
        </w:rPr>
        <w:t>第十一条  不可抗力事件处理</w:t>
      </w:r>
    </w:p>
    <w:p w14:paraId="79362B22">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1.在合同有效期内，任何一方因不可抗力事件导致不能履行合同，则合同履行期可延长，其延长期与不可抗力影响期相同。</w:t>
      </w:r>
    </w:p>
    <w:p w14:paraId="2E21AD24">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2.不可抗力事件发生后，应立即通知对方，并寄送有关权威机构出具的证明。</w:t>
      </w:r>
    </w:p>
    <w:p w14:paraId="5CFC063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3.不可抗力事件延续一百二十天以上，双方应通过友好协商，确定是否继续履行合同。</w:t>
      </w:r>
    </w:p>
    <w:p w14:paraId="4B880290">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第十二条  合同争议解决</w:t>
      </w:r>
    </w:p>
    <w:p w14:paraId="3BD7353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1.因服务质量问题发生争议的，应邀请国家认可的质量检测机构或专家组进行鉴定。服务符合标准的，鉴定费由甲方承担；服务不符合标准的，鉴定费由乙方承担。</w:t>
      </w:r>
    </w:p>
    <w:p w14:paraId="4A205B56">
      <w:pPr>
        <w:autoSpaceDE w:val="0"/>
        <w:autoSpaceDN w:val="0"/>
        <w:adjustRightInd w:val="0"/>
        <w:spacing w:line="360" w:lineRule="auto"/>
        <w:ind w:left="100" w:right="42"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2.因履行本合同引起的或者与本合同有关的争议，甲乙双方应首先通过友好协商解决，如果协商不能解决，按下列</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方式解决：</w:t>
      </w:r>
    </w:p>
    <w:p w14:paraId="565CD778">
      <w:pPr>
        <w:autoSpaceDE w:val="0"/>
        <w:autoSpaceDN w:val="0"/>
        <w:adjustRightInd w:val="0"/>
        <w:spacing w:line="360" w:lineRule="auto"/>
        <w:ind w:right="4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（1）向</w:t>
      </w:r>
      <w:r>
        <w:rPr>
          <w:rFonts w:hint="eastAsia" w:ascii="宋体" w:hAnsi="宋体"/>
          <w:color w:val="000000" w:themeColor="text1"/>
          <w:szCs w:val="21"/>
          <w:u w:val="single"/>
          <w14:textFill>
            <w14:solidFill>
              <w14:schemeClr w14:val="tx1"/>
            </w14:solidFill>
          </w14:textFill>
        </w:rPr>
        <w:t xml:space="preserve"> 钦州市 </w:t>
      </w:r>
      <w:r>
        <w:rPr>
          <w:rFonts w:hint="eastAsia" w:ascii="宋体" w:hAnsi="宋体"/>
          <w:color w:val="000000" w:themeColor="text1"/>
          <w:szCs w:val="21"/>
          <w14:textFill>
            <w14:solidFill>
              <w14:schemeClr w14:val="tx1"/>
            </w14:solidFill>
          </w14:textFill>
        </w:rPr>
        <w:t>仲裁委员会申请仲裁；</w:t>
      </w:r>
    </w:p>
    <w:p w14:paraId="42C2FFA5">
      <w:pPr>
        <w:autoSpaceDE w:val="0"/>
        <w:autoSpaceDN w:val="0"/>
        <w:adjustRightInd w:val="0"/>
        <w:spacing w:line="360" w:lineRule="auto"/>
        <w:ind w:right="4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（2）向有管辖权的人民法院提起诉讼。</w:t>
      </w:r>
    </w:p>
    <w:p w14:paraId="4DD629BE">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第十三条　合同的变更、中止或者终止</w:t>
      </w:r>
    </w:p>
    <w:p w14:paraId="2C0C3ED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除《中华人民共和国政府采购法》第五十条规定的情形外，本合同一经签订，甲乙双方不得擅自变更、中止或者终止合同。</w:t>
      </w:r>
    </w:p>
    <w:p w14:paraId="6CD33EE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2.采购合同继续履行将损害国家利益和社会公共利益的，双方当事人应当变更、中止或者终止合同。有过错的一方应当承担赔偿责任，双方都有过错的，各自承担相应的责任。</w:t>
      </w:r>
    </w:p>
    <w:p w14:paraId="7F220A39">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第十四条　</w:t>
      </w:r>
      <w:r>
        <w:rPr>
          <w:rFonts w:hint="eastAsia" w:ascii="宋体" w:hAnsi="宋体" w:cs="微软雅黑"/>
          <w:b/>
          <w:color w:val="000000" w:themeColor="text1"/>
          <w:kern w:val="0"/>
          <w:szCs w:val="21"/>
          <w14:textFill>
            <w14:solidFill>
              <w14:schemeClr w14:val="tx1"/>
            </w14:solidFill>
          </w14:textFill>
        </w:rPr>
        <w:t>合</w:t>
      </w:r>
      <w:r>
        <w:rPr>
          <w:rFonts w:hint="eastAsia" w:ascii="宋体" w:hAnsi="宋体" w:cs="微软雅黑"/>
          <w:b/>
          <w:color w:val="000000" w:themeColor="text1"/>
          <w:spacing w:val="-2"/>
          <w:kern w:val="0"/>
          <w:szCs w:val="21"/>
          <w14:textFill>
            <w14:solidFill>
              <w14:schemeClr w14:val="tx1"/>
            </w14:solidFill>
          </w14:textFill>
        </w:rPr>
        <w:t>同</w:t>
      </w:r>
      <w:r>
        <w:rPr>
          <w:rFonts w:hint="eastAsia" w:ascii="宋体" w:hAnsi="宋体" w:cs="微软雅黑"/>
          <w:b/>
          <w:color w:val="000000" w:themeColor="text1"/>
          <w:kern w:val="0"/>
          <w:szCs w:val="21"/>
          <w14:textFill>
            <w14:solidFill>
              <w14:schemeClr w14:val="tx1"/>
            </w14:solidFill>
          </w14:textFill>
        </w:rPr>
        <w:t>文</w:t>
      </w:r>
      <w:r>
        <w:rPr>
          <w:rFonts w:hint="eastAsia" w:ascii="宋体" w:hAnsi="宋体" w:cs="微软雅黑"/>
          <w:b/>
          <w:color w:val="000000" w:themeColor="text1"/>
          <w:spacing w:val="-2"/>
          <w:kern w:val="0"/>
          <w:szCs w:val="21"/>
          <w14:textFill>
            <w14:solidFill>
              <w14:schemeClr w14:val="tx1"/>
            </w14:solidFill>
          </w14:textFill>
        </w:rPr>
        <w:t>件构成</w:t>
      </w:r>
    </w:p>
    <w:p w14:paraId="57EF1DEC">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1.政府采购合同</w:t>
      </w:r>
    </w:p>
    <w:p w14:paraId="0B5BD243">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2.成交通知书；</w:t>
      </w:r>
    </w:p>
    <w:p w14:paraId="5C9DFA8D">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3.响应文件；</w:t>
      </w:r>
    </w:p>
    <w:p w14:paraId="33A1E57D">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4.采购文件及更正公告（澄清或补充通知）；</w:t>
      </w:r>
    </w:p>
    <w:p w14:paraId="64EDC652">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5.标准、规范及有关技术文件；</w:t>
      </w:r>
    </w:p>
    <w:p w14:paraId="10DE36CC">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6.双方约定的其他合同文件。</w:t>
      </w:r>
    </w:p>
    <w:p w14:paraId="37E8DF04">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上述合同文件互相补充和解释。如果合同文件之间存在矛盾或者不一致之处，以上述文件的排列顺序在先者为准。</w:t>
      </w:r>
    </w:p>
    <w:p w14:paraId="7BC06B0D">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hint="eastAsia" w:hAnsi="宋体"/>
          <w:b/>
          <w:color w:val="000000" w:themeColor="text1"/>
          <w14:textFill>
            <w14:solidFill>
              <w14:schemeClr w14:val="tx1"/>
            </w14:solidFill>
          </w14:textFill>
        </w:rPr>
        <w:t>十五</w:t>
      </w:r>
      <w:r>
        <w:rPr>
          <w:rFonts w:hint="eastAsia" w:ascii="宋体" w:hAnsi="宋体"/>
          <w:b/>
          <w:color w:val="000000" w:themeColor="text1"/>
          <w:szCs w:val="21"/>
          <w14:textFill>
            <w14:solidFill>
              <w14:schemeClr w14:val="tx1"/>
            </w14:solidFill>
          </w14:textFill>
        </w:rPr>
        <w:t>条　知识产权和保密要求</w:t>
      </w:r>
    </w:p>
    <w:p w14:paraId="1FD7C052">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1.甲方在履行合同过程中提供给乙方的全部图纸、文件和其他含有数据和信息的资料，其知识产权属于甲方。</w:t>
      </w:r>
    </w:p>
    <w:p w14:paraId="32F9C12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2.除采购文件采购需求另有约定外，甲方不因签署和履行合同而享有乙方在履行合同过程中提供给甲方的图纸、文件、配套软件、电子辅助程序和其他含有数据和信息的资料的知识产权。</w:t>
      </w:r>
    </w:p>
    <w:p w14:paraId="327424A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2CAEDD9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B77587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C89EE6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6.伴随货物的，乙方保证将要交付的货物的所有权完全属于乙方且无任何抵押、质押、查封等产权瑕疵。</w:t>
      </w:r>
    </w:p>
    <w:p w14:paraId="128BB419">
      <w:pPr>
        <w:pStyle w:val="13"/>
        <w:snapToGrid w:val="0"/>
        <w:spacing w:line="360" w:lineRule="auto"/>
        <w:ind w:firstLine="413" w:firstLineChars="196"/>
        <w:rPr>
          <w:rFonts w:hAnsi="宋体"/>
          <w:b/>
          <w:color w:val="000000" w:themeColor="text1"/>
          <w:sz w:val="21"/>
          <w14:textFill>
            <w14:solidFill>
              <w14:schemeClr w14:val="tx1"/>
            </w14:solidFill>
          </w14:textFill>
        </w:rPr>
      </w:pPr>
      <w:r>
        <w:rPr>
          <w:rFonts w:hint="eastAsia" w:hAnsi="宋体"/>
          <w:b/>
          <w:color w:val="000000" w:themeColor="text1"/>
          <w:sz w:val="21"/>
          <w14:textFill>
            <w14:solidFill>
              <w14:schemeClr w14:val="tx1"/>
            </w14:solidFill>
          </w14:textFill>
        </w:rPr>
        <w:t>第十六条  合同生效及其它</w:t>
      </w:r>
    </w:p>
    <w:p w14:paraId="1488CBEC">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1.合同经双方法定代表人或者委托代理人签字并加盖单位公章后生效（委托代理人签字的需后附授权委托书，格式自拟）。</w:t>
      </w:r>
    </w:p>
    <w:p w14:paraId="5F03CFFC">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2.合同执行中涉及采购资金和采购内容修改或者补充的，并签书面补充协议报财政部门备案，方可作为主合同不可分割的一部分。</w:t>
      </w:r>
    </w:p>
    <w:p w14:paraId="304ED9AE">
      <w:pPr>
        <w:pStyle w:val="13"/>
        <w:snapToGrid w:val="0"/>
        <w:spacing w:line="360" w:lineRule="auto"/>
        <w:ind w:firstLine="420" w:firstLine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3.合同生效后，甲乙双方不得因姓名、名称的变更或者法定代表人、负责人、承办人的变动而不履行合同义务。</w:t>
      </w:r>
    </w:p>
    <w:p w14:paraId="5C01A799">
      <w:pPr>
        <w:pStyle w:val="13"/>
        <w:snapToGrid w:val="0"/>
        <w:spacing w:line="360" w:lineRule="auto"/>
        <w:ind w:left="420" w:leftChars="200"/>
        <w:rPr>
          <w:rFonts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4.本合同未尽事宜，遵照《中华人民共和国民法典》有关条文执行。</w:t>
      </w:r>
    </w:p>
    <w:p w14:paraId="46878C0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5.本合同一式</w:t>
      </w:r>
      <w:r>
        <w:rPr>
          <w:rFonts w:hint="eastAsia" w:ascii="宋体" w:hAnsi="宋体"/>
          <w:i/>
          <w:color w:val="000000" w:themeColor="text1"/>
          <w:szCs w:val="21"/>
          <w:u w:val="single"/>
          <w14:textFill>
            <w14:solidFill>
              <w14:schemeClr w14:val="tx1"/>
            </w14:solidFill>
          </w14:textFill>
        </w:rPr>
        <w:t>肆</w:t>
      </w:r>
      <w:r>
        <w:rPr>
          <w:rFonts w:hint="eastAsia" w:ascii="宋体" w:hAnsi="宋体"/>
          <w:color w:val="000000" w:themeColor="text1"/>
          <w:szCs w:val="21"/>
          <w14:textFill>
            <w14:solidFill>
              <w14:schemeClr w14:val="tx1"/>
            </w14:solidFill>
          </w14:textFill>
        </w:rPr>
        <w:t>份，具有同等法律效力，财政部门（政府采购监管部门）、采购代理机构各一份，甲乙双方各一份。</w:t>
      </w:r>
    </w:p>
    <w:p w14:paraId="59147EAD">
      <w:pPr>
        <w:spacing w:line="360" w:lineRule="auto"/>
        <w:ind w:firstLine="422" w:firstLineChars="200"/>
        <w:rPr>
          <w:rFonts w:ascii="宋体" w:hAnsi="宋体" w:cs="宋体"/>
          <w:b/>
          <w:color w:val="000000" w:themeColor="text1"/>
          <w:szCs w:val="21"/>
          <w14:textFill>
            <w14:solidFill>
              <w14:schemeClr w14:val="tx1"/>
            </w14:solidFill>
          </w14:textFill>
        </w:rPr>
      </w:pPr>
    </w:p>
    <w:p w14:paraId="024C9648">
      <w:pPr>
        <w:tabs>
          <w:tab w:val="left" w:pos="4395"/>
        </w:tabs>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w:t>
      </w:r>
      <w:r>
        <w:rPr>
          <w:rFonts w:hint="eastAsia"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乙方（盖章）：</w:t>
      </w:r>
    </w:p>
    <w:p w14:paraId="4F2DFD0E">
      <w:pPr>
        <w:tabs>
          <w:tab w:val="left" w:pos="4395"/>
        </w:tabs>
        <w:spacing w:line="360" w:lineRule="auto"/>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法定代表人或者委托代理人（签字）</w:t>
      </w:r>
      <w:r>
        <w:rPr>
          <w:rFonts w:hint="eastAsia"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法定代表人或者委托代理人（签字）</w:t>
      </w:r>
      <w:r>
        <w:rPr>
          <w:rFonts w:hint="eastAsia" w:ascii="宋体" w:hAnsi="宋体"/>
          <w:b/>
          <w:color w:val="000000" w:themeColor="text1"/>
          <w:szCs w:val="21"/>
          <w14:textFill>
            <w14:solidFill>
              <w14:schemeClr w14:val="tx1"/>
            </w14:solidFill>
          </w14:textFill>
        </w:rPr>
        <w:t xml:space="preserve">： </w:t>
      </w:r>
    </w:p>
    <w:p w14:paraId="3251E512">
      <w:pPr>
        <w:tabs>
          <w:tab w:val="left" w:pos="4395"/>
        </w:tabs>
        <w:spacing w:line="360" w:lineRule="auto"/>
        <w:rPr>
          <w:rFonts w:ascii="宋体" w:hAnsi="宋体"/>
          <w:color w:val="000000" w:themeColor="text1"/>
          <w:szCs w:val="21"/>
          <w14:textFill>
            <w14:solidFill>
              <w14:schemeClr w14:val="tx1"/>
            </w14:solidFill>
          </w14:textFill>
        </w:rPr>
      </w:pPr>
    </w:p>
    <w:p w14:paraId="0ACDAC00">
      <w:pPr>
        <w:tabs>
          <w:tab w:val="left" w:pos="4395"/>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签定日期：　　　年　　月　　日</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签定日期：　　　年　　月　　日</w:t>
      </w:r>
    </w:p>
    <w:p w14:paraId="0F4C21EB">
      <w:pPr>
        <w:tabs>
          <w:tab w:val="left" w:pos="4395"/>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开户名称：</w:t>
      </w:r>
    </w:p>
    <w:p w14:paraId="76BDE466">
      <w:pPr>
        <w:tabs>
          <w:tab w:val="left" w:pos="4395"/>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银行账号：</w:t>
      </w:r>
    </w:p>
    <w:p w14:paraId="6DF00773">
      <w:pPr>
        <w:tabs>
          <w:tab w:val="left" w:pos="4395"/>
        </w:tabs>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开 户 行：</w:t>
      </w:r>
    </w:p>
    <w:p w14:paraId="2C5AC449">
      <w:pPr>
        <w:pStyle w:val="10"/>
        <w:spacing w:after="0"/>
        <w:rPr>
          <w:rFonts w:ascii="宋体" w:hAnsi="宋体" w:cs="宋体"/>
          <w:color w:val="000000" w:themeColor="text1"/>
          <w:sz w:val="6"/>
          <w:szCs w:val="6"/>
          <w14:textFill>
            <w14:solidFill>
              <w14:schemeClr w14:val="tx1"/>
            </w14:solidFill>
          </w14:textFill>
        </w:rPr>
      </w:pPr>
    </w:p>
    <w:sectPr>
      <w:footerReference r:id="rId8" w:type="firs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1942">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C196965">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BT8/V0SAgAAEgQAAA4AAAAAAAAAAQAg&#10;AAAAHwEAAGRycy9lMm9Eb2MueG1sUEsFBgAAAAAGAAYAWQEAAKMFAAAAAA==&#10;">
              <v:fill on="f" focussize="0,0"/>
              <v:stroke on="f"/>
              <v:imagedata o:title=""/>
              <o:lock v:ext="edit" aspectratio="f"/>
              <v:textbox inset="0mm,0mm,0mm,0mm" style="mso-fit-shape-to-text:t;">
                <w:txbxContent>
                  <w:p w14:paraId="0C196965">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14:paraId="45ED060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B909">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CB8C987"/>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5CB8C98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63EC">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B6A710A">
                          <w:pPr>
                            <w:pStyle w:val="16"/>
                            <w:jc w:val="center"/>
                          </w:pPr>
                          <w:r>
                            <w:fldChar w:fldCharType="begin"/>
                          </w:r>
                          <w:r>
                            <w:instrText xml:space="preserve"> PAGE  \* MERGEFORMAT </w:instrText>
                          </w:r>
                          <w:r>
                            <w:fldChar w:fldCharType="separate"/>
                          </w:r>
                          <w:r>
                            <w:t>76</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77+fHhECAAATBAAADgAAAAAAAAABACAA&#10;AAAfAQAAZHJzL2Uyb0RvYy54bWxQSwUGAAAAAAYABgBZAQAAogUAAAAA&#10;">
              <v:fill on="f" focussize="0,0"/>
              <v:stroke on="f"/>
              <v:imagedata o:title=""/>
              <o:lock v:ext="edit" aspectratio="f"/>
              <v:textbox inset="0mm,0mm,0mm,0mm" style="mso-fit-shape-to-text:t;">
                <w:txbxContent>
                  <w:p w14:paraId="6B6A710A">
                    <w:pPr>
                      <w:pStyle w:val="16"/>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6D7F705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12C2">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95FEE1C">
                          <w:pPr>
                            <w:pStyle w:val="16"/>
                          </w:pPr>
                          <w:r>
                            <w:fldChar w:fldCharType="begin"/>
                          </w:r>
                          <w:r>
                            <w:instrText xml:space="preserve"> PAGE  \* MERGEFORMAT </w:instrText>
                          </w:r>
                          <w:r>
                            <w:fldChar w:fldCharType="separate"/>
                          </w:r>
                          <w:r>
                            <w:t>84</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695FEE1C">
                    <w:pPr>
                      <w:pStyle w:val="1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9426">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9CE7">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4954"/>
    <w:rsid w:val="00016ABC"/>
    <w:rsid w:val="000177DB"/>
    <w:rsid w:val="000179C9"/>
    <w:rsid w:val="00017CCC"/>
    <w:rsid w:val="00020082"/>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0B1B"/>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3FDC"/>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1EBE"/>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096"/>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4C24"/>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77E"/>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4EBA"/>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1AB"/>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5D8"/>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875"/>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3FC3"/>
    <w:rsid w:val="002654E7"/>
    <w:rsid w:val="00265A12"/>
    <w:rsid w:val="00266165"/>
    <w:rsid w:val="00266F2C"/>
    <w:rsid w:val="0027125E"/>
    <w:rsid w:val="00271767"/>
    <w:rsid w:val="002721BB"/>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2BF5"/>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16C"/>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06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0884"/>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9A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94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638B"/>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9F7"/>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B2C"/>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B68"/>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CE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2BDA"/>
    <w:rsid w:val="004535AE"/>
    <w:rsid w:val="0045444D"/>
    <w:rsid w:val="0045463A"/>
    <w:rsid w:val="00454AC9"/>
    <w:rsid w:val="00455050"/>
    <w:rsid w:val="004554A3"/>
    <w:rsid w:val="00455A6E"/>
    <w:rsid w:val="00455EAD"/>
    <w:rsid w:val="004578EB"/>
    <w:rsid w:val="004604D5"/>
    <w:rsid w:val="00460697"/>
    <w:rsid w:val="0046117B"/>
    <w:rsid w:val="004619D1"/>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62E0"/>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098"/>
    <w:rsid w:val="0052570E"/>
    <w:rsid w:val="005260CD"/>
    <w:rsid w:val="00526265"/>
    <w:rsid w:val="0052655D"/>
    <w:rsid w:val="005265E0"/>
    <w:rsid w:val="00526BC3"/>
    <w:rsid w:val="00526D62"/>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EF5"/>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BD2"/>
    <w:rsid w:val="00576D06"/>
    <w:rsid w:val="005779E4"/>
    <w:rsid w:val="00580EC7"/>
    <w:rsid w:val="00581A8D"/>
    <w:rsid w:val="0058289C"/>
    <w:rsid w:val="005836C7"/>
    <w:rsid w:val="0058408E"/>
    <w:rsid w:val="005844C3"/>
    <w:rsid w:val="00585374"/>
    <w:rsid w:val="005854CA"/>
    <w:rsid w:val="00585FAB"/>
    <w:rsid w:val="00590B77"/>
    <w:rsid w:val="00590D9A"/>
    <w:rsid w:val="00590FD3"/>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B7D9E"/>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20"/>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6115"/>
    <w:rsid w:val="006A703E"/>
    <w:rsid w:val="006A7BE3"/>
    <w:rsid w:val="006A7D32"/>
    <w:rsid w:val="006B01D1"/>
    <w:rsid w:val="006B0DF4"/>
    <w:rsid w:val="006B16EA"/>
    <w:rsid w:val="006B1780"/>
    <w:rsid w:val="006B21DC"/>
    <w:rsid w:val="006B224E"/>
    <w:rsid w:val="006B376E"/>
    <w:rsid w:val="006B43DE"/>
    <w:rsid w:val="006B4589"/>
    <w:rsid w:val="006B4F02"/>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3A1F"/>
    <w:rsid w:val="007441FB"/>
    <w:rsid w:val="00744517"/>
    <w:rsid w:val="0074522A"/>
    <w:rsid w:val="00747295"/>
    <w:rsid w:val="00747829"/>
    <w:rsid w:val="0074789C"/>
    <w:rsid w:val="00747DE2"/>
    <w:rsid w:val="007502D0"/>
    <w:rsid w:val="007504BF"/>
    <w:rsid w:val="007506CD"/>
    <w:rsid w:val="007515DC"/>
    <w:rsid w:val="0075267F"/>
    <w:rsid w:val="007526EC"/>
    <w:rsid w:val="00753C48"/>
    <w:rsid w:val="00754250"/>
    <w:rsid w:val="0075478B"/>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646B"/>
    <w:rsid w:val="007F762D"/>
    <w:rsid w:val="007F78F0"/>
    <w:rsid w:val="007F78FF"/>
    <w:rsid w:val="008001C5"/>
    <w:rsid w:val="00800F6C"/>
    <w:rsid w:val="00801065"/>
    <w:rsid w:val="0080196D"/>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6FE"/>
    <w:rsid w:val="008448F1"/>
    <w:rsid w:val="0084519E"/>
    <w:rsid w:val="00845B64"/>
    <w:rsid w:val="00845CAE"/>
    <w:rsid w:val="008462C5"/>
    <w:rsid w:val="008462FA"/>
    <w:rsid w:val="00846370"/>
    <w:rsid w:val="00846873"/>
    <w:rsid w:val="008477E7"/>
    <w:rsid w:val="00847C2B"/>
    <w:rsid w:val="00850272"/>
    <w:rsid w:val="008506B9"/>
    <w:rsid w:val="0085086F"/>
    <w:rsid w:val="00850C24"/>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121"/>
    <w:rsid w:val="008A469C"/>
    <w:rsid w:val="008A4C68"/>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6F2"/>
    <w:rsid w:val="008E28E6"/>
    <w:rsid w:val="008E3232"/>
    <w:rsid w:val="008E3674"/>
    <w:rsid w:val="008E3B6C"/>
    <w:rsid w:val="008E3DE7"/>
    <w:rsid w:val="008E5227"/>
    <w:rsid w:val="008E562C"/>
    <w:rsid w:val="008E6540"/>
    <w:rsid w:val="008E6FBE"/>
    <w:rsid w:val="008E77D4"/>
    <w:rsid w:val="008E7ADD"/>
    <w:rsid w:val="008E7E95"/>
    <w:rsid w:val="008F091F"/>
    <w:rsid w:val="008F17B2"/>
    <w:rsid w:val="008F22B3"/>
    <w:rsid w:val="008F357B"/>
    <w:rsid w:val="008F44CA"/>
    <w:rsid w:val="008F49D3"/>
    <w:rsid w:val="008F6519"/>
    <w:rsid w:val="008F7012"/>
    <w:rsid w:val="008F7ADA"/>
    <w:rsid w:val="008F7B17"/>
    <w:rsid w:val="00900042"/>
    <w:rsid w:val="0090032C"/>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0D90"/>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0E5E"/>
    <w:rsid w:val="009B1584"/>
    <w:rsid w:val="009B18F0"/>
    <w:rsid w:val="009B1F4C"/>
    <w:rsid w:val="009B2471"/>
    <w:rsid w:val="009B314F"/>
    <w:rsid w:val="009B439C"/>
    <w:rsid w:val="009B4541"/>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565"/>
    <w:rsid w:val="00A30ABC"/>
    <w:rsid w:val="00A33B74"/>
    <w:rsid w:val="00A3467F"/>
    <w:rsid w:val="00A34B4C"/>
    <w:rsid w:val="00A35030"/>
    <w:rsid w:val="00A3551A"/>
    <w:rsid w:val="00A366A0"/>
    <w:rsid w:val="00A37209"/>
    <w:rsid w:val="00A37584"/>
    <w:rsid w:val="00A376E8"/>
    <w:rsid w:val="00A37F8E"/>
    <w:rsid w:val="00A41537"/>
    <w:rsid w:val="00A41737"/>
    <w:rsid w:val="00A41DA4"/>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263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81E"/>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0963"/>
    <w:rsid w:val="00AB2000"/>
    <w:rsid w:val="00AB38CB"/>
    <w:rsid w:val="00AB3BEC"/>
    <w:rsid w:val="00AB44E4"/>
    <w:rsid w:val="00AB4AEB"/>
    <w:rsid w:val="00AB4E5F"/>
    <w:rsid w:val="00AB5352"/>
    <w:rsid w:val="00AB56AE"/>
    <w:rsid w:val="00AB62D5"/>
    <w:rsid w:val="00AB65B5"/>
    <w:rsid w:val="00AB6DCD"/>
    <w:rsid w:val="00AB6EE0"/>
    <w:rsid w:val="00AB779F"/>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3D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4E6B"/>
    <w:rsid w:val="00B003FF"/>
    <w:rsid w:val="00B0098A"/>
    <w:rsid w:val="00B00A5F"/>
    <w:rsid w:val="00B01980"/>
    <w:rsid w:val="00B029B8"/>
    <w:rsid w:val="00B02F60"/>
    <w:rsid w:val="00B02F94"/>
    <w:rsid w:val="00B032B8"/>
    <w:rsid w:val="00B04721"/>
    <w:rsid w:val="00B04B15"/>
    <w:rsid w:val="00B04B46"/>
    <w:rsid w:val="00B0534D"/>
    <w:rsid w:val="00B05685"/>
    <w:rsid w:val="00B05F9F"/>
    <w:rsid w:val="00B06368"/>
    <w:rsid w:val="00B0645B"/>
    <w:rsid w:val="00B068DA"/>
    <w:rsid w:val="00B06A00"/>
    <w:rsid w:val="00B06FC6"/>
    <w:rsid w:val="00B074C9"/>
    <w:rsid w:val="00B07D9D"/>
    <w:rsid w:val="00B10053"/>
    <w:rsid w:val="00B11AE5"/>
    <w:rsid w:val="00B1222C"/>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3CCB"/>
    <w:rsid w:val="00B35A15"/>
    <w:rsid w:val="00B35B45"/>
    <w:rsid w:val="00B36165"/>
    <w:rsid w:val="00B36A99"/>
    <w:rsid w:val="00B36F98"/>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498"/>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675D4"/>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643"/>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046"/>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7BC"/>
    <w:rsid w:val="00BE6D47"/>
    <w:rsid w:val="00BE7032"/>
    <w:rsid w:val="00BE7330"/>
    <w:rsid w:val="00BF01C5"/>
    <w:rsid w:val="00BF061A"/>
    <w:rsid w:val="00BF066A"/>
    <w:rsid w:val="00BF14CC"/>
    <w:rsid w:val="00BF1821"/>
    <w:rsid w:val="00BF1C11"/>
    <w:rsid w:val="00BF22E9"/>
    <w:rsid w:val="00BF4342"/>
    <w:rsid w:val="00BF4704"/>
    <w:rsid w:val="00BF4FFC"/>
    <w:rsid w:val="00BF5050"/>
    <w:rsid w:val="00BF50D1"/>
    <w:rsid w:val="00BF5422"/>
    <w:rsid w:val="00BF59B1"/>
    <w:rsid w:val="00BF6303"/>
    <w:rsid w:val="00BF6625"/>
    <w:rsid w:val="00BF6A78"/>
    <w:rsid w:val="00BF7695"/>
    <w:rsid w:val="00BF79B4"/>
    <w:rsid w:val="00BF7C61"/>
    <w:rsid w:val="00C01427"/>
    <w:rsid w:val="00C014C7"/>
    <w:rsid w:val="00C02D65"/>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0FF2"/>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BE9"/>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3C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121"/>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4BF9"/>
    <w:rsid w:val="00DD4CFC"/>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6D5"/>
    <w:rsid w:val="00DE6792"/>
    <w:rsid w:val="00DE6AA1"/>
    <w:rsid w:val="00DE7730"/>
    <w:rsid w:val="00DE7EF7"/>
    <w:rsid w:val="00DF015B"/>
    <w:rsid w:val="00DF02EC"/>
    <w:rsid w:val="00DF0A97"/>
    <w:rsid w:val="00DF10FC"/>
    <w:rsid w:val="00DF1185"/>
    <w:rsid w:val="00DF1299"/>
    <w:rsid w:val="00DF1A70"/>
    <w:rsid w:val="00DF1E5F"/>
    <w:rsid w:val="00DF23A8"/>
    <w:rsid w:val="00DF2F27"/>
    <w:rsid w:val="00DF363F"/>
    <w:rsid w:val="00DF36B6"/>
    <w:rsid w:val="00DF4296"/>
    <w:rsid w:val="00DF5267"/>
    <w:rsid w:val="00DF53F0"/>
    <w:rsid w:val="00DF5F38"/>
    <w:rsid w:val="00DF6608"/>
    <w:rsid w:val="00DF6CCC"/>
    <w:rsid w:val="00DF6D0C"/>
    <w:rsid w:val="00DF6F64"/>
    <w:rsid w:val="00DF721E"/>
    <w:rsid w:val="00DF7549"/>
    <w:rsid w:val="00DF7570"/>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62E5"/>
    <w:rsid w:val="00E47099"/>
    <w:rsid w:val="00E47284"/>
    <w:rsid w:val="00E477C3"/>
    <w:rsid w:val="00E506F1"/>
    <w:rsid w:val="00E51E16"/>
    <w:rsid w:val="00E52DED"/>
    <w:rsid w:val="00E53730"/>
    <w:rsid w:val="00E5438D"/>
    <w:rsid w:val="00E54511"/>
    <w:rsid w:val="00E54E50"/>
    <w:rsid w:val="00E55288"/>
    <w:rsid w:val="00E57577"/>
    <w:rsid w:val="00E61693"/>
    <w:rsid w:val="00E62043"/>
    <w:rsid w:val="00E626B9"/>
    <w:rsid w:val="00E627C9"/>
    <w:rsid w:val="00E630F3"/>
    <w:rsid w:val="00E6332F"/>
    <w:rsid w:val="00E637C9"/>
    <w:rsid w:val="00E63B54"/>
    <w:rsid w:val="00E6402D"/>
    <w:rsid w:val="00E6680A"/>
    <w:rsid w:val="00E66F0D"/>
    <w:rsid w:val="00E70615"/>
    <w:rsid w:val="00E7161E"/>
    <w:rsid w:val="00E7207B"/>
    <w:rsid w:val="00E72DCE"/>
    <w:rsid w:val="00E7347A"/>
    <w:rsid w:val="00E75A47"/>
    <w:rsid w:val="00E75BB6"/>
    <w:rsid w:val="00E75D8C"/>
    <w:rsid w:val="00E76155"/>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967A4"/>
    <w:rsid w:val="00EA14C8"/>
    <w:rsid w:val="00EA2110"/>
    <w:rsid w:val="00EA283A"/>
    <w:rsid w:val="00EA2C90"/>
    <w:rsid w:val="00EA2E07"/>
    <w:rsid w:val="00EA383B"/>
    <w:rsid w:val="00EA40E8"/>
    <w:rsid w:val="00EA48F3"/>
    <w:rsid w:val="00EA60BF"/>
    <w:rsid w:val="00EA7365"/>
    <w:rsid w:val="00EA763F"/>
    <w:rsid w:val="00EA77E9"/>
    <w:rsid w:val="00EB000D"/>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3948"/>
    <w:rsid w:val="00EF41A8"/>
    <w:rsid w:val="00EF44FB"/>
    <w:rsid w:val="00EF5122"/>
    <w:rsid w:val="00EF5554"/>
    <w:rsid w:val="00EF5AD8"/>
    <w:rsid w:val="00EF6B90"/>
    <w:rsid w:val="00EF6FA7"/>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0364"/>
    <w:rsid w:val="00F212F6"/>
    <w:rsid w:val="00F22756"/>
    <w:rsid w:val="00F23248"/>
    <w:rsid w:val="00F23890"/>
    <w:rsid w:val="00F2504D"/>
    <w:rsid w:val="00F2637F"/>
    <w:rsid w:val="00F268F7"/>
    <w:rsid w:val="00F26DC8"/>
    <w:rsid w:val="00F30B83"/>
    <w:rsid w:val="00F30BDB"/>
    <w:rsid w:val="00F30CF8"/>
    <w:rsid w:val="00F31EDF"/>
    <w:rsid w:val="00F32CDE"/>
    <w:rsid w:val="00F32D4C"/>
    <w:rsid w:val="00F3327E"/>
    <w:rsid w:val="00F338C3"/>
    <w:rsid w:val="00F342BB"/>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3E28"/>
    <w:rsid w:val="00F540FE"/>
    <w:rsid w:val="00F5459A"/>
    <w:rsid w:val="00F55153"/>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3F0C"/>
    <w:rsid w:val="00F84306"/>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4C2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6C52"/>
    <w:rsid w:val="00FF78E5"/>
    <w:rsid w:val="011473B7"/>
    <w:rsid w:val="011E2303"/>
    <w:rsid w:val="012C5FAF"/>
    <w:rsid w:val="013A06CB"/>
    <w:rsid w:val="01AD3593"/>
    <w:rsid w:val="01AF3D99"/>
    <w:rsid w:val="01B110AA"/>
    <w:rsid w:val="01CD5A45"/>
    <w:rsid w:val="01FA47FF"/>
    <w:rsid w:val="02511F9D"/>
    <w:rsid w:val="02840426"/>
    <w:rsid w:val="0372309C"/>
    <w:rsid w:val="03810CCF"/>
    <w:rsid w:val="03943569"/>
    <w:rsid w:val="03A314B8"/>
    <w:rsid w:val="03BC7892"/>
    <w:rsid w:val="03D82B98"/>
    <w:rsid w:val="03EF2CE9"/>
    <w:rsid w:val="03F83E8B"/>
    <w:rsid w:val="04115E30"/>
    <w:rsid w:val="041330AB"/>
    <w:rsid w:val="045F4DED"/>
    <w:rsid w:val="047E2238"/>
    <w:rsid w:val="048C5E3A"/>
    <w:rsid w:val="048F3D3A"/>
    <w:rsid w:val="049115E6"/>
    <w:rsid w:val="049C3B2A"/>
    <w:rsid w:val="05171A41"/>
    <w:rsid w:val="055621B2"/>
    <w:rsid w:val="05AA53DA"/>
    <w:rsid w:val="05C56868"/>
    <w:rsid w:val="05D110F3"/>
    <w:rsid w:val="05D92A62"/>
    <w:rsid w:val="05E74E14"/>
    <w:rsid w:val="067A343E"/>
    <w:rsid w:val="072B545A"/>
    <w:rsid w:val="074F739B"/>
    <w:rsid w:val="07A539BD"/>
    <w:rsid w:val="07A66248"/>
    <w:rsid w:val="07B72767"/>
    <w:rsid w:val="07DF1AA9"/>
    <w:rsid w:val="08077E72"/>
    <w:rsid w:val="081F4536"/>
    <w:rsid w:val="083C39D9"/>
    <w:rsid w:val="086C10BC"/>
    <w:rsid w:val="087711AA"/>
    <w:rsid w:val="088466D9"/>
    <w:rsid w:val="08882DD0"/>
    <w:rsid w:val="089A50BC"/>
    <w:rsid w:val="08A632D3"/>
    <w:rsid w:val="08DE0F20"/>
    <w:rsid w:val="090E134B"/>
    <w:rsid w:val="09155AD8"/>
    <w:rsid w:val="09CC2AAC"/>
    <w:rsid w:val="0A424F95"/>
    <w:rsid w:val="0A4B4DF0"/>
    <w:rsid w:val="0A652D3E"/>
    <w:rsid w:val="0AA6125B"/>
    <w:rsid w:val="0AA96798"/>
    <w:rsid w:val="0AB21872"/>
    <w:rsid w:val="0AB963DB"/>
    <w:rsid w:val="0AC413A1"/>
    <w:rsid w:val="0B326F2A"/>
    <w:rsid w:val="0B7C0579"/>
    <w:rsid w:val="0BA8707A"/>
    <w:rsid w:val="0BBE064B"/>
    <w:rsid w:val="0BCD4D32"/>
    <w:rsid w:val="0C1C35C4"/>
    <w:rsid w:val="0C1E2888"/>
    <w:rsid w:val="0C5A77EA"/>
    <w:rsid w:val="0C92213C"/>
    <w:rsid w:val="0C9420F8"/>
    <w:rsid w:val="0CAE3F29"/>
    <w:rsid w:val="0CC00650"/>
    <w:rsid w:val="0CC2027E"/>
    <w:rsid w:val="0D4542A8"/>
    <w:rsid w:val="0D4609B7"/>
    <w:rsid w:val="0D6407E4"/>
    <w:rsid w:val="0D6603B7"/>
    <w:rsid w:val="0D663243"/>
    <w:rsid w:val="0D84032B"/>
    <w:rsid w:val="0D892B34"/>
    <w:rsid w:val="0D9378B6"/>
    <w:rsid w:val="0DD1300A"/>
    <w:rsid w:val="0DF6217A"/>
    <w:rsid w:val="0E130328"/>
    <w:rsid w:val="0E492FD3"/>
    <w:rsid w:val="0E4C1B7C"/>
    <w:rsid w:val="0E835DB0"/>
    <w:rsid w:val="0EE125B1"/>
    <w:rsid w:val="0F2A74C4"/>
    <w:rsid w:val="0F4E0D12"/>
    <w:rsid w:val="0F7D25CB"/>
    <w:rsid w:val="0FD06FCD"/>
    <w:rsid w:val="0FD53213"/>
    <w:rsid w:val="0FF26B15"/>
    <w:rsid w:val="10162DEB"/>
    <w:rsid w:val="10305E2E"/>
    <w:rsid w:val="105E4880"/>
    <w:rsid w:val="107E01E1"/>
    <w:rsid w:val="10894684"/>
    <w:rsid w:val="10904ACB"/>
    <w:rsid w:val="10A27F31"/>
    <w:rsid w:val="10AC7203"/>
    <w:rsid w:val="111149B4"/>
    <w:rsid w:val="115F642C"/>
    <w:rsid w:val="1188712A"/>
    <w:rsid w:val="11927058"/>
    <w:rsid w:val="11A74A79"/>
    <w:rsid w:val="11F31F18"/>
    <w:rsid w:val="11F528ED"/>
    <w:rsid w:val="120E171E"/>
    <w:rsid w:val="123E24E6"/>
    <w:rsid w:val="123F1EBF"/>
    <w:rsid w:val="126632CE"/>
    <w:rsid w:val="12A83C5F"/>
    <w:rsid w:val="12C04BCD"/>
    <w:rsid w:val="13105AB5"/>
    <w:rsid w:val="13144FF5"/>
    <w:rsid w:val="13904FC3"/>
    <w:rsid w:val="13A24CF6"/>
    <w:rsid w:val="13AF4F03"/>
    <w:rsid w:val="142E2F90"/>
    <w:rsid w:val="14342437"/>
    <w:rsid w:val="1457163D"/>
    <w:rsid w:val="146D4ED5"/>
    <w:rsid w:val="146E4ABA"/>
    <w:rsid w:val="14736E66"/>
    <w:rsid w:val="147623C3"/>
    <w:rsid w:val="147F458F"/>
    <w:rsid w:val="14952CF9"/>
    <w:rsid w:val="14956609"/>
    <w:rsid w:val="14AD4E8A"/>
    <w:rsid w:val="150F1BA6"/>
    <w:rsid w:val="1534169A"/>
    <w:rsid w:val="153D7488"/>
    <w:rsid w:val="15B14D7D"/>
    <w:rsid w:val="15B63F8A"/>
    <w:rsid w:val="15C03E03"/>
    <w:rsid w:val="15E43F57"/>
    <w:rsid w:val="162A25EB"/>
    <w:rsid w:val="16735895"/>
    <w:rsid w:val="16872BF6"/>
    <w:rsid w:val="16B234A2"/>
    <w:rsid w:val="16FD2A55"/>
    <w:rsid w:val="17067C1A"/>
    <w:rsid w:val="171657DF"/>
    <w:rsid w:val="17366761"/>
    <w:rsid w:val="17583747"/>
    <w:rsid w:val="176E0569"/>
    <w:rsid w:val="177C01F0"/>
    <w:rsid w:val="178F7340"/>
    <w:rsid w:val="179E3EFA"/>
    <w:rsid w:val="17B1638F"/>
    <w:rsid w:val="17CE6630"/>
    <w:rsid w:val="17D14A92"/>
    <w:rsid w:val="181F74BC"/>
    <w:rsid w:val="189A2440"/>
    <w:rsid w:val="18BB19B0"/>
    <w:rsid w:val="18F31102"/>
    <w:rsid w:val="18FE0093"/>
    <w:rsid w:val="1941239E"/>
    <w:rsid w:val="199318E6"/>
    <w:rsid w:val="1A0E579E"/>
    <w:rsid w:val="1AB33345"/>
    <w:rsid w:val="1ADA440F"/>
    <w:rsid w:val="1AFF0AFE"/>
    <w:rsid w:val="1B1D4C62"/>
    <w:rsid w:val="1B2E6E70"/>
    <w:rsid w:val="1B4F19F8"/>
    <w:rsid w:val="1B627FF7"/>
    <w:rsid w:val="1B931E47"/>
    <w:rsid w:val="1B9E3FF5"/>
    <w:rsid w:val="1BC84823"/>
    <w:rsid w:val="1BD96DDB"/>
    <w:rsid w:val="1BFC453C"/>
    <w:rsid w:val="1C1442B7"/>
    <w:rsid w:val="1C29608F"/>
    <w:rsid w:val="1D014681"/>
    <w:rsid w:val="1D23639E"/>
    <w:rsid w:val="1D8C4DEF"/>
    <w:rsid w:val="1D8D2573"/>
    <w:rsid w:val="1D9751A0"/>
    <w:rsid w:val="1DAD49C3"/>
    <w:rsid w:val="1DF23E9B"/>
    <w:rsid w:val="1DFA2A1E"/>
    <w:rsid w:val="1E26477C"/>
    <w:rsid w:val="1E9C5DE2"/>
    <w:rsid w:val="1EBA7C54"/>
    <w:rsid w:val="1ECC44FA"/>
    <w:rsid w:val="1F014240"/>
    <w:rsid w:val="1F063325"/>
    <w:rsid w:val="1F15637C"/>
    <w:rsid w:val="1F247D23"/>
    <w:rsid w:val="1F666BD8"/>
    <w:rsid w:val="1F824712"/>
    <w:rsid w:val="1F8654CC"/>
    <w:rsid w:val="1F9A2423"/>
    <w:rsid w:val="1FB75686"/>
    <w:rsid w:val="1FBC5DF5"/>
    <w:rsid w:val="1FC55FF4"/>
    <w:rsid w:val="1FE7674F"/>
    <w:rsid w:val="1FF90588"/>
    <w:rsid w:val="204D5FEA"/>
    <w:rsid w:val="20901CE0"/>
    <w:rsid w:val="20B96086"/>
    <w:rsid w:val="20C3623F"/>
    <w:rsid w:val="20E51F26"/>
    <w:rsid w:val="21735CA5"/>
    <w:rsid w:val="21781212"/>
    <w:rsid w:val="219C4B33"/>
    <w:rsid w:val="21B83F86"/>
    <w:rsid w:val="21D839C3"/>
    <w:rsid w:val="21F43F4F"/>
    <w:rsid w:val="221178A8"/>
    <w:rsid w:val="221213CF"/>
    <w:rsid w:val="221943D6"/>
    <w:rsid w:val="22327A92"/>
    <w:rsid w:val="224C47AB"/>
    <w:rsid w:val="226A4C31"/>
    <w:rsid w:val="229210CE"/>
    <w:rsid w:val="231D53A2"/>
    <w:rsid w:val="236D5383"/>
    <w:rsid w:val="23B7504C"/>
    <w:rsid w:val="23BD17E3"/>
    <w:rsid w:val="24366723"/>
    <w:rsid w:val="243D75AA"/>
    <w:rsid w:val="244D5972"/>
    <w:rsid w:val="24571307"/>
    <w:rsid w:val="24596D0B"/>
    <w:rsid w:val="24F133E8"/>
    <w:rsid w:val="250B6B22"/>
    <w:rsid w:val="25110A2A"/>
    <w:rsid w:val="25320C93"/>
    <w:rsid w:val="253908EB"/>
    <w:rsid w:val="256C0944"/>
    <w:rsid w:val="25B80831"/>
    <w:rsid w:val="25BF34E6"/>
    <w:rsid w:val="262564A4"/>
    <w:rsid w:val="26446DE3"/>
    <w:rsid w:val="26877DFE"/>
    <w:rsid w:val="269669E7"/>
    <w:rsid w:val="26A270C1"/>
    <w:rsid w:val="26BB1EFF"/>
    <w:rsid w:val="26D7699F"/>
    <w:rsid w:val="27196C26"/>
    <w:rsid w:val="27285544"/>
    <w:rsid w:val="2771672D"/>
    <w:rsid w:val="27852B6C"/>
    <w:rsid w:val="27CA464D"/>
    <w:rsid w:val="280800B8"/>
    <w:rsid w:val="284C1EC3"/>
    <w:rsid w:val="286E3E8E"/>
    <w:rsid w:val="28812CD5"/>
    <w:rsid w:val="28B27979"/>
    <w:rsid w:val="28B85CFC"/>
    <w:rsid w:val="28EE5C17"/>
    <w:rsid w:val="293B10D5"/>
    <w:rsid w:val="295F0BD8"/>
    <w:rsid w:val="298068D7"/>
    <w:rsid w:val="29A473B4"/>
    <w:rsid w:val="29C6441D"/>
    <w:rsid w:val="29D75F7F"/>
    <w:rsid w:val="2A0C7189"/>
    <w:rsid w:val="2A1118C9"/>
    <w:rsid w:val="2A637BB6"/>
    <w:rsid w:val="2A9C5BA4"/>
    <w:rsid w:val="2AC31C08"/>
    <w:rsid w:val="2AD74E2E"/>
    <w:rsid w:val="2B0D6D5F"/>
    <w:rsid w:val="2B7431C7"/>
    <w:rsid w:val="2B774624"/>
    <w:rsid w:val="2B806286"/>
    <w:rsid w:val="2B956E88"/>
    <w:rsid w:val="2B9B5E5B"/>
    <w:rsid w:val="2BA016C4"/>
    <w:rsid w:val="2BF967C7"/>
    <w:rsid w:val="2C7A72BE"/>
    <w:rsid w:val="2C864D5D"/>
    <w:rsid w:val="2C9A7D75"/>
    <w:rsid w:val="2C9B424F"/>
    <w:rsid w:val="2CC17412"/>
    <w:rsid w:val="2D152B33"/>
    <w:rsid w:val="2D4F6737"/>
    <w:rsid w:val="2D776454"/>
    <w:rsid w:val="2D7C1E99"/>
    <w:rsid w:val="2E1F160C"/>
    <w:rsid w:val="2E29660B"/>
    <w:rsid w:val="2E50117F"/>
    <w:rsid w:val="2E620219"/>
    <w:rsid w:val="2E652BDB"/>
    <w:rsid w:val="2E7D3F3E"/>
    <w:rsid w:val="2E9976CE"/>
    <w:rsid w:val="2EF01DEE"/>
    <w:rsid w:val="2EF04710"/>
    <w:rsid w:val="2EF206A8"/>
    <w:rsid w:val="2F401D3C"/>
    <w:rsid w:val="2F5B24E1"/>
    <w:rsid w:val="2F725125"/>
    <w:rsid w:val="2F925552"/>
    <w:rsid w:val="2FA95C88"/>
    <w:rsid w:val="2FF767D9"/>
    <w:rsid w:val="300B11FF"/>
    <w:rsid w:val="3041370F"/>
    <w:rsid w:val="305E5CFB"/>
    <w:rsid w:val="308166E7"/>
    <w:rsid w:val="3086532C"/>
    <w:rsid w:val="30B87FED"/>
    <w:rsid w:val="30D53BE2"/>
    <w:rsid w:val="30E958BB"/>
    <w:rsid w:val="312B50A3"/>
    <w:rsid w:val="314E5B37"/>
    <w:rsid w:val="315262F8"/>
    <w:rsid w:val="31894FD2"/>
    <w:rsid w:val="31A87524"/>
    <w:rsid w:val="31BB4B77"/>
    <w:rsid w:val="31C05315"/>
    <w:rsid w:val="31D42E23"/>
    <w:rsid w:val="32052280"/>
    <w:rsid w:val="32087FC3"/>
    <w:rsid w:val="32453A27"/>
    <w:rsid w:val="325E385A"/>
    <w:rsid w:val="3263064A"/>
    <w:rsid w:val="327C459C"/>
    <w:rsid w:val="32A43132"/>
    <w:rsid w:val="32AC0C06"/>
    <w:rsid w:val="330C763F"/>
    <w:rsid w:val="330E1609"/>
    <w:rsid w:val="33344EF5"/>
    <w:rsid w:val="339B5919"/>
    <w:rsid w:val="33A367C7"/>
    <w:rsid w:val="33AE5828"/>
    <w:rsid w:val="33C86FE0"/>
    <w:rsid w:val="342C1299"/>
    <w:rsid w:val="34391D02"/>
    <w:rsid w:val="34457AA7"/>
    <w:rsid w:val="34B46C29"/>
    <w:rsid w:val="34C5219B"/>
    <w:rsid w:val="3537750C"/>
    <w:rsid w:val="3537798C"/>
    <w:rsid w:val="356C7F24"/>
    <w:rsid w:val="35845BB2"/>
    <w:rsid w:val="359D09AD"/>
    <w:rsid w:val="35C13FC9"/>
    <w:rsid w:val="35D63190"/>
    <w:rsid w:val="35D95EFE"/>
    <w:rsid w:val="35FE70D7"/>
    <w:rsid w:val="36075618"/>
    <w:rsid w:val="36113FC2"/>
    <w:rsid w:val="36372B05"/>
    <w:rsid w:val="364257B6"/>
    <w:rsid w:val="36647880"/>
    <w:rsid w:val="368154CF"/>
    <w:rsid w:val="36BE6EA2"/>
    <w:rsid w:val="36C0476C"/>
    <w:rsid w:val="36CA5847"/>
    <w:rsid w:val="36DF456A"/>
    <w:rsid w:val="37151B83"/>
    <w:rsid w:val="37164F30"/>
    <w:rsid w:val="372565DF"/>
    <w:rsid w:val="37490E61"/>
    <w:rsid w:val="374E0226"/>
    <w:rsid w:val="376B6D2F"/>
    <w:rsid w:val="377D25B2"/>
    <w:rsid w:val="37B37111"/>
    <w:rsid w:val="37E312B6"/>
    <w:rsid w:val="37EA5922"/>
    <w:rsid w:val="37F94635"/>
    <w:rsid w:val="38086BD3"/>
    <w:rsid w:val="3809239F"/>
    <w:rsid w:val="38111596"/>
    <w:rsid w:val="38276B93"/>
    <w:rsid w:val="38284F1B"/>
    <w:rsid w:val="382E58B8"/>
    <w:rsid w:val="383D6139"/>
    <w:rsid w:val="38731CC5"/>
    <w:rsid w:val="387E6A62"/>
    <w:rsid w:val="38AC3431"/>
    <w:rsid w:val="38D43EF2"/>
    <w:rsid w:val="38E31FAC"/>
    <w:rsid w:val="38F74A71"/>
    <w:rsid w:val="390A4620"/>
    <w:rsid w:val="392F2E16"/>
    <w:rsid w:val="396664FE"/>
    <w:rsid w:val="398820C9"/>
    <w:rsid w:val="39E00529"/>
    <w:rsid w:val="39F46DB9"/>
    <w:rsid w:val="3A0B64A7"/>
    <w:rsid w:val="3A305CAC"/>
    <w:rsid w:val="3A574DDA"/>
    <w:rsid w:val="3A603C43"/>
    <w:rsid w:val="3AD3075A"/>
    <w:rsid w:val="3AD66EB0"/>
    <w:rsid w:val="3AF74C02"/>
    <w:rsid w:val="3B1E4A8F"/>
    <w:rsid w:val="3B7D37CF"/>
    <w:rsid w:val="3B9D55CE"/>
    <w:rsid w:val="3BC1190E"/>
    <w:rsid w:val="3BCE7B87"/>
    <w:rsid w:val="3BEE033D"/>
    <w:rsid w:val="3BF80C3D"/>
    <w:rsid w:val="3C0059A5"/>
    <w:rsid w:val="3C090BBF"/>
    <w:rsid w:val="3C1078F1"/>
    <w:rsid w:val="3C134E78"/>
    <w:rsid w:val="3C231F07"/>
    <w:rsid w:val="3CAF1767"/>
    <w:rsid w:val="3CB84B7F"/>
    <w:rsid w:val="3CFE449C"/>
    <w:rsid w:val="3D2851B5"/>
    <w:rsid w:val="3D6A1B31"/>
    <w:rsid w:val="3D862BD3"/>
    <w:rsid w:val="3DB13215"/>
    <w:rsid w:val="3DF6345D"/>
    <w:rsid w:val="3E2B5515"/>
    <w:rsid w:val="3E471DAE"/>
    <w:rsid w:val="3E4A49E8"/>
    <w:rsid w:val="3E4D4F28"/>
    <w:rsid w:val="3E782357"/>
    <w:rsid w:val="3E8F662D"/>
    <w:rsid w:val="3ED43706"/>
    <w:rsid w:val="3ED92EC4"/>
    <w:rsid w:val="3EE13701"/>
    <w:rsid w:val="3EF760DF"/>
    <w:rsid w:val="3EF92944"/>
    <w:rsid w:val="3F1A4BB3"/>
    <w:rsid w:val="3F212082"/>
    <w:rsid w:val="3F982986"/>
    <w:rsid w:val="3FEE61BC"/>
    <w:rsid w:val="400C551E"/>
    <w:rsid w:val="40192BA6"/>
    <w:rsid w:val="402B1A4C"/>
    <w:rsid w:val="40313991"/>
    <w:rsid w:val="40381A73"/>
    <w:rsid w:val="40C14FB6"/>
    <w:rsid w:val="40F00CDD"/>
    <w:rsid w:val="413367B1"/>
    <w:rsid w:val="41581365"/>
    <w:rsid w:val="41766EA9"/>
    <w:rsid w:val="41A623ED"/>
    <w:rsid w:val="41C36557"/>
    <w:rsid w:val="41D52631"/>
    <w:rsid w:val="41D63C39"/>
    <w:rsid w:val="41EC3CE7"/>
    <w:rsid w:val="42100786"/>
    <w:rsid w:val="42550A18"/>
    <w:rsid w:val="42770245"/>
    <w:rsid w:val="429B3C85"/>
    <w:rsid w:val="429D496A"/>
    <w:rsid w:val="42B07FE6"/>
    <w:rsid w:val="42D00689"/>
    <w:rsid w:val="42E64284"/>
    <w:rsid w:val="42F247CE"/>
    <w:rsid w:val="42F473A1"/>
    <w:rsid w:val="437217EA"/>
    <w:rsid w:val="438B7B04"/>
    <w:rsid w:val="43AB7156"/>
    <w:rsid w:val="43D45F57"/>
    <w:rsid w:val="43D47874"/>
    <w:rsid w:val="43DD12AF"/>
    <w:rsid w:val="441E1E13"/>
    <w:rsid w:val="441E62C0"/>
    <w:rsid w:val="442318CF"/>
    <w:rsid w:val="44266D57"/>
    <w:rsid w:val="44373D12"/>
    <w:rsid w:val="444C01E3"/>
    <w:rsid w:val="444F0360"/>
    <w:rsid w:val="44A533EE"/>
    <w:rsid w:val="45325D14"/>
    <w:rsid w:val="455C6B0D"/>
    <w:rsid w:val="45811C7C"/>
    <w:rsid w:val="45906116"/>
    <w:rsid w:val="45931B8C"/>
    <w:rsid w:val="45D97854"/>
    <w:rsid w:val="45EF2552"/>
    <w:rsid w:val="45FA7841"/>
    <w:rsid w:val="460A7B3E"/>
    <w:rsid w:val="466A28BC"/>
    <w:rsid w:val="468B3EFB"/>
    <w:rsid w:val="46B856BC"/>
    <w:rsid w:val="470A6193"/>
    <w:rsid w:val="472A0DFC"/>
    <w:rsid w:val="47385210"/>
    <w:rsid w:val="475510F8"/>
    <w:rsid w:val="4762525B"/>
    <w:rsid w:val="479E1809"/>
    <w:rsid w:val="47D22BC7"/>
    <w:rsid w:val="47D36A70"/>
    <w:rsid w:val="47DC4F5C"/>
    <w:rsid w:val="48816B5F"/>
    <w:rsid w:val="48AF65C2"/>
    <w:rsid w:val="48B40671"/>
    <w:rsid w:val="48B56357"/>
    <w:rsid w:val="48E617D4"/>
    <w:rsid w:val="490E1005"/>
    <w:rsid w:val="499B5738"/>
    <w:rsid w:val="499F244D"/>
    <w:rsid w:val="49B02FC2"/>
    <w:rsid w:val="49C569C4"/>
    <w:rsid w:val="4A413C1A"/>
    <w:rsid w:val="4A4723B6"/>
    <w:rsid w:val="4A651F7C"/>
    <w:rsid w:val="4A6A4F1F"/>
    <w:rsid w:val="4A837E90"/>
    <w:rsid w:val="4A973F3F"/>
    <w:rsid w:val="4AE747C1"/>
    <w:rsid w:val="4AF01898"/>
    <w:rsid w:val="4AF173EE"/>
    <w:rsid w:val="4AF96BC7"/>
    <w:rsid w:val="4B036B16"/>
    <w:rsid w:val="4B1F3F5B"/>
    <w:rsid w:val="4B412124"/>
    <w:rsid w:val="4B7359E5"/>
    <w:rsid w:val="4B862A85"/>
    <w:rsid w:val="4BC45398"/>
    <w:rsid w:val="4BED094B"/>
    <w:rsid w:val="4C40062D"/>
    <w:rsid w:val="4C880286"/>
    <w:rsid w:val="4CB64A77"/>
    <w:rsid w:val="4CEF36E2"/>
    <w:rsid w:val="4CEF4DC5"/>
    <w:rsid w:val="4CF579D6"/>
    <w:rsid w:val="4D3063F8"/>
    <w:rsid w:val="4D3770C0"/>
    <w:rsid w:val="4D3D79AE"/>
    <w:rsid w:val="4D6A4C08"/>
    <w:rsid w:val="4D755CDB"/>
    <w:rsid w:val="4DD202D7"/>
    <w:rsid w:val="4E257655"/>
    <w:rsid w:val="4F1E452A"/>
    <w:rsid w:val="4F372380"/>
    <w:rsid w:val="4F372FFB"/>
    <w:rsid w:val="4F5D5052"/>
    <w:rsid w:val="4F9A4C10"/>
    <w:rsid w:val="4FCD667C"/>
    <w:rsid w:val="5025116D"/>
    <w:rsid w:val="50627987"/>
    <w:rsid w:val="507D78D9"/>
    <w:rsid w:val="508F21FD"/>
    <w:rsid w:val="50B82E88"/>
    <w:rsid w:val="5122197A"/>
    <w:rsid w:val="513E788B"/>
    <w:rsid w:val="517F7D73"/>
    <w:rsid w:val="51810FD7"/>
    <w:rsid w:val="519108A5"/>
    <w:rsid w:val="51A91D15"/>
    <w:rsid w:val="52395ECD"/>
    <w:rsid w:val="525603C1"/>
    <w:rsid w:val="52BB030E"/>
    <w:rsid w:val="52C10D75"/>
    <w:rsid w:val="53235C8D"/>
    <w:rsid w:val="533E33EC"/>
    <w:rsid w:val="537F6AC2"/>
    <w:rsid w:val="53C27FF8"/>
    <w:rsid w:val="53DC22CC"/>
    <w:rsid w:val="540B1521"/>
    <w:rsid w:val="541A601C"/>
    <w:rsid w:val="54806794"/>
    <w:rsid w:val="549E1A80"/>
    <w:rsid w:val="54C658F4"/>
    <w:rsid w:val="54EA03CE"/>
    <w:rsid w:val="550C4BD7"/>
    <w:rsid w:val="554C1D56"/>
    <w:rsid w:val="55515659"/>
    <w:rsid w:val="55572986"/>
    <w:rsid w:val="557241C5"/>
    <w:rsid w:val="55857C95"/>
    <w:rsid w:val="55C968EE"/>
    <w:rsid w:val="55DB4F23"/>
    <w:rsid w:val="55E80984"/>
    <w:rsid w:val="55FB651C"/>
    <w:rsid w:val="563A433F"/>
    <w:rsid w:val="565340FA"/>
    <w:rsid w:val="56871CB9"/>
    <w:rsid w:val="568D0781"/>
    <w:rsid w:val="56AD5F59"/>
    <w:rsid w:val="56C60774"/>
    <w:rsid w:val="57240412"/>
    <w:rsid w:val="572C58C2"/>
    <w:rsid w:val="573E7E5F"/>
    <w:rsid w:val="57897141"/>
    <w:rsid w:val="57B12A52"/>
    <w:rsid w:val="581169A7"/>
    <w:rsid w:val="581C3BD7"/>
    <w:rsid w:val="58793156"/>
    <w:rsid w:val="587C6014"/>
    <w:rsid w:val="58857640"/>
    <w:rsid w:val="58B407FD"/>
    <w:rsid w:val="59686B4C"/>
    <w:rsid w:val="598D29D8"/>
    <w:rsid w:val="59D2355F"/>
    <w:rsid w:val="59E051FD"/>
    <w:rsid w:val="59E9331A"/>
    <w:rsid w:val="5A0723EF"/>
    <w:rsid w:val="5A2F2CC8"/>
    <w:rsid w:val="5A9B0684"/>
    <w:rsid w:val="5AAB2E44"/>
    <w:rsid w:val="5AB75D54"/>
    <w:rsid w:val="5AE357DD"/>
    <w:rsid w:val="5AFC5403"/>
    <w:rsid w:val="5B09384D"/>
    <w:rsid w:val="5B0A0784"/>
    <w:rsid w:val="5B22565C"/>
    <w:rsid w:val="5B710383"/>
    <w:rsid w:val="5BB51191"/>
    <w:rsid w:val="5BBC5BBE"/>
    <w:rsid w:val="5BF8115B"/>
    <w:rsid w:val="5C10702D"/>
    <w:rsid w:val="5C152601"/>
    <w:rsid w:val="5C494506"/>
    <w:rsid w:val="5C591F03"/>
    <w:rsid w:val="5C6C5903"/>
    <w:rsid w:val="5C793BD5"/>
    <w:rsid w:val="5C7E6CFB"/>
    <w:rsid w:val="5C8124F6"/>
    <w:rsid w:val="5C896836"/>
    <w:rsid w:val="5C8A1B2F"/>
    <w:rsid w:val="5C9A70E0"/>
    <w:rsid w:val="5CA05217"/>
    <w:rsid w:val="5CC01E64"/>
    <w:rsid w:val="5CC42428"/>
    <w:rsid w:val="5CEE19DF"/>
    <w:rsid w:val="5D073ABE"/>
    <w:rsid w:val="5D0E599D"/>
    <w:rsid w:val="5D327B1E"/>
    <w:rsid w:val="5D4C04E5"/>
    <w:rsid w:val="5D505284"/>
    <w:rsid w:val="5D5418FE"/>
    <w:rsid w:val="5D5D4FE7"/>
    <w:rsid w:val="5D700646"/>
    <w:rsid w:val="5E4162A8"/>
    <w:rsid w:val="5E4445B8"/>
    <w:rsid w:val="5EBF3633"/>
    <w:rsid w:val="5EEC6253"/>
    <w:rsid w:val="5EFF1C82"/>
    <w:rsid w:val="5F177A55"/>
    <w:rsid w:val="5F561B72"/>
    <w:rsid w:val="5F874639"/>
    <w:rsid w:val="5FA63789"/>
    <w:rsid w:val="5FE42A01"/>
    <w:rsid w:val="5FEB7114"/>
    <w:rsid w:val="60025813"/>
    <w:rsid w:val="606007BB"/>
    <w:rsid w:val="60634C11"/>
    <w:rsid w:val="607F676F"/>
    <w:rsid w:val="609B7DDB"/>
    <w:rsid w:val="60AC7F66"/>
    <w:rsid w:val="60D96503"/>
    <w:rsid w:val="610712C2"/>
    <w:rsid w:val="612956DC"/>
    <w:rsid w:val="613D2B21"/>
    <w:rsid w:val="618835DC"/>
    <w:rsid w:val="61BF10D9"/>
    <w:rsid w:val="620F7B24"/>
    <w:rsid w:val="626B71FE"/>
    <w:rsid w:val="62937DAF"/>
    <w:rsid w:val="62AC22DC"/>
    <w:rsid w:val="62B85E11"/>
    <w:rsid w:val="62B9752E"/>
    <w:rsid w:val="63017A6F"/>
    <w:rsid w:val="630B16DB"/>
    <w:rsid w:val="6326232D"/>
    <w:rsid w:val="63267BA3"/>
    <w:rsid w:val="63455206"/>
    <w:rsid w:val="634560D1"/>
    <w:rsid w:val="637C7B09"/>
    <w:rsid w:val="63925F00"/>
    <w:rsid w:val="63A22BFD"/>
    <w:rsid w:val="63E339F0"/>
    <w:rsid w:val="64063AB3"/>
    <w:rsid w:val="6421269A"/>
    <w:rsid w:val="644C49AA"/>
    <w:rsid w:val="64946C8F"/>
    <w:rsid w:val="64CE2822"/>
    <w:rsid w:val="64E45EF7"/>
    <w:rsid w:val="64F7641F"/>
    <w:rsid w:val="65031DA0"/>
    <w:rsid w:val="65165F77"/>
    <w:rsid w:val="653D36EB"/>
    <w:rsid w:val="654A524F"/>
    <w:rsid w:val="65BE7CD1"/>
    <w:rsid w:val="6638520C"/>
    <w:rsid w:val="667D75EA"/>
    <w:rsid w:val="667F6F93"/>
    <w:rsid w:val="6691014E"/>
    <w:rsid w:val="66A575B3"/>
    <w:rsid w:val="66C87CCE"/>
    <w:rsid w:val="66CB4614"/>
    <w:rsid w:val="66DC300A"/>
    <w:rsid w:val="676310B8"/>
    <w:rsid w:val="677435B2"/>
    <w:rsid w:val="67A127B0"/>
    <w:rsid w:val="67B45F93"/>
    <w:rsid w:val="67CA6FAE"/>
    <w:rsid w:val="67EF75F1"/>
    <w:rsid w:val="684F4F11"/>
    <w:rsid w:val="68617509"/>
    <w:rsid w:val="69124F16"/>
    <w:rsid w:val="69353779"/>
    <w:rsid w:val="69392234"/>
    <w:rsid w:val="6953779A"/>
    <w:rsid w:val="69760324"/>
    <w:rsid w:val="69A2602B"/>
    <w:rsid w:val="69CD5C14"/>
    <w:rsid w:val="69CF0D33"/>
    <w:rsid w:val="69D361E5"/>
    <w:rsid w:val="69D5399A"/>
    <w:rsid w:val="6A372C18"/>
    <w:rsid w:val="6A5D6DD2"/>
    <w:rsid w:val="6A690CED"/>
    <w:rsid w:val="6AAC02CD"/>
    <w:rsid w:val="6AC36B8F"/>
    <w:rsid w:val="6AC65E4E"/>
    <w:rsid w:val="6AD42215"/>
    <w:rsid w:val="6AEA3E78"/>
    <w:rsid w:val="6B59632D"/>
    <w:rsid w:val="6B8E4D79"/>
    <w:rsid w:val="6B9946B3"/>
    <w:rsid w:val="6BBC3C61"/>
    <w:rsid w:val="6BE518DA"/>
    <w:rsid w:val="6C0233D3"/>
    <w:rsid w:val="6C276F3A"/>
    <w:rsid w:val="6C441708"/>
    <w:rsid w:val="6C5D7E82"/>
    <w:rsid w:val="6C7007C7"/>
    <w:rsid w:val="6CF7215A"/>
    <w:rsid w:val="6D2F5E28"/>
    <w:rsid w:val="6D77157D"/>
    <w:rsid w:val="6D897D31"/>
    <w:rsid w:val="6DBE5338"/>
    <w:rsid w:val="6DE44E65"/>
    <w:rsid w:val="6DE76850"/>
    <w:rsid w:val="6E142EBC"/>
    <w:rsid w:val="6E686AB5"/>
    <w:rsid w:val="6E69533E"/>
    <w:rsid w:val="6EFE3D04"/>
    <w:rsid w:val="6EFF5CCE"/>
    <w:rsid w:val="6F92268D"/>
    <w:rsid w:val="6F96218E"/>
    <w:rsid w:val="6FB20BD4"/>
    <w:rsid w:val="6FBA59BE"/>
    <w:rsid w:val="70296B3E"/>
    <w:rsid w:val="702C4355"/>
    <w:rsid w:val="70611204"/>
    <w:rsid w:val="70875F7B"/>
    <w:rsid w:val="70B14DA6"/>
    <w:rsid w:val="70DC0CFB"/>
    <w:rsid w:val="7165620F"/>
    <w:rsid w:val="717039F8"/>
    <w:rsid w:val="71796B74"/>
    <w:rsid w:val="71DE754E"/>
    <w:rsid w:val="725720C5"/>
    <w:rsid w:val="72A7258E"/>
    <w:rsid w:val="72AA0928"/>
    <w:rsid w:val="72AE77EF"/>
    <w:rsid w:val="72CA214F"/>
    <w:rsid w:val="72F26881"/>
    <w:rsid w:val="730C076A"/>
    <w:rsid w:val="73835367"/>
    <w:rsid w:val="73E85FB3"/>
    <w:rsid w:val="740578E3"/>
    <w:rsid w:val="744114FF"/>
    <w:rsid w:val="74606351"/>
    <w:rsid w:val="746E5488"/>
    <w:rsid w:val="748D684E"/>
    <w:rsid w:val="74AA4797"/>
    <w:rsid w:val="74D13AD5"/>
    <w:rsid w:val="74D27103"/>
    <w:rsid w:val="74F31E31"/>
    <w:rsid w:val="74FA2C30"/>
    <w:rsid w:val="754737CF"/>
    <w:rsid w:val="754D5C4B"/>
    <w:rsid w:val="75602F17"/>
    <w:rsid w:val="75665794"/>
    <w:rsid w:val="758123D8"/>
    <w:rsid w:val="75A63087"/>
    <w:rsid w:val="760268A8"/>
    <w:rsid w:val="763A336F"/>
    <w:rsid w:val="76760624"/>
    <w:rsid w:val="768D7E3A"/>
    <w:rsid w:val="769B008A"/>
    <w:rsid w:val="76C240A7"/>
    <w:rsid w:val="76C3118B"/>
    <w:rsid w:val="76DA416A"/>
    <w:rsid w:val="775246B7"/>
    <w:rsid w:val="775F7F22"/>
    <w:rsid w:val="7765646D"/>
    <w:rsid w:val="77822FF8"/>
    <w:rsid w:val="77A17609"/>
    <w:rsid w:val="77A94A29"/>
    <w:rsid w:val="77D5581E"/>
    <w:rsid w:val="781E69D1"/>
    <w:rsid w:val="782D2E4A"/>
    <w:rsid w:val="7831514A"/>
    <w:rsid w:val="78370287"/>
    <w:rsid w:val="786A7EC8"/>
    <w:rsid w:val="787426CC"/>
    <w:rsid w:val="7901747F"/>
    <w:rsid w:val="79057081"/>
    <w:rsid w:val="79134E2A"/>
    <w:rsid w:val="7923254F"/>
    <w:rsid w:val="792425B9"/>
    <w:rsid w:val="7958414D"/>
    <w:rsid w:val="79CE4DAC"/>
    <w:rsid w:val="79D835D7"/>
    <w:rsid w:val="79F426E3"/>
    <w:rsid w:val="7A1B64E4"/>
    <w:rsid w:val="7A263B6B"/>
    <w:rsid w:val="7A3B0BA0"/>
    <w:rsid w:val="7A3B606F"/>
    <w:rsid w:val="7A416232"/>
    <w:rsid w:val="7AC865AC"/>
    <w:rsid w:val="7AF46346"/>
    <w:rsid w:val="7AFF24F3"/>
    <w:rsid w:val="7B0F5EBF"/>
    <w:rsid w:val="7B130FB9"/>
    <w:rsid w:val="7B65146E"/>
    <w:rsid w:val="7BD71E38"/>
    <w:rsid w:val="7BF64EDE"/>
    <w:rsid w:val="7C0B180E"/>
    <w:rsid w:val="7C400C1E"/>
    <w:rsid w:val="7C683102"/>
    <w:rsid w:val="7CB33B04"/>
    <w:rsid w:val="7CB779E1"/>
    <w:rsid w:val="7D76061F"/>
    <w:rsid w:val="7DAD28DC"/>
    <w:rsid w:val="7DD11708"/>
    <w:rsid w:val="7DEE4A4F"/>
    <w:rsid w:val="7E024E93"/>
    <w:rsid w:val="7E123B46"/>
    <w:rsid w:val="7E32042F"/>
    <w:rsid w:val="7E5256C4"/>
    <w:rsid w:val="7E73476D"/>
    <w:rsid w:val="7E88183C"/>
    <w:rsid w:val="7EAE6230"/>
    <w:rsid w:val="7EBD579E"/>
    <w:rsid w:val="7EC167BD"/>
    <w:rsid w:val="7ECC1BA5"/>
    <w:rsid w:val="7F011B77"/>
    <w:rsid w:val="7F1E3965"/>
    <w:rsid w:val="7F272D9E"/>
    <w:rsid w:val="7FDF2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1"/>
    <w:qFormat/>
    <w:uiPriority w:val="9"/>
    <w:pPr>
      <w:keepNext/>
      <w:keepLines/>
      <w:spacing w:before="280" w:after="290" w:line="376" w:lineRule="auto"/>
      <w:outlineLvl w:val="4"/>
    </w:pPr>
    <w:rPr>
      <w:b/>
      <w:bCs/>
      <w:sz w:val="28"/>
      <w:szCs w:val="28"/>
    </w:rPr>
  </w:style>
  <w:style w:type="paragraph" w:styleId="6">
    <w:name w:val="heading 8"/>
    <w:basedOn w:val="1"/>
    <w:next w:val="1"/>
    <w:link w:val="32"/>
    <w:qFormat/>
    <w:uiPriority w:val="9"/>
    <w:pPr>
      <w:keepNext/>
      <w:keepLines/>
      <w:spacing w:before="240" w:after="64" w:line="320" w:lineRule="auto"/>
      <w:outlineLvl w:val="7"/>
    </w:pPr>
    <w:rPr>
      <w:rFonts w:ascii="等线 Light" w:hAnsi="等线 Light" w:eastAsia="等线 Light"/>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3"/>
    <w:qFormat/>
    <w:uiPriority w:val="0"/>
    <w:pPr>
      <w:jc w:val="left"/>
    </w:pPr>
  </w:style>
  <w:style w:type="paragraph" w:styleId="9">
    <w:name w:val="Body Text 3"/>
    <w:basedOn w:val="1"/>
    <w:link w:val="34"/>
    <w:unhideWhenUsed/>
    <w:qFormat/>
    <w:uiPriority w:val="99"/>
    <w:pPr>
      <w:spacing w:after="120"/>
    </w:pPr>
    <w:rPr>
      <w:sz w:val="16"/>
      <w:szCs w:val="16"/>
    </w:rPr>
  </w:style>
  <w:style w:type="paragraph" w:styleId="10">
    <w:name w:val="Body Text"/>
    <w:basedOn w:val="1"/>
    <w:link w:val="35"/>
    <w:unhideWhenUsed/>
    <w:qFormat/>
    <w:uiPriority w:val="0"/>
    <w:pPr>
      <w:spacing w:after="120"/>
    </w:pPr>
  </w:style>
  <w:style w:type="paragraph" w:styleId="11">
    <w:name w:val="Body Text Indent"/>
    <w:basedOn w:val="1"/>
    <w:link w:val="36"/>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7"/>
    <w:qFormat/>
    <w:uiPriority w:val="0"/>
    <w:rPr>
      <w:rFonts w:ascii="宋体" w:hAnsi="Courier New"/>
      <w:kern w:val="0"/>
      <w:sz w:val="20"/>
      <w:szCs w:val="21"/>
    </w:rPr>
  </w:style>
  <w:style w:type="paragraph" w:styleId="14">
    <w:name w:val="Date"/>
    <w:basedOn w:val="1"/>
    <w:next w:val="1"/>
    <w:link w:val="38"/>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39"/>
    <w:unhideWhenUsed/>
    <w:qFormat/>
    <w:uiPriority w:val="99"/>
    <w:pPr>
      <w:tabs>
        <w:tab w:val="center" w:pos="4153"/>
        <w:tab w:val="right" w:pos="8306"/>
      </w:tabs>
      <w:snapToGrid w:val="0"/>
      <w:jc w:val="left"/>
    </w:pPr>
    <w:rPr>
      <w:kern w:val="0"/>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annotation subject"/>
    <w:basedOn w:val="8"/>
    <w:next w:val="8"/>
    <w:link w:val="41"/>
    <w:qFormat/>
    <w:uiPriority w:val="99"/>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ndnote reference"/>
    <w:unhideWhenUsed/>
    <w:qFormat/>
    <w:uiPriority w:val="99"/>
    <w:rPr>
      <w:vertAlign w:val="superscript"/>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9"/>
    <w:rPr>
      <w:b/>
      <w:bCs/>
      <w:kern w:val="44"/>
      <w:sz w:val="44"/>
      <w:szCs w:val="44"/>
    </w:rPr>
  </w:style>
  <w:style w:type="character" w:customStyle="1" w:styleId="30">
    <w:name w:val="标题 2 Char1"/>
    <w:link w:val="3"/>
    <w:qFormat/>
    <w:uiPriority w:val="9"/>
    <w:rPr>
      <w:rFonts w:ascii="Cambria" w:hAnsi="Cambria" w:eastAsia="宋体" w:cs="Times New Roman"/>
      <w:b/>
      <w:bCs/>
      <w:kern w:val="2"/>
      <w:sz w:val="32"/>
      <w:szCs w:val="32"/>
    </w:rPr>
  </w:style>
  <w:style w:type="character" w:customStyle="1" w:styleId="31">
    <w:name w:val="标题 5 Char"/>
    <w:link w:val="4"/>
    <w:semiHidden/>
    <w:qFormat/>
    <w:uiPriority w:val="9"/>
    <w:rPr>
      <w:rFonts w:ascii="Times New Roman" w:hAnsi="Times New Roman"/>
      <w:b/>
      <w:bCs/>
      <w:kern w:val="2"/>
      <w:sz w:val="28"/>
      <w:szCs w:val="28"/>
    </w:rPr>
  </w:style>
  <w:style w:type="character" w:customStyle="1" w:styleId="32">
    <w:name w:val="标题 8 Char1"/>
    <w:link w:val="6"/>
    <w:semiHidden/>
    <w:qFormat/>
    <w:uiPriority w:val="9"/>
    <w:rPr>
      <w:rFonts w:ascii="等线 Light" w:hAnsi="等线 Light" w:eastAsia="等线 Light" w:cs="Times New Roman"/>
      <w:kern w:val="2"/>
      <w:sz w:val="24"/>
      <w:szCs w:val="24"/>
    </w:rPr>
  </w:style>
  <w:style w:type="character" w:customStyle="1" w:styleId="33">
    <w:name w:val="批注文字 Char1"/>
    <w:link w:val="8"/>
    <w:qFormat/>
    <w:uiPriority w:val="0"/>
    <w:rPr>
      <w:rFonts w:ascii="Times New Roman" w:hAnsi="Times New Roman"/>
      <w:kern w:val="2"/>
      <w:sz w:val="21"/>
      <w:szCs w:val="24"/>
    </w:rPr>
  </w:style>
  <w:style w:type="character" w:customStyle="1" w:styleId="34">
    <w:name w:val="正文文本 3 Char"/>
    <w:link w:val="9"/>
    <w:semiHidden/>
    <w:qFormat/>
    <w:uiPriority w:val="99"/>
    <w:rPr>
      <w:kern w:val="2"/>
      <w:sz w:val="16"/>
      <w:szCs w:val="16"/>
    </w:rPr>
  </w:style>
  <w:style w:type="character" w:customStyle="1" w:styleId="35">
    <w:name w:val="正文文本 Char1"/>
    <w:link w:val="10"/>
    <w:qFormat/>
    <w:uiPriority w:val="0"/>
    <w:rPr>
      <w:rFonts w:ascii="Times New Roman" w:hAnsi="Times New Roman"/>
      <w:kern w:val="2"/>
      <w:sz w:val="21"/>
      <w:szCs w:val="24"/>
    </w:rPr>
  </w:style>
  <w:style w:type="character" w:customStyle="1" w:styleId="36">
    <w:name w:val="正文文本缩进 Char"/>
    <w:link w:val="11"/>
    <w:qFormat/>
    <w:uiPriority w:val="0"/>
    <w:rPr>
      <w:rFonts w:ascii="仿宋_GB2312" w:hAnsi="Times New Roman" w:eastAsia="仿宋_GB2312" w:cs="Times New Roman"/>
      <w:sz w:val="32"/>
      <w:szCs w:val="20"/>
    </w:rPr>
  </w:style>
  <w:style w:type="character" w:customStyle="1" w:styleId="37">
    <w:name w:val="纯文本 Char1"/>
    <w:link w:val="13"/>
    <w:qFormat/>
    <w:uiPriority w:val="0"/>
    <w:rPr>
      <w:rFonts w:ascii="宋体" w:hAnsi="Courier New" w:eastAsia="宋体" w:cs="Courier New"/>
      <w:szCs w:val="21"/>
    </w:rPr>
  </w:style>
  <w:style w:type="character" w:customStyle="1" w:styleId="38">
    <w:name w:val="日期 Char"/>
    <w:link w:val="14"/>
    <w:semiHidden/>
    <w:qFormat/>
    <w:uiPriority w:val="99"/>
    <w:rPr>
      <w:rFonts w:ascii="Times New Roman" w:hAnsi="Times New Roman"/>
      <w:kern w:val="2"/>
      <w:sz w:val="21"/>
      <w:szCs w:val="24"/>
    </w:rPr>
  </w:style>
  <w:style w:type="character" w:customStyle="1" w:styleId="39">
    <w:name w:val="页脚 Char"/>
    <w:link w:val="16"/>
    <w:qFormat/>
    <w:uiPriority w:val="99"/>
    <w:rPr>
      <w:sz w:val="18"/>
      <w:szCs w:val="18"/>
    </w:rPr>
  </w:style>
  <w:style w:type="character" w:customStyle="1" w:styleId="40">
    <w:name w:val="页眉 Char"/>
    <w:link w:val="17"/>
    <w:qFormat/>
    <w:uiPriority w:val="99"/>
    <w:rPr>
      <w:sz w:val="18"/>
      <w:szCs w:val="18"/>
    </w:rPr>
  </w:style>
  <w:style w:type="character" w:customStyle="1" w:styleId="41">
    <w:name w:val="批注主题 Char"/>
    <w:link w:val="21"/>
    <w:qFormat/>
    <w:uiPriority w:val="99"/>
    <w:rPr>
      <w:rFonts w:ascii="Times New Roman" w:hAnsi="Times New Roman"/>
      <w:b/>
      <w:bCs/>
      <w:kern w:val="2"/>
      <w:sz w:val="21"/>
      <w:szCs w:val="24"/>
    </w:rPr>
  </w:style>
  <w:style w:type="character" w:customStyle="1" w:styleId="42">
    <w:name w:val="标题 1 字符1"/>
    <w:qFormat/>
    <w:uiPriority w:val="0"/>
    <w:rPr>
      <w:b/>
      <w:bCs/>
      <w:kern w:val="44"/>
      <w:sz w:val="44"/>
      <w:szCs w:val="44"/>
    </w:rPr>
  </w:style>
  <w:style w:type="character" w:customStyle="1" w:styleId="43">
    <w:name w:val="textcontents"/>
    <w:qFormat/>
    <w:uiPriority w:val="0"/>
  </w:style>
  <w:style w:type="character" w:customStyle="1" w:styleId="44">
    <w:name w:val="批注文字 Char"/>
    <w:qFormat/>
    <w:uiPriority w:val="0"/>
    <w:rPr>
      <w:rFonts w:ascii="Times New Roman" w:hAnsi="Times New Roman"/>
      <w:kern w:val="2"/>
      <w:sz w:val="21"/>
      <w:szCs w:val="24"/>
    </w:rPr>
  </w:style>
  <w:style w:type="character" w:customStyle="1" w:styleId="45">
    <w:name w:val="纯文本 字符"/>
    <w:qFormat/>
    <w:uiPriority w:val="0"/>
    <w:rPr>
      <w:rFonts w:ascii="宋体" w:hAnsi="Courier New" w:eastAsia="宋体" w:cs="Courier New"/>
      <w:szCs w:val="21"/>
    </w:rPr>
  </w:style>
  <w:style w:type="character" w:customStyle="1" w:styleId="46">
    <w:name w:val="纯文本 Char"/>
    <w:qFormat/>
    <w:uiPriority w:val="0"/>
    <w:rPr>
      <w:rFonts w:ascii="宋体" w:hAnsi="Courier New" w:eastAsia="宋体" w:cs="Courier New"/>
      <w:szCs w:val="21"/>
    </w:rPr>
  </w:style>
  <w:style w:type="character" w:customStyle="1" w:styleId="47">
    <w:name w:val="纯文本 字符2"/>
    <w:qFormat/>
    <w:uiPriority w:val="0"/>
    <w:rPr>
      <w:rFonts w:ascii="宋体" w:hAnsi="Courier New" w:eastAsia="宋体" w:cs="Courier New"/>
      <w:szCs w:val="21"/>
    </w:rPr>
  </w:style>
  <w:style w:type="character" w:customStyle="1" w:styleId="48">
    <w:name w:val="批注文字 字符1"/>
    <w:qFormat/>
    <w:uiPriority w:val="0"/>
    <w:rPr>
      <w:rFonts w:ascii="Times New Roman" w:hAnsi="Times New Roman"/>
      <w:kern w:val="2"/>
      <w:sz w:val="21"/>
      <w:szCs w:val="24"/>
    </w:rPr>
  </w:style>
  <w:style w:type="character" w:customStyle="1" w:styleId="4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0">
    <w:name w:val="纯文本 字符1"/>
    <w:qFormat/>
    <w:uiPriority w:val="0"/>
    <w:rPr>
      <w:rFonts w:ascii="宋体" w:hAnsi="Courier New"/>
    </w:rPr>
  </w:style>
  <w:style w:type="character" w:customStyle="1" w:styleId="51">
    <w:name w:val="正文文本 Char"/>
    <w:qFormat/>
    <w:uiPriority w:val="99"/>
    <w:rPr>
      <w:rFonts w:ascii="Times New Roman" w:hAnsi="Times New Roman"/>
      <w:kern w:val="2"/>
      <w:sz w:val="21"/>
      <w:szCs w:val="24"/>
    </w:rPr>
  </w:style>
  <w:style w:type="character" w:customStyle="1" w:styleId="52">
    <w:name w:val="批注文字 字符"/>
    <w:qFormat/>
    <w:uiPriority w:val="0"/>
    <w:rPr>
      <w:rFonts w:ascii="Times New Roman" w:hAnsi="Times New Roman"/>
      <w:kern w:val="2"/>
      <w:sz w:val="21"/>
      <w:szCs w:val="24"/>
    </w:rPr>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标题 8 Char"/>
    <w:qFormat/>
    <w:uiPriority w:val="0"/>
    <w:rPr>
      <w:rFonts w:ascii="Arial" w:hAnsi="Arial" w:eastAsia="黑体"/>
      <w:kern w:val="2"/>
      <w:sz w:val="24"/>
      <w:szCs w:val="24"/>
    </w:rPr>
  </w:style>
  <w:style w:type="character" w:customStyle="1" w:styleId="55">
    <w:name w:val="apple-style-span"/>
    <w:qFormat/>
    <w:uiPriority w:val="0"/>
  </w:style>
  <w:style w:type="paragraph" w:customStyle="1" w:styleId="56">
    <w:name w:val="默认段落字体 Para Char Char Char Char Char Char Char Char Char1 Char Char Char Char"/>
    <w:basedOn w:val="1"/>
    <w:qFormat/>
    <w:uiPriority w:val="0"/>
    <w:rPr>
      <w:rFonts w:ascii="Tahoma" w:hAnsi="Tahoma"/>
      <w:sz w:val="24"/>
      <w:szCs w:val="20"/>
    </w:rPr>
  </w:style>
  <w:style w:type="paragraph" w:customStyle="1" w:styleId="5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pPr>
      <w:jc w:val="left"/>
    </w:pPr>
    <w:rPr>
      <w:rFonts w:ascii="Calibri" w:hAnsi="Calibri"/>
      <w:kern w:val="0"/>
      <w:sz w:val="22"/>
      <w:szCs w:val="22"/>
      <w:lang w:eastAsia="en-US"/>
    </w:rPr>
  </w:style>
  <w:style w:type="character" w:customStyle="1" w:styleId="60">
    <w:name w:val="正文文本 字符"/>
    <w:qFormat/>
    <w:uiPriority w:val="0"/>
    <w:rPr>
      <w:rFonts w:ascii="Times New Roman" w:hAnsi="Times New Roman"/>
      <w:kern w:val="2"/>
      <w:sz w:val="21"/>
      <w:szCs w:val="24"/>
    </w:rPr>
  </w:style>
  <w:style w:type="character" w:customStyle="1" w:styleId="61">
    <w:name w:val="批注文字 Char2"/>
    <w:qFormat/>
    <w:uiPriority w:val="0"/>
    <w:rPr>
      <w:rFonts w:ascii="Times New Roman" w:hAnsi="Times New Roman"/>
      <w:kern w:val="2"/>
      <w:sz w:val="21"/>
      <w:szCs w:val="24"/>
    </w:rPr>
  </w:style>
  <w:style w:type="character" w:customStyle="1" w:styleId="62">
    <w:name w:val="正文2 Char Char"/>
    <w:link w:val="63"/>
    <w:qFormat/>
    <w:uiPriority w:val="0"/>
    <w:rPr>
      <w:kern w:val="2"/>
      <w:sz w:val="24"/>
    </w:rPr>
  </w:style>
  <w:style w:type="paragraph" w:customStyle="1" w:styleId="63">
    <w:name w:val="正文2"/>
    <w:basedOn w:val="1"/>
    <w:link w:val="62"/>
    <w:qFormat/>
    <w:uiPriority w:val="0"/>
    <w:pPr>
      <w:adjustRightInd w:val="0"/>
      <w:spacing w:before="156" w:line="360" w:lineRule="auto"/>
      <w:ind w:firstLine="510" w:firstLineChars="200"/>
    </w:pPr>
    <w:rPr>
      <w:sz w:val="24"/>
      <w:szCs w:val="20"/>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rPr>
      <w:szCs w:val="21"/>
    </w:rPr>
  </w:style>
  <w:style w:type="paragraph" w:customStyle="1" w:styleId="66">
    <w:name w:val="公文正文"/>
    <w:basedOn w:val="1"/>
    <w:qFormat/>
    <w:uiPriority w:val="0"/>
    <w:pPr>
      <w:spacing w:line="560" w:lineRule="exact"/>
      <w:ind w:firstLine="200" w:firstLineChars="200"/>
    </w:pPr>
    <w:rPr>
      <w:rFonts w:eastAsia="方正仿宋简体"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76</Pages>
  <Words>5960</Words>
  <Characters>6557</Characters>
  <Lines>356</Lines>
  <Paragraphs>100</Paragraphs>
  <TotalTime>0</TotalTime>
  <ScaleCrop>false</ScaleCrop>
  <LinksUpToDate>false</LinksUpToDate>
  <CharactersWithSpaces>6660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2025-03-10T04:01:00Z</dcterms:created>
  <dc:creator>唐冰</dc:creator>
  <cp:lastModifiedBy>阿正阿正</cp:lastModifiedBy>
  <cp:lastPrinted>2025-10-15T08:44:00Z</cp:lastPrinted>
  <dcterms:modified xsi:type="dcterms:W3CDTF">2025-10-16T08:18:36Z</dcterms:modified>
  <dc:title>竞争性谈判文件规范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C1D9774C13454F7498AE6DF0C469B2F5_13</vt:lpwstr>
  </property>
  <property fmtid="{D5CDD505-2E9C-101B-9397-08002B2CF9AE}" pid="4" name="KSOTemplateDocerSaveRecord">
    <vt:lpwstr>eyJoZGlkIjoiYTcxMDU5ODY0OTQ4NGZlOTFmYjIwMmYxNzYzNGJhYTEiLCJ1c2VySWQiOiI1MjMyNDM4MjIifQ==</vt:lpwstr>
  </property>
</Properties>
</file>